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4FB" w:rsidRDefault="006724FB">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724FB" w:rsidRDefault="006724FB">
      <w:pPr>
        <w:pStyle w:val="PrincipalActRegPage1"/>
      </w:pPr>
      <w:r>
        <w:fldChar w:fldCharType="begin"/>
      </w:r>
      <w:r>
        <w:instrText xml:space="preserve"> STYLEREF "PrincipalAct_Reg"</w:instrText>
      </w:r>
      <w:r>
        <w:fldChar w:fldCharType="separate"/>
      </w:r>
      <w:r w:rsidR="00337078">
        <w:rPr>
          <w:noProof/>
        </w:rPr>
        <w:t>Road Traffic (Vehicles) Act 2012</w:t>
      </w:r>
      <w:r>
        <w:fldChar w:fldCharType="end"/>
      </w:r>
    </w:p>
    <w:p w:rsidR="006724FB" w:rsidRDefault="006724FB">
      <w:pPr>
        <w:pStyle w:val="NameofActRegPage1"/>
        <w:spacing w:before="1800" w:after="4200"/>
        <w:outlineLvl w:val="0"/>
      </w:pPr>
      <w:r>
        <w:fldChar w:fldCharType="begin"/>
      </w:r>
      <w:r>
        <w:instrText xml:space="preserve"> STYLEREF "Name Of Act/Reg"</w:instrText>
      </w:r>
      <w:r>
        <w:fldChar w:fldCharType="separate"/>
      </w:r>
      <w:r w:rsidR="00337078">
        <w:rPr>
          <w:noProof/>
        </w:rPr>
        <w:t>Road Traffic (Vehicles) Regulations 2014</w:t>
      </w:r>
      <w:r>
        <w:fldChar w:fldCharType="end"/>
      </w:r>
    </w:p>
    <w:p w:rsidR="006724FB" w:rsidRDefault="006724FB">
      <w:pPr>
        <w:jc w:val="center"/>
        <w:sectPr w:rsidR="006724FB">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B33F4B" w:rsidRDefault="00B33F4B">
      <w:pPr>
        <w:pStyle w:val="WA"/>
      </w:pPr>
      <w:r>
        <w:lastRenderedPageBreak/>
        <w:t>Western Australia</w:t>
      </w:r>
    </w:p>
    <w:p w:rsidR="006724FB" w:rsidRDefault="006724FB">
      <w:pPr>
        <w:pStyle w:val="NameofActRegPage1"/>
      </w:pPr>
      <w:r>
        <w:fldChar w:fldCharType="begin"/>
      </w:r>
      <w:r>
        <w:instrText xml:space="preserve"> STYLEREF "Name Of Act/Reg"</w:instrText>
      </w:r>
      <w:r>
        <w:fldChar w:fldCharType="separate"/>
      </w:r>
      <w:r w:rsidR="00337078">
        <w:rPr>
          <w:noProof/>
        </w:rPr>
        <w:t>Road Traffic (Vehicles) Regulations 2014</w:t>
      </w:r>
      <w:r>
        <w:fldChar w:fldCharType="end"/>
      </w:r>
    </w:p>
    <w:p w:rsidR="006724FB" w:rsidRDefault="006724FB">
      <w:pPr>
        <w:pStyle w:val="Arrangement"/>
      </w:pPr>
      <w:r>
        <w:t>Contents</w:t>
      </w:r>
    </w:p>
    <w:p w:rsidR="00E1452C" w:rsidRDefault="006724FB">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E1452C">
        <w:t>Part 1 — Preliminary</w:t>
      </w:r>
    </w:p>
    <w:p w:rsidR="00E1452C" w:rsidRDefault="00E1452C">
      <w:pPr>
        <w:pStyle w:val="TOC8"/>
        <w:rPr>
          <w:rFonts w:asciiTheme="minorHAnsi" w:eastAsiaTheme="minorEastAsia" w:hAnsiTheme="minorHAnsi" w:cstheme="minorBidi"/>
          <w:szCs w:val="22"/>
        </w:rPr>
      </w:pPr>
      <w:r>
        <w:t>1.</w:t>
      </w:r>
      <w:r>
        <w:tab/>
        <w:t>Citation</w:t>
      </w:r>
      <w:r>
        <w:tab/>
      </w:r>
      <w:r>
        <w:fldChar w:fldCharType="begin"/>
      </w:r>
      <w:r>
        <w:instrText xml:space="preserve"> PAGEREF _Toc75875527 \h </w:instrText>
      </w:r>
      <w:r>
        <w:fldChar w:fldCharType="separate"/>
      </w:r>
      <w:r w:rsidR="00337078">
        <w:t>1</w:t>
      </w:r>
      <w:r>
        <w:fldChar w:fldCharType="end"/>
      </w:r>
    </w:p>
    <w:p w:rsidR="00E1452C" w:rsidRDefault="00E1452C">
      <w:pPr>
        <w:pStyle w:val="TOC8"/>
        <w:rPr>
          <w:rFonts w:asciiTheme="minorHAnsi" w:eastAsiaTheme="minorEastAsia" w:hAnsiTheme="minorHAnsi" w:cstheme="minorBidi"/>
          <w:szCs w:val="22"/>
        </w:rPr>
      </w:pPr>
      <w:r>
        <w:t>2</w:t>
      </w:r>
      <w:r w:rsidRPr="00FE3DA3">
        <w:rPr>
          <w:spacing w:val="-2"/>
        </w:rPr>
        <w:t>.</w:t>
      </w:r>
      <w:r w:rsidRPr="00FE3DA3">
        <w:rPr>
          <w:spacing w:val="-2"/>
        </w:rPr>
        <w:tab/>
        <w:t>Commencement</w:t>
      </w:r>
      <w:r>
        <w:tab/>
      </w:r>
      <w:r>
        <w:fldChar w:fldCharType="begin"/>
      </w:r>
      <w:r>
        <w:instrText xml:space="preserve"> PAGEREF _Toc75875528 \h </w:instrText>
      </w:r>
      <w:r>
        <w:fldChar w:fldCharType="separate"/>
      </w:r>
      <w:r w:rsidR="00337078">
        <w:t>1</w:t>
      </w:r>
      <w:r>
        <w:fldChar w:fldCharType="end"/>
      </w:r>
    </w:p>
    <w:p w:rsidR="00E1452C" w:rsidRDefault="00E1452C">
      <w:pPr>
        <w:pStyle w:val="TOC8"/>
        <w:rPr>
          <w:rFonts w:asciiTheme="minorHAnsi" w:eastAsiaTheme="minorEastAsia" w:hAnsiTheme="minorHAnsi" w:cstheme="minorBidi"/>
          <w:szCs w:val="22"/>
        </w:rPr>
      </w:pPr>
      <w:r>
        <w:t>3.</w:t>
      </w:r>
      <w:r>
        <w:tab/>
        <w:t>Terms used</w:t>
      </w:r>
      <w:r>
        <w:tab/>
      </w:r>
      <w:r>
        <w:fldChar w:fldCharType="begin"/>
      </w:r>
      <w:r>
        <w:instrText xml:space="preserve"> PAGEREF _Toc75875529 \h </w:instrText>
      </w:r>
      <w:r>
        <w:fldChar w:fldCharType="separate"/>
      </w:r>
      <w:r w:rsidR="00337078">
        <w:t>1</w:t>
      </w:r>
      <w:r>
        <w:fldChar w:fldCharType="end"/>
      </w:r>
    </w:p>
    <w:p w:rsidR="00E1452C" w:rsidRDefault="00E1452C">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_Toc75875530 \h </w:instrText>
      </w:r>
      <w:r>
        <w:fldChar w:fldCharType="separate"/>
      </w:r>
      <w:r w:rsidR="00337078">
        <w:t>14</w:t>
      </w:r>
      <w:r>
        <w:fldChar w:fldCharType="end"/>
      </w:r>
    </w:p>
    <w:p w:rsidR="00E1452C" w:rsidRDefault="00E1452C">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_Toc75875531 \h </w:instrText>
      </w:r>
      <w:r>
        <w:fldChar w:fldCharType="separate"/>
      </w:r>
      <w:r w:rsidR="00337078">
        <w:t>14</w:t>
      </w:r>
      <w:r>
        <w:fldChar w:fldCharType="end"/>
      </w:r>
    </w:p>
    <w:p w:rsidR="00E1452C" w:rsidRDefault="00E1452C">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_Toc75875532 \h </w:instrText>
      </w:r>
      <w:r>
        <w:fldChar w:fldCharType="separate"/>
      </w:r>
      <w:r w:rsidR="00337078">
        <w:t>14</w:t>
      </w:r>
      <w:r>
        <w:fldChar w:fldCharType="end"/>
      </w:r>
    </w:p>
    <w:p w:rsidR="00E1452C" w:rsidRDefault="00E1452C">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_Toc75875533 \h </w:instrText>
      </w:r>
      <w:r>
        <w:fldChar w:fldCharType="separate"/>
      </w:r>
      <w:r w:rsidR="00337078">
        <w:t>14</w:t>
      </w:r>
      <w:r>
        <w:fldChar w:fldCharType="end"/>
      </w:r>
    </w:p>
    <w:p w:rsidR="00E1452C" w:rsidRDefault="00E1452C">
      <w:pPr>
        <w:pStyle w:val="TOC8"/>
        <w:rPr>
          <w:rFonts w:asciiTheme="minorHAnsi" w:eastAsiaTheme="minorEastAsia" w:hAnsiTheme="minorHAnsi" w:cstheme="minorBidi"/>
          <w:szCs w:val="22"/>
        </w:rPr>
      </w:pPr>
      <w:r>
        <w:t>8.</w:t>
      </w:r>
      <w:r>
        <w:tab/>
        <w:t>Diagrams</w:t>
      </w:r>
      <w:r>
        <w:tab/>
      </w:r>
      <w:r>
        <w:fldChar w:fldCharType="begin"/>
      </w:r>
      <w:r>
        <w:instrText xml:space="preserve"> PAGEREF _Toc75875534 \h </w:instrText>
      </w:r>
      <w:r>
        <w:fldChar w:fldCharType="separate"/>
      </w:r>
      <w:r w:rsidR="00337078">
        <w:t>15</w:t>
      </w:r>
      <w:r>
        <w:fldChar w:fldCharType="end"/>
      </w:r>
    </w:p>
    <w:p w:rsidR="00E1452C" w:rsidRDefault="00E1452C">
      <w:pPr>
        <w:pStyle w:val="TOC8"/>
        <w:rPr>
          <w:rFonts w:asciiTheme="minorHAnsi" w:eastAsiaTheme="minorEastAsia" w:hAnsiTheme="minorHAnsi" w:cstheme="minorBidi"/>
          <w:szCs w:val="22"/>
        </w:rPr>
      </w:pPr>
      <w:r>
        <w:t>9.</w:t>
      </w:r>
      <w:r>
        <w:tab/>
        <w:t>Registered statutory write</w:t>
      </w:r>
      <w:r>
        <w:noBreakHyphen/>
        <w:t>offs</w:t>
      </w:r>
      <w:r>
        <w:tab/>
      </w:r>
      <w:r>
        <w:fldChar w:fldCharType="begin"/>
      </w:r>
      <w:r>
        <w:instrText xml:space="preserve"> PAGEREF _Toc75875535 \h </w:instrText>
      </w:r>
      <w:r>
        <w:fldChar w:fldCharType="separate"/>
      </w:r>
      <w:r w:rsidR="00337078">
        <w:t>15</w:t>
      </w:r>
      <w:r>
        <w:fldChar w:fldCharType="end"/>
      </w:r>
    </w:p>
    <w:p w:rsidR="00E1452C" w:rsidRDefault="00E1452C">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_Toc75875536 \h </w:instrText>
      </w:r>
      <w:r>
        <w:fldChar w:fldCharType="separate"/>
      </w:r>
      <w:r w:rsidR="00337078">
        <w:t>15</w:t>
      </w:r>
      <w:r>
        <w:fldChar w:fldCharType="end"/>
      </w:r>
    </w:p>
    <w:p w:rsidR="00E1452C" w:rsidRDefault="00E1452C">
      <w:pPr>
        <w:pStyle w:val="TOC8"/>
        <w:rPr>
          <w:rFonts w:asciiTheme="minorHAnsi" w:eastAsiaTheme="minorEastAsia" w:hAnsiTheme="minorHAnsi" w:cstheme="minorBidi"/>
          <w:szCs w:val="22"/>
        </w:rPr>
      </w:pPr>
      <w:r>
        <w:t>11.</w:t>
      </w:r>
      <w:r>
        <w:tab/>
      </w:r>
      <w:r w:rsidRPr="00FE3DA3">
        <w:rPr>
          <w:snapToGrid w:val="0"/>
        </w:rPr>
        <w:t>Subsequent offences</w:t>
      </w:r>
      <w:r>
        <w:tab/>
      </w:r>
      <w:r>
        <w:fldChar w:fldCharType="begin"/>
      </w:r>
      <w:r>
        <w:instrText xml:space="preserve"> PAGEREF _Toc75875537 \h </w:instrText>
      </w:r>
      <w:r>
        <w:fldChar w:fldCharType="separate"/>
      </w:r>
      <w:r w:rsidR="00337078">
        <w:t>15</w:t>
      </w:r>
      <w:r>
        <w:fldChar w:fldCharType="end"/>
      </w:r>
    </w:p>
    <w:p w:rsidR="00E1452C" w:rsidRDefault="00E1452C">
      <w:pPr>
        <w:pStyle w:val="TOC2"/>
        <w:tabs>
          <w:tab w:val="right" w:leader="dot" w:pos="7077"/>
        </w:tabs>
        <w:rPr>
          <w:rFonts w:asciiTheme="minorHAnsi" w:eastAsiaTheme="minorEastAsia" w:hAnsiTheme="minorHAnsi" w:cstheme="minorBidi"/>
          <w:b w:val="0"/>
          <w:sz w:val="22"/>
          <w:szCs w:val="22"/>
        </w:rPr>
      </w:pPr>
      <w:r>
        <w:t>Part 2 — Licensing of vehicles</w:t>
      </w:r>
    </w:p>
    <w:p w:rsidR="00E1452C" w:rsidRDefault="00E1452C">
      <w:pPr>
        <w:pStyle w:val="TOC4"/>
        <w:tabs>
          <w:tab w:val="right" w:leader="dot" w:pos="7077"/>
        </w:tabs>
        <w:rPr>
          <w:rFonts w:asciiTheme="minorHAnsi" w:eastAsiaTheme="minorEastAsia" w:hAnsiTheme="minorHAnsi" w:cstheme="minorBidi"/>
          <w:b w:val="0"/>
          <w:szCs w:val="22"/>
        </w:rPr>
      </w:pPr>
      <w:r>
        <w:t>Division 1 — Preliminary</w:t>
      </w:r>
    </w:p>
    <w:p w:rsidR="00E1452C" w:rsidRDefault="00E1452C">
      <w:pPr>
        <w:pStyle w:val="TOC8"/>
        <w:rPr>
          <w:rFonts w:asciiTheme="minorHAnsi" w:eastAsiaTheme="minorEastAsia" w:hAnsiTheme="minorHAnsi" w:cstheme="minorBidi"/>
          <w:szCs w:val="22"/>
        </w:rPr>
      </w:pPr>
      <w:r>
        <w:t>12.</w:t>
      </w:r>
      <w:r>
        <w:tab/>
        <w:t>Terms used</w:t>
      </w:r>
      <w:r>
        <w:tab/>
      </w:r>
      <w:r>
        <w:fldChar w:fldCharType="begin"/>
      </w:r>
      <w:r>
        <w:instrText xml:space="preserve"> PAGEREF _Toc75875540 \h </w:instrText>
      </w:r>
      <w:r>
        <w:fldChar w:fldCharType="separate"/>
      </w:r>
      <w:r w:rsidR="00337078">
        <w:t>17</w:t>
      </w:r>
      <w:r>
        <w:fldChar w:fldCharType="end"/>
      </w:r>
    </w:p>
    <w:p w:rsidR="00E1452C" w:rsidRDefault="00E1452C">
      <w:pPr>
        <w:pStyle w:val="TOC8"/>
        <w:rPr>
          <w:rFonts w:asciiTheme="minorHAnsi" w:eastAsiaTheme="minorEastAsia" w:hAnsiTheme="minorHAnsi" w:cstheme="minorBidi"/>
          <w:szCs w:val="22"/>
        </w:rPr>
      </w:pPr>
      <w:r>
        <w:t>13.</w:t>
      </w:r>
      <w:r>
        <w:tab/>
        <w:t>Counting axles</w:t>
      </w:r>
      <w:r>
        <w:tab/>
      </w:r>
      <w:r>
        <w:fldChar w:fldCharType="begin"/>
      </w:r>
      <w:r>
        <w:instrText xml:space="preserve"> PAGEREF _Toc75875541 \h </w:instrText>
      </w:r>
      <w:r>
        <w:fldChar w:fldCharType="separate"/>
      </w:r>
      <w:r w:rsidR="00337078">
        <w:t>17</w:t>
      </w:r>
      <w:r>
        <w:fldChar w:fldCharType="end"/>
      </w:r>
    </w:p>
    <w:p w:rsidR="00E1452C" w:rsidRDefault="00E1452C">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_Toc75875542 \h </w:instrText>
      </w:r>
      <w:r>
        <w:fldChar w:fldCharType="separate"/>
      </w:r>
      <w:r w:rsidR="00337078">
        <w:t>17</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2 — Vehicle licences</w:t>
      </w:r>
    </w:p>
    <w:p w:rsidR="00E1452C" w:rsidRDefault="00E1452C">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_Toc75875544 \h </w:instrText>
      </w:r>
      <w:r>
        <w:fldChar w:fldCharType="separate"/>
      </w:r>
      <w:r w:rsidR="00337078">
        <w:t>18</w:t>
      </w:r>
      <w:r>
        <w:fldChar w:fldCharType="end"/>
      </w:r>
    </w:p>
    <w:p w:rsidR="00E1452C" w:rsidRDefault="00E1452C">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_Toc75875545 \h </w:instrText>
      </w:r>
      <w:r>
        <w:fldChar w:fldCharType="separate"/>
      </w:r>
      <w:r w:rsidR="00337078">
        <w:t>18</w:t>
      </w:r>
      <w:r>
        <w:fldChar w:fldCharType="end"/>
      </w:r>
    </w:p>
    <w:p w:rsidR="00E1452C" w:rsidRDefault="00E1452C">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_Toc75875546 \h </w:instrText>
      </w:r>
      <w:r>
        <w:fldChar w:fldCharType="separate"/>
      </w:r>
      <w:r w:rsidR="00337078">
        <w:t>18</w:t>
      </w:r>
      <w:r>
        <w:fldChar w:fldCharType="end"/>
      </w:r>
    </w:p>
    <w:p w:rsidR="00E1452C" w:rsidRDefault="00E1452C">
      <w:pPr>
        <w:pStyle w:val="TOC8"/>
        <w:rPr>
          <w:rFonts w:asciiTheme="minorHAnsi" w:eastAsiaTheme="minorEastAsia" w:hAnsiTheme="minorHAnsi" w:cstheme="minorBidi"/>
          <w:szCs w:val="22"/>
        </w:rPr>
      </w:pPr>
      <w:r>
        <w:t>18.</w:t>
      </w:r>
      <w:r>
        <w:tab/>
        <w:t>Who can issue c</w:t>
      </w:r>
      <w:r w:rsidRPr="00FE3DA3">
        <w:rPr>
          <w:snapToGrid w:val="0"/>
        </w:rPr>
        <w:t>ertificates of inspection</w:t>
      </w:r>
      <w:r>
        <w:tab/>
      </w:r>
      <w:r>
        <w:fldChar w:fldCharType="begin"/>
      </w:r>
      <w:r>
        <w:instrText xml:space="preserve"> PAGEREF _Toc75875547 \h </w:instrText>
      </w:r>
      <w:r>
        <w:fldChar w:fldCharType="separate"/>
      </w:r>
      <w:r w:rsidR="00337078">
        <w:t>19</w:t>
      </w:r>
      <w:r>
        <w:fldChar w:fldCharType="end"/>
      </w:r>
    </w:p>
    <w:p w:rsidR="00E1452C" w:rsidRDefault="00E1452C">
      <w:pPr>
        <w:pStyle w:val="TOC8"/>
        <w:rPr>
          <w:rFonts w:asciiTheme="minorHAnsi" w:eastAsiaTheme="minorEastAsia" w:hAnsiTheme="minorHAnsi" w:cstheme="minorBidi"/>
          <w:szCs w:val="22"/>
        </w:rPr>
      </w:pPr>
      <w:r>
        <w:t>19.</w:t>
      </w:r>
      <w:r>
        <w:tab/>
        <w:t>Certain vehicle examiners to display authorisation at inspection stations</w:t>
      </w:r>
      <w:r>
        <w:tab/>
      </w:r>
      <w:r>
        <w:fldChar w:fldCharType="begin"/>
      </w:r>
      <w:r>
        <w:instrText xml:space="preserve"> PAGEREF _Toc75875548 \h </w:instrText>
      </w:r>
      <w:r>
        <w:fldChar w:fldCharType="separate"/>
      </w:r>
      <w:r w:rsidR="00337078">
        <w:t>19</w:t>
      </w:r>
      <w:r>
        <w:fldChar w:fldCharType="end"/>
      </w:r>
    </w:p>
    <w:p w:rsidR="00E1452C" w:rsidRDefault="00E1452C">
      <w:pPr>
        <w:pStyle w:val="TOC8"/>
        <w:rPr>
          <w:rFonts w:asciiTheme="minorHAnsi" w:eastAsiaTheme="minorEastAsia" w:hAnsiTheme="minorHAnsi" w:cstheme="minorBidi"/>
          <w:szCs w:val="22"/>
        </w:rPr>
      </w:pPr>
      <w:r>
        <w:lastRenderedPageBreak/>
        <w:t>20.</w:t>
      </w:r>
      <w:r>
        <w:tab/>
        <w:t>Place of vehicle examination</w:t>
      </w:r>
      <w:r>
        <w:tab/>
      </w:r>
      <w:r>
        <w:fldChar w:fldCharType="begin"/>
      </w:r>
      <w:r>
        <w:instrText xml:space="preserve"> PAGEREF _Toc75875549 \h </w:instrText>
      </w:r>
      <w:r>
        <w:fldChar w:fldCharType="separate"/>
      </w:r>
      <w:r w:rsidR="00337078">
        <w:t>19</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rsidR="00E1452C" w:rsidRDefault="00E1452C">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_Toc75875551 \h </w:instrText>
      </w:r>
      <w:r>
        <w:fldChar w:fldCharType="separate"/>
      </w:r>
      <w:r w:rsidR="00337078">
        <w:t>20</w:t>
      </w:r>
      <w:r>
        <w:fldChar w:fldCharType="end"/>
      </w:r>
    </w:p>
    <w:p w:rsidR="00E1452C" w:rsidRDefault="00E1452C">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_Toc75875552 \h </w:instrText>
      </w:r>
      <w:r>
        <w:fldChar w:fldCharType="separate"/>
      </w:r>
      <w:r w:rsidR="00337078">
        <w:t>20</w:t>
      </w:r>
      <w:r>
        <w:fldChar w:fldCharType="end"/>
      </w:r>
    </w:p>
    <w:p w:rsidR="00E1452C" w:rsidRDefault="00E1452C">
      <w:pPr>
        <w:pStyle w:val="TOC8"/>
        <w:rPr>
          <w:rFonts w:asciiTheme="minorHAnsi" w:eastAsiaTheme="minorEastAsia" w:hAnsiTheme="minorHAnsi" w:cstheme="minorBidi"/>
          <w:szCs w:val="22"/>
        </w:rPr>
      </w:pPr>
      <w:r>
        <w:t>23.</w:t>
      </w:r>
      <w:r>
        <w:tab/>
      </w:r>
      <w:r w:rsidRPr="00FE3DA3">
        <w:rPr>
          <w:snapToGrid w:val="0"/>
        </w:rPr>
        <w:t>Proof of ownership</w:t>
      </w:r>
      <w:r>
        <w:tab/>
      </w:r>
      <w:r>
        <w:fldChar w:fldCharType="begin"/>
      </w:r>
      <w:r>
        <w:instrText xml:space="preserve"> PAGEREF _Toc75875553 \h </w:instrText>
      </w:r>
      <w:r>
        <w:fldChar w:fldCharType="separate"/>
      </w:r>
      <w:r w:rsidR="00337078">
        <w:t>20</w:t>
      </w:r>
      <w:r>
        <w:fldChar w:fldCharType="end"/>
      </w:r>
    </w:p>
    <w:p w:rsidR="00E1452C" w:rsidRDefault="00E1452C">
      <w:pPr>
        <w:pStyle w:val="TOC8"/>
        <w:rPr>
          <w:rFonts w:asciiTheme="minorHAnsi" w:eastAsiaTheme="minorEastAsia" w:hAnsiTheme="minorHAnsi" w:cstheme="minorBidi"/>
          <w:szCs w:val="22"/>
        </w:rPr>
      </w:pPr>
      <w:r>
        <w:t>24.</w:t>
      </w:r>
      <w:r>
        <w:tab/>
        <w:t>Examination</w:t>
      </w:r>
      <w:r w:rsidRPr="00FE3DA3">
        <w:rPr>
          <w:snapToGrid w:val="0"/>
        </w:rPr>
        <w:t xml:space="preserve"> for licensing purposes</w:t>
      </w:r>
      <w:r>
        <w:tab/>
      </w:r>
      <w:r>
        <w:fldChar w:fldCharType="begin"/>
      </w:r>
      <w:r>
        <w:instrText xml:space="preserve"> PAGEREF _Toc75875554 \h </w:instrText>
      </w:r>
      <w:r>
        <w:fldChar w:fldCharType="separate"/>
      </w:r>
      <w:r w:rsidR="00337078">
        <w:t>20</w:t>
      </w:r>
      <w:r>
        <w:fldChar w:fldCharType="end"/>
      </w:r>
    </w:p>
    <w:p w:rsidR="00E1452C" w:rsidRDefault="00E1452C">
      <w:pPr>
        <w:pStyle w:val="TOC8"/>
        <w:rPr>
          <w:rFonts w:asciiTheme="minorHAnsi" w:eastAsiaTheme="minorEastAsia" w:hAnsiTheme="minorHAnsi" w:cstheme="minorBidi"/>
          <w:szCs w:val="22"/>
        </w:rPr>
      </w:pPr>
      <w:r>
        <w:t>26.</w:t>
      </w:r>
      <w:r>
        <w:tab/>
      </w:r>
      <w:r w:rsidRPr="00FE3DA3">
        <w:rPr>
          <w:snapToGrid w:val="0"/>
        </w:rPr>
        <w:t>Weighbridge record</w:t>
      </w:r>
      <w:r>
        <w:tab/>
      </w:r>
      <w:r>
        <w:fldChar w:fldCharType="begin"/>
      </w:r>
      <w:r>
        <w:instrText xml:space="preserve"> PAGEREF _Toc75875555 \h </w:instrText>
      </w:r>
      <w:r>
        <w:fldChar w:fldCharType="separate"/>
      </w:r>
      <w:r w:rsidR="00337078">
        <w:t>21</w:t>
      </w:r>
      <w:r>
        <w:fldChar w:fldCharType="end"/>
      </w:r>
    </w:p>
    <w:p w:rsidR="00E1452C" w:rsidRDefault="00E1452C">
      <w:pPr>
        <w:pStyle w:val="TOC8"/>
        <w:rPr>
          <w:rFonts w:asciiTheme="minorHAnsi" w:eastAsiaTheme="minorEastAsia" w:hAnsiTheme="minorHAnsi" w:cstheme="minorBidi"/>
          <w:szCs w:val="22"/>
        </w:rPr>
      </w:pPr>
      <w:r>
        <w:t>27.</w:t>
      </w:r>
      <w:r>
        <w:tab/>
        <w:t>E</w:t>
      </w:r>
      <w:r w:rsidRPr="00FE3DA3">
        <w:rPr>
          <w:snapToGrid w:val="0"/>
        </w:rPr>
        <w:t>ngine and vehicle identification numbers</w:t>
      </w:r>
      <w:r>
        <w:tab/>
      </w:r>
      <w:r>
        <w:fldChar w:fldCharType="begin"/>
      </w:r>
      <w:r>
        <w:instrText xml:space="preserve"> PAGEREF _Toc75875556 \h </w:instrText>
      </w:r>
      <w:r>
        <w:fldChar w:fldCharType="separate"/>
      </w:r>
      <w:r w:rsidR="00337078">
        <w:t>21</w:t>
      </w:r>
      <w:r>
        <w:fldChar w:fldCharType="end"/>
      </w:r>
    </w:p>
    <w:p w:rsidR="00E1452C" w:rsidRDefault="00E1452C">
      <w:pPr>
        <w:pStyle w:val="TOC8"/>
        <w:rPr>
          <w:rFonts w:asciiTheme="minorHAnsi" w:eastAsiaTheme="minorEastAsia" w:hAnsiTheme="minorHAnsi" w:cstheme="minorBidi"/>
          <w:szCs w:val="22"/>
        </w:rPr>
      </w:pPr>
      <w:r>
        <w:t>28.</w:t>
      </w:r>
      <w:r>
        <w:tab/>
      </w:r>
      <w:r w:rsidRPr="00FE3DA3">
        <w:rPr>
          <w:snapToGrid w:val="0"/>
        </w:rPr>
        <w:t>Form of licence</w:t>
      </w:r>
      <w:r>
        <w:tab/>
      </w:r>
      <w:r>
        <w:fldChar w:fldCharType="begin"/>
      </w:r>
      <w:r>
        <w:instrText xml:space="preserve"> PAGEREF _Toc75875557 \h </w:instrText>
      </w:r>
      <w:r>
        <w:fldChar w:fldCharType="separate"/>
      </w:r>
      <w:r w:rsidR="00337078">
        <w:t>22</w:t>
      </w:r>
      <w:r>
        <w:fldChar w:fldCharType="end"/>
      </w:r>
    </w:p>
    <w:p w:rsidR="00E1452C" w:rsidRDefault="00E1452C">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_Toc75875558 \h </w:instrText>
      </w:r>
      <w:r>
        <w:fldChar w:fldCharType="separate"/>
      </w:r>
      <w:r w:rsidR="00337078">
        <w:t>22</w:t>
      </w:r>
      <w:r>
        <w:fldChar w:fldCharType="end"/>
      </w:r>
    </w:p>
    <w:p w:rsidR="00E1452C" w:rsidRDefault="00E1452C">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_Toc75875559 \h </w:instrText>
      </w:r>
      <w:r>
        <w:fldChar w:fldCharType="separate"/>
      </w:r>
      <w:r w:rsidR="00337078">
        <w:t>23</w:t>
      </w:r>
      <w:r>
        <w:fldChar w:fldCharType="end"/>
      </w:r>
    </w:p>
    <w:p w:rsidR="00E1452C" w:rsidRDefault="00E1452C">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_Toc75875560 \h </w:instrText>
      </w:r>
      <w:r>
        <w:fldChar w:fldCharType="separate"/>
      </w:r>
      <w:r w:rsidR="00337078">
        <w:t>24</w:t>
      </w:r>
      <w:r>
        <w:fldChar w:fldCharType="end"/>
      </w:r>
    </w:p>
    <w:p w:rsidR="00E1452C" w:rsidRDefault="00E1452C">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_Toc75875561 \h </w:instrText>
      </w:r>
      <w:r>
        <w:fldChar w:fldCharType="separate"/>
      </w:r>
      <w:r w:rsidR="00337078">
        <w:t>25</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4 — Classification of vehicle licences</w:t>
      </w:r>
    </w:p>
    <w:p w:rsidR="00E1452C" w:rsidRDefault="00E1452C">
      <w:pPr>
        <w:pStyle w:val="TOC8"/>
        <w:rPr>
          <w:rFonts w:asciiTheme="minorHAnsi" w:eastAsiaTheme="minorEastAsia" w:hAnsiTheme="minorHAnsi" w:cstheme="minorBidi"/>
          <w:szCs w:val="22"/>
        </w:rPr>
      </w:pPr>
      <w:r>
        <w:t>33.</w:t>
      </w:r>
      <w:r>
        <w:tab/>
      </w:r>
      <w:r w:rsidRPr="00FE3DA3">
        <w:rPr>
          <w:snapToGrid w:val="0"/>
        </w:rPr>
        <w:t>Classes of vehicle licences</w:t>
      </w:r>
      <w:r>
        <w:tab/>
      </w:r>
      <w:r>
        <w:fldChar w:fldCharType="begin"/>
      </w:r>
      <w:r>
        <w:instrText xml:space="preserve"> PAGEREF _Toc75875563 \h </w:instrText>
      </w:r>
      <w:r>
        <w:fldChar w:fldCharType="separate"/>
      </w:r>
      <w:r w:rsidR="00337078">
        <w:t>25</w:t>
      </w:r>
      <w:r>
        <w:fldChar w:fldCharType="end"/>
      </w:r>
    </w:p>
    <w:p w:rsidR="00E1452C" w:rsidRDefault="00E1452C">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_Toc75875564 \h </w:instrText>
      </w:r>
      <w:r>
        <w:fldChar w:fldCharType="separate"/>
      </w:r>
      <w:r w:rsidR="00337078">
        <w:t>25</w:t>
      </w:r>
      <w:r>
        <w:fldChar w:fldCharType="end"/>
      </w:r>
    </w:p>
    <w:p w:rsidR="00E1452C" w:rsidRDefault="00E1452C">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_Toc75875565 \h </w:instrText>
      </w:r>
      <w:r>
        <w:fldChar w:fldCharType="separate"/>
      </w:r>
      <w:r w:rsidR="00337078">
        <w:t>25</w:t>
      </w:r>
      <w:r>
        <w:fldChar w:fldCharType="end"/>
      </w:r>
    </w:p>
    <w:p w:rsidR="00E1452C" w:rsidRDefault="00E1452C">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_Toc75875566 \h </w:instrText>
      </w:r>
      <w:r>
        <w:fldChar w:fldCharType="separate"/>
      </w:r>
      <w:r w:rsidR="00337078">
        <w:t>26</w:t>
      </w:r>
      <w:r>
        <w:fldChar w:fldCharType="end"/>
      </w:r>
    </w:p>
    <w:p w:rsidR="00E1452C" w:rsidRDefault="00E1452C">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_Toc75875567 \h </w:instrText>
      </w:r>
      <w:r>
        <w:fldChar w:fldCharType="separate"/>
      </w:r>
      <w:r w:rsidR="00337078">
        <w:t>27</w:t>
      </w:r>
      <w:r>
        <w:fldChar w:fldCharType="end"/>
      </w:r>
    </w:p>
    <w:p w:rsidR="00E1452C" w:rsidRDefault="00E1452C">
      <w:pPr>
        <w:pStyle w:val="TOC8"/>
        <w:rPr>
          <w:rFonts w:asciiTheme="minorHAnsi" w:eastAsiaTheme="minorEastAsia" w:hAnsiTheme="minorHAnsi" w:cstheme="minorBidi"/>
          <w:szCs w:val="22"/>
        </w:rPr>
      </w:pPr>
      <w:r>
        <w:t>38.</w:t>
      </w:r>
      <w:r>
        <w:tab/>
      </w:r>
      <w:r w:rsidRPr="00FE3DA3">
        <w:rPr>
          <w:snapToGrid w:val="0"/>
        </w:rPr>
        <w:t>Classes of licences for heavy vehicles</w:t>
      </w:r>
      <w:r>
        <w:tab/>
      </w:r>
      <w:r>
        <w:fldChar w:fldCharType="begin"/>
      </w:r>
      <w:r>
        <w:instrText xml:space="preserve"> PAGEREF _Toc75875568 \h </w:instrText>
      </w:r>
      <w:r>
        <w:fldChar w:fldCharType="separate"/>
      </w:r>
      <w:r w:rsidR="00337078">
        <w:t>27</w:t>
      </w:r>
      <w:r>
        <w:fldChar w:fldCharType="end"/>
      </w:r>
    </w:p>
    <w:p w:rsidR="00E1452C" w:rsidRDefault="00E1452C">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_Toc75875569 \h </w:instrText>
      </w:r>
      <w:r>
        <w:fldChar w:fldCharType="separate"/>
      </w:r>
      <w:r w:rsidR="00337078">
        <w:t>31</w:t>
      </w:r>
      <w:r>
        <w:fldChar w:fldCharType="end"/>
      </w:r>
    </w:p>
    <w:p w:rsidR="00E1452C" w:rsidRDefault="00E1452C">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_Toc75875570 \h </w:instrText>
      </w:r>
      <w:r>
        <w:fldChar w:fldCharType="separate"/>
      </w:r>
      <w:r w:rsidR="00337078">
        <w:t>32</w:t>
      </w:r>
      <w:r>
        <w:fldChar w:fldCharType="end"/>
      </w:r>
    </w:p>
    <w:p w:rsidR="00E1452C" w:rsidRDefault="00E1452C">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_Toc75875571 \h </w:instrText>
      </w:r>
      <w:r>
        <w:fldChar w:fldCharType="separate"/>
      </w:r>
      <w:r w:rsidR="00337078">
        <w:t>32</w:t>
      </w:r>
      <w:r>
        <w:fldChar w:fldCharType="end"/>
      </w:r>
    </w:p>
    <w:p w:rsidR="00E1452C" w:rsidRDefault="00E1452C">
      <w:pPr>
        <w:pStyle w:val="TOC8"/>
        <w:rPr>
          <w:rFonts w:asciiTheme="minorHAnsi" w:eastAsiaTheme="minorEastAsia" w:hAnsiTheme="minorHAnsi" w:cstheme="minorBidi"/>
          <w:szCs w:val="22"/>
        </w:rPr>
      </w:pPr>
      <w:r>
        <w:t>42.</w:t>
      </w:r>
      <w:r>
        <w:tab/>
        <w:t>Vehicle l</w:t>
      </w:r>
      <w:r w:rsidRPr="00FE3DA3">
        <w:rPr>
          <w:snapToGrid w:val="0"/>
        </w:rPr>
        <w:t>icence to be carried, produced in certain cases</w:t>
      </w:r>
      <w:r>
        <w:tab/>
      </w:r>
      <w:r>
        <w:fldChar w:fldCharType="begin"/>
      </w:r>
      <w:r>
        <w:instrText xml:space="preserve"> PAGEREF _Toc75875572 \h </w:instrText>
      </w:r>
      <w:r>
        <w:fldChar w:fldCharType="separate"/>
      </w:r>
      <w:r w:rsidR="00337078">
        <w:t>33</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5 — Permits for unlicensed vehicles</w:t>
      </w:r>
    </w:p>
    <w:p w:rsidR="00E1452C" w:rsidRDefault="00E1452C">
      <w:pPr>
        <w:pStyle w:val="TOC8"/>
        <w:rPr>
          <w:rFonts w:asciiTheme="minorHAnsi" w:eastAsiaTheme="minorEastAsia" w:hAnsiTheme="minorHAnsi" w:cstheme="minorBidi"/>
          <w:szCs w:val="22"/>
        </w:rPr>
      </w:pPr>
      <w:r>
        <w:t>43.</w:t>
      </w:r>
      <w:r>
        <w:tab/>
        <w:t>Term used:</w:t>
      </w:r>
      <w:r w:rsidRPr="00FE3DA3">
        <w:rPr>
          <w:snapToGrid w:val="0"/>
        </w:rPr>
        <w:t xml:space="preserve"> permit</w:t>
      </w:r>
      <w:r>
        <w:tab/>
      </w:r>
      <w:r>
        <w:fldChar w:fldCharType="begin"/>
      </w:r>
      <w:r>
        <w:instrText xml:space="preserve"> PAGEREF _Toc75875574 \h </w:instrText>
      </w:r>
      <w:r>
        <w:fldChar w:fldCharType="separate"/>
      </w:r>
      <w:r w:rsidR="00337078">
        <w:t>33</w:t>
      </w:r>
      <w:r>
        <w:fldChar w:fldCharType="end"/>
      </w:r>
    </w:p>
    <w:p w:rsidR="00E1452C" w:rsidRDefault="00E1452C">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_Toc75875575 \h </w:instrText>
      </w:r>
      <w:r>
        <w:fldChar w:fldCharType="separate"/>
      </w:r>
      <w:r w:rsidR="00337078">
        <w:t>33</w:t>
      </w:r>
      <w:r>
        <w:fldChar w:fldCharType="end"/>
      </w:r>
    </w:p>
    <w:p w:rsidR="00E1452C" w:rsidRDefault="00E1452C">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_Toc75875576 \h </w:instrText>
      </w:r>
      <w:r>
        <w:fldChar w:fldCharType="separate"/>
      </w:r>
      <w:r w:rsidR="00337078">
        <w:t>34</w:t>
      </w:r>
      <w:r>
        <w:fldChar w:fldCharType="end"/>
      </w:r>
    </w:p>
    <w:p w:rsidR="00E1452C" w:rsidRDefault="00E1452C">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_Toc75875577 \h </w:instrText>
      </w:r>
      <w:r>
        <w:fldChar w:fldCharType="separate"/>
      </w:r>
      <w:r w:rsidR="00337078">
        <w:t>35</w:t>
      </w:r>
      <w:r>
        <w:fldChar w:fldCharType="end"/>
      </w:r>
    </w:p>
    <w:p w:rsidR="00E1452C" w:rsidRDefault="00E1452C">
      <w:pPr>
        <w:pStyle w:val="TOC8"/>
        <w:rPr>
          <w:rFonts w:asciiTheme="minorHAnsi" w:eastAsiaTheme="minorEastAsia" w:hAnsiTheme="minorHAnsi" w:cstheme="minorBidi"/>
          <w:szCs w:val="22"/>
        </w:rPr>
      </w:pPr>
      <w:r>
        <w:t>47.</w:t>
      </w:r>
      <w:r>
        <w:tab/>
        <w:t>Display of s</w:t>
      </w:r>
      <w:r w:rsidRPr="00FE3DA3">
        <w:rPr>
          <w:snapToGrid w:val="0"/>
        </w:rPr>
        <w:t>igns</w:t>
      </w:r>
      <w:r>
        <w:tab/>
      </w:r>
      <w:r>
        <w:fldChar w:fldCharType="begin"/>
      </w:r>
      <w:r>
        <w:instrText xml:space="preserve"> PAGEREF _Toc75875578 \h </w:instrText>
      </w:r>
      <w:r>
        <w:fldChar w:fldCharType="separate"/>
      </w:r>
      <w:r w:rsidR="00337078">
        <w:t>35</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lastRenderedPageBreak/>
        <w:t>Division 6 — Miscellaneous</w:t>
      </w:r>
    </w:p>
    <w:p w:rsidR="00E1452C" w:rsidRDefault="00E1452C">
      <w:pPr>
        <w:pStyle w:val="TOC8"/>
        <w:rPr>
          <w:rFonts w:asciiTheme="minorHAnsi" w:eastAsiaTheme="minorEastAsia" w:hAnsiTheme="minorHAnsi" w:cstheme="minorBidi"/>
          <w:szCs w:val="22"/>
        </w:rPr>
      </w:pPr>
      <w:r>
        <w:t>48.</w:t>
      </w:r>
      <w:r>
        <w:tab/>
        <w:t>D</w:t>
      </w:r>
      <w:r w:rsidRPr="00FE3DA3">
        <w:rPr>
          <w:snapToGrid w:val="0"/>
        </w:rPr>
        <w:t>uplicate or certified copy of vehicle licence document</w:t>
      </w:r>
      <w:r>
        <w:tab/>
      </w:r>
      <w:r>
        <w:fldChar w:fldCharType="begin"/>
      </w:r>
      <w:r>
        <w:instrText xml:space="preserve"> PAGEREF _Toc75875580 \h </w:instrText>
      </w:r>
      <w:r>
        <w:fldChar w:fldCharType="separate"/>
      </w:r>
      <w:r w:rsidR="00337078">
        <w:t>36</w:t>
      </w:r>
      <w:r>
        <w:fldChar w:fldCharType="end"/>
      </w:r>
    </w:p>
    <w:p w:rsidR="00E1452C" w:rsidRDefault="00E1452C">
      <w:pPr>
        <w:pStyle w:val="TOC8"/>
        <w:rPr>
          <w:rFonts w:asciiTheme="minorHAnsi" w:eastAsiaTheme="minorEastAsia" w:hAnsiTheme="minorHAnsi" w:cstheme="minorBidi"/>
          <w:szCs w:val="22"/>
        </w:rPr>
      </w:pPr>
      <w:r>
        <w:t>49.</w:t>
      </w:r>
      <w:r>
        <w:tab/>
      </w:r>
      <w:r w:rsidRPr="00FE3DA3">
        <w:rPr>
          <w:snapToGrid w:val="0"/>
        </w:rPr>
        <w:t>Licences not current</w:t>
      </w:r>
      <w:r>
        <w:tab/>
      </w:r>
      <w:r>
        <w:fldChar w:fldCharType="begin"/>
      </w:r>
      <w:r>
        <w:instrText xml:space="preserve"> PAGEREF _Toc75875581 \h </w:instrText>
      </w:r>
      <w:r>
        <w:fldChar w:fldCharType="separate"/>
      </w:r>
      <w:r w:rsidR="00337078">
        <w:t>36</w:t>
      </w:r>
      <w:r>
        <w:fldChar w:fldCharType="end"/>
      </w:r>
    </w:p>
    <w:p w:rsidR="00E1452C" w:rsidRDefault="00E1452C">
      <w:pPr>
        <w:pStyle w:val="TOC8"/>
        <w:rPr>
          <w:rFonts w:asciiTheme="minorHAnsi" w:eastAsiaTheme="minorEastAsia" w:hAnsiTheme="minorHAnsi" w:cstheme="minorBidi"/>
          <w:szCs w:val="22"/>
        </w:rPr>
      </w:pPr>
      <w:r>
        <w:t>50.</w:t>
      </w:r>
      <w:r>
        <w:tab/>
      </w:r>
      <w:r w:rsidRPr="00FE3DA3">
        <w:rPr>
          <w:snapToGrid w:val="0"/>
        </w:rPr>
        <w:t>Change of personal details</w:t>
      </w:r>
      <w:r>
        <w:tab/>
      </w:r>
      <w:r>
        <w:fldChar w:fldCharType="begin"/>
      </w:r>
      <w:r>
        <w:instrText xml:space="preserve"> PAGEREF _Toc75875582 \h </w:instrText>
      </w:r>
      <w:r>
        <w:fldChar w:fldCharType="separate"/>
      </w:r>
      <w:r w:rsidR="00337078">
        <w:t>36</w:t>
      </w:r>
      <w:r>
        <w:fldChar w:fldCharType="end"/>
      </w:r>
    </w:p>
    <w:p w:rsidR="00E1452C" w:rsidRDefault="00E1452C">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_Toc75875583 \h </w:instrText>
      </w:r>
      <w:r>
        <w:fldChar w:fldCharType="separate"/>
      </w:r>
      <w:r w:rsidR="00337078">
        <w:t>37</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7 — Vehicle licence charges</w:t>
      </w:r>
    </w:p>
    <w:p w:rsidR="00E1452C" w:rsidRDefault="00E1452C">
      <w:pPr>
        <w:pStyle w:val="TOC6"/>
        <w:tabs>
          <w:tab w:val="right" w:leader="dot" w:pos="7077"/>
        </w:tabs>
        <w:rPr>
          <w:rFonts w:asciiTheme="minorHAnsi" w:eastAsiaTheme="minorEastAsia" w:hAnsiTheme="minorHAnsi" w:cstheme="minorBidi"/>
          <w:b w:val="0"/>
          <w:sz w:val="22"/>
          <w:szCs w:val="22"/>
        </w:rPr>
      </w:pPr>
      <w:r>
        <w:t>Subdivision 1 — General</w:t>
      </w:r>
    </w:p>
    <w:p w:rsidR="00E1452C" w:rsidRDefault="00E1452C">
      <w:pPr>
        <w:pStyle w:val="TOC8"/>
        <w:rPr>
          <w:rFonts w:asciiTheme="minorHAnsi" w:eastAsiaTheme="minorEastAsia" w:hAnsiTheme="minorHAnsi" w:cstheme="minorBidi"/>
          <w:szCs w:val="22"/>
        </w:rPr>
      </w:pPr>
      <w:r>
        <w:t>52.</w:t>
      </w:r>
      <w:r>
        <w:tab/>
        <w:t>Terms used</w:t>
      </w:r>
      <w:r>
        <w:tab/>
      </w:r>
      <w:r>
        <w:fldChar w:fldCharType="begin"/>
      </w:r>
      <w:r>
        <w:instrText xml:space="preserve"> PAGEREF _Toc75875586 \h </w:instrText>
      </w:r>
      <w:r>
        <w:fldChar w:fldCharType="separate"/>
      </w:r>
      <w:r w:rsidR="00337078">
        <w:t>37</w:t>
      </w:r>
      <w:r>
        <w:fldChar w:fldCharType="end"/>
      </w:r>
    </w:p>
    <w:p w:rsidR="00E1452C" w:rsidRDefault="00E1452C">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_Toc75875587 \h </w:instrText>
      </w:r>
      <w:r>
        <w:fldChar w:fldCharType="separate"/>
      </w:r>
      <w:r w:rsidR="00337078">
        <w:t>38</w:t>
      </w:r>
      <w:r>
        <w:fldChar w:fldCharType="end"/>
      </w:r>
    </w:p>
    <w:p w:rsidR="00E1452C" w:rsidRDefault="00E1452C">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_Toc75875588 \h </w:instrText>
      </w:r>
      <w:r>
        <w:fldChar w:fldCharType="separate"/>
      </w:r>
      <w:r w:rsidR="00337078">
        <w:t>38</w:t>
      </w:r>
      <w:r>
        <w:fldChar w:fldCharType="end"/>
      </w:r>
    </w:p>
    <w:p w:rsidR="00E1452C" w:rsidRDefault="00E1452C">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rsidR="00E1452C" w:rsidRDefault="00E1452C">
      <w:pPr>
        <w:pStyle w:val="TOC8"/>
        <w:rPr>
          <w:rFonts w:asciiTheme="minorHAnsi" w:eastAsiaTheme="minorEastAsia" w:hAnsiTheme="minorHAnsi" w:cstheme="minorBidi"/>
          <w:szCs w:val="22"/>
        </w:rPr>
      </w:pPr>
      <w:r>
        <w:t>55.</w:t>
      </w:r>
      <w:r>
        <w:tab/>
        <w:t>Application</w:t>
      </w:r>
      <w:r>
        <w:tab/>
      </w:r>
      <w:r>
        <w:fldChar w:fldCharType="begin"/>
      </w:r>
      <w:r>
        <w:instrText xml:space="preserve"> PAGEREF _Toc75875590 \h </w:instrText>
      </w:r>
      <w:r>
        <w:fldChar w:fldCharType="separate"/>
      </w:r>
      <w:r w:rsidR="00337078">
        <w:t>39</w:t>
      </w:r>
      <w:r>
        <w:fldChar w:fldCharType="end"/>
      </w:r>
    </w:p>
    <w:p w:rsidR="00E1452C" w:rsidRDefault="00E1452C">
      <w:pPr>
        <w:pStyle w:val="TOC8"/>
        <w:rPr>
          <w:rFonts w:asciiTheme="minorHAnsi" w:eastAsiaTheme="minorEastAsia" w:hAnsiTheme="minorHAnsi" w:cstheme="minorBidi"/>
          <w:szCs w:val="22"/>
        </w:rPr>
      </w:pPr>
      <w:r>
        <w:t>56.</w:t>
      </w:r>
      <w:r>
        <w:tab/>
        <w:t>Licence fees: calculation and reduction</w:t>
      </w:r>
      <w:r>
        <w:tab/>
      </w:r>
      <w:r>
        <w:fldChar w:fldCharType="begin"/>
      </w:r>
      <w:r>
        <w:instrText xml:space="preserve"> PAGEREF _Toc75875591 \h </w:instrText>
      </w:r>
      <w:r>
        <w:fldChar w:fldCharType="separate"/>
      </w:r>
      <w:r w:rsidR="00337078">
        <w:t>39</w:t>
      </w:r>
      <w:r>
        <w:fldChar w:fldCharType="end"/>
      </w:r>
    </w:p>
    <w:p w:rsidR="00E1452C" w:rsidRDefault="00E1452C">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_Toc75875592 \h </w:instrText>
      </w:r>
      <w:r>
        <w:fldChar w:fldCharType="separate"/>
      </w:r>
      <w:r w:rsidR="00337078">
        <w:t>40</w:t>
      </w:r>
      <w:r>
        <w:fldChar w:fldCharType="end"/>
      </w:r>
    </w:p>
    <w:p w:rsidR="00E1452C" w:rsidRDefault="00E1452C">
      <w:pPr>
        <w:pStyle w:val="TOC8"/>
        <w:rPr>
          <w:rFonts w:asciiTheme="minorHAnsi" w:eastAsiaTheme="minorEastAsia" w:hAnsiTheme="minorHAnsi" w:cstheme="minorBidi"/>
          <w:szCs w:val="22"/>
        </w:rPr>
      </w:pPr>
      <w:r>
        <w:t>58.</w:t>
      </w:r>
      <w:r>
        <w:tab/>
        <w:t>Prime mover</w:t>
      </w:r>
      <w:r>
        <w:tab/>
      </w:r>
      <w:r>
        <w:fldChar w:fldCharType="begin"/>
      </w:r>
      <w:r>
        <w:instrText xml:space="preserve"> PAGEREF _Toc75875593 \h </w:instrText>
      </w:r>
      <w:r>
        <w:fldChar w:fldCharType="separate"/>
      </w:r>
      <w:r w:rsidR="00337078">
        <w:t>40</w:t>
      </w:r>
      <w:r>
        <w:fldChar w:fldCharType="end"/>
      </w:r>
    </w:p>
    <w:p w:rsidR="00E1452C" w:rsidRDefault="00E1452C">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_Toc75875594 \h </w:instrText>
      </w:r>
      <w:r>
        <w:fldChar w:fldCharType="separate"/>
      </w:r>
      <w:r w:rsidR="00337078">
        <w:t>40</w:t>
      </w:r>
      <w:r>
        <w:fldChar w:fldCharType="end"/>
      </w:r>
    </w:p>
    <w:p w:rsidR="00E1452C" w:rsidRDefault="00E1452C">
      <w:pPr>
        <w:pStyle w:val="TOC8"/>
        <w:rPr>
          <w:rFonts w:asciiTheme="minorHAnsi" w:eastAsiaTheme="minorEastAsia" w:hAnsiTheme="minorHAnsi" w:cstheme="minorBidi"/>
          <w:szCs w:val="22"/>
        </w:rPr>
      </w:pPr>
      <w:r>
        <w:t>60.</w:t>
      </w:r>
      <w:r>
        <w:tab/>
        <w:t>Motor cycle</w:t>
      </w:r>
      <w:r>
        <w:tab/>
      </w:r>
      <w:r>
        <w:fldChar w:fldCharType="begin"/>
      </w:r>
      <w:r>
        <w:instrText xml:space="preserve"> PAGEREF _Toc75875595 \h </w:instrText>
      </w:r>
      <w:r>
        <w:fldChar w:fldCharType="separate"/>
      </w:r>
      <w:r w:rsidR="00337078">
        <w:t>40</w:t>
      </w:r>
      <w:r>
        <w:fldChar w:fldCharType="end"/>
      </w:r>
    </w:p>
    <w:p w:rsidR="00E1452C" w:rsidRDefault="00E1452C">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_Toc75875596 \h </w:instrText>
      </w:r>
      <w:r>
        <w:fldChar w:fldCharType="separate"/>
      </w:r>
      <w:r w:rsidR="00337078">
        <w:t>41</w:t>
      </w:r>
      <w:r>
        <w:fldChar w:fldCharType="end"/>
      </w:r>
    </w:p>
    <w:p w:rsidR="00E1452C" w:rsidRDefault="00E1452C">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rsidR="00E1452C" w:rsidRDefault="00E1452C">
      <w:pPr>
        <w:pStyle w:val="TOC8"/>
        <w:rPr>
          <w:rFonts w:asciiTheme="minorHAnsi" w:eastAsiaTheme="minorEastAsia" w:hAnsiTheme="minorHAnsi" w:cstheme="minorBidi"/>
          <w:szCs w:val="22"/>
        </w:rPr>
      </w:pPr>
      <w:r>
        <w:t>62.</w:t>
      </w:r>
      <w:r>
        <w:tab/>
        <w:t>Application</w:t>
      </w:r>
      <w:r>
        <w:tab/>
      </w:r>
      <w:r>
        <w:fldChar w:fldCharType="begin"/>
      </w:r>
      <w:r>
        <w:instrText xml:space="preserve"> PAGEREF _Toc75875598 \h </w:instrText>
      </w:r>
      <w:r>
        <w:fldChar w:fldCharType="separate"/>
      </w:r>
      <w:r w:rsidR="00337078">
        <w:t>41</w:t>
      </w:r>
      <w:r>
        <w:fldChar w:fldCharType="end"/>
      </w:r>
    </w:p>
    <w:p w:rsidR="00E1452C" w:rsidRDefault="00E1452C">
      <w:pPr>
        <w:pStyle w:val="TOC8"/>
        <w:rPr>
          <w:rFonts w:asciiTheme="minorHAnsi" w:eastAsiaTheme="minorEastAsia" w:hAnsiTheme="minorHAnsi" w:cstheme="minorBidi"/>
          <w:szCs w:val="22"/>
        </w:rPr>
      </w:pPr>
      <w:r>
        <w:t>63.</w:t>
      </w:r>
      <w:r>
        <w:tab/>
        <w:t>Car or bus</w:t>
      </w:r>
      <w:r>
        <w:tab/>
      </w:r>
      <w:r>
        <w:fldChar w:fldCharType="begin"/>
      </w:r>
      <w:r>
        <w:instrText xml:space="preserve"> PAGEREF _Toc75875599 \h </w:instrText>
      </w:r>
      <w:r>
        <w:fldChar w:fldCharType="separate"/>
      </w:r>
      <w:r w:rsidR="00337078">
        <w:t>41</w:t>
      </w:r>
      <w:r>
        <w:fldChar w:fldCharType="end"/>
      </w:r>
    </w:p>
    <w:p w:rsidR="00E1452C" w:rsidRDefault="00E1452C">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_Toc75875600 \h </w:instrText>
      </w:r>
      <w:r>
        <w:fldChar w:fldCharType="separate"/>
      </w:r>
      <w:r w:rsidR="00337078">
        <w:t>42</w:t>
      </w:r>
      <w:r>
        <w:fldChar w:fldCharType="end"/>
      </w:r>
    </w:p>
    <w:p w:rsidR="00E1452C" w:rsidRDefault="00E1452C">
      <w:pPr>
        <w:pStyle w:val="TOC8"/>
        <w:rPr>
          <w:rFonts w:asciiTheme="minorHAnsi" w:eastAsiaTheme="minorEastAsia" w:hAnsiTheme="minorHAnsi" w:cstheme="minorBidi"/>
          <w:szCs w:val="22"/>
        </w:rPr>
      </w:pPr>
      <w:r>
        <w:t>65.</w:t>
      </w:r>
      <w:r>
        <w:tab/>
        <w:t>Prime mover</w:t>
      </w:r>
      <w:r>
        <w:tab/>
      </w:r>
      <w:r>
        <w:fldChar w:fldCharType="begin"/>
      </w:r>
      <w:r>
        <w:instrText xml:space="preserve"> PAGEREF _Toc75875601 \h </w:instrText>
      </w:r>
      <w:r>
        <w:fldChar w:fldCharType="separate"/>
      </w:r>
      <w:r w:rsidR="00337078">
        <w:t>43</w:t>
      </w:r>
      <w:r>
        <w:fldChar w:fldCharType="end"/>
      </w:r>
    </w:p>
    <w:p w:rsidR="00E1452C" w:rsidRDefault="00E1452C">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_Toc75875602 \h </w:instrText>
      </w:r>
      <w:r>
        <w:fldChar w:fldCharType="separate"/>
      </w:r>
      <w:r w:rsidR="00337078">
        <w:t>44</w:t>
      </w:r>
      <w:r>
        <w:fldChar w:fldCharType="end"/>
      </w:r>
    </w:p>
    <w:p w:rsidR="00E1452C" w:rsidRDefault="00E1452C">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_Toc75875603 \h </w:instrText>
      </w:r>
      <w:r>
        <w:fldChar w:fldCharType="separate"/>
      </w:r>
      <w:r w:rsidR="00337078">
        <w:t>44</w:t>
      </w:r>
      <w:r>
        <w:fldChar w:fldCharType="end"/>
      </w:r>
    </w:p>
    <w:p w:rsidR="00E1452C" w:rsidRDefault="00E1452C">
      <w:pPr>
        <w:pStyle w:val="TOC6"/>
        <w:tabs>
          <w:tab w:val="right" w:leader="dot" w:pos="7077"/>
        </w:tabs>
        <w:rPr>
          <w:rFonts w:asciiTheme="minorHAnsi" w:eastAsiaTheme="minorEastAsia" w:hAnsiTheme="minorHAnsi" w:cstheme="minorBidi"/>
          <w:b w:val="0"/>
          <w:sz w:val="22"/>
          <w:szCs w:val="22"/>
        </w:rPr>
      </w:pPr>
      <w:r>
        <w:t>Subdivision 4 — Exemptions</w:t>
      </w:r>
    </w:p>
    <w:p w:rsidR="00E1452C" w:rsidRDefault="00E1452C">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_Toc75875605 \h </w:instrText>
      </w:r>
      <w:r>
        <w:fldChar w:fldCharType="separate"/>
      </w:r>
      <w:r w:rsidR="00337078">
        <w:t>45</w:t>
      </w:r>
      <w:r>
        <w:fldChar w:fldCharType="end"/>
      </w:r>
    </w:p>
    <w:p w:rsidR="00E1452C" w:rsidRDefault="00E1452C">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_Toc75875606 \h </w:instrText>
      </w:r>
      <w:r>
        <w:fldChar w:fldCharType="separate"/>
      </w:r>
      <w:r w:rsidR="00337078">
        <w:t>45</w:t>
      </w:r>
      <w:r>
        <w:fldChar w:fldCharType="end"/>
      </w:r>
    </w:p>
    <w:p w:rsidR="00E1452C" w:rsidRDefault="00E1452C">
      <w:pPr>
        <w:pStyle w:val="TOC8"/>
        <w:rPr>
          <w:rFonts w:asciiTheme="minorHAnsi" w:eastAsiaTheme="minorEastAsia" w:hAnsiTheme="minorHAnsi" w:cstheme="minorBidi"/>
          <w:szCs w:val="22"/>
        </w:rPr>
      </w:pPr>
      <w:r>
        <w:t>70.</w:t>
      </w:r>
      <w:r>
        <w:tab/>
        <w:t>Farm vehicles</w:t>
      </w:r>
      <w:r>
        <w:tab/>
      </w:r>
      <w:r>
        <w:fldChar w:fldCharType="begin"/>
      </w:r>
      <w:r>
        <w:instrText xml:space="preserve"> PAGEREF _Toc75875607 \h </w:instrText>
      </w:r>
      <w:r>
        <w:fldChar w:fldCharType="separate"/>
      </w:r>
      <w:r w:rsidR="00337078">
        <w:t>46</w:t>
      </w:r>
      <w:r>
        <w:fldChar w:fldCharType="end"/>
      </w:r>
    </w:p>
    <w:p w:rsidR="00E1452C" w:rsidRDefault="00E1452C">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_Toc75875608 \h </w:instrText>
      </w:r>
      <w:r>
        <w:fldChar w:fldCharType="separate"/>
      </w:r>
      <w:r w:rsidR="00337078">
        <w:t>47</w:t>
      </w:r>
      <w:r>
        <w:fldChar w:fldCharType="end"/>
      </w:r>
    </w:p>
    <w:p w:rsidR="00E1452C" w:rsidRDefault="00E1452C">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_Toc75875609 \h </w:instrText>
      </w:r>
      <w:r>
        <w:fldChar w:fldCharType="separate"/>
      </w:r>
      <w:r w:rsidR="00337078">
        <w:t>47</w:t>
      </w:r>
      <w:r>
        <w:fldChar w:fldCharType="end"/>
      </w:r>
    </w:p>
    <w:p w:rsidR="00E1452C" w:rsidRDefault="00E1452C">
      <w:pPr>
        <w:pStyle w:val="TOC6"/>
        <w:tabs>
          <w:tab w:val="right" w:leader="dot" w:pos="7077"/>
        </w:tabs>
        <w:rPr>
          <w:rFonts w:asciiTheme="minorHAnsi" w:eastAsiaTheme="minorEastAsia" w:hAnsiTheme="minorHAnsi" w:cstheme="minorBidi"/>
          <w:b w:val="0"/>
          <w:sz w:val="22"/>
          <w:szCs w:val="22"/>
        </w:rPr>
      </w:pPr>
      <w:r>
        <w:t>Subdivision 5 — Concessions</w:t>
      </w:r>
    </w:p>
    <w:p w:rsidR="00E1452C" w:rsidRDefault="00E1452C">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_Toc75875611 \h </w:instrText>
      </w:r>
      <w:r>
        <w:fldChar w:fldCharType="separate"/>
      </w:r>
      <w:r w:rsidR="00337078">
        <w:t>47</w:t>
      </w:r>
      <w:r>
        <w:fldChar w:fldCharType="end"/>
      </w:r>
    </w:p>
    <w:p w:rsidR="00E1452C" w:rsidRDefault="00E1452C">
      <w:pPr>
        <w:pStyle w:val="TOC8"/>
        <w:rPr>
          <w:rFonts w:asciiTheme="minorHAnsi" w:eastAsiaTheme="minorEastAsia" w:hAnsiTheme="minorHAnsi" w:cstheme="minorBidi"/>
          <w:szCs w:val="22"/>
        </w:rPr>
      </w:pPr>
      <w:r>
        <w:lastRenderedPageBreak/>
        <w:t>74.</w:t>
      </w:r>
      <w:r>
        <w:tab/>
        <w:t>Certain heavy vehicles used outside South</w:t>
      </w:r>
      <w:r>
        <w:noBreakHyphen/>
        <w:t>west Division</w:t>
      </w:r>
      <w:r>
        <w:tab/>
      </w:r>
      <w:r>
        <w:fldChar w:fldCharType="begin"/>
      </w:r>
      <w:r>
        <w:instrText xml:space="preserve"> PAGEREF _Toc75875612 \h </w:instrText>
      </w:r>
      <w:r>
        <w:fldChar w:fldCharType="separate"/>
      </w:r>
      <w:r w:rsidR="00337078">
        <w:t>48</w:t>
      </w:r>
      <w:r>
        <w:fldChar w:fldCharType="end"/>
      </w:r>
    </w:p>
    <w:p w:rsidR="00E1452C" w:rsidRDefault="00E1452C">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_Toc75875613 \h </w:instrText>
      </w:r>
      <w:r>
        <w:fldChar w:fldCharType="separate"/>
      </w:r>
      <w:r w:rsidR="00337078">
        <w:t>48</w:t>
      </w:r>
      <w:r>
        <w:fldChar w:fldCharType="end"/>
      </w:r>
    </w:p>
    <w:p w:rsidR="00E1452C" w:rsidRDefault="00E1452C">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_Toc75875614 \h </w:instrText>
      </w:r>
      <w:r>
        <w:fldChar w:fldCharType="separate"/>
      </w:r>
      <w:r w:rsidR="00337078">
        <w:t>48</w:t>
      </w:r>
      <w:r>
        <w:fldChar w:fldCharType="end"/>
      </w:r>
    </w:p>
    <w:p w:rsidR="00E1452C" w:rsidRDefault="00E1452C">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_Toc75875615 \h </w:instrText>
      </w:r>
      <w:r>
        <w:fldChar w:fldCharType="separate"/>
      </w:r>
      <w:r w:rsidR="00337078">
        <w:t>48</w:t>
      </w:r>
      <w:r>
        <w:fldChar w:fldCharType="end"/>
      </w:r>
    </w:p>
    <w:p w:rsidR="00E1452C" w:rsidRDefault="00E1452C">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_Toc75875616 \h </w:instrText>
      </w:r>
      <w:r>
        <w:fldChar w:fldCharType="separate"/>
      </w:r>
      <w:r w:rsidR="00337078">
        <w:t>49</w:t>
      </w:r>
      <w:r>
        <w:fldChar w:fldCharType="end"/>
      </w:r>
    </w:p>
    <w:p w:rsidR="00E1452C" w:rsidRDefault="00E1452C">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_Toc75875617 \h </w:instrText>
      </w:r>
      <w:r>
        <w:fldChar w:fldCharType="separate"/>
      </w:r>
      <w:r w:rsidR="00337078">
        <w:t>49</w:t>
      </w:r>
      <w:r>
        <w:fldChar w:fldCharType="end"/>
      </w:r>
    </w:p>
    <w:p w:rsidR="00E1452C" w:rsidRDefault="00E1452C">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_Toc75875618 \h </w:instrText>
      </w:r>
      <w:r>
        <w:fldChar w:fldCharType="separate"/>
      </w:r>
      <w:r w:rsidR="00337078">
        <w:t>50</w:t>
      </w:r>
      <w:r>
        <w:fldChar w:fldCharType="end"/>
      </w:r>
    </w:p>
    <w:p w:rsidR="00E1452C" w:rsidRDefault="00E1452C">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_Toc75875619 \h </w:instrText>
      </w:r>
      <w:r>
        <w:fldChar w:fldCharType="separate"/>
      </w:r>
      <w:r w:rsidR="00337078">
        <w:t>51</w:t>
      </w:r>
      <w:r>
        <w:fldChar w:fldCharType="end"/>
      </w:r>
    </w:p>
    <w:p w:rsidR="00E1452C" w:rsidRDefault="00E1452C">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_Toc75875620 \h </w:instrText>
      </w:r>
      <w:r>
        <w:fldChar w:fldCharType="separate"/>
      </w:r>
      <w:r w:rsidR="00337078">
        <w:t>51</w:t>
      </w:r>
      <w:r>
        <w:fldChar w:fldCharType="end"/>
      </w:r>
    </w:p>
    <w:p w:rsidR="00E1452C" w:rsidRDefault="00E1452C">
      <w:pPr>
        <w:pStyle w:val="TOC8"/>
        <w:rPr>
          <w:rFonts w:asciiTheme="minorHAnsi" w:eastAsiaTheme="minorEastAsia" w:hAnsiTheme="minorHAnsi" w:cstheme="minorBidi"/>
          <w:szCs w:val="22"/>
        </w:rPr>
      </w:pPr>
      <w:r>
        <w:t>83.</w:t>
      </w:r>
      <w:r>
        <w:tab/>
      </w:r>
      <w:r w:rsidRPr="00FE3DA3">
        <w:rPr>
          <w:snapToGrid w:val="0"/>
        </w:rPr>
        <w:t>Vehicles owned by pensioners, seniors</w:t>
      </w:r>
      <w:r>
        <w:tab/>
      </w:r>
      <w:r>
        <w:fldChar w:fldCharType="begin"/>
      </w:r>
      <w:r>
        <w:instrText xml:space="preserve"> PAGEREF _Toc75875621 \h </w:instrText>
      </w:r>
      <w:r>
        <w:fldChar w:fldCharType="separate"/>
      </w:r>
      <w:r w:rsidR="00337078">
        <w:t>52</w:t>
      </w:r>
      <w:r>
        <w:fldChar w:fldCharType="end"/>
      </w:r>
    </w:p>
    <w:p w:rsidR="00E1452C" w:rsidRDefault="00E1452C">
      <w:pPr>
        <w:pStyle w:val="TOC8"/>
        <w:rPr>
          <w:rFonts w:asciiTheme="minorHAnsi" w:eastAsiaTheme="minorEastAsia" w:hAnsiTheme="minorHAnsi" w:cstheme="minorBidi"/>
          <w:szCs w:val="22"/>
        </w:rPr>
      </w:pPr>
      <w:r>
        <w:t>84.</w:t>
      </w:r>
      <w:r>
        <w:tab/>
        <w:t>Motor homes</w:t>
      </w:r>
      <w:r>
        <w:tab/>
      </w:r>
      <w:r>
        <w:fldChar w:fldCharType="begin"/>
      </w:r>
      <w:r>
        <w:instrText xml:space="preserve"> PAGEREF _Toc75875622 \h </w:instrText>
      </w:r>
      <w:r>
        <w:fldChar w:fldCharType="separate"/>
      </w:r>
      <w:r w:rsidR="00337078">
        <w:t>52</w:t>
      </w:r>
      <w:r>
        <w:fldChar w:fldCharType="end"/>
      </w:r>
    </w:p>
    <w:p w:rsidR="00E1452C" w:rsidRDefault="00E1452C">
      <w:pPr>
        <w:pStyle w:val="TOC8"/>
        <w:rPr>
          <w:rFonts w:asciiTheme="minorHAnsi" w:eastAsiaTheme="minorEastAsia" w:hAnsiTheme="minorHAnsi" w:cstheme="minorBidi"/>
          <w:szCs w:val="22"/>
        </w:rPr>
      </w:pPr>
      <w:r>
        <w:t>84A.</w:t>
      </w:r>
      <w:r>
        <w:tab/>
        <w:t>Classic vehicles</w:t>
      </w:r>
      <w:r>
        <w:tab/>
      </w:r>
      <w:r>
        <w:fldChar w:fldCharType="begin"/>
      </w:r>
      <w:r>
        <w:instrText xml:space="preserve"> PAGEREF _Toc75875623 \h </w:instrText>
      </w:r>
      <w:r>
        <w:fldChar w:fldCharType="separate"/>
      </w:r>
      <w:r w:rsidR="00337078">
        <w:t>53</w:t>
      </w:r>
      <w:r>
        <w:fldChar w:fldCharType="end"/>
      </w:r>
    </w:p>
    <w:p w:rsidR="00E1452C" w:rsidRDefault="00E1452C">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_Toc75875624 \h </w:instrText>
      </w:r>
      <w:r>
        <w:fldChar w:fldCharType="separate"/>
      </w:r>
      <w:r w:rsidR="00337078">
        <w:t>54</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8 — Fees relating to vehicle licensing</w:t>
      </w:r>
    </w:p>
    <w:p w:rsidR="00E1452C" w:rsidRDefault="00E1452C">
      <w:pPr>
        <w:pStyle w:val="TOC6"/>
        <w:tabs>
          <w:tab w:val="right" w:leader="dot" w:pos="7077"/>
        </w:tabs>
        <w:rPr>
          <w:rFonts w:asciiTheme="minorHAnsi" w:eastAsiaTheme="minorEastAsia" w:hAnsiTheme="minorHAnsi" w:cstheme="minorBidi"/>
          <w:b w:val="0"/>
          <w:sz w:val="22"/>
          <w:szCs w:val="22"/>
        </w:rPr>
      </w:pPr>
      <w:r>
        <w:t>Subdivision 1 — Vehicle examination fees</w:t>
      </w:r>
    </w:p>
    <w:p w:rsidR="00E1452C" w:rsidRDefault="00E1452C">
      <w:pPr>
        <w:pStyle w:val="TOC8"/>
        <w:rPr>
          <w:rFonts w:asciiTheme="minorHAnsi" w:eastAsiaTheme="minorEastAsia" w:hAnsiTheme="minorHAnsi" w:cstheme="minorBidi"/>
          <w:szCs w:val="22"/>
        </w:rPr>
      </w:pPr>
      <w:r>
        <w:t>86.</w:t>
      </w:r>
      <w:r>
        <w:tab/>
        <w:t>Terms used</w:t>
      </w:r>
      <w:r>
        <w:tab/>
      </w:r>
      <w:r>
        <w:fldChar w:fldCharType="begin"/>
      </w:r>
      <w:r>
        <w:instrText xml:space="preserve"> PAGEREF _Toc75875627 \h </w:instrText>
      </w:r>
      <w:r>
        <w:fldChar w:fldCharType="separate"/>
      </w:r>
      <w:r w:rsidR="00337078">
        <w:t>55</w:t>
      </w:r>
      <w:r>
        <w:fldChar w:fldCharType="end"/>
      </w:r>
    </w:p>
    <w:p w:rsidR="00E1452C" w:rsidRDefault="00E1452C">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_Toc75875628 \h </w:instrText>
      </w:r>
      <w:r>
        <w:fldChar w:fldCharType="separate"/>
      </w:r>
      <w:r w:rsidR="00337078">
        <w:t>56</w:t>
      </w:r>
      <w:r>
        <w:fldChar w:fldCharType="end"/>
      </w:r>
    </w:p>
    <w:p w:rsidR="00E1452C" w:rsidRDefault="00E1452C">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_Toc75875629 \h </w:instrText>
      </w:r>
      <w:r>
        <w:fldChar w:fldCharType="separate"/>
      </w:r>
      <w:r w:rsidR="00337078">
        <w:t>56</w:t>
      </w:r>
      <w:r>
        <w:fldChar w:fldCharType="end"/>
      </w:r>
    </w:p>
    <w:p w:rsidR="00E1452C" w:rsidRDefault="00E1452C">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_Toc75875630 \h </w:instrText>
      </w:r>
      <w:r>
        <w:fldChar w:fldCharType="separate"/>
      </w:r>
      <w:r w:rsidR="00337078">
        <w:t>57</w:t>
      </w:r>
      <w:r>
        <w:fldChar w:fldCharType="end"/>
      </w:r>
    </w:p>
    <w:p w:rsidR="00E1452C" w:rsidRDefault="00E1452C">
      <w:pPr>
        <w:pStyle w:val="TOC8"/>
        <w:rPr>
          <w:rFonts w:asciiTheme="minorHAnsi" w:eastAsiaTheme="minorEastAsia" w:hAnsiTheme="minorHAnsi" w:cstheme="minorBidi"/>
          <w:szCs w:val="22"/>
        </w:rPr>
      </w:pPr>
      <w:r>
        <w:t>90.</w:t>
      </w:r>
      <w:r>
        <w:tab/>
        <w:t>Fees for vehicle examination in the Great Southern region</w:t>
      </w:r>
      <w:r>
        <w:tab/>
      </w:r>
      <w:r>
        <w:fldChar w:fldCharType="begin"/>
      </w:r>
      <w:r>
        <w:instrText xml:space="preserve"> PAGEREF _Toc75875631 \h </w:instrText>
      </w:r>
      <w:r>
        <w:fldChar w:fldCharType="separate"/>
      </w:r>
      <w:r w:rsidR="00337078">
        <w:t>58</w:t>
      </w:r>
      <w:r>
        <w:fldChar w:fldCharType="end"/>
      </w:r>
    </w:p>
    <w:p w:rsidR="00E1452C" w:rsidRDefault="00E1452C">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_Toc75875632 \h </w:instrText>
      </w:r>
      <w:r>
        <w:fldChar w:fldCharType="separate"/>
      </w:r>
      <w:r w:rsidR="00337078">
        <w:t>58</w:t>
      </w:r>
      <w:r>
        <w:fldChar w:fldCharType="end"/>
      </w:r>
    </w:p>
    <w:p w:rsidR="00E1452C" w:rsidRDefault="00E1452C">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_Toc75875633 \h </w:instrText>
      </w:r>
      <w:r>
        <w:fldChar w:fldCharType="separate"/>
      </w:r>
      <w:r w:rsidR="00337078">
        <w:t>59</w:t>
      </w:r>
      <w:r>
        <w:fldChar w:fldCharType="end"/>
      </w:r>
    </w:p>
    <w:p w:rsidR="00E1452C" w:rsidRDefault="00E1452C">
      <w:pPr>
        <w:pStyle w:val="TOC8"/>
        <w:rPr>
          <w:rFonts w:asciiTheme="minorHAnsi" w:eastAsiaTheme="minorEastAsia" w:hAnsiTheme="minorHAnsi" w:cstheme="minorBidi"/>
          <w:szCs w:val="22"/>
        </w:rPr>
      </w:pPr>
      <w:r>
        <w:t>92A.</w:t>
      </w:r>
      <w:r>
        <w:tab/>
        <w:t>Fees for vehicle examination in the Peel region</w:t>
      </w:r>
      <w:r>
        <w:tab/>
      </w:r>
      <w:r>
        <w:fldChar w:fldCharType="begin"/>
      </w:r>
      <w:r>
        <w:instrText xml:space="preserve"> PAGEREF _Toc75875634 \h </w:instrText>
      </w:r>
      <w:r>
        <w:fldChar w:fldCharType="separate"/>
      </w:r>
      <w:r w:rsidR="00337078">
        <w:t>60</w:t>
      </w:r>
      <w:r>
        <w:fldChar w:fldCharType="end"/>
      </w:r>
    </w:p>
    <w:p w:rsidR="00E1452C" w:rsidRDefault="00E1452C">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_Toc75875635 \h </w:instrText>
      </w:r>
      <w:r>
        <w:fldChar w:fldCharType="separate"/>
      </w:r>
      <w:r w:rsidR="00337078">
        <w:t>60</w:t>
      </w:r>
      <w:r>
        <w:fldChar w:fldCharType="end"/>
      </w:r>
    </w:p>
    <w:p w:rsidR="00E1452C" w:rsidRDefault="00E1452C">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_Toc75875636 \h </w:instrText>
      </w:r>
      <w:r>
        <w:fldChar w:fldCharType="separate"/>
      </w:r>
      <w:r w:rsidR="00337078">
        <w:t>61</w:t>
      </w:r>
      <w:r>
        <w:fldChar w:fldCharType="end"/>
      </w:r>
    </w:p>
    <w:p w:rsidR="00E1452C" w:rsidRDefault="00E1452C">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_Toc75875637 \h </w:instrText>
      </w:r>
      <w:r>
        <w:fldChar w:fldCharType="separate"/>
      </w:r>
      <w:r w:rsidR="00337078">
        <w:t>62</w:t>
      </w:r>
      <w:r>
        <w:fldChar w:fldCharType="end"/>
      </w:r>
    </w:p>
    <w:p w:rsidR="00E1452C" w:rsidRDefault="00E1452C">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_Toc75875638 \h </w:instrText>
      </w:r>
      <w:r>
        <w:fldChar w:fldCharType="separate"/>
      </w:r>
      <w:r w:rsidR="00337078">
        <w:t>62</w:t>
      </w:r>
      <w:r>
        <w:fldChar w:fldCharType="end"/>
      </w:r>
    </w:p>
    <w:p w:rsidR="00E1452C" w:rsidRDefault="00E1452C">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_Toc75875639 \h </w:instrText>
      </w:r>
      <w:r>
        <w:fldChar w:fldCharType="separate"/>
      </w:r>
      <w:r w:rsidR="00337078">
        <w:t>63</w:t>
      </w:r>
      <w:r>
        <w:fldChar w:fldCharType="end"/>
      </w:r>
    </w:p>
    <w:p w:rsidR="00E1452C" w:rsidRDefault="00E1452C">
      <w:pPr>
        <w:pStyle w:val="TOC6"/>
        <w:tabs>
          <w:tab w:val="right" w:leader="dot" w:pos="7077"/>
        </w:tabs>
        <w:rPr>
          <w:rFonts w:asciiTheme="minorHAnsi" w:eastAsiaTheme="minorEastAsia" w:hAnsiTheme="minorHAnsi" w:cstheme="minorBidi"/>
          <w:b w:val="0"/>
          <w:sz w:val="22"/>
          <w:szCs w:val="22"/>
        </w:rPr>
      </w:pPr>
      <w:r>
        <w:lastRenderedPageBreak/>
        <w:t>Subdivision 2 — Other fees relating to vehicle licensing</w:t>
      </w:r>
    </w:p>
    <w:p w:rsidR="00E1452C" w:rsidRDefault="00E1452C">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_Toc75875641 \h </w:instrText>
      </w:r>
      <w:r>
        <w:fldChar w:fldCharType="separate"/>
      </w:r>
      <w:r w:rsidR="00337078">
        <w:t>64</w:t>
      </w:r>
      <w:r>
        <w:fldChar w:fldCharType="end"/>
      </w:r>
    </w:p>
    <w:p w:rsidR="00E1452C" w:rsidRDefault="00E1452C">
      <w:pPr>
        <w:pStyle w:val="TOC8"/>
        <w:rPr>
          <w:rFonts w:asciiTheme="minorHAnsi" w:eastAsiaTheme="minorEastAsia" w:hAnsiTheme="minorHAnsi" w:cstheme="minorBidi"/>
          <w:szCs w:val="22"/>
        </w:rPr>
      </w:pPr>
      <w:r>
        <w:t>99.</w:t>
      </w:r>
      <w:r>
        <w:tab/>
        <w:t>Recording fees</w:t>
      </w:r>
      <w:r>
        <w:tab/>
      </w:r>
      <w:r>
        <w:fldChar w:fldCharType="begin"/>
      </w:r>
      <w:r>
        <w:instrText xml:space="preserve"> PAGEREF _Toc75875642 \h </w:instrText>
      </w:r>
      <w:r>
        <w:fldChar w:fldCharType="separate"/>
      </w:r>
      <w:r w:rsidR="00337078">
        <w:t>64</w:t>
      </w:r>
      <w:r>
        <w:fldChar w:fldCharType="end"/>
      </w:r>
    </w:p>
    <w:p w:rsidR="00E1452C" w:rsidRDefault="00E1452C">
      <w:pPr>
        <w:pStyle w:val="TOC8"/>
        <w:rPr>
          <w:rFonts w:asciiTheme="minorHAnsi" w:eastAsiaTheme="minorEastAsia" w:hAnsiTheme="minorHAnsi" w:cstheme="minorBidi"/>
          <w:szCs w:val="22"/>
        </w:rPr>
      </w:pPr>
      <w:r>
        <w:t>100.</w:t>
      </w:r>
      <w:r>
        <w:tab/>
        <w:t>Transfer fee</w:t>
      </w:r>
      <w:r>
        <w:tab/>
      </w:r>
      <w:r>
        <w:fldChar w:fldCharType="begin"/>
      </w:r>
      <w:r>
        <w:instrText xml:space="preserve"> PAGEREF _Toc75875643 \h </w:instrText>
      </w:r>
      <w:r>
        <w:fldChar w:fldCharType="separate"/>
      </w:r>
      <w:r w:rsidR="00337078">
        <w:t>65</w:t>
      </w:r>
      <w:r>
        <w:fldChar w:fldCharType="end"/>
      </w:r>
    </w:p>
    <w:p w:rsidR="00E1452C" w:rsidRDefault="00E1452C">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_Toc75875644 \h </w:instrText>
      </w:r>
      <w:r>
        <w:fldChar w:fldCharType="separate"/>
      </w:r>
      <w:r w:rsidR="00337078">
        <w:t>65</w:t>
      </w:r>
      <w:r>
        <w:fldChar w:fldCharType="end"/>
      </w:r>
    </w:p>
    <w:p w:rsidR="00E1452C" w:rsidRDefault="00E1452C">
      <w:pPr>
        <w:pStyle w:val="TOC6"/>
        <w:tabs>
          <w:tab w:val="right" w:leader="dot" w:pos="7077"/>
        </w:tabs>
        <w:rPr>
          <w:rFonts w:asciiTheme="minorHAnsi" w:eastAsiaTheme="minorEastAsia" w:hAnsiTheme="minorHAnsi" w:cstheme="minorBidi"/>
          <w:b w:val="0"/>
          <w:sz w:val="22"/>
          <w:szCs w:val="22"/>
        </w:rPr>
      </w:pPr>
      <w:r>
        <w:t>Subdivision 3 — Exemptions, refunds</w:t>
      </w:r>
    </w:p>
    <w:p w:rsidR="00E1452C" w:rsidRDefault="00E1452C">
      <w:pPr>
        <w:pStyle w:val="TOC8"/>
        <w:rPr>
          <w:rFonts w:asciiTheme="minorHAnsi" w:eastAsiaTheme="minorEastAsia" w:hAnsiTheme="minorHAnsi" w:cstheme="minorBidi"/>
          <w:szCs w:val="22"/>
        </w:rPr>
      </w:pPr>
      <w:r>
        <w:t>102.</w:t>
      </w:r>
      <w:r>
        <w:tab/>
        <w:t>P</w:t>
      </w:r>
      <w:r w:rsidRPr="00FE3DA3">
        <w:rPr>
          <w:snapToGrid w:val="0"/>
        </w:rPr>
        <w:t xml:space="preserve">ower to give </w:t>
      </w:r>
      <w:r>
        <w:t>e</w:t>
      </w:r>
      <w:r w:rsidRPr="00FE3DA3">
        <w:rPr>
          <w:snapToGrid w:val="0"/>
        </w:rPr>
        <w:t>xemption or refund in exceptional circumstances</w:t>
      </w:r>
      <w:r>
        <w:tab/>
      </w:r>
      <w:r>
        <w:fldChar w:fldCharType="begin"/>
      </w:r>
      <w:r>
        <w:instrText xml:space="preserve"> PAGEREF _Toc75875646 \h </w:instrText>
      </w:r>
      <w:r>
        <w:fldChar w:fldCharType="separate"/>
      </w:r>
      <w:r w:rsidR="00337078">
        <w:t>66</w:t>
      </w:r>
      <w:r>
        <w:fldChar w:fldCharType="end"/>
      </w:r>
    </w:p>
    <w:p w:rsidR="00E1452C" w:rsidRDefault="00E1452C">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rsidR="00E1452C" w:rsidRDefault="00E1452C">
      <w:pPr>
        <w:pStyle w:val="TOC8"/>
        <w:rPr>
          <w:rFonts w:asciiTheme="minorHAnsi" w:eastAsiaTheme="minorEastAsia" w:hAnsiTheme="minorHAnsi" w:cstheme="minorBidi"/>
          <w:szCs w:val="22"/>
        </w:rPr>
      </w:pPr>
      <w:r>
        <w:t>103.</w:t>
      </w:r>
      <w:r>
        <w:tab/>
        <w:t>Terms used</w:t>
      </w:r>
      <w:r>
        <w:tab/>
      </w:r>
      <w:r>
        <w:fldChar w:fldCharType="begin"/>
      </w:r>
      <w:r>
        <w:instrText xml:space="preserve"> PAGEREF _Toc75875648 \h </w:instrText>
      </w:r>
      <w:r>
        <w:fldChar w:fldCharType="separate"/>
      </w:r>
      <w:r w:rsidR="00337078">
        <w:t>67</w:t>
      </w:r>
      <w:r>
        <w:fldChar w:fldCharType="end"/>
      </w:r>
    </w:p>
    <w:p w:rsidR="00E1452C" w:rsidRDefault="00E1452C">
      <w:pPr>
        <w:pStyle w:val="TOC8"/>
        <w:rPr>
          <w:rFonts w:asciiTheme="minorHAnsi" w:eastAsiaTheme="minorEastAsia" w:hAnsiTheme="minorHAnsi" w:cstheme="minorBidi"/>
          <w:szCs w:val="22"/>
        </w:rPr>
      </w:pPr>
      <w:r>
        <w:t>104.</w:t>
      </w:r>
      <w:r>
        <w:tab/>
      </w:r>
      <w:r w:rsidRPr="00FE3DA3">
        <w:rPr>
          <w:snapToGrid w:val="0"/>
        </w:rPr>
        <w:t>Applications for vehicle licence, extension or renewal of vehicle licence for overseas vehicles</w:t>
      </w:r>
      <w:r>
        <w:tab/>
      </w:r>
      <w:r>
        <w:fldChar w:fldCharType="begin"/>
      </w:r>
      <w:r>
        <w:instrText xml:space="preserve"> PAGEREF _Toc75875649 \h </w:instrText>
      </w:r>
      <w:r>
        <w:fldChar w:fldCharType="separate"/>
      </w:r>
      <w:r w:rsidR="00337078">
        <w:t>67</w:t>
      </w:r>
      <w:r>
        <w:fldChar w:fldCharType="end"/>
      </w:r>
    </w:p>
    <w:p w:rsidR="00E1452C" w:rsidRDefault="00E1452C">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_Toc75875650 \h </w:instrText>
      </w:r>
      <w:r>
        <w:fldChar w:fldCharType="separate"/>
      </w:r>
      <w:r w:rsidR="00337078">
        <w:t>68</w:t>
      </w:r>
      <w:r>
        <w:fldChar w:fldCharType="end"/>
      </w:r>
    </w:p>
    <w:p w:rsidR="00E1452C" w:rsidRDefault="00E1452C">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_Toc75875651 \h </w:instrText>
      </w:r>
      <w:r>
        <w:fldChar w:fldCharType="separate"/>
      </w:r>
      <w:r w:rsidR="00337078">
        <w:t>68</w:t>
      </w:r>
      <w:r>
        <w:fldChar w:fldCharType="end"/>
      </w:r>
    </w:p>
    <w:p w:rsidR="00E1452C" w:rsidRDefault="00E1452C">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_Toc75875652 \h </w:instrText>
      </w:r>
      <w:r>
        <w:fldChar w:fldCharType="separate"/>
      </w:r>
      <w:r w:rsidR="00337078">
        <w:t>68</w:t>
      </w:r>
      <w:r>
        <w:fldChar w:fldCharType="end"/>
      </w:r>
    </w:p>
    <w:p w:rsidR="00E1452C" w:rsidRDefault="00E1452C">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_Toc75875653 \h </w:instrText>
      </w:r>
      <w:r>
        <w:fldChar w:fldCharType="separate"/>
      </w:r>
      <w:r w:rsidR="00337078">
        <w:t>68</w:t>
      </w:r>
      <w:r>
        <w:fldChar w:fldCharType="end"/>
      </w:r>
    </w:p>
    <w:p w:rsidR="00E1452C" w:rsidRDefault="00E1452C">
      <w:pPr>
        <w:pStyle w:val="TOC2"/>
        <w:tabs>
          <w:tab w:val="right" w:leader="dot" w:pos="7077"/>
        </w:tabs>
        <w:rPr>
          <w:rFonts w:asciiTheme="minorHAnsi" w:eastAsiaTheme="minorEastAsia" w:hAnsiTheme="minorHAnsi" w:cstheme="minorBidi"/>
          <w:b w:val="0"/>
          <w:sz w:val="22"/>
          <w:szCs w:val="22"/>
        </w:rPr>
      </w:pPr>
      <w:r>
        <w:t>Part 4 — Number plates</w:t>
      </w:r>
    </w:p>
    <w:p w:rsidR="00E1452C" w:rsidRDefault="00E1452C">
      <w:pPr>
        <w:pStyle w:val="TOC4"/>
        <w:tabs>
          <w:tab w:val="right" w:leader="dot" w:pos="7077"/>
        </w:tabs>
        <w:rPr>
          <w:rFonts w:asciiTheme="minorHAnsi" w:eastAsiaTheme="minorEastAsia" w:hAnsiTheme="minorHAnsi" w:cstheme="minorBidi"/>
          <w:b w:val="0"/>
          <w:szCs w:val="22"/>
        </w:rPr>
      </w:pPr>
      <w:r>
        <w:t>Division 1 — Preliminary</w:t>
      </w:r>
    </w:p>
    <w:p w:rsidR="00E1452C" w:rsidRDefault="00E1452C">
      <w:pPr>
        <w:pStyle w:val="TOC8"/>
        <w:rPr>
          <w:rFonts w:asciiTheme="minorHAnsi" w:eastAsiaTheme="minorEastAsia" w:hAnsiTheme="minorHAnsi" w:cstheme="minorBidi"/>
          <w:szCs w:val="22"/>
        </w:rPr>
      </w:pPr>
      <w:r>
        <w:t>109.</w:t>
      </w:r>
      <w:r>
        <w:tab/>
        <w:t>Terms used</w:t>
      </w:r>
      <w:r>
        <w:tab/>
      </w:r>
      <w:r>
        <w:fldChar w:fldCharType="begin"/>
      </w:r>
      <w:r>
        <w:instrText xml:space="preserve"> PAGEREF _Toc75875656 \h </w:instrText>
      </w:r>
      <w:r>
        <w:fldChar w:fldCharType="separate"/>
      </w:r>
      <w:r w:rsidR="00337078">
        <w:t>70</w:t>
      </w:r>
      <w:r>
        <w:fldChar w:fldCharType="end"/>
      </w:r>
    </w:p>
    <w:p w:rsidR="00E1452C" w:rsidRDefault="00E1452C">
      <w:pPr>
        <w:pStyle w:val="TOC8"/>
        <w:rPr>
          <w:rFonts w:asciiTheme="minorHAnsi" w:eastAsiaTheme="minorEastAsia" w:hAnsiTheme="minorHAnsi" w:cstheme="minorBidi"/>
          <w:szCs w:val="22"/>
        </w:rPr>
      </w:pPr>
      <w:r>
        <w:t>109A.</w:t>
      </w:r>
      <w:r>
        <w:tab/>
        <w:t>Passenger transport vehicle authorisations</w:t>
      </w:r>
      <w:r>
        <w:tab/>
      </w:r>
      <w:r>
        <w:fldChar w:fldCharType="begin"/>
      </w:r>
      <w:r>
        <w:instrText xml:space="preserve"> PAGEREF _Toc75875657 \h </w:instrText>
      </w:r>
      <w:r>
        <w:fldChar w:fldCharType="separate"/>
      </w:r>
      <w:r w:rsidR="00337078">
        <w:t>71</w:t>
      </w:r>
      <w:r>
        <w:fldChar w:fldCharType="end"/>
      </w:r>
    </w:p>
    <w:p w:rsidR="00E1452C" w:rsidRDefault="00E1452C">
      <w:pPr>
        <w:pStyle w:val="TOC8"/>
        <w:rPr>
          <w:rFonts w:asciiTheme="minorHAnsi" w:eastAsiaTheme="minorEastAsia" w:hAnsiTheme="minorHAnsi" w:cstheme="minorBidi"/>
          <w:szCs w:val="22"/>
        </w:rPr>
      </w:pPr>
      <w:r>
        <w:t>110.</w:t>
      </w:r>
      <w:r>
        <w:tab/>
        <w:t>P</w:t>
      </w:r>
      <w:r w:rsidRPr="00FE3DA3">
        <w:rPr>
          <w:snapToGrid w:val="0"/>
        </w:rPr>
        <w:t xml:space="preserve">ower to give </w:t>
      </w:r>
      <w:r>
        <w:t>e</w:t>
      </w:r>
      <w:r w:rsidRPr="00FE3DA3">
        <w:rPr>
          <w:snapToGrid w:val="0"/>
        </w:rPr>
        <w:t>xemption or refund in exceptional circumstances</w:t>
      </w:r>
      <w:r>
        <w:tab/>
      </w:r>
      <w:r>
        <w:fldChar w:fldCharType="begin"/>
      </w:r>
      <w:r>
        <w:instrText xml:space="preserve"> PAGEREF _Toc75875658 \h </w:instrText>
      </w:r>
      <w:r>
        <w:fldChar w:fldCharType="separate"/>
      </w:r>
      <w:r w:rsidR="00337078">
        <w:t>72</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2 — Number plates generally</w:t>
      </w:r>
    </w:p>
    <w:p w:rsidR="00E1452C" w:rsidRDefault="00E1452C">
      <w:pPr>
        <w:pStyle w:val="TOC8"/>
        <w:rPr>
          <w:rFonts w:asciiTheme="minorHAnsi" w:eastAsiaTheme="minorEastAsia" w:hAnsiTheme="minorHAnsi" w:cstheme="minorBidi"/>
          <w:szCs w:val="22"/>
        </w:rPr>
      </w:pPr>
      <w:r>
        <w:t>111.</w:t>
      </w:r>
      <w:r>
        <w:tab/>
      </w:r>
      <w:r w:rsidRPr="00FE3DA3">
        <w:rPr>
          <w:snapToGrid w:val="0"/>
        </w:rPr>
        <w:t>CEO to provide number plates</w:t>
      </w:r>
      <w:r>
        <w:tab/>
      </w:r>
      <w:r>
        <w:fldChar w:fldCharType="begin"/>
      </w:r>
      <w:r>
        <w:instrText xml:space="preserve"> PAGEREF _Toc75875660 \h </w:instrText>
      </w:r>
      <w:r>
        <w:fldChar w:fldCharType="separate"/>
      </w:r>
      <w:r w:rsidR="00337078">
        <w:t>72</w:t>
      </w:r>
      <w:r>
        <w:fldChar w:fldCharType="end"/>
      </w:r>
    </w:p>
    <w:p w:rsidR="00E1452C" w:rsidRDefault="00E1452C">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_Toc75875661 \h </w:instrText>
      </w:r>
      <w:r>
        <w:fldChar w:fldCharType="separate"/>
      </w:r>
      <w:r w:rsidR="00337078">
        <w:t>73</w:t>
      </w:r>
      <w:r>
        <w:fldChar w:fldCharType="end"/>
      </w:r>
    </w:p>
    <w:p w:rsidR="00E1452C" w:rsidRDefault="00E1452C">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_Toc75875662 \h </w:instrText>
      </w:r>
      <w:r>
        <w:fldChar w:fldCharType="separate"/>
      </w:r>
      <w:r w:rsidR="00337078">
        <w:t>75</w:t>
      </w:r>
      <w:r>
        <w:fldChar w:fldCharType="end"/>
      </w:r>
    </w:p>
    <w:p w:rsidR="00E1452C" w:rsidRDefault="00E1452C">
      <w:pPr>
        <w:pStyle w:val="TOC8"/>
        <w:rPr>
          <w:rFonts w:asciiTheme="minorHAnsi" w:eastAsiaTheme="minorEastAsia" w:hAnsiTheme="minorHAnsi" w:cstheme="minorBidi"/>
          <w:szCs w:val="22"/>
        </w:rPr>
      </w:pPr>
      <w:r>
        <w:t>113A.</w:t>
      </w:r>
      <w:r>
        <w:tab/>
        <w:t>Return of number plates for passenger transport vehicles</w:t>
      </w:r>
      <w:r>
        <w:tab/>
      </w:r>
      <w:r>
        <w:fldChar w:fldCharType="begin"/>
      </w:r>
      <w:r>
        <w:instrText xml:space="preserve"> PAGEREF _Toc75875663 \h </w:instrText>
      </w:r>
      <w:r>
        <w:fldChar w:fldCharType="separate"/>
      </w:r>
      <w:r w:rsidR="00337078">
        <w:t>76</w:t>
      </w:r>
      <w:r>
        <w:fldChar w:fldCharType="end"/>
      </w:r>
    </w:p>
    <w:p w:rsidR="00E1452C" w:rsidRDefault="00E1452C">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_Toc75875664 \h </w:instrText>
      </w:r>
      <w:r>
        <w:fldChar w:fldCharType="separate"/>
      </w:r>
      <w:r w:rsidR="00337078">
        <w:t>77</w:t>
      </w:r>
      <w:r>
        <w:fldChar w:fldCharType="end"/>
      </w:r>
    </w:p>
    <w:p w:rsidR="00E1452C" w:rsidRDefault="00E1452C">
      <w:pPr>
        <w:pStyle w:val="TOC8"/>
        <w:rPr>
          <w:rFonts w:asciiTheme="minorHAnsi" w:eastAsiaTheme="minorEastAsia" w:hAnsiTheme="minorHAnsi" w:cstheme="minorBidi"/>
          <w:szCs w:val="22"/>
        </w:rPr>
      </w:pPr>
      <w:r>
        <w:t>115.</w:t>
      </w:r>
      <w:r>
        <w:tab/>
        <w:t>Replacement of</w:t>
      </w:r>
      <w:r w:rsidRPr="00FE3DA3">
        <w:rPr>
          <w:snapToGrid w:val="0"/>
        </w:rPr>
        <w:t xml:space="preserve"> stolen, lost number plates</w:t>
      </w:r>
      <w:r>
        <w:tab/>
      </w:r>
      <w:r>
        <w:fldChar w:fldCharType="begin"/>
      </w:r>
      <w:r>
        <w:instrText xml:space="preserve"> PAGEREF _Toc75875665 \h </w:instrText>
      </w:r>
      <w:r>
        <w:fldChar w:fldCharType="separate"/>
      </w:r>
      <w:r w:rsidR="00337078">
        <w:t>78</w:t>
      </w:r>
      <w:r>
        <w:fldChar w:fldCharType="end"/>
      </w:r>
    </w:p>
    <w:p w:rsidR="00E1452C" w:rsidRDefault="00E1452C">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_Toc75875666 \h </w:instrText>
      </w:r>
      <w:r>
        <w:fldChar w:fldCharType="separate"/>
      </w:r>
      <w:r w:rsidR="00337078">
        <w:t>79</w:t>
      </w:r>
      <w:r>
        <w:fldChar w:fldCharType="end"/>
      </w:r>
    </w:p>
    <w:p w:rsidR="00E1452C" w:rsidRDefault="00E1452C">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_Toc75875667 \h </w:instrText>
      </w:r>
      <w:r>
        <w:fldChar w:fldCharType="separate"/>
      </w:r>
      <w:r w:rsidR="00337078">
        <w:t>79</w:t>
      </w:r>
      <w:r>
        <w:fldChar w:fldCharType="end"/>
      </w:r>
    </w:p>
    <w:p w:rsidR="00E1452C" w:rsidRDefault="00E1452C">
      <w:pPr>
        <w:pStyle w:val="TOC8"/>
        <w:rPr>
          <w:rFonts w:asciiTheme="minorHAnsi" w:eastAsiaTheme="minorEastAsia" w:hAnsiTheme="minorHAnsi" w:cstheme="minorBidi"/>
          <w:szCs w:val="22"/>
        </w:rPr>
      </w:pPr>
      <w:r>
        <w:lastRenderedPageBreak/>
        <w:t>118.</w:t>
      </w:r>
      <w:r>
        <w:tab/>
        <w:t>Surrender of non</w:t>
      </w:r>
      <w:r>
        <w:noBreakHyphen/>
        <w:t>reflective plates</w:t>
      </w:r>
      <w:r>
        <w:tab/>
      </w:r>
      <w:r>
        <w:fldChar w:fldCharType="begin"/>
      </w:r>
      <w:r>
        <w:instrText xml:space="preserve"> PAGEREF _Toc75875668 \h </w:instrText>
      </w:r>
      <w:r>
        <w:fldChar w:fldCharType="separate"/>
      </w:r>
      <w:r w:rsidR="00337078">
        <w:t>80</w:t>
      </w:r>
      <w:r>
        <w:fldChar w:fldCharType="end"/>
      </w:r>
    </w:p>
    <w:p w:rsidR="00E1452C" w:rsidRDefault="00E1452C">
      <w:pPr>
        <w:pStyle w:val="TOC8"/>
        <w:rPr>
          <w:rFonts w:asciiTheme="minorHAnsi" w:eastAsiaTheme="minorEastAsia" w:hAnsiTheme="minorHAnsi" w:cstheme="minorBidi"/>
          <w:szCs w:val="22"/>
        </w:rPr>
      </w:pPr>
      <w:r>
        <w:t>119.</w:t>
      </w:r>
      <w:r>
        <w:tab/>
      </w:r>
      <w:r w:rsidRPr="00FE3DA3">
        <w:rPr>
          <w:snapToGrid w:val="0"/>
        </w:rPr>
        <w:t>Number plate to be fixed on vehicle</w:t>
      </w:r>
      <w:r>
        <w:tab/>
      </w:r>
      <w:r>
        <w:fldChar w:fldCharType="begin"/>
      </w:r>
      <w:r>
        <w:instrText xml:space="preserve"> PAGEREF _Toc75875669 \h </w:instrText>
      </w:r>
      <w:r>
        <w:fldChar w:fldCharType="separate"/>
      </w:r>
      <w:r w:rsidR="00337078">
        <w:t>81</w:t>
      </w:r>
      <w:r>
        <w:fldChar w:fldCharType="end"/>
      </w:r>
    </w:p>
    <w:p w:rsidR="00E1452C" w:rsidRDefault="00E1452C">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_Toc75875670 \h </w:instrText>
      </w:r>
      <w:r>
        <w:fldChar w:fldCharType="separate"/>
      </w:r>
      <w:r w:rsidR="00337078">
        <w:t>82</w:t>
      </w:r>
      <w:r>
        <w:fldChar w:fldCharType="end"/>
      </w:r>
    </w:p>
    <w:p w:rsidR="00E1452C" w:rsidRDefault="00E1452C">
      <w:pPr>
        <w:pStyle w:val="TOC8"/>
        <w:rPr>
          <w:rFonts w:asciiTheme="minorHAnsi" w:eastAsiaTheme="minorEastAsia" w:hAnsiTheme="minorHAnsi" w:cstheme="minorBidi"/>
          <w:szCs w:val="22"/>
        </w:rPr>
      </w:pPr>
      <w:r>
        <w:t>121.</w:t>
      </w:r>
      <w:r>
        <w:tab/>
        <w:t xml:space="preserve">No </w:t>
      </w:r>
      <w:r w:rsidRPr="00FE3DA3">
        <w:rPr>
          <w:snapToGrid w:val="0"/>
        </w:rPr>
        <w:t>painting or interfering with number plates</w:t>
      </w:r>
      <w:r>
        <w:tab/>
      </w:r>
      <w:r>
        <w:fldChar w:fldCharType="begin"/>
      </w:r>
      <w:r>
        <w:instrText xml:space="preserve"> PAGEREF _Toc75875671 \h </w:instrText>
      </w:r>
      <w:r>
        <w:fldChar w:fldCharType="separate"/>
      </w:r>
      <w:r w:rsidR="00337078">
        <w:t>85</w:t>
      </w:r>
      <w:r>
        <w:fldChar w:fldCharType="end"/>
      </w:r>
    </w:p>
    <w:p w:rsidR="00E1452C" w:rsidRDefault="00E1452C">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_Toc75875672 \h </w:instrText>
      </w:r>
      <w:r>
        <w:fldChar w:fldCharType="separate"/>
      </w:r>
      <w:r w:rsidR="00337078">
        <w:t>85</w:t>
      </w:r>
      <w:r>
        <w:fldChar w:fldCharType="end"/>
      </w:r>
    </w:p>
    <w:p w:rsidR="00E1452C" w:rsidRDefault="00E1452C">
      <w:pPr>
        <w:pStyle w:val="TOC8"/>
        <w:rPr>
          <w:rFonts w:asciiTheme="minorHAnsi" w:eastAsiaTheme="minorEastAsia" w:hAnsiTheme="minorHAnsi" w:cstheme="minorBidi"/>
          <w:szCs w:val="22"/>
        </w:rPr>
      </w:pPr>
      <w:r>
        <w:t>123.</w:t>
      </w:r>
      <w:r>
        <w:tab/>
      </w:r>
      <w:r w:rsidRPr="00FE3DA3">
        <w:rPr>
          <w:snapToGrid w:val="0"/>
        </w:rPr>
        <w:t>Restriction on manufacture, sale or supply of imitation plates</w:t>
      </w:r>
      <w:r>
        <w:tab/>
      </w:r>
      <w:r>
        <w:fldChar w:fldCharType="begin"/>
      </w:r>
      <w:r>
        <w:instrText xml:space="preserve"> PAGEREF _Toc75875673 \h </w:instrText>
      </w:r>
      <w:r>
        <w:fldChar w:fldCharType="separate"/>
      </w:r>
      <w:r w:rsidR="00337078">
        <w:t>86</w:t>
      </w:r>
      <w:r>
        <w:fldChar w:fldCharType="end"/>
      </w:r>
    </w:p>
    <w:p w:rsidR="00E1452C" w:rsidRDefault="00E1452C">
      <w:pPr>
        <w:pStyle w:val="TOC8"/>
        <w:rPr>
          <w:rFonts w:asciiTheme="minorHAnsi" w:eastAsiaTheme="minorEastAsia" w:hAnsiTheme="minorHAnsi" w:cstheme="minorBidi"/>
          <w:szCs w:val="22"/>
        </w:rPr>
      </w:pPr>
      <w:r>
        <w:t>124.</w:t>
      </w:r>
      <w:r>
        <w:tab/>
        <w:t>Seizure</w:t>
      </w:r>
      <w:r w:rsidRPr="00FE3DA3">
        <w:rPr>
          <w:snapToGrid w:val="0"/>
        </w:rPr>
        <w:t xml:space="preserve"> and disposal of imitation plates</w:t>
      </w:r>
      <w:r>
        <w:tab/>
      </w:r>
      <w:r>
        <w:fldChar w:fldCharType="begin"/>
      </w:r>
      <w:r>
        <w:instrText xml:space="preserve"> PAGEREF _Toc75875674 \h </w:instrText>
      </w:r>
      <w:r>
        <w:fldChar w:fldCharType="separate"/>
      </w:r>
      <w:r w:rsidR="00337078">
        <w:t>86</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3 — Name plates and special plates</w:t>
      </w:r>
    </w:p>
    <w:p w:rsidR="00E1452C" w:rsidRDefault="00E1452C">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_Toc75875676 \h </w:instrText>
      </w:r>
      <w:r>
        <w:fldChar w:fldCharType="separate"/>
      </w:r>
      <w:r w:rsidR="00337078">
        <w:t>87</w:t>
      </w:r>
      <w:r>
        <w:fldChar w:fldCharType="end"/>
      </w:r>
    </w:p>
    <w:p w:rsidR="00E1452C" w:rsidRDefault="00E1452C">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_Toc75875677 \h </w:instrText>
      </w:r>
      <w:r>
        <w:fldChar w:fldCharType="separate"/>
      </w:r>
      <w:r w:rsidR="00337078">
        <w:t>88</w:t>
      </w:r>
      <w:r>
        <w:fldChar w:fldCharType="end"/>
      </w:r>
    </w:p>
    <w:p w:rsidR="00E1452C" w:rsidRDefault="00E1452C">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_Toc75875678 \h </w:instrText>
      </w:r>
      <w:r>
        <w:fldChar w:fldCharType="separate"/>
      </w:r>
      <w:r w:rsidR="00337078">
        <w:t>88</w:t>
      </w:r>
      <w:r>
        <w:fldChar w:fldCharType="end"/>
      </w:r>
    </w:p>
    <w:p w:rsidR="00E1452C" w:rsidRDefault="00E1452C">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_Toc75875679 \h </w:instrText>
      </w:r>
      <w:r>
        <w:fldChar w:fldCharType="separate"/>
      </w:r>
      <w:r w:rsidR="00337078">
        <w:t>88</w:t>
      </w:r>
      <w:r>
        <w:fldChar w:fldCharType="end"/>
      </w:r>
    </w:p>
    <w:p w:rsidR="00E1452C" w:rsidRDefault="00E1452C">
      <w:pPr>
        <w:pStyle w:val="TOC8"/>
        <w:rPr>
          <w:rFonts w:asciiTheme="minorHAnsi" w:eastAsiaTheme="minorEastAsia" w:hAnsiTheme="minorHAnsi" w:cstheme="minorBidi"/>
          <w:szCs w:val="22"/>
        </w:rPr>
      </w:pPr>
      <w:r>
        <w:t>129.</w:t>
      </w:r>
      <w:r>
        <w:tab/>
        <w:t>Right</w:t>
      </w:r>
      <w:r w:rsidRPr="00FE3DA3">
        <w:rPr>
          <w:snapToGrid w:val="0"/>
        </w:rPr>
        <w:t xml:space="preserve"> to display special plates, name plates</w:t>
      </w:r>
      <w:r>
        <w:tab/>
      </w:r>
      <w:r>
        <w:fldChar w:fldCharType="begin"/>
      </w:r>
      <w:r>
        <w:instrText xml:space="preserve"> PAGEREF _Toc75875680 \h </w:instrText>
      </w:r>
      <w:r>
        <w:fldChar w:fldCharType="separate"/>
      </w:r>
      <w:r w:rsidR="00337078">
        <w:t>88</w:t>
      </w:r>
      <w:r>
        <w:fldChar w:fldCharType="end"/>
      </w:r>
    </w:p>
    <w:p w:rsidR="00E1452C" w:rsidRDefault="00E1452C">
      <w:pPr>
        <w:pStyle w:val="TOC8"/>
        <w:rPr>
          <w:rFonts w:asciiTheme="minorHAnsi" w:eastAsiaTheme="minorEastAsia" w:hAnsiTheme="minorHAnsi" w:cstheme="minorBidi"/>
          <w:szCs w:val="22"/>
        </w:rPr>
      </w:pPr>
      <w:r>
        <w:t>130.</w:t>
      </w:r>
      <w:r>
        <w:tab/>
        <w:t>Fees for transfer of right to display special, name plates</w:t>
      </w:r>
      <w:r>
        <w:tab/>
      </w:r>
      <w:r>
        <w:fldChar w:fldCharType="begin"/>
      </w:r>
      <w:r>
        <w:instrText xml:space="preserve"> PAGEREF _Toc75875681 \h </w:instrText>
      </w:r>
      <w:r>
        <w:fldChar w:fldCharType="separate"/>
      </w:r>
      <w:r w:rsidR="00337078">
        <w:t>90</w:t>
      </w:r>
      <w:r>
        <w:fldChar w:fldCharType="end"/>
      </w:r>
    </w:p>
    <w:p w:rsidR="00E1452C" w:rsidRDefault="00E1452C">
      <w:pPr>
        <w:pStyle w:val="TOC8"/>
        <w:rPr>
          <w:rFonts w:asciiTheme="minorHAnsi" w:eastAsiaTheme="minorEastAsia" w:hAnsiTheme="minorHAnsi" w:cstheme="minorBidi"/>
          <w:szCs w:val="22"/>
        </w:rPr>
      </w:pPr>
      <w:r>
        <w:t>131.</w:t>
      </w:r>
      <w:r>
        <w:tab/>
      </w:r>
      <w:r w:rsidRPr="00FE3DA3">
        <w:rPr>
          <w:snapToGrid w:val="0"/>
        </w:rPr>
        <w:t>Retention of special plates, name plates by CEO</w:t>
      </w:r>
      <w:r>
        <w:tab/>
      </w:r>
      <w:r>
        <w:fldChar w:fldCharType="begin"/>
      </w:r>
      <w:r>
        <w:instrText xml:space="preserve"> PAGEREF _Toc75875682 \h </w:instrText>
      </w:r>
      <w:r>
        <w:fldChar w:fldCharType="separate"/>
      </w:r>
      <w:r w:rsidR="00337078">
        <w:t>91</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4 — Trade plates for unlicensed vehicles</w:t>
      </w:r>
    </w:p>
    <w:p w:rsidR="00E1452C" w:rsidRDefault="00E1452C">
      <w:pPr>
        <w:pStyle w:val="TOC8"/>
        <w:rPr>
          <w:rFonts w:asciiTheme="minorHAnsi" w:eastAsiaTheme="minorEastAsia" w:hAnsiTheme="minorHAnsi" w:cstheme="minorBidi"/>
          <w:szCs w:val="22"/>
        </w:rPr>
      </w:pPr>
      <w:r>
        <w:t>132.</w:t>
      </w:r>
      <w:r>
        <w:tab/>
        <w:t xml:space="preserve">Who may be issued </w:t>
      </w:r>
      <w:r w:rsidRPr="00FE3DA3">
        <w:rPr>
          <w:snapToGrid w:val="0"/>
        </w:rPr>
        <w:t>trade plates</w:t>
      </w:r>
      <w:r>
        <w:tab/>
      </w:r>
      <w:r>
        <w:fldChar w:fldCharType="begin"/>
      </w:r>
      <w:r>
        <w:instrText xml:space="preserve"> PAGEREF _Toc75875684 \h </w:instrText>
      </w:r>
      <w:r>
        <w:fldChar w:fldCharType="separate"/>
      </w:r>
      <w:r w:rsidR="00337078">
        <w:t>92</w:t>
      </w:r>
      <w:r>
        <w:fldChar w:fldCharType="end"/>
      </w:r>
    </w:p>
    <w:p w:rsidR="00E1452C" w:rsidRDefault="00E1452C">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_Toc75875685 \h </w:instrText>
      </w:r>
      <w:r>
        <w:fldChar w:fldCharType="separate"/>
      </w:r>
      <w:r w:rsidR="00337078">
        <w:t>92</w:t>
      </w:r>
      <w:r>
        <w:fldChar w:fldCharType="end"/>
      </w:r>
    </w:p>
    <w:p w:rsidR="00E1452C" w:rsidRDefault="00E1452C">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_Toc75875686 \h </w:instrText>
      </w:r>
      <w:r>
        <w:fldChar w:fldCharType="separate"/>
      </w:r>
      <w:r w:rsidR="00337078">
        <w:t>93</w:t>
      </w:r>
      <w:r>
        <w:fldChar w:fldCharType="end"/>
      </w:r>
    </w:p>
    <w:p w:rsidR="00E1452C" w:rsidRDefault="00E1452C">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_Toc75875687 \h </w:instrText>
      </w:r>
      <w:r>
        <w:fldChar w:fldCharType="separate"/>
      </w:r>
      <w:r w:rsidR="00337078">
        <w:t>93</w:t>
      </w:r>
      <w:r>
        <w:fldChar w:fldCharType="end"/>
      </w:r>
    </w:p>
    <w:p w:rsidR="00E1452C" w:rsidRDefault="00E1452C">
      <w:pPr>
        <w:pStyle w:val="TOC8"/>
        <w:rPr>
          <w:rFonts w:asciiTheme="minorHAnsi" w:eastAsiaTheme="minorEastAsia" w:hAnsiTheme="minorHAnsi" w:cstheme="minorBidi"/>
          <w:szCs w:val="22"/>
        </w:rPr>
      </w:pPr>
      <w:r>
        <w:t>136.</w:t>
      </w:r>
      <w:r>
        <w:tab/>
      </w:r>
      <w:r w:rsidRPr="00FE3DA3">
        <w:rPr>
          <w:snapToGrid w:val="0"/>
        </w:rPr>
        <w:t>Labels for trade plates</w:t>
      </w:r>
      <w:r>
        <w:tab/>
      </w:r>
      <w:r>
        <w:fldChar w:fldCharType="begin"/>
      </w:r>
      <w:r>
        <w:instrText xml:space="preserve"> PAGEREF _Toc75875688 \h </w:instrText>
      </w:r>
      <w:r>
        <w:fldChar w:fldCharType="separate"/>
      </w:r>
      <w:r w:rsidR="00337078">
        <w:t>94</w:t>
      </w:r>
      <w:r>
        <w:fldChar w:fldCharType="end"/>
      </w:r>
    </w:p>
    <w:p w:rsidR="00E1452C" w:rsidRDefault="00E1452C">
      <w:pPr>
        <w:pStyle w:val="TOC8"/>
        <w:rPr>
          <w:rFonts w:asciiTheme="minorHAnsi" w:eastAsiaTheme="minorEastAsia" w:hAnsiTheme="minorHAnsi" w:cstheme="minorBidi"/>
          <w:szCs w:val="22"/>
        </w:rPr>
      </w:pPr>
      <w:r>
        <w:t>137.</w:t>
      </w:r>
      <w:r>
        <w:tab/>
        <w:t>Vehicle standards and r</w:t>
      </w:r>
      <w:r w:rsidRPr="00FE3DA3">
        <w:rPr>
          <w:snapToGrid w:val="0"/>
        </w:rPr>
        <w:t>equirements for use of trade plates</w:t>
      </w:r>
      <w:r>
        <w:tab/>
      </w:r>
      <w:r>
        <w:fldChar w:fldCharType="begin"/>
      </w:r>
      <w:r>
        <w:instrText xml:space="preserve"> PAGEREF _Toc75875689 \h </w:instrText>
      </w:r>
      <w:r>
        <w:fldChar w:fldCharType="separate"/>
      </w:r>
      <w:r w:rsidR="00337078">
        <w:t>95</w:t>
      </w:r>
      <w:r>
        <w:fldChar w:fldCharType="end"/>
      </w:r>
    </w:p>
    <w:p w:rsidR="00E1452C" w:rsidRDefault="00E1452C">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_Toc75875690 \h </w:instrText>
      </w:r>
      <w:r>
        <w:fldChar w:fldCharType="separate"/>
      </w:r>
      <w:r w:rsidR="00337078">
        <w:t>98</w:t>
      </w:r>
      <w:r>
        <w:fldChar w:fldCharType="end"/>
      </w:r>
    </w:p>
    <w:p w:rsidR="00E1452C" w:rsidRDefault="00E1452C">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_Toc75875691 \h </w:instrText>
      </w:r>
      <w:r>
        <w:fldChar w:fldCharType="separate"/>
      </w:r>
      <w:r w:rsidR="00337078">
        <w:t>99</w:t>
      </w:r>
      <w:r>
        <w:fldChar w:fldCharType="end"/>
      </w:r>
    </w:p>
    <w:p w:rsidR="00E1452C" w:rsidRDefault="00E1452C">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_Toc75875692 \h </w:instrText>
      </w:r>
      <w:r>
        <w:fldChar w:fldCharType="separate"/>
      </w:r>
      <w:r w:rsidR="00337078">
        <w:t>99</w:t>
      </w:r>
      <w:r>
        <w:fldChar w:fldCharType="end"/>
      </w:r>
    </w:p>
    <w:p w:rsidR="00E1452C" w:rsidRDefault="00E1452C">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rsidR="00E1452C" w:rsidRDefault="00E1452C">
      <w:pPr>
        <w:pStyle w:val="TOC8"/>
        <w:rPr>
          <w:rFonts w:asciiTheme="minorHAnsi" w:eastAsiaTheme="minorEastAsia" w:hAnsiTheme="minorHAnsi" w:cstheme="minorBidi"/>
          <w:szCs w:val="22"/>
        </w:rPr>
      </w:pPr>
      <w:r>
        <w:t>141.</w:t>
      </w:r>
      <w:r>
        <w:tab/>
      </w:r>
      <w:r w:rsidRPr="00FE3DA3">
        <w:rPr>
          <w:snapToGrid w:val="0"/>
        </w:rPr>
        <w:t>Vehicle identification number</w:t>
      </w:r>
      <w:r>
        <w:tab/>
      </w:r>
      <w:r>
        <w:fldChar w:fldCharType="begin"/>
      </w:r>
      <w:r>
        <w:instrText xml:space="preserve"> PAGEREF _Toc75875694 \h </w:instrText>
      </w:r>
      <w:r>
        <w:fldChar w:fldCharType="separate"/>
      </w:r>
      <w:r w:rsidR="00337078">
        <w:t>101</w:t>
      </w:r>
      <w:r>
        <w:fldChar w:fldCharType="end"/>
      </w:r>
    </w:p>
    <w:p w:rsidR="00E1452C" w:rsidRDefault="00E1452C">
      <w:pPr>
        <w:pStyle w:val="TOC8"/>
        <w:rPr>
          <w:rFonts w:asciiTheme="minorHAnsi" w:eastAsiaTheme="minorEastAsia" w:hAnsiTheme="minorHAnsi" w:cstheme="minorBidi"/>
          <w:szCs w:val="22"/>
        </w:rPr>
      </w:pPr>
      <w:r>
        <w:t>142.</w:t>
      </w:r>
      <w:r>
        <w:tab/>
      </w:r>
      <w:r w:rsidRPr="00FE3DA3">
        <w:rPr>
          <w:snapToGrid w:val="0"/>
        </w:rPr>
        <w:t>Engine identification number</w:t>
      </w:r>
      <w:r>
        <w:tab/>
      </w:r>
      <w:r>
        <w:fldChar w:fldCharType="begin"/>
      </w:r>
      <w:r>
        <w:instrText xml:space="preserve"> PAGEREF _Toc75875695 \h </w:instrText>
      </w:r>
      <w:r>
        <w:fldChar w:fldCharType="separate"/>
      </w:r>
      <w:r w:rsidR="00337078">
        <w:t>101</w:t>
      </w:r>
      <w:r>
        <w:fldChar w:fldCharType="end"/>
      </w:r>
    </w:p>
    <w:p w:rsidR="00E1452C" w:rsidRDefault="00E1452C">
      <w:pPr>
        <w:pStyle w:val="TOC2"/>
        <w:tabs>
          <w:tab w:val="right" w:leader="dot" w:pos="7077"/>
        </w:tabs>
        <w:rPr>
          <w:rFonts w:asciiTheme="minorHAnsi" w:eastAsiaTheme="minorEastAsia" w:hAnsiTheme="minorHAnsi" w:cstheme="minorBidi"/>
          <w:b w:val="0"/>
          <w:sz w:val="22"/>
          <w:szCs w:val="22"/>
        </w:rPr>
      </w:pPr>
      <w:r>
        <w:lastRenderedPageBreak/>
        <w:t>Part 7 — Written</w:t>
      </w:r>
      <w:r>
        <w:noBreakHyphen/>
        <w:t>Off Vehicle Register</w:t>
      </w:r>
    </w:p>
    <w:p w:rsidR="00E1452C" w:rsidRDefault="00E1452C">
      <w:pPr>
        <w:pStyle w:val="TOC4"/>
        <w:tabs>
          <w:tab w:val="right" w:leader="dot" w:pos="7077"/>
        </w:tabs>
        <w:rPr>
          <w:rFonts w:asciiTheme="minorHAnsi" w:eastAsiaTheme="minorEastAsia" w:hAnsiTheme="minorHAnsi" w:cstheme="minorBidi"/>
          <w:b w:val="0"/>
          <w:szCs w:val="22"/>
        </w:rPr>
      </w:pPr>
      <w:r>
        <w:t>Division 1 — Preliminary</w:t>
      </w:r>
    </w:p>
    <w:p w:rsidR="00E1452C" w:rsidRDefault="00E1452C">
      <w:pPr>
        <w:pStyle w:val="TOC8"/>
        <w:rPr>
          <w:rFonts w:asciiTheme="minorHAnsi" w:eastAsiaTheme="minorEastAsia" w:hAnsiTheme="minorHAnsi" w:cstheme="minorBidi"/>
          <w:szCs w:val="22"/>
        </w:rPr>
      </w:pPr>
      <w:r>
        <w:t>146.</w:t>
      </w:r>
      <w:r>
        <w:tab/>
        <w:t>Terms used</w:t>
      </w:r>
      <w:r>
        <w:tab/>
      </w:r>
      <w:r>
        <w:fldChar w:fldCharType="begin"/>
      </w:r>
      <w:r>
        <w:instrText xml:space="preserve"> PAGEREF _Toc75875698 \h </w:instrText>
      </w:r>
      <w:r>
        <w:fldChar w:fldCharType="separate"/>
      </w:r>
      <w:r w:rsidR="00337078">
        <w:t>104</w:t>
      </w:r>
      <w:r>
        <w:fldChar w:fldCharType="end"/>
      </w:r>
    </w:p>
    <w:p w:rsidR="00E1452C" w:rsidRDefault="00E1452C">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_Toc75875699 \h </w:instrText>
      </w:r>
      <w:r>
        <w:fldChar w:fldCharType="separate"/>
      </w:r>
      <w:r w:rsidR="00337078">
        <w:t>105</w:t>
      </w:r>
      <w:r>
        <w:fldChar w:fldCharType="end"/>
      </w:r>
    </w:p>
    <w:p w:rsidR="00E1452C" w:rsidRDefault="00E1452C">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_Toc75875700 \h </w:instrText>
      </w:r>
      <w:r>
        <w:fldChar w:fldCharType="separate"/>
      </w:r>
      <w:r w:rsidR="00337078">
        <w:t>106</w:t>
      </w:r>
      <w:r>
        <w:fldChar w:fldCharType="end"/>
      </w:r>
    </w:p>
    <w:p w:rsidR="00E1452C" w:rsidRDefault="00E1452C">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_Toc75875701 \h </w:instrText>
      </w:r>
      <w:r>
        <w:fldChar w:fldCharType="separate"/>
      </w:r>
      <w:r w:rsidR="00337078">
        <w:t>106</w:t>
      </w:r>
      <w:r>
        <w:fldChar w:fldCharType="end"/>
      </w:r>
    </w:p>
    <w:p w:rsidR="00E1452C" w:rsidRDefault="00E1452C">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_Toc75875702 \h </w:instrText>
      </w:r>
      <w:r>
        <w:fldChar w:fldCharType="separate"/>
      </w:r>
      <w:r w:rsidR="00337078">
        <w:t>106</w:t>
      </w:r>
      <w:r>
        <w:fldChar w:fldCharType="end"/>
      </w:r>
    </w:p>
    <w:p w:rsidR="00E1452C" w:rsidRDefault="00E1452C">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_Toc75875703 \h </w:instrText>
      </w:r>
      <w:r>
        <w:fldChar w:fldCharType="separate"/>
      </w:r>
      <w:r w:rsidR="00337078">
        <w:t>107</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2 — Dealing with notifiable vehicles</w:t>
      </w:r>
    </w:p>
    <w:p w:rsidR="00E1452C" w:rsidRDefault="00E1452C">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_Toc75875705 \h </w:instrText>
      </w:r>
      <w:r>
        <w:fldChar w:fldCharType="separate"/>
      </w:r>
      <w:r w:rsidR="00337078">
        <w:t>107</w:t>
      </w:r>
      <w:r>
        <w:fldChar w:fldCharType="end"/>
      </w:r>
    </w:p>
    <w:p w:rsidR="00E1452C" w:rsidRDefault="00E1452C">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_Toc75875706 \h </w:instrText>
      </w:r>
      <w:r>
        <w:fldChar w:fldCharType="separate"/>
      </w:r>
      <w:r w:rsidR="00337078">
        <w:t>108</w:t>
      </w:r>
      <w:r>
        <w:fldChar w:fldCharType="end"/>
      </w:r>
    </w:p>
    <w:p w:rsidR="00E1452C" w:rsidRDefault="00E1452C">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_Toc75875707 \h </w:instrText>
      </w:r>
      <w:r>
        <w:fldChar w:fldCharType="separate"/>
      </w:r>
      <w:r w:rsidR="00337078">
        <w:t>109</w:t>
      </w:r>
      <w:r>
        <w:fldChar w:fldCharType="end"/>
      </w:r>
    </w:p>
    <w:p w:rsidR="00E1452C" w:rsidRDefault="00E1452C">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_Toc75875708 \h </w:instrText>
      </w:r>
      <w:r>
        <w:fldChar w:fldCharType="separate"/>
      </w:r>
      <w:r w:rsidR="00337078">
        <w:t>110</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rsidR="00E1452C" w:rsidRDefault="00E1452C">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_Toc75875710 \h </w:instrText>
      </w:r>
      <w:r>
        <w:fldChar w:fldCharType="separate"/>
      </w:r>
      <w:r w:rsidR="00337078">
        <w:t>110</w:t>
      </w:r>
      <w:r>
        <w:fldChar w:fldCharType="end"/>
      </w:r>
    </w:p>
    <w:p w:rsidR="00E1452C" w:rsidRDefault="00E1452C">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_Toc75875711 \h </w:instrText>
      </w:r>
      <w:r>
        <w:fldChar w:fldCharType="separate"/>
      </w:r>
      <w:r w:rsidR="00337078">
        <w:t>110</w:t>
      </w:r>
      <w:r>
        <w:fldChar w:fldCharType="end"/>
      </w:r>
    </w:p>
    <w:p w:rsidR="00E1452C" w:rsidRDefault="00E1452C">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_Toc75875712 \h </w:instrText>
      </w:r>
      <w:r>
        <w:fldChar w:fldCharType="separate"/>
      </w:r>
      <w:r w:rsidR="00337078">
        <w:t>111</w:t>
      </w:r>
      <w:r>
        <w:fldChar w:fldCharType="end"/>
      </w:r>
    </w:p>
    <w:p w:rsidR="00E1452C" w:rsidRDefault="00E1452C">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rsidR="00E1452C" w:rsidRDefault="00E1452C">
      <w:pPr>
        <w:pStyle w:val="TOC4"/>
        <w:tabs>
          <w:tab w:val="right" w:leader="dot" w:pos="7077"/>
        </w:tabs>
        <w:rPr>
          <w:rFonts w:asciiTheme="minorHAnsi" w:eastAsiaTheme="minorEastAsia" w:hAnsiTheme="minorHAnsi" w:cstheme="minorBidi"/>
          <w:b w:val="0"/>
          <w:szCs w:val="22"/>
        </w:rPr>
      </w:pPr>
      <w:r>
        <w:t>Division 1 — Mass requirements</w:t>
      </w:r>
    </w:p>
    <w:p w:rsidR="00E1452C" w:rsidRDefault="00E1452C">
      <w:pPr>
        <w:pStyle w:val="TOC6"/>
        <w:tabs>
          <w:tab w:val="right" w:leader="dot" w:pos="7077"/>
        </w:tabs>
        <w:rPr>
          <w:rFonts w:asciiTheme="minorHAnsi" w:eastAsiaTheme="minorEastAsia" w:hAnsiTheme="minorHAnsi" w:cstheme="minorBidi"/>
          <w:b w:val="0"/>
          <w:sz w:val="22"/>
          <w:szCs w:val="22"/>
        </w:rPr>
      </w:pPr>
      <w:r>
        <w:t>Subdivision 1 — General</w:t>
      </w:r>
    </w:p>
    <w:p w:rsidR="00E1452C" w:rsidRDefault="00E1452C">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_Toc75875716 \h </w:instrText>
      </w:r>
      <w:r>
        <w:fldChar w:fldCharType="separate"/>
      </w:r>
      <w:r w:rsidR="00337078">
        <w:t>112</w:t>
      </w:r>
      <w:r>
        <w:fldChar w:fldCharType="end"/>
      </w:r>
    </w:p>
    <w:p w:rsidR="00E1452C" w:rsidRDefault="00E1452C">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_Toc75875717 \h </w:instrText>
      </w:r>
      <w:r>
        <w:fldChar w:fldCharType="separate"/>
      </w:r>
      <w:r w:rsidR="00337078">
        <w:t>112</w:t>
      </w:r>
      <w:r>
        <w:fldChar w:fldCharType="end"/>
      </w:r>
    </w:p>
    <w:p w:rsidR="00E1452C" w:rsidRDefault="00E1452C">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_Toc75875718 \h </w:instrText>
      </w:r>
      <w:r>
        <w:fldChar w:fldCharType="separate"/>
      </w:r>
      <w:r w:rsidR="00337078">
        <w:t>112</w:t>
      </w:r>
      <w:r>
        <w:fldChar w:fldCharType="end"/>
      </w:r>
    </w:p>
    <w:p w:rsidR="00E1452C" w:rsidRDefault="00E1452C">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_Toc75875719 \h </w:instrText>
      </w:r>
      <w:r>
        <w:fldChar w:fldCharType="separate"/>
      </w:r>
      <w:r w:rsidR="00337078">
        <w:t>113</w:t>
      </w:r>
      <w:r>
        <w:fldChar w:fldCharType="end"/>
      </w:r>
    </w:p>
    <w:p w:rsidR="00E1452C" w:rsidRDefault="00E1452C">
      <w:pPr>
        <w:pStyle w:val="TOC6"/>
        <w:tabs>
          <w:tab w:val="right" w:leader="dot" w:pos="7077"/>
        </w:tabs>
        <w:rPr>
          <w:rFonts w:asciiTheme="minorHAnsi" w:eastAsiaTheme="minorEastAsia" w:hAnsiTheme="minorHAnsi" w:cstheme="minorBidi"/>
          <w:b w:val="0"/>
          <w:sz w:val="22"/>
          <w:szCs w:val="22"/>
        </w:rPr>
      </w:pPr>
      <w:r>
        <w:t>Subdivision 2 — Heavy vehicles</w:t>
      </w:r>
    </w:p>
    <w:p w:rsidR="00E1452C" w:rsidRDefault="00E1452C">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_Toc75875721 \h </w:instrText>
      </w:r>
      <w:r>
        <w:fldChar w:fldCharType="separate"/>
      </w:r>
      <w:r w:rsidR="00337078">
        <w:t>114</w:t>
      </w:r>
      <w:r>
        <w:fldChar w:fldCharType="end"/>
      </w:r>
    </w:p>
    <w:p w:rsidR="00E1452C" w:rsidRDefault="00E1452C">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_Toc75875722 \h </w:instrText>
      </w:r>
      <w:r>
        <w:fldChar w:fldCharType="separate"/>
      </w:r>
      <w:r w:rsidR="00337078">
        <w:t>114</w:t>
      </w:r>
      <w:r>
        <w:fldChar w:fldCharType="end"/>
      </w:r>
    </w:p>
    <w:p w:rsidR="00E1452C" w:rsidRDefault="00E1452C">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_Toc75875723 \h </w:instrText>
      </w:r>
      <w:r>
        <w:fldChar w:fldCharType="separate"/>
      </w:r>
      <w:r w:rsidR="00337078">
        <w:t>118</w:t>
      </w:r>
      <w:r>
        <w:fldChar w:fldCharType="end"/>
      </w:r>
    </w:p>
    <w:p w:rsidR="00E1452C" w:rsidRDefault="00E1452C">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_Toc75875724 \h </w:instrText>
      </w:r>
      <w:r>
        <w:fldChar w:fldCharType="separate"/>
      </w:r>
      <w:r w:rsidR="00337078">
        <w:t>121</w:t>
      </w:r>
      <w:r>
        <w:fldChar w:fldCharType="end"/>
      </w:r>
    </w:p>
    <w:p w:rsidR="00E1452C" w:rsidRDefault="00E1452C">
      <w:pPr>
        <w:pStyle w:val="TOC6"/>
        <w:tabs>
          <w:tab w:val="right" w:leader="dot" w:pos="7077"/>
        </w:tabs>
        <w:rPr>
          <w:rFonts w:asciiTheme="minorHAnsi" w:eastAsiaTheme="minorEastAsia" w:hAnsiTheme="minorHAnsi" w:cstheme="minorBidi"/>
          <w:b w:val="0"/>
          <w:sz w:val="22"/>
          <w:szCs w:val="22"/>
        </w:rPr>
      </w:pPr>
      <w:r>
        <w:t>Subdivision 3 — Light vehicles</w:t>
      </w:r>
    </w:p>
    <w:p w:rsidR="00E1452C" w:rsidRDefault="00E1452C">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_Toc75875726 \h </w:instrText>
      </w:r>
      <w:r>
        <w:fldChar w:fldCharType="separate"/>
      </w:r>
      <w:r w:rsidR="00337078">
        <w:t>122</w:t>
      </w:r>
      <w:r>
        <w:fldChar w:fldCharType="end"/>
      </w:r>
    </w:p>
    <w:p w:rsidR="00E1452C" w:rsidRDefault="00E1452C">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_Toc75875727 \h </w:instrText>
      </w:r>
      <w:r>
        <w:fldChar w:fldCharType="separate"/>
      </w:r>
      <w:r w:rsidR="00337078">
        <w:t>123</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lastRenderedPageBreak/>
        <w:t>Division 2 — Dimension requirements</w:t>
      </w:r>
    </w:p>
    <w:p w:rsidR="00E1452C" w:rsidRDefault="00E1452C">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_Toc75875729 \h </w:instrText>
      </w:r>
      <w:r>
        <w:fldChar w:fldCharType="separate"/>
      </w:r>
      <w:r w:rsidR="00337078">
        <w:t>124</w:t>
      </w:r>
      <w:r>
        <w:fldChar w:fldCharType="end"/>
      </w:r>
    </w:p>
    <w:p w:rsidR="00E1452C" w:rsidRDefault="00E1452C">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_Toc75875730 \h </w:instrText>
      </w:r>
      <w:r>
        <w:fldChar w:fldCharType="separate"/>
      </w:r>
      <w:r w:rsidR="00337078">
        <w:t>124</w:t>
      </w:r>
      <w:r>
        <w:fldChar w:fldCharType="end"/>
      </w:r>
    </w:p>
    <w:p w:rsidR="00E1452C" w:rsidRDefault="00E1452C">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_Toc75875731 \h </w:instrText>
      </w:r>
      <w:r>
        <w:fldChar w:fldCharType="separate"/>
      </w:r>
      <w:r w:rsidR="00337078">
        <w:t>124</w:t>
      </w:r>
      <w:r>
        <w:fldChar w:fldCharType="end"/>
      </w:r>
    </w:p>
    <w:p w:rsidR="00E1452C" w:rsidRDefault="00E1452C">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_Toc75875732 \h </w:instrText>
      </w:r>
      <w:r>
        <w:fldChar w:fldCharType="separate"/>
      </w:r>
      <w:r w:rsidR="00337078">
        <w:t>124</w:t>
      </w:r>
      <w:r>
        <w:fldChar w:fldCharType="end"/>
      </w:r>
    </w:p>
    <w:p w:rsidR="00E1452C" w:rsidRDefault="00E1452C">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_Toc75875733 \h </w:instrText>
      </w:r>
      <w:r>
        <w:fldChar w:fldCharType="separate"/>
      </w:r>
      <w:r w:rsidR="00337078">
        <w:t>125</w:t>
      </w:r>
      <w:r>
        <w:fldChar w:fldCharType="end"/>
      </w:r>
    </w:p>
    <w:p w:rsidR="00E1452C" w:rsidRDefault="00E1452C">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_Toc75875734 \h </w:instrText>
      </w:r>
      <w:r>
        <w:fldChar w:fldCharType="separate"/>
      </w:r>
      <w:r w:rsidR="00337078">
        <w:t>126</w:t>
      </w:r>
      <w:r>
        <w:fldChar w:fldCharType="end"/>
      </w:r>
    </w:p>
    <w:p w:rsidR="00E1452C" w:rsidRDefault="00E1452C">
      <w:pPr>
        <w:pStyle w:val="TOC8"/>
        <w:rPr>
          <w:rFonts w:asciiTheme="minorHAnsi" w:eastAsiaTheme="minorEastAsia" w:hAnsiTheme="minorHAnsi" w:cstheme="minorBidi"/>
          <w:szCs w:val="22"/>
        </w:rPr>
      </w:pPr>
      <w:r>
        <w:t>175.</w:t>
      </w:r>
      <w:r>
        <w:tab/>
        <w:t>Rear overhang</w:t>
      </w:r>
      <w:r>
        <w:tab/>
      </w:r>
      <w:r>
        <w:fldChar w:fldCharType="begin"/>
      </w:r>
      <w:r>
        <w:instrText xml:space="preserve"> PAGEREF _Toc75875735 \h </w:instrText>
      </w:r>
      <w:r>
        <w:fldChar w:fldCharType="separate"/>
      </w:r>
      <w:r w:rsidR="00337078">
        <w:t>127</w:t>
      </w:r>
      <w:r>
        <w:fldChar w:fldCharType="end"/>
      </w:r>
    </w:p>
    <w:p w:rsidR="00E1452C" w:rsidRDefault="00E1452C">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_Toc75875736 \h </w:instrText>
      </w:r>
      <w:r>
        <w:fldChar w:fldCharType="separate"/>
      </w:r>
      <w:r w:rsidR="00337078">
        <w:t>127</w:t>
      </w:r>
      <w:r>
        <w:fldChar w:fldCharType="end"/>
      </w:r>
    </w:p>
    <w:p w:rsidR="00E1452C" w:rsidRDefault="00E1452C">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_Toc75875737 \h </w:instrText>
      </w:r>
      <w:r>
        <w:fldChar w:fldCharType="separate"/>
      </w:r>
      <w:r w:rsidR="00337078">
        <w:t>128</w:t>
      </w:r>
      <w:r>
        <w:fldChar w:fldCharType="end"/>
      </w:r>
    </w:p>
    <w:p w:rsidR="00E1452C" w:rsidRDefault="00E1452C">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_Toc75875738 \h </w:instrText>
      </w:r>
      <w:r>
        <w:fldChar w:fldCharType="separate"/>
      </w:r>
      <w:r w:rsidR="00337078">
        <w:t>128</w:t>
      </w:r>
      <w:r>
        <w:fldChar w:fldCharType="end"/>
      </w:r>
    </w:p>
    <w:p w:rsidR="00E1452C" w:rsidRDefault="00E1452C">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_Toc75875739 \h </w:instrText>
      </w:r>
      <w:r>
        <w:fldChar w:fldCharType="separate"/>
      </w:r>
      <w:r w:rsidR="00337078">
        <w:t>130</w:t>
      </w:r>
      <w:r>
        <w:fldChar w:fldCharType="end"/>
      </w:r>
    </w:p>
    <w:p w:rsidR="00E1452C" w:rsidRDefault="00E1452C">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_Toc75875740 \h </w:instrText>
      </w:r>
      <w:r>
        <w:fldChar w:fldCharType="separate"/>
      </w:r>
      <w:r w:rsidR="00337078">
        <w:t>131</w:t>
      </w:r>
      <w:r>
        <w:fldChar w:fldCharType="end"/>
      </w:r>
    </w:p>
    <w:p w:rsidR="00E1452C" w:rsidRDefault="00E1452C">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_Toc75875741 \h </w:instrText>
      </w:r>
      <w:r>
        <w:fldChar w:fldCharType="separate"/>
      </w:r>
      <w:r w:rsidR="00337078">
        <w:t>132</w:t>
      </w:r>
      <w:r>
        <w:fldChar w:fldCharType="end"/>
      </w:r>
    </w:p>
    <w:p w:rsidR="00E1452C" w:rsidRDefault="00E1452C">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_Toc75875742 \h </w:instrText>
      </w:r>
      <w:r>
        <w:fldChar w:fldCharType="separate"/>
      </w:r>
      <w:r w:rsidR="00337078">
        <w:t>132</w:t>
      </w:r>
      <w:r>
        <w:fldChar w:fldCharType="end"/>
      </w:r>
    </w:p>
    <w:p w:rsidR="00E1452C" w:rsidRDefault="00E1452C">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_Toc75875743 \h </w:instrText>
      </w:r>
      <w:r>
        <w:fldChar w:fldCharType="separate"/>
      </w:r>
      <w:r w:rsidR="00337078">
        <w:t>133</w:t>
      </w:r>
      <w:r>
        <w:fldChar w:fldCharType="end"/>
      </w:r>
    </w:p>
    <w:p w:rsidR="00E1452C" w:rsidRDefault="00E1452C">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_Toc75875744 \h </w:instrText>
      </w:r>
      <w:r>
        <w:fldChar w:fldCharType="separate"/>
      </w:r>
      <w:r w:rsidR="00337078">
        <w:t>133</w:t>
      </w:r>
      <w:r>
        <w:fldChar w:fldCharType="end"/>
      </w:r>
    </w:p>
    <w:p w:rsidR="00E1452C" w:rsidRDefault="00E1452C">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_Toc75875745 \h </w:instrText>
      </w:r>
      <w:r>
        <w:fldChar w:fldCharType="separate"/>
      </w:r>
      <w:r w:rsidR="00337078">
        <w:t>134</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3 — Loading requirements</w:t>
      </w:r>
    </w:p>
    <w:p w:rsidR="00E1452C" w:rsidRDefault="00E1452C">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_Toc75875747 \h </w:instrText>
      </w:r>
      <w:r>
        <w:fldChar w:fldCharType="separate"/>
      </w:r>
      <w:r w:rsidR="00337078">
        <w:t>134</w:t>
      </w:r>
      <w:r>
        <w:fldChar w:fldCharType="end"/>
      </w:r>
    </w:p>
    <w:p w:rsidR="00E1452C" w:rsidRDefault="00E1452C">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_Toc75875748 \h </w:instrText>
      </w:r>
      <w:r>
        <w:fldChar w:fldCharType="separate"/>
      </w:r>
      <w:r w:rsidR="00337078">
        <w:t>134</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rsidR="00E1452C" w:rsidRDefault="00E1452C">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_Toc75875750 \h </w:instrText>
      </w:r>
      <w:r>
        <w:fldChar w:fldCharType="separate"/>
      </w:r>
      <w:r w:rsidR="00337078">
        <w:t>135</w:t>
      </w:r>
      <w:r>
        <w:fldChar w:fldCharType="end"/>
      </w:r>
    </w:p>
    <w:p w:rsidR="00E1452C" w:rsidRDefault="00E1452C">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_Toc75875751 \h </w:instrText>
      </w:r>
      <w:r>
        <w:fldChar w:fldCharType="separate"/>
      </w:r>
      <w:r w:rsidR="00337078">
        <w:t>136</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rsidR="00E1452C" w:rsidRDefault="00E1452C">
      <w:pPr>
        <w:pStyle w:val="TOC8"/>
        <w:rPr>
          <w:rFonts w:asciiTheme="minorHAnsi" w:eastAsiaTheme="minorEastAsia" w:hAnsiTheme="minorHAnsi" w:cstheme="minorBidi"/>
          <w:szCs w:val="22"/>
        </w:rPr>
      </w:pPr>
      <w:r>
        <w:t>190.</w:t>
      </w:r>
      <w:r>
        <w:tab/>
        <w:t>Terms used</w:t>
      </w:r>
      <w:r>
        <w:tab/>
      </w:r>
      <w:r>
        <w:fldChar w:fldCharType="begin"/>
      </w:r>
      <w:r>
        <w:instrText xml:space="preserve"> PAGEREF _Toc75875753 \h </w:instrText>
      </w:r>
      <w:r>
        <w:fldChar w:fldCharType="separate"/>
      </w:r>
      <w:r w:rsidR="00337078">
        <w:t>136</w:t>
      </w:r>
      <w:r>
        <w:fldChar w:fldCharType="end"/>
      </w:r>
    </w:p>
    <w:p w:rsidR="00E1452C" w:rsidRDefault="00E1452C">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_Toc75875754 \h </w:instrText>
      </w:r>
      <w:r>
        <w:fldChar w:fldCharType="separate"/>
      </w:r>
      <w:r w:rsidR="00337078">
        <w:t>137</w:t>
      </w:r>
      <w:r>
        <w:fldChar w:fldCharType="end"/>
      </w:r>
    </w:p>
    <w:p w:rsidR="00E1452C" w:rsidRDefault="00E1452C">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_Toc75875755 \h </w:instrText>
      </w:r>
      <w:r>
        <w:fldChar w:fldCharType="separate"/>
      </w:r>
      <w:r w:rsidR="00337078">
        <w:t>137</w:t>
      </w:r>
      <w:r>
        <w:fldChar w:fldCharType="end"/>
      </w:r>
    </w:p>
    <w:p w:rsidR="00E1452C" w:rsidRDefault="00E1452C">
      <w:pPr>
        <w:pStyle w:val="TOC8"/>
        <w:rPr>
          <w:rFonts w:asciiTheme="minorHAnsi" w:eastAsiaTheme="minorEastAsia" w:hAnsiTheme="minorHAnsi" w:cstheme="minorBidi"/>
          <w:szCs w:val="22"/>
        </w:rPr>
      </w:pPr>
      <w:r>
        <w:lastRenderedPageBreak/>
        <w:t>193.</w:t>
      </w:r>
      <w:r>
        <w:tab/>
        <w:t>Applications for permits to modify mass or dimension requirement</w:t>
      </w:r>
      <w:r>
        <w:tab/>
      </w:r>
      <w:r>
        <w:fldChar w:fldCharType="begin"/>
      </w:r>
      <w:r>
        <w:instrText xml:space="preserve"> PAGEREF _Toc75875756 \h </w:instrText>
      </w:r>
      <w:r>
        <w:fldChar w:fldCharType="separate"/>
      </w:r>
      <w:r w:rsidR="00337078">
        <w:t>138</w:t>
      </w:r>
      <w:r>
        <w:fldChar w:fldCharType="end"/>
      </w:r>
    </w:p>
    <w:p w:rsidR="00E1452C" w:rsidRDefault="00E1452C">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_Toc75875757 \h </w:instrText>
      </w:r>
      <w:r>
        <w:fldChar w:fldCharType="separate"/>
      </w:r>
      <w:r w:rsidR="00337078">
        <w:t>138</w:t>
      </w:r>
      <w:r>
        <w:fldChar w:fldCharType="end"/>
      </w:r>
    </w:p>
    <w:p w:rsidR="00E1452C" w:rsidRDefault="00E1452C">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_Toc75875758 \h </w:instrText>
      </w:r>
      <w:r>
        <w:fldChar w:fldCharType="separate"/>
      </w:r>
      <w:r w:rsidR="00337078">
        <w:t>138</w:t>
      </w:r>
      <w:r>
        <w:fldChar w:fldCharType="end"/>
      </w:r>
    </w:p>
    <w:p w:rsidR="00E1452C" w:rsidRDefault="00E1452C">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_Toc75875759 \h </w:instrText>
      </w:r>
      <w:r>
        <w:fldChar w:fldCharType="separate"/>
      </w:r>
      <w:r w:rsidR="00337078">
        <w:t>139</w:t>
      </w:r>
      <w:r>
        <w:fldChar w:fldCharType="end"/>
      </w:r>
    </w:p>
    <w:p w:rsidR="00E1452C" w:rsidRDefault="00E1452C">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_Toc75875760 \h </w:instrText>
      </w:r>
      <w:r>
        <w:fldChar w:fldCharType="separate"/>
      </w:r>
      <w:r w:rsidR="00337078">
        <w:t>139</w:t>
      </w:r>
      <w:r>
        <w:fldChar w:fldCharType="end"/>
      </w:r>
    </w:p>
    <w:p w:rsidR="00E1452C" w:rsidRDefault="00E1452C">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_Toc75875761 \h </w:instrText>
      </w:r>
      <w:r>
        <w:fldChar w:fldCharType="separate"/>
      </w:r>
      <w:r w:rsidR="00337078">
        <w:t>140</w:t>
      </w:r>
      <w:r>
        <w:fldChar w:fldCharType="end"/>
      </w:r>
    </w:p>
    <w:p w:rsidR="00E1452C" w:rsidRDefault="00E1452C">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_Toc75875762 \h </w:instrText>
      </w:r>
      <w:r>
        <w:fldChar w:fldCharType="separate"/>
      </w:r>
      <w:r w:rsidR="00337078">
        <w:t>140</w:t>
      </w:r>
      <w:r>
        <w:fldChar w:fldCharType="end"/>
      </w:r>
    </w:p>
    <w:p w:rsidR="00E1452C" w:rsidRDefault="00E1452C">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_Toc75875763 \h </w:instrText>
      </w:r>
      <w:r>
        <w:fldChar w:fldCharType="separate"/>
      </w:r>
      <w:r w:rsidR="00337078">
        <w:t>141</w:t>
      </w:r>
      <w:r>
        <w:fldChar w:fldCharType="end"/>
      </w:r>
    </w:p>
    <w:p w:rsidR="00E1452C" w:rsidRDefault="00E1452C">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_Toc75875764 \h </w:instrText>
      </w:r>
      <w:r>
        <w:fldChar w:fldCharType="separate"/>
      </w:r>
      <w:r w:rsidR="00337078">
        <w:t>141</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rsidR="00E1452C" w:rsidRDefault="00E1452C">
      <w:pPr>
        <w:pStyle w:val="TOC8"/>
        <w:rPr>
          <w:rFonts w:asciiTheme="minorHAnsi" w:eastAsiaTheme="minorEastAsia" w:hAnsiTheme="minorHAnsi" w:cstheme="minorBidi"/>
          <w:szCs w:val="22"/>
        </w:rPr>
      </w:pPr>
      <w:r>
        <w:t>202.</w:t>
      </w:r>
      <w:r>
        <w:tab/>
        <w:t>Terms used</w:t>
      </w:r>
      <w:r>
        <w:tab/>
      </w:r>
      <w:r>
        <w:fldChar w:fldCharType="begin"/>
      </w:r>
      <w:r>
        <w:instrText xml:space="preserve"> PAGEREF _Toc75875766 \h </w:instrText>
      </w:r>
      <w:r>
        <w:fldChar w:fldCharType="separate"/>
      </w:r>
      <w:r w:rsidR="00337078">
        <w:t>142</w:t>
      </w:r>
      <w:r>
        <w:fldChar w:fldCharType="end"/>
      </w:r>
    </w:p>
    <w:p w:rsidR="00E1452C" w:rsidRDefault="00E1452C">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_Toc75875767 \h </w:instrText>
      </w:r>
      <w:r>
        <w:fldChar w:fldCharType="separate"/>
      </w:r>
      <w:r w:rsidR="00337078">
        <w:t>142</w:t>
      </w:r>
      <w:r>
        <w:fldChar w:fldCharType="end"/>
      </w:r>
    </w:p>
    <w:p w:rsidR="00E1452C" w:rsidRDefault="00E1452C">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_Toc75875768 \h </w:instrText>
      </w:r>
      <w:r>
        <w:fldChar w:fldCharType="separate"/>
      </w:r>
      <w:r w:rsidR="00337078">
        <w:t>143</w:t>
      </w:r>
      <w:r>
        <w:fldChar w:fldCharType="end"/>
      </w:r>
    </w:p>
    <w:p w:rsidR="00E1452C" w:rsidRDefault="00E1452C">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_Toc75875769 \h </w:instrText>
      </w:r>
      <w:r>
        <w:fldChar w:fldCharType="separate"/>
      </w:r>
      <w:r w:rsidR="00337078">
        <w:t>143</w:t>
      </w:r>
      <w:r>
        <w:fldChar w:fldCharType="end"/>
      </w:r>
    </w:p>
    <w:p w:rsidR="00E1452C" w:rsidRDefault="00E1452C">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_Toc75875770 \h </w:instrText>
      </w:r>
      <w:r>
        <w:fldChar w:fldCharType="separate"/>
      </w:r>
      <w:r w:rsidR="00337078">
        <w:t>143</w:t>
      </w:r>
      <w:r>
        <w:fldChar w:fldCharType="end"/>
      </w:r>
    </w:p>
    <w:p w:rsidR="00E1452C" w:rsidRDefault="00E1452C">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_Toc75875771 \h </w:instrText>
      </w:r>
      <w:r>
        <w:fldChar w:fldCharType="separate"/>
      </w:r>
      <w:r w:rsidR="00337078">
        <w:t>144</w:t>
      </w:r>
      <w:r>
        <w:fldChar w:fldCharType="end"/>
      </w:r>
    </w:p>
    <w:p w:rsidR="00E1452C" w:rsidRDefault="00E1452C">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_Toc75875772 \h </w:instrText>
      </w:r>
      <w:r>
        <w:fldChar w:fldCharType="separate"/>
      </w:r>
      <w:r w:rsidR="00337078">
        <w:t>144</w:t>
      </w:r>
      <w:r>
        <w:fldChar w:fldCharType="end"/>
      </w:r>
    </w:p>
    <w:p w:rsidR="00E1452C" w:rsidRDefault="00E1452C">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_Toc75875773 \h </w:instrText>
      </w:r>
      <w:r>
        <w:fldChar w:fldCharType="separate"/>
      </w:r>
      <w:r w:rsidR="00337078">
        <w:t>144</w:t>
      </w:r>
      <w:r>
        <w:fldChar w:fldCharType="end"/>
      </w:r>
    </w:p>
    <w:p w:rsidR="00E1452C" w:rsidRDefault="00E1452C">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_Toc75875774 \h </w:instrText>
      </w:r>
      <w:r>
        <w:fldChar w:fldCharType="separate"/>
      </w:r>
      <w:r w:rsidR="00337078">
        <w:t>145</w:t>
      </w:r>
      <w:r>
        <w:fldChar w:fldCharType="end"/>
      </w:r>
    </w:p>
    <w:p w:rsidR="00E1452C" w:rsidRDefault="00E1452C">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_Toc75875775 \h </w:instrText>
      </w:r>
      <w:r>
        <w:fldChar w:fldCharType="separate"/>
      </w:r>
      <w:r w:rsidR="00337078">
        <w:t>145</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7 — Accreditation</w:t>
      </w:r>
    </w:p>
    <w:p w:rsidR="00E1452C" w:rsidRDefault="00E1452C">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_Toc75875777 \h </w:instrText>
      </w:r>
      <w:r>
        <w:fldChar w:fldCharType="separate"/>
      </w:r>
      <w:r w:rsidR="00337078">
        <w:t>146</w:t>
      </w:r>
      <w:r>
        <w:fldChar w:fldCharType="end"/>
      </w:r>
    </w:p>
    <w:p w:rsidR="00E1452C" w:rsidRDefault="00E1452C">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_Toc75875778 \h </w:instrText>
      </w:r>
      <w:r>
        <w:fldChar w:fldCharType="separate"/>
      </w:r>
      <w:r w:rsidR="00337078">
        <w:t>146</w:t>
      </w:r>
      <w:r>
        <w:fldChar w:fldCharType="end"/>
      </w:r>
    </w:p>
    <w:p w:rsidR="00E1452C" w:rsidRDefault="00E1452C">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_Toc75875779 \h </w:instrText>
      </w:r>
      <w:r>
        <w:fldChar w:fldCharType="separate"/>
      </w:r>
      <w:r w:rsidR="00337078">
        <w:t>146</w:t>
      </w:r>
      <w:r>
        <w:fldChar w:fldCharType="end"/>
      </w:r>
    </w:p>
    <w:p w:rsidR="00E1452C" w:rsidRDefault="00E1452C">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_Toc75875780 \h </w:instrText>
      </w:r>
      <w:r>
        <w:fldChar w:fldCharType="separate"/>
      </w:r>
      <w:r w:rsidR="00337078">
        <w:t>146</w:t>
      </w:r>
      <w:r>
        <w:fldChar w:fldCharType="end"/>
      </w:r>
    </w:p>
    <w:p w:rsidR="00E1452C" w:rsidRDefault="00E1452C">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_Toc75875781 \h </w:instrText>
      </w:r>
      <w:r>
        <w:fldChar w:fldCharType="separate"/>
      </w:r>
      <w:r w:rsidR="00337078">
        <w:t>147</w:t>
      </w:r>
      <w:r>
        <w:fldChar w:fldCharType="end"/>
      </w:r>
    </w:p>
    <w:p w:rsidR="00E1452C" w:rsidRDefault="00E1452C">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_Toc75875782 \h </w:instrText>
      </w:r>
      <w:r>
        <w:fldChar w:fldCharType="separate"/>
      </w:r>
      <w:r w:rsidR="00337078">
        <w:t>147</w:t>
      </w:r>
      <w:r>
        <w:fldChar w:fldCharType="end"/>
      </w:r>
    </w:p>
    <w:p w:rsidR="00E1452C" w:rsidRDefault="00E1452C">
      <w:pPr>
        <w:pStyle w:val="TOC8"/>
        <w:rPr>
          <w:rFonts w:asciiTheme="minorHAnsi" w:eastAsiaTheme="minorEastAsia" w:hAnsiTheme="minorHAnsi" w:cstheme="minorBidi"/>
          <w:szCs w:val="22"/>
        </w:rPr>
      </w:pPr>
      <w:r>
        <w:lastRenderedPageBreak/>
        <w:t>218.</w:t>
      </w:r>
      <w:r>
        <w:tab/>
        <w:t>Fees for application for accreditation, renewal</w:t>
      </w:r>
      <w:r>
        <w:tab/>
      </w:r>
      <w:r>
        <w:fldChar w:fldCharType="begin"/>
      </w:r>
      <w:r>
        <w:instrText xml:space="preserve"> PAGEREF _Toc75875783 \h </w:instrText>
      </w:r>
      <w:r>
        <w:fldChar w:fldCharType="separate"/>
      </w:r>
      <w:r w:rsidR="00337078">
        <w:t>148</w:t>
      </w:r>
      <w:r>
        <w:fldChar w:fldCharType="end"/>
      </w:r>
    </w:p>
    <w:p w:rsidR="00E1452C" w:rsidRDefault="00E1452C">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_Toc75875784 \h </w:instrText>
      </w:r>
      <w:r>
        <w:fldChar w:fldCharType="separate"/>
      </w:r>
      <w:r w:rsidR="00337078">
        <w:t>148</w:t>
      </w:r>
      <w:r>
        <w:fldChar w:fldCharType="end"/>
      </w:r>
    </w:p>
    <w:p w:rsidR="00E1452C" w:rsidRDefault="00E1452C">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_Toc75875785 \h </w:instrText>
      </w:r>
      <w:r>
        <w:fldChar w:fldCharType="separate"/>
      </w:r>
      <w:r w:rsidR="00337078">
        <w:t>148</w:t>
      </w:r>
      <w:r>
        <w:fldChar w:fldCharType="end"/>
      </w:r>
    </w:p>
    <w:p w:rsidR="00E1452C" w:rsidRDefault="00E1452C">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_Toc75875786 \h </w:instrText>
      </w:r>
      <w:r>
        <w:fldChar w:fldCharType="separate"/>
      </w:r>
      <w:r w:rsidR="00337078">
        <w:t>148</w:t>
      </w:r>
      <w:r>
        <w:fldChar w:fldCharType="end"/>
      </w:r>
    </w:p>
    <w:p w:rsidR="00E1452C" w:rsidRDefault="00E1452C">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_Toc75875787 \h </w:instrText>
      </w:r>
      <w:r>
        <w:fldChar w:fldCharType="separate"/>
      </w:r>
      <w:r w:rsidR="00337078">
        <w:t>149</w:t>
      </w:r>
      <w:r>
        <w:fldChar w:fldCharType="end"/>
      </w:r>
    </w:p>
    <w:p w:rsidR="00E1452C" w:rsidRDefault="00E1452C">
      <w:pPr>
        <w:pStyle w:val="TOC2"/>
        <w:tabs>
          <w:tab w:val="right" w:leader="dot" w:pos="7077"/>
        </w:tabs>
        <w:rPr>
          <w:rFonts w:asciiTheme="minorHAnsi" w:eastAsiaTheme="minorEastAsia" w:hAnsiTheme="minorHAnsi" w:cstheme="minorBidi"/>
          <w:b w:val="0"/>
          <w:sz w:val="22"/>
          <w:szCs w:val="22"/>
        </w:rPr>
      </w:pPr>
      <w:r>
        <w:t>Part 9 — Miscellaneous prescribed matters</w:t>
      </w:r>
    </w:p>
    <w:p w:rsidR="00E1452C" w:rsidRDefault="00E1452C">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_Toc75875789 \h </w:instrText>
      </w:r>
      <w:r>
        <w:fldChar w:fldCharType="separate"/>
      </w:r>
      <w:r w:rsidR="00337078">
        <w:t>150</w:t>
      </w:r>
      <w:r>
        <w:fldChar w:fldCharType="end"/>
      </w:r>
    </w:p>
    <w:p w:rsidR="00E1452C" w:rsidRDefault="00E1452C">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_Toc75875790 \h </w:instrText>
      </w:r>
      <w:r>
        <w:fldChar w:fldCharType="separate"/>
      </w:r>
      <w:r w:rsidR="00337078">
        <w:t>150</w:t>
      </w:r>
      <w:r>
        <w:fldChar w:fldCharType="end"/>
      </w:r>
    </w:p>
    <w:p w:rsidR="00E1452C" w:rsidRDefault="00E1452C">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_Toc75875791 \h </w:instrText>
      </w:r>
      <w:r>
        <w:fldChar w:fldCharType="separate"/>
      </w:r>
      <w:r w:rsidR="00337078">
        <w:t>150</w:t>
      </w:r>
      <w:r>
        <w:fldChar w:fldCharType="end"/>
      </w:r>
    </w:p>
    <w:p w:rsidR="00E1452C" w:rsidRDefault="00E1452C">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rsidR="00E1452C" w:rsidRDefault="00E1452C">
      <w:pPr>
        <w:pStyle w:val="TOC4"/>
        <w:tabs>
          <w:tab w:val="right" w:leader="dot" w:pos="7077"/>
        </w:tabs>
        <w:rPr>
          <w:rFonts w:asciiTheme="minorHAnsi" w:eastAsiaTheme="minorEastAsia" w:hAnsiTheme="minorHAnsi" w:cstheme="minorBidi"/>
          <w:b w:val="0"/>
          <w:szCs w:val="22"/>
        </w:rPr>
      </w:pPr>
      <w:r>
        <w:t>Division 1 — Preliminary</w:t>
      </w:r>
    </w:p>
    <w:p w:rsidR="00E1452C" w:rsidRDefault="00E1452C">
      <w:pPr>
        <w:pStyle w:val="TOC8"/>
        <w:rPr>
          <w:rFonts w:asciiTheme="minorHAnsi" w:eastAsiaTheme="minorEastAsia" w:hAnsiTheme="minorHAnsi" w:cstheme="minorBidi"/>
          <w:szCs w:val="22"/>
        </w:rPr>
      </w:pPr>
      <w:r>
        <w:t>226.</w:t>
      </w:r>
      <w:r>
        <w:tab/>
        <w:t>Terms used</w:t>
      </w:r>
      <w:r>
        <w:tab/>
      </w:r>
      <w:r>
        <w:fldChar w:fldCharType="begin"/>
      </w:r>
      <w:r>
        <w:instrText xml:space="preserve"> PAGEREF _Toc75875794 \h </w:instrText>
      </w:r>
      <w:r>
        <w:fldChar w:fldCharType="separate"/>
      </w:r>
      <w:r w:rsidR="00337078">
        <w:t>151</w:t>
      </w:r>
      <w:r>
        <w:fldChar w:fldCharType="end"/>
      </w:r>
    </w:p>
    <w:p w:rsidR="00E1452C" w:rsidRDefault="00E1452C">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_Toc75875795 \h </w:instrText>
      </w:r>
      <w:r>
        <w:fldChar w:fldCharType="separate"/>
      </w:r>
      <w:r w:rsidR="00337078">
        <w:t>153</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2 — Application</w:t>
      </w:r>
    </w:p>
    <w:p w:rsidR="00E1452C" w:rsidRDefault="00E1452C">
      <w:pPr>
        <w:pStyle w:val="TOC8"/>
        <w:rPr>
          <w:rFonts w:asciiTheme="minorHAnsi" w:eastAsiaTheme="minorEastAsia" w:hAnsiTheme="minorHAnsi" w:cstheme="minorBidi"/>
          <w:szCs w:val="22"/>
        </w:rPr>
      </w:pPr>
      <w:r>
        <w:t>228.</w:t>
      </w:r>
      <w:r>
        <w:tab/>
        <w:t>Application</w:t>
      </w:r>
      <w:r>
        <w:tab/>
      </w:r>
      <w:r>
        <w:fldChar w:fldCharType="begin"/>
      </w:r>
      <w:r>
        <w:instrText xml:space="preserve"> PAGEREF _Toc75875797 \h </w:instrText>
      </w:r>
      <w:r>
        <w:fldChar w:fldCharType="separate"/>
      </w:r>
      <w:r w:rsidR="00337078">
        <w:t>153</w:t>
      </w:r>
      <w:r>
        <w:fldChar w:fldCharType="end"/>
      </w:r>
    </w:p>
    <w:p w:rsidR="00E1452C" w:rsidRDefault="00E1452C">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_Toc75875798 \h </w:instrText>
      </w:r>
      <w:r>
        <w:fldChar w:fldCharType="separate"/>
      </w:r>
      <w:r w:rsidR="00337078">
        <w:t>154</w:t>
      </w:r>
      <w:r>
        <w:fldChar w:fldCharType="end"/>
      </w:r>
    </w:p>
    <w:p w:rsidR="00E1452C" w:rsidRDefault="00E1452C">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_Toc75875799 \h </w:instrText>
      </w:r>
      <w:r>
        <w:fldChar w:fldCharType="separate"/>
      </w:r>
      <w:r w:rsidR="00337078">
        <w:t>154</w:t>
      </w:r>
      <w:r>
        <w:fldChar w:fldCharType="end"/>
      </w:r>
    </w:p>
    <w:p w:rsidR="00E1452C" w:rsidRDefault="00E1452C">
      <w:pPr>
        <w:pStyle w:val="TOC8"/>
        <w:rPr>
          <w:rFonts w:asciiTheme="minorHAnsi" w:eastAsiaTheme="minorEastAsia" w:hAnsiTheme="minorHAnsi" w:cstheme="minorBidi"/>
          <w:szCs w:val="22"/>
        </w:rPr>
      </w:pPr>
      <w:r>
        <w:t>231.</w:t>
      </w:r>
      <w:r>
        <w:tab/>
        <w:t>Non</w:t>
      </w:r>
      <w:r>
        <w:noBreakHyphen/>
        <w:t>application of this Part: approvals under Commonwealth legislation</w:t>
      </w:r>
      <w:r>
        <w:tab/>
      </w:r>
      <w:r>
        <w:fldChar w:fldCharType="begin"/>
      </w:r>
      <w:r>
        <w:instrText xml:space="preserve"> PAGEREF _Toc75875800 \h </w:instrText>
      </w:r>
      <w:r>
        <w:fldChar w:fldCharType="separate"/>
      </w:r>
      <w:r w:rsidR="00337078">
        <w:t>154</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3 — Offences and penalties</w:t>
      </w:r>
    </w:p>
    <w:p w:rsidR="00E1452C" w:rsidRDefault="00E1452C">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_Toc75875802 \h </w:instrText>
      </w:r>
      <w:r>
        <w:fldChar w:fldCharType="separate"/>
      </w:r>
      <w:r w:rsidR="00337078">
        <w:t>155</w:t>
      </w:r>
      <w:r>
        <w:fldChar w:fldCharType="end"/>
      </w:r>
    </w:p>
    <w:p w:rsidR="00E1452C" w:rsidRDefault="00E1452C">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_Toc75875803 \h </w:instrText>
      </w:r>
      <w:r>
        <w:fldChar w:fldCharType="separate"/>
      </w:r>
      <w:r w:rsidR="00337078">
        <w:t>156</w:t>
      </w:r>
      <w:r>
        <w:fldChar w:fldCharType="end"/>
      </w:r>
    </w:p>
    <w:p w:rsidR="00E1452C" w:rsidRDefault="00E1452C">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_Toc75875804 \h </w:instrText>
      </w:r>
      <w:r>
        <w:fldChar w:fldCharType="separate"/>
      </w:r>
      <w:r w:rsidR="00337078">
        <w:t>156</w:t>
      </w:r>
      <w:r>
        <w:fldChar w:fldCharType="end"/>
      </w:r>
    </w:p>
    <w:p w:rsidR="00E1452C" w:rsidRDefault="00E1452C">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_Toc75875805 \h </w:instrText>
      </w:r>
      <w:r>
        <w:fldChar w:fldCharType="separate"/>
      </w:r>
      <w:r w:rsidR="00337078">
        <w:t>157</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rsidR="00E1452C" w:rsidRDefault="00E1452C">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_Toc75875807 \h </w:instrText>
      </w:r>
      <w:r>
        <w:fldChar w:fldCharType="separate"/>
      </w:r>
      <w:r w:rsidR="00337078">
        <w:t>160</w:t>
      </w:r>
      <w:r>
        <w:fldChar w:fldCharType="end"/>
      </w:r>
    </w:p>
    <w:p w:rsidR="00E1452C" w:rsidRDefault="00E1452C">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_Toc75875808 \h </w:instrText>
      </w:r>
      <w:r>
        <w:fldChar w:fldCharType="separate"/>
      </w:r>
      <w:r w:rsidR="00337078">
        <w:t>161</w:t>
      </w:r>
      <w:r>
        <w:fldChar w:fldCharType="end"/>
      </w:r>
    </w:p>
    <w:p w:rsidR="00E1452C" w:rsidRDefault="00E1452C">
      <w:pPr>
        <w:pStyle w:val="TOC8"/>
        <w:rPr>
          <w:rFonts w:asciiTheme="minorHAnsi" w:eastAsiaTheme="minorEastAsia" w:hAnsiTheme="minorHAnsi" w:cstheme="minorBidi"/>
          <w:szCs w:val="22"/>
        </w:rPr>
      </w:pPr>
      <w:r>
        <w:lastRenderedPageBreak/>
        <w:t>238.</w:t>
      </w:r>
      <w:r>
        <w:tab/>
        <w:t>Compliance with third edition ADRs</w:t>
      </w:r>
      <w:r>
        <w:tab/>
      </w:r>
      <w:r>
        <w:fldChar w:fldCharType="begin"/>
      </w:r>
      <w:r>
        <w:instrText xml:space="preserve"> PAGEREF _Toc75875809 \h </w:instrText>
      </w:r>
      <w:r>
        <w:fldChar w:fldCharType="separate"/>
      </w:r>
      <w:r w:rsidR="00337078">
        <w:t>162</w:t>
      </w:r>
      <w:r>
        <w:fldChar w:fldCharType="end"/>
      </w:r>
    </w:p>
    <w:p w:rsidR="00E1452C" w:rsidRDefault="00E1452C">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_Toc75875810 \h </w:instrText>
      </w:r>
      <w:r>
        <w:fldChar w:fldCharType="separate"/>
      </w:r>
      <w:r w:rsidR="00337078">
        <w:t>163</w:t>
      </w:r>
      <w:r>
        <w:fldChar w:fldCharType="end"/>
      </w:r>
    </w:p>
    <w:p w:rsidR="00E1452C" w:rsidRDefault="00E1452C">
      <w:pPr>
        <w:pStyle w:val="TOC8"/>
        <w:rPr>
          <w:rFonts w:asciiTheme="minorHAnsi" w:eastAsiaTheme="minorEastAsia" w:hAnsiTheme="minorHAnsi" w:cstheme="minorBidi"/>
          <w:szCs w:val="22"/>
        </w:rPr>
      </w:pPr>
      <w:r>
        <w:t>240.</w:t>
      </w:r>
      <w:r>
        <w:tab/>
        <w:t>Exception to compliance with ADRs: approvals under Commonwealth legislation</w:t>
      </w:r>
      <w:r>
        <w:tab/>
      </w:r>
      <w:r>
        <w:fldChar w:fldCharType="begin"/>
      </w:r>
      <w:r>
        <w:instrText xml:space="preserve"> PAGEREF _Toc75875811 \h </w:instrText>
      </w:r>
      <w:r>
        <w:fldChar w:fldCharType="separate"/>
      </w:r>
      <w:r w:rsidR="00337078">
        <w:t>164</w:t>
      </w:r>
      <w:r>
        <w:fldChar w:fldCharType="end"/>
      </w:r>
    </w:p>
    <w:p w:rsidR="00E1452C" w:rsidRDefault="00E1452C">
      <w:pPr>
        <w:pStyle w:val="TOC8"/>
        <w:rPr>
          <w:rFonts w:asciiTheme="minorHAnsi" w:eastAsiaTheme="minorEastAsia" w:hAnsiTheme="minorHAnsi" w:cstheme="minorBidi"/>
          <w:szCs w:val="22"/>
        </w:rPr>
      </w:pPr>
      <w:r>
        <w:t>240A.</w:t>
      </w:r>
      <w:r>
        <w:tab/>
        <w:t xml:space="preserve">Vehicles satisfying an entry pathway under </w:t>
      </w:r>
      <w:r w:rsidRPr="00FE3DA3">
        <w:rPr>
          <w:i/>
        </w:rPr>
        <w:t>Road Vehicle Standards Act 2018</w:t>
      </w:r>
      <w:r>
        <w:t xml:space="preserve"> (Commonwealth)</w:t>
      </w:r>
      <w:r>
        <w:tab/>
      </w:r>
      <w:r>
        <w:fldChar w:fldCharType="begin"/>
      </w:r>
      <w:r>
        <w:instrText xml:space="preserve"> PAGEREF _Toc75875812 \h </w:instrText>
      </w:r>
      <w:r>
        <w:fldChar w:fldCharType="separate"/>
      </w:r>
      <w:r w:rsidR="00337078">
        <w:t>165</w:t>
      </w:r>
      <w:r>
        <w:fldChar w:fldCharType="end"/>
      </w:r>
    </w:p>
    <w:p w:rsidR="00E1452C" w:rsidRDefault="00E1452C">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_Toc75875813 \h </w:instrText>
      </w:r>
      <w:r>
        <w:fldChar w:fldCharType="separate"/>
      </w:r>
      <w:r w:rsidR="00337078">
        <w:t>166</w:t>
      </w:r>
      <w:r>
        <w:fldChar w:fldCharType="end"/>
      </w:r>
    </w:p>
    <w:p w:rsidR="00E1452C" w:rsidRDefault="00E1452C">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_Toc75875814 \h </w:instrText>
      </w:r>
      <w:r>
        <w:fldChar w:fldCharType="separate"/>
      </w:r>
      <w:r w:rsidR="00337078">
        <w:t>167</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5 — General safety requirements</w:t>
      </w:r>
    </w:p>
    <w:p w:rsidR="00E1452C" w:rsidRDefault="00E1452C">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_Toc75875816 \h </w:instrText>
      </w:r>
      <w:r>
        <w:fldChar w:fldCharType="separate"/>
      </w:r>
      <w:r w:rsidR="00337078">
        <w:t>167</w:t>
      </w:r>
      <w:r>
        <w:fldChar w:fldCharType="end"/>
      </w:r>
    </w:p>
    <w:p w:rsidR="00E1452C" w:rsidRDefault="00E1452C">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_Toc75875817 \h </w:instrText>
      </w:r>
      <w:r>
        <w:fldChar w:fldCharType="separate"/>
      </w:r>
      <w:r w:rsidR="00337078">
        <w:t>168</w:t>
      </w:r>
      <w:r>
        <w:fldChar w:fldCharType="end"/>
      </w:r>
    </w:p>
    <w:p w:rsidR="00E1452C" w:rsidRDefault="00E1452C">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_Toc75875818 \h </w:instrText>
      </w:r>
      <w:r>
        <w:fldChar w:fldCharType="separate"/>
      </w:r>
      <w:r w:rsidR="00337078">
        <w:t>169</w:t>
      </w:r>
      <w:r>
        <w:fldChar w:fldCharType="end"/>
      </w:r>
    </w:p>
    <w:p w:rsidR="00E1452C" w:rsidRDefault="00E1452C">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_Toc75875819 \h </w:instrText>
      </w:r>
      <w:r>
        <w:fldChar w:fldCharType="separate"/>
      </w:r>
      <w:r w:rsidR="00337078">
        <w:t>169</w:t>
      </w:r>
      <w:r>
        <w:fldChar w:fldCharType="end"/>
      </w:r>
    </w:p>
    <w:p w:rsidR="00E1452C" w:rsidRDefault="00E1452C">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_Toc75875820 \h </w:instrText>
      </w:r>
      <w:r>
        <w:fldChar w:fldCharType="separate"/>
      </w:r>
      <w:r w:rsidR="00337078">
        <w:t>169</w:t>
      </w:r>
      <w:r>
        <w:fldChar w:fldCharType="end"/>
      </w:r>
    </w:p>
    <w:p w:rsidR="00E1452C" w:rsidRDefault="00E1452C">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_Toc75875821 \h </w:instrText>
      </w:r>
      <w:r>
        <w:fldChar w:fldCharType="separate"/>
      </w:r>
      <w:r w:rsidR="00337078">
        <w:t>170</w:t>
      </w:r>
      <w:r>
        <w:fldChar w:fldCharType="end"/>
      </w:r>
    </w:p>
    <w:p w:rsidR="00E1452C" w:rsidRDefault="00E1452C">
      <w:pPr>
        <w:pStyle w:val="TOC8"/>
        <w:rPr>
          <w:rFonts w:asciiTheme="minorHAnsi" w:eastAsiaTheme="minorEastAsia" w:hAnsiTheme="minorHAnsi" w:cstheme="minorBidi"/>
          <w:szCs w:val="22"/>
        </w:rPr>
      </w:pPr>
      <w:r>
        <w:t>249.</w:t>
      </w:r>
      <w:r>
        <w:tab/>
        <w:t>Seating</w:t>
      </w:r>
      <w:r>
        <w:tab/>
      </w:r>
      <w:r>
        <w:fldChar w:fldCharType="begin"/>
      </w:r>
      <w:r>
        <w:instrText xml:space="preserve"> PAGEREF _Toc75875822 \h </w:instrText>
      </w:r>
      <w:r>
        <w:fldChar w:fldCharType="separate"/>
      </w:r>
      <w:r w:rsidR="00337078">
        <w:t>170</w:t>
      </w:r>
      <w:r>
        <w:fldChar w:fldCharType="end"/>
      </w:r>
    </w:p>
    <w:p w:rsidR="00E1452C" w:rsidRDefault="00E1452C">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_Toc75875823 \h </w:instrText>
      </w:r>
      <w:r>
        <w:fldChar w:fldCharType="separate"/>
      </w:r>
      <w:r w:rsidR="00337078">
        <w:t>170</w:t>
      </w:r>
      <w:r>
        <w:fldChar w:fldCharType="end"/>
      </w:r>
    </w:p>
    <w:p w:rsidR="00E1452C" w:rsidRDefault="00E1452C">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_Toc75875824 \h </w:instrText>
      </w:r>
      <w:r>
        <w:fldChar w:fldCharType="separate"/>
      </w:r>
      <w:r w:rsidR="00337078">
        <w:t>171</w:t>
      </w:r>
      <w:r>
        <w:fldChar w:fldCharType="end"/>
      </w:r>
    </w:p>
    <w:p w:rsidR="00E1452C" w:rsidRDefault="00E1452C">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_Toc75875825 \h </w:instrText>
      </w:r>
      <w:r>
        <w:fldChar w:fldCharType="separate"/>
      </w:r>
      <w:r w:rsidR="00337078">
        <w:t>172</w:t>
      </w:r>
      <w:r>
        <w:fldChar w:fldCharType="end"/>
      </w:r>
    </w:p>
    <w:p w:rsidR="00E1452C" w:rsidRDefault="00E1452C">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_Toc75875826 \h </w:instrText>
      </w:r>
      <w:r>
        <w:fldChar w:fldCharType="separate"/>
      </w:r>
      <w:r w:rsidR="00337078">
        <w:t>173</w:t>
      </w:r>
      <w:r>
        <w:fldChar w:fldCharType="end"/>
      </w:r>
    </w:p>
    <w:p w:rsidR="00E1452C" w:rsidRDefault="00E1452C">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_Toc75875827 \h </w:instrText>
      </w:r>
      <w:r>
        <w:fldChar w:fldCharType="separate"/>
      </w:r>
      <w:r w:rsidR="00337078">
        <w:t>174</w:t>
      </w:r>
      <w:r>
        <w:fldChar w:fldCharType="end"/>
      </w:r>
    </w:p>
    <w:p w:rsidR="00E1452C" w:rsidRDefault="00E1452C">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_Toc75875828 \h </w:instrText>
      </w:r>
      <w:r>
        <w:fldChar w:fldCharType="separate"/>
      </w:r>
      <w:r w:rsidR="00337078">
        <w:t>174</w:t>
      </w:r>
      <w:r>
        <w:fldChar w:fldCharType="end"/>
      </w:r>
    </w:p>
    <w:p w:rsidR="00E1452C" w:rsidRDefault="00E1452C">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_Toc75875829 \h </w:instrText>
      </w:r>
      <w:r>
        <w:fldChar w:fldCharType="separate"/>
      </w:r>
      <w:r w:rsidR="00337078">
        <w:t>174</w:t>
      </w:r>
      <w:r>
        <w:fldChar w:fldCharType="end"/>
      </w:r>
    </w:p>
    <w:p w:rsidR="00E1452C" w:rsidRDefault="00E1452C">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_Toc75875830 \h </w:instrText>
      </w:r>
      <w:r>
        <w:fldChar w:fldCharType="separate"/>
      </w:r>
      <w:r w:rsidR="00337078">
        <w:t>175</w:t>
      </w:r>
      <w:r>
        <w:fldChar w:fldCharType="end"/>
      </w:r>
    </w:p>
    <w:p w:rsidR="00E1452C" w:rsidRDefault="00E1452C">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_Toc75875831 \h </w:instrText>
      </w:r>
      <w:r>
        <w:fldChar w:fldCharType="separate"/>
      </w:r>
      <w:r w:rsidR="00337078">
        <w:t>176</w:t>
      </w:r>
      <w:r>
        <w:fldChar w:fldCharType="end"/>
      </w:r>
    </w:p>
    <w:p w:rsidR="00E1452C" w:rsidRDefault="00E1452C">
      <w:pPr>
        <w:pStyle w:val="TOC8"/>
        <w:rPr>
          <w:rFonts w:asciiTheme="minorHAnsi" w:eastAsiaTheme="minorEastAsia" w:hAnsiTheme="minorHAnsi" w:cstheme="minorBidi"/>
          <w:szCs w:val="22"/>
        </w:rPr>
      </w:pPr>
      <w:r>
        <w:t>258A.</w:t>
      </w:r>
      <w:r>
        <w:tab/>
        <w:t>Motor vehicle windscreen to be fitted</w:t>
      </w:r>
      <w:r>
        <w:tab/>
      </w:r>
      <w:r>
        <w:fldChar w:fldCharType="begin"/>
      </w:r>
      <w:r>
        <w:instrText xml:space="preserve"> PAGEREF _Toc75875832 \h </w:instrText>
      </w:r>
      <w:r>
        <w:fldChar w:fldCharType="separate"/>
      </w:r>
      <w:r w:rsidR="00337078">
        <w:t>176</w:t>
      </w:r>
      <w:r>
        <w:fldChar w:fldCharType="end"/>
      </w:r>
    </w:p>
    <w:p w:rsidR="00E1452C" w:rsidRDefault="00E1452C">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_Toc75875833 \h </w:instrText>
      </w:r>
      <w:r>
        <w:fldChar w:fldCharType="separate"/>
      </w:r>
      <w:r w:rsidR="00337078">
        <w:t>177</w:t>
      </w:r>
      <w:r>
        <w:fldChar w:fldCharType="end"/>
      </w:r>
    </w:p>
    <w:p w:rsidR="00E1452C" w:rsidRDefault="00E1452C">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_Toc75875834 \h </w:instrText>
      </w:r>
      <w:r>
        <w:fldChar w:fldCharType="separate"/>
      </w:r>
      <w:r w:rsidR="00337078">
        <w:t>178</w:t>
      </w:r>
      <w:r>
        <w:fldChar w:fldCharType="end"/>
      </w:r>
    </w:p>
    <w:p w:rsidR="00E1452C" w:rsidRDefault="00E1452C">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_Toc75875835 \h </w:instrText>
      </w:r>
      <w:r>
        <w:fldChar w:fldCharType="separate"/>
      </w:r>
      <w:r w:rsidR="00337078">
        <w:t>179</w:t>
      </w:r>
      <w:r>
        <w:fldChar w:fldCharType="end"/>
      </w:r>
    </w:p>
    <w:p w:rsidR="00E1452C" w:rsidRDefault="00E1452C">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_Toc75875836 \h </w:instrText>
      </w:r>
      <w:r>
        <w:fldChar w:fldCharType="separate"/>
      </w:r>
      <w:r w:rsidR="00337078">
        <w:t>180</w:t>
      </w:r>
      <w:r>
        <w:fldChar w:fldCharType="end"/>
      </w:r>
    </w:p>
    <w:p w:rsidR="00E1452C" w:rsidRDefault="00E1452C">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_Toc75875837 \h </w:instrText>
      </w:r>
      <w:r>
        <w:fldChar w:fldCharType="separate"/>
      </w:r>
      <w:r w:rsidR="00337078">
        <w:t>181</w:t>
      </w:r>
      <w:r>
        <w:fldChar w:fldCharType="end"/>
      </w:r>
    </w:p>
    <w:p w:rsidR="00E1452C" w:rsidRDefault="00E1452C">
      <w:pPr>
        <w:pStyle w:val="TOC8"/>
        <w:rPr>
          <w:rFonts w:asciiTheme="minorHAnsi" w:eastAsiaTheme="minorEastAsia" w:hAnsiTheme="minorHAnsi" w:cstheme="minorBidi"/>
          <w:szCs w:val="22"/>
        </w:rPr>
      </w:pPr>
      <w:r>
        <w:t>264.</w:t>
      </w:r>
      <w:r>
        <w:tab/>
        <w:t>Pneumatic tyres for vehicles</w:t>
      </w:r>
      <w:r>
        <w:tab/>
      </w:r>
      <w:r>
        <w:fldChar w:fldCharType="begin"/>
      </w:r>
      <w:r>
        <w:instrText xml:space="preserve"> PAGEREF _Toc75875838 \h </w:instrText>
      </w:r>
      <w:r>
        <w:fldChar w:fldCharType="separate"/>
      </w:r>
      <w:r w:rsidR="00337078">
        <w:t>181</w:t>
      </w:r>
      <w:r>
        <w:fldChar w:fldCharType="end"/>
      </w:r>
    </w:p>
    <w:p w:rsidR="00E1452C" w:rsidRDefault="00E1452C">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_Toc75875839 \h </w:instrText>
      </w:r>
      <w:r>
        <w:fldChar w:fldCharType="separate"/>
      </w:r>
      <w:r w:rsidR="00337078">
        <w:t>181</w:t>
      </w:r>
      <w:r>
        <w:fldChar w:fldCharType="end"/>
      </w:r>
    </w:p>
    <w:p w:rsidR="00E1452C" w:rsidRDefault="00E1452C">
      <w:pPr>
        <w:pStyle w:val="TOC8"/>
        <w:rPr>
          <w:rFonts w:asciiTheme="minorHAnsi" w:eastAsiaTheme="minorEastAsia" w:hAnsiTheme="minorHAnsi" w:cstheme="minorBidi"/>
          <w:szCs w:val="22"/>
        </w:rPr>
      </w:pPr>
      <w:r>
        <w:lastRenderedPageBreak/>
        <w:t>266.</w:t>
      </w:r>
      <w:r>
        <w:tab/>
        <w:t>Size and capacity of pneumatic tyres of certain vehicles</w:t>
      </w:r>
      <w:r>
        <w:tab/>
      </w:r>
      <w:r>
        <w:fldChar w:fldCharType="begin"/>
      </w:r>
      <w:r>
        <w:instrText xml:space="preserve"> PAGEREF _Toc75875840 \h </w:instrText>
      </w:r>
      <w:r>
        <w:fldChar w:fldCharType="separate"/>
      </w:r>
      <w:r w:rsidR="00337078">
        <w:t>181</w:t>
      </w:r>
      <w:r>
        <w:fldChar w:fldCharType="end"/>
      </w:r>
    </w:p>
    <w:p w:rsidR="00E1452C" w:rsidRDefault="00E1452C">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_Toc75875841 \h </w:instrText>
      </w:r>
      <w:r>
        <w:fldChar w:fldCharType="separate"/>
      </w:r>
      <w:r w:rsidR="00337078">
        <w:t>182</w:t>
      </w:r>
      <w:r>
        <w:fldChar w:fldCharType="end"/>
      </w:r>
    </w:p>
    <w:p w:rsidR="00E1452C" w:rsidRDefault="00E1452C">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_Toc75875842 \h </w:instrText>
      </w:r>
      <w:r>
        <w:fldChar w:fldCharType="separate"/>
      </w:r>
      <w:r w:rsidR="00337078">
        <w:t>182</w:t>
      </w:r>
      <w:r>
        <w:fldChar w:fldCharType="end"/>
      </w:r>
    </w:p>
    <w:p w:rsidR="00E1452C" w:rsidRDefault="00E1452C">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_Toc75875843 \h </w:instrText>
      </w:r>
      <w:r>
        <w:fldChar w:fldCharType="separate"/>
      </w:r>
      <w:r w:rsidR="00337078">
        <w:t>183</w:t>
      </w:r>
      <w:r>
        <w:fldChar w:fldCharType="end"/>
      </w:r>
    </w:p>
    <w:p w:rsidR="00E1452C" w:rsidRDefault="00E1452C">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_Toc75875844 \h </w:instrText>
      </w:r>
      <w:r>
        <w:fldChar w:fldCharType="separate"/>
      </w:r>
      <w:r w:rsidR="00337078">
        <w:t>184</w:t>
      </w:r>
      <w:r>
        <w:fldChar w:fldCharType="end"/>
      </w:r>
    </w:p>
    <w:p w:rsidR="00E1452C" w:rsidRDefault="00E1452C">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_Toc75875845 \h </w:instrText>
      </w:r>
      <w:r>
        <w:fldChar w:fldCharType="separate"/>
      </w:r>
      <w:r w:rsidR="00337078">
        <w:t>184</w:t>
      </w:r>
      <w:r>
        <w:fldChar w:fldCharType="end"/>
      </w:r>
    </w:p>
    <w:p w:rsidR="00E1452C" w:rsidRDefault="00E1452C">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_Toc75875846 \h </w:instrText>
      </w:r>
      <w:r>
        <w:fldChar w:fldCharType="separate"/>
      </w:r>
      <w:r w:rsidR="00337078">
        <w:t>185</w:t>
      </w:r>
      <w:r>
        <w:fldChar w:fldCharType="end"/>
      </w:r>
    </w:p>
    <w:p w:rsidR="00E1452C" w:rsidRDefault="00E1452C">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_Toc75875847 \h </w:instrText>
      </w:r>
      <w:r>
        <w:fldChar w:fldCharType="separate"/>
      </w:r>
      <w:r w:rsidR="00337078">
        <w:t>185</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6 — Vehicle marking</w:t>
      </w:r>
    </w:p>
    <w:p w:rsidR="00E1452C" w:rsidRDefault="00E1452C">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_Toc75875849 \h </w:instrText>
      </w:r>
      <w:r>
        <w:fldChar w:fldCharType="separate"/>
      </w:r>
      <w:r w:rsidR="00337078">
        <w:t>186</w:t>
      </w:r>
      <w:r>
        <w:fldChar w:fldCharType="end"/>
      </w:r>
    </w:p>
    <w:p w:rsidR="00E1452C" w:rsidRDefault="00E1452C">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_Toc75875850 \h </w:instrText>
      </w:r>
      <w:r>
        <w:fldChar w:fldCharType="separate"/>
      </w:r>
      <w:r w:rsidR="00337078">
        <w:t>186</w:t>
      </w:r>
      <w:r>
        <w:fldChar w:fldCharType="end"/>
      </w:r>
    </w:p>
    <w:p w:rsidR="00E1452C" w:rsidRDefault="00E1452C">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_Toc75875851 \h </w:instrText>
      </w:r>
      <w:r>
        <w:fldChar w:fldCharType="separate"/>
      </w:r>
      <w:r w:rsidR="00337078">
        <w:t>187</w:t>
      </w:r>
      <w:r>
        <w:fldChar w:fldCharType="end"/>
      </w:r>
    </w:p>
    <w:p w:rsidR="00E1452C" w:rsidRDefault="00E1452C">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_Toc75875852 \h </w:instrText>
      </w:r>
      <w:r>
        <w:fldChar w:fldCharType="separate"/>
      </w:r>
      <w:r w:rsidR="00337078">
        <w:t>187</w:t>
      </w:r>
      <w:r>
        <w:fldChar w:fldCharType="end"/>
      </w:r>
    </w:p>
    <w:p w:rsidR="00E1452C" w:rsidRDefault="00E1452C">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_Toc75875853 \h </w:instrText>
      </w:r>
      <w:r>
        <w:fldChar w:fldCharType="separate"/>
      </w:r>
      <w:r w:rsidR="00337078">
        <w:t>189</w:t>
      </w:r>
      <w:r>
        <w:fldChar w:fldCharType="end"/>
      </w:r>
    </w:p>
    <w:p w:rsidR="00E1452C" w:rsidRDefault="00E1452C">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_Toc75875854 \h </w:instrText>
      </w:r>
      <w:r>
        <w:fldChar w:fldCharType="separate"/>
      </w:r>
      <w:r w:rsidR="00337078">
        <w:t>189</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7 — Vehicle configuration</w:t>
      </w:r>
    </w:p>
    <w:p w:rsidR="00E1452C" w:rsidRDefault="00E1452C">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_Toc75875856 \h </w:instrText>
      </w:r>
      <w:r>
        <w:fldChar w:fldCharType="separate"/>
      </w:r>
      <w:r w:rsidR="00337078">
        <w:t>189</w:t>
      </w:r>
      <w:r>
        <w:fldChar w:fldCharType="end"/>
      </w:r>
    </w:p>
    <w:p w:rsidR="00E1452C" w:rsidRDefault="00E1452C">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_Toc75875857 \h </w:instrText>
      </w:r>
      <w:r>
        <w:fldChar w:fldCharType="separate"/>
      </w:r>
      <w:r w:rsidR="00337078">
        <w:t>191</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8 — Lights and reflectors</w:t>
      </w:r>
    </w:p>
    <w:p w:rsidR="00E1452C" w:rsidRDefault="00E1452C">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rsidR="00E1452C" w:rsidRDefault="00E1452C">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_Toc75875860 \h </w:instrText>
      </w:r>
      <w:r>
        <w:fldChar w:fldCharType="separate"/>
      </w:r>
      <w:r w:rsidR="00337078">
        <w:t>191</w:t>
      </w:r>
      <w:r>
        <w:fldChar w:fldCharType="end"/>
      </w:r>
    </w:p>
    <w:p w:rsidR="00E1452C" w:rsidRDefault="00E1452C">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_Toc75875861 \h </w:instrText>
      </w:r>
      <w:r>
        <w:fldChar w:fldCharType="separate"/>
      </w:r>
      <w:r w:rsidR="00337078">
        <w:t>191</w:t>
      </w:r>
      <w:r>
        <w:fldChar w:fldCharType="end"/>
      </w:r>
    </w:p>
    <w:p w:rsidR="00E1452C" w:rsidRDefault="00E1452C">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_Toc75875862 \h </w:instrText>
      </w:r>
      <w:r>
        <w:fldChar w:fldCharType="separate"/>
      </w:r>
      <w:r w:rsidR="00337078">
        <w:t>192</w:t>
      </w:r>
      <w:r>
        <w:fldChar w:fldCharType="end"/>
      </w:r>
    </w:p>
    <w:p w:rsidR="00E1452C" w:rsidRDefault="00E1452C">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_Toc75875863 \h </w:instrText>
      </w:r>
      <w:r>
        <w:fldChar w:fldCharType="separate"/>
      </w:r>
      <w:r w:rsidR="00337078">
        <w:t>192</w:t>
      </w:r>
      <w:r>
        <w:fldChar w:fldCharType="end"/>
      </w:r>
    </w:p>
    <w:p w:rsidR="00E1452C" w:rsidRDefault="00E1452C">
      <w:pPr>
        <w:pStyle w:val="TOC6"/>
        <w:tabs>
          <w:tab w:val="right" w:leader="dot" w:pos="7077"/>
        </w:tabs>
        <w:rPr>
          <w:rFonts w:asciiTheme="minorHAnsi" w:eastAsiaTheme="minorEastAsia" w:hAnsiTheme="minorHAnsi" w:cstheme="minorBidi"/>
          <w:b w:val="0"/>
          <w:sz w:val="22"/>
          <w:szCs w:val="22"/>
        </w:rPr>
      </w:pPr>
      <w:r>
        <w:t>Subdivision 2 — Headlights</w:t>
      </w:r>
    </w:p>
    <w:p w:rsidR="00E1452C" w:rsidRDefault="00E1452C">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_Toc75875865 \h </w:instrText>
      </w:r>
      <w:r>
        <w:fldChar w:fldCharType="separate"/>
      </w:r>
      <w:r w:rsidR="00337078">
        <w:t>192</w:t>
      </w:r>
      <w:r>
        <w:fldChar w:fldCharType="end"/>
      </w:r>
    </w:p>
    <w:p w:rsidR="00E1452C" w:rsidRDefault="00E1452C">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_Toc75875866 \h </w:instrText>
      </w:r>
      <w:r>
        <w:fldChar w:fldCharType="separate"/>
      </w:r>
      <w:r w:rsidR="00337078">
        <w:t>194</w:t>
      </w:r>
      <w:r>
        <w:fldChar w:fldCharType="end"/>
      </w:r>
    </w:p>
    <w:p w:rsidR="00E1452C" w:rsidRDefault="00E1452C">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_Toc75875867 \h </w:instrText>
      </w:r>
      <w:r>
        <w:fldChar w:fldCharType="separate"/>
      </w:r>
      <w:r w:rsidR="00337078">
        <w:t>194</w:t>
      </w:r>
      <w:r>
        <w:fldChar w:fldCharType="end"/>
      </w:r>
    </w:p>
    <w:p w:rsidR="00E1452C" w:rsidRDefault="00E1452C">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_Toc75875868 \h </w:instrText>
      </w:r>
      <w:r>
        <w:fldChar w:fldCharType="separate"/>
      </w:r>
      <w:r w:rsidR="00337078">
        <w:t>194</w:t>
      </w:r>
      <w:r>
        <w:fldChar w:fldCharType="end"/>
      </w:r>
    </w:p>
    <w:p w:rsidR="00E1452C" w:rsidRDefault="00E1452C">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_Toc75875869 \h </w:instrText>
      </w:r>
      <w:r>
        <w:fldChar w:fldCharType="separate"/>
      </w:r>
      <w:r w:rsidR="00337078">
        <w:t>194</w:t>
      </w:r>
      <w:r>
        <w:fldChar w:fldCharType="end"/>
      </w:r>
    </w:p>
    <w:p w:rsidR="00E1452C" w:rsidRDefault="00E1452C">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_Toc75875870 \h </w:instrText>
      </w:r>
      <w:r>
        <w:fldChar w:fldCharType="separate"/>
      </w:r>
      <w:r w:rsidR="00337078">
        <w:t>195</w:t>
      </w:r>
      <w:r>
        <w:fldChar w:fldCharType="end"/>
      </w:r>
    </w:p>
    <w:p w:rsidR="00E1452C" w:rsidRDefault="00E1452C">
      <w:pPr>
        <w:pStyle w:val="TOC8"/>
        <w:rPr>
          <w:rFonts w:asciiTheme="minorHAnsi" w:eastAsiaTheme="minorEastAsia" w:hAnsiTheme="minorHAnsi" w:cstheme="minorBidi"/>
          <w:szCs w:val="22"/>
        </w:rPr>
      </w:pPr>
      <w:r>
        <w:lastRenderedPageBreak/>
        <w:t>292.</w:t>
      </w:r>
      <w:r>
        <w:tab/>
        <w:t>Changing headlights from high</w:t>
      </w:r>
      <w:r>
        <w:noBreakHyphen/>
        <w:t>beam to low</w:t>
      </w:r>
      <w:r>
        <w:noBreakHyphen/>
        <w:t>beam position for motor vehicles</w:t>
      </w:r>
      <w:r>
        <w:tab/>
      </w:r>
      <w:r>
        <w:fldChar w:fldCharType="begin"/>
      </w:r>
      <w:r>
        <w:instrText xml:space="preserve"> PAGEREF _Toc75875871 \h </w:instrText>
      </w:r>
      <w:r>
        <w:fldChar w:fldCharType="separate"/>
      </w:r>
      <w:r w:rsidR="00337078">
        <w:t>195</w:t>
      </w:r>
      <w:r>
        <w:fldChar w:fldCharType="end"/>
      </w:r>
    </w:p>
    <w:p w:rsidR="00E1452C" w:rsidRDefault="00E1452C">
      <w:pPr>
        <w:pStyle w:val="TOC6"/>
        <w:tabs>
          <w:tab w:val="right" w:leader="dot" w:pos="7077"/>
        </w:tabs>
        <w:rPr>
          <w:rFonts w:asciiTheme="minorHAnsi" w:eastAsiaTheme="minorEastAsia" w:hAnsiTheme="minorHAnsi" w:cstheme="minorBidi"/>
          <w:b w:val="0"/>
          <w:sz w:val="22"/>
          <w:szCs w:val="22"/>
        </w:rPr>
      </w:pPr>
      <w:r>
        <w:t>Subdivision 3 — Parking lights</w:t>
      </w:r>
    </w:p>
    <w:p w:rsidR="00E1452C" w:rsidRDefault="00E1452C">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_Toc75875873 \h </w:instrText>
      </w:r>
      <w:r>
        <w:fldChar w:fldCharType="separate"/>
      </w:r>
      <w:r w:rsidR="00337078">
        <w:t>196</w:t>
      </w:r>
      <w:r>
        <w:fldChar w:fldCharType="end"/>
      </w:r>
    </w:p>
    <w:p w:rsidR="00E1452C" w:rsidRDefault="00E1452C">
      <w:pPr>
        <w:pStyle w:val="TOC6"/>
        <w:tabs>
          <w:tab w:val="right" w:leader="dot" w:pos="7077"/>
        </w:tabs>
        <w:rPr>
          <w:rFonts w:asciiTheme="minorHAnsi" w:eastAsiaTheme="minorEastAsia" w:hAnsiTheme="minorHAnsi" w:cstheme="minorBidi"/>
          <w:b w:val="0"/>
          <w:sz w:val="22"/>
          <w:szCs w:val="22"/>
        </w:rPr>
      </w:pPr>
      <w:r>
        <w:t>Subdivision 4 — Daytime running lights</w:t>
      </w:r>
    </w:p>
    <w:p w:rsidR="00E1452C" w:rsidRDefault="00E1452C">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_Toc75875875 \h </w:instrText>
      </w:r>
      <w:r>
        <w:fldChar w:fldCharType="separate"/>
      </w:r>
      <w:r w:rsidR="00337078">
        <w:t>197</w:t>
      </w:r>
      <w:r>
        <w:fldChar w:fldCharType="end"/>
      </w:r>
    </w:p>
    <w:p w:rsidR="00E1452C" w:rsidRDefault="00E1452C">
      <w:pPr>
        <w:pStyle w:val="TOC6"/>
        <w:tabs>
          <w:tab w:val="right" w:leader="dot" w:pos="7077"/>
        </w:tabs>
        <w:rPr>
          <w:rFonts w:asciiTheme="minorHAnsi" w:eastAsiaTheme="minorEastAsia" w:hAnsiTheme="minorHAnsi" w:cstheme="minorBidi"/>
          <w:b w:val="0"/>
          <w:sz w:val="22"/>
          <w:szCs w:val="22"/>
        </w:rPr>
      </w:pPr>
      <w:r>
        <w:t>Subdivision 5 — Tail lights</w:t>
      </w:r>
    </w:p>
    <w:p w:rsidR="00E1452C" w:rsidRDefault="00E1452C">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_Toc75875877 \h </w:instrText>
      </w:r>
      <w:r>
        <w:fldChar w:fldCharType="separate"/>
      </w:r>
      <w:r w:rsidR="00337078">
        <w:t>199</w:t>
      </w:r>
      <w:r>
        <w:fldChar w:fldCharType="end"/>
      </w:r>
    </w:p>
    <w:p w:rsidR="00E1452C" w:rsidRDefault="00E1452C">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_Toc75875878 \h </w:instrText>
      </w:r>
      <w:r>
        <w:fldChar w:fldCharType="separate"/>
      </w:r>
      <w:r w:rsidR="00337078">
        <w:t>199</w:t>
      </w:r>
      <w:r>
        <w:fldChar w:fldCharType="end"/>
      </w:r>
    </w:p>
    <w:p w:rsidR="00E1452C" w:rsidRDefault="00E1452C">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_Toc75875879 \h </w:instrText>
      </w:r>
      <w:r>
        <w:fldChar w:fldCharType="separate"/>
      </w:r>
      <w:r w:rsidR="00337078">
        <w:t>200</w:t>
      </w:r>
      <w:r>
        <w:fldChar w:fldCharType="end"/>
      </w:r>
    </w:p>
    <w:p w:rsidR="00E1452C" w:rsidRDefault="00E1452C">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_Toc75875880 \h </w:instrText>
      </w:r>
      <w:r>
        <w:fldChar w:fldCharType="separate"/>
      </w:r>
      <w:r w:rsidR="00337078">
        <w:t>200</w:t>
      </w:r>
      <w:r>
        <w:fldChar w:fldCharType="end"/>
      </w:r>
    </w:p>
    <w:p w:rsidR="00E1452C" w:rsidRDefault="00E1452C">
      <w:pPr>
        <w:pStyle w:val="TOC6"/>
        <w:tabs>
          <w:tab w:val="right" w:leader="dot" w:pos="7077"/>
        </w:tabs>
        <w:rPr>
          <w:rFonts w:asciiTheme="minorHAnsi" w:eastAsiaTheme="minorEastAsia" w:hAnsiTheme="minorHAnsi" w:cstheme="minorBidi"/>
          <w:b w:val="0"/>
          <w:sz w:val="22"/>
          <w:szCs w:val="22"/>
        </w:rPr>
      </w:pPr>
      <w:r>
        <w:t>Subdivision 6 — Number plate lights</w:t>
      </w:r>
    </w:p>
    <w:p w:rsidR="00E1452C" w:rsidRDefault="00E1452C">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_Toc75875882 \h </w:instrText>
      </w:r>
      <w:r>
        <w:fldChar w:fldCharType="separate"/>
      </w:r>
      <w:r w:rsidR="00337078">
        <w:t>201</w:t>
      </w:r>
      <w:r>
        <w:fldChar w:fldCharType="end"/>
      </w:r>
    </w:p>
    <w:p w:rsidR="00E1452C" w:rsidRDefault="00E1452C">
      <w:pPr>
        <w:pStyle w:val="TOC6"/>
        <w:tabs>
          <w:tab w:val="right" w:leader="dot" w:pos="7077"/>
        </w:tabs>
        <w:rPr>
          <w:rFonts w:asciiTheme="minorHAnsi" w:eastAsiaTheme="minorEastAsia" w:hAnsiTheme="minorHAnsi" w:cstheme="minorBidi"/>
          <w:b w:val="0"/>
          <w:sz w:val="22"/>
          <w:szCs w:val="22"/>
        </w:rPr>
      </w:pPr>
      <w:r>
        <w:t>Subdivision 7 — Clearance lights</w:t>
      </w:r>
    </w:p>
    <w:p w:rsidR="00E1452C" w:rsidRDefault="00E1452C">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_Toc75875884 \h </w:instrText>
      </w:r>
      <w:r>
        <w:fldChar w:fldCharType="separate"/>
      </w:r>
      <w:r w:rsidR="00337078">
        <w:t>201</w:t>
      </w:r>
      <w:r>
        <w:fldChar w:fldCharType="end"/>
      </w:r>
    </w:p>
    <w:p w:rsidR="00E1452C" w:rsidRDefault="00E1452C">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_Toc75875885 \h </w:instrText>
      </w:r>
      <w:r>
        <w:fldChar w:fldCharType="separate"/>
      </w:r>
      <w:r w:rsidR="00337078">
        <w:t>202</w:t>
      </w:r>
      <w:r>
        <w:fldChar w:fldCharType="end"/>
      </w:r>
    </w:p>
    <w:p w:rsidR="00E1452C" w:rsidRDefault="00E1452C">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_Toc75875886 \h </w:instrText>
      </w:r>
      <w:r>
        <w:fldChar w:fldCharType="separate"/>
      </w:r>
      <w:r w:rsidR="00337078">
        <w:t>202</w:t>
      </w:r>
      <w:r>
        <w:fldChar w:fldCharType="end"/>
      </w:r>
    </w:p>
    <w:p w:rsidR="00E1452C" w:rsidRDefault="00E1452C">
      <w:pPr>
        <w:pStyle w:val="TOC6"/>
        <w:tabs>
          <w:tab w:val="right" w:leader="dot" w:pos="7077"/>
        </w:tabs>
        <w:rPr>
          <w:rFonts w:asciiTheme="minorHAnsi" w:eastAsiaTheme="minorEastAsia" w:hAnsiTheme="minorHAnsi" w:cstheme="minorBidi"/>
          <w:b w:val="0"/>
          <w:sz w:val="22"/>
          <w:szCs w:val="22"/>
        </w:rPr>
      </w:pPr>
      <w:r>
        <w:t>Subdivision 8 — Side marker lights</w:t>
      </w:r>
    </w:p>
    <w:p w:rsidR="00E1452C" w:rsidRDefault="00E1452C">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_Toc75875888 \h </w:instrText>
      </w:r>
      <w:r>
        <w:fldChar w:fldCharType="separate"/>
      </w:r>
      <w:r w:rsidR="00337078">
        <w:t>203</w:t>
      </w:r>
      <w:r>
        <w:fldChar w:fldCharType="end"/>
      </w:r>
    </w:p>
    <w:p w:rsidR="00E1452C" w:rsidRDefault="00E1452C">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_Toc75875889 \h </w:instrText>
      </w:r>
      <w:r>
        <w:fldChar w:fldCharType="separate"/>
      </w:r>
      <w:r w:rsidR="00337078">
        <w:t>204</w:t>
      </w:r>
      <w:r>
        <w:fldChar w:fldCharType="end"/>
      </w:r>
    </w:p>
    <w:p w:rsidR="00E1452C" w:rsidRDefault="00E1452C">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_Toc75875890 \h </w:instrText>
      </w:r>
      <w:r>
        <w:fldChar w:fldCharType="separate"/>
      </w:r>
      <w:r w:rsidR="00337078">
        <w:t>205</w:t>
      </w:r>
      <w:r>
        <w:fldChar w:fldCharType="end"/>
      </w:r>
    </w:p>
    <w:p w:rsidR="00E1452C" w:rsidRDefault="00E1452C">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_Toc75875891 \h </w:instrText>
      </w:r>
      <w:r>
        <w:fldChar w:fldCharType="separate"/>
      </w:r>
      <w:r w:rsidR="00337078">
        <w:t>206</w:t>
      </w:r>
      <w:r>
        <w:fldChar w:fldCharType="end"/>
      </w:r>
    </w:p>
    <w:p w:rsidR="00E1452C" w:rsidRDefault="00E1452C">
      <w:pPr>
        <w:pStyle w:val="TOC6"/>
        <w:tabs>
          <w:tab w:val="right" w:leader="dot" w:pos="7077"/>
        </w:tabs>
        <w:rPr>
          <w:rFonts w:asciiTheme="minorHAnsi" w:eastAsiaTheme="minorEastAsia" w:hAnsiTheme="minorHAnsi" w:cstheme="minorBidi"/>
          <w:b w:val="0"/>
          <w:sz w:val="22"/>
          <w:szCs w:val="22"/>
        </w:rPr>
      </w:pPr>
      <w:r>
        <w:t>Subdivision 9 — Brake lights</w:t>
      </w:r>
    </w:p>
    <w:p w:rsidR="00E1452C" w:rsidRDefault="00E1452C">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_Toc75875893 \h </w:instrText>
      </w:r>
      <w:r>
        <w:fldChar w:fldCharType="separate"/>
      </w:r>
      <w:r w:rsidR="00337078">
        <w:t>206</w:t>
      </w:r>
      <w:r>
        <w:fldChar w:fldCharType="end"/>
      </w:r>
    </w:p>
    <w:p w:rsidR="00E1452C" w:rsidRDefault="00E1452C">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_Toc75875894 \h </w:instrText>
      </w:r>
      <w:r>
        <w:fldChar w:fldCharType="separate"/>
      </w:r>
      <w:r w:rsidR="00337078">
        <w:t>207</w:t>
      </w:r>
      <w:r>
        <w:fldChar w:fldCharType="end"/>
      </w:r>
    </w:p>
    <w:p w:rsidR="00E1452C" w:rsidRDefault="00E1452C">
      <w:pPr>
        <w:pStyle w:val="TOC6"/>
        <w:tabs>
          <w:tab w:val="right" w:leader="dot" w:pos="7077"/>
        </w:tabs>
        <w:rPr>
          <w:rFonts w:asciiTheme="minorHAnsi" w:eastAsiaTheme="minorEastAsia" w:hAnsiTheme="minorHAnsi" w:cstheme="minorBidi"/>
          <w:b w:val="0"/>
          <w:sz w:val="22"/>
          <w:szCs w:val="22"/>
        </w:rPr>
      </w:pPr>
      <w:r>
        <w:t>Subdivision 10 — Reversing lights</w:t>
      </w:r>
    </w:p>
    <w:p w:rsidR="00E1452C" w:rsidRDefault="00E1452C">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_Toc75875896 \h </w:instrText>
      </w:r>
      <w:r>
        <w:fldChar w:fldCharType="separate"/>
      </w:r>
      <w:r w:rsidR="00337078">
        <w:t>208</w:t>
      </w:r>
      <w:r>
        <w:fldChar w:fldCharType="end"/>
      </w:r>
    </w:p>
    <w:p w:rsidR="00E1452C" w:rsidRDefault="00E1452C">
      <w:pPr>
        <w:pStyle w:val="TOC6"/>
        <w:tabs>
          <w:tab w:val="right" w:leader="dot" w:pos="7077"/>
        </w:tabs>
        <w:rPr>
          <w:rFonts w:asciiTheme="minorHAnsi" w:eastAsiaTheme="minorEastAsia" w:hAnsiTheme="minorHAnsi" w:cstheme="minorBidi"/>
          <w:b w:val="0"/>
          <w:sz w:val="22"/>
          <w:szCs w:val="22"/>
        </w:rPr>
      </w:pPr>
      <w:r>
        <w:t>Subdivision 11 — Direction indicator lights</w:t>
      </w:r>
    </w:p>
    <w:p w:rsidR="00E1452C" w:rsidRDefault="00E1452C">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_Toc75875898 \h </w:instrText>
      </w:r>
      <w:r>
        <w:fldChar w:fldCharType="separate"/>
      </w:r>
      <w:r w:rsidR="00337078">
        <w:t>209</w:t>
      </w:r>
      <w:r>
        <w:fldChar w:fldCharType="end"/>
      </w:r>
    </w:p>
    <w:p w:rsidR="00E1452C" w:rsidRDefault="00E1452C">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_Toc75875899 \h </w:instrText>
      </w:r>
      <w:r>
        <w:fldChar w:fldCharType="separate"/>
      </w:r>
      <w:r w:rsidR="00337078">
        <w:t>209</w:t>
      </w:r>
      <w:r>
        <w:fldChar w:fldCharType="end"/>
      </w:r>
    </w:p>
    <w:p w:rsidR="00E1452C" w:rsidRDefault="00E1452C">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_Toc75875900 \h </w:instrText>
      </w:r>
      <w:r>
        <w:fldChar w:fldCharType="separate"/>
      </w:r>
      <w:r w:rsidR="00337078">
        <w:t>210</w:t>
      </w:r>
      <w:r>
        <w:fldChar w:fldCharType="end"/>
      </w:r>
    </w:p>
    <w:p w:rsidR="00E1452C" w:rsidRDefault="00E1452C">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_Toc75875901 \h </w:instrText>
      </w:r>
      <w:r>
        <w:fldChar w:fldCharType="separate"/>
      </w:r>
      <w:r w:rsidR="00337078">
        <w:t>211</w:t>
      </w:r>
      <w:r>
        <w:fldChar w:fldCharType="end"/>
      </w:r>
    </w:p>
    <w:p w:rsidR="00E1452C" w:rsidRDefault="00E1452C">
      <w:pPr>
        <w:pStyle w:val="TOC6"/>
        <w:tabs>
          <w:tab w:val="right" w:leader="dot" w:pos="7077"/>
        </w:tabs>
        <w:rPr>
          <w:rFonts w:asciiTheme="minorHAnsi" w:eastAsiaTheme="minorEastAsia" w:hAnsiTheme="minorHAnsi" w:cstheme="minorBidi"/>
          <w:b w:val="0"/>
          <w:sz w:val="22"/>
          <w:szCs w:val="22"/>
        </w:rPr>
      </w:pPr>
      <w:r>
        <w:lastRenderedPageBreak/>
        <w:t>Subdivision 12 — Fog lights</w:t>
      </w:r>
    </w:p>
    <w:p w:rsidR="00E1452C" w:rsidRDefault="00E1452C">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_Toc75875903 \h </w:instrText>
      </w:r>
      <w:r>
        <w:fldChar w:fldCharType="separate"/>
      </w:r>
      <w:r w:rsidR="00337078">
        <w:t>212</w:t>
      </w:r>
      <w:r>
        <w:fldChar w:fldCharType="end"/>
      </w:r>
    </w:p>
    <w:p w:rsidR="00E1452C" w:rsidRDefault="00E1452C">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_Toc75875904 \h </w:instrText>
      </w:r>
      <w:r>
        <w:fldChar w:fldCharType="separate"/>
      </w:r>
      <w:r w:rsidR="00337078">
        <w:t>213</w:t>
      </w:r>
      <w:r>
        <w:fldChar w:fldCharType="end"/>
      </w:r>
    </w:p>
    <w:p w:rsidR="00E1452C" w:rsidRDefault="00E1452C">
      <w:pPr>
        <w:pStyle w:val="TOC6"/>
        <w:tabs>
          <w:tab w:val="right" w:leader="dot" w:pos="7077"/>
        </w:tabs>
        <w:rPr>
          <w:rFonts w:asciiTheme="minorHAnsi" w:eastAsiaTheme="minorEastAsia" w:hAnsiTheme="minorHAnsi" w:cstheme="minorBidi"/>
          <w:b w:val="0"/>
          <w:sz w:val="22"/>
          <w:szCs w:val="22"/>
        </w:rPr>
      </w:pPr>
      <w:r>
        <w:t>Subdivision 13 — Interior lights</w:t>
      </w:r>
    </w:p>
    <w:p w:rsidR="00E1452C" w:rsidRDefault="00E1452C">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_Toc75875906 \h </w:instrText>
      </w:r>
      <w:r>
        <w:fldChar w:fldCharType="separate"/>
      </w:r>
      <w:r w:rsidR="00337078">
        <w:t>214</w:t>
      </w:r>
      <w:r>
        <w:fldChar w:fldCharType="end"/>
      </w:r>
    </w:p>
    <w:p w:rsidR="00E1452C" w:rsidRDefault="00E1452C">
      <w:pPr>
        <w:pStyle w:val="TOC6"/>
        <w:tabs>
          <w:tab w:val="right" w:leader="dot" w:pos="7077"/>
        </w:tabs>
        <w:rPr>
          <w:rFonts w:asciiTheme="minorHAnsi" w:eastAsiaTheme="minorEastAsia" w:hAnsiTheme="minorHAnsi" w:cstheme="minorBidi"/>
          <w:b w:val="0"/>
          <w:sz w:val="22"/>
          <w:szCs w:val="22"/>
        </w:rPr>
      </w:pPr>
      <w:r>
        <w:t>Subdivision 14 — Reflectors generally</w:t>
      </w:r>
    </w:p>
    <w:p w:rsidR="00E1452C" w:rsidRDefault="00E1452C">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_Toc75875908 \h </w:instrText>
      </w:r>
      <w:r>
        <w:fldChar w:fldCharType="separate"/>
      </w:r>
      <w:r w:rsidR="00337078">
        <w:t>214</w:t>
      </w:r>
      <w:r>
        <w:fldChar w:fldCharType="end"/>
      </w:r>
    </w:p>
    <w:p w:rsidR="00E1452C" w:rsidRDefault="00E1452C">
      <w:pPr>
        <w:pStyle w:val="TOC6"/>
        <w:tabs>
          <w:tab w:val="right" w:leader="dot" w:pos="7077"/>
        </w:tabs>
        <w:rPr>
          <w:rFonts w:asciiTheme="minorHAnsi" w:eastAsiaTheme="minorEastAsia" w:hAnsiTheme="minorHAnsi" w:cstheme="minorBidi"/>
          <w:b w:val="0"/>
          <w:sz w:val="22"/>
          <w:szCs w:val="22"/>
        </w:rPr>
      </w:pPr>
      <w:r>
        <w:t>Subdivision 15 — Rear reflectors</w:t>
      </w:r>
    </w:p>
    <w:p w:rsidR="00E1452C" w:rsidRDefault="00E1452C">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_Toc75875910 \h </w:instrText>
      </w:r>
      <w:r>
        <w:fldChar w:fldCharType="separate"/>
      </w:r>
      <w:r w:rsidR="00337078">
        <w:t>215</w:t>
      </w:r>
      <w:r>
        <w:fldChar w:fldCharType="end"/>
      </w:r>
    </w:p>
    <w:p w:rsidR="00E1452C" w:rsidRDefault="00E1452C">
      <w:pPr>
        <w:pStyle w:val="TOC6"/>
        <w:tabs>
          <w:tab w:val="right" w:leader="dot" w:pos="7077"/>
        </w:tabs>
        <w:rPr>
          <w:rFonts w:asciiTheme="minorHAnsi" w:eastAsiaTheme="minorEastAsia" w:hAnsiTheme="minorHAnsi" w:cstheme="minorBidi"/>
          <w:b w:val="0"/>
          <w:sz w:val="22"/>
          <w:szCs w:val="22"/>
        </w:rPr>
      </w:pPr>
      <w:r>
        <w:t>Subdivision 16 — Side reflectors</w:t>
      </w:r>
    </w:p>
    <w:p w:rsidR="00E1452C" w:rsidRDefault="00E1452C">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_Toc75875912 \h </w:instrText>
      </w:r>
      <w:r>
        <w:fldChar w:fldCharType="separate"/>
      </w:r>
      <w:r w:rsidR="00337078">
        <w:t>215</w:t>
      </w:r>
      <w:r>
        <w:fldChar w:fldCharType="end"/>
      </w:r>
    </w:p>
    <w:p w:rsidR="00E1452C" w:rsidRDefault="00E1452C">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_Toc75875913 \h </w:instrText>
      </w:r>
      <w:r>
        <w:fldChar w:fldCharType="separate"/>
      </w:r>
      <w:r w:rsidR="00337078">
        <w:t>216</w:t>
      </w:r>
      <w:r>
        <w:fldChar w:fldCharType="end"/>
      </w:r>
    </w:p>
    <w:p w:rsidR="00E1452C" w:rsidRDefault="00E1452C">
      <w:pPr>
        <w:pStyle w:val="TOC6"/>
        <w:tabs>
          <w:tab w:val="right" w:leader="dot" w:pos="7077"/>
        </w:tabs>
        <w:rPr>
          <w:rFonts w:asciiTheme="minorHAnsi" w:eastAsiaTheme="minorEastAsia" w:hAnsiTheme="minorHAnsi" w:cstheme="minorBidi"/>
          <w:b w:val="0"/>
          <w:sz w:val="22"/>
          <w:szCs w:val="22"/>
        </w:rPr>
      </w:pPr>
      <w:r>
        <w:t>Subdivision 17 — Front reflectors</w:t>
      </w:r>
    </w:p>
    <w:p w:rsidR="00E1452C" w:rsidRDefault="00E1452C">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_Toc75875915 \h </w:instrText>
      </w:r>
      <w:r>
        <w:fldChar w:fldCharType="separate"/>
      </w:r>
      <w:r w:rsidR="00337078">
        <w:t>216</w:t>
      </w:r>
      <w:r>
        <w:fldChar w:fldCharType="end"/>
      </w:r>
    </w:p>
    <w:p w:rsidR="00E1452C" w:rsidRDefault="00E1452C">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_Toc75875916 \h </w:instrText>
      </w:r>
      <w:r>
        <w:fldChar w:fldCharType="separate"/>
      </w:r>
      <w:r w:rsidR="00337078">
        <w:t>216</w:t>
      </w:r>
      <w:r>
        <w:fldChar w:fldCharType="end"/>
      </w:r>
    </w:p>
    <w:p w:rsidR="00E1452C" w:rsidRDefault="00E1452C">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rsidR="00E1452C" w:rsidRDefault="00E1452C">
      <w:pPr>
        <w:pStyle w:val="TOC8"/>
        <w:rPr>
          <w:rFonts w:asciiTheme="minorHAnsi" w:eastAsiaTheme="minorEastAsia" w:hAnsiTheme="minorHAnsi" w:cstheme="minorBidi"/>
          <w:szCs w:val="22"/>
        </w:rPr>
      </w:pPr>
      <w:r>
        <w:t>323.</w:t>
      </w:r>
      <w:r>
        <w:tab/>
        <w:t>Term used: bus</w:t>
      </w:r>
      <w:r>
        <w:tab/>
      </w:r>
      <w:r>
        <w:fldChar w:fldCharType="begin"/>
      </w:r>
      <w:r>
        <w:instrText xml:space="preserve"> PAGEREF _Toc75875918 \h </w:instrText>
      </w:r>
      <w:r>
        <w:fldChar w:fldCharType="separate"/>
      </w:r>
      <w:r w:rsidR="00337078">
        <w:t>217</w:t>
      </w:r>
      <w:r>
        <w:fldChar w:fldCharType="end"/>
      </w:r>
    </w:p>
    <w:p w:rsidR="00E1452C" w:rsidRDefault="00E1452C">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_Toc75875919 \h </w:instrText>
      </w:r>
      <w:r>
        <w:fldChar w:fldCharType="separate"/>
      </w:r>
      <w:r w:rsidR="00337078">
        <w:t>217</w:t>
      </w:r>
      <w:r>
        <w:fldChar w:fldCharType="end"/>
      </w:r>
    </w:p>
    <w:p w:rsidR="00E1452C" w:rsidRDefault="00E1452C">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_Toc75875920 \h </w:instrText>
      </w:r>
      <w:r>
        <w:fldChar w:fldCharType="separate"/>
      </w:r>
      <w:r w:rsidR="00337078">
        <w:t>218</w:t>
      </w:r>
      <w:r>
        <w:fldChar w:fldCharType="end"/>
      </w:r>
    </w:p>
    <w:p w:rsidR="00E1452C" w:rsidRDefault="00E1452C">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_Toc75875921 \h </w:instrText>
      </w:r>
      <w:r>
        <w:fldChar w:fldCharType="separate"/>
      </w:r>
      <w:r w:rsidR="00337078">
        <w:t>220</w:t>
      </w:r>
      <w:r>
        <w:fldChar w:fldCharType="end"/>
      </w:r>
    </w:p>
    <w:p w:rsidR="00E1452C" w:rsidRDefault="00E1452C">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rsidR="00E1452C" w:rsidRDefault="00E1452C">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_Toc75875923 \h </w:instrText>
      </w:r>
      <w:r>
        <w:fldChar w:fldCharType="separate"/>
      </w:r>
      <w:r w:rsidR="00337078">
        <w:t>221</w:t>
      </w:r>
      <w:r>
        <w:fldChar w:fldCharType="end"/>
      </w:r>
    </w:p>
    <w:p w:rsidR="00E1452C" w:rsidRDefault="00E1452C">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_Toc75875924 \h </w:instrText>
      </w:r>
      <w:r>
        <w:fldChar w:fldCharType="separate"/>
      </w:r>
      <w:r w:rsidR="00337078">
        <w:t>222</w:t>
      </w:r>
      <w:r>
        <w:fldChar w:fldCharType="end"/>
      </w:r>
    </w:p>
    <w:p w:rsidR="00E1452C" w:rsidRDefault="00E1452C">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_Toc75875925 \h </w:instrText>
      </w:r>
      <w:r>
        <w:fldChar w:fldCharType="separate"/>
      </w:r>
      <w:r w:rsidR="00337078">
        <w:t>223</w:t>
      </w:r>
      <w:r>
        <w:fldChar w:fldCharType="end"/>
      </w:r>
    </w:p>
    <w:p w:rsidR="00E1452C" w:rsidRDefault="00E1452C">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_Toc75875926 \h </w:instrText>
      </w:r>
      <w:r>
        <w:fldChar w:fldCharType="separate"/>
      </w:r>
      <w:r w:rsidR="00337078">
        <w:t>223</w:t>
      </w:r>
      <w:r>
        <w:fldChar w:fldCharType="end"/>
      </w:r>
    </w:p>
    <w:p w:rsidR="00E1452C" w:rsidRDefault="00E1452C">
      <w:pPr>
        <w:pStyle w:val="TOC8"/>
        <w:rPr>
          <w:rFonts w:asciiTheme="minorHAnsi" w:eastAsiaTheme="minorEastAsia" w:hAnsiTheme="minorHAnsi" w:cstheme="minorBidi"/>
          <w:szCs w:val="22"/>
        </w:rPr>
      </w:pPr>
      <w:r>
        <w:t>331.</w:t>
      </w:r>
      <w:r>
        <w:tab/>
        <w:t>Turn signals</w:t>
      </w:r>
      <w:r>
        <w:tab/>
      </w:r>
      <w:r>
        <w:fldChar w:fldCharType="begin"/>
      </w:r>
      <w:r>
        <w:instrText xml:space="preserve"> PAGEREF _Toc75875927 \h </w:instrText>
      </w:r>
      <w:r>
        <w:fldChar w:fldCharType="separate"/>
      </w:r>
      <w:r w:rsidR="00337078">
        <w:t>224</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9 — Braking systems</w:t>
      </w:r>
    </w:p>
    <w:p w:rsidR="00E1452C" w:rsidRDefault="00E1452C">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rsidR="00E1452C" w:rsidRDefault="00E1452C">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_Toc75875930 \h </w:instrText>
      </w:r>
      <w:r>
        <w:fldChar w:fldCharType="separate"/>
      </w:r>
      <w:r w:rsidR="00337078">
        <w:t>225</w:t>
      </w:r>
      <w:r>
        <w:fldChar w:fldCharType="end"/>
      </w:r>
    </w:p>
    <w:p w:rsidR="00E1452C" w:rsidRDefault="00E1452C">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_Toc75875931 \h </w:instrText>
      </w:r>
      <w:r>
        <w:fldChar w:fldCharType="separate"/>
      </w:r>
      <w:r w:rsidR="00337078">
        <w:t>226</w:t>
      </w:r>
      <w:r>
        <w:fldChar w:fldCharType="end"/>
      </w:r>
    </w:p>
    <w:p w:rsidR="00E1452C" w:rsidRDefault="00E1452C">
      <w:pPr>
        <w:pStyle w:val="TOC8"/>
        <w:rPr>
          <w:rFonts w:asciiTheme="minorHAnsi" w:eastAsiaTheme="minorEastAsia" w:hAnsiTheme="minorHAnsi" w:cstheme="minorBidi"/>
          <w:szCs w:val="22"/>
        </w:rPr>
      </w:pPr>
      <w:r>
        <w:lastRenderedPageBreak/>
        <w:t>334.</w:t>
      </w:r>
      <w:r>
        <w:tab/>
        <w:t>Supply of air or vacuum to brakes of certain vehicles</w:t>
      </w:r>
      <w:r>
        <w:tab/>
      </w:r>
      <w:r>
        <w:fldChar w:fldCharType="begin"/>
      </w:r>
      <w:r>
        <w:instrText xml:space="preserve"> PAGEREF _Toc75875932 \h </w:instrText>
      </w:r>
      <w:r>
        <w:fldChar w:fldCharType="separate"/>
      </w:r>
      <w:r w:rsidR="00337078">
        <w:t>226</w:t>
      </w:r>
      <w:r>
        <w:fldChar w:fldCharType="end"/>
      </w:r>
    </w:p>
    <w:p w:rsidR="00E1452C" w:rsidRDefault="00E1452C">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_Toc75875933 \h </w:instrText>
      </w:r>
      <w:r>
        <w:fldChar w:fldCharType="separate"/>
      </w:r>
      <w:r w:rsidR="00337078">
        <w:t>227</w:t>
      </w:r>
      <w:r>
        <w:fldChar w:fldCharType="end"/>
      </w:r>
    </w:p>
    <w:p w:rsidR="00E1452C" w:rsidRDefault="00E1452C">
      <w:pPr>
        <w:pStyle w:val="TOC6"/>
        <w:tabs>
          <w:tab w:val="right" w:leader="dot" w:pos="7077"/>
        </w:tabs>
        <w:rPr>
          <w:rFonts w:asciiTheme="minorHAnsi" w:eastAsiaTheme="minorEastAsia" w:hAnsiTheme="minorHAnsi" w:cstheme="minorBidi"/>
          <w:b w:val="0"/>
          <w:sz w:val="22"/>
          <w:szCs w:val="22"/>
        </w:rPr>
      </w:pPr>
      <w:r>
        <w:t>Subdivision 2 — Motor vehicle braking systems</w:t>
      </w:r>
    </w:p>
    <w:p w:rsidR="00E1452C" w:rsidRDefault="00E1452C">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_Toc75875935 \h </w:instrText>
      </w:r>
      <w:r>
        <w:fldChar w:fldCharType="separate"/>
      </w:r>
      <w:r w:rsidR="00337078">
        <w:t>230</w:t>
      </w:r>
      <w:r>
        <w:fldChar w:fldCharType="end"/>
      </w:r>
    </w:p>
    <w:p w:rsidR="00E1452C" w:rsidRDefault="00E1452C">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_Toc75875936 \h </w:instrText>
      </w:r>
      <w:r>
        <w:fldChar w:fldCharType="separate"/>
      </w:r>
      <w:r w:rsidR="00337078">
        <w:t>231</w:t>
      </w:r>
      <w:r>
        <w:fldChar w:fldCharType="end"/>
      </w:r>
    </w:p>
    <w:p w:rsidR="00E1452C" w:rsidRDefault="00E1452C">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_Toc75875937 \h </w:instrText>
      </w:r>
      <w:r>
        <w:fldChar w:fldCharType="separate"/>
      </w:r>
      <w:r w:rsidR="00337078">
        <w:t>231</w:t>
      </w:r>
      <w:r>
        <w:fldChar w:fldCharType="end"/>
      </w:r>
    </w:p>
    <w:p w:rsidR="00E1452C" w:rsidRDefault="00E1452C">
      <w:pPr>
        <w:pStyle w:val="TOC6"/>
        <w:tabs>
          <w:tab w:val="right" w:leader="dot" w:pos="7077"/>
        </w:tabs>
        <w:rPr>
          <w:rFonts w:asciiTheme="minorHAnsi" w:eastAsiaTheme="minorEastAsia" w:hAnsiTheme="minorHAnsi" w:cstheme="minorBidi"/>
          <w:b w:val="0"/>
          <w:sz w:val="22"/>
          <w:szCs w:val="22"/>
        </w:rPr>
      </w:pPr>
      <w:r>
        <w:t>Subdivision 3 — Trailer braking systems</w:t>
      </w:r>
    </w:p>
    <w:p w:rsidR="00E1452C" w:rsidRDefault="00E1452C">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_Toc75875939 \h </w:instrText>
      </w:r>
      <w:r>
        <w:fldChar w:fldCharType="separate"/>
      </w:r>
      <w:r w:rsidR="00337078">
        <w:t>232</w:t>
      </w:r>
      <w:r>
        <w:fldChar w:fldCharType="end"/>
      </w:r>
    </w:p>
    <w:p w:rsidR="00E1452C" w:rsidRDefault="00E1452C">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_Toc75875940 \h </w:instrText>
      </w:r>
      <w:r>
        <w:fldChar w:fldCharType="separate"/>
      </w:r>
      <w:r w:rsidR="00337078">
        <w:t>233</w:t>
      </w:r>
      <w:r>
        <w:fldChar w:fldCharType="end"/>
      </w:r>
    </w:p>
    <w:p w:rsidR="00E1452C" w:rsidRDefault="00E1452C">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_Toc75875941 \h </w:instrText>
      </w:r>
      <w:r>
        <w:fldChar w:fldCharType="separate"/>
      </w:r>
      <w:r w:rsidR="00337078">
        <w:t>233</w:t>
      </w:r>
      <w:r>
        <w:fldChar w:fldCharType="end"/>
      </w:r>
    </w:p>
    <w:p w:rsidR="00E1452C" w:rsidRDefault="00E1452C">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rsidR="00E1452C" w:rsidRDefault="00E1452C">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_Toc75875943 \h </w:instrText>
      </w:r>
      <w:r>
        <w:fldChar w:fldCharType="separate"/>
      </w:r>
      <w:r w:rsidR="00337078">
        <w:t>234</w:t>
      </w:r>
      <w:r>
        <w:fldChar w:fldCharType="end"/>
      </w:r>
    </w:p>
    <w:p w:rsidR="00E1452C" w:rsidRDefault="00E1452C">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_Toc75875944 \h </w:instrText>
      </w:r>
      <w:r>
        <w:fldChar w:fldCharType="separate"/>
      </w:r>
      <w:r w:rsidR="00337078">
        <w:t>234</w:t>
      </w:r>
      <w:r>
        <w:fldChar w:fldCharType="end"/>
      </w:r>
    </w:p>
    <w:p w:rsidR="00E1452C" w:rsidRDefault="00E1452C">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_Toc75875945 \h </w:instrText>
      </w:r>
      <w:r>
        <w:fldChar w:fldCharType="separate"/>
      </w:r>
      <w:r w:rsidR="00337078">
        <w:t>234</w:t>
      </w:r>
      <w:r>
        <w:fldChar w:fldCharType="end"/>
      </w:r>
    </w:p>
    <w:p w:rsidR="00E1452C" w:rsidRDefault="00E1452C">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_Toc75875946 \h </w:instrText>
      </w:r>
      <w:r>
        <w:fldChar w:fldCharType="separate"/>
      </w:r>
      <w:r w:rsidR="00337078">
        <w:t>234</w:t>
      </w:r>
      <w:r>
        <w:fldChar w:fldCharType="end"/>
      </w:r>
    </w:p>
    <w:p w:rsidR="00E1452C" w:rsidRDefault="00E1452C">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_Toc75875947 \h </w:instrText>
      </w:r>
      <w:r>
        <w:fldChar w:fldCharType="separate"/>
      </w:r>
      <w:r w:rsidR="00337078">
        <w:t>235</w:t>
      </w:r>
      <w:r>
        <w:fldChar w:fldCharType="end"/>
      </w:r>
    </w:p>
    <w:p w:rsidR="00E1452C" w:rsidRDefault="00E1452C">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_Toc75875948 \h </w:instrText>
      </w:r>
      <w:r>
        <w:fldChar w:fldCharType="separate"/>
      </w:r>
      <w:r w:rsidR="00337078">
        <w:t>236</w:t>
      </w:r>
      <w:r>
        <w:fldChar w:fldCharType="end"/>
      </w:r>
    </w:p>
    <w:p w:rsidR="00E1452C" w:rsidRDefault="00E1452C">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_Toc75875949 \h </w:instrText>
      </w:r>
      <w:r>
        <w:fldChar w:fldCharType="separate"/>
      </w:r>
      <w:r w:rsidR="00337078">
        <w:t>236</w:t>
      </w:r>
      <w:r>
        <w:fldChar w:fldCharType="end"/>
      </w:r>
    </w:p>
    <w:p w:rsidR="00E1452C" w:rsidRDefault="00E1452C">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_Toc75875950 \h </w:instrText>
      </w:r>
      <w:r>
        <w:fldChar w:fldCharType="separate"/>
      </w:r>
      <w:r w:rsidR="00337078">
        <w:t>237</w:t>
      </w:r>
      <w:r>
        <w:fldChar w:fldCharType="end"/>
      </w:r>
    </w:p>
    <w:p w:rsidR="00E1452C" w:rsidRDefault="00E1452C">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_Toc75875951 \h </w:instrText>
      </w:r>
      <w:r>
        <w:fldChar w:fldCharType="separate"/>
      </w:r>
      <w:r w:rsidR="00337078">
        <w:t>237</w:t>
      </w:r>
      <w:r>
        <w:fldChar w:fldCharType="end"/>
      </w:r>
    </w:p>
    <w:p w:rsidR="00E1452C" w:rsidRDefault="00E1452C">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_Toc75875952 \h </w:instrText>
      </w:r>
      <w:r>
        <w:fldChar w:fldCharType="separate"/>
      </w:r>
      <w:r w:rsidR="00337078">
        <w:t>238</w:t>
      </w:r>
      <w:r>
        <w:fldChar w:fldCharType="end"/>
      </w:r>
    </w:p>
    <w:p w:rsidR="00E1452C" w:rsidRDefault="00E1452C">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_Toc75875953 \h </w:instrText>
      </w:r>
      <w:r>
        <w:fldChar w:fldCharType="separate"/>
      </w:r>
      <w:r w:rsidR="00337078">
        <w:t>238</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10 — Vehicle emissions</w:t>
      </w:r>
    </w:p>
    <w:p w:rsidR="00E1452C" w:rsidRDefault="00E1452C">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rsidR="00E1452C" w:rsidRDefault="00E1452C">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_Toc75875956 \h </w:instrText>
      </w:r>
      <w:r>
        <w:fldChar w:fldCharType="separate"/>
      </w:r>
      <w:r w:rsidR="00337078">
        <w:t>238</w:t>
      </w:r>
      <w:r>
        <w:fldChar w:fldCharType="end"/>
      </w:r>
    </w:p>
    <w:p w:rsidR="00E1452C" w:rsidRDefault="00E1452C">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_Toc75875957 \h </w:instrText>
      </w:r>
      <w:r>
        <w:fldChar w:fldCharType="separate"/>
      </w:r>
      <w:r w:rsidR="00337078">
        <w:t>238</w:t>
      </w:r>
      <w:r>
        <w:fldChar w:fldCharType="end"/>
      </w:r>
    </w:p>
    <w:p w:rsidR="00E1452C" w:rsidRDefault="00E1452C">
      <w:pPr>
        <w:pStyle w:val="TOC6"/>
        <w:tabs>
          <w:tab w:val="right" w:leader="dot" w:pos="7077"/>
        </w:tabs>
        <w:rPr>
          <w:rFonts w:asciiTheme="minorHAnsi" w:eastAsiaTheme="minorEastAsia" w:hAnsiTheme="minorHAnsi" w:cstheme="minorBidi"/>
          <w:b w:val="0"/>
          <w:sz w:val="22"/>
          <w:szCs w:val="22"/>
        </w:rPr>
      </w:pPr>
      <w:r>
        <w:t>Subdivision 2 — Exhaust systems</w:t>
      </w:r>
    </w:p>
    <w:p w:rsidR="00E1452C" w:rsidRDefault="00E1452C">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_Toc75875959 \h </w:instrText>
      </w:r>
      <w:r>
        <w:fldChar w:fldCharType="separate"/>
      </w:r>
      <w:r w:rsidR="00337078">
        <w:t>239</w:t>
      </w:r>
      <w:r>
        <w:fldChar w:fldCharType="end"/>
      </w:r>
    </w:p>
    <w:p w:rsidR="00E1452C" w:rsidRDefault="00E1452C">
      <w:pPr>
        <w:pStyle w:val="TOC6"/>
        <w:tabs>
          <w:tab w:val="right" w:leader="dot" w:pos="7077"/>
        </w:tabs>
        <w:rPr>
          <w:rFonts w:asciiTheme="minorHAnsi" w:eastAsiaTheme="minorEastAsia" w:hAnsiTheme="minorHAnsi" w:cstheme="minorBidi"/>
          <w:b w:val="0"/>
          <w:sz w:val="22"/>
          <w:szCs w:val="22"/>
        </w:rPr>
      </w:pPr>
      <w:r>
        <w:lastRenderedPageBreak/>
        <w:t>Subdivision 3 — Emission control systems</w:t>
      </w:r>
    </w:p>
    <w:p w:rsidR="00E1452C" w:rsidRDefault="00E1452C">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_Toc75875961 \h </w:instrText>
      </w:r>
      <w:r>
        <w:fldChar w:fldCharType="separate"/>
      </w:r>
      <w:r w:rsidR="00337078">
        <w:t>241</w:t>
      </w:r>
      <w:r>
        <w:fldChar w:fldCharType="end"/>
      </w:r>
    </w:p>
    <w:p w:rsidR="00E1452C" w:rsidRDefault="00E1452C">
      <w:pPr>
        <w:pStyle w:val="TOC6"/>
        <w:tabs>
          <w:tab w:val="right" w:leader="dot" w:pos="7077"/>
        </w:tabs>
        <w:rPr>
          <w:rFonts w:asciiTheme="minorHAnsi" w:eastAsiaTheme="minorEastAsia" w:hAnsiTheme="minorHAnsi" w:cstheme="minorBidi"/>
          <w:b w:val="0"/>
          <w:sz w:val="22"/>
          <w:szCs w:val="22"/>
        </w:rPr>
      </w:pPr>
      <w:r>
        <w:t>Subdivision 4 — Noise emissions</w:t>
      </w:r>
    </w:p>
    <w:p w:rsidR="00E1452C" w:rsidRDefault="00E1452C">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_Toc75875963 \h </w:instrText>
      </w:r>
      <w:r>
        <w:fldChar w:fldCharType="separate"/>
      </w:r>
      <w:r w:rsidR="00337078">
        <w:t>242</w:t>
      </w:r>
      <w:r>
        <w:fldChar w:fldCharType="end"/>
      </w:r>
    </w:p>
    <w:p w:rsidR="00E1452C" w:rsidRDefault="00E1452C">
      <w:pPr>
        <w:pStyle w:val="TOC8"/>
        <w:rPr>
          <w:rFonts w:asciiTheme="minorHAnsi" w:eastAsiaTheme="minorEastAsia" w:hAnsiTheme="minorHAnsi" w:cstheme="minorBidi"/>
          <w:szCs w:val="22"/>
        </w:rPr>
      </w:pPr>
      <w:r>
        <w:t>357A.</w:t>
      </w:r>
      <w:r>
        <w:tab/>
        <w:t xml:space="preserve">Meaning of </w:t>
      </w:r>
      <w:r w:rsidRPr="00FE3DA3">
        <w:rPr>
          <w:i/>
        </w:rPr>
        <w:t>certified to ADR 83/00</w:t>
      </w:r>
      <w:r>
        <w:tab/>
      </w:r>
      <w:r>
        <w:fldChar w:fldCharType="begin"/>
      </w:r>
      <w:r>
        <w:instrText xml:space="preserve"> PAGEREF _Toc75875964 \h </w:instrText>
      </w:r>
      <w:r>
        <w:fldChar w:fldCharType="separate"/>
      </w:r>
      <w:r w:rsidR="00337078">
        <w:t>242</w:t>
      </w:r>
      <w:r>
        <w:fldChar w:fldCharType="end"/>
      </w:r>
    </w:p>
    <w:p w:rsidR="00E1452C" w:rsidRDefault="00E1452C">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_Toc75875965 \h </w:instrText>
      </w:r>
      <w:r>
        <w:fldChar w:fldCharType="separate"/>
      </w:r>
      <w:r w:rsidR="00337078">
        <w:t>243</w:t>
      </w:r>
      <w:r>
        <w:fldChar w:fldCharType="end"/>
      </w:r>
    </w:p>
    <w:p w:rsidR="00E1452C" w:rsidRDefault="00E1452C">
      <w:pPr>
        <w:pStyle w:val="TOC8"/>
        <w:rPr>
          <w:rFonts w:asciiTheme="minorHAnsi" w:eastAsiaTheme="minorEastAsia" w:hAnsiTheme="minorHAnsi" w:cstheme="minorBidi"/>
          <w:szCs w:val="22"/>
        </w:rPr>
      </w:pPr>
      <w:r>
        <w:t>358A.</w:t>
      </w:r>
      <w:r>
        <w:tab/>
        <w:t>Application of regulations 359 to 361</w:t>
      </w:r>
      <w:r>
        <w:tab/>
      </w:r>
      <w:r>
        <w:fldChar w:fldCharType="begin"/>
      </w:r>
      <w:r>
        <w:instrText xml:space="preserve"> PAGEREF _Toc75875966 \h </w:instrText>
      </w:r>
      <w:r>
        <w:fldChar w:fldCharType="separate"/>
      </w:r>
      <w:r w:rsidR="00337078">
        <w:t>243</w:t>
      </w:r>
      <w:r>
        <w:fldChar w:fldCharType="end"/>
      </w:r>
    </w:p>
    <w:p w:rsidR="00E1452C" w:rsidRDefault="00E1452C">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_Toc75875967 \h </w:instrText>
      </w:r>
      <w:r>
        <w:fldChar w:fldCharType="separate"/>
      </w:r>
      <w:r w:rsidR="00337078">
        <w:t>243</w:t>
      </w:r>
      <w:r>
        <w:fldChar w:fldCharType="end"/>
      </w:r>
    </w:p>
    <w:p w:rsidR="00E1452C" w:rsidRDefault="00E1452C">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_Toc75875968 \h </w:instrText>
      </w:r>
      <w:r>
        <w:fldChar w:fldCharType="separate"/>
      </w:r>
      <w:r w:rsidR="00337078">
        <w:t>244</w:t>
      </w:r>
      <w:r>
        <w:fldChar w:fldCharType="end"/>
      </w:r>
    </w:p>
    <w:p w:rsidR="00E1452C" w:rsidRDefault="00E1452C">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_Toc75875969 \h </w:instrText>
      </w:r>
      <w:r>
        <w:fldChar w:fldCharType="separate"/>
      </w:r>
      <w:r w:rsidR="00337078">
        <w:t>244</w:t>
      </w:r>
      <w:r>
        <w:fldChar w:fldCharType="end"/>
      </w:r>
    </w:p>
    <w:p w:rsidR="00E1452C" w:rsidRDefault="00E1452C">
      <w:pPr>
        <w:pStyle w:val="TOC8"/>
        <w:rPr>
          <w:rFonts w:asciiTheme="minorHAnsi" w:eastAsiaTheme="minorEastAsia" w:hAnsiTheme="minorHAnsi" w:cstheme="minorBidi"/>
          <w:szCs w:val="22"/>
        </w:rPr>
      </w:pPr>
      <w:r>
        <w:t>361A.</w:t>
      </w:r>
      <w:r>
        <w:tab/>
        <w:t>Stationary noise levels: vehicles certified to ADR 83/00</w:t>
      </w:r>
      <w:r>
        <w:tab/>
      </w:r>
      <w:r>
        <w:fldChar w:fldCharType="begin"/>
      </w:r>
      <w:r>
        <w:instrText xml:space="preserve"> PAGEREF _Toc75875970 \h </w:instrText>
      </w:r>
      <w:r>
        <w:fldChar w:fldCharType="separate"/>
      </w:r>
      <w:r w:rsidR="00337078">
        <w:t>245</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11 — LPG fuel systems</w:t>
      </w:r>
    </w:p>
    <w:p w:rsidR="00E1452C" w:rsidRDefault="00E1452C">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_Toc75875972 \h </w:instrText>
      </w:r>
      <w:r>
        <w:fldChar w:fldCharType="separate"/>
      </w:r>
      <w:r w:rsidR="00337078">
        <w:t>246</w:t>
      </w:r>
      <w:r>
        <w:fldChar w:fldCharType="end"/>
      </w:r>
    </w:p>
    <w:p w:rsidR="00E1452C" w:rsidRDefault="00E1452C">
      <w:pPr>
        <w:pStyle w:val="TOC8"/>
        <w:rPr>
          <w:rFonts w:asciiTheme="minorHAnsi" w:eastAsiaTheme="minorEastAsia" w:hAnsiTheme="minorHAnsi" w:cstheme="minorBidi"/>
          <w:szCs w:val="22"/>
        </w:rPr>
      </w:pPr>
      <w:r>
        <w:t>362A.</w:t>
      </w:r>
      <w:r>
        <w:tab/>
        <w:t>Vehicles powered by natural gas</w:t>
      </w:r>
      <w:r>
        <w:tab/>
      </w:r>
      <w:r>
        <w:fldChar w:fldCharType="begin"/>
      </w:r>
      <w:r>
        <w:instrText xml:space="preserve"> PAGEREF _Toc75875973 \h </w:instrText>
      </w:r>
      <w:r>
        <w:fldChar w:fldCharType="separate"/>
      </w:r>
      <w:r w:rsidR="00337078">
        <w:t>247</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12 — Maximum road speed limiting</w:t>
      </w:r>
    </w:p>
    <w:p w:rsidR="00E1452C" w:rsidRDefault="00E1452C">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_Toc75875975 \h </w:instrText>
      </w:r>
      <w:r>
        <w:fldChar w:fldCharType="separate"/>
      </w:r>
      <w:r w:rsidR="00337078">
        <w:t>247</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13 — Mechanical connections between vehicles</w:t>
      </w:r>
    </w:p>
    <w:p w:rsidR="00E1452C" w:rsidRDefault="00E1452C">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rsidR="00E1452C" w:rsidRDefault="00E1452C">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_Toc75875978 \h </w:instrText>
      </w:r>
      <w:r>
        <w:fldChar w:fldCharType="separate"/>
      </w:r>
      <w:r w:rsidR="00337078">
        <w:t>248</w:t>
      </w:r>
      <w:r>
        <w:fldChar w:fldCharType="end"/>
      </w:r>
    </w:p>
    <w:p w:rsidR="00E1452C" w:rsidRDefault="00E1452C">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_Toc75875979 \h </w:instrText>
      </w:r>
      <w:r>
        <w:fldChar w:fldCharType="separate"/>
      </w:r>
      <w:r w:rsidR="00337078">
        <w:t>248</w:t>
      </w:r>
      <w:r>
        <w:fldChar w:fldCharType="end"/>
      </w:r>
    </w:p>
    <w:p w:rsidR="00E1452C" w:rsidRDefault="00E1452C">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_Toc75875980 \h </w:instrText>
      </w:r>
      <w:r>
        <w:fldChar w:fldCharType="separate"/>
      </w:r>
      <w:r w:rsidR="00337078">
        <w:t>248</w:t>
      </w:r>
      <w:r>
        <w:fldChar w:fldCharType="end"/>
      </w:r>
    </w:p>
    <w:p w:rsidR="00E1452C" w:rsidRDefault="00E1452C">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rsidR="00E1452C" w:rsidRDefault="00E1452C">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_Toc75875982 \h </w:instrText>
      </w:r>
      <w:r>
        <w:fldChar w:fldCharType="separate"/>
      </w:r>
      <w:r w:rsidR="00337078">
        <w:t>249</w:t>
      </w:r>
      <w:r>
        <w:fldChar w:fldCharType="end"/>
      </w:r>
    </w:p>
    <w:p w:rsidR="00E1452C" w:rsidRDefault="00E1452C">
      <w:pPr>
        <w:pStyle w:val="TOC8"/>
        <w:rPr>
          <w:rFonts w:asciiTheme="minorHAnsi" w:eastAsiaTheme="minorEastAsia" w:hAnsiTheme="minorHAnsi" w:cstheme="minorBidi"/>
          <w:szCs w:val="22"/>
        </w:rPr>
      </w:pPr>
      <w:r>
        <w:t>368.</w:t>
      </w:r>
      <w:r>
        <w:tab/>
        <w:t>Couplings for B</w:t>
      </w:r>
      <w:r>
        <w:noBreakHyphen/>
        <w:t>doubles and road trains</w:t>
      </w:r>
      <w:r>
        <w:tab/>
      </w:r>
      <w:r>
        <w:fldChar w:fldCharType="begin"/>
      </w:r>
      <w:r>
        <w:instrText xml:space="preserve"> PAGEREF _Toc75875983 \h </w:instrText>
      </w:r>
      <w:r>
        <w:fldChar w:fldCharType="separate"/>
      </w:r>
      <w:r w:rsidR="00337078">
        <w:t>250</w:t>
      </w:r>
      <w:r>
        <w:fldChar w:fldCharType="end"/>
      </w:r>
    </w:p>
    <w:p w:rsidR="00E1452C" w:rsidRDefault="00E1452C">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_Toc75875984 \h </w:instrText>
      </w:r>
      <w:r>
        <w:fldChar w:fldCharType="separate"/>
      </w:r>
      <w:r w:rsidR="00337078">
        <w:t>250</w:t>
      </w:r>
      <w:r>
        <w:fldChar w:fldCharType="end"/>
      </w:r>
    </w:p>
    <w:p w:rsidR="00E1452C" w:rsidRDefault="00E1452C">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_Toc75875985 \h </w:instrText>
      </w:r>
      <w:r>
        <w:fldChar w:fldCharType="separate"/>
      </w:r>
      <w:r w:rsidR="00337078">
        <w:t>251</w:t>
      </w:r>
      <w:r>
        <w:fldChar w:fldCharType="end"/>
      </w:r>
    </w:p>
    <w:p w:rsidR="00E1452C" w:rsidRDefault="00E1452C">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_Toc75875986 \h </w:instrText>
      </w:r>
      <w:r>
        <w:fldChar w:fldCharType="separate"/>
      </w:r>
      <w:r w:rsidR="00337078">
        <w:t>251</w:t>
      </w:r>
      <w:r>
        <w:fldChar w:fldCharType="end"/>
      </w:r>
    </w:p>
    <w:p w:rsidR="00E1452C" w:rsidRDefault="00E1452C">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_Toc75875987 \h </w:instrText>
      </w:r>
      <w:r>
        <w:fldChar w:fldCharType="separate"/>
      </w:r>
      <w:r w:rsidR="00337078">
        <w:t>251</w:t>
      </w:r>
      <w:r>
        <w:fldChar w:fldCharType="end"/>
      </w:r>
    </w:p>
    <w:p w:rsidR="00E1452C" w:rsidRDefault="00E1452C">
      <w:pPr>
        <w:pStyle w:val="TOC8"/>
        <w:rPr>
          <w:rFonts w:asciiTheme="minorHAnsi" w:eastAsiaTheme="minorEastAsia" w:hAnsiTheme="minorHAnsi" w:cstheme="minorBidi"/>
          <w:szCs w:val="22"/>
        </w:rPr>
      </w:pPr>
      <w:r>
        <w:lastRenderedPageBreak/>
        <w:t>373.</w:t>
      </w:r>
      <w:r>
        <w:tab/>
        <w:t>Selection of kingpins for B</w:t>
      </w:r>
      <w:r>
        <w:noBreakHyphen/>
        <w:t>doubles and road trains</w:t>
      </w:r>
      <w:r>
        <w:tab/>
      </w:r>
      <w:r>
        <w:fldChar w:fldCharType="begin"/>
      </w:r>
      <w:r>
        <w:instrText xml:space="preserve"> PAGEREF _Toc75875988 \h </w:instrText>
      </w:r>
      <w:r>
        <w:fldChar w:fldCharType="separate"/>
      </w:r>
      <w:r w:rsidR="00337078">
        <w:t>252</w:t>
      </w:r>
      <w:r>
        <w:fldChar w:fldCharType="end"/>
      </w:r>
    </w:p>
    <w:p w:rsidR="00E1452C" w:rsidRDefault="00E1452C">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_Toc75875989 \h </w:instrText>
      </w:r>
      <w:r>
        <w:fldChar w:fldCharType="separate"/>
      </w:r>
      <w:r w:rsidR="00337078">
        <w:t>253</w:t>
      </w:r>
      <w:r>
        <w:fldChar w:fldCharType="end"/>
      </w:r>
    </w:p>
    <w:p w:rsidR="00E1452C" w:rsidRDefault="00E1452C">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_Toc75875990 \h </w:instrText>
      </w:r>
      <w:r>
        <w:fldChar w:fldCharType="separate"/>
      </w:r>
      <w:r w:rsidR="00337078">
        <w:t>253</w:t>
      </w:r>
      <w:r>
        <w:fldChar w:fldCharType="end"/>
      </w:r>
    </w:p>
    <w:p w:rsidR="00E1452C" w:rsidRDefault="00E1452C">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_Toc75875991 \h </w:instrText>
      </w:r>
      <w:r>
        <w:fldChar w:fldCharType="separate"/>
      </w:r>
      <w:r w:rsidR="00337078">
        <w:t>254</w:t>
      </w:r>
      <w:r>
        <w:fldChar w:fldCharType="end"/>
      </w:r>
    </w:p>
    <w:p w:rsidR="00E1452C" w:rsidRDefault="00E1452C">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_Toc75875992 \h </w:instrText>
      </w:r>
      <w:r>
        <w:fldChar w:fldCharType="separate"/>
      </w:r>
      <w:r w:rsidR="00337078">
        <w:t>254</w:t>
      </w:r>
      <w:r>
        <w:fldChar w:fldCharType="end"/>
      </w:r>
    </w:p>
    <w:p w:rsidR="00E1452C" w:rsidRDefault="00E1452C">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_Toc75875993 \h </w:instrText>
      </w:r>
      <w:r>
        <w:fldChar w:fldCharType="separate"/>
      </w:r>
      <w:r w:rsidR="00337078">
        <w:t>254</w:t>
      </w:r>
      <w:r>
        <w:fldChar w:fldCharType="end"/>
      </w:r>
    </w:p>
    <w:p w:rsidR="00E1452C" w:rsidRDefault="00E1452C">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_Toc75875994 \h </w:instrText>
      </w:r>
      <w:r>
        <w:fldChar w:fldCharType="separate"/>
      </w:r>
      <w:r w:rsidR="00337078">
        <w:t>255</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rsidR="00E1452C" w:rsidRDefault="00E1452C">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_Toc75875996 \h </w:instrText>
      </w:r>
      <w:r>
        <w:fldChar w:fldCharType="separate"/>
      </w:r>
      <w:r w:rsidR="00337078">
        <w:t>257</w:t>
      </w:r>
      <w:r>
        <w:fldChar w:fldCharType="end"/>
      </w:r>
    </w:p>
    <w:p w:rsidR="00E1452C" w:rsidRDefault="00E1452C">
      <w:pPr>
        <w:pStyle w:val="TOC8"/>
        <w:rPr>
          <w:rFonts w:asciiTheme="minorHAnsi" w:eastAsiaTheme="minorEastAsia" w:hAnsiTheme="minorHAnsi" w:cstheme="minorBidi"/>
          <w:szCs w:val="22"/>
        </w:rPr>
      </w:pPr>
      <w:r>
        <w:t>381.</w:t>
      </w:r>
      <w:r>
        <w:tab/>
      </w:r>
      <w:r w:rsidRPr="00FE3DA3">
        <w:rPr>
          <w:snapToGrid w:val="0"/>
        </w:rPr>
        <w:t>Passengers on omnibus with less than 1.5 m interior height</w:t>
      </w:r>
      <w:r>
        <w:tab/>
      </w:r>
      <w:r>
        <w:fldChar w:fldCharType="begin"/>
      </w:r>
      <w:r>
        <w:instrText xml:space="preserve"> PAGEREF _Toc75875997 \h </w:instrText>
      </w:r>
      <w:r>
        <w:fldChar w:fldCharType="separate"/>
      </w:r>
      <w:r w:rsidR="00337078">
        <w:t>258</w:t>
      </w:r>
      <w:r>
        <w:fldChar w:fldCharType="end"/>
      </w:r>
    </w:p>
    <w:p w:rsidR="00E1452C" w:rsidRDefault="00E1452C">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_Toc75875998 \h </w:instrText>
      </w:r>
      <w:r>
        <w:fldChar w:fldCharType="separate"/>
      </w:r>
      <w:r w:rsidR="00337078">
        <w:t>258</w:t>
      </w:r>
      <w:r>
        <w:fldChar w:fldCharType="end"/>
      </w:r>
    </w:p>
    <w:p w:rsidR="00E1452C" w:rsidRDefault="00E1452C">
      <w:pPr>
        <w:pStyle w:val="TOC8"/>
        <w:rPr>
          <w:rFonts w:asciiTheme="minorHAnsi" w:eastAsiaTheme="minorEastAsia" w:hAnsiTheme="minorHAnsi" w:cstheme="minorBidi"/>
          <w:szCs w:val="22"/>
        </w:rPr>
      </w:pPr>
      <w:r>
        <w:t>383.</w:t>
      </w:r>
      <w:r>
        <w:tab/>
        <w:t>Omnibus s</w:t>
      </w:r>
      <w:r w:rsidRPr="00FE3DA3">
        <w:rPr>
          <w:snapToGrid w:val="0"/>
        </w:rPr>
        <w:t>tanding positions and equipment</w:t>
      </w:r>
      <w:r>
        <w:tab/>
      </w:r>
      <w:r>
        <w:fldChar w:fldCharType="begin"/>
      </w:r>
      <w:r>
        <w:instrText xml:space="preserve"> PAGEREF _Toc75875999 \h </w:instrText>
      </w:r>
      <w:r>
        <w:fldChar w:fldCharType="separate"/>
      </w:r>
      <w:r w:rsidR="00337078">
        <w:t>258</w:t>
      </w:r>
      <w:r>
        <w:fldChar w:fldCharType="end"/>
      </w:r>
    </w:p>
    <w:p w:rsidR="00E1452C" w:rsidRDefault="00E1452C">
      <w:pPr>
        <w:pStyle w:val="TOC8"/>
        <w:rPr>
          <w:rFonts w:asciiTheme="minorHAnsi" w:eastAsiaTheme="minorEastAsia" w:hAnsiTheme="minorHAnsi" w:cstheme="minorBidi"/>
          <w:szCs w:val="22"/>
        </w:rPr>
      </w:pPr>
      <w:r>
        <w:t>384.</w:t>
      </w:r>
      <w:r>
        <w:tab/>
        <w:t>Omnibus d</w:t>
      </w:r>
      <w:r w:rsidRPr="00FE3DA3">
        <w:rPr>
          <w:snapToGrid w:val="0"/>
        </w:rPr>
        <w:t>estination signs</w:t>
      </w:r>
      <w:r>
        <w:tab/>
      </w:r>
      <w:r>
        <w:fldChar w:fldCharType="begin"/>
      </w:r>
      <w:r>
        <w:instrText xml:space="preserve"> PAGEREF _Toc75876000 \h </w:instrText>
      </w:r>
      <w:r>
        <w:fldChar w:fldCharType="separate"/>
      </w:r>
      <w:r w:rsidR="00337078">
        <w:t>259</w:t>
      </w:r>
      <w:r>
        <w:fldChar w:fldCharType="end"/>
      </w:r>
    </w:p>
    <w:p w:rsidR="00E1452C" w:rsidRDefault="00E1452C">
      <w:pPr>
        <w:pStyle w:val="TOC8"/>
        <w:rPr>
          <w:rFonts w:asciiTheme="minorHAnsi" w:eastAsiaTheme="minorEastAsia" w:hAnsiTheme="minorHAnsi" w:cstheme="minorBidi"/>
          <w:szCs w:val="22"/>
        </w:rPr>
      </w:pPr>
      <w:r>
        <w:t>385.</w:t>
      </w:r>
      <w:r>
        <w:tab/>
      </w:r>
      <w:r w:rsidRPr="00FE3DA3">
        <w:rPr>
          <w:snapToGrid w:val="0"/>
        </w:rPr>
        <w:t>School bus exterior colours and signs</w:t>
      </w:r>
      <w:r>
        <w:tab/>
      </w:r>
      <w:r>
        <w:fldChar w:fldCharType="begin"/>
      </w:r>
      <w:r>
        <w:instrText xml:space="preserve"> PAGEREF _Toc75876001 \h </w:instrText>
      </w:r>
      <w:r>
        <w:fldChar w:fldCharType="separate"/>
      </w:r>
      <w:r w:rsidR="00337078">
        <w:t>259</w:t>
      </w:r>
      <w:r>
        <w:fldChar w:fldCharType="end"/>
      </w:r>
    </w:p>
    <w:p w:rsidR="00E1452C" w:rsidRDefault="00E1452C">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_Toc75876002 \h </w:instrText>
      </w:r>
      <w:r>
        <w:fldChar w:fldCharType="separate"/>
      </w:r>
      <w:r w:rsidR="00337078">
        <w:t>260</w:t>
      </w:r>
      <w:r>
        <w:fldChar w:fldCharType="end"/>
      </w:r>
    </w:p>
    <w:p w:rsidR="00E1452C" w:rsidRDefault="00E1452C">
      <w:pPr>
        <w:pStyle w:val="TOC8"/>
        <w:rPr>
          <w:rFonts w:asciiTheme="minorHAnsi" w:eastAsiaTheme="minorEastAsia" w:hAnsiTheme="minorHAnsi" w:cstheme="minorBidi"/>
          <w:szCs w:val="22"/>
        </w:rPr>
      </w:pPr>
      <w:r>
        <w:t>387.</w:t>
      </w:r>
      <w:r>
        <w:tab/>
      </w:r>
      <w:r w:rsidRPr="00FE3DA3">
        <w:rPr>
          <w:snapToGrid w:val="0"/>
        </w:rPr>
        <w:t>Fitting of illuminated signs to certain vehicles</w:t>
      </w:r>
      <w:r>
        <w:tab/>
      </w:r>
      <w:r>
        <w:fldChar w:fldCharType="begin"/>
      </w:r>
      <w:r>
        <w:instrText xml:space="preserve"> PAGEREF _Toc75876003 \h </w:instrText>
      </w:r>
      <w:r>
        <w:fldChar w:fldCharType="separate"/>
      </w:r>
      <w:r w:rsidR="00337078">
        <w:t>260</w:t>
      </w:r>
      <w:r>
        <w:fldChar w:fldCharType="end"/>
      </w:r>
    </w:p>
    <w:p w:rsidR="00E1452C" w:rsidRDefault="00E1452C">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_Toc75876004 \h </w:instrText>
      </w:r>
      <w:r>
        <w:fldChar w:fldCharType="separate"/>
      </w:r>
      <w:r w:rsidR="00337078">
        <w:t>261</w:t>
      </w:r>
      <w:r>
        <w:fldChar w:fldCharType="end"/>
      </w:r>
    </w:p>
    <w:p w:rsidR="00E1452C" w:rsidRDefault="00E1452C">
      <w:pPr>
        <w:pStyle w:val="TOC8"/>
        <w:rPr>
          <w:rFonts w:asciiTheme="minorHAnsi" w:eastAsiaTheme="minorEastAsia" w:hAnsiTheme="minorHAnsi" w:cstheme="minorBidi"/>
          <w:szCs w:val="22"/>
        </w:rPr>
      </w:pPr>
      <w:r>
        <w:t>389.</w:t>
      </w:r>
      <w:r>
        <w:tab/>
      </w:r>
      <w:r w:rsidRPr="00FE3DA3">
        <w:rPr>
          <w:snapToGrid w:val="0"/>
        </w:rPr>
        <w:t>Compliance plates</w:t>
      </w:r>
      <w:r>
        <w:tab/>
      </w:r>
      <w:r>
        <w:fldChar w:fldCharType="begin"/>
      </w:r>
      <w:r>
        <w:instrText xml:space="preserve"> PAGEREF _Toc75876005 \h </w:instrText>
      </w:r>
      <w:r>
        <w:fldChar w:fldCharType="separate"/>
      </w:r>
      <w:r w:rsidR="00337078">
        <w:t>263</w:t>
      </w:r>
      <w:r>
        <w:fldChar w:fldCharType="end"/>
      </w:r>
    </w:p>
    <w:p w:rsidR="00E1452C" w:rsidRDefault="00E1452C">
      <w:pPr>
        <w:pStyle w:val="TOC2"/>
        <w:tabs>
          <w:tab w:val="right" w:leader="dot" w:pos="7077"/>
        </w:tabs>
        <w:rPr>
          <w:rFonts w:asciiTheme="minorHAnsi" w:eastAsiaTheme="minorEastAsia" w:hAnsiTheme="minorHAnsi" w:cstheme="minorBidi"/>
          <w:b w:val="0"/>
          <w:sz w:val="22"/>
          <w:szCs w:val="22"/>
        </w:rPr>
      </w:pPr>
      <w:r>
        <w:t>Part 11 — Standards and requirements for animal drawn vehicles and bicycles</w:t>
      </w:r>
    </w:p>
    <w:p w:rsidR="00E1452C" w:rsidRDefault="00E1452C">
      <w:pPr>
        <w:pStyle w:val="TOC4"/>
        <w:tabs>
          <w:tab w:val="right" w:leader="dot" w:pos="7077"/>
        </w:tabs>
        <w:rPr>
          <w:rFonts w:asciiTheme="minorHAnsi" w:eastAsiaTheme="minorEastAsia" w:hAnsiTheme="minorHAnsi" w:cstheme="minorBidi"/>
          <w:b w:val="0"/>
          <w:szCs w:val="22"/>
        </w:rPr>
      </w:pPr>
      <w:r>
        <w:t>Division 1 — Animal drawn vehicles</w:t>
      </w:r>
    </w:p>
    <w:p w:rsidR="00E1452C" w:rsidRDefault="00E1452C">
      <w:pPr>
        <w:pStyle w:val="TOC8"/>
        <w:rPr>
          <w:rFonts w:asciiTheme="minorHAnsi" w:eastAsiaTheme="minorEastAsia" w:hAnsiTheme="minorHAnsi" w:cstheme="minorBidi"/>
          <w:szCs w:val="22"/>
        </w:rPr>
      </w:pPr>
      <w:r>
        <w:t>390.</w:t>
      </w:r>
      <w:r>
        <w:tab/>
        <w:t>Terms used</w:t>
      </w:r>
      <w:r>
        <w:tab/>
      </w:r>
      <w:r>
        <w:fldChar w:fldCharType="begin"/>
      </w:r>
      <w:r>
        <w:instrText xml:space="preserve"> PAGEREF _Toc75876008 \h </w:instrText>
      </w:r>
      <w:r>
        <w:fldChar w:fldCharType="separate"/>
      </w:r>
      <w:r w:rsidR="00337078">
        <w:t>264</w:t>
      </w:r>
      <w:r>
        <w:fldChar w:fldCharType="end"/>
      </w:r>
    </w:p>
    <w:p w:rsidR="00E1452C" w:rsidRDefault="00E1452C">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_Toc75876009 \h </w:instrText>
      </w:r>
      <w:r>
        <w:fldChar w:fldCharType="separate"/>
      </w:r>
      <w:r w:rsidR="00337078">
        <w:t>264</w:t>
      </w:r>
      <w:r>
        <w:fldChar w:fldCharType="end"/>
      </w:r>
    </w:p>
    <w:p w:rsidR="00E1452C" w:rsidRDefault="00E1452C">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_Toc75876010 \h </w:instrText>
      </w:r>
      <w:r>
        <w:fldChar w:fldCharType="separate"/>
      </w:r>
      <w:r w:rsidR="00337078">
        <w:t>264</w:t>
      </w:r>
      <w:r>
        <w:fldChar w:fldCharType="end"/>
      </w:r>
    </w:p>
    <w:p w:rsidR="00E1452C" w:rsidRDefault="00E1452C">
      <w:pPr>
        <w:pStyle w:val="TOC8"/>
        <w:rPr>
          <w:rFonts w:asciiTheme="minorHAnsi" w:eastAsiaTheme="minorEastAsia" w:hAnsiTheme="minorHAnsi" w:cstheme="minorBidi"/>
          <w:szCs w:val="22"/>
        </w:rPr>
      </w:pPr>
      <w:r>
        <w:t>393.</w:t>
      </w:r>
      <w:r>
        <w:tab/>
      </w:r>
      <w:r w:rsidRPr="00FE3DA3">
        <w:rPr>
          <w:spacing w:val="-2"/>
        </w:rPr>
        <w:t>Front and rear lights</w:t>
      </w:r>
      <w:r>
        <w:tab/>
      </w:r>
      <w:r>
        <w:fldChar w:fldCharType="begin"/>
      </w:r>
      <w:r>
        <w:instrText xml:space="preserve"> PAGEREF _Toc75876011 \h </w:instrText>
      </w:r>
      <w:r>
        <w:fldChar w:fldCharType="separate"/>
      </w:r>
      <w:r w:rsidR="00337078">
        <w:t>264</w:t>
      </w:r>
      <w:r>
        <w:fldChar w:fldCharType="end"/>
      </w:r>
    </w:p>
    <w:p w:rsidR="00E1452C" w:rsidRDefault="00E1452C">
      <w:pPr>
        <w:pStyle w:val="TOC8"/>
        <w:rPr>
          <w:rFonts w:asciiTheme="minorHAnsi" w:eastAsiaTheme="minorEastAsia" w:hAnsiTheme="minorHAnsi" w:cstheme="minorBidi"/>
          <w:szCs w:val="22"/>
        </w:rPr>
      </w:pPr>
      <w:r>
        <w:t>394.</w:t>
      </w:r>
      <w:r>
        <w:tab/>
      </w:r>
      <w:r w:rsidRPr="00FE3DA3">
        <w:rPr>
          <w:spacing w:val="-2"/>
        </w:rPr>
        <w:t>Rear reflectors</w:t>
      </w:r>
      <w:r>
        <w:tab/>
      </w:r>
      <w:r>
        <w:fldChar w:fldCharType="begin"/>
      </w:r>
      <w:r>
        <w:instrText xml:space="preserve"> PAGEREF _Toc75876012 \h </w:instrText>
      </w:r>
      <w:r>
        <w:fldChar w:fldCharType="separate"/>
      </w:r>
      <w:r w:rsidR="00337078">
        <w:t>265</w:t>
      </w:r>
      <w:r>
        <w:fldChar w:fldCharType="end"/>
      </w:r>
    </w:p>
    <w:p w:rsidR="00E1452C" w:rsidRDefault="00E1452C">
      <w:pPr>
        <w:pStyle w:val="TOC8"/>
        <w:rPr>
          <w:rFonts w:asciiTheme="minorHAnsi" w:eastAsiaTheme="minorEastAsia" w:hAnsiTheme="minorHAnsi" w:cstheme="minorBidi"/>
          <w:szCs w:val="22"/>
        </w:rPr>
      </w:pPr>
      <w:r>
        <w:t>395.</w:t>
      </w:r>
      <w:r>
        <w:tab/>
      </w:r>
      <w:r w:rsidRPr="00FE3DA3">
        <w:rPr>
          <w:spacing w:val="-2"/>
        </w:rPr>
        <w:t>Front clearance lamps</w:t>
      </w:r>
      <w:r>
        <w:tab/>
      </w:r>
      <w:r>
        <w:fldChar w:fldCharType="begin"/>
      </w:r>
      <w:r>
        <w:instrText xml:space="preserve"> PAGEREF _Toc75876013 \h </w:instrText>
      </w:r>
      <w:r>
        <w:fldChar w:fldCharType="separate"/>
      </w:r>
      <w:r w:rsidR="00337078">
        <w:t>266</w:t>
      </w:r>
      <w:r>
        <w:fldChar w:fldCharType="end"/>
      </w:r>
    </w:p>
    <w:p w:rsidR="00E1452C" w:rsidRDefault="00E1452C">
      <w:pPr>
        <w:pStyle w:val="TOC8"/>
        <w:rPr>
          <w:rFonts w:asciiTheme="minorHAnsi" w:eastAsiaTheme="minorEastAsia" w:hAnsiTheme="minorHAnsi" w:cstheme="minorBidi"/>
          <w:szCs w:val="22"/>
        </w:rPr>
      </w:pPr>
      <w:r>
        <w:t>396.</w:t>
      </w:r>
      <w:r>
        <w:tab/>
      </w:r>
      <w:r w:rsidRPr="00FE3DA3">
        <w:rPr>
          <w:spacing w:val="-2"/>
        </w:rPr>
        <w:t>Rear clearance lamps or reflectors</w:t>
      </w:r>
      <w:r>
        <w:tab/>
      </w:r>
      <w:r>
        <w:fldChar w:fldCharType="begin"/>
      </w:r>
      <w:r>
        <w:instrText xml:space="preserve"> PAGEREF _Toc75876014 \h </w:instrText>
      </w:r>
      <w:r>
        <w:fldChar w:fldCharType="separate"/>
      </w:r>
      <w:r w:rsidR="00337078">
        <w:t>266</w:t>
      </w:r>
      <w:r>
        <w:fldChar w:fldCharType="end"/>
      </w:r>
    </w:p>
    <w:p w:rsidR="00E1452C" w:rsidRDefault="00E1452C">
      <w:pPr>
        <w:pStyle w:val="TOC8"/>
        <w:rPr>
          <w:rFonts w:asciiTheme="minorHAnsi" w:eastAsiaTheme="minorEastAsia" w:hAnsiTheme="minorHAnsi" w:cstheme="minorBidi"/>
          <w:szCs w:val="22"/>
        </w:rPr>
      </w:pPr>
      <w:r>
        <w:t>397.</w:t>
      </w:r>
      <w:r>
        <w:tab/>
      </w:r>
      <w:r w:rsidRPr="00FE3DA3">
        <w:rPr>
          <w:spacing w:val="-2"/>
        </w:rPr>
        <w:t>Requirements in regard to reflectors</w:t>
      </w:r>
      <w:r>
        <w:tab/>
      </w:r>
      <w:r>
        <w:fldChar w:fldCharType="begin"/>
      </w:r>
      <w:r>
        <w:instrText xml:space="preserve"> PAGEREF _Toc75876015 \h </w:instrText>
      </w:r>
      <w:r>
        <w:fldChar w:fldCharType="separate"/>
      </w:r>
      <w:r w:rsidR="00337078">
        <w:t>267</w:t>
      </w:r>
      <w:r>
        <w:fldChar w:fldCharType="end"/>
      </w:r>
    </w:p>
    <w:p w:rsidR="00E1452C" w:rsidRDefault="00E1452C">
      <w:pPr>
        <w:pStyle w:val="TOC8"/>
        <w:rPr>
          <w:rFonts w:asciiTheme="minorHAnsi" w:eastAsiaTheme="minorEastAsia" w:hAnsiTheme="minorHAnsi" w:cstheme="minorBidi"/>
          <w:szCs w:val="22"/>
        </w:rPr>
      </w:pPr>
      <w:r>
        <w:lastRenderedPageBreak/>
        <w:t>398.</w:t>
      </w:r>
      <w:r>
        <w:tab/>
      </w:r>
      <w:r w:rsidRPr="00FE3DA3">
        <w:rPr>
          <w:spacing w:val="-2"/>
        </w:rPr>
        <w:t>Light on projecting load</w:t>
      </w:r>
      <w:r>
        <w:tab/>
      </w:r>
      <w:r>
        <w:fldChar w:fldCharType="begin"/>
      </w:r>
      <w:r>
        <w:instrText xml:space="preserve"> PAGEREF _Toc75876016 \h </w:instrText>
      </w:r>
      <w:r>
        <w:fldChar w:fldCharType="separate"/>
      </w:r>
      <w:r w:rsidR="00337078">
        <w:t>267</w:t>
      </w:r>
      <w:r>
        <w:fldChar w:fldCharType="end"/>
      </w:r>
    </w:p>
    <w:p w:rsidR="00E1452C" w:rsidRDefault="00E1452C">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_Toc75876017 \h </w:instrText>
      </w:r>
      <w:r>
        <w:fldChar w:fldCharType="separate"/>
      </w:r>
      <w:r w:rsidR="00337078">
        <w:t>268</w:t>
      </w:r>
      <w:r>
        <w:fldChar w:fldCharType="end"/>
      </w:r>
    </w:p>
    <w:p w:rsidR="00E1452C" w:rsidRDefault="00E1452C">
      <w:pPr>
        <w:pStyle w:val="TOC8"/>
        <w:rPr>
          <w:rFonts w:asciiTheme="minorHAnsi" w:eastAsiaTheme="minorEastAsia" w:hAnsiTheme="minorHAnsi" w:cstheme="minorBidi"/>
          <w:szCs w:val="22"/>
        </w:rPr>
      </w:pPr>
      <w:r>
        <w:t>400.</w:t>
      </w:r>
      <w:r>
        <w:tab/>
      </w:r>
      <w:r w:rsidRPr="00FE3DA3">
        <w:rPr>
          <w:spacing w:val="-2"/>
        </w:rPr>
        <w:t>Brakes</w:t>
      </w:r>
      <w:r>
        <w:tab/>
      </w:r>
      <w:r>
        <w:fldChar w:fldCharType="begin"/>
      </w:r>
      <w:r>
        <w:instrText xml:space="preserve"> PAGEREF _Toc75876018 \h </w:instrText>
      </w:r>
      <w:r>
        <w:fldChar w:fldCharType="separate"/>
      </w:r>
      <w:r w:rsidR="00337078">
        <w:t>268</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2 — Bicycles</w:t>
      </w:r>
    </w:p>
    <w:p w:rsidR="00E1452C" w:rsidRDefault="00E1452C">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_Toc75876020 \h </w:instrText>
      </w:r>
      <w:r>
        <w:fldChar w:fldCharType="separate"/>
      </w:r>
      <w:r w:rsidR="00337078">
        <w:t>269</w:t>
      </w:r>
      <w:r>
        <w:fldChar w:fldCharType="end"/>
      </w:r>
    </w:p>
    <w:p w:rsidR="00E1452C" w:rsidRDefault="00E1452C">
      <w:pPr>
        <w:pStyle w:val="TOC8"/>
        <w:rPr>
          <w:rFonts w:asciiTheme="minorHAnsi" w:eastAsiaTheme="minorEastAsia" w:hAnsiTheme="minorHAnsi" w:cstheme="minorBidi"/>
          <w:szCs w:val="22"/>
        </w:rPr>
      </w:pPr>
      <w:r>
        <w:t>402.</w:t>
      </w:r>
      <w:r>
        <w:tab/>
      </w:r>
      <w:r w:rsidRPr="00FE3DA3">
        <w:rPr>
          <w:spacing w:val="-2"/>
        </w:rPr>
        <w:t>Brakes</w:t>
      </w:r>
      <w:r>
        <w:tab/>
      </w:r>
      <w:r>
        <w:fldChar w:fldCharType="begin"/>
      </w:r>
      <w:r>
        <w:instrText xml:space="preserve"> PAGEREF _Toc75876021 \h </w:instrText>
      </w:r>
      <w:r>
        <w:fldChar w:fldCharType="separate"/>
      </w:r>
      <w:r w:rsidR="00337078">
        <w:t>269</w:t>
      </w:r>
      <w:r>
        <w:fldChar w:fldCharType="end"/>
      </w:r>
    </w:p>
    <w:p w:rsidR="00E1452C" w:rsidRDefault="00E1452C">
      <w:pPr>
        <w:pStyle w:val="TOC8"/>
        <w:rPr>
          <w:rFonts w:asciiTheme="minorHAnsi" w:eastAsiaTheme="minorEastAsia" w:hAnsiTheme="minorHAnsi" w:cstheme="minorBidi"/>
          <w:szCs w:val="22"/>
        </w:rPr>
      </w:pPr>
      <w:r>
        <w:t>403.</w:t>
      </w:r>
      <w:r>
        <w:tab/>
      </w:r>
      <w:r w:rsidRPr="00FE3DA3">
        <w:rPr>
          <w:spacing w:val="-2"/>
        </w:rPr>
        <w:t>Bell</w:t>
      </w:r>
      <w:r>
        <w:tab/>
      </w:r>
      <w:r>
        <w:fldChar w:fldCharType="begin"/>
      </w:r>
      <w:r>
        <w:instrText xml:space="preserve"> PAGEREF _Toc75876022 \h </w:instrText>
      </w:r>
      <w:r>
        <w:fldChar w:fldCharType="separate"/>
      </w:r>
      <w:r w:rsidR="00337078">
        <w:t>269</w:t>
      </w:r>
      <w:r>
        <w:fldChar w:fldCharType="end"/>
      </w:r>
    </w:p>
    <w:p w:rsidR="00E1452C" w:rsidRDefault="00E1452C">
      <w:pPr>
        <w:pStyle w:val="TOC8"/>
        <w:rPr>
          <w:rFonts w:asciiTheme="minorHAnsi" w:eastAsiaTheme="minorEastAsia" w:hAnsiTheme="minorHAnsi" w:cstheme="minorBidi"/>
          <w:szCs w:val="22"/>
        </w:rPr>
      </w:pPr>
      <w:r>
        <w:t>404.</w:t>
      </w:r>
      <w:r>
        <w:tab/>
      </w:r>
      <w:r w:rsidRPr="00FE3DA3">
        <w:rPr>
          <w:spacing w:val="-2"/>
        </w:rPr>
        <w:t>Handlebar</w:t>
      </w:r>
      <w:r>
        <w:tab/>
      </w:r>
      <w:r>
        <w:fldChar w:fldCharType="begin"/>
      </w:r>
      <w:r>
        <w:instrText xml:space="preserve"> PAGEREF _Toc75876023 \h </w:instrText>
      </w:r>
      <w:r>
        <w:fldChar w:fldCharType="separate"/>
      </w:r>
      <w:r w:rsidR="00337078">
        <w:t>269</w:t>
      </w:r>
      <w:r>
        <w:fldChar w:fldCharType="end"/>
      </w:r>
    </w:p>
    <w:p w:rsidR="00E1452C" w:rsidRDefault="00E1452C">
      <w:pPr>
        <w:pStyle w:val="TOC8"/>
        <w:rPr>
          <w:rFonts w:asciiTheme="minorHAnsi" w:eastAsiaTheme="minorEastAsia" w:hAnsiTheme="minorHAnsi" w:cstheme="minorBidi"/>
          <w:szCs w:val="22"/>
        </w:rPr>
      </w:pPr>
      <w:r>
        <w:t>405.</w:t>
      </w:r>
      <w:r>
        <w:tab/>
      </w:r>
      <w:r w:rsidRPr="00FE3DA3">
        <w:rPr>
          <w:spacing w:val="-2"/>
        </w:rPr>
        <w:t>Rake and angle of front forks</w:t>
      </w:r>
      <w:r>
        <w:tab/>
      </w:r>
      <w:r>
        <w:fldChar w:fldCharType="begin"/>
      </w:r>
      <w:r>
        <w:instrText xml:space="preserve"> PAGEREF _Toc75876024 \h </w:instrText>
      </w:r>
      <w:r>
        <w:fldChar w:fldCharType="separate"/>
      </w:r>
      <w:r w:rsidR="00337078">
        <w:t>270</w:t>
      </w:r>
      <w:r>
        <w:fldChar w:fldCharType="end"/>
      </w:r>
    </w:p>
    <w:p w:rsidR="00E1452C" w:rsidRDefault="00E1452C">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_Toc75876025 \h </w:instrText>
      </w:r>
      <w:r>
        <w:fldChar w:fldCharType="separate"/>
      </w:r>
      <w:r w:rsidR="00337078">
        <w:t>270</w:t>
      </w:r>
      <w:r>
        <w:fldChar w:fldCharType="end"/>
      </w:r>
    </w:p>
    <w:p w:rsidR="00E1452C" w:rsidRDefault="00E1452C">
      <w:pPr>
        <w:pStyle w:val="TOC8"/>
        <w:rPr>
          <w:rFonts w:asciiTheme="minorHAnsi" w:eastAsiaTheme="minorEastAsia" w:hAnsiTheme="minorHAnsi" w:cstheme="minorBidi"/>
          <w:szCs w:val="22"/>
        </w:rPr>
      </w:pPr>
      <w:r>
        <w:t>407.</w:t>
      </w:r>
      <w:r>
        <w:tab/>
      </w:r>
      <w:r w:rsidRPr="00FE3DA3">
        <w:rPr>
          <w:spacing w:val="-2"/>
        </w:rPr>
        <w:t>Child</w:t>
      </w:r>
      <w:r w:rsidRPr="00FE3DA3">
        <w:rPr>
          <w:spacing w:val="-2"/>
        </w:rPr>
        <w:noBreakHyphen/>
        <w:t>carrying seats</w:t>
      </w:r>
      <w:r>
        <w:tab/>
      </w:r>
      <w:r>
        <w:fldChar w:fldCharType="begin"/>
      </w:r>
      <w:r>
        <w:instrText xml:space="preserve"> PAGEREF _Toc75876026 \h </w:instrText>
      </w:r>
      <w:r>
        <w:fldChar w:fldCharType="separate"/>
      </w:r>
      <w:r w:rsidR="00337078">
        <w:t>270</w:t>
      </w:r>
      <w:r>
        <w:fldChar w:fldCharType="end"/>
      </w:r>
    </w:p>
    <w:p w:rsidR="00E1452C" w:rsidRDefault="00E1452C">
      <w:pPr>
        <w:pStyle w:val="TOC2"/>
        <w:tabs>
          <w:tab w:val="right" w:leader="dot" w:pos="7077"/>
        </w:tabs>
        <w:rPr>
          <w:rFonts w:asciiTheme="minorHAnsi" w:eastAsiaTheme="minorEastAsia" w:hAnsiTheme="minorHAnsi" w:cstheme="minorBidi"/>
          <w:b w:val="0"/>
          <w:sz w:val="22"/>
          <w:szCs w:val="22"/>
        </w:rPr>
      </w:pPr>
      <w:r>
        <w:t>Part 12 — Tow trucks and towed vehicles</w:t>
      </w:r>
    </w:p>
    <w:p w:rsidR="00E1452C" w:rsidRDefault="00E1452C">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rsidR="00E1452C" w:rsidRDefault="00E1452C">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_Toc75876029 \h </w:instrText>
      </w:r>
      <w:r>
        <w:fldChar w:fldCharType="separate"/>
      </w:r>
      <w:r w:rsidR="00337078">
        <w:t>271</w:t>
      </w:r>
      <w:r>
        <w:fldChar w:fldCharType="end"/>
      </w:r>
    </w:p>
    <w:p w:rsidR="00E1452C" w:rsidRDefault="00E1452C">
      <w:pPr>
        <w:pStyle w:val="TOC8"/>
        <w:rPr>
          <w:rFonts w:asciiTheme="minorHAnsi" w:eastAsiaTheme="minorEastAsia" w:hAnsiTheme="minorHAnsi" w:cstheme="minorBidi"/>
          <w:szCs w:val="22"/>
        </w:rPr>
      </w:pPr>
      <w:r>
        <w:t>409.</w:t>
      </w:r>
      <w:r>
        <w:tab/>
      </w:r>
      <w:r w:rsidRPr="00FE3DA3">
        <w:rPr>
          <w:snapToGrid w:val="0"/>
        </w:rPr>
        <w:t>General equipment</w:t>
      </w:r>
      <w:r>
        <w:tab/>
      </w:r>
      <w:r>
        <w:fldChar w:fldCharType="begin"/>
      </w:r>
      <w:r>
        <w:instrText xml:space="preserve"> PAGEREF _Toc75876030 \h </w:instrText>
      </w:r>
      <w:r>
        <w:fldChar w:fldCharType="separate"/>
      </w:r>
      <w:r w:rsidR="00337078">
        <w:t>271</w:t>
      </w:r>
      <w:r>
        <w:fldChar w:fldCharType="end"/>
      </w:r>
    </w:p>
    <w:p w:rsidR="00E1452C" w:rsidRDefault="00E1452C">
      <w:pPr>
        <w:pStyle w:val="TOC8"/>
        <w:rPr>
          <w:rFonts w:asciiTheme="minorHAnsi" w:eastAsiaTheme="minorEastAsia" w:hAnsiTheme="minorHAnsi" w:cstheme="minorBidi"/>
          <w:szCs w:val="22"/>
        </w:rPr>
      </w:pPr>
      <w:r>
        <w:t>410.</w:t>
      </w:r>
      <w:r>
        <w:tab/>
      </w:r>
      <w:r w:rsidRPr="00FE3DA3">
        <w:rPr>
          <w:snapToGrid w:val="0"/>
        </w:rPr>
        <w:t>Lights and warning devices</w:t>
      </w:r>
      <w:r>
        <w:tab/>
      </w:r>
      <w:r>
        <w:fldChar w:fldCharType="begin"/>
      </w:r>
      <w:r>
        <w:instrText xml:space="preserve"> PAGEREF _Toc75876031 \h </w:instrText>
      </w:r>
      <w:r>
        <w:fldChar w:fldCharType="separate"/>
      </w:r>
      <w:r w:rsidR="00337078">
        <w:t>272</w:t>
      </w:r>
      <w:r>
        <w:fldChar w:fldCharType="end"/>
      </w:r>
    </w:p>
    <w:p w:rsidR="00E1452C" w:rsidRDefault="00E1452C">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_Toc75876032 \h </w:instrText>
      </w:r>
      <w:r>
        <w:fldChar w:fldCharType="separate"/>
      </w:r>
      <w:r w:rsidR="00337078">
        <w:t>273</w:t>
      </w:r>
      <w:r>
        <w:fldChar w:fldCharType="end"/>
      </w:r>
    </w:p>
    <w:p w:rsidR="00E1452C" w:rsidRDefault="00E1452C">
      <w:pPr>
        <w:pStyle w:val="TOC8"/>
        <w:rPr>
          <w:rFonts w:asciiTheme="minorHAnsi" w:eastAsiaTheme="minorEastAsia" w:hAnsiTheme="minorHAnsi" w:cstheme="minorBidi"/>
          <w:szCs w:val="22"/>
        </w:rPr>
      </w:pPr>
      <w:r>
        <w:t>412.</w:t>
      </w:r>
      <w:r>
        <w:tab/>
      </w:r>
      <w:r w:rsidRPr="00FE3DA3">
        <w:rPr>
          <w:snapToGrid w:val="0"/>
        </w:rPr>
        <w:t>Cranes</w:t>
      </w:r>
      <w:r>
        <w:tab/>
      </w:r>
      <w:r>
        <w:fldChar w:fldCharType="begin"/>
      </w:r>
      <w:r>
        <w:instrText xml:space="preserve"> PAGEREF _Toc75876033 \h </w:instrText>
      </w:r>
      <w:r>
        <w:fldChar w:fldCharType="separate"/>
      </w:r>
      <w:r w:rsidR="00337078">
        <w:t>273</w:t>
      </w:r>
      <w:r>
        <w:fldChar w:fldCharType="end"/>
      </w:r>
    </w:p>
    <w:p w:rsidR="00E1452C" w:rsidRDefault="00E1452C">
      <w:pPr>
        <w:pStyle w:val="TOC8"/>
        <w:rPr>
          <w:rFonts w:asciiTheme="minorHAnsi" w:eastAsiaTheme="minorEastAsia" w:hAnsiTheme="minorHAnsi" w:cstheme="minorBidi"/>
          <w:szCs w:val="22"/>
        </w:rPr>
      </w:pPr>
      <w:r>
        <w:t>413.</w:t>
      </w:r>
      <w:r>
        <w:tab/>
      </w:r>
      <w:r w:rsidRPr="00FE3DA3">
        <w:rPr>
          <w:snapToGrid w:val="0"/>
        </w:rPr>
        <w:t>Crane operators</w:t>
      </w:r>
      <w:r>
        <w:tab/>
      </w:r>
      <w:r>
        <w:fldChar w:fldCharType="begin"/>
      </w:r>
      <w:r>
        <w:instrText xml:space="preserve"> PAGEREF _Toc75876034 \h </w:instrText>
      </w:r>
      <w:r>
        <w:fldChar w:fldCharType="separate"/>
      </w:r>
      <w:r w:rsidR="00337078">
        <w:t>274</w:t>
      </w:r>
      <w:r>
        <w:fldChar w:fldCharType="end"/>
      </w:r>
    </w:p>
    <w:p w:rsidR="00E1452C" w:rsidRDefault="00E1452C">
      <w:pPr>
        <w:pStyle w:val="TOC8"/>
        <w:rPr>
          <w:rFonts w:asciiTheme="minorHAnsi" w:eastAsiaTheme="minorEastAsia" w:hAnsiTheme="minorHAnsi" w:cstheme="minorBidi"/>
          <w:szCs w:val="22"/>
        </w:rPr>
      </w:pPr>
      <w:r>
        <w:t>414.</w:t>
      </w:r>
      <w:r>
        <w:tab/>
      </w:r>
      <w:r w:rsidRPr="00FE3DA3">
        <w:rPr>
          <w:snapToGrid w:val="0"/>
        </w:rPr>
        <w:t>Classification and limitation</w:t>
      </w:r>
      <w:r>
        <w:tab/>
      </w:r>
      <w:r>
        <w:fldChar w:fldCharType="begin"/>
      </w:r>
      <w:r>
        <w:instrText xml:space="preserve"> PAGEREF _Toc75876035 \h </w:instrText>
      </w:r>
      <w:r>
        <w:fldChar w:fldCharType="separate"/>
      </w:r>
      <w:r w:rsidR="00337078">
        <w:t>274</w:t>
      </w:r>
      <w:r>
        <w:fldChar w:fldCharType="end"/>
      </w:r>
    </w:p>
    <w:p w:rsidR="00E1452C" w:rsidRDefault="00E1452C">
      <w:pPr>
        <w:pStyle w:val="TOC8"/>
        <w:rPr>
          <w:rFonts w:asciiTheme="minorHAnsi" w:eastAsiaTheme="minorEastAsia" w:hAnsiTheme="minorHAnsi" w:cstheme="minorBidi"/>
          <w:szCs w:val="22"/>
        </w:rPr>
      </w:pPr>
      <w:r>
        <w:t>415.</w:t>
      </w:r>
      <w:r>
        <w:tab/>
      </w:r>
      <w:r w:rsidRPr="00FE3DA3">
        <w:rPr>
          <w:snapToGrid w:val="0"/>
        </w:rPr>
        <w:t>Lifting requirements</w:t>
      </w:r>
      <w:r>
        <w:tab/>
      </w:r>
      <w:r>
        <w:fldChar w:fldCharType="begin"/>
      </w:r>
      <w:r>
        <w:instrText xml:space="preserve"> PAGEREF _Toc75876036 \h </w:instrText>
      </w:r>
      <w:r>
        <w:fldChar w:fldCharType="separate"/>
      </w:r>
      <w:r w:rsidR="00337078">
        <w:t>275</w:t>
      </w:r>
      <w:r>
        <w:fldChar w:fldCharType="end"/>
      </w:r>
    </w:p>
    <w:p w:rsidR="00E1452C" w:rsidRDefault="00E1452C">
      <w:pPr>
        <w:pStyle w:val="TOC8"/>
        <w:rPr>
          <w:rFonts w:asciiTheme="minorHAnsi" w:eastAsiaTheme="minorEastAsia" w:hAnsiTheme="minorHAnsi" w:cstheme="minorBidi"/>
          <w:szCs w:val="22"/>
        </w:rPr>
      </w:pPr>
      <w:r>
        <w:t>416.</w:t>
      </w:r>
      <w:r>
        <w:tab/>
      </w:r>
      <w:r w:rsidRPr="00FE3DA3">
        <w:rPr>
          <w:snapToGrid w:val="0"/>
        </w:rPr>
        <w:t>Tow truck brakes</w:t>
      </w:r>
      <w:r>
        <w:tab/>
      </w:r>
      <w:r>
        <w:fldChar w:fldCharType="begin"/>
      </w:r>
      <w:r>
        <w:instrText xml:space="preserve"> PAGEREF _Toc75876037 \h </w:instrText>
      </w:r>
      <w:r>
        <w:fldChar w:fldCharType="separate"/>
      </w:r>
      <w:r w:rsidR="00337078">
        <w:t>276</w:t>
      </w:r>
      <w:r>
        <w:fldChar w:fldCharType="end"/>
      </w:r>
    </w:p>
    <w:p w:rsidR="00E1452C" w:rsidRDefault="00E1452C">
      <w:pPr>
        <w:pStyle w:val="TOC8"/>
        <w:rPr>
          <w:rFonts w:asciiTheme="minorHAnsi" w:eastAsiaTheme="minorEastAsia" w:hAnsiTheme="minorHAnsi" w:cstheme="minorBidi"/>
          <w:szCs w:val="22"/>
        </w:rPr>
      </w:pPr>
      <w:r>
        <w:t>417.</w:t>
      </w:r>
      <w:r>
        <w:tab/>
        <w:t>B</w:t>
      </w:r>
      <w:r w:rsidRPr="00FE3DA3">
        <w:rPr>
          <w:snapToGrid w:val="0"/>
        </w:rPr>
        <w:t>rakes of towed vehicle</w:t>
      </w:r>
      <w:r>
        <w:tab/>
      </w:r>
      <w:r>
        <w:fldChar w:fldCharType="begin"/>
      </w:r>
      <w:r>
        <w:instrText xml:space="preserve"> PAGEREF _Toc75876038 \h </w:instrText>
      </w:r>
      <w:r>
        <w:fldChar w:fldCharType="separate"/>
      </w:r>
      <w:r w:rsidR="00337078">
        <w:t>276</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2 — Authority to tow</w:t>
      </w:r>
    </w:p>
    <w:p w:rsidR="00E1452C" w:rsidRDefault="00E1452C">
      <w:pPr>
        <w:pStyle w:val="TOC8"/>
        <w:rPr>
          <w:rFonts w:asciiTheme="minorHAnsi" w:eastAsiaTheme="minorEastAsia" w:hAnsiTheme="minorHAnsi" w:cstheme="minorBidi"/>
          <w:szCs w:val="22"/>
        </w:rPr>
      </w:pPr>
      <w:r>
        <w:t>418.</w:t>
      </w:r>
      <w:r>
        <w:tab/>
        <w:t>T</w:t>
      </w:r>
      <w:r w:rsidRPr="00FE3DA3">
        <w:rPr>
          <w:snapToGrid w:val="0"/>
        </w:rPr>
        <w:t>owing articulated vehicles</w:t>
      </w:r>
      <w:r>
        <w:tab/>
      </w:r>
      <w:r>
        <w:fldChar w:fldCharType="begin"/>
      </w:r>
      <w:r>
        <w:instrText xml:space="preserve"> PAGEREF _Toc75876040 \h </w:instrText>
      </w:r>
      <w:r>
        <w:fldChar w:fldCharType="separate"/>
      </w:r>
      <w:r w:rsidR="00337078">
        <w:t>276</w:t>
      </w:r>
      <w:r>
        <w:fldChar w:fldCharType="end"/>
      </w:r>
    </w:p>
    <w:p w:rsidR="00E1452C" w:rsidRDefault="00E1452C">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_Toc75876041 \h </w:instrText>
      </w:r>
      <w:r>
        <w:fldChar w:fldCharType="separate"/>
      </w:r>
      <w:r w:rsidR="00337078">
        <w:t>278</w:t>
      </w:r>
      <w:r>
        <w:fldChar w:fldCharType="end"/>
      </w:r>
    </w:p>
    <w:p w:rsidR="00E1452C" w:rsidRDefault="00E1452C">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_Toc75876042 \h </w:instrText>
      </w:r>
      <w:r>
        <w:fldChar w:fldCharType="separate"/>
      </w:r>
      <w:r w:rsidR="00337078">
        <w:t>280</w:t>
      </w:r>
      <w:r>
        <w:fldChar w:fldCharType="end"/>
      </w:r>
    </w:p>
    <w:p w:rsidR="00E1452C" w:rsidRDefault="00E1452C">
      <w:pPr>
        <w:pStyle w:val="TOC8"/>
        <w:rPr>
          <w:rFonts w:asciiTheme="minorHAnsi" w:eastAsiaTheme="minorEastAsia" w:hAnsiTheme="minorHAnsi" w:cstheme="minorBidi"/>
          <w:szCs w:val="22"/>
        </w:rPr>
      </w:pPr>
      <w:r>
        <w:t>421.</w:t>
      </w:r>
      <w:r>
        <w:tab/>
      </w:r>
      <w:r w:rsidRPr="00FE3DA3">
        <w:rPr>
          <w:snapToGrid w:val="0"/>
        </w:rPr>
        <w:t>Extent of authority to tow or salvage</w:t>
      </w:r>
      <w:r>
        <w:tab/>
      </w:r>
      <w:r>
        <w:fldChar w:fldCharType="begin"/>
      </w:r>
      <w:r>
        <w:instrText xml:space="preserve"> PAGEREF _Toc75876043 \h </w:instrText>
      </w:r>
      <w:r>
        <w:fldChar w:fldCharType="separate"/>
      </w:r>
      <w:r w:rsidR="00337078">
        <w:t>281</w:t>
      </w:r>
      <w:r>
        <w:fldChar w:fldCharType="end"/>
      </w:r>
    </w:p>
    <w:p w:rsidR="00E1452C" w:rsidRDefault="00E1452C">
      <w:pPr>
        <w:pStyle w:val="TOC8"/>
        <w:rPr>
          <w:rFonts w:asciiTheme="minorHAnsi" w:eastAsiaTheme="minorEastAsia" w:hAnsiTheme="minorHAnsi" w:cstheme="minorBidi"/>
          <w:szCs w:val="22"/>
        </w:rPr>
      </w:pPr>
      <w:r>
        <w:t>422.</w:t>
      </w:r>
      <w:r>
        <w:tab/>
      </w:r>
      <w:r w:rsidRPr="00FE3DA3">
        <w:rPr>
          <w:snapToGrid w:val="0"/>
        </w:rPr>
        <w:t>Offences about towing</w:t>
      </w:r>
      <w:r>
        <w:tab/>
      </w:r>
      <w:r>
        <w:fldChar w:fldCharType="begin"/>
      </w:r>
      <w:r>
        <w:instrText xml:space="preserve"> PAGEREF _Toc75876044 \h </w:instrText>
      </w:r>
      <w:r>
        <w:fldChar w:fldCharType="separate"/>
      </w:r>
      <w:r w:rsidR="00337078">
        <w:t>281</w:t>
      </w:r>
      <w:r>
        <w:fldChar w:fldCharType="end"/>
      </w:r>
    </w:p>
    <w:p w:rsidR="00E1452C" w:rsidRDefault="00E1452C">
      <w:pPr>
        <w:pStyle w:val="TOC2"/>
        <w:tabs>
          <w:tab w:val="right" w:leader="dot" w:pos="7077"/>
        </w:tabs>
        <w:rPr>
          <w:rFonts w:asciiTheme="minorHAnsi" w:eastAsiaTheme="minorEastAsia" w:hAnsiTheme="minorHAnsi" w:cstheme="minorBidi"/>
          <w:b w:val="0"/>
          <w:sz w:val="22"/>
          <w:szCs w:val="22"/>
        </w:rPr>
      </w:pPr>
      <w:r>
        <w:lastRenderedPageBreak/>
        <w:t>Part 13 — Towed agricultural implements</w:t>
      </w:r>
    </w:p>
    <w:p w:rsidR="00E1452C" w:rsidRDefault="00E1452C">
      <w:pPr>
        <w:pStyle w:val="TOC4"/>
        <w:tabs>
          <w:tab w:val="right" w:leader="dot" w:pos="7077"/>
        </w:tabs>
        <w:rPr>
          <w:rFonts w:asciiTheme="minorHAnsi" w:eastAsiaTheme="minorEastAsia" w:hAnsiTheme="minorHAnsi" w:cstheme="minorBidi"/>
          <w:b w:val="0"/>
          <w:szCs w:val="22"/>
        </w:rPr>
      </w:pPr>
      <w:r>
        <w:t>Division 1 — Preliminary</w:t>
      </w:r>
    </w:p>
    <w:p w:rsidR="00E1452C" w:rsidRDefault="00E1452C">
      <w:pPr>
        <w:pStyle w:val="TOC8"/>
        <w:rPr>
          <w:rFonts w:asciiTheme="minorHAnsi" w:eastAsiaTheme="minorEastAsia" w:hAnsiTheme="minorHAnsi" w:cstheme="minorBidi"/>
          <w:szCs w:val="22"/>
        </w:rPr>
      </w:pPr>
      <w:r>
        <w:t>423.</w:t>
      </w:r>
      <w:r>
        <w:tab/>
      </w:r>
      <w:r w:rsidRPr="00FE3DA3">
        <w:rPr>
          <w:snapToGrid w:val="0"/>
        </w:rPr>
        <w:t>Terms used</w:t>
      </w:r>
      <w:r>
        <w:tab/>
      </w:r>
      <w:r>
        <w:fldChar w:fldCharType="begin"/>
      </w:r>
      <w:r>
        <w:instrText xml:space="preserve"> PAGEREF _Toc75876047 \h </w:instrText>
      </w:r>
      <w:r>
        <w:fldChar w:fldCharType="separate"/>
      </w:r>
      <w:r w:rsidR="00337078">
        <w:t>283</w:t>
      </w:r>
      <w:r>
        <w:fldChar w:fldCharType="end"/>
      </w:r>
    </w:p>
    <w:p w:rsidR="00E1452C" w:rsidRDefault="00E1452C">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_Toc75876048 \h </w:instrText>
      </w:r>
      <w:r>
        <w:fldChar w:fldCharType="separate"/>
      </w:r>
      <w:r w:rsidR="00337078">
        <w:t>283</w:t>
      </w:r>
      <w:r>
        <w:fldChar w:fldCharType="end"/>
      </w:r>
    </w:p>
    <w:p w:rsidR="00E1452C" w:rsidRDefault="00E1452C">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_Toc75876049 \h </w:instrText>
      </w:r>
      <w:r>
        <w:fldChar w:fldCharType="separate"/>
      </w:r>
      <w:r w:rsidR="00337078">
        <w:t>284</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rsidR="00E1452C" w:rsidRDefault="00E1452C">
      <w:pPr>
        <w:pStyle w:val="TOC8"/>
        <w:rPr>
          <w:rFonts w:asciiTheme="minorHAnsi" w:eastAsiaTheme="minorEastAsia" w:hAnsiTheme="minorHAnsi" w:cstheme="minorBidi"/>
          <w:szCs w:val="22"/>
        </w:rPr>
      </w:pPr>
      <w:r>
        <w:t>426.</w:t>
      </w:r>
      <w:r>
        <w:tab/>
      </w:r>
      <w:r w:rsidRPr="00FE3DA3">
        <w:rPr>
          <w:snapToGrid w:val="0"/>
        </w:rPr>
        <w:t>Lighting equipment generally</w:t>
      </w:r>
      <w:r>
        <w:tab/>
      </w:r>
      <w:r>
        <w:fldChar w:fldCharType="begin"/>
      </w:r>
      <w:r>
        <w:instrText xml:space="preserve"> PAGEREF _Toc75876051 \h </w:instrText>
      </w:r>
      <w:r>
        <w:fldChar w:fldCharType="separate"/>
      </w:r>
      <w:r w:rsidR="00337078">
        <w:t>285</w:t>
      </w:r>
      <w:r>
        <w:fldChar w:fldCharType="end"/>
      </w:r>
    </w:p>
    <w:p w:rsidR="00E1452C" w:rsidRDefault="00E1452C">
      <w:pPr>
        <w:pStyle w:val="TOC8"/>
        <w:rPr>
          <w:rFonts w:asciiTheme="minorHAnsi" w:eastAsiaTheme="minorEastAsia" w:hAnsiTheme="minorHAnsi" w:cstheme="minorBidi"/>
          <w:szCs w:val="22"/>
        </w:rPr>
      </w:pPr>
      <w:r>
        <w:t>427.</w:t>
      </w:r>
      <w:r>
        <w:tab/>
      </w:r>
      <w:r w:rsidRPr="00FE3DA3">
        <w:rPr>
          <w:snapToGrid w:val="0"/>
        </w:rPr>
        <w:t>Positioning of lights and reflectors</w:t>
      </w:r>
      <w:r>
        <w:tab/>
      </w:r>
      <w:r>
        <w:fldChar w:fldCharType="begin"/>
      </w:r>
      <w:r>
        <w:instrText xml:space="preserve"> PAGEREF _Toc75876052 \h </w:instrText>
      </w:r>
      <w:r>
        <w:fldChar w:fldCharType="separate"/>
      </w:r>
      <w:r w:rsidR="00337078">
        <w:t>285</w:t>
      </w:r>
      <w:r>
        <w:fldChar w:fldCharType="end"/>
      </w:r>
    </w:p>
    <w:p w:rsidR="00E1452C" w:rsidRDefault="00E1452C">
      <w:pPr>
        <w:pStyle w:val="TOC8"/>
        <w:rPr>
          <w:rFonts w:asciiTheme="minorHAnsi" w:eastAsiaTheme="minorEastAsia" w:hAnsiTheme="minorHAnsi" w:cstheme="minorBidi"/>
          <w:szCs w:val="22"/>
        </w:rPr>
      </w:pPr>
      <w:r>
        <w:t>428.</w:t>
      </w:r>
      <w:r>
        <w:tab/>
      </w:r>
      <w:r w:rsidRPr="00FE3DA3">
        <w:rPr>
          <w:snapToGrid w:val="0"/>
        </w:rPr>
        <w:t>Stop lights</w:t>
      </w:r>
      <w:r>
        <w:tab/>
      </w:r>
      <w:r>
        <w:fldChar w:fldCharType="begin"/>
      </w:r>
      <w:r>
        <w:instrText xml:space="preserve"> PAGEREF _Toc75876053 \h </w:instrText>
      </w:r>
      <w:r>
        <w:fldChar w:fldCharType="separate"/>
      </w:r>
      <w:r w:rsidR="00337078">
        <w:t>286</w:t>
      </w:r>
      <w:r>
        <w:fldChar w:fldCharType="end"/>
      </w:r>
    </w:p>
    <w:p w:rsidR="00E1452C" w:rsidRDefault="00E1452C">
      <w:pPr>
        <w:pStyle w:val="TOC8"/>
        <w:rPr>
          <w:rFonts w:asciiTheme="minorHAnsi" w:eastAsiaTheme="minorEastAsia" w:hAnsiTheme="minorHAnsi" w:cstheme="minorBidi"/>
          <w:szCs w:val="22"/>
        </w:rPr>
      </w:pPr>
      <w:r>
        <w:t>429.</w:t>
      </w:r>
      <w:r>
        <w:tab/>
      </w:r>
      <w:r w:rsidRPr="00FE3DA3">
        <w:rPr>
          <w:snapToGrid w:val="0"/>
        </w:rPr>
        <w:t>Reflectors</w:t>
      </w:r>
      <w:r>
        <w:tab/>
      </w:r>
      <w:r>
        <w:fldChar w:fldCharType="begin"/>
      </w:r>
      <w:r>
        <w:instrText xml:space="preserve"> PAGEREF _Toc75876054 \h </w:instrText>
      </w:r>
      <w:r>
        <w:fldChar w:fldCharType="separate"/>
      </w:r>
      <w:r w:rsidR="00337078">
        <w:t>286</w:t>
      </w:r>
      <w:r>
        <w:fldChar w:fldCharType="end"/>
      </w:r>
    </w:p>
    <w:p w:rsidR="00E1452C" w:rsidRDefault="00E1452C">
      <w:pPr>
        <w:pStyle w:val="TOC8"/>
        <w:rPr>
          <w:rFonts w:asciiTheme="minorHAnsi" w:eastAsiaTheme="minorEastAsia" w:hAnsiTheme="minorHAnsi" w:cstheme="minorBidi"/>
          <w:szCs w:val="22"/>
        </w:rPr>
      </w:pPr>
      <w:r>
        <w:t>430.</w:t>
      </w:r>
      <w:r>
        <w:tab/>
      </w:r>
      <w:r w:rsidRPr="00FE3DA3">
        <w:rPr>
          <w:snapToGrid w:val="0"/>
        </w:rPr>
        <w:t xml:space="preserve">Rear </w:t>
      </w:r>
      <w:r>
        <w:t>lights</w:t>
      </w:r>
      <w:r>
        <w:tab/>
      </w:r>
      <w:r>
        <w:fldChar w:fldCharType="begin"/>
      </w:r>
      <w:r>
        <w:instrText xml:space="preserve"> PAGEREF _Toc75876055 \h </w:instrText>
      </w:r>
      <w:r>
        <w:fldChar w:fldCharType="separate"/>
      </w:r>
      <w:r w:rsidR="00337078">
        <w:t>287</w:t>
      </w:r>
      <w:r>
        <w:fldChar w:fldCharType="end"/>
      </w:r>
    </w:p>
    <w:p w:rsidR="00E1452C" w:rsidRDefault="00E1452C">
      <w:pPr>
        <w:pStyle w:val="TOC8"/>
        <w:rPr>
          <w:rFonts w:asciiTheme="minorHAnsi" w:eastAsiaTheme="minorEastAsia" w:hAnsiTheme="minorHAnsi" w:cstheme="minorBidi"/>
          <w:szCs w:val="22"/>
        </w:rPr>
      </w:pPr>
      <w:r>
        <w:t>431.</w:t>
      </w:r>
      <w:r>
        <w:tab/>
      </w:r>
      <w:r w:rsidRPr="00FE3DA3">
        <w:rPr>
          <w:snapToGrid w:val="0"/>
        </w:rPr>
        <w:t xml:space="preserve">Signalling </w:t>
      </w:r>
      <w:r>
        <w:t>lights</w:t>
      </w:r>
      <w:r>
        <w:tab/>
      </w:r>
      <w:r>
        <w:fldChar w:fldCharType="begin"/>
      </w:r>
      <w:r>
        <w:instrText xml:space="preserve"> PAGEREF _Toc75876056 \h </w:instrText>
      </w:r>
      <w:r>
        <w:fldChar w:fldCharType="separate"/>
      </w:r>
      <w:r w:rsidR="00337078">
        <w:t>288</w:t>
      </w:r>
      <w:r>
        <w:fldChar w:fldCharType="end"/>
      </w:r>
    </w:p>
    <w:p w:rsidR="00E1452C" w:rsidRDefault="00E1452C">
      <w:pPr>
        <w:pStyle w:val="TOC8"/>
        <w:rPr>
          <w:rFonts w:asciiTheme="minorHAnsi" w:eastAsiaTheme="minorEastAsia" w:hAnsiTheme="minorHAnsi" w:cstheme="minorBidi"/>
          <w:szCs w:val="22"/>
        </w:rPr>
      </w:pPr>
      <w:r>
        <w:t>432.</w:t>
      </w:r>
      <w:r>
        <w:tab/>
      </w:r>
      <w:r w:rsidRPr="00FE3DA3">
        <w:rPr>
          <w:snapToGrid w:val="0"/>
        </w:rPr>
        <w:t>Clearance lights</w:t>
      </w:r>
      <w:r>
        <w:tab/>
      </w:r>
      <w:r>
        <w:fldChar w:fldCharType="begin"/>
      </w:r>
      <w:r>
        <w:instrText xml:space="preserve"> PAGEREF _Toc75876057 \h </w:instrText>
      </w:r>
      <w:r>
        <w:fldChar w:fldCharType="separate"/>
      </w:r>
      <w:r w:rsidR="00337078">
        <w:t>288</w:t>
      </w:r>
      <w:r>
        <w:fldChar w:fldCharType="end"/>
      </w:r>
    </w:p>
    <w:p w:rsidR="00E1452C" w:rsidRDefault="00E1452C">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_Toc75876058 \h </w:instrText>
      </w:r>
      <w:r>
        <w:fldChar w:fldCharType="separate"/>
      </w:r>
      <w:r w:rsidR="00337078">
        <w:t>289</w:t>
      </w:r>
      <w:r>
        <w:fldChar w:fldCharType="end"/>
      </w:r>
    </w:p>
    <w:p w:rsidR="00E1452C" w:rsidRDefault="00E1452C">
      <w:pPr>
        <w:pStyle w:val="TOC8"/>
        <w:rPr>
          <w:rFonts w:asciiTheme="minorHAnsi" w:eastAsiaTheme="minorEastAsia" w:hAnsiTheme="minorHAnsi" w:cstheme="minorBidi"/>
          <w:szCs w:val="22"/>
        </w:rPr>
      </w:pPr>
      <w:r>
        <w:t>434.</w:t>
      </w:r>
      <w:r>
        <w:tab/>
      </w:r>
      <w:r w:rsidRPr="00FE3DA3">
        <w:rPr>
          <w:snapToGrid w:val="0"/>
        </w:rPr>
        <w:t>Safety of components and attachments</w:t>
      </w:r>
      <w:r>
        <w:tab/>
      </w:r>
      <w:r>
        <w:fldChar w:fldCharType="begin"/>
      </w:r>
      <w:r>
        <w:instrText xml:space="preserve"> PAGEREF _Toc75876059 \h </w:instrText>
      </w:r>
      <w:r>
        <w:fldChar w:fldCharType="separate"/>
      </w:r>
      <w:r w:rsidR="00337078">
        <w:t>289</w:t>
      </w:r>
      <w:r>
        <w:fldChar w:fldCharType="end"/>
      </w:r>
    </w:p>
    <w:p w:rsidR="00E1452C" w:rsidRDefault="00E1452C">
      <w:pPr>
        <w:pStyle w:val="TOC8"/>
        <w:rPr>
          <w:rFonts w:asciiTheme="minorHAnsi" w:eastAsiaTheme="minorEastAsia" w:hAnsiTheme="minorHAnsi" w:cstheme="minorBidi"/>
          <w:szCs w:val="22"/>
        </w:rPr>
      </w:pPr>
      <w:r>
        <w:t>435.</w:t>
      </w:r>
      <w:r>
        <w:tab/>
      </w:r>
      <w:r w:rsidRPr="00FE3DA3">
        <w:rPr>
          <w:snapToGrid w:val="0"/>
        </w:rPr>
        <w:t>Safety chains</w:t>
      </w:r>
      <w:r>
        <w:tab/>
      </w:r>
      <w:r>
        <w:fldChar w:fldCharType="begin"/>
      </w:r>
      <w:r>
        <w:instrText xml:space="preserve"> PAGEREF _Toc75876060 \h </w:instrText>
      </w:r>
      <w:r>
        <w:fldChar w:fldCharType="separate"/>
      </w:r>
      <w:r w:rsidR="00337078">
        <w:t>290</w:t>
      </w:r>
      <w:r>
        <w:fldChar w:fldCharType="end"/>
      </w:r>
    </w:p>
    <w:p w:rsidR="00E1452C" w:rsidRDefault="00E1452C">
      <w:pPr>
        <w:pStyle w:val="TOC8"/>
        <w:rPr>
          <w:rFonts w:asciiTheme="minorHAnsi" w:eastAsiaTheme="minorEastAsia" w:hAnsiTheme="minorHAnsi" w:cstheme="minorBidi"/>
          <w:szCs w:val="22"/>
        </w:rPr>
      </w:pPr>
      <w:r>
        <w:t>436.</w:t>
      </w:r>
      <w:r>
        <w:tab/>
      </w:r>
      <w:r w:rsidRPr="00FE3DA3">
        <w:rPr>
          <w:snapToGrid w:val="0"/>
        </w:rPr>
        <w:t>Portable warning signs</w:t>
      </w:r>
      <w:r>
        <w:tab/>
      </w:r>
      <w:r>
        <w:fldChar w:fldCharType="begin"/>
      </w:r>
      <w:r>
        <w:instrText xml:space="preserve"> PAGEREF _Toc75876061 \h </w:instrText>
      </w:r>
      <w:r>
        <w:fldChar w:fldCharType="separate"/>
      </w:r>
      <w:r w:rsidR="00337078">
        <w:t>291</w:t>
      </w:r>
      <w:r>
        <w:fldChar w:fldCharType="end"/>
      </w:r>
    </w:p>
    <w:p w:rsidR="00E1452C" w:rsidRDefault="00E1452C">
      <w:pPr>
        <w:pStyle w:val="TOC8"/>
        <w:rPr>
          <w:rFonts w:asciiTheme="minorHAnsi" w:eastAsiaTheme="minorEastAsia" w:hAnsiTheme="minorHAnsi" w:cstheme="minorBidi"/>
          <w:szCs w:val="22"/>
        </w:rPr>
      </w:pPr>
      <w:r>
        <w:t>437.</w:t>
      </w:r>
      <w:r>
        <w:tab/>
      </w:r>
      <w:r w:rsidRPr="00FE3DA3">
        <w:rPr>
          <w:snapToGrid w:val="0"/>
        </w:rPr>
        <w:t>Towed mass ratios</w:t>
      </w:r>
      <w:r>
        <w:tab/>
      </w:r>
      <w:r>
        <w:fldChar w:fldCharType="begin"/>
      </w:r>
      <w:r>
        <w:instrText xml:space="preserve"> PAGEREF _Toc75876062 \h </w:instrText>
      </w:r>
      <w:r>
        <w:fldChar w:fldCharType="separate"/>
      </w:r>
      <w:r w:rsidR="00337078">
        <w:t>291</w:t>
      </w:r>
      <w:r>
        <w:fldChar w:fldCharType="end"/>
      </w:r>
    </w:p>
    <w:p w:rsidR="00E1452C" w:rsidRDefault="00E1452C">
      <w:pPr>
        <w:pStyle w:val="TOC8"/>
        <w:rPr>
          <w:rFonts w:asciiTheme="minorHAnsi" w:eastAsiaTheme="minorEastAsia" w:hAnsiTheme="minorHAnsi" w:cstheme="minorBidi"/>
          <w:szCs w:val="22"/>
        </w:rPr>
      </w:pPr>
      <w:r>
        <w:t>438.</w:t>
      </w:r>
      <w:r>
        <w:tab/>
        <w:t>Lighting for night t</w:t>
      </w:r>
      <w:r w:rsidRPr="00FE3DA3">
        <w:rPr>
          <w:snapToGrid w:val="0"/>
        </w:rPr>
        <w:t>owing</w:t>
      </w:r>
      <w:r>
        <w:tab/>
      </w:r>
      <w:r>
        <w:fldChar w:fldCharType="begin"/>
      </w:r>
      <w:r>
        <w:instrText xml:space="preserve"> PAGEREF _Toc75876063 \h </w:instrText>
      </w:r>
      <w:r>
        <w:fldChar w:fldCharType="separate"/>
      </w:r>
      <w:r w:rsidR="00337078">
        <w:t>291</w:t>
      </w:r>
      <w:r>
        <w:fldChar w:fldCharType="end"/>
      </w:r>
    </w:p>
    <w:p w:rsidR="00E1452C" w:rsidRDefault="00E1452C">
      <w:pPr>
        <w:pStyle w:val="TOC8"/>
        <w:rPr>
          <w:rFonts w:asciiTheme="minorHAnsi" w:eastAsiaTheme="minorEastAsia" w:hAnsiTheme="minorHAnsi" w:cstheme="minorBidi"/>
          <w:szCs w:val="22"/>
        </w:rPr>
      </w:pPr>
      <w:r>
        <w:t>439.</w:t>
      </w:r>
      <w:r>
        <w:tab/>
      </w:r>
      <w:r w:rsidRPr="00FE3DA3">
        <w:rPr>
          <w:snapToGrid w:val="0"/>
        </w:rPr>
        <w:t>Brakes</w:t>
      </w:r>
      <w:r>
        <w:tab/>
      </w:r>
      <w:r>
        <w:fldChar w:fldCharType="begin"/>
      </w:r>
      <w:r>
        <w:instrText xml:space="preserve"> PAGEREF _Toc75876064 \h </w:instrText>
      </w:r>
      <w:r>
        <w:fldChar w:fldCharType="separate"/>
      </w:r>
      <w:r w:rsidR="00337078">
        <w:t>292</w:t>
      </w:r>
      <w:r>
        <w:fldChar w:fldCharType="end"/>
      </w:r>
    </w:p>
    <w:p w:rsidR="00E1452C" w:rsidRDefault="00E1452C">
      <w:pPr>
        <w:pStyle w:val="TOC8"/>
        <w:rPr>
          <w:rFonts w:asciiTheme="minorHAnsi" w:eastAsiaTheme="minorEastAsia" w:hAnsiTheme="minorHAnsi" w:cstheme="minorBidi"/>
          <w:szCs w:val="22"/>
        </w:rPr>
      </w:pPr>
      <w:r>
        <w:t>440.</w:t>
      </w:r>
      <w:r>
        <w:tab/>
        <w:t>Headlights</w:t>
      </w:r>
      <w:r>
        <w:tab/>
      </w:r>
      <w:r>
        <w:fldChar w:fldCharType="begin"/>
      </w:r>
      <w:r>
        <w:instrText xml:space="preserve"> PAGEREF _Toc75876065 \h </w:instrText>
      </w:r>
      <w:r>
        <w:fldChar w:fldCharType="separate"/>
      </w:r>
      <w:r w:rsidR="00337078">
        <w:t>292</w:t>
      </w:r>
      <w:r>
        <w:fldChar w:fldCharType="end"/>
      </w:r>
    </w:p>
    <w:p w:rsidR="00E1452C" w:rsidRDefault="00E1452C">
      <w:pPr>
        <w:pStyle w:val="TOC8"/>
        <w:rPr>
          <w:rFonts w:asciiTheme="minorHAnsi" w:eastAsiaTheme="minorEastAsia" w:hAnsiTheme="minorHAnsi" w:cstheme="minorBidi"/>
          <w:szCs w:val="22"/>
        </w:rPr>
      </w:pPr>
      <w:r>
        <w:t>441.</w:t>
      </w:r>
      <w:r>
        <w:tab/>
      </w:r>
      <w:r w:rsidRPr="00FE3DA3">
        <w:rPr>
          <w:snapToGrid w:val="0"/>
        </w:rPr>
        <w:t>Mirrors</w:t>
      </w:r>
      <w:r>
        <w:tab/>
      </w:r>
      <w:r>
        <w:fldChar w:fldCharType="begin"/>
      </w:r>
      <w:r>
        <w:instrText xml:space="preserve"> PAGEREF _Toc75876066 \h </w:instrText>
      </w:r>
      <w:r>
        <w:fldChar w:fldCharType="separate"/>
      </w:r>
      <w:r w:rsidR="00337078">
        <w:t>292</w:t>
      </w:r>
      <w:r>
        <w:fldChar w:fldCharType="end"/>
      </w:r>
    </w:p>
    <w:p w:rsidR="00E1452C" w:rsidRDefault="00E1452C">
      <w:pPr>
        <w:pStyle w:val="TOC8"/>
        <w:rPr>
          <w:rFonts w:asciiTheme="minorHAnsi" w:eastAsiaTheme="minorEastAsia" w:hAnsiTheme="minorHAnsi" w:cstheme="minorBidi"/>
          <w:szCs w:val="22"/>
        </w:rPr>
      </w:pPr>
      <w:r>
        <w:t>442.</w:t>
      </w:r>
      <w:r>
        <w:tab/>
      </w:r>
      <w:r w:rsidRPr="00FE3DA3">
        <w:rPr>
          <w:snapToGrid w:val="0"/>
        </w:rPr>
        <w:t>Warning flags</w:t>
      </w:r>
      <w:r>
        <w:tab/>
      </w:r>
      <w:r>
        <w:fldChar w:fldCharType="begin"/>
      </w:r>
      <w:r>
        <w:instrText xml:space="preserve"> PAGEREF _Toc75876067 \h </w:instrText>
      </w:r>
      <w:r>
        <w:fldChar w:fldCharType="separate"/>
      </w:r>
      <w:r w:rsidR="00337078">
        <w:t>292</w:t>
      </w:r>
      <w:r>
        <w:fldChar w:fldCharType="end"/>
      </w:r>
    </w:p>
    <w:p w:rsidR="00E1452C" w:rsidRDefault="00E1452C">
      <w:pPr>
        <w:pStyle w:val="TOC8"/>
        <w:rPr>
          <w:rFonts w:asciiTheme="minorHAnsi" w:eastAsiaTheme="minorEastAsia" w:hAnsiTheme="minorHAnsi" w:cstheme="minorBidi"/>
          <w:szCs w:val="22"/>
        </w:rPr>
      </w:pPr>
      <w:r>
        <w:t>443.</w:t>
      </w:r>
      <w:r>
        <w:tab/>
      </w:r>
      <w:r w:rsidRPr="00FE3DA3">
        <w:rPr>
          <w:snapToGrid w:val="0"/>
        </w:rPr>
        <w:t>Certain vehicles may be equipped with flashing amber light</w:t>
      </w:r>
      <w:r>
        <w:tab/>
      </w:r>
      <w:r>
        <w:fldChar w:fldCharType="begin"/>
      </w:r>
      <w:r>
        <w:instrText xml:space="preserve"> PAGEREF _Toc75876068 \h </w:instrText>
      </w:r>
      <w:r>
        <w:fldChar w:fldCharType="separate"/>
      </w:r>
      <w:r w:rsidR="00337078">
        <w:t>293</w:t>
      </w:r>
      <w:r>
        <w:fldChar w:fldCharType="end"/>
      </w:r>
    </w:p>
    <w:p w:rsidR="00E1452C" w:rsidRDefault="00E1452C">
      <w:pPr>
        <w:pStyle w:val="TOC8"/>
        <w:rPr>
          <w:rFonts w:asciiTheme="minorHAnsi" w:eastAsiaTheme="minorEastAsia" w:hAnsiTheme="minorHAnsi" w:cstheme="minorBidi"/>
          <w:szCs w:val="22"/>
        </w:rPr>
      </w:pPr>
      <w:r>
        <w:t>444.</w:t>
      </w:r>
      <w:r>
        <w:tab/>
      </w:r>
      <w:r w:rsidRPr="00FE3DA3">
        <w:rPr>
          <w:snapToGrid w:val="0"/>
        </w:rPr>
        <w:t xml:space="preserve">Warning signs for oversize </w:t>
      </w:r>
      <w:r>
        <w:t>agricultural</w:t>
      </w:r>
      <w:r w:rsidRPr="00FE3DA3">
        <w:rPr>
          <w:snapToGrid w:val="0"/>
        </w:rPr>
        <w:t xml:space="preserve"> combinations</w:t>
      </w:r>
      <w:r>
        <w:tab/>
      </w:r>
      <w:r>
        <w:fldChar w:fldCharType="begin"/>
      </w:r>
      <w:r>
        <w:instrText xml:space="preserve"> PAGEREF _Toc75876069 \h </w:instrText>
      </w:r>
      <w:r>
        <w:fldChar w:fldCharType="separate"/>
      </w:r>
      <w:r w:rsidR="00337078">
        <w:t>293</w:t>
      </w:r>
      <w:r>
        <w:fldChar w:fldCharType="end"/>
      </w:r>
    </w:p>
    <w:p w:rsidR="00E1452C" w:rsidRDefault="00E1452C">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_Toc75876070 \h </w:instrText>
      </w:r>
      <w:r>
        <w:fldChar w:fldCharType="separate"/>
      </w:r>
      <w:r w:rsidR="00337078">
        <w:t>295</w:t>
      </w:r>
      <w:r>
        <w:fldChar w:fldCharType="end"/>
      </w:r>
    </w:p>
    <w:p w:rsidR="00E1452C" w:rsidRDefault="00E1452C">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_Toc75876071 \h </w:instrText>
      </w:r>
      <w:r>
        <w:fldChar w:fldCharType="separate"/>
      </w:r>
      <w:r w:rsidR="00337078">
        <w:t>295</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rsidR="00E1452C" w:rsidRDefault="00E1452C">
      <w:pPr>
        <w:pStyle w:val="TOC8"/>
        <w:rPr>
          <w:rFonts w:asciiTheme="minorHAnsi" w:eastAsiaTheme="minorEastAsia" w:hAnsiTheme="minorHAnsi" w:cstheme="minorBidi"/>
          <w:szCs w:val="22"/>
        </w:rPr>
      </w:pPr>
      <w:r>
        <w:t>447.</w:t>
      </w:r>
      <w:r>
        <w:tab/>
      </w:r>
      <w:r w:rsidRPr="00FE3DA3">
        <w:rPr>
          <w:snapToGrid w:val="0"/>
        </w:rPr>
        <w:t>Speed restrictions</w:t>
      </w:r>
      <w:r>
        <w:tab/>
      </w:r>
      <w:r>
        <w:fldChar w:fldCharType="begin"/>
      </w:r>
      <w:r>
        <w:instrText xml:space="preserve"> PAGEREF _Toc75876073 \h </w:instrText>
      </w:r>
      <w:r>
        <w:fldChar w:fldCharType="separate"/>
      </w:r>
      <w:r w:rsidR="00337078">
        <w:t>296</w:t>
      </w:r>
      <w:r>
        <w:fldChar w:fldCharType="end"/>
      </w:r>
    </w:p>
    <w:p w:rsidR="00E1452C" w:rsidRDefault="00E1452C">
      <w:pPr>
        <w:pStyle w:val="TOC8"/>
        <w:rPr>
          <w:rFonts w:asciiTheme="minorHAnsi" w:eastAsiaTheme="minorEastAsia" w:hAnsiTheme="minorHAnsi" w:cstheme="minorBidi"/>
          <w:szCs w:val="22"/>
        </w:rPr>
      </w:pPr>
      <w:r>
        <w:lastRenderedPageBreak/>
        <w:t>448.</w:t>
      </w:r>
      <w:r>
        <w:tab/>
      </w:r>
      <w:r w:rsidRPr="00FE3DA3">
        <w:rPr>
          <w:snapToGrid w:val="0"/>
        </w:rPr>
        <w:t xml:space="preserve">Movements of </w:t>
      </w:r>
      <w:r>
        <w:t>agricultural</w:t>
      </w:r>
      <w:r w:rsidRPr="00FE3DA3">
        <w:rPr>
          <w:snapToGrid w:val="0"/>
        </w:rPr>
        <w:t xml:space="preserve"> combinations in metropolitan region, during peak hours, on freeways</w:t>
      </w:r>
      <w:r>
        <w:tab/>
      </w:r>
      <w:r>
        <w:fldChar w:fldCharType="begin"/>
      </w:r>
      <w:r>
        <w:instrText xml:space="preserve"> PAGEREF _Toc75876074 \h </w:instrText>
      </w:r>
      <w:r>
        <w:fldChar w:fldCharType="separate"/>
      </w:r>
      <w:r w:rsidR="00337078">
        <w:t>296</w:t>
      </w:r>
      <w:r>
        <w:fldChar w:fldCharType="end"/>
      </w:r>
    </w:p>
    <w:p w:rsidR="00E1452C" w:rsidRDefault="00E1452C">
      <w:pPr>
        <w:pStyle w:val="TOC8"/>
        <w:rPr>
          <w:rFonts w:asciiTheme="minorHAnsi" w:eastAsiaTheme="minorEastAsia" w:hAnsiTheme="minorHAnsi" w:cstheme="minorBidi"/>
          <w:szCs w:val="22"/>
        </w:rPr>
      </w:pPr>
      <w:r>
        <w:t>449.</w:t>
      </w:r>
      <w:r>
        <w:tab/>
      </w:r>
      <w:r w:rsidRPr="00FE3DA3">
        <w:rPr>
          <w:snapToGrid w:val="0"/>
        </w:rPr>
        <w:t xml:space="preserve">Parking of </w:t>
      </w:r>
      <w:r>
        <w:t>agricultural</w:t>
      </w:r>
      <w:r w:rsidRPr="00FE3DA3">
        <w:rPr>
          <w:snapToGrid w:val="0"/>
        </w:rPr>
        <w:t xml:space="preserve"> combinations on a carriageway</w:t>
      </w:r>
      <w:r>
        <w:tab/>
      </w:r>
      <w:r>
        <w:fldChar w:fldCharType="begin"/>
      </w:r>
      <w:r>
        <w:instrText xml:space="preserve"> PAGEREF _Toc75876075 \h </w:instrText>
      </w:r>
      <w:r>
        <w:fldChar w:fldCharType="separate"/>
      </w:r>
      <w:r w:rsidR="00337078">
        <w:t>296</w:t>
      </w:r>
      <w:r>
        <w:fldChar w:fldCharType="end"/>
      </w:r>
    </w:p>
    <w:p w:rsidR="00E1452C" w:rsidRDefault="00E1452C">
      <w:pPr>
        <w:pStyle w:val="TOC8"/>
        <w:rPr>
          <w:rFonts w:asciiTheme="minorHAnsi" w:eastAsiaTheme="minorEastAsia" w:hAnsiTheme="minorHAnsi" w:cstheme="minorBidi"/>
          <w:szCs w:val="22"/>
        </w:rPr>
      </w:pPr>
      <w:r>
        <w:t>450.</w:t>
      </w:r>
      <w:r>
        <w:tab/>
      </w:r>
      <w:r w:rsidRPr="00FE3DA3">
        <w:rPr>
          <w:snapToGrid w:val="0"/>
        </w:rPr>
        <w:t>Convoys</w:t>
      </w:r>
      <w:r>
        <w:tab/>
      </w:r>
      <w:r>
        <w:fldChar w:fldCharType="begin"/>
      </w:r>
      <w:r>
        <w:instrText xml:space="preserve"> PAGEREF _Toc75876076 \h </w:instrText>
      </w:r>
      <w:r>
        <w:fldChar w:fldCharType="separate"/>
      </w:r>
      <w:r w:rsidR="00337078">
        <w:t>297</w:t>
      </w:r>
      <w:r>
        <w:fldChar w:fldCharType="end"/>
      </w:r>
    </w:p>
    <w:p w:rsidR="00E1452C" w:rsidRDefault="00E1452C">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_Toc75876077 \h </w:instrText>
      </w:r>
      <w:r>
        <w:fldChar w:fldCharType="separate"/>
      </w:r>
      <w:r w:rsidR="00337078">
        <w:t>297</w:t>
      </w:r>
      <w:r>
        <w:fldChar w:fldCharType="end"/>
      </w:r>
    </w:p>
    <w:p w:rsidR="00E1452C" w:rsidRDefault="00E1452C">
      <w:pPr>
        <w:pStyle w:val="TOC8"/>
        <w:rPr>
          <w:rFonts w:asciiTheme="minorHAnsi" w:eastAsiaTheme="minorEastAsia" w:hAnsiTheme="minorHAnsi" w:cstheme="minorBidi"/>
          <w:szCs w:val="22"/>
        </w:rPr>
      </w:pPr>
      <w:r>
        <w:t>452.</w:t>
      </w:r>
      <w:r>
        <w:tab/>
        <w:t>Permission for m</w:t>
      </w:r>
      <w:r w:rsidRPr="00FE3DA3">
        <w:rPr>
          <w:snapToGrid w:val="0"/>
        </w:rPr>
        <w:t xml:space="preserve">ovement of excessively high </w:t>
      </w:r>
      <w:r>
        <w:t>agricultural</w:t>
      </w:r>
      <w:r w:rsidRPr="00FE3DA3">
        <w:rPr>
          <w:snapToGrid w:val="0"/>
        </w:rPr>
        <w:t xml:space="preserve"> combinations</w:t>
      </w:r>
      <w:r>
        <w:tab/>
      </w:r>
      <w:r>
        <w:fldChar w:fldCharType="begin"/>
      </w:r>
      <w:r>
        <w:instrText xml:space="preserve"> PAGEREF _Toc75876078 \h </w:instrText>
      </w:r>
      <w:r>
        <w:fldChar w:fldCharType="separate"/>
      </w:r>
      <w:r w:rsidR="00337078">
        <w:t>298</w:t>
      </w:r>
      <w:r>
        <w:fldChar w:fldCharType="end"/>
      </w:r>
    </w:p>
    <w:p w:rsidR="00E1452C" w:rsidRDefault="00E1452C">
      <w:pPr>
        <w:pStyle w:val="TOC8"/>
        <w:rPr>
          <w:rFonts w:asciiTheme="minorHAnsi" w:eastAsiaTheme="minorEastAsia" w:hAnsiTheme="minorHAnsi" w:cstheme="minorBidi"/>
          <w:szCs w:val="22"/>
        </w:rPr>
      </w:pPr>
      <w:r>
        <w:t>453.</w:t>
      </w:r>
      <w:r>
        <w:tab/>
        <w:t>Permits for m</w:t>
      </w:r>
      <w:r w:rsidRPr="00FE3DA3">
        <w:rPr>
          <w:snapToGrid w:val="0"/>
        </w:rPr>
        <w:t xml:space="preserve">ovement of excessively wide or long </w:t>
      </w:r>
      <w:r>
        <w:t>agricultural</w:t>
      </w:r>
      <w:r w:rsidRPr="00FE3DA3">
        <w:rPr>
          <w:snapToGrid w:val="0"/>
        </w:rPr>
        <w:t xml:space="preserve"> combinations</w:t>
      </w:r>
      <w:r>
        <w:tab/>
      </w:r>
      <w:r>
        <w:fldChar w:fldCharType="begin"/>
      </w:r>
      <w:r>
        <w:instrText xml:space="preserve"> PAGEREF _Toc75876079 \h </w:instrText>
      </w:r>
      <w:r>
        <w:fldChar w:fldCharType="separate"/>
      </w:r>
      <w:r w:rsidR="00337078">
        <w:t>298</w:t>
      </w:r>
      <w:r>
        <w:fldChar w:fldCharType="end"/>
      </w:r>
    </w:p>
    <w:p w:rsidR="00E1452C" w:rsidRDefault="00E1452C">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_Toc75876080 \h </w:instrText>
      </w:r>
      <w:r>
        <w:fldChar w:fldCharType="separate"/>
      </w:r>
      <w:r w:rsidR="00337078">
        <w:t>299</w:t>
      </w:r>
      <w:r>
        <w:fldChar w:fldCharType="end"/>
      </w:r>
    </w:p>
    <w:p w:rsidR="00E1452C" w:rsidRDefault="00E1452C">
      <w:pPr>
        <w:pStyle w:val="TOC2"/>
        <w:tabs>
          <w:tab w:val="right" w:leader="dot" w:pos="7077"/>
        </w:tabs>
        <w:rPr>
          <w:rFonts w:asciiTheme="minorHAnsi" w:eastAsiaTheme="minorEastAsia" w:hAnsiTheme="minorHAnsi" w:cstheme="minorBidi"/>
          <w:b w:val="0"/>
          <w:sz w:val="22"/>
          <w:szCs w:val="22"/>
        </w:rPr>
      </w:pPr>
      <w:r>
        <w:t>Part 13A</w:t>
      </w:r>
      <w:r w:rsidRPr="00FE3DA3">
        <w:rPr>
          <w:b w:val="0"/>
        </w:rPr>
        <w:t> </w:t>
      </w:r>
      <w:r>
        <w:t>—</w:t>
      </w:r>
      <w:r w:rsidRPr="00FE3DA3">
        <w:rPr>
          <w:b w:val="0"/>
        </w:rPr>
        <w:t> </w:t>
      </w:r>
      <w:r>
        <w:t>Pilot vehicles</w:t>
      </w:r>
    </w:p>
    <w:p w:rsidR="00E1452C" w:rsidRDefault="00E1452C">
      <w:pPr>
        <w:pStyle w:val="TOC4"/>
        <w:tabs>
          <w:tab w:val="right" w:leader="dot" w:pos="7077"/>
        </w:tabs>
        <w:rPr>
          <w:rFonts w:asciiTheme="minorHAnsi" w:eastAsiaTheme="minorEastAsia" w:hAnsiTheme="minorHAnsi" w:cstheme="minorBidi"/>
          <w:b w:val="0"/>
          <w:szCs w:val="22"/>
        </w:rPr>
      </w:pPr>
      <w:r>
        <w:t>Division 1 — Preliminary</w:t>
      </w:r>
    </w:p>
    <w:p w:rsidR="00E1452C" w:rsidRDefault="00E1452C">
      <w:pPr>
        <w:pStyle w:val="TOC8"/>
        <w:rPr>
          <w:rFonts w:asciiTheme="minorHAnsi" w:eastAsiaTheme="minorEastAsia" w:hAnsiTheme="minorHAnsi" w:cstheme="minorBidi"/>
          <w:szCs w:val="22"/>
        </w:rPr>
      </w:pPr>
      <w:r>
        <w:t>454A.</w:t>
      </w:r>
      <w:r>
        <w:tab/>
        <w:t>Terms used</w:t>
      </w:r>
      <w:r>
        <w:tab/>
      </w:r>
      <w:r>
        <w:fldChar w:fldCharType="begin"/>
      </w:r>
      <w:r>
        <w:instrText xml:space="preserve"> PAGEREF _Toc75876083 \h </w:instrText>
      </w:r>
      <w:r>
        <w:fldChar w:fldCharType="separate"/>
      </w:r>
      <w:r w:rsidR="00337078">
        <w:t>301</w:t>
      </w:r>
      <w:r>
        <w:fldChar w:fldCharType="end"/>
      </w:r>
    </w:p>
    <w:p w:rsidR="00E1452C" w:rsidRDefault="00E1452C">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_Toc75876084 \h </w:instrText>
      </w:r>
      <w:r>
        <w:fldChar w:fldCharType="separate"/>
      </w:r>
      <w:r w:rsidR="00337078">
        <w:t>301</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2 — Licensing of pilots</w:t>
      </w:r>
    </w:p>
    <w:p w:rsidR="00E1452C" w:rsidRDefault="00E1452C">
      <w:pPr>
        <w:pStyle w:val="TOC6"/>
        <w:tabs>
          <w:tab w:val="right" w:leader="dot" w:pos="7077"/>
        </w:tabs>
        <w:rPr>
          <w:rFonts w:asciiTheme="minorHAnsi" w:eastAsiaTheme="minorEastAsia" w:hAnsiTheme="minorHAnsi" w:cstheme="minorBidi"/>
          <w:b w:val="0"/>
          <w:sz w:val="22"/>
          <w:szCs w:val="22"/>
        </w:rPr>
      </w:pPr>
      <w:r>
        <w:t>Subdivision 1 — General matters</w:t>
      </w:r>
    </w:p>
    <w:p w:rsidR="00E1452C" w:rsidRDefault="00E1452C">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_Toc75876087 \h </w:instrText>
      </w:r>
      <w:r>
        <w:fldChar w:fldCharType="separate"/>
      </w:r>
      <w:r w:rsidR="00337078">
        <w:t>302</w:t>
      </w:r>
      <w:r>
        <w:fldChar w:fldCharType="end"/>
      </w:r>
    </w:p>
    <w:p w:rsidR="00E1452C" w:rsidRDefault="00E1452C">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_Toc75876088 \h </w:instrText>
      </w:r>
      <w:r>
        <w:fldChar w:fldCharType="separate"/>
      </w:r>
      <w:r w:rsidR="00337078">
        <w:t>303</w:t>
      </w:r>
      <w:r>
        <w:fldChar w:fldCharType="end"/>
      </w:r>
    </w:p>
    <w:p w:rsidR="00E1452C" w:rsidRDefault="00E1452C">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_Toc75876089 \h </w:instrText>
      </w:r>
      <w:r>
        <w:fldChar w:fldCharType="separate"/>
      </w:r>
      <w:r w:rsidR="00337078">
        <w:t>304</w:t>
      </w:r>
      <w:r>
        <w:fldChar w:fldCharType="end"/>
      </w:r>
    </w:p>
    <w:p w:rsidR="00E1452C" w:rsidRDefault="00E1452C">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_Toc75876090 \h </w:instrText>
      </w:r>
      <w:r>
        <w:fldChar w:fldCharType="separate"/>
      </w:r>
      <w:r w:rsidR="00337078">
        <w:t>305</w:t>
      </w:r>
      <w:r>
        <w:fldChar w:fldCharType="end"/>
      </w:r>
    </w:p>
    <w:p w:rsidR="00E1452C" w:rsidRDefault="00E1452C">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_Toc75876091 \h </w:instrText>
      </w:r>
      <w:r>
        <w:fldChar w:fldCharType="separate"/>
      </w:r>
      <w:r w:rsidR="00337078">
        <w:t>306</w:t>
      </w:r>
      <w:r>
        <w:fldChar w:fldCharType="end"/>
      </w:r>
    </w:p>
    <w:p w:rsidR="00E1452C" w:rsidRDefault="00E1452C">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_Toc75876092 \h </w:instrText>
      </w:r>
      <w:r>
        <w:fldChar w:fldCharType="separate"/>
      </w:r>
      <w:r w:rsidR="00337078">
        <w:t>307</w:t>
      </w:r>
      <w:r>
        <w:fldChar w:fldCharType="end"/>
      </w:r>
    </w:p>
    <w:p w:rsidR="00E1452C" w:rsidRDefault="00E1452C">
      <w:pPr>
        <w:pStyle w:val="TOC8"/>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_Toc75876093 \h </w:instrText>
      </w:r>
      <w:r>
        <w:fldChar w:fldCharType="separate"/>
      </w:r>
      <w:r w:rsidR="00337078">
        <w:t>308</w:t>
      </w:r>
      <w:r>
        <w:fldChar w:fldCharType="end"/>
      </w:r>
    </w:p>
    <w:p w:rsidR="00E1452C" w:rsidRDefault="00E1452C">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_Toc75876094 \h </w:instrText>
      </w:r>
      <w:r>
        <w:fldChar w:fldCharType="separate"/>
      </w:r>
      <w:r w:rsidR="00337078">
        <w:t>308</w:t>
      </w:r>
      <w:r>
        <w:fldChar w:fldCharType="end"/>
      </w:r>
    </w:p>
    <w:p w:rsidR="00E1452C" w:rsidRDefault="00E1452C">
      <w:pPr>
        <w:pStyle w:val="TOC8"/>
        <w:rPr>
          <w:rFonts w:asciiTheme="minorHAnsi" w:eastAsiaTheme="minorEastAsia" w:hAnsiTheme="minorHAnsi" w:cstheme="minorBidi"/>
          <w:szCs w:val="22"/>
        </w:rPr>
      </w:pPr>
      <w:r>
        <w:t>454K.</w:t>
      </w:r>
      <w:r>
        <w:tab/>
        <w:t>Heavy vehicle pilot licence not transferable</w:t>
      </w:r>
      <w:r>
        <w:tab/>
      </w:r>
      <w:r>
        <w:fldChar w:fldCharType="begin"/>
      </w:r>
      <w:r>
        <w:instrText xml:space="preserve"> PAGEREF _Toc75876095 \h </w:instrText>
      </w:r>
      <w:r>
        <w:fldChar w:fldCharType="separate"/>
      </w:r>
      <w:r w:rsidR="00337078">
        <w:t>308</w:t>
      </w:r>
      <w:r>
        <w:fldChar w:fldCharType="end"/>
      </w:r>
    </w:p>
    <w:p w:rsidR="00E1452C" w:rsidRDefault="00E1452C">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_Toc75876096 \h </w:instrText>
      </w:r>
      <w:r>
        <w:fldChar w:fldCharType="separate"/>
      </w:r>
      <w:r w:rsidR="00337078">
        <w:t>308</w:t>
      </w:r>
      <w:r>
        <w:fldChar w:fldCharType="end"/>
      </w:r>
    </w:p>
    <w:p w:rsidR="00E1452C" w:rsidRDefault="00E1452C">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_Toc75876097 \h </w:instrText>
      </w:r>
      <w:r>
        <w:fldChar w:fldCharType="separate"/>
      </w:r>
      <w:r w:rsidR="00337078">
        <w:t>308</w:t>
      </w:r>
      <w:r>
        <w:fldChar w:fldCharType="end"/>
      </w:r>
    </w:p>
    <w:p w:rsidR="00E1452C" w:rsidRDefault="00E1452C">
      <w:pPr>
        <w:pStyle w:val="TOC8"/>
        <w:rPr>
          <w:rFonts w:asciiTheme="minorHAnsi" w:eastAsiaTheme="minorEastAsia" w:hAnsiTheme="minorHAnsi" w:cstheme="minorBidi"/>
          <w:szCs w:val="22"/>
        </w:rPr>
      </w:pPr>
      <w:r>
        <w:t>454N.</w:t>
      </w:r>
      <w:r>
        <w:tab/>
        <w:t>Amending heavy vehicle pilot licence</w:t>
      </w:r>
      <w:r>
        <w:tab/>
      </w:r>
      <w:r>
        <w:fldChar w:fldCharType="begin"/>
      </w:r>
      <w:r>
        <w:instrText xml:space="preserve"> PAGEREF _Toc75876098 \h </w:instrText>
      </w:r>
      <w:r>
        <w:fldChar w:fldCharType="separate"/>
      </w:r>
      <w:r w:rsidR="00337078">
        <w:t>309</w:t>
      </w:r>
      <w:r>
        <w:fldChar w:fldCharType="end"/>
      </w:r>
    </w:p>
    <w:p w:rsidR="00E1452C" w:rsidRDefault="00E1452C">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_Toc75876099 \h </w:instrText>
      </w:r>
      <w:r>
        <w:fldChar w:fldCharType="separate"/>
      </w:r>
      <w:r w:rsidR="00337078">
        <w:t>310</w:t>
      </w:r>
      <w:r>
        <w:fldChar w:fldCharType="end"/>
      </w:r>
    </w:p>
    <w:p w:rsidR="00E1452C" w:rsidRDefault="00E1452C">
      <w:pPr>
        <w:pStyle w:val="TOC6"/>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rsidR="00E1452C" w:rsidRDefault="00E1452C">
      <w:pPr>
        <w:pStyle w:val="TOC8"/>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_Toc75876101 \h </w:instrText>
      </w:r>
      <w:r>
        <w:fldChar w:fldCharType="separate"/>
      </w:r>
      <w:r w:rsidR="00337078">
        <w:t>311</w:t>
      </w:r>
      <w:r>
        <w:fldChar w:fldCharType="end"/>
      </w:r>
    </w:p>
    <w:p w:rsidR="00E1452C" w:rsidRDefault="00E1452C">
      <w:pPr>
        <w:pStyle w:val="TOC8"/>
        <w:rPr>
          <w:rFonts w:asciiTheme="minorHAnsi" w:eastAsiaTheme="minorEastAsia" w:hAnsiTheme="minorHAnsi" w:cstheme="minorBidi"/>
          <w:szCs w:val="22"/>
        </w:rPr>
      </w:pPr>
      <w:r>
        <w:lastRenderedPageBreak/>
        <w:t>454Q.</w:t>
      </w:r>
      <w:r>
        <w:tab/>
        <w:t>Procedure for suspending or cancelling heavy vehicle pilot licence</w:t>
      </w:r>
      <w:r>
        <w:tab/>
      </w:r>
      <w:r>
        <w:fldChar w:fldCharType="begin"/>
      </w:r>
      <w:r>
        <w:instrText xml:space="preserve"> PAGEREF _Toc75876102 \h </w:instrText>
      </w:r>
      <w:r>
        <w:fldChar w:fldCharType="separate"/>
      </w:r>
      <w:r w:rsidR="00337078">
        <w:t>312</w:t>
      </w:r>
      <w:r>
        <w:fldChar w:fldCharType="end"/>
      </w:r>
    </w:p>
    <w:p w:rsidR="00E1452C" w:rsidRDefault="00E1452C">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_Toc75876103 \h </w:instrText>
      </w:r>
      <w:r>
        <w:fldChar w:fldCharType="separate"/>
      </w:r>
      <w:r w:rsidR="00337078">
        <w:t>313</w:t>
      </w:r>
      <w:r>
        <w:fldChar w:fldCharType="end"/>
      </w:r>
    </w:p>
    <w:p w:rsidR="00E1452C" w:rsidRDefault="00E1452C">
      <w:pPr>
        <w:pStyle w:val="TOC8"/>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_Toc75876104 \h </w:instrText>
      </w:r>
      <w:r>
        <w:fldChar w:fldCharType="separate"/>
      </w:r>
      <w:r w:rsidR="00337078">
        <w:t>313</w:t>
      </w:r>
      <w:r>
        <w:fldChar w:fldCharType="end"/>
      </w:r>
    </w:p>
    <w:p w:rsidR="00E1452C" w:rsidRDefault="00E1452C">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_Toc75876105 \h </w:instrText>
      </w:r>
      <w:r>
        <w:fldChar w:fldCharType="separate"/>
      </w:r>
      <w:r w:rsidR="00337078">
        <w:t>314</w:t>
      </w:r>
      <w:r>
        <w:fldChar w:fldCharType="end"/>
      </w:r>
    </w:p>
    <w:p w:rsidR="00E1452C" w:rsidRDefault="00E1452C">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rsidR="00E1452C" w:rsidRDefault="00E1452C">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_Toc75876107 \h </w:instrText>
      </w:r>
      <w:r>
        <w:fldChar w:fldCharType="separate"/>
      </w:r>
      <w:r w:rsidR="00337078">
        <w:t>314</w:t>
      </w:r>
      <w:r>
        <w:fldChar w:fldCharType="end"/>
      </w:r>
    </w:p>
    <w:p w:rsidR="00E1452C" w:rsidRDefault="00E1452C">
      <w:pPr>
        <w:pStyle w:val="TOC8"/>
        <w:rPr>
          <w:rFonts w:asciiTheme="minorHAnsi" w:eastAsiaTheme="minorEastAsia" w:hAnsiTheme="minorHAnsi" w:cstheme="minorBidi"/>
          <w:szCs w:val="22"/>
        </w:rPr>
      </w:pPr>
      <w:r>
        <w:t>454V.</w:t>
      </w:r>
      <w:r>
        <w:tab/>
        <w:t>Duty to notify Commissioner of Main Roads if no longer authorised to drive</w:t>
      </w:r>
      <w:r>
        <w:tab/>
      </w:r>
      <w:r>
        <w:fldChar w:fldCharType="begin"/>
      </w:r>
      <w:r>
        <w:instrText xml:space="preserve"> PAGEREF _Toc75876108 \h </w:instrText>
      </w:r>
      <w:r>
        <w:fldChar w:fldCharType="separate"/>
      </w:r>
      <w:r w:rsidR="00337078">
        <w:t>315</w:t>
      </w:r>
      <w:r>
        <w:fldChar w:fldCharType="end"/>
      </w:r>
    </w:p>
    <w:p w:rsidR="00E1452C" w:rsidRDefault="00E1452C">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_Toc75876109 \h </w:instrText>
      </w:r>
      <w:r>
        <w:fldChar w:fldCharType="separate"/>
      </w:r>
      <w:r w:rsidR="00337078">
        <w:t>315</w:t>
      </w:r>
      <w:r>
        <w:fldChar w:fldCharType="end"/>
      </w:r>
    </w:p>
    <w:p w:rsidR="00E1452C" w:rsidRDefault="00E1452C">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_Toc75876110 \h </w:instrText>
      </w:r>
      <w:r>
        <w:fldChar w:fldCharType="separate"/>
      </w:r>
      <w:r w:rsidR="00337078">
        <w:t>316</w:t>
      </w:r>
      <w:r>
        <w:fldChar w:fldCharType="end"/>
      </w:r>
    </w:p>
    <w:p w:rsidR="00E1452C" w:rsidRDefault="00E1452C">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_Toc75876111 \h </w:instrText>
      </w:r>
      <w:r>
        <w:fldChar w:fldCharType="separate"/>
      </w:r>
      <w:r w:rsidR="00337078">
        <w:t>316</w:t>
      </w:r>
      <w:r>
        <w:fldChar w:fldCharType="end"/>
      </w:r>
    </w:p>
    <w:p w:rsidR="00E1452C" w:rsidRDefault="00E1452C">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_Toc75876112 \h </w:instrText>
      </w:r>
      <w:r>
        <w:fldChar w:fldCharType="separate"/>
      </w:r>
      <w:r w:rsidR="00337078">
        <w:t>317</w:t>
      </w:r>
      <w:r>
        <w:fldChar w:fldCharType="end"/>
      </w:r>
    </w:p>
    <w:p w:rsidR="00E1452C" w:rsidRDefault="00E1452C">
      <w:pPr>
        <w:pStyle w:val="TOC6"/>
        <w:tabs>
          <w:tab w:val="right" w:leader="dot" w:pos="7077"/>
        </w:tabs>
        <w:rPr>
          <w:rFonts w:asciiTheme="minorHAnsi" w:eastAsiaTheme="minorEastAsia" w:hAnsiTheme="minorHAnsi" w:cstheme="minorBidi"/>
          <w:b w:val="0"/>
          <w:sz w:val="22"/>
          <w:szCs w:val="22"/>
        </w:rPr>
      </w:pPr>
      <w:r>
        <w:t>Subdivision 4 — Miscellaneous matters</w:t>
      </w:r>
    </w:p>
    <w:p w:rsidR="00E1452C" w:rsidRDefault="00E1452C">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_Toc75876114 \h </w:instrText>
      </w:r>
      <w:r>
        <w:fldChar w:fldCharType="separate"/>
      </w:r>
      <w:r w:rsidR="00337078">
        <w:t>317</w:t>
      </w:r>
      <w:r>
        <w:fldChar w:fldCharType="end"/>
      </w:r>
    </w:p>
    <w:p w:rsidR="00E1452C" w:rsidRDefault="00E1452C">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_Toc75876115 \h </w:instrText>
      </w:r>
      <w:r>
        <w:fldChar w:fldCharType="separate"/>
      </w:r>
      <w:r w:rsidR="00337078">
        <w:t>318</w:t>
      </w:r>
      <w:r>
        <w:fldChar w:fldCharType="end"/>
      </w:r>
    </w:p>
    <w:p w:rsidR="00E1452C" w:rsidRDefault="00E1452C">
      <w:pPr>
        <w:pStyle w:val="TOC8"/>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_Toc75876116 \h </w:instrText>
      </w:r>
      <w:r>
        <w:fldChar w:fldCharType="separate"/>
      </w:r>
      <w:r w:rsidR="00337078">
        <w:t>318</w:t>
      </w:r>
      <w:r>
        <w:fldChar w:fldCharType="end"/>
      </w:r>
    </w:p>
    <w:p w:rsidR="00E1452C" w:rsidRDefault="00E1452C">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rsidR="00E1452C" w:rsidRDefault="00E1452C">
      <w:pPr>
        <w:pStyle w:val="TOC4"/>
        <w:tabs>
          <w:tab w:val="right" w:leader="dot" w:pos="7077"/>
        </w:tabs>
        <w:rPr>
          <w:rFonts w:asciiTheme="minorHAnsi" w:eastAsiaTheme="minorEastAsia" w:hAnsiTheme="minorHAnsi" w:cstheme="minorBidi"/>
          <w:b w:val="0"/>
          <w:szCs w:val="22"/>
        </w:rPr>
      </w:pPr>
      <w:r>
        <w:t>Division 1 — Preliminary</w:t>
      </w:r>
    </w:p>
    <w:p w:rsidR="00E1452C" w:rsidRDefault="00E1452C">
      <w:pPr>
        <w:pStyle w:val="TOC8"/>
        <w:rPr>
          <w:rFonts w:asciiTheme="minorHAnsi" w:eastAsiaTheme="minorEastAsia" w:hAnsiTheme="minorHAnsi" w:cstheme="minorBidi"/>
          <w:szCs w:val="22"/>
        </w:rPr>
      </w:pPr>
      <w:r>
        <w:t>455.</w:t>
      </w:r>
      <w:r>
        <w:tab/>
        <w:t>Terms used</w:t>
      </w:r>
      <w:r>
        <w:tab/>
      </w:r>
      <w:r>
        <w:fldChar w:fldCharType="begin"/>
      </w:r>
      <w:r>
        <w:instrText xml:space="preserve"> PAGEREF _Toc75876119 \h </w:instrText>
      </w:r>
      <w:r>
        <w:fldChar w:fldCharType="separate"/>
      </w:r>
      <w:r w:rsidR="00337078">
        <w:t>319</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2 — Minister’s declarations</w:t>
      </w:r>
    </w:p>
    <w:p w:rsidR="00E1452C" w:rsidRDefault="00E1452C">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_Toc75876121 \h </w:instrText>
      </w:r>
      <w:r>
        <w:fldChar w:fldCharType="separate"/>
      </w:r>
      <w:r w:rsidR="00337078">
        <w:t>319</w:t>
      </w:r>
      <w:r>
        <w:fldChar w:fldCharType="end"/>
      </w:r>
    </w:p>
    <w:p w:rsidR="00E1452C" w:rsidRDefault="00E1452C">
      <w:pPr>
        <w:pStyle w:val="TOC8"/>
        <w:rPr>
          <w:rFonts w:asciiTheme="minorHAnsi" w:eastAsiaTheme="minorEastAsia" w:hAnsiTheme="minorHAnsi" w:cstheme="minorBidi"/>
          <w:szCs w:val="22"/>
        </w:rPr>
      </w:pPr>
      <w:r>
        <w:t>457.</w:t>
      </w:r>
      <w:r>
        <w:tab/>
        <w:t>Minister’s declarations that specified regulations do not apply to specified persons or vehicles (s. 138)</w:t>
      </w:r>
      <w:r>
        <w:tab/>
      </w:r>
      <w:r>
        <w:fldChar w:fldCharType="begin"/>
      </w:r>
      <w:r>
        <w:instrText xml:space="preserve"> PAGEREF _Toc75876122 \h </w:instrText>
      </w:r>
      <w:r>
        <w:fldChar w:fldCharType="separate"/>
      </w:r>
      <w:r w:rsidR="00337078">
        <w:t>319</w:t>
      </w:r>
      <w:r>
        <w:fldChar w:fldCharType="end"/>
      </w:r>
    </w:p>
    <w:p w:rsidR="00E1452C" w:rsidRDefault="00E1452C">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_Toc75876123 \h </w:instrText>
      </w:r>
      <w:r>
        <w:fldChar w:fldCharType="separate"/>
      </w:r>
      <w:r w:rsidR="00337078">
        <w:t>320</w:t>
      </w:r>
      <w:r>
        <w:fldChar w:fldCharType="end"/>
      </w:r>
    </w:p>
    <w:p w:rsidR="00E1452C" w:rsidRDefault="00E1452C">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_Toc75876124 \h </w:instrText>
      </w:r>
      <w:r>
        <w:fldChar w:fldCharType="separate"/>
      </w:r>
      <w:r w:rsidR="00337078">
        <w:t>321</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rsidR="00E1452C" w:rsidRDefault="00E1452C">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_Toc75876126 \h </w:instrText>
      </w:r>
      <w:r>
        <w:fldChar w:fldCharType="separate"/>
      </w:r>
      <w:r w:rsidR="00337078">
        <w:t>321</w:t>
      </w:r>
      <w:r>
        <w:fldChar w:fldCharType="end"/>
      </w:r>
    </w:p>
    <w:p w:rsidR="00E1452C" w:rsidRDefault="00E1452C">
      <w:pPr>
        <w:pStyle w:val="TOC8"/>
        <w:rPr>
          <w:rFonts w:asciiTheme="minorHAnsi" w:eastAsiaTheme="minorEastAsia" w:hAnsiTheme="minorHAnsi" w:cstheme="minorBidi"/>
          <w:szCs w:val="22"/>
        </w:rPr>
      </w:pPr>
      <w:r>
        <w:lastRenderedPageBreak/>
        <w:t>461.</w:t>
      </w:r>
      <w:r>
        <w:tab/>
        <w:t>Instigating action as to CEO exemptions</w:t>
      </w:r>
      <w:r>
        <w:tab/>
      </w:r>
      <w:r>
        <w:fldChar w:fldCharType="begin"/>
      </w:r>
      <w:r>
        <w:instrText xml:space="preserve"> PAGEREF _Toc75876127 \h </w:instrText>
      </w:r>
      <w:r>
        <w:fldChar w:fldCharType="separate"/>
      </w:r>
      <w:r w:rsidR="00337078">
        <w:t>321</w:t>
      </w:r>
      <w:r>
        <w:fldChar w:fldCharType="end"/>
      </w:r>
    </w:p>
    <w:p w:rsidR="00E1452C" w:rsidRDefault="00E1452C">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_Toc75876128 \h </w:instrText>
      </w:r>
      <w:r>
        <w:fldChar w:fldCharType="separate"/>
      </w:r>
      <w:r w:rsidR="00337078">
        <w:t>322</w:t>
      </w:r>
      <w:r>
        <w:fldChar w:fldCharType="end"/>
      </w:r>
    </w:p>
    <w:p w:rsidR="00E1452C" w:rsidRDefault="00E1452C">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_Toc75876129 \h </w:instrText>
      </w:r>
      <w:r>
        <w:fldChar w:fldCharType="separate"/>
      </w:r>
      <w:r w:rsidR="00337078">
        <w:t>323</w:t>
      </w:r>
      <w:r>
        <w:fldChar w:fldCharType="end"/>
      </w:r>
    </w:p>
    <w:p w:rsidR="00E1452C" w:rsidRDefault="00E1452C">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_Toc75876130 \h </w:instrText>
      </w:r>
      <w:r>
        <w:fldChar w:fldCharType="separate"/>
      </w:r>
      <w:r w:rsidR="00337078">
        <w:t>324</w:t>
      </w:r>
      <w:r>
        <w:fldChar w:fldCharType="end"/>
      </w:r>
    </w:p>
    <w:p w:rsidR="00E1452C" w:rsidRDefault="00E1452C">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_Toc75876131 \h </w:instrText>
      </w:r>
      <w:r>
        <w:fldChar w:fldCharType="separate"/>
      </w:r>
      <w:r w:rsidR="00337078">
        <w:t>324</w:t>
      </w:r>
      <w:r>
        <w:fldChar w:fldCharType="end"/>
      </w:r>
    </w:p>
    <w:p w:rsidR="00E1452C" w:rsidRDefault="00E1452C">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_Toc75876132 \h </w:instrText>
      </w:r>
      <w:r>
        <w:fldChar w:fldCharType="separate"/>
      </w:r>
      <w:r w:rsidR="00337078">
        <w:t>325</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rsidR="00E1452C" w:rsidRDefault="00E1452C">
      <w:pPr>
        <w:pStyle w:val="TOC8"/>
        <w:rPr>
          <w:rFonts w:asciiTheme="minorHAnsi" w:eastAsiaTheme="minorEastAsia" w:hAnsiTheme="minorHAnsi" w:cstheme="minorBidi"/>
          <w:szCs w:val="22"/>
        </w:rPr>
      </w:pPr>
      <w:r>
        <w:t>467.</w:t>
      </w:r>
      <w:r>
        <w:tab/>
        <w:t>Applications</w:t>
      </w:r>
      <w:r>
        <w:tab/>
      </w:r>
      <w:r>
        <w:fldChar w:fldCharType="begin"/>
      </w:r>
      <w:r>
        <w:instrText xml:space="preserve"> PAGEREF _Toc75876134 \h </w:instrText>
      </w:r>
      <w:r>
        <w:fldChar w:fldCharType="separate"/>
      </w:r>
      <w:r w:rsidR="00337078">
        <w:t>325</w:t>
      </w:r>
      <w:r>
        <w:fldChar w:fldCharType="end"/>
      </w:r>
    </w:p>
    <w:p w:rsidR="00E1452C" w:rsidRDefault="00E1452C">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_Toc75876135 \h </w:instrText>
      </w:r>
      <w:r>
        <w:fldChar w:fldCharType="separate"/>
      </w:r>
      <w:r w:rsidR="00337078">
        <w:t>326</w:t>
      </w:r>
      <w:r>
        <w:fldChar w:fldCharType="end"/>
      </w:r>
    </w:p>
    <w:p w:rsidR="00E1452C" w:rsidRDefault="00E1452C">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_Toc75876136 \h </w:instrText>
      </w:r>
      <w:r>
        <w:fldChar w:fldCharType="separate"/>
      </w:r>
      <w:r w:rsidR="00337078">
        <w:t>326</w:t>
      </w:r>
      <w:r>
        <w:fldChar w:fldCharType="end"/>
      </w:r>
    </w:p>
    <w:p w:rsidR="00E1452C" w:rsidRDefault="00E1452C">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_Toc75876137 \h </w:instrText>
      </w:r>
      <w:r>
        <w:fldChar w:fldCharType="separate"/>
      </w:r>
      <w:r w:rsidR="00337078">
        <w:t>327</w:t>
      </w:r>
      <w:r>
        <w:fldChar w:fldCharType="end"/>
      </w:r>
    </w:p>
    <w:p w:rsidR="00E1452C" w:rsidRDefault="00E1452C">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_Toc75876138 \h </w:instrText>
      </w:r>
      <w:r>
        <w:fldChar w:fldCharType="separate"/>
      </w:r>
      <w:r w:rsidR="00337078">
        <w:t>328</w:t>
      </w:r>
      <w:r>
        <w:fldChar w:fldCharType="end"/>
      </w:r>
    </w:p>
    <w:p w:rsidR="00E1452C" w:rsidRDefault="00E1452C">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_Toc75876139 \h </w:instrText>
      </w:r>
      <w:r>
        <w:fldChar w:fldCharType="separate"/>
      </w:r>
      <w:r w:rsidR="00337078">
        <w:t>328</w:t>
      </w:r>
      <w:r>
        <w:fldChar w:fldCharType="end"/>
      </w:r>
    </w:p>
    <w:p w:rsidR="00E1452C" w:rsidRDefault="00E1452C">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_Toc75876140 \h </w:instrText>
      </w:r>
      <w:r>
        <w:fldChar w:fldCharType="separate"/>
      </w:r>
      <w:r w:rsidR="00337078">
        <w:t>328</w:t>
      </w:r>
      <w:r>
        <w:fldChar w:fldCharType="end"/>
      </w:r>
    </w:p>
    <w:p w:rsidR="00E1452C" w:rsidRDefault="00E1452C">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_Toc75876141 \h </w:instrText>
      </w:r>
      <w:r>
        <w:fldChar w:fldCharType="separate"/>
      </w:r>
      <w:r w:rsidR="00337078">
        <w:t>328</w:t>
      </w:r>
      <w:r>
        <w:fldChar w:fldCharType="end"/>
      </w:r>
    </w:p>
    <w:p w:rsidR="00E1452C" w:rsidRDefault="00E1452C">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_Toc75876142 \h </w:instrText>
      </w:r>
      <w:r>
        <w:fldChar w:fldCharType="separate"/>
      </w:r>
      <w:r w:rsidR="00337078">
        <w:t>328</w:t>
      </w:r>
      <w:r>
        <w:fldChar w:fldCharType="end"/>
      </w:r>
    </w:p>
    <w:p w:rsidR="00E1452C" w:rsidRDefault="00E1452C">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_Toc75876143 \h </w:instrText>
      </w:r>
      <w:r>
        <w:fldChar w:fldCharType="separate"/>
      </w:r>
      <w:r w:rsidR="00337078">
        <w:t>329</w:t>
      </w:r>
      <w:r>
        <w:fldChar w:fldCharType="end"/>
      </w:r>
    </w:p>
    <w:p w:rsidR="00E1452C" w:rsidRDefault="00E1452C">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_Toc75876144 \h </w:instrText>
      </w:r>
      <w:r>
        <w:fldChar w:fldCharType="separate"/>
      </w:r>
      <w:r w:rsidR="00337078">
        <w:t>329</w:t>
      </w:r>
      <w:r>
        <w:fldChar w:fldCharType="end"/>
      </w:r>
    </w:p>
    <w:p w:rsidR="00E1452C" w:rsidRDefault="00E1452C">
      <w:pPr>
        <w:pStyle w:val="TOC2"/>
        <w:tabs>
          <w:tab w:val="right" w:leader="dot" w:pos="7077"/>
        </w:tabs>
        <w:rPr>
          <w:rFonts w:asciiTheme="minorHAnsi" w:eastAsiaTheme="minorEastAsia" w:hAnsiTheme="minorHAnsi" w:cstheme="minorBidi"/>
          <w:b w:val="0"/>
          <w:sz w:val="22"/>
          <w:szCs w:val="22"/>
        </w:rPr>
      </w:pPr>
      <w:r>
        <w:t>Part 15 — Notification and reconsideration of reviewable decisions</w:t>
      </w:r>
    </w:p>
    <w:p w:rsidR="00E1452C" w:rsidRDefault="00E1452C">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rsidR="00E1452C" w:rsidRDefault="00E1452C">
      <w:pPr>
        <w:pStyle w:val="TOC8"/>
        <w:rPr>
          <w:rFonts w:asciiTheme="minorHAnsi" w:eastAsiaTheme="minorEastAsia" w:hAnsiTheme="minorHAnsi" w:cstheme="minorBidi"/>
          <w:szCs w:val="22"/>
        </w:rPr>
      </w:pPr>
      <w:r>
        <w:t>478.</w:t>
      </w:r>
      <w:r>
        <w:tab/>
        <w:t>Terms used</w:t>
      </w:r>
      <w:r>
        <w:tab/>
      </w:r>
      <w:r>
        <w:fldChar w:fldCharType="begin"/>
      </w:r>
      <w:r>
        <w:instrText xml:space="preserve"> PAGEREF _Toc75876147 \h </w:instrText>
      </w:r>
      <w:r>
        <w:fldChar w:fldCharType="separate"/>
      </w:r>
      <w:r w:rsidR="00337078">
        <w:t>330</w:t>
      </w:r>
      <w:r>
        <w:fldChar w:fldCharType="end"/>
      </w:r>
    </w:p>
    <w:p w:rsidR="00E1452C" w:rsidRDefault="00E1452C">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_Toc75876148 \h </w:instrText>
      </w:r>
      <w:r>
        <w:fldChar w:fldCharType="separate"/>
      </w:r>
      <w:r w:rsidR="00337078">
        <w:t>332</w:t>
      </w:r>
      <w:r>
        <w:fldChar w:fldCharType="end"/>
      </w:r>
    </w:p>
    <w:p w:rsidR="00E1452C" w:rsidRDefault="00E1452C">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_Toc75876149 \h </w:instrText>
      </w:r>
      <w:r>
        <w:fldChar w:fldCharType="separate"/>
      </w:r>
      <w:r w:rsidR="00337078">
        <w:t>333</w:t>
      </w:r>
      <w:r>
        <w:fldChar w:fldCharType="end"/>
      </w:r>
    </w:p>
    <w:p w:rsidR="00E1452C" w:rsidRDefault="00E1452C">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rsidR="00E1452C" w:rsidRDefault="00E1452C">
      <w:pPr>
        <w:pStyle w:val="TOC8"/>
        <w:rPr>
          <w:rFonts w:asciiTheme="minorHAnsi" w:eastAsiaTheme="minorEastAsia" w:hAnsiTheme="minorHAnsi" w:cstheme="minorBidi"/>
          <w:szCs w:val="22"/>
        </w:rPr>
      </w:pPr>
      <w:r>
        <w:t>481.</w:t>
      </w:r>
      <w:r>
        <w:tab/>
        <w:t>Terms used</w:t>
      </w:r>
      <w:r>
        <w:tab/>
      </w:r>
      <w:r>
        <w:fldChar w:fldCharType="begin"/>
      </w:r>
      <w:r>
        <w:instrText xml:space="preserve"> PAGEREF _Toc75876151 \h </w:instrText>
      </w:r>
      <w:r>
        <w:fldChar w:fldCharType="separate"/>
      </w:r>
      <w:r w:rsidR="00337078">
        <w:t>334</w:t>
      </w:r>
      <w:r>
        <w:fldChar w:fldCharType="end"/>
      </w:r>
    </w:p>
    <w:p w:rsidR="00E1452C" w:rsidRDefault="00E1452C">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_Toc75876152 \h </w:instrText>
      </w:r>
      <w:r>
        <w:fldChar w:fldCharType="separate"/>
      </w:r>
      <w:r w:rsidR="00337078">
        <w:t>334</w:t>
      </w:r>
      <w:r>
        <w:fldChar w:fldCharType="end"/>
      </w:r>
    </w:p>
    <w:p w:rsidR="00E1452C" w:rsidRDefault="00E1452C">
      <w:pPr>
        <w:pStyle w:val="TOC8"/>
        <w:rPr>
          <w:rFonts w:asciiTheme="minorHAnsi" w:eastAsiaTheme="minorEastAsia" w:hAnsiTheme="minorHAnsi" w:cstheme="minorBidi"/>
          <w:szCs w:val="22"/>
        </w:rPr>
      </w:pPr>
      <w:r>
        <w:lastRenderedPageBreak/>
        <w:t>483.</w:t>
      </w:r>
      <w:r>
        <w:tab/>
        <w:t>Reconsideration of improvement notice reviewable decisions</w:t>
      </w:r>
      <w:r>
        <w:tab/>
      </w:r>
      <w:r>
        <w:fldChar w:fldCharType="begin"/>
      </w:r>
      <w:r>
        <w:instrText xml:space="preserve"> PAGEREF _Toc75876153 \h </w:instrText>
      </w:r>
      <w:r>
        <w:fldChar w:fldCharType="separate"/>
      </w:r>
      <w:r w:rsidR="00337078">
        <w:t>335</w:t>
      </w:r>
      <w:r>
        <w:fldChar w:fldCharType="end"/>
      </w:r>
    </w:p>
    <w:p w:rsidR="00E1452C" w:rsidRDefault="00E1452C">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sidRPr="00FE3DA3">
        <w:rPr>
          <w:i/>
        </w:rPr>
        <w:t>Road Traffic (Vehicles) Regulations 2014</w:t>
      </w:r>
    </w:p>
    <w:p w:rsidR="00E1452C" w:rsidRDefault="00E1452C">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_Toc75876155 \h </w:instrText>
      </w:r>
      <w:r>
        <w:fldChar w:fldCharType="separate"/>
      </w:r>
      <w:r w:rsidR="00337078">
        <w:t>337</w:t>
      </w:r>
      <w:r>
        <w:fldChar w:fldCharType="end"/>
      </w:r>
    </w:p>
    <w:p w:rsidR="00E1452C" w:rsidRDefault="00E1452C">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_Toc75876156 \h </w:instrText>
      </w:r>
      <w:r>
        <w:fldChar w:fldCharType="separate"/>
      </w:r>
      <w:r w:rsidR="00337078">
        <w:t>337</w:t>
      </w:r>
      <w:r>
        <w:fldChar w:fldCharType="end"/>
      </w:r>
    </w:p>
    <w:p w:rsidR="00E1452C" w:rsidRDefault="00E1452C">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_Toc75876157 \h </w:instrText>
      </w:r>
      <w:r>
        <w:fldChar w:fldCharType="separate"/>
      </w:r>
      <w:r w:rsidR="00337078">
        <w:t>337</w:t>
      </w:r>
      <w:r>
        <w:fldChar w:fldCharType="end"/>
      </w:r>
    </w:p>
    <w:p w:rsidR="00E1452C" w:rsidRDefault="00E1452C">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_Toc75876158 \h </w:instrText>
      </w:r>
      <w:r>
        <w:fldChar w:fldCharType="separate"/>
      </w:r>
      <w:r w:rsidR="00337078">
        <w:t>337</w:t>
      </w:r>
      <w:r>
        <w:fldChar w:fldCharType="end"/>
      </w:r>
    </w:p>
    <w:p w:rsidR="00E1452C" w:rsidRDefault="00E1452C">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_Toc75876159 \h </w:instrText>
      </w:r>
      <w:r>
        <w:fldChar w:fldCharType="separate"/>
      </w:r>
      <w:r w:rsidR="00337078">
        <w:t>337</w:t>
      </w:r>
      <w:r>
        <w:fldChar w:fldCharType="end"/>
      </w:r>
    </w:p>
    <w:p w:rsidR="00E1452C" w:rsidRDefault="00E1452C">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_Toc75876160 \h </w:instrText>
      </w:r>
      <w:r>
        <w:fldChar w:fldCharType="separate"/>
      </w:r>
      <w:r w:rsidR="00337078">
        <w:t>338</w:t>
      </w:r>
      <w:r>
        <w:fldChar w:fldCharType="end"/>
      </w:r>
    </w:p>
    <w:p w:rsidR="00E1452C" w:rsidRDefault="00E1452C">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_Toc75876161 \h </w:instrText>
      </w:r>
      <w:r>
        <w:fldChar w:fldCharType="separate"/>
      </w:r>
      <w:r w:rsidR="00337078">
        <w:t>338</w:t>
      </w:r>
      <w:r>
        <w:fldChar w:fldCharType="end"/>
      </w:r>
    </w:p>
    <w:p w:rsidR="00E1452C" w:rsidRDefault="00E1452C">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_Toc75876162 \h </w:instrText>
      </w:r>
      <w:r>
        <w:fldChar w:fldCharType="separate"/>
      </w:r>
      <w:r w:rsidR="00337078">
        <w:t>339</w:t>
      </w:r>
      <w:r>
        <w:fldChar w:fldCharType="end"/>
      </w:r>
    </w:p>
    <w:p w:rsidR="00E1452C" w:rsidRDefault="00E1452C">
      <w:pPr>
        <w:pStyle w:val="TOC8"/>
        <w:rPr>
          <w:rFonts w:asciiTheme="minorHAnsi" w:eastAsiaTheme="minorEastAsia" w:hAnsiTheme="minorHAnsi" w:cstheme="minorBidi"/>
          <w:szCs w:val="22"/>
        </w:rPr>
      </w:pPr>
      <w:r>
        <w:t>494.</w:t>
      </w:r>
      <w:r>
        <w:tab/>
        <w:t>Accreditation</w:t>
      </w:r>
      <w:r>
        <w:tab/>
      </w:r>
      <w:r>
        <w:fldChar w:fldCharType="begin"/>
      </w:r>
      <w:r>
        <w:instrText xml:space="preserve"> PAGEREF _Toc75876163 \h </w:instrText>
      </w:r>
      <w:r>
        <w:fldChar w:fldCharType="separate"/>
      </w:r>
      <w:r w:rsidR="00337078">
        <w:t>339</w:t>
      </w:r>
      <w:r>
        <w:fldChar w:fldCharType="end"/>
      </w:r>
    </w:p>
    <w:p w:rsidR="00E1452C" w:rsidRDefault="00E1452C">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_Toc75876164 \h </w:instrText>
      </w:r>
      <w:r>
        <w:fldChar w:fldCharType="separate"/>
      </w:r>
      <w:r w:rsidR="00337078">
        <w:t>340</w:t>
      </w:r>
      <w:r>
        <w:fldChar w:fldCharType="end"/>
      </w:r>
    </w:p>
    <w:p w:rsidR="00E1452C" w:rsidRDefault="00E1452C">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_Toc75876165 \h </w:instrText>
      </w:r>
      <w:r>
        <w:fldChar w:fldCharType="separate"/>
      </w:r>
      <w:r w:rsidR="00337078">
        <w:t>340</w:t>
      </w:r>
      <w:r>
        <w:fldChar w:fldCharType="end"/>
      </w:r>
    </w:p>
    <w:p w:rsidR="00E1452C" w:rsidRDefault="00E1452C">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_Toc75876166 \h </w:instrText>
      </w:r>
      <w:r>
        <w:fldChar w:fldCharType="separate"/>
      </w:r>
      <w:r w:rsidR="00337078">
        <w:t>340</w:t>
      </w:r>
      <w:r>
        <w:fldChar w:fldCharType="end"/>
      </w:r>
    </w:p>
    <w:p w:rsidR="00E1452C" w:rsidRDefault="00E1452C">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_Toc75876167 \h </w:instrText>
      </w:r>
      <w:r>
        <w:fldChar w:fldCharType="separate"/>
      </w:r>
      <w:r w:rsidR="00337078">
        <w:t>340</w:t>
      </w:r>
      <w:r>
        <w:fldChar w:fldCharType="end"/>
      </w:r>
    </w:p>
    <w:p w:rsidR="00E1452C" w:rsidRDefault="00E1452C">
      <w:pPr>
        <w:pStyle w:val="TOC8"/>
        <w:rPr>
          <w:rFonts w:asciiTheme="minorHAnsi" w:eastAsiaTheme="minorEastAsia" w:hAnsiTheme="minorHAnsi" w:cstheme="minorBidi"/>
          <w:szCs w:val="22"/>
        </w:rPr>
      </w:pPr>
      <w:r>
        <w:t>499.</w:t>
      </w:r>
      <w:r>
        <w:tab/>
        <w:t>Permissions to move excessively high agricultural combinations</w:t>
      </w:r>
      <w:r>
        <w:tab/>
      </w:r>
      <w:r>
        <w:fldChar w:fldCharType="begin"/>
      </w:r>
      <w:r>
        <w:instrText xml:space="preserve"> PAGEREF _Toc75876168 \h </w:instrText>
      </w:r>
      <w:r>
        <w:fldChar w:fldCharType="separate"/>
      </w:r>
      <w:r w:rsidR="00337078">
        <w:t>341</w:t>
      </w:r>
      <w:r>
        <w:fldChar w:fldCharType="end"/>
      </w:r>
    </w:p>
    <w:p w:rsidR="00E1452C" w:rsidRDefault="00E1452C">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_Toc75876169 \h </w:instrText>
      </w:r>
      <w:r>
        <w:fldChar w:fldCharType="separate"/>
      </w:r>
      <w:r w:rsidR="00337078">
        <w:t>341</w:t>
      </w:r>
      <w:r>
        <w:fldChar w:fldCharType="end"/>
      </w:r>
    </w:p>
    <w:p w:rsidR="00E1452C" w:rsidRDefault="00E1452C">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_Toc75876170 \h </w:instrText>
      </w:r>
      <w:r>
        <w:fldChar w:fldCharType="separate"/>
      </w:r>
      <w:r w:rsidR="00337078">
        <w:t>341</w:t>
      </w:r>
      <w:r>
        <w:fldChar w:fldCharType="end"/>
      </w:r>
    </w:p>
    <w:p w:rsidR="00E1452C" w:rsidRDefault="00E1452C">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_Toc75876171 \h </w:instrText>
      </w:r>
      <w:r>
        <w:fldChar w:fldCharType="separate"/>
      </w:r>
      <w:r w:rsidR="00337078">
        <w:t>341</w:t>
      </w:r>
      <w:r>
        <w:fldChar w:fldCharType="end"/>
      </w:r>
    </w:p>
    <w:p w:rsidR="00E1452C" w:rsidRDefault="00E1452C">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_Toc75876172 \h </w:instrText>
      </w:r>
      <w:r>
        <w:fldChar w:fldCharType="separate"/>
      </w:r>
      <w:r w:rsidR="00337078">
        <w:t>342</w:t>
      </w:r>
      <w:r>
        <w:fldChar w:fldCharType="end"/>
      </w:r>
    </w:p>
    <w:p w:rsidR="00E1452C" w:rsidRDefault="00E1452C">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_Toc75876173 \h </w:instrText>
      </w:r>
      <w:r>
        <w:fldChar w:fldCharType="separate"/>
      </w:r>
      <w:r w:rsidR="00337078">
        <w:t>343</w:t>
      </w:r>
      <w:r>
        <w:fldChar w:fldCharType="end"/>
      </w:r>
    </w:p>
    <w:p w:rsidR="00E1452C" w:rsidRDefault="00E1452C">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_Toc75876174 \h </w:instrText>
      </w:r>
      <w:r>
        <w:fldChar w:fldCharType="separate"/>
      </w:r>
      <w:r w:rsidR="00337078">
        <w:t>343</w:t>
      </w:r>
      <w:r>
        <w:fldChar w:fldCharType="end"/>
      </w:r>
    </w:p>
    <w:p w:rsidR="00E1452C" w:rsidRDefault="00E1452C">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_Toc75876175 \h </w:instrText>
      </w:r>
      <w:r>
        <w:fldChar w:fldCharType="separate"/>
      </w:r>
      <w:r w:rsidR="00337078">
        <w:t>344</w:t>
      </w:r>
      <w:r>
        <w:fldChar w:fldCharType="end"/>
      </w:r>
    </w:p>
    <w:p w:rsidR="00E1452C" w:rsidRDefault="00E1452C">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_Toc75876176 \h </w:instrText>
      </w:r>
      <w:r>
        <w:fldChar w:fldCharType="separate"/>
      </w:r>
      <w:r w:rsidR="00337078">
        <w:t>345</w:t>
      </w:r>
      <w:r>
        <w:fldChar w:fldCharType="end"/>
      </w:r>
    </w:p>
    <w:p w:rsidR="00E1452C" w:rsidRDefault="00E1452C">
      <w:pPr>
        <w:pStyle w:val="TOC2"/>
        <w:tabs>
          <w:tab w:val="right" w:leader="dot" w:pos="7077"/>
        </w:tabs>
        <w:rPr>
          <w:rFonts w:asciiTheme="minorHAnsi" w:eastAsiaTheme="minorEastAsia" w:hAnsiTheme="minorHAnsi" w:cstheme="minorBidi"/>
          <w:b w:val="0"/>
          <w:sz w:val="22"/>
          <w:szCs w:val="22"/>
        </w:rPr>
      </w:pPr>
      <w:r>
        <w:t>Part 17</w:t>
      </w:r>
      <w:r w:rsidRPr="00FE3DA3">
        <w:rPr>
          <w:b w:val="0"/>
        </w:rPr>
        <w:t> </w:t>
      </w:r>
      <w:r>
        <w:t>—</w:t>
      </w:r>
      <w:r w:rsidRPr="00FE3DA3">
        <w:rPr>
          <w:b w:val="0"/>
        </w:rPr>
        <w:t> </w:t>
      </w:r>
      <w:r>
        <w:t xml:space="preserve">Transitional provision relating to </w:t>
      </w:r>
      <w:r w:rsidRPr="00FE3DA3">
        <w:rPr>
          <w:i/>
        </w:rPr>
        <w:t xml:space="preserve">Transport Regulations </w:t>
      </w:r>
      <w:r w:rsidRPr="00FE3DA3">
        <w:rPr>
          <w:i/>
        </w:rPr>
        <w:lastRenderedPageBreak/>
        <w:t>Amendment (Fees and Charges) Regulations 2019</w:t>
      </w:r>
      <w:r>
        <w:t xml:space="preserve"> Part 3 Division 2</w:t>
      </w:r>
    </w:p>
    <w:p w:rsidR="00E1452C" w:rsidRDefault="00E1452C">
      <w:pPr>
        <w:pStyle w:val="TOC8"/>
        <w:rPr>
          <w:rFonts w:asciiTheme="minorHAnsi" w:eastAsiaTheme="minorEastAsia" w:hAnsiTheme="minorHAnsi" w:cstheme="minorBidi"/>
          <w:szCs w:val="22"/>
        </w:rPr>
      </w:pPr>
      <w:r>
        <w:t>508.</w:t>
      </w:r>
      <w:r>
        <w:tab/>
        <w:t>Recording fees</w:t>
      </w:r>
      <w:r>
        <w:tab/>
      </w:r>
      <w:r>
        <w:fldChar w:fldCharType="begin"/>
      </w:r>
      <w:r>
        <w:instrText xml:space="preserve"> PAGEREF _Toc75876178 \h </w:instrText>
      </w:r>
      <w:r>
        <w:fldChar w:fldCharType="separate"/>
      </w:r>
      <w:r w:rsidR="00337078">
        <w:t>346</w:t>
      </w:r>
      <w:r>
        <w:fldChar w:fldCharType="end"/>
      </w:r>
    </w:p>
    <w:p w:rsidR="00E1452C" w:rsidRDefault="00E1452C">
      <w:pPr>
        <w:pStyle w:val="TOC2"/>
        <w:tabs>
          <w:tab w:val="right" w:leader="dot" w:pos="7077"/>
        </w:tabs>
        <w:rPr>
          <w:rFonts w:asciiTheme="minorHAnsi" w:eastAsiaTheme="minorEastAsia" w:hAnsiTheme="minorHAnsi" w:cstheme="minorBidi"/>
          <w:b w:val="0"/>
          <w:sz w:val="22"/>
          <w:szCs w:val="22"/>
        </w:rPr>
      </w:pPr>
      <w:r>
        <w:t>Notes</w:t>
      </w:r>
    </w:p>
    <w:p w:rsidR="00E1452C" w:rsidRDefault="00E1452C" w:rsidP="00E1452C">
      <w:pPr>
        <w:pStyle w:val="TOC8"/>
        <w:rPr>
          <w:rFonts w:asciiTheme="minorHAnsi" w:eastAsiaTheme="minorEastAsia" w:hAnsiTheme="minorHAnsi" w:cstheme="minorBidi"/>
          <w:szCs w:val="22"/>
        </w:rPr>
      </w:pPr>
      <w:r>
        <w:tab/>
        <w:t>Compilation table</w:t>
      </w:r>
      <w:r>
        <w:tab/>
      </w:r>
      <w:r>
        <w:fldChar w:fldCharType="begin"/>
      </w:r>
      <w:r>
        <w:instrText xml:space="preserve"> PAGEREF _Toc75876180 \h </w:instrText>
      </w:r>
      <w:r>
        <w:fldChar w:fldCharType="separate"/>
      </w:r>
      <w:r w:rsidR="00337078">
        <w:t>347</w:t>
      </w:r>
      <w:r>
        <w:fldChar w:fldCharType="end"/>
      </w:r>
    </w:p>
    <w:p w:rsidR="00E1452C" w:rsidRDefault="00E1452C" w:rsidP="00E1452C">
      <w:pPr>
        <w:pStyle w:val="TOC8"/>
        <w:rPr>
          <w:rFonts w:asciiTheme="minorHAnsi" w:eastAsiaTheme="minorEastAsia" w:hAnsiTheme="minorHAnsi" w:cstheme="minorBidi"/>
          <w:szCs w:val="22"/>
        </w:rPr>
      </w:pPr>
      <w:r>
        <w:tab/>
        <w:t>Other notes</w:t>
      </w:r>
      <w:r>
        <w:tab/>
      </w:r>
      <w:r>
        <w:fldChar w:fldCharType="begin"/>
      </w:r>
      <w:r>
        <w:instrText xml:space="preserve"> PAGEREF _Toc75876181 \h </w:instrText>
      </w:r>
      <w:r>
        <w:fldChar w:fldCharType="separate"/>
      </w:r>
      <w:r w:rsidR="00337078">
        <w:t>349</w:t>
      </w:r>
      <w:r>
        <w:fldChar w:fldCharType="end"/>
      </w:r>
    </w:p>
    <w:p w:rsidR="00E1452C" w:rsidRDefault="00E1452C">
      <w:pPr>
        <w:pStyle w:val="TOC2"/>
        <w:tabs>
          <w:tab w:val="right" w:leader="dot" w:pos="7077"/>
        </w:tabs>
        <w:rPr>
          <w:rFonts w:asciiTheme="minorHAnsi" w:eastAsiaTheme="minorEastAsia" w:hAnsiTheme="minorHAnsi" w:cstheme="minorBidi"/>
          <w:b w:val="0"/>
          <w:sz w:val="22"/>
          <w:szCs w:val="22"/>
        </w:rPr>
      </w:pPr>
      <w:r>
        <w:t>Defined terms</w:t>
      </w:r>
    </w:p>
    <w:p w:rsidR="006724FB" w:rsidRDefault="006724F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724FB" w:rsidRDefault="006724FB">
      <w:pPr>
        <w:pStyle w:val="NoteHeading"/>
        <w:sectPr w:rsidR="006724FB">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6724FB" w:rsidRDefault="006724FB">
      <w:pPr>
        <w:pStyle w:val="PrincipalActReg"/>
      </w:pPr>
      <w:r>
        <w:lastRenderedPageBreak/>
        <w:t>Road Traffic (Vehicles) Act 2012</w:t>
      </w:r>
    </w:p>
    <w:p w:rsidR="006724FB" w:rsidRDefault="006724FB">
      <w:pPr>
        <w:pStyle w:val="NameofActReg"/>
      </w:pPr>
      <w:r>
        <w:t>Road Traffic (Vehicles) Regulations 2014</w:t>
      </w:r>
    </w:p>
    <w:p w:rsidR="006724FB" w:rsidRDefault="006724FB">
      <w:pPr>
        <w:pStyle w:val="Heading2"/>
        <w:keepLines/>
        <w:pageBreakBefore w:val="0"/>
        <w:widowControl w:val="0"/>
        <w:spacing w:before="240"/>
      </w:pPr>
      <w:bookmarkStart w:id="3" w:name="_Toc75419603"/>
      <w:bookmarkStart w:id="4" w:name="_Toc75426938"/>
      <w:bookmarkStart w:id="5" w:name="_Toc75872354"/>
      <w:bookmarkStart w:id="6" w:name="_Toc7587552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rsidR="006724FB" w:rsidRDefault="006724FB">
      <w:pPr>
        <w:pStyle w:val="Heading5"/>
      </w:pPr>
      <w:bookmarkStart w:id="7" w:name="_Toc75875527"/>
      <w:r>
        <w:rPr>
          <w:rStyle w:val="CharSectno"/>
        </w:rPr>
        <w:t>1</w:t>
      </w:r>
      <w:r>
        <w:t>.</w:t>
      </w:r>
      <w:r>
        <w:tab/>
        <w:t>Citation</w:t>
      </w:r>
      <w:bookmarkEnd w:id="7"/>
    </w:p>
    <w:p w:rsidR="006724FB" w:rsidRDefault="006724FB">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rsidR="006724FB" w:rsidRDefault="006724FB">
      <w:pPr>
        <w:pStyle w:val="Heading5"/>
        <w:rPr>
          <w:spacing w:val="-2"/>
        </w:rPr>
      </w:pPr>
      <w:bookmarkStart w:id="8" w:name="_Toc75875528"/>
      <w:r>
        <w:rPr>
          <w:rStyle w:val="CharSectno"/>
        </w:rPr>
        <w:t>2</w:t>
      </w:r>
      <w:r>
        <w:rPr>
          <w:spacing w:val="-2"/>
        </w:rPr>
        <w:t>.</w:t>
      </w:r>
      <w:r>
        <w:rPr>
          <w:spacing w:val="-2"/>
        </w:rPr>
        <w:tab/>
        <w:t>Commencement</w:t>
      </w:r>
      <w:bookmarkEnd w:id="8"/>
    </w:p>
    <w:p w:rsidR="006724FB" w:rsidRDefault="006724FB">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rsidR="006724FB" w:rsidRDefault="006724FB">
      <w:pPr>
        <w:pStyle w:val="Heading5"/>
      </w:pPr>
      <w:bookmarkStart w:id="9" w:name="_Toc75875529"/>
      <w:r>
        <w:rPr>
          <w:rStyle w:val="CharSectno"/>
        </w:rPr>
        <w:t>3</w:t>
      </w:r>
      <w:r>
        <w:t>.</w:t>
      </w:r>
      <w:r>
        <w:tab/>
        <w:t>Terms used</w:t>
      </w:r>
      <w:bookmarkEnd w:id="9"/>
    </w:p>
    <w:p w:rsidR="006724FB" w:rsidRDefault="006724FB">
      <w:pPr>
        <w:pStyle w:val="Subsection"/>
      </w:pPr>
      <w:r>
        <w:tab/>
      </w:r>
      <w:r>
        <w:tab/>
        <w:t xml:space="preserve">In these regulations, unless the contrary intention appears — </w:t>
      </w:r>
    </w:p>
    <w:p w:rsidR="006724FB" w:rsidRDefault="006724FB">
      <w:pPr>
        <w:pStyle w:val="Defstart"/>
      </w:pPr>
      <w:r>
        <w:tab/>
      </w:r>
      <w:r>
        <w:rPr>
          <w:rStyle w:val="CharDefText"/>
        </w:rPr>
        <w:t>agricultural combination</w:t>
      </w:r>
      <w:r>
        <w:t xml:space="preserve"> means a combination that includes at least one agricultural vehicle;</w:t>
      </w:r>
    </w:p>
    <w:p w:rsidR="006724FB" w:rsidRDefault="006724FB">
      <w:pPr>
        <w:pStyle w:val="Defstart"/>
      </w:pPr>
      <w:r>
        <w:tab/>
      </w:r>
      <w:r>
        <w:rPr>
          <w:rStyle w:val="CharDefText"/>
        </w:rPr>
        <w:t>agricultural implement</w:t>
      </w:r>
      <w:r>
        <w:t xml:space="preserve"> means a vehicle without its own motive power, built to perform agricultural tasks;</w:t>
      </w:r>
    </w:p>
    <w:p w:rsidR="006724FB" w:rsidRDefault="006724FB">
      <w:pPr>
        <w:pStyle w:val="Defstart"/>
      </w:pPr>
      <w:r>
        <w:tab/>
      </w:r>
      <w:r>
        <w:rPr>
          <w:rStyle w:val="CharDefText"/>
        </w:rPr>
        <w:t xml:space="preserve">agricultural machine </w:t>
      </w:r>
      <w:r>
        <w:t>means a machine with its own motive power, built to perform agricultural tasks;</w:t>
      </w:r>
    </w:p>
    <w:p w:rsidR="006724FB" w:rsidRDefault="006724FB">
      <w:pPr>
        <w:pStyle w:val="Defstart"/>
      </w:pPr>
      <w:r>
        <w:tab/>
      </w:r>
      <w:r>
        <w:rPr>
          <w:rStyle w:val="CharDefText"/>
        </w:rPr>
        <w:t>agricultural vehicle</w:t>
      </w:r>
      <w:r>
        <w:t xml:space="preserve"> means an agricultural implement or agricultural machine;</w:t>
      </w:r>
    </w:p>
    <w:p w:rsidR="006724FB" w:rsidRDefault="006724FB">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rsidR="006724FB" w:rsidRDefault="006724FB">
      <w:pPr>
        <w:pStyle w:val="Defstart"/>
      </w:pPr>
      <w:r>
        <w:tab/>
      </w:r>
      <w:r>
        <w:rPr>
          <w:rStyle w:val="CharDefText"/>
        </w:rPr>
        <w:t>Airservices Australia vehicle</w:t>
      </w:r>
      <w:r>
        <w:t xml:space="preserve"> means a vehicle driven by any of the following persons in the course of the person’s duty to Airservices Australia — </w:t>
      </w:r>
    </w:p>
    <w:p w:rsidR="006724FB" w:rsidRDefault="006724FB">
      <w:pPr>
        <w:pStyle w:val="Defpara"/>
      </w:pPr>
      <w:r>
        <w:tab/>
        <w:t>(a)</w:t>
      </w:r>
      <w:r>
        <w:tab/>
        <w:t xml:space="preserve">the Chief Executive Officer appointed under the </w:t>
      </w:r>
      <w:r>
        <w:rPr>
          <w:i/>
        </w:rPr>
        <w:t xml:space="preserve">Air Services Act 1995 </w:t>
      </w:r>
      <w:r>
        <w:t>(Commonwealth) section 34;</w:t>
      </w:r>
    </w:p>
    <w:p w:rsidR="006724FB" w:rsidRDefault="006724FB">
      <w:pPr>
        <w:pStyle w:val="Defpara"/>
      </w:pPr>
      <w:r>
        <w:lastRenderedPageBreak/>
        <w:tab/>
        <w:t>(b)</w:t>
      </w:r>
      <w:r>
        <w:tab/>
        <w:t xml:space="preserve">a person appointed to act as the Chief Executive Officer under the </w:t>
      </w:r>
      <w:r>
        <w:rPr>
          <w:i/>
        </w:rPr>
        <w:t xml:space="preserve">Air Services Act 1995 </w:t>
      </w:r>
      <w:r>
        <w:t>(Commonwealth) section 41;</w:t>
      </w:r>
    </w:p>
    <w:p w:rsidR="006724FB" w:rsidRDefault="006724FB">
      <w:pPr>
        <w:pStyle w:val="Defpara"/>
      </w:pPr>
      <w:r>
        <w:tab/>
        <w:t>(c)</w:t>
      </w:r>
      <w:r>
        <w:tab/>
        <w:t xml:space="preserve">a person employed under the </w:t>
      </w:r>
      <w:r>
        <w:rPr>
          <w:i/>
        </w:rPr>
        <w:t xml:space="preserve">Air Services Act 1995 </w:t>
      </w:r>
      <w:r>
        <w:t>(Commonwealth) section 42;</w:t>
      </w:r>
    </w:p>
    <w:p w:rsidR="006724FB" w:rsidRDefault="006724FB">
      <w:pPr>
        <w:pStyle w:val="Defpara"/>
      </w:pPr>
      <w:r>
        <w:tab/>
        <w:t>(d)</w:t>
      </w:r>
      <w:r>
        <w:tab/>
        <w:t xml:space="preserve">a person engaged as a consultant under the </w:t>
      </w:r>
      <w:r>
        <w:rPr>
          <w:i/>
        </w:rPr>
        <w:t xml:space="preserve">Air Services Act 1995 </w:t>
      </w:r>
      <w:r>
        <w:t>(Commonwealth) section 43;</w:t>
      </w:r>
    </w:p>
    <w:p w:rsidR="006724FB" w:rsidRDefault="006724FB">
      <w:pPr>
        <w:pStyle w:val="Defstart"/>
      </w:pPr>
      <w:r>
        <w:tab/>
      </w:r>
      <w:r>
        <w:rPr>
          <w:rStyle w:val="CharDefText"/>
        </w:rPr>
        <w:t>air storage tank</w:t>
      </w:r>
      <w:r>
        <w:t>, of a vehicle, means a tank fitted to the vehicle for storing compressed air;</w:t>
      </w:r>
    </w:p>
    <w:p w:rsidR="006724FB" w:rsidRDefault="006724FB">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rsidR="006724FB" w:rsidRDefault="006724FB">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rsidR="006724FB" w:rsidRDefault="006724FB">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rsidR="006724FB" w:rsidRDefault="006724FB">
      <w:pPr>
        <w:pStyle w:val="Defstart"/>
      </w:pPr>
      <w:r>
        <w:tab/>
      </w:r>
      <w:r>
        <w:rPr>
          <w:rStyle w:val="CharDefText"/>
        </w:rPr>
        <w:t>Australian Design Rule (ADR)</w:t>
      </w:r>
      <w:r>
        <w:t xml:space="preserve"> has the meaning given in regulation 226;</w:t>
      </w:r>
    </w:p>
    <w:p w:rsidR="006724FB" w:rsidRDefault="006724FB">
      <w:pPr>
        <w:pStyle w:val="Defstart"/>
      </w:pPr>
      <w:r>
        <w:tab/>
      </w:r>
      <w:r>
        <w:rPr>
          <w:rStyle w:val="CharDefText"/>
        </w:rPr>
        <w:t>Australian Standard (AS)</w:t>
      </w:r>
      <w:r>
        <w:t xml:space="preserve"> means a standard approved for publication on behalf of Standards Australia;</w:t>
      </w:r>
    </w:p>
    <w:p w:rsidR="006724FB" w:rsidRDefault="006724FB">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rsidR="006724FB" w:rsidRDefault="006724FB">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rsidR="006724FB" w:rsidRDefault="006724FB">
      <w:pPr>
        <w:pStyle w:val="MiscellaneousHeading"/>
        <w:rPr>
          <w:b/>
          <w:bCs/>
        </w:rPr>
      </w:pPr>
      <w:r>
        <w:rPr>
          <w:b/>
          <w:bCs/>
        </w:rPr>
        <w:t>B</w:t>
      </w:r>
      <w:r>
        <w:rPr>
          <w:b/>
          <w:bCs/>
        </w:rPr>
        <w:noBreakHyphen/>
        <w:t>double</w:t>
      </w:r>
    </w:p>
    <w:p w:rsidR="006724FB" w:rsidRDefault="006724FB">
      <w:pPr>
        <w:pStyle w:val="Defstart"/>
      </w:pPr>
      <w:r>
        <w:tab/>
      </w:r>
      <w:r>
        <w:rPr>
          <w:rStyle w:val="CharDefText"/>
        </w:rPr>
        <w:t>bicycle</w:t>
      </w:r>
      <w:r>
        <w:t xml:space="preserve"> has the meaning given in the </w:t>
      </w:r>
      <w:r>
        <w:rPr>
          <w:i/>
        </w:rPr>
        <w:t>Road Traffic Code 2000</w:t>
      </w:r>
      <w:r>
        <w:t xml:space="preserve"> regulation 3(1);</w:t>
      </w:r>
    </w:p>
    <w:p w:rsidR="006724FB" w:rsidRDefault="006724FB">
      <w:pPr>
        <w:pStyle w:val="Defstart"/>
      </w:pPr>
      <w:r>
        <w:tab/>
      </w:r>
      <w:r>
        <w:rPr>
          <w:rStyle w:val="CharDefText"/>
        </w:rPr>
        <w:t>bus</w:t>
      </w:r>
      <w:r>
        <w:t xml:space="preserve"> means a motor vehicle built mainly to carry people that seats more than 9 adults (including the driver);</w:t>
      </w:r>
    </w:p>
    <w:p w:rsidR="006724FB" w:rsidRDefault="006724FB">
      <w:pPr>
        <w:pStyle w:val="Defstart"/>
      </w:pPr>
      <w:r>
        <w:lastRenderedPageBreak/>
        <w:tab/>
      </w:r>
      <w:r>
        <w:rPr>
          <w:rStyle w:val="CharDefText"/>
        </w:rPr>
        <w:t>car</w:t>
      </w:r>
      <w:r>
        <w:t xml:space="preserve"> means a motor vehicle built mainly to carry people that —</w:t>
      </w:r>
    </w:p>
    <w:p w:rsidR="006724FB" w:rsidRDefault="006724FB">
      <w:pPr>
        <w:pStyle w:val="Defpara"/>
      </w:pPr>
      <w:r>
        <w:tab/>
        <w:t>(a)</w:t>
      </w:r>
      <w:r>
        <w:tab/>
        <w:t>seats not more than 9 adults (including the driver); and</w:t>
      </w:r>
    </w:p>
    <w:p w:rsidR="006724FB" w:rsidRDefault="006724FB">
      <w:pPr>
        <w:pStyle w:val="Defpara"/>
      </w:pPr>
      <w:r>
        <w:tab/>
        <w:t>(b)</w:t>
      </w:r>
      <w:r>
        <w:tab/>
        <w:t>has a body commonly known as a sedan, station wagon, utility, coupe, convertible or roadster; and</w:t>
      </w:r>
    </w:p>
    <w:p w:rsidR="006724FB" w:rsidRDefault="006724FB">
      <w:pPr>
        <w:pStyle w:val="Defpara"/>
      </w:pPr>
      <w:r>
        <w:tab/>
        <w:t>(c)</w:t>
      </w:r>
      <w:r>
        <w:tab/>
        <w:t>has 4 or more wheels;</w:t>
      </w:r>
    </w:p>
    <w:p w:rsidR="006724FB" w:rsidRDefault="006724FB">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rsidR="006724FB" w:rsidRDefault="006724FB">
      <w:pPr>
        <w:pStyle w:val="Defstart"/>
      </w:pPr>
      <w:r>
        <w:tab/>
      </w:r>
      <w:r>
        <w:rPr>
          <w:rStyle w:val="CharDefText"/>
        </w:rPr>
        <w:t>centre line</w:t>
      </w:r>
      <w:r>
        <w:t xml:space="preserve">, of an axle, means — </w:t>
      </w:r>
    </w:p>
    <w:p w:rsidR="006724FB" w:rsidRDefault="006724FB">
      <w:pPr>
        <w:pStyle w:val="Defpara"/>
      </w:pPr>
      <w:r>
        <w:tab/>
        <w:t>(a)</w:t>
      </w:r>
      <w:r>
        <w:tab/>
        <w:t>for an axle consisting of 1 shaft — a line parallel to the length of the axle and passing through the centre of the axle; or</w:t>
      </w:r>
    </w:p>
    <w:p w:rsidR="006724FB" w:rsidRDefault="006724FB">
      <w:pPr>
        <w:pStyle w:val="Defpara"/>
      </w:pPr>
      <w:r>
        <w:tab/>
        <w:t>(b)</w:t>
      </w:r>
      <w:r>
        <w:tab/>
        <w:t>for an axle consisting of 2 shafts — a line in the vertical plane passing through —</w:t>
      </w:r>
    </w:p>
    <w:p w:rsidR="006724FB" w:rsidRDefault="006724FB">
      <w:pPr>
        <w:pStyle w:val="Defsubpara"/>
      </w:pPr>
      <w:r>
        <w:tab/>
        <w:t>(i)</w:t>
      </w:r>
      <w:r>
        <w:tab/>
        <w:t>the centres of both shafts; and</w:t>
      </w:r>
    </w:p>
    <w:p w:rsidR="006724FB" w:rsidRDefault="006724FB">
      <w:pPr>
        <w:pStyle w:val="Defsubpara"/>
      </w:pPr>
      <w:r>
        <w:tab/>
        <w:t>(ii)</w:t>
      </w:r>
      <w:r>
        <w:tab/>
        <w:t>the centres of the wheels on the shafts;</w:t>
      </w:r>
    </w:p>
    <w:p w:rsidR="006724FB" w:rsidRDefault="006724FB">
      <w:pPr>
        <w:pStyle w:val="Defstart"/>
      </w:pPr>
      <w:r>
        <w:tab/>
      </w:r>
      <w:r>
        <w:rPr>
          <w:rStyle w:val="CharDefText"/>
        </w:rPr>
        <w:t>centre line</w:t>
      </w:r>
      <w:r>
        <w:t xml:space="preserve">, of an axle group, means — </w:t>
      </w:r>
    </w:p>
    <w:p w:rsidR="006724FB" w:rsidRDefault="006724FB">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rsidR="006724FB" w:rsidRDefault="006724FB">
      <w:pPr>
        <w:pStyle w:val="Defpara"/>
      </w:pPr>
      <w:r>
        <w:tab/>
        <w:t>(b)</w:t>
      </w:r>
      <w:r>
        <w:tab/>
        <w:t>in any other case — a line located midway between the centre lines of the outermost axles of the group;</w:t>
      </w:r>
    </w:p>
    <w:p w:rsidR="006724FB" w:rsidRDefault="006724FB">
      <w:pPr>
        <w:pStyle w:val="Defstart"/>
      </w:pPr>
      <w:r>
        <w:tab/>
      </w:r>
      <w:r>
        <w:rPr>
          <w:rStyle w:val="CharDefText"/>
        </w:rPr>
        <w:t>certificate of inspection</w:t>
      </w:r>
      <w:r>
        <w:t xml:space="preserve"> means a certificate of inspection issued under regulation 18;</w:t>
      </w:r>
    </w:p>
    <w:p w:rsidR="006724FB" w:rsidRDefault="006724FB">
      <w:pPr>
        <w:pStyle w:val="Defstart"/>
      </w:pPr>
      <w:r>
        <w:tab/>
      </w:r>
      <w:r>
        <w:rPr>
          <w:rStyle w:val="CharDefText"/>
        </w:rPr>
        <w:t>character</w:t>
      </w:r>
      <w:r>
        <w:t xml:space="preserve"> includes letter and numeral;</w:t>
      </w:r>
    </w:p>
    <w:p w:rsidR="006724FB" w:rsidRDefault="006724FB">
      <w:pPr>
        <w:pStyle w:val="Defstart"/>
      </w:pPr>
      <w:r>
        <w:tab/>
      </w:r>
      <w:r>
        <w:rPr>
          <w:rStyle w:val="CharDefText"/>
        </w:rPr>
        <w:t>combination</w:t>
      </w:r>
      <w:r>
        <w:t xml:space="preserve"> means a group of vehicles consisting of a motor vehicle connected to one or more vehicles;</w:t>
      </w:r>
    </w:p>
    <w:p w:rsidR="006724FB" w:rsidRDefault="006724FB">
      <w:pPr>
        <w:pStyle w:val="Defstart"/>
      </w:pPr>
      <w:r>
        <w:tab/>
      </w:r>
      <w:r>
        <w:rPr>
          <w:rStyle w:val="CharDefText"/>
        </w:rPr>
        <w:t>compliance plate</w:t>
      </w:r>
      <w:r>
        <w:t>, in relation to a vehicle, means a plate that —</w:t>
      </w:r>
    </w:p>
    <w:p w:rsidR="006724FB" w:rsidRDefault="006724FB">
      <w:pPr>
        <w:pStyle w:val="Defpara"/>
      </w:pPr>
      <w:r>
        <w:tab/>
        <w:t>(a)</w:t>
      </w:r>
      <w:r>
        <w:tab/>
        <w:t>is approved by the Australian Motor Vehicle Certification Board; and</w:t>
      </w:r>
    </w:p>
    <w:p w:rsidR="006724FB" w:rsidRDefault="006724FB">
      <w:pPr>
        <w:pStyle w:val="Defpara"/>
      </w:pPr>
      <w:r>
        <w:lastRenderedPageBreak/>
        <w:tab/>
        <w:t>(b)</w:t>
      </w:r>
      <w:r>
        <w:tab/>
        <w:t>relates to the vehicle; and</w:t>
      </w:r>
    </w:p>
    <w:p w:rsidR="006724FB" w:rsidRDefault="006724FB">
      <w:pPr>
        <w:pStyle w:val="Defpara"/>
      </w:pPr>
      <w:r>
        <w:tab/>
        <w:t>(c)</w:t>
      </w:r>
      <w:r>
        <w:tab/>
        <w:t>indicates that the vehicle complies with all ADR applicable to vehicles of that make, model and year of manufacture;</w:t>
      </w:r>
    </w:p>
    <w:p w:rsidR="006724FB" w:rsidRDefault="006724FB">
      <w:pPr>
        <w:pStyle w:val="Defstart"/>
      </w:pPr>
      <w:r>
        <w:tab/>
      </w:r>
      <w:r>
        <w:rPr>
          <w:rStyle w:val="CharDefText"/>
        </w:rPr>
        <w:t>controlled access bus</w:t>
      </w:r>
      <w:r>
        <w:t xml:space="preserve"> means a bus, except an articulated bus, over 12.5 m long;</w:t>
      </w:r>
    </w:p>
    <w:p w:rsidR="006724FB" w:rsidRDefault="006724FB">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rsidR="006724FB" w:rsidRDefault="006724FB">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rsidR="006724FB" w:rsidRDefault="006724FB">
      <w:pPr>
        <w:pStyle w:val="MiscellaneousHeading"/>
        <w:rPr>
          <w:b/>
          <w:bCs/>
        </w:rPr>
      </w:pPr>
      <w:r>
        <w:rPr>
          <w:b/>
          <w:bCs/>
        </w:rPr>
        <w:t>Converter dolly</w:t>
      </w:r>
    </w:p>
    <w:p w:rsidR="006724FB" w:rsidRDefault="006724FB">
      <w:pPr>
        <w:pStyle w:val="Defstart"/>
      </w:pPr>
      <w:r>
        <w:tab/>
      </w:r>
      <w:r>
        <w:rPr>
          <w:rStyle w:val="CharDefText"/>
        </w:rPr>
        <w:t>dangerous goods</w:t>
      </w:r>
      <w:r>
        <w:t xml:space="preserve"> has the meaning given the </w:t>
      </w:r>
      <w:r>
        <w:rPr>
          <w:i/>
        </w:rPr>
        <w:t>Dangerous Goods Safety Act 2004</w:t>
      </w:r>
      <w:r>
        <w:t xml:space="preserve"> section 3(1);</w:t>
      </w:r>
    </w:p>
    <w:p w:rsidR="006724FB" w:rsidRDefault="006724FB">
      <w:pPr>
        <w:pStyle w:val="Defstart"/>
      </w:pPr>
      <w:r>
        <w:tab/>
      </w:r>
      <w:r>
        <w:rPr>
          <w:rStyle w:val="CharDefText"/>
        </w:rPr>
        <w:t>daytime</w:t>
      </w:r>
      <w:r>
        <w:t xml:space="preserve"> means the period from sunrise to sunset;</w:t>
      </w:r>
    </w:p>
    <w:p w:rsidR="006724FB" w:rsidRDefault="006724FB">
      <w:pPr>
        <w:pStyle w:val="Defstart"/>
      </w:pPr>
      <w:r>
        <w:tab/>
      </w:r>
      <w:r>
        <w:rPr>
          <w:rStyle w:val="CharDefText"/>
        </w:rPr>
        <w:t>defect notice</w:t>
      </w:r>
      <w:r>
        <w:t xml:space="preserve"> means a notice mentioned in section 71(1);</w:t>
      </w:r>
    </w:p>
    <w:p w:rsidR="006724FB" w:rsidRDefault="006724FB">
      <w:pPr>
        <w:pStyle w:val="Defstart"/>
      </w:pPr>
      <w:r>
        <w:tab/>
      </w:r>
      <w:r>
        <w:rPr>
          <w:rStyle w:val="CharDefText"/>
        </w:rPr>
        <w:t>diesel engine</w:t>
      </w:r>
      <w:r>
        <w:t xml:space="preserve"> means an engine that works on the compression</w:t>
      </w:r>
      <w:r>
        <w:noBreakHyphen/>
        <w:t>ignition principle;</w:t>
      </w:r>
    </w:p>
    <w:p w:rsidR="006724FB" w:rsidRDefault="006724FB">
      <w:pPr>
        <w:pStyle w:val="Defstart"/>
      </w:pPr>
      <w:r>
        <w:tab/>
      </w:r>
      <w:r>
        <w:rPr>
          <w:rStyle w:val="CharDefText"/>
        </w:rPr>
        <w:t>dog trailer</w:t>
      </w:r>
      <w:r>
        <w:t xml:space="preserve"> means a trailer (including a trailer consisting of a semi</w:t>
      </w:r>
      <w:r>
        <w:noBreakHyphen/>
        <w:t>trailer and converter dolly) with —</w:t>
      </w:r>
    </w:p>
    <w:p w:rsidR="006724FB" w:rsidRDefault="006724FB">
      <w:pPr>
        <w:pStyle w:val="Defpara"/>
      </w:pPr>
      <w:r>
        <w:tab/>
        <w:t>(a)</w:t>
      </w:r>
      <w:r>
        <w:tab/>
        <w:t>one axle group or single axle at the front that is steered by connection to the towing vehicle by a drawbar; and</w:t>
      </w:r>
    </w:p>
    <w:p w:rsidR="006724FB" w:rsidRDefault="006724FB">
      <w:pPr>
        <w:pStyle w:val="Defpara"/>
        <w:keepNext/>
      </w:pPr>
      <w:r>
        <w:tab/>
        <w:t>(b)</w:t>
      </w:r>
      <w:r>
        <w:tab/>
        <w:t>one axle group or single axle at the rear;</w:t>
      </w:r>
    </w:p>
    <w:p w:rsidR="006724FB" w:rsidRDefault="006724FB">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rsidR="006724FB" w:rsidRDefault="006724FB">
      <w:pPr>
        <w:pStyle w:val="MiscellaneousHeading"/>
        <w:keepNext w:val="0"/>
        <w:rPr>
          <w:b/>
          <w:bCs/>
        </w:rPr>
      </w:pPr>
      <w:r>
        <w:rPr>
          <w:b/>
          <w:bCs/>
        </w:rPr>
        <w:t>Dog trailer</w:t>
      </w:r>
    </w:p>
    <w:p w:rsidR="006724FB" w:rsidRDefault="006724FB">
      <w:pPr>
        <w:pStyle w:val="Defstart"/>
      </w:pPr>
      <w:r>
        <w:lastRenderedPageBreak/>
        <w:tab/>
      </w:r>
      <w:r>
        <w:rPr>
          <w:rStyle w:val="CharDefText"/>
        </w:rPr>
        <w:t>drawbar</w:t>
      </w:r>
      <w:r>
        <w:t xml:space="preserve"> means a part of a trailer (except a semi</w:t>
      </w:r>
      <w:r>
        <w:noBreakHyphen/>
        <w:t>trailer) connecting the trailer body to a coupling for towing purposes;</w:t>
      </w:r>
    </w:p>
    <w:p w:rsidR="006724FB" w:rsidRDefault="006724FB">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rsidR="006724FB" w:rsidRDefault="006724FB">
      <w:pPr>
        <w:pStyle w:val="Defstart"/>
      </w:pPr>
      <w:r>
        <w:tab/>
      </w:r>
      <w:r>
        <w:rPr>
          <w:rStyle w:val="CharDefText"/>
        </w:rPr>
        <w:t>escort vehicle</w:t>
      </w:r>
      <w:r>
        <w:t xml:space="preserve"> means a motor vehicle that is being used —</w:t>
      </w:r>
    </w:p>
    <w:p w:rsidR="006724FB" w:rsidRDefault="006724FB">
      <w:pPr>
        <w:pStyle w:val="Defpara"/>
      </w:pPr>
      <w:r>
        <w:tab/>
        <w:t>(a)</w:t>
      </w:r>
      <w:r>
        <w:tab/>
        <w:t xml:space="preserve">to transport a police officer or an authorised person as defined in the </w:t>
      </w:r>
      <w:r>
        <w:rPr>
          <w:i/>
        </w:rPr>
        <w:t>Road Traffic Code 2000</w:t>
      </w:r>
      <w:r>
        <w:t xml:space="preserve"> regulation 3(1); and</w:t>
      </w:r>
    </w:p>
    <w:p w:rsidR="006724FB" w:rsidRDefault="006724FB">
      <w:pPr>
        <w:pStyle w:val="Defpara"/>
      </w:pPr>
      <w:r>
        <w:tab/>
        <w:t>(b)</w:t>
      </w:r>
      <w:r>
        <w:tab/>
        <w:t>to warn other road users of the presence of an oversize vehicle;</w:t>
      </w:r>
    </w:p>
    <w:p w:rsidR="006724FB" w:rsidRDefault="006724FB">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rsidR="006724FB" w:rsidRDefault="006724FB">
      <w:pPr>
        <w:pStyle w:val="Defstart"/>
      </w:pPr>
      <w:r>
        <w:tab/>
      </w:r>
      <w:r>
        <w:rPr>
          <w:rStyle w:val="CharDefText"/>
        </w:rPr>
        <w:t>front fog light</w:t>
      </w:r>
      <w:r>
        <w:t xml:space="preserve"> means a light used to improve the illumination of the road in case of fog, snowfall, heavy rain or a dust storm;</w:t>
      </w:r>
    </w:p>
    <w:p w:rsidR="006724FB" w:rsidRDefault="006724FB">
      <w:pPr>
        <w:pStyle w:val="Defstart"/>
      </w:pPr>
      <w:r>
        <w:tab/>
      </w:r>
      <w:r>
        <w:rPr>
          <w:rStyle w:val="CharDefText"/>
        </w:rPr>
        <w:t>goods vehicle</w:t>
      </w:r>
      <w:r>
        <w:t xml:space="preserve"> means a motor vehicle built or modified to be used primarily to carry goods or materials used in any trade, business or industry;</w:t>
      </w:r>
    </w:p>
    <w:p w:rsidR="006724FB" w:rsidRDefault="006724FB">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rsidR="006724FB" w:rsidRDefault="006724FB">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rsidR="006724FB" w:rsidRDefault="006724FB">
      <w:pPr>
        <w:pStyle w:val="Defstart"/>
      </w:pPr>
      <w:r>
        <w:rPr>
          <w:b/>
        </w:rPr>
        <w:tab/>
      </w:r>
      <w:r>
        <w:rPr>
          <w:rStyle w:val="CharDefText"/>
        </w:rPr>
        <w:t>identifier</w:t>
      </w:r>
      <w:r>
        <w:t xml:space="preserve"> means — </w:t>
      </w:r>
    </w:p>
    <w:p w:rsidR="006724FB" w:rsidRDefault="006724FB">
      <w:pPr>
        <w:pStyle w:val="Defpara"/>
      </w:pPr>
      <w:r>
        <w:tab/>
        <w:t>(a)</w:t>
      </w:r>
      <w:r>
        <w:tab/>
        <w:t xml:space="preserve">in relation to a vehicle manufactured before 1 July 1988 — </w:t>
      </w:r>
    </w:p>
    <w:p w:rsidR="006724FB" w:rsidRDefault="006724FB">
      <w:pPr>
        <w:pStyle w:val="Defsubpara"/>
      </w:pPr>
      <w:r>
        <w:tab/>
        <w:t>(i)</w:t>
      </w:r>
      <w:r>
        <w:tab/>
        <w:t>if the vehicle has an engine identification number or an individual chassis identification number — that number; or</w:t>
      </w:r>
    </w:p>
    <w:p w:rsidR="006724FB" w:rsidRDefault="006724FB">
      <w:pPr>
        <w:pStyle w:val="Defsubpara"/>
      </w:pPr>
      <w:r>
        <w:lastRenderedPageBreak/>
        <w:tab/>
        <w:t>(ii)</w:t>
      </w:r>
      <w:r>
        <w:tab/>
        <w:t>if there is no such number — any number legibly and durably stamped on the vehicle by the vehicle’s manufacturer;</w:t>
      </w:r>
    </w:p>
    <w:p w:rsidR="006724FB" w:rsidRDefault="006724FB">
      <w:pPr>
        <w:pStyle w:val="Defpara"/>
      </w:pPr>
      <w:r>
        <w:tab/>
        <w:t>(b)</w:t>
      </w:r>
      <w:r>
        <w:tab/>
        <w:t xml:space="preserve">in relation to a vehicle manufactured after 30 June 1988 — </w:t>
      </w:r>
    </w:p>
    <w:p w:rsidR="006724FB" w:rsidRDefault="006724FB">
      <w:pPr>
        <w:pStyle w:val="Defsubpara"/>
      </w:pPr>
      <w:r>
        <w:tab/>
        <w:t>(i)</w:t>
      </w:r>
      <w:r>
        <w:tab/>
        <w:t>if the vehicle has a VIN — that number; or</w:t>
      </w:r>
    </w:p>
    <w:p w:rsidR="006724FB" w:rsidRDefault="006724FB">
      <w:pPr>
        <w:pStyle w:val="Defsubpara"/>
      </w:pPr>
      <w:r>
        <w:tab/>
        <w:t>(ii)</w:t>
      </w:r>
      <w:r>
        <w:tab/>
        <w:t>in any other case — any number legibly and durably stamped on the vehicle by the vehicle’s manufacturer to identify the vehicle;</w:t>
      </w:r>
    </w:p>
    <w:p w:rsidR="006724FB" w:rsidRDefault="006724FB">
      <w:pPr>
        <w:pStyle w:val="Defpara"/>
      </w:pPr>
      <w:r>
        <w:tab/>
        <w:t>(c)</w:t>
      </w:r>
      <w:r>
        <w:tab/>
        <w:t>if the CEO has, under a written law, allotted a number to replace a number mentioned in paragraph (a) or (b) — the replacement number;</w:t>
      </w:r>
    </w:p>
    <w:p w:rsidR="006724FB" w:rsidRDefault="006724FB">
      <w:pPr>
        <w:pStyle w:val="Defpara"/>
      </w:pPr>
      <w:r>
        <w:tab/>
        <w:t>(d)</w:t>
      </w:r>
      <w:r>
        <w:tab/>
        <w:t>if a number mentioned in paragraph (a), (b) or (c) has been replaced under a corresponding law — the replacement number;</w:t>
      </w:r>
    </w:p>
    <w:p w:rsidR="006724FB" w:rsidRDefault="006724FB">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rsidR="006724FB" w:rsidRDefault="006724FB">
      <w:pPr>
        <w:pStyle w:val="Defstart"/>
      </w:pPr>
      <w:r>
        <w:tab/>
      </w:r>
      <w:r>
        <w:rPr>
          <w:rStyle w:val="CharDefText"/>
        </w:rPr>
        <w:t>inspection station</w:t>
      </w:r>
      <w:r>
        <w:t xml:space="preserve"> has the meaning given in section 70;</w:t>
      </w:r>
    </w:p>
    <w:p w:rsidR="006724FB" w:rsidRDefault="006724FB">
      <w:pPr>
        <w:pStyle w:val="Defstart"/>
      </w:pPr>
      <w:r>
        <w:tab/>
      </w:r>
      <w:r>
        <w:rPr>
          <w:rStyle w:val="CharDefText"/>
        </w:rPr>
        <w:t>left</w:t>
      </w:r>
      <w:r>
        <w:t>, for a vehicle, means to the left of the centre of the vehicle when viewed by a person in the vehicle who is facing to the front of the vehicle;</w:t>
      </w:r>
    </w:p>
    <w:p w:rsidR="006724FB" w:rsidRDefault="006724FB">
      <w:pPr>
        <w:pStyle w:val="Defstart"/>
      </w:pPr>
      <w:r>
        <w:tab/>
      </w:r>
      <w:r>
        <w:rPr>
          <w:rStyle w:val="CharDefText"/>
        </w:rPr>
        <w:t>licence holder</w:t>
      </w:r>
      <w:r>
        <w:t>, in relation to a vehicle, means a person in whose name the vehicle is licensed;</w:t>
      </w:r>
    </w:p>
    <w:p w:rsidR="006724FB" w:rsidRDefault="006724FB">
      <w:pPr>
        <w:pStyle w:val="Defstart"/>
        <w:keepNext/>
      </w:pPr>
      <w:r>
        <w:tab/>
      </w:r>
      <w:r>
        <w:rPr>
          <w:rStyle w:val="CharDefText"/>
        </w:rPr>
        <w:t>load</w:t>
      </w:r>
      <w:r>
        <w:rPr>
          <w:rStyle w:val="CharDefText"/>
        </w:rPr>
        <w:noBreakHyphen/>
        <w:t>sharing suspension system</w:t>
      </w:r>
      <w:r>
        <w:t xml:space="preserve"> means an axle group suspension system that —</w:t>
      </w:r>
    </w:p>
    <w:p w:rsidR="006724FB" w:rsidRDefault="006724FB">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rsidR="006724FB" w:rsidRDefault="006724FB">
      <w:pPr>
        <w:pStyle w:val="Defpara"/>
      </w:pPr>
      <w:r>
        <w:tab/>
        <w:t>(b)</w:t>
      </w:r>
      <w:r>
        <w:tab/>
        <w:t>has effective damping characteristics on all axles of the group;</w:t>
      </w:r>
    </w:p>
    <w:p w:rsidR="006724FB" w:rsidRDefault="006724FB">
      <w:pPr>
        <w:pStyle w:val="Defstart"/>
      </w:pPr>
      <w:r>
        <w:lastRenderedPageBreak/>
        <w:tab/>
      </w:r>
      <w:r>
        <w:rPr>
          <w:rStyle w:val="CharDefText"/>
        </w:rPr>
        <w:t>loaded mass</w:t>
      </w:r>
      <w:r>
        <w:t>, of a vehicle, means the total mass of the vehicle and its load;</w:t>
      </w:r>
    </w:p>
    <w:p w:rsidR="006724FB" w:rsidRDefault="006724FB">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rsidR="006724FB" w:rsidRDefault="006724FB">
      <w:pPr>
        <w:pStyle w:val="Defpara"/>
      </w:pPr>
      <w:r>
        <w:tab/>
        <w:t>(a)</w:t>
      </w:r>
      <w:r>
        <w:tab/>
        <w:t>not higher than the centre of the headlight or fog light, when measured 8 m in front of the vehicle; and</w:t>
      </w:r>
    </w:p>
    <w:p w:rsidR="006724FB" w:rsidRDefault="006724FB">
      <w:pPr>
        <w:pStyle w:val="Defpara"/>
      </w:pPr>
      <w:r>
        <w:tab/>
        <w:t>(b)</w:t>
      </w:r>
      <w:r>
        <w:tab/>
        <w:t>not more than 1 m higher than the level where the motor vehicle is standing, when measured 25 m in front of the vehicle;</w:t>
      </w:r>
    </w:p>
    <w:p w:rsidR="006724FB" w:rsidRDefault="006724FB">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rsidR="006724FB" w:rsidRDefault="006724FB">
      <w:pPr>
        <w:pStyle w:val="MiscellaneousHeading"/>
        <w:keepLines/>
        <w:widowControl w:val="0"/>
        <w:rPr>
          <w:b/>
          <w:bCs/>
        </w:rPr>
      </w:pPr>
      <w:r>
        <w:rPr>
          <w:b/>
          <w:bCs/>
        </w:rPr>
        <w:t>A headlight in the low</w:t>
      </w:r>
      <w:r>
        <w:rPr>
          <w:b/>
          <w:bCs/>
        </w:rPr>
        <w:noBreakHyphen/>
        <w:t>beam position</w:t>
      </w:r>
    </w:p>
    <w:p w:rsidR="000D230E" w:rsidRDefault="000D230E" w:rsidP="000D230E">
      <w:pPr>
        <w:pStyle w:val="Defstart"/>
      </w:pPr>
      <w:r>
        <w:tab/>
      </w:r>
      <w:r w:rsidRPr="00E0545F">
        <w:rPr>
          <w:rStyle w:val="CharDefText"/>
        </w:rPr>
        <w:t>mass rating for charging</w:t>
      </w:r>
      <w:r w:rsidRPr="00864502">
        <w:rPr>
          <w:rStyle w:val="CharDefText"/>
        </w:rPr>
        <w:t xml:space="preserve"> (</w:t>
      </w:r>
      <w:r w:rsidRPr="00E0545F">
        <w:rPr>
          <w:rStyle w:val="CharDefText"/>
        </w:rPr>
        <w:t>MRC</w:t>
      </w:r>
      <w:r w:rsidRPr="00864502">
        <w:rPr>
          <w:rStyle w:val="CharDefText"/>
        </w:rPr>
        <w:t>)</w:t>
      </w:r>
      <w:r>
        <w:t xml:space="preserve">, for a vehicle, means — </w:t>
      </w:r>
    </w:p>
    <w:p w:rsidR="000D230E" w:rsidRDefault="000D230E" w:rsidP="000D230E">
      <w:pPr>
        <w:pStyle w:val="Defpara"/>
      </w:pPr>
      <w:r>
        <w:tab/>
        <w:t>(a)</w:t>
      </w:r>
      <w:r>
        <w:tab/>
        <w:t>the maximum permissible loaded mass of the vehicle as stated on the RAV for that vehicle; or</w:t>
      </w:r>
    </w:p>
    <w:p w:rsidR="000D230E" w:rsidRDefault="000D230E" w:rsidP="000D230E">
      <w:pPr>
        <w:pStyle w:val="Defpara"/>
      </w:pPr>
      <w:r>
        <w:tab/>
        <w:t>(b)</w:t>
      </w:r>
      <w:r>
        <w:tab/>
        <w:t xml:space="preserve">if the maximum permissible loaded mass of the vehicle is not stated on the RAV — the mass recorded on the compliance plate as — </w:t>
      </w:r>
    </w:p>
    <w:p w:rsidR="000D230E" w:rsidRDefault="000D230E" w:rsidP="000D230E">
      <w:pPr>
        <w:pStyle w:val="Defsubpara"/>
      </w:pPr>
      <w:r>
        <w:tab/>
        <w:t>(i)</w:t>
      </w:r>
      <w:r>
        <w:tab/>
        <w:t>the aggregate trailer mass; or</w:t>
      </w:r>
    </w:p>
    <w:p w:rsidR="000D230E" w:rsidRDefault="000D230E" w:rsidP="000D230E">
      <w:pPr>
        <w:pStyle w:val="Defsubpara"/>
      </w:pPr>
      <w:r>
        <w:tab/>
        <w:t>(ii)</w:t>
      </w:r>
      <w:r>
        <w:tab/>
        <w:t>the gross trailer mass rating; or</w:t>
      </w:r>
    </w:p>
    <w:p w:rsidR="000D230E" w:rsidRDefault="000D230E" w:rsidP="000D230E">
      <w:pPr>
        <w:pStyle w:val="Defsubpara"/>
      </w:pPr>
      <w:r>
        <w:tab/>
        <w:t>(iii)</w:t>
      </w:r>
      <w:r>
        <w:tab/>
        <w:t>the GVM;</w:t>
      </w:r>
    </w:p>
    <w:p w:rsidR="000D230E" w:rsidRDefault="000D230E" w:rsidP="000D230E">
      <w:pPr>
        <w:pStyle w:val="Defpara"/>
      </w:pPr>
      <w:r>
        <w:tab/>
      </w:r>
      <w:r>
        <w:tab/>
        <w:t>or</w:t>
      </w:r>
    </w:p>
    <w:p w:rsidR="000D230E" w:rsidRDefault="000D230E" w:rsidP="000D230E">
      <w:pPr>
        <w:pStyle w:val="Defpara"/>
      </w:pPr>
      <w:r>
        <w:tab/>
        <w:t>(c)</w:t>
      </w:r>
      <w:r>
        <w:tab/>
        <w:t>if the vehicle is not entered on the RAV and does not have a compliance plate — the maximum permissible loaded mass of the vehicle as determined by the CEO;</w:t>
      </w:r>
    </w:p>
    <w:p w:rsidR="006724FB" w:rsidRDefault="006724FB">
      <w:pPr>
        <w:pStyle w:val="Defstart"/>
      </w:pPr>
      <w:r>
        <w:tab/>
      </w:r>
      <w:r>
        <w:rPr>
          <w:rStyle w:val="CharDefText"/>
        </w:rPr>
        <w:t>metropolitan region</w:t>
      </w:r>
      <w:r>
        <w:t xml:space="preserve"> means the region described in the </w:t>
      </w:r>
      <w:r>
        <w:rPr>
          <w:i/>
        </w:rPr>
        <w:t>Planning and Development Act 2005</w:t>
      </w:r>
      <w:r>
        <w:t xml:space="preserve"> Schedule 3;</w:t>
      </w:r>
    </w:p>
    <w:p w:rsidR="006724FB" w:rsidRDefault="006724FB">
      <w:pPr>
        <w:pStyle w:val="Defstart"/>
      </w:pPr>
      <w:r>
        <w:tab/>
      </w:r>
      <w:r>
        <w:rPr>
          <w:rStyle w:val="CharDefText"/>
        </w:rPr>
        <w:t>moped</w:t>
      </w:r>
      <w:r>
        <w:t xml:space="preserve"> means a motor cycle or motor tricycle that —</w:t>
      </w:r>
    </w:p>
    <w:p w:rsidR="006724FB" w:rsidRDefault="006724FB">
      <w:pPr>
        <w:pStyle w:val="Defpara"/>
      </w:pPr>
      <w:r>
        <w:lastRenderedPageBreak/>
        <w:tab/>
        <w:t>(a)</w:t>
      </w:r>
      <w:r>
        <w:tab/>
        <w:t>is designed so as not to be capable of a speed exceeding 50 km/h; and</w:t>
      </w:r>
    </w:p>
    <w:p w:rsidR="006724FB" w:rsidRDefault="006724FB">
      <w:pPr>
        <w:pStyle w:val="Defpara"/>
      </w:pPr>
      <w:r>
        <w:tab/>
        <w:t>(b)</w:t>
      </w:r>
      <w:r>
        <w:tab/>
        <w:t xml:space="preserve">either — </w:t>
      </w:r>
    </w:p>
    <w:p w:rsidR="006724FB" w:rsidRDefault="006724FB">
      <w:pPr>
        <w:pStyle w:val="Defsubpara"/>
      </w:pPr>
      <w:r>
        <w:tab/>
        <w:t>(i)</w:t>
      </w:r>
      <w:r>
        <w:tab/>
        <w:t>has an engine capacity not exceeding 50 cm</w:t>
      </w:r>
      <w:r>
        <w:rPr>
          <w:vertAlign w:val="superscript"/>
        </w:rPr>
        <w:t>3</w:t>
      </w:r>
      <w:r>
        <w:t>; or</w:t>
      </w:r>
    </w:p>
    <w:p w:rsidR="006724FB" w:rsidRDefault="006724FB">
      <w:pPr>
        <w:pStyle w:val="Defsubpara"/>
      </w:pPr>
      <w:r>
        <w:tab/>
        <w:t>(ii)</w:t>
      </w:r>
      <w:r>
        <w:tab/>
        <w:t>is not powered by a piston engine;</w:t>
      </w:r>
    </w:p>
    <w:p w:rsidR="006724FB" w:rsidRDefault="006724FB">
      <w:pPr>
        <w:pStyle w:val="Defstart"/>
      </w:pPr>
      <w:r>
        <w:tab/>
      </w:r>
      <w:r>
        <w:rPr>
          <w:rStyle w:val="CharDefText"/>
        </w:rPr>
        <w:t>motor cycle</w:t>
      </w:r>
      <w:r>
        <w:t xml:space="preserve"> means a motor vehicle, other than a motorised wheelchair or a goods vehicle, that is not equipped with a permanent cab and cab roof and that —</w:t>
      </w:r>
    </w:p>
    <w:p w:rsidR="006724FB" w:rsidRDefault="006724FB">
      <w:pPr>
        <w:pStyle w:val="Defpara"/>
      </w:pPr>
      <w:r>
        <w:tab/>
        <w:t>(a)</w:t>
      </w:r>
      <w:r>
        <w:tab/>
        <w:t>is designed to travel on 2 wheels, or, with a sidecar attached, 3 wheels; or</w:t>
      </w:r>
    </w:p>
    <w:p w:rsidR="006724FB" w:rsidRDefault="006724FB">
      <w:pPr>
        <w:pStyle w:val="Defpara"/>
      </w:pPr>
      <w:r>
        <w:tab/>
        <w:t>(b)</w:t>
      </w:r>
      <w:r>
        <w:tab/>
        <w:t>has 3 wheels arranged so that the axis of rotation of 2 wheels lies on the same straight line and each of those 2 wheels is equidistant from the third;</w:t>
      </w:r>
    </w:p>
    <w:p w:rsidR="006724FB" w:rsidRDefault="006724FB">
      <w:pPr>
        <w:pStyle w:val="Defstart"/>
      </w:pPr>
      <w:r>
        <w:tab/>
      </w:r>
      <w:r>
        <w:rPr>
          <w:rStyle w:val="CharDefText"/>
        </w:rPr>
        <w:t>motor home</w:t>
      </w:r>
      <w:r>
        <w:t xml:space="preserve"> means a motor vehicle built for human habitation;</w:t>
      </w:r>
    </w:p>
    <w:p w:rsidR="006724FB" w:rsidRDefault="006724FB">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rsidR="006724FB" w:rsidRDefault="006724FB">
      <w:pPr>
        <w:pStyle w:val="Defstart"/>
      </w:pPr>
      <w:r>
        <w:tab/>
      </w:r>
      <w:r>
        <w:rPr>
          <w:rStyle w:val="CharDefText"/>
        </w:rPr>
        <w:t>motor vehicle</w:t>
      </w:r>
      <w:r>
        <w:t xml:space="preserve"> means a vehicle to be propelled by a motor that forms part of the vehicle;</w:t>
      </w:r>
    </w:p>
    <w:p w:rsidR="006724FB" w:rsidRDefault="006724FB">
      <w:pPr>
        <w:pStyle w:val="Defstart"/>
      </w:pPr>
      <w:r>
        <w:tab/>
      </w:r>
      <w:r>
        <w:rPr>
          <w:rStyle w:val="CharDefText"/>
        </w:rPr>
        <w:t>motorised wheelchair</w:t>
      </w:r>
      <w:r>
        <w:t xml:space="preserve"> means a chair</w:t>
      </w:r>
      <w:r>
        <w:noBreakHyphen/>
        <w:t>type vehicle that —</w:t>
      </w:r>
    </w:p>
    <w:p w:rsidR="006724FB" w:rsidRDefault="006724FB">
      <w:pPr>
        <w:pStyle w:val="Defpara"/>
      </w:pPr>
      <w:r>
        <w:tab/>
        <w:t>(a)</w:t>
      </w:r>
      <w:r>
        <w:tab/>
        <w:t>is fitted with 3 or more wheels; and</w:t>
      </w:r>
    </w:p>
    <w:p w:rsidR="006724FB" w:rsidRDefault="006724FB">
      <w:pPr>
        <w:pStyle w:val="Defpara"/>
      </w:pPr>
      <w:r>
        <w:tab/>
        <w:t>(b)</w:t>
      </w:r>
      <w:r>
        <w:tab/>
        <w:t>is fitted and designed only for the use of persons with a physical disability;</w:t>
      </w:r>
    </w:p>
    <w:p w:rsidR="006724FB" w:rsidRDefault="006724FB">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rsidR="006724FB" w:rsidRDefault="006724FB">
      <w:pPr>
        <w:pStyle w:val="Defstart"/>
      </w:pPr>
      <w:r>
        <w:tab/>
      </w:r>
      <w:r>
        <w:rPr>
          <w:rStyle w:val="CharDefText"/>
        </w:rPr>
        <w:t>nearer side of the vehicle</w:t>
      </w:r>
      <w:r>
        <w:t>, in relation to a light or reflector fitted to a vehicle, means the side of the vehicle that is closest to where the light or reflector is fitted;</w:t>
      </w:r>
    </w:p>
    <w:p w:rsidR="006724FB" w:rsidRDefault="006724FB">
      <w:pPr>
        <w:pStyle w:val="Defstart"/>
      </w:pPr>
      <w:r>
        <w:tab/>
      </w:r>
      <w:r>
        <w:rPr>
          <w:rStyle w:val="CharDefText"/>
        </w:rPr>
        <w:t>omnibus</w:t>
      </w:r>
      <w:r>
        <w:t xml:space="preserve"> has the meaning given in section 130;</w:t>
      </w:r>
    </w:p>
    <w:p w:rsidR="006724FB" w:rsidRDefault="006724FB">
      <w:pPr>
        <w:pStyle w:val="Defstart"/>
      </w:pPr>
      <w:r>
        <w:lastRenderedPageBreak/>
        <w:tab/>
      </w:r>
      <w:r>
        <w:rPr>
          <w:rStyle w:val="CharDefText"/>
        </w:rPr>
        <w:t>operator</w:t>
      </w:r>
      <w:r>
        <w:t>, in relation to a vehicle, means a person who otherwise controls or directs the operations of the vehicle;</w:t>
      </w:r>
    </w:p>
    <w:p w:rsidR="006724FB" w:rsidRDefault="006724FB">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rsidR="006724FB" w:rsidRDefault="006724FB">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rsidR="006724FB" w:rsidRDefault="006724FB">
      <w:pPr>
        <w:pStyle w:val="Defstart"/>
      </w:pPr>
      <w:r>
        <w:tab/>
      </w:r>
      <w:r>
        <w:rPr>
          <w:rStyle w:val="CharDefText"/>
        </w:rPr>
        <w:t>parking brake</w:t>
      </w:r>
      <w:r>
        <w:t>, of a vehicle, means the brake usually used to keep the vehicle stationary while the vehicle is parked;</w:t>
      </w:r>
    </w:p>
    <w:p w:rsidR="006724FB" w:rsidRDefault="006724FB">
      <w:pPr>
        <w:pStyle w:val="Defstart"/>
      </w:pPr>
      <w:r>
        <w:rPr>
          <w:b/>
        </w:rPr>
        <w:tab/>
      </w:r>
      <w:r>
        <w:rPr>
          <w:rStyle w:val="CharDefText"/>
        </w:rPr>
        <w:t>peak hours</w:t>
      </w:r>
      <w:r>
        <w:t xml:space="preserve"> means 7.30 a.m. to 9.00 a.m. and 4.30 p.m. to 6.00 p.m. on a Monday, Tuesday, Wednesday, Thursday or Friday, other than a public holiday;</w:t>
      </w:r>
    </w:p>
    <w:p w:rsidR="006724FB" w:rsidRDefault="006724FB">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rsidR="006724FB" w:rsidRDefault="006724FB">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rsidR="006724FB" w:rsidRDefault="006724FB">
      <w:pPr>
        <w:pStyle w:val="MiscellaneousHeading"/>
        <w:rPr>
          <w:b/>
          <w:bCs/>
        </w:rPr>
      </w:pPr>
      <w:r>
        <w:rPr>
          <w:b/>
          <w:bCs/>
        </w:rPr>
        <w:t>Pig trailer</w:t>
      </w:r>
    </w:p>
    <w:p w:rsidR="006724FB" w:rsidRDefault="006724FB">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rsidR="006724FB" w:rsidRDefault="006724FB">
      <w:pPr>
        <w:pStyle w:val="Defstart"/>
        <w:keepNext/>
      </w:pPr>
      <w:r>
        <w:tab/>
      </w:r>
      <w:r>
        <w:rPr>
          <w:rStyle w:val="CharDefText"/>
        </w:rPr>
        <w:t>point of articulation</w:t>
      </w:r>
      <w:r>
        <w:t xml:space="preserve"> means —</w:t>
      </w:r>
    </w:p>
    <w:p w:rsidR="006724FB" w:rsidRDefault="006724FB">
      <w:pPr>
        <w:pStyle w:val="Defpara"/>
      </w:pPr>
      <w:r>
        <w:tab/>
        <w:t>(a)</w:t>
      </w:r>
      <w:r>
        <w:tab/>
        <w:t>the axis of a kingpin for a fifth wheel; or</w:t>
      </w:r>
    </w:p>
    <w:p w:rsidR="006724FB" w:rsidRDefault="006724FB">
      <w:pPr>
        <w:pStyle w:val="Defpara"/>
      </w:pPr>
      <w:r>
        <w:tab/>
        <w:t>(b)</w:t>
      </w:r>
      <w:r>
        <w:tab/>
        <w:t>the vertical axis of rotation of a fifth wheel coupling; or</w:t>
      </w:r>
    </w:p>
    <w:p w:rsidR="006724FB" w:rsidRDefault="006724FB">
      <w:pPr>
        <w:pStyle w:val="Defpara"/>
      </w:pPr>
      <w:r>
        <w:tab/>
        <w:t>(c)</w:t>
      </w:r>
      <w:r>
        <w:tab/>
        <w:t>the vertical axis of rotation of a turntable assembly; or</w:t>
      </w:r>
    </w:p>
    <w:p w:rsidR="006724FB" w:rsidRDefault="006724FB">
      <w:pPr>
        <w:pStyle w:val="Defpara"/>
      </w:pPr>
      <w:r>
        <w:lastRenderedPageBreak/>
        <w:tab/>
        <w:t>(d)</w:t>
      </w:r>
      <w:r>
        <w:tab/>
        <w:t>the vertical axis of rotation of the front axle group, or single axle, of a dog trailer; or</w:t>
      </w:r>
    </w:p>
    <w:p w:rsidR="006724FB" w:rsidRDefault="006724FB">
      <w:pPr>
        <w:pStyle w:val="Defpara"/>
      </w:pPr>
      <w:r>
        <w:tab/>
        <w:t>(e)</w:t>
      </w:r>
      <w:r>
        <w:tab/>
        <w:t>the coupling pivot point of a semi</w:t>
      </w:r>
      <w:r>
        <w:noBreakHyphen/>
        <w:t>trailer;</w:t>
      </w:r>
    </w:p>
    <w:p w:rsidR="006724FB" w:rsidRDefault="006724FB">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rsidR="006724FB" w:rsidRDefault="006724FB">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rsidR="006724FB" w:rsidRDefault="006724FB">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rsidR="006724FB" w:rsidRDefault="006724FB">
      <w:pPr>
        <w:pStyle w:val="MiscellaneousHeading"/>
        <w:rPr>
          <w:b/>
          <w:bCs/>
        </w:rPr>
      </w:pPr>
      <w:r>
        <w:rPr>
          <w:b/>
          <w:bCs/>
        </w:rPr>
        <w:t>Point of articulation — fifth wheel on a prime mover</w:t>
      </w:r>
    </w:p>
    <w:p w:rsidR="006724FB" w:rsidRDefault="006724FB">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rsidR="006724FB" w:rsidRDefault="006724FB">
      <w:pPr>
        <w:pStyle w:val="MiscellaneousHeading"/>
        <w:rPr>
          <w:b/>
          <w:bCs/>
        </w:rPr>
      </w:pPr>
      <w:r>
        <w:rPr>
          <w:b/>
          <w:bCs/>
        </w:rPr>
        <w:t>Point of articulation — kingpin for fifth wheel</w:t>
      </w:r>
    </w:p>
    <w:p w:rsidR="006724FB" w:rsidRDefault="006724FB">
      <w:pPr>
        <w:pStyle w:val="Defstart"/>
      </w:pPr>
      <w:r>
        <w:tab/>
      </w:r>
      <w:r>
        <w:rPr>
          <w:rStyle w:val="CharDefText"/>
        </w:rPr>
        <w:t>pole</w:t>
      </w:r>
      <w:r>
        <w:rPr>
          <w:rStyle w:val="CharDefText"/>
        </w:rPr>
        <w:noBreakHyphen/>
        <w:t>type trailer</w:t>
      </w:r>
      <w:r>
        <w:t>, except in Part 11 Division 1 means a trailer that —</w:t>
      </w:r>
    </w:p>
    <w:p w:rsidR="006724FB" w:rsidRDefault="006724FB">
      <w:pPr>
        <w:pStyle w:val="Defpara"/>
      </w:pPr>
      <w:r>
        <w:tab/>
        <w:t>(a)</w:t>
      </w:r>
      <w:r>
        <w:tab/>
        <w:t>is attached to a towing vehicle by a pole, or an attachment fitted to the pole; and</w:t>
      </w:r>
    </w:p>
    <w:p w:rsidR="006724FB" w:rsidRDefault="006724FB">
      <w:pPr>
        <w:pStyle w:val="Defpara"/>
      </w:pPr>
      <w:r>
        <w:tab/>
        <w:t>(b)</w:t>
      </w:r>
      <w:r>
        <w:tab/>
        <w:t xml:space="preserve">is ordinarily used for transporting loads, such as logs, pipes, structural members, or other long objects, that can </w:t>
      </w:r>
      <w:r>
        <w:lastRenderedPageBreak/>
        <w:t>generally support themselves like beams between supports;</w:t>
      </w:r>
    </w:p>
    <w:p w:rsidR="006724FB" w:rsidRDefault="006724FB">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rsidR="006724FB" w:rsidRDefault="006724FB">
      <w:pPr>
        <w:pStyle w:val="MiscellaneousHeading"/>
        <w:rPr>
          <w:b/>
          <w:bCs/>
        </w:rPr>
      </w:pPr>
      <w:r>
        <w:rPr>
          <w:b/>
          <w:bCs/>
        </w:rPr>
        <w:t>Pole</w:t>
      </w:r>
      <w:r>
        <w:rPr>
          <w:b/>
          <w:bCs/>
        </w:rPr>
        <w:noBreakHyphen/>
        <w:t>type trailer</w:t>
      </w:r>
    </w:p>
    <w:p w:rsidR="006724FB" w:rsidRDefault="006724FB">
      <w:pPr>
        <w:pStyle w:val="Defstart"/>
      </w:pPr>
      <w:r>
        <w:tab/>
      </w:r>
      <w:r>
        <w:rPr>
          <w:rStyle w:val="CharDefText"/>
        </w:rPr>
        <w:t>prime mover</w:t>
      </w:r>
      <w:r>
        <w:t xml:space="preserve"> means a motor vehicle built to tow a semi</w:t>
      </w:r>
      <w:r>
        <w:noBreakHyphen/>
        <w:t>trailer;</w:t>
      </w:r>
    </w:p>
    <w:p w:rsidR="000D230E" w:rsidRDefault="000D230E" w:rsidP="000D230E">
      <w:pPr>
        <w:pStyle w:val="Defstart"/>
      </w:pPr>
      <w:r>
        <w:tab/>
      </w:r>
      <w:r>
        <w:rPr>
          <w:rStyle w:val="CharDefText"/>
        </w:rPr>
        <w:t>RAV</w:t>
      </w:r>
      <w:r>
        <w:t xml:space="preserve"> means the Register of Approved Vehicles kept under the </w:t>
      </w:r>
      <w:r w:rsidRPr="001012B2">
        <w:rPr>
          <w:i/>
        </w:rPr>
        <w:t>Road Vehicle Standards Act 2018</w:t>
      </w:r>
      <w:r w:rsidRPr="001012B2">
        <w:t xml:space="preserve"> (</w:t>
      </w:r>
      <w:r>
        <w:t xml:space="preserve">Commonwealth) </w:t>
      </w:r>
      <w:r w:rsidRPr="001012B2">
        <w:t>section</w:t>
      </w:r>
      <w:r>
        <w:t> 14(1);</w:t>
      </w:r>
    </w:p>
    <w:p w:rsidR="006724FB" w:rsidRDefault="006724FB">
      <w:pPr>
        <w:pStyle w:val="Defstart"/>
      </w:pPr>
      <w:r>
        <w:tab/>
      </w:r>
      <w:r>
        <w:rPr>
          <w:rStyle w:val="CharDefText"/>
        </w:rPr>
        <w:t>rear overhang</w:t>
      </w:r>
      <w:r>
        <w:t>, of a vehicle, means the distance between the rear overhang line and the rear of the vehicle;</w:t>
      </w:r>
    </w:p>
    <w:p w:rsidR="006724FB" w:rsidRDefault="006724FB">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rsidR="006724FB" w:rsidRDefault="006724FB">
      <w:pPr>
        <w:pStyle w:val="MiscellaneousHeading"/>
        <w:keepNext w:val="0"/>
        <w:rPr>
          <w:b/>
          <w:bCs/>
        </w:rPr>
      </w:pPr>
      <w:r>
        <w:rPr>
          <w:b/>
          <w:bCs/>
        </w:rPr>
        <w:t>Rear overhang and rear overhang line</w:t>
      </w:r>
    </w:p>
    <w:p w:rsidR="006724FB" w:rsidRDefault="006724FB">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rsidR="006724FB" w:rsidRDefault="006724FB">
      <w:pPr>
        <w:pStyle w:val="MiscellaneousHeading"/>
        <w:keepNext w:val="0"/>
        <w:rPr>
          <w:b/>
          <w:bCs/>
        </w:rPr>
      </w:pPr>
      <w:r>
        <w:rPr>
          <w:b/>
          <w:bCs/>
        </w:rPr>
        <w:t>Rear overhang and rear overhang line —</w:t>
      </w:r>
      <w:r>
        <w:rPr>
          <w:b/>
          <w:bCs/>
        </w:rPr>
        <w:br/>
        <w:t>vehicle with tri</w:t>
      </w:r>
      <w:r>
        <w:rPr>
          <w:b/>
          <w:bCs/>
        </w:rPr>
        <w:noBreakHyphen/>
        <w:t>axle group at rear</w:t>
      </w:r>
    </w:p>
    <w:p w:rsidR="006724FB" w:rsidRDefault="006724FB">
      <w:pPr>
        <w:pStyle w:val="Graphics"/>
        <w:jc w:val="center"/>
      </w:pPr>
      <w:r>
        <w:lastRenderedPageBreak/>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rsidR="006724FB" w:rsidRDefault="006724FB">
      <w:pPr>
        <w:pStyle w:val="MiscellaneousHeading"/>
        <w:keepNext w:val="0"/>
        <w:rPr>
          <w:b/>
          <w:bCs/>
        </w:rPr>
      </w:pPr>
      <w:r>
        <w:rPr>
          <w:b/>
          <w:bCs/>
        </w:rPr>
        <w:t>Rear overhang and rear overhang line — semi</w:t>
      </w:r>
      <w:r>
        <w:rPr>
          <w:b/>
          <w:bCs/>
        </w:rPr>
        <w:noBreakHyphen/>
        <w:t>trailer</w:t>
      </w:r>
    </w:p>
    <w:p w:rsidR="006724FB" w:rsidRDefault="006724FB">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rsidR="006724FB" w:rsidRDefault="006724FB">
      <w:pPr>
        <w:pStyle w:val="Defstart"/>
      </w:pPr>
      <w:r>
        <w:tab/>
      </w:r>
      <w:r>
        <w:rPr>
          <w:rStyle w:val="CharDefText"/>
        </w:rPr>
        <w:t>right</w:t>
      </w:r>
      <w:r>
        <w:t>, for a vehicle, means to the right of the centre of the vehicle when viewed by a person in the vehicle who is facing to the front of the vehicle;</w:t>
      </w:r>
    </w:p>
    <w:p w:rsidR="006724FB" w:rsidRDefault="006724FB">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rsidR="006724FB" w:rsidRDefault="006724FB">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rsidR="006724FB" w:rsidRDefault="006724FB">
      <w:pPr>
        <w:pStyle w:val="MiscellaneousHeading"/>
        <w:rPr>
          <w:b/>
          <w:bCs/>
        </w:rPr>
      </w:pPr>
      <w:r>
        <w:rPr>
          <w:b/>
          <w:bCs/>
        </w:rPr>
        <w:t>Road train</w:t>
      </w:r>
    </w:p>
    <w:p w:rsidR="006724FB" w:rsidRDefault="006724FB">
      <w:pPr>
        <w:pStyle w:val="Defstart"/>
      </w:pPr>
      <w:r>
        <w:rPr>
          <w:b/>
        </w:rPr>
        <w:tab/>
      </w:r>
      <w:r>
        <w:rPr>
          <w:rStyle w:val="CharDefText"/>
        </w:rPr>
        <w:t>seasonal heavy vehicle licence</w:t>
      </w:r>
      <w:r>
        <w:t xml:space="preserve"> means a heavy vehicle licence that is endorsed “seasonal” under regulation 40;</w:t>
      </w:r>
    </w:p>
    <w:p w:rsidR="006724FB" w:rsidRDefault="006724FB">
      <w:pPr>
        <w:pStyle w:val="Defstart"/>
      </w:pPr>
      <w:r>
        <w:tab/>
      </w:r>
      <w:r>
        <w:rPr>
          <w:rStyle w:val="CharDefText"/>
        </w:rPr>
        <w:t>section</w:t>
      </w:r>
      <w:r>
        <w:t xml:space="preserve"> means section of the Act; </w:t>
      </w:r>
    </w:p>
    <w:p w:rsidR="006724FB" w:rsidRDefault="006724FB">
      <w:pPr>
        <w:pStyle w:val="Defstart"/>
      </w:pPr>
      <w:r>
        <w:tab/>
      </w:r>
      <w:r>
        <w:rPr>
          <w:rStyle w:val="CharDefText"/>
        </w:rPr>
        <w:t>semi</w:t>
      </w:r>
      <w:r>
        <w:rPr>
          <w:rStyle w:val="CharDefText"/>
        </w:rPr>
        <w:noBreakHyphen/>
        <w:t>trailer</w:t>
      </w:r>
      <w:r>
        <w:t xml:space="preserve"> means a trailer (including a pole</w:t>
      </w:r>
      <w:r>
        <w:noBreakHyphen/>
        <w:t>type trailer) that has —</w:t>
      </w:r>
    </w:p>
    <w:p w:rsidR="006724FB" w:rsidRDefault="006724FB">
      <w:pPr>
        <w:pStyle w:val="Defpara"/>
      </w:pPr>
      <w:r>
        <w:tab/>
        <w:t>(a)</w:t>
      </w:r>
      <w:r>
        <w:tab/>
        <w:t>one axle group or single axle to the rear; and</w:t>
      </w:r>
    </w:p>
    <w:p w:rsidR="006724FB" w:rsidRDefault="006724FB">
      <w:pPr>
        <w:pStyle w:val="Defpara"/>
      </w:pPr>
      <w:r>
        <w:tab/>
        <w:t>(b)</w:t>
      </w:r>
      <w:r>
        <w:tab/>
        <w:t>a means of attachment to a prime mover that results in some of the load being imposed on the prime mover;</w:t>
      </w:r>
    </w:p>
    <w:p w:rsidR="006724FB" w:rsidRDefault="006724FB">
      <w:pPr>
        <w:pStyle w:val="Defstart"/>
      </w:pPr>
      <w:r>
        <w:tab/>
      </w:r>
      <w:r>
        <w:rPr>
          <w:rStyle w:val="CharDefText"/>
        </w:rPr>
        <w:t>service brake</w:t>
      </w:r>
      <w:r>
        <w:t>, for a vehicle, means the brake normally used to decelerate the vehicle;</w:t>
      </w:r>
    </w:p>
    <w:p w:rsidR="006724FB" w:rsidRDefault="006724FB">
      <w:pPr>
        <w:pStyle w:val="Defstart"/>
      </w:pPr>
      <w:r>
        <w:tab/>
      </w:r>
      <w:r>
        <w:rPr>
          <w:rStyle w:val="CharDefText"/>
        </w:rPr>
        <w:t>set</w:t>
      </w:r>
      <w:r>
        <w:t>, in relation to number plates of any kind, means one or more plates each of which bears the same characters;</w:t>
      </w:r>
    </w:p>
    <w:p w:rsidR="006724FB" w:rsidRDefault="006724FB">
      <w:pPr>
        <w:pStyle w:val="Defstart"/>
      </w:pPr>
      <w:r>
        <w:lastRenderedPageBreak/>
        <w:tab/>
      </w:r>
      <w:r>
        <w:rPr>
          <w:rStyle w:val="CharDefText"/>
        </w:rPr>
        <w:t>side marker light</w:t>
      </w:r>
      <w:r>
        <w:t xml:space="preserve"> means a light fitted to the side of a vehicle indicating the presence and length of the vehicle when viewed on that side;</w:t>
      </w:r>
    </w:p>
    <w:p w:rsidR="006724FB" w:rsidRDefault="006724FB">
      <w:pPr>
        <w:pStyle w:val="Defstart"/>
      </w:pPr>
      <w:r>
        <w:tab/>
      </w:r>
      <w:r>
        <w:rPr>
          <w:rStyle w:val="CharDefText"/>
        </w:rPr>
        <w:t>single axle</w:t>
      </w:r>
      <w:r>
        <w:t xml:space="preserve"> means an axle not forming part of an axle group;</w:t>
      </w:r>
    </w:p>
    <w:p w:rsidR="006724FB" w:rsidRDefault="006724FB">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rsidR="006724FB" w:rsidRDefault="006724FB">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rsidR="006724FB" w:rsidRDefault="006724FB">
      <w:pPr>
        <w:pStyle w:val="Defstart"/>
        <w:keepNext/>
      </w:pPr>
      <w:r>
        <w:tab/>
      </w:r>
      <w:r>
        <w:rPr>
          <w:rStyle w:val="CharDefText"/>
        </w:rPr>
        <w:t>street rod vehicle</w:t>
      </w:r>
      <w:r>
        <w:t xml:space="preserve"> means a vehicle that has been modified for safe road use and that — </w:t>
      </w:r>
    </w:p>
    <w:p w:rsidR="006724FB" w:rsidRDefault="006724FB">
      <w:pPr>
        <w:pStyle w:val="Defpara"/>
      </w:pPr>
      <w:r>
        <w:tab/>
        <w:t>(a)</w:t>
      </w:r>
      <w:r>
        <w:tab/>
        <w:t>has a body and frame that were built before 1949; or</w:t>
      </w:r>
    </w:p>
    <w:p w:rsidR="006724FB" w:rsidRDefault="006724FB">
      <w:pPr>
        <w:pStyle w:val="Defpara"/>
      </w:pPr>
      <w:r>
        <w:tab/>
        <w:t>(b)</w:t>
      </w:r>
      <w:r>
        <w:tab/>
        <w:t>is a replica of a vehicle the body and frame of which were built before 1949;</w:t>
      </w:r>
    </w:p>
    <w:p w:rsidR="006724FB" w:rsidRDefault="006724FB">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rsidR="006724FB" w:rsidRDefault="006724FB">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rsidR="006724FB" w:rsidRDefault="006724FB">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rsidR="006724FB" w:rsidRDefault="006724FB">
      <w:pPr>
        <w:pStyle w:val="Defpara"/>
      </w:pPr>
      <w:r>
        <w:tab/>
        <w:t>(a)</w:t>
      </w:r>
      <w:r>
        <w:tab/>
        <w:t>a prime mover and semi</w:t>
      </w:r>
      <w:r>
        <w:noBreakHyphen/>
        <w:t>trailer; or</w:t>
      </w:r>
    </w:p>
    <w:p w:rsidR="006724FB" w:rsidRDefault="006724FB">
      <w:pPr>
        <w:pStyle w:val="Defpara"/>
      </w:pPr>
      <w:r>
        <w:tab/>
        <w:t>(b)</w:t>
      </w:r>
      <w:r>
        <w:tab/>
        <w:t>the steering axle or axle group of a dog trailer and the body of the trailer; or</w:t>
      </w:r>
    </w:p>
    <w:p w:rsidR="006724FB" w:rsidRDefault="006724FB">
      <w:pPr>
        <w:pStyle w:val="Defpara"/>
      </w:pPr>
      <w:r>
        <w:tab/>
        <w:t>(c)</w:t>
      </w:r>
      <w:r>
        <w:tab/>
        <w:t>a fifth wheel coupling and the vehicle to which it is mounted;</w:t>
      </w:r>
    </w:p>
    <w:p w:rsidR="006724FB" w:rsidRDefault="006724FB">
      <w:pPr>
        <w:pStyle w:val="Defstart"/>
      </w:pPr>
      <w:r>
        <w:lastRenderedPageBreak/>
        <w:tab/>
      </w:r>
      <w:r>
        <w:rPr>
          <w:rStyle w:val="CharDefText"/>
        </w:rPr>
        <w:t>unloaded mass</w:t>
      </w:r>
      <w:r>
        <w:t xml:space="preserve"> has the meaning given in the </w:t>
      </w:r>
      <w:r>
        <w:rPr>
          <w:i/>
        </w:rPr>
        <w:t>Road Traffic (Administration) Act 2008</w:t>
      </w:r>
      <w:r>
        <w:t xml:space="preserve"> section 16(2);</w:t>
      </w:r>
    </w:p>
    <w:p w:rsidR="006724FB" w:rsidRDefault="006724FB">
      <w:pPr>
        <w:pStyle w:val="Defstart"/>
      </w:pPr>
      <w:r>
        <w:tab/>
      </w:r>
      <w:r>
        <w:rPr>
          <w:rStyle w:val="CharDefText"/>
        </w:rPr>
        <w:t>vacuum storage tank</w:t>
      </w:r>
      <w:r>
        <w:t>, of a vehicle, means a tank fitted to the vehicle for storing air at low pressure;</w:t>
      </w:r>
    </w:p>
    <w:p w:rsidR="006724FB" w:rsidRDefault="006724FB">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rsidR="006724FB" w:rsidRDefault="006724FB">
      <w:pPr>
        <w:pStyle w:val="Defstart"/>
      </w:pPr>
      <w:r>
        <w:rPr>
          <w:b/>
        </w:rPr>
        <w:tab/>
      </w:r>
      <w:r>
        <w:rPr>
          <w:rStyle w:val="CharDefText"/>
        </w:rPr>
        <w:t>Written</w:t>
      </w:r>
      <w:r>
        <w:rPr>
          <w:rStyle w:val="CharDefText"/>
        </w:rPr>
        <w:noBreakHyphen/>
        <w:t>Off Vehicle Register (WOVR)</w:t>
      </w:r>
      <w:r>
        <w:t xml:space="preserve"> means the register mentioned in regulation 156;</w:t>
      </w:r>
    </w:p>
    <w:p w:rsidR="006724FB" w:rsidRDefault="006724FB">
      <w:pPr>
        <w:pStyle w:val="Defstart"/>
        <w:keepNext/>
      </w:pPr>
      <w:r>
        <w:tab/>
      </w:r>
      <w:r>
        <w:rPr>
          <w:rStyle w:val="CharDefText"/>
        </w:rPr>
        <w:t>yellow</w:t>
      </w:r>
      <w:r>
        <w:t xml:space="preserve"> includes amber.</w:t>
      </w:r>
    </w:p>
    <w:p w:rsidR="006724FB" w:rsidRDefault="006724FB">
      <w:pPr>
        <w:pStyle w:val="Footnotesection"/>
      </w:pPr>
      <w:r>
        <w:tab/>
        <w:t>[Regulation 3 amended: Gazette 15 Nov 2016 p. 5063; 29 Mar 2019 p. 962</w:t>
      </w:r>
      <w:r>
        <w:noBreakHyphen/>
        <w:t>4; SL 2021/37 r. 4; SL 2021/93 r. 9</w:t>
      </w:r>
      <w:r w:rsidR="000D230E">
        <w:t>; SL 2021/81 r. 4</w:t>
      </w:r>
      <w:r>
        <w:t>.]</w:t>
      </w:r>
    </w:p>
    <w:p w:rsidR="006724FB" w:rsidRDefault="006724FB">
      <w:pPr>
        <w:pStyle w:val="Heading5"/>
      </w:pPr>
      <w:bookmarkStart w:id="10" w:name="_Toc75875530"/>
      <w:r>
        <w:rPr>
          <w:rStyle w:val="CharSectno"/>
        </w:rPr>
        <w:t>4</w:t>
      </w:r>
      <w:r>
        <w:t>.</w:t>
      </w:r>
      <w:r>
        <w:tab/>
        <w:t>Use or driving of a vehicle relates to roads</w:t>
      </w:r>
      <w:bookmarkEnd w:id="10"/>
    </w:p>
    <w:p w:rsidR="006724FB" w:rsidRDefault="006724FB">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rsidR="006724FB" w:rsidRDefault="006724FB">
      <w:pPr>
        <w:pStyle w:val="Heading5"/>
      </w:pPr>
      <w:bookmarkStart w:id="11" w:name="_Toc75875531"/>
      <w:r>
        <w:rPr>
          <w:rStyle w:val="CharSectno"/>
        </w:rPr>
        <w:t>5</w:t>
      </w:r>
      <w:r>
        <w:t>.</w:t>
      </w:r>
      <w:r>
        <w:tab/>
        <w:t>Measuring distances between parallel lines</w:t>
      </w:r>
      <w:bookmarkEnd w:id="11"/>
    </w:p>
    <w:p w:rsidR="006724FB" w:rsidRDefault="006724FB">
      <w:pPr>
        <w:pStyle w:val="Subsection"/>
      </w:pPr>
      <w:r>
        <w:tab/>
      </w:r>
      <w:r>
        <w:tab/>
        <w:t>Unless the contrary intention appears, a reference to a distance between 2 lines that are parallel is a reference to the distance measured at right angles between the lines.</w:t>
      </w:r>
    </w:p>
    <w:p w:rsidR="006724FB" w:rsidRDefault="006724FB">
      <w:pPr>
        <w:pStyle w:val="Heading5"/>
      </w:pPr>
      <w:bookmarkStart w:id="12" w:name="_Toc75875532"/>
      <w:r>
        <w:rPr>
          <w:rStyle w:val="CharSectno"/>
        </w:rPr>
        <w:t>6</w:t>
      </w:r>
      <w:r>
        <w:t>.</w:t>
      </w:r>
      <w:r>
        <w:tab/>
        <w:t>Required equipment to be in working order</w:t>
      </w:r>
      <w:bookmarkEnd w:id="12"/>
    </w:p>
    <w:p w:rsidR="006724FB" w:rsidRDefault="006724FB">
      <w:pPr>
        <w:pStyle w:val="Subsection"/>
      </w:pPr>
      <w:r>
        <w:tab/>
      </w:r>
      <w:r>
        <w:tab/>
        <w:t>If a provision of these regulations requires a vehicle to have any kind of equipment, the provision must be taken to be not complied with if the equipment is not in working order.</w:t>
      </w:r>
    </w:p>
    <w:p w:rsidR="006724FB" w:rsidRDefault="006724FB">
      <w:pPr>
        <w:pStyle w:val="Heading5"/>
      </w:pPr>
      <w:bookmarkStart w:id="13" w:name="_Toc75875533"/>
      <w:r>
        <w:rPr>
          <w:rStyle w:val="CharSectno"/>
        </w:rPr>
        <w:t>7</w:t>
      </w:r>
      <w:r>
        <w:t>.</w:t>
      </w:r>
      <w:r>
        <w:tab/>
        <w:t>Restored vehicles</w:t>
      </w:r>
      <w:bookmarkEnd w:id="13"/>
    </w:p>
    <w:p w:rsidR="006724FB" w:rsidRDefault="006724FB">
      <w:pPr>
        <w:pStyle w:val="Subsection"/>
      </w:pPr>
      <w:r>
        <w:tab/>
      </w:r>
      <w:r>
        <w:tab/>
        <w:t xml:space="preserve">For the purposes of these regulations a vehicle that is being, or has been, restored to its manufacturer’s specifications, so far as it is practicable to meet the specifications, must be taken to have </w:t>
      </w:r>
      <w:r>
        <w:lastRenderedPageBreak/>
        <w:t>been built when it was originally built and not when it was restored.</w:t>
      </w:r>
    </w:p>
    <w:p w:rsidR="006724FB" w:rsidRDefault="006724FB">
      <w:pPr>
        <w:pStyle w:val="Heading5"/>
      </w:pPr>
      <w:bookmarkStart w:id="14" w:name="_Toc75875534"/>
      <w:r>
        <w:rPr>
          <w:rStyle w:val="CharSectno"/>
        </w:rPr>
        <w:t>8</w:t>
      </w:r>
      <w:r>
        <w:t>.</w:t>
      </w:r>
      <w:r>
        <w:tab/>
        <w:t>Diagrams</w:t>
      </w:r>
      <w:bookmarkEnd w:id="14"/>
    </w:p>
    <w:p w:rsidR="006724FB" w:rsidRDefault="006724FB">
      <w:pPr>
        <w:pStyle w:val="Subsection"/>
      </w:pPr>
      <w:r>
        <w:tab/>
        <w:t>(1)</w:t>
      </w:r>
      <w:r>
        <w:tab/>
        <w:t>A diagram in these regulations is part of the regulations.</w:t>
      </w:r>
    </w:p>
    <w:p w:rsidR="006724FB" w:rsidRDefault="006724FB">
      <w:pPr>
        <w:pStyle w:val="Subsection"/>
      </w:pPr>
      <w:r>
        <w:tab/>
        <w:t>(2)</w:t>
      </w:r>
      <w:r>
        <w:tab/>
        <w:t>A diagram of something other than the diagram in regulation 373(3) is an illustrative example of the thing in black and white, but does not represent its dimensions or the dimensions of any part of it.</w:t>
      </w:r>
    </w:p>
    <w:p w:rsidR="006724FB" w:rsidRDefault="006724FB">
      <w:pPr>
        <w:pStyle w:val="Heading5"/>
        <w:rPr>
          <w:b w:val="0"/>
        </w:rPr>
      </w:pPr>
      <w:bookmarkStart w:id="15" w:name="_Toc75875535"/>
      <w:r>
        <w:rPr>
          <w:rStyle w:val="CharSectno"/>
        </w:rPr>
        <w:t>9</w:t>
      </w:r>
      <w:r>
        <w:t>.</w:t>
      </w:r>
      <w:r>
        <w:tab/>
        <w:t>Registered statutory write</w:t>
      </w:r>
      <w:r>
        <w:noBreakHyphen/>
        <w:t>offs</w:t>
      </w:r>
      <w:bookmarkEnd w:id="15"/>
    </w:p>
    <w:p w:rsidR="006724FB" w:rsidRDefault="006724FB">
      <w:pPr>
        <w:pStyle w:val="Subsection"/>
      </w:pPr>
      <w:r>
        <w:tab/>
      </w:r>
      <w:r>
        <w:tab/>
        <w:t>For the purposes of these regulations, a vehicle must be taken not to comply with the standards and requirements set out in Parts 8, 10 and 11 that apply to that kind of vehicle if —</w:t>
      </w:r>
    </w:p>
    <w:p w:rsidR="006724FB" w:rsidRDefault="006724FB">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rsidR="006724FB" w:rsidRDefault="006724FB">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rsidR="006724FB" w:rsidRDefault="006724FB">
      <w:pPr>
        <w:pStyle w:val="Heading5"/>
      </w:pPr>
      <w:bookmarkStart w:id="16" w:name="_Toc75875536"/>
      <w:r>
        <w:rPr>
          <w:rStyle w:val="CharSectno"/>
        </w:rPr>
        <w:t>10</w:t>
      </w:r>
      <w:r>
        <w:t>.</w:t>
      </w:r>
      <w:r>
        <w:tab/>
        <w:t>Freight containers</w:t>
      </w:r>
      <w:bookmarkEnd w:id="16"/>
    </w:p>
    <w:p w:rsidR="006724FB" w:rsidRDefault="006724FB">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rsidR="006724FB" w:rsidRDefault="006724FB">
      <w:pPr>
        <w:pStyle w:val="Heading5"/>
        <w:rPr>
          <w:snapToGrid w:val="0"/>
        </w:rPr>
      </w:pPr>
      <w:bookmarkStart w:id="17" w:name="_Toc75875537"/>
      <w:r>
        <w:rPr>
          <w:rStyle w:val="CharSectno"/>
        </w:rPr>
        <w:t>11</w:t>
      </w:r>
      <w:r>
        <w:t>.</w:t>
      </w:r>
      <w:r>
        <w:tab/>
      </w:r>
      <w:r>
        <w:rPr>
          <w:snapToGrid w:val="0"/>
        </w:rPr>
        <w:t>Subsequent offences</w:t>
      </w:r>
      <w:bookmarkEnd w:id="17"/>
    </w:p>
    <w:p w:rsidR="006724FB" w:rsidRDefault="006724FB">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w:t>
      </w:r>
      <w:r>
        <w:rPr>
          <w:snapToGrid w:val="0"/>
        </w:rPr>
        <w:lastRenderedPageBreak/>
        <w:t xml:space="preserve">person by whom it is committed had previously committed an offence — </w:t>
      </w:r>
    </w:p>
    <w:p w:rsidR="006724FB" w:rsidRDefault="006724FB">
      <w:pPr>
        <w:pStyle w:val="Indenta"/>
      </w:pPr>
      <w:r>
        <w:rPr>
          <w:snapToGrid w:val="0"/>
        </w:rPr>
        <w:tab/>
        <w:t>(a)</w:t>
      </w:r>
      <w:r>
        <w:rPr>
          <w:snapToGrid w:val="0"/>
        </w:rPr>
        <w:tab/>
        <w:t>under a provision of any of those Parts</w:t>
      </w:r>
      <w:r>
        <w:t>; or</w:t>
      </w:r>
    </w:p>
    <w:p w:rsidR="006724FB" w:rsidRDefault="006724FB">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rsidR="006724FB" w:rsidRDefault="006724FB">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rsidR="006724FB" w:rsidRDefault="006724FB">
      <w:pPr>
        <w:pStyle w:val="Indenta"/>
      </w:pPr>
      <w:r>
        <w:rPr>
          <w:snapToGrid w:val="0"/>
        </w:rPr>
        <w:tab/>
        <w:t>(a)</w:t>
      </w:r>
      <w:r>
        <w:rPr>
          <w:snapToGrid w:val="0"/>
        </w:rPr>
        <w:tab/>
        <w:t>under any provision of that Part</w:t>
      </w:r>
      <w:r>
        <w:t>; or</w:t>
      </w:r>
    </w:p>
    <w:p w:rsidR="006724FB" w:rsidRDefault="006724FB">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rsidR="006724FB" w:rsidRDefault="006724FB">
      <w:pPr>
        <w:pStyle w:val="Heading2"/>
      </w:pPr>
      <w:bookmarkStart w:id="18" w:name="_Toc75419615"/>
      <w:bookmarkStart w:id="19" w:name="_Toc75426950"/>
      <w:bookmarkStart w:id="20" w:name="_Toc75872366"/>
      <w:bookmarkStart w:id="21" w:name="_Toc75875538"/>
      <w:r>
        <w:rPr>
          <w:rStyle w:val="CharPartNo"/>
        </w:rPr>
        <w:lastRenderedPageBreak/>
        <w:t>Part 2</w:t>
      </w:r>
      <w:r>
        <w:t> — </w:t>
      </w:r>
      <w:r>
        <w:rPr>
          <w:rStyle w:val="CharPartText"/>
        </w:rPr>
        <w:t>Licensing of vehicles</w:t>
      </w:r>
      <w:bookmarkEnd w:id="18"/>
      <w:bookmarkEnd w:id="19"/>
      <w:bookmarkEnd w:id="20"/>
      <w:bookmarkEnd w:id="21"/>
    </w:p>
    <w:p w:rsidR="006724FB" w:rsidRDefault="006724FB">
      <w:pPr>
        <w:pStyle w:val="Heading3"/>
      </w:pPr>
      <w:bookmarkStart w:id="22" w:name="_Toc75419616"/>
      <w:bookmarkStart w:id="23" w:name="_Toc75426951"/>
      <w:bookmarkStart w:id="24" w:name="_Toc75872367"/>
      <w:bookmarkStart w:id="25" w:name="_Toc75875539"/>
      <w:r>
        <w:rPr>
          <w:rStyle w:val="CharDivNo"/>
        </w:rPr>
        <w:t>Division 1</w:t>
      </w:r>
      <w:r>
        <w:t> — </w:t>
      </w:r>
      <w:r>
        <w:rPr>
          <w:rStyle w:val="CharDivText"/>
        </w:rPr>
        <w:t>Preliminary</w:t>
      </w:r>
      <w:bookmarkEnd w:id="22"/>
      <w:bookmarkEnd w:id="23"/>
      <w:bookmarkEnd w:id="24"/>
      <w:bookmarkEnd w:id="25"/>
    </w:p>
    <w:p w:rsidR="006724FB" w:rsidRDefault="006724FB">
      <w:pPr>
        <w:pStyle w:val="Heading5"/>
      </w:pPr>
      <w:bookmarkStart w:id="26" w:name="_Toc75875540"/>
      <w:r>
        <w:rPr>
          <w:rStyle w:val="CharSectno"/>
        </w:rPr>
        <w:t>12</w:t>
      </w:r>
      <w:r>
        <w:t>.</w:t>
      </w:r>
      <w:r>
        <w:tab/>
        <w:t>Terms used</w:t>
      </w:r>
      <w:bookmarkEnd w:id="26"/>
    </w:p>
    <w:p w:rsidR="006724FB" w:rsidRDefault="006724FB">
      <w:pPr>
        <w:pStyle w:val="Subsection"/>
      </w:pPr>
      <w:r>
        <w:tab/>
      </w:r>
      <w:r>
        <w:tab/>
        <w:t xml:space="preserve">In this Part — </w:t>
      </w:r>
    </w:p>
    <w:p w:rsidR="006724FB" w:rsidRDefault="006724FB">
      <w:pPr>
        <w:pStyle w:val="Defstart"/>
      </w:pPr>
      <w:r>
        <w:rPr>
          <w:b/>
          <w:i/>
        </w:rPr>
        <w:tab/>
      </w:r>
      <w:r>
        <w:rPr>
          <w:rStyle w:val="CharDefText"/>
        </w:rPr>
        <w:t>heavy trailer</w:t>
      </w:r>
      <w:r>
        <w:t xml:space="preserve"> means a trailer, other than a towed special purpose vehicle, with an MRC exceeding 4 500 kg;</w:t>
      </w:r>
    </w:p>
    <w:p w:rsidR="006724FB" w:rsidRDefault="006724FB">
      <w:pPr>
        <w:pStyle w:val="Defstart"/>
      </w:pPr>
      <w:r>
        <w:tab/>
      </w:r>
      <w:r>
        <w:rPr>
          <w:rStyle w:val="CharDefText"/>
        </w:rPr>
        <w:t>heavy vehicle</w:t>
      </w:r>
      <w:r>
        <w:t xml:space="preserve"> means — </w:t>
      </w:r>
    </w:p>
    <w:p w:rsidR="006724FB" w:rsidRDefault="006724FB">
      <w:pPr>
        <w:pStyle w:val="Defpara"/>
      </w:pPr>
      <w:r>
        <w:tab/>
        <w:t>(a)</w:t>
      </w:r>
      <w:r>
        <w:tab/>
        <w:t>a vehicle with an MRC exceeding 4 500 kg that is an agricultural vehicle, a car or bus, a goods vehicle, a motor home, a prime mover or a special purpose vehicle; or</w:t>
      </w:r>
    </w:p>
    <w:p w:rsidR="006724FB" w:rsidRDefault="006724FB">
      <w:pPr>
        <w:pStyle w:val="Defpara"/>
      </w:pPr>
      <w:r>
        <w:tab/>
        <w:t>(b)</w:t>
      </w:r>
      <w:r>
        <w:tab/>
        <w:t>a heavy trailer;</w:t>
      </w:r>
    </w:p>
    <w:p w:rsidR="006724FB" w:rsidRDefault="006724FB">
      <w:pPr>
        <w:pStyle w:val="Defstart"/>
      </w:pPr>
      <w:r>
        <w:tab/>
      </w:r>
      <w:r>
        <w:rPr>
          <w:rStyle w:val="CharDefText"/>
        </w:rPr>
        <w:t>vehicle examiner</w:t>
      </w:r>
      <w:r>
        <w:t xml:space="preserve"> has the meaning given in section 70.</w:t>
      </w:r>
    </w:p>
    <w:p w:rsidR="006724FB" w:rsidRDefault="006724FB">
      <w:pPr>
        <w:pStyle w:val="Heading5"/>
      </w:pPr>
      <w:bookmarkStart w:id="27" w:name="_Toc75875541"/>
      <w:r>
        <w:rPr>
          <w:rStyle w:val="CharSectno"/>
        </w:rPr>
        <w:t>13</w:t>
      </w:r>
      <w:r>
        <w:t>.</w:t>
      </w:r>
      <w:r>
        <w:tab/>
        <w:t>Counting axles</w:t>
      </w:r>
      <w:bookmarkEnd w:id="27"/>
    </w:p>
    <w:p w:rsidR="006724FB" w:rsidRDefault="006724FB">
      <w:pPr>
        <w:pStyle w:val="Subsection"/>
        <w:rPr>
          <w:snapToGrid w:val="0"/>
        </w:rPr>
      </w:pPr>
      <w:r>
        <w:rPr>
          <w:snapToGrid w:val="0"/>
        </w:rPr>
        <w:tab/>
      </w:r>
      <w:r>
        <w:rPr>
          <w:snapToGrid w:val="0"/>
        </w:rPr>
        <w:tab/>
        <w:t xml:space="preserve">For the purposes of this Part — </w:t>
      </w:r>
    </w:p>
    <w:p w:rsidR="006724FB" w:rsidRDefault="006724FB">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rsidR="006724FB" w:rsidRDefault="006724FB">
      <w:pPr>
        <w:pStyle w:val="Indenta"/>
        <w:rPr>
          <w:snapToGrid w:val="0"/>
        </w:rPr>
      </w:pPr>
      <w:r>
        <w:rPr>
          <w:snapToGrid w:val="0"/>
        </w:rPr>
        <w:tab/>
        <w:t>(b)</w:t>
      </w:r>
      <w:r>
        <w:rPr>
          <w:snapToGrid w:val="0"/>
        </w:rPr>
        <w:tab/>
        <w:t>3 axles, if the outside axles are not more than 2 m apart, must be taken to be 2 axles; and</w:t>
      </w:r>
    </w:p>
    <w:p w:rsidR="006724FB" w:rsidRDefault="006724FB">
      <w:pPr>
        <w:pStyle w:val="Indenta"/>
        <w:rPr>
          <w:snapToGrid w:val="0"/>
        </w:rPr>
      </w:pPr>
      <w:r>
        <w:rPr>
          <w:snapToGrid w:val="0"/>
        </w:rPr>
        <w:tab/>
        <w:t>(c)</w:t>
      </w:r>
      <w:r>
        <w:rPr>
          <w:snapToGrid w:val="0"/>
        </w:rPr>
        <w:tab/>
        <w:t>4 axles, if the outside axles are not more than 3.2 m apart, must be taken to be 3 axles.</w:t>
      </w:r>
    </w:p>
    <w:p w:rsidR="006724FB" w:rsidRDefault="006724FB">
      <w:pPr>
        <w:pStyle w:val="Heading5"/>
        <w:keepNext w:val="0"/>
        <w:keepLines w:val="0"/>
      </w:pPr>
      <w:bookmarkStart w:id="28" w:name="_Toc75875542"/>
      <w:r>
        <w:rPr>
          <w:rStyle w:val="CharSectno"/>
        </w:rPr>
        <w:t>14</w:t>
      </w:r>
      <w:r>
        <w:t>.</w:t>
      </w:r>
      <w:r>
        <w:tab/>
        <w:t>Notification and reconsideration of vehicle licensing decisions</w:t>
      </w:r>
      <w:bookmarkEnd w:id="28"/>
    </w:p>
    <w:p w:rsidR="006724FB" w:rsidRDefault="006724FB">
      <w:pPr>
        <w:pStyle w:val="Subsection"/>
      </w:pPr>
      <w:r>
        <w:tab/>
      </w:r>
      <w:r>
        <w:tab/>
        <w:t>Part 15 provides for the notification and reconsideration of certain decisions made under Part 2 of the Act.</w:t>
      </w:r>
    </w:p>
    <w:p w:rsidR="006724FB" w:rsidRDefault="006724FB">
      <w:pPr>
        <w:pStyle w:val="Heading3"/>
      </w:pPr>
      <w:bookmarkStart w:id="29" w:name="_Toc75419620"/>
      <w:bookmarkStart w:id="30" w:name="_Toc75426955"/>
      <w:bookmarkStart w:id="31" w:name="_Toc75872371"/>
      <w:bookmarkStart w:id="32" w:name="_Toc75875543"/>
      <w:r>
        <w:rPr>
          <w:rStyle w:val="CharDivNo"/>
        </w:rPr>
        <w:lastRenderedPageBreak/>
        <w:t>Division 2</w:t>
      </w:r>
      <w:r>
        <w:t> — </w:t>
      </w:r>
      <w:r>
        <w:rPr>
          <w:rStyle w:val="CharDivText"/>
        </w:rPr>
        <w:t>Vehicle licences</w:t>
      </w:r>
      <w:bookmarkEnd w:id="29"/>
      <w:bookmarkEnd w:id="30"/>
      <w:bookmarkEnd w:id="31"/>
      <w:bookmarkEnd w:id="32"/>
    </w:p>
    <w:p w:rsidR="006724FB" w:rsidRDefault="006724FB">
      <w:pPr>
        <w:pStyle w:val="Heading5"/>
      </w:pPr>
      <w:bookmarkStart w:id="33" w:name="_Toc75875544"/>
      <w:r>
        <w:rPr>
          <w:rStyle w:val="CharSectno"/>
        </w:rPr>
        <w:t>15</w:t>
      </w:r>
      <w:r>
        <w:t>.</w:t>
      </w:r>
      <w:r>
        <w:tab/>
        <w:t>Vehicles required to be licensed</w:t>
      </w:r>
      <w:bookmarkEnd w:id="33"/>
    </w:p>
    <w:p w:rsidR="006724FB" w:rsidRDefault="006724FB">
      <w:pPr>
        <w:pStyle w:val="Subsection"/>
        <w:spacing w:before="240"/>
      </w:pPr>
      <w:r>
        <w:tab/>
        <w:t>(1)</w:t>
      </w:r>
      <w:r>
        <w:tab/>
        <w:t>For section 4(1), a vehicle licence is required for a vehicle that is a motor vehicle or a trailer.</w:t>
      </w:r>
    </w:p>
    <w:p w:rsidR="006724FB" w:rsidRDefault="006724FB">
      <w:pPr>
        <w:pStyle w:val="Subsection"/>
      </w:pPr>
      <w:r>
        <w:tab/>
        <w:t>(2)</w:t>
      </w:r>
      <w:r>
        <w:tab/>
        <w:t>However, a vehicle licence is not required for a motor vehicle or trailer that is —</w:t>
      </w:r>
    </w:p>
    <w:p w:rsidR="006724FB" w:rsidRDefault="006724FB">
      <w:pPr>
        <w:pStyle w:val="Indenta"/>
      </w:pPr>
      <w:r>
        <w:tab/>
        <w:t>(a)</w:t>
      </w:r>
      <w:r>
        <w:tab/>
        <w:t>an agricultural implement being towed on a road by another vehicle in respect of which a licence or permit under section 13(1) has been granted and is current; or</w:t>
      </w:r>
    </w:p>
    <w:p w:rsidR="006724FB" w:rsidRDefault="006724FB">
      <w:pPr>
        <w:pStyle w:val="Indenta"/>
      </w:pPr>
      <w:r>
        <w:tab/>
        <w:t>(b)</w:t>
      </w:r>
      <w:r>
        <w:tab/>
        <w:t>an unlicensed vehicle of any type being towed on a road by a tow truck in respect of which a licence or permit under section 13(1) has been granted and is current; or</w:t>
      </w:r>
    </w:p>
    <w:p w:rsidR="006724FB" w:rsidRDefault="006724FB">
      <w:pPr>
        <w:pStyle w:val="Indenta"/>
      </w:pPr>
      <w:r>
        <w:tab/>
        <w:t>(c)</w:t>
      </w:r>
      <w:r>
        <w:tab/>
        <w:t>a motor vehicle that is designed so as not to be capable of a speed exceeding 10 km/h; or</w:t>
      </w:r>
    </w:p>
    <w:p w:rsidR="006724FB" w:rsidRDefault="006724FB">
      <w:pPr>
        <w:pStyle w:val="Indenta"/>
      </w:pPr>
      <w:r>
        <w:tab/>
        <w:t>(d)</w:t>
      </w:r>
      <w:r>
        <w:tab/>
        <w:t xml:space="preserve">a vehicle declared as an electric personal transporter under the </w:t>
      </w:r>
      <w:r>
        <w:rPr>
          <w:i/>
        </w:rPr>
        <w:t>Road Traffic Code 2000</w:t>
      </w:r>
      <w:r>
        <w:t xml:space="preserve"> regulation 230B.</w:t>
      </w:r>
    </w:p>
    <w:p w:rsidR="006724FB" w:rsidRDefault="006724FB">
      <w:pPr>
        <w:pStyle w:val="Footnotesection"/>
      </w:pPr>
      <w:r>
        <w:tab/>
        <w:t>[Regulation 15 amended: Gazette 24 Jun 2016 p. 2343.]</w:t>
      </w:r>
    </w:p>
    <w:p w:rsidR="006724FB" w:rsidRDefault="006724FB">
      <w:pPr>
        <w:pStyle w:val="Heading5"/>
      </w:pPr>
      <w:bookmarkStart w:id="34" w:name="_Toc75875545"/>
      <w:r>
        <w:rPr>
          <w:rStyle w:val="CharSectno"/>
        </w:rPr>
        <w:t>16</w:t>
      </w:r>
      <w:r>
        <w:t>.</w:t>
      </w:r>
      <w:r>
        <w:tab/>
        <w:t>Period within renewal period and after the expiry of vehicle licence in which offence under s. 4(2) not committed</w:t>
      </w:r>
      <w:bookmarkEnd w:id="34"/>
    </w:p>
    <w:p w:rsidR="006724FB" w:rsidRDefault="006724FB">
      <w:pPr>
        <w:pStyle w:val="Subsection"/>
      </w:pPr>
      <w:r>
        <w:tab/>
      </w:r>
      <w:r>
        <w:tab/>
        <w:t>For section 4(3)(b), the period after the expiry of the licence is 15 days.</w:t>
      </w:r>
    </w:p>
    <w:p w:rsidR="006724FB" w:rsidRDefault="006724FB">
      <w:pPr>
        <w:pStyle w:val="Heading5"/>
      </w:pPr>
      <w:bookmarkStart w:id="35" w:name="_Toc75875546"/>
      <w:r>
        <w:rPr>
          <w:rStyle w:val="CharSectno"/>
        </w:rPr>
        <w:t>17</w:t>
      </w:r>
      <w:r>
        <w:t>.</w:t>
      </w:r>
      <w:r>
        <w:tab/>
        <w:t>Prescribed standards and requirements</w:t>
      </w:r>
      <w:bookmarkEnd w:id="35"/>
    </w:p>
    <w:p w:rsidR="006724FB" w:rsidRDefault="006724FB">
      <w:pPr>
        <w:pStyle w:val="Subsection"/>
      </w:pPr>
      <w:r>
        <w:tab/>
      </w:r>
      <w:r>
        <w:tab/>
        <w:t>For sections 5(3)(a), 9(1)(b) and 19 the standards and requirements for a vehicle are the standards and requirements set out in Parts 8, 10 and 11 that apply to that kind of vehicle.</w:t>
      </w:r>
    </w:p>
    <w:p w:rsidR="006724FB" w:rsidRDefault="006724FB">
      <w:pPr>
        <w:pStyle w:val="Heading5"/>
        <w:rPr>
          <w:b w:val="0"/>
        </w:rPr>
      </w:pPr>
      <w:bookmarkStart w:id="36" w:name="_Toc75875547"/>
      <w:r>
        <w:rPr>
          <w:rStyle w:val="CharSectno"/>
        </w:rPr>
        <w:lastRenderedPageBreak/>
        <w:t>18</w:t>
      </w:r>
      <w:r>
        <w:t>.</w:t>
      </w:r>
      <w:r>
        <w:tab/>
        <w:t>Who can issue c</w:t>
      </w:r>
      <w:r>
        <w:rPr>
          <w:snapToGrid w:val="0"/>
        </w:rPr>
        <w:t>ertificates of inspection</w:t>
      </w:r>
      <w:bookmarkEnd w:id="36"/>
    </w:p>
    <w:p w:rsidR="006724FB" w:rsidRDefault="006724FB">
      <w:pPr>
        <w:pStyle w:val="Subsection"/>
        <w:keepNext/>
      </w:pPr>
      <w:r>
        <w:tab/>
      </w:r>
      <w:r>
        <w:tab/>
        <w:t xml:space="preserve">For the purposes of section 19(1) and regulation 24(2) only these persons may examine a vehicle and issue a certificate of inspection — </w:t>
      </w:r>
    </w:p>
    <w:p w:rsidR="006724FB" w:rsidRDefault="006724FB">
      <w:pPr>
        <w:pStyle w:val="Indenta"/>
      </w:pPr>
      <w:r>
        <w:tab/>
        <w:t>(a)</w:t>
      </w:r>
      <w:r>
        <w:tab/>
        <w:t>a vehicle examiner;</w:t>
      </w:r>
    </w:p>
    <w:p w:rsidR="006724FB" w:rsidRDefault="006724FB">
      <w:pPr>
        <w:pStyle w:val="Indenta"/>
      </w:pPr>
      <w:r>
        <w:tab/>
        <w:t>(b)</w:t>
      </w:r>
      <w:r>
        <w:tab/>
        <w:t>a police officer.</w:t>
      </w:r>
    </w:p>
    <w:p w:rsidR="006724FB" w:rsidRDefault="006724FB">
      <w:pPr>
        <w:pStyle w:val="Heading5"/>
        <w:rPr>
          <w:b w:val="0"/>
        </w:rPr>
      </w:pPr>
      <w:bookmarkStart w:id="37" w:name="_Toc75875548"/>
      <w:r>
        <w:rPr>
          <w:rStyle w:val="CharSectno"/>
        </w:rPr>
        <w:t>19</w:t>
      </w:r>
      <w:r>
        <w:t>.</w:t>
      </w:r>
      <w:r>
        <w:tab/>
        <w:t>Certain vehicle examiners to display authorisation at inspection stations</w:t>
      </w:r>
      <w:bookmarkEnd w:id="37"/>
    </w:p>
    <w:p w:rsidR="006724FB" w:rsidRDefault="006724FB">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rsidR="006724FB" w:rsidRDefault="006724FB">
      <w:pPr>
        <w:pStyle w:val="Heading5"/>
      </w:pPr>
      <w:bookmarkStart w:id="38" w:name="_Toc75875549"/>
      <w:r>
        <w:rPr>
          <w:rStyle w:val="CharSectno"/>
        </w:rPr>
        <w:t>20</w:t>
      </w:r>
      <w:r>
        <w:t>.</w:t>
      </w:r>
      <w:r>
        <w:tab/>
        <w:t>Place of vehicle examination</w:t>
      </w:r>
      <w:bookmarkEnd w:id="38"/>
    </w:p>
    <w:p w:rsidR="006724FB" w:rsidRDefault="006724FB">
      <w:pPr>
        <w:pStyle w:val="Subsection"/>
      </w:pPr>
      <w:r>
        <w:tab/>
        <w:t>(1)</w:t>
      </w:r>
      <w:r>
        <w:tab/>
        <w:t xml:space="preserve">In this regulation — </w:t>
      </w:r>
    </w:p>
    <w:p w:rsidR="006724FB" w:rsidRDefault="006724FB">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rsidR="006724FB" w:rsidRDefault="006724FB">
      <w:pPr>
        <w:pStyle w:val="Subsection"/>
      </w:pPr>
      <w:r>
        <w:tab/>
        <w:t>(2)</w:t>
      </w:r>
      <w:r>
        <w:tab/>
        <w:t>The authorisation of a vehicle examiner may specify a class of vehicle the examination of which may be undertaken at a place other than an inspection station.</w:t>
      </w:r>
    </w:p>
    <w:p w:rsidR="006724FB" w:rsidRDefault="006724FB">
      <w:pPr>
        <w:pStyle w:val="Subsection"/>
      </w:pPr>
      <w:r>
        <w:tab/>
        <w:t>(3)</w:t>
      </w:r>
      <w:r>
        <w:tab/>
        <w:t xml:space="preserve">A certificate of inspection in relation to a vehicle examined by a vehicle examiner is of no effect unless — </w:t>
      </w:r>
    </w:p>
    <w:p w:rsidR="006724FB" w:rsidRDefault="006724FB">
      <w:pPr>
        <w:pStyle w:val="Indenta"/>
      </w:pPr>
      <w:r>
        <w:tab/>
        <w:t>(a)</w:t>
      </w:r>
      <w:r>
        <w:tab/>
        <w:t>the examination of the vehicle is undertaken at an inspection station; or</w:t>
      </w:r>
    </w:p>
    <w:p w:rsidR="006724FB" w:rsidRDefault="006724FB">
      <w:pPr>
        <w:pStyle w:val="Indenta"/>
      </w:pPr>
      <w:r>
        <w:tab/>
        <w:t>(b)</w:t>
      </w:r>
      <w:r>
        <w:tab/>
        <w:t>the vehicle is of a class specified under subregulation (2) in the authorisation of the vehicle examiner.</w:t>
      </w:r>
    </w:p>
    <w:p w:rsidR="006724FB" w:rsidRDefault="006724FB">
      <w:pPr>
        <w:pStyle w:val="Heading3"/>
      </w:pPr>
      <w:bookmarkStart w:id="39" w:name="_Toc75419627"/>
      <w:bookmarkStart w:id="40" w:name="_Toc75426962"/>
      <w:bookmarkStart w:id="41" w:name="_Toc75872378"/>
      <w:bookmarkStart w:id="42" w:name="_Toc75875550"/>
      <w:r>
        <w:rPr>
          <w:rStyle w:val="CharDivNo"/>
        </w:rPr>
        <w:lastRenderedPageBreak/>
        <w:t>Division 3</w:t>
      </w:r>
      <w:r>
        <w:t> — </w:t>
      </w:r>
      <w:r>
        <w:rPr>
          <w:rStyle w:val="CharDivText"/>
        </w:rPr>
        <w:t>Grant, renewal, transfer and variation of vehicle licences</w:t>
      </w:r>
      <w:bookmarkEnd w:id="39"/>
      <w:bookmarkEnd w:id="40"/>
      <w:bookmarkEnd w:id="41"/>
      <w:bookmarkEnd w:id="42"/>
    </w:p>
    <w:p w:rsidR="006724FB" w:rsidRDefault="006724FB">
      <w:pPr>
        <w:pStyle w:val="Heading5"/>
        <w:spacing w:before="120"/>
      </w:pPr>
      <w:bookmarkStart w:id="43" w:name="_Toc75875551"/>
      <w:r>
        <w:rPr>
          <w:rStyle w:val="CharSectno"/>
        </w:rPr>
        <w:t>21</w:t>
      </w:r>
      <w:r>
        <w:t>.</w:t>
      </w:r>
      <w:r>
        <w:tab/>
        <w:t>Minimum age for application for grant, transfer of vehicle licence</w:t>
      </w:r>
      <w:bookmarkEnd w:id="43"/>
    </w:p>
    <w:p w:rsidR="006724FB" w:rsidRDefault="006724FB">
      <w:pPr>
        <w:pStyle w:val="Subsection"/>
        <w:keepNext/>
      </w:pPr>
      <w:r>
        <w:tab/>
      </w:r>
      <w:r>
        <w:tab/>
        <w:t xml:space="preserve">The minimum age at which an individual may apply for the grant or transfer of a vehicle licence for — </w:t>
      </w:r>
    </w:p>
    <w:p w:rsidR="006724FB" w:rsidRDefault="006724FB">
      <w:pPr>
        <w:pStyle w:val="Indenta"/>
      </w:pPr>
      <w:r>
        <w:tab/>
        <w:t>(a)</w:t>
      </w:r>
      <w:r>
        <w:tab/>
        <w:t>a vehicle that is not a heavy vehicle is 16 years; or</w:t>
      </w:r>
    </w:p>
    <w:p w:rsidR="006724FB" w:rsidRDefault="006724FB">
      <w:pPr>
        <w:pStyle w:val="Indenta"/>
      </w:pPr>
      <w:r>
        <w:tab/>
        <w:t>(b)</w:t>
      </w:r>
      <w:r>
        <w:tab/>
        <w:t>a heavy vehicle is 18 years.</w:t>
      </w:r>
    </w:p>
    <w:p w:rsidR="006724FB" w:rsidRDefault="006724FB">
      <w:pPr>
        <w:pStyle w:val="Heading5"/>
      </w:pPr>
      <w:bookmarkStart w:id="44" w:name="_Toc75875552"/>
      <w:r>
        <w:rPr>
          <w:rStyle w:val="CharSectno"/>
        </w:rPr>
        <w:t>22</w:t>
      </w:r>
      <w:r>
        <w:t>.</w:t>
      </w:r>
      <w:r>
        <w:tab/>
        <w:t>Proof of age and identity of applicant for grant, transfer of vehicle licence</w:t>
      </w:r>
      <w:bookmarkEnd w:id="44"/>
    </w:p>
    <w:p w:rsidR="006724FB" w:rsidRDefault="006724FB">
      <w:pPr>
        <w:pStyle w:val="Subsection"/>
      </w:pPr>
      <w:r>
        <w:tab/>
      </w:r>
      <w:r>
        <w:tab/>
        <w:t>An application for the grant or transfer of a vehicle licence must be accompanied by proof of the applicant’s age and identity that the CEO requires.</w:t>
      </w:r>
    </w:p>
    <w:p w:rsidR="006724FB" w:rsidRDefault="006724FB">
      <w:pPr>
        <w:pStyle w:val="Heading5"/>
        <w:spacing w:before="180"/>
        <w:rPr>
          <w:snapToGrid w:val="0"/>
        </w:rPr>
      </w:pPr>
      <w:bookmarkStart w:id="45" w:name="_Toc75875553"/>
      <w:r>
        <w:rPr>
          <w:rStyle w:val="CharSectno"/>
        </w:rPr>
        <w:t>23</w:t>
      </w:r>
      <w:r>
        <w:t>.</w:t>
      </w:r>
      <w:r>
        <w:tab/>
      </w:r>
      <w:r>
        <w:rPr>
          <w:snapToGrid w:val="0"/>
        </w:rPr>
        <w:t>Proof of ownership</w:t>
      </w:r>
      <w:bookmarkEnd w:id="45"/>
    </w:p>
    <w:p w:rsidR="006724FB" w:rsidRDefault="006724FB">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rsidR="006724FB" w:rsidRDefault="006724FB">
      <w:pPr>
        <w:pStyle w:val="Subsection"/>
      </w:pPr>
      <w:r>
        <w:tab/>
        <w:t>(2)</w:t>
      </w:r>
      <w:r>
        <w:tab/>
        <w:t>The CEO may refuse to consider an application if the applicant does not comply with a requirement under subregulation (1) within the specified time.</w:t>
      </w:r>
    </w:p>
    <w:p w:rsidR="006724FB" w:rsidRDefault="006724FB">
      <w:pPr>
        <w:pStyle w:val="Heading5"/>
        <w:rPr>
          <w:snapToGrid w:val="0"/>
        </w:rPr>
      </w:pPr>
      <w:bookmarkStart w:id="46" w:name="_Toc75875554"/>
      <w:r>
        <w:rPr>
          <w:rStyle w:val="CharSectno"/>
        </w:rPr>
        <w:t>24</w:t>
      </w:r>
      <w:r>
        <w:t>.</w:t>
      </w:r>
      <w:r>
        <w:tab/>
        <w:t>Examination</w:t>
      </w:r>
      <w:r>
        <w:rPr>
          <w:snapToGrid w:val="0"/>
        </w:rPr>
        <w:t xml:space="preserve"> for licensing purposes</w:t>
      </w:r>
      <w:bookmarkEnd w:id="46"/>
    </w:p>
    <w:p w:rsidR="006724FB" w:rsidRDefault="006724FB">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rsidR="006724FB" w:rsidRDefault="006724FB">
      <w:pPr>
        <w:pStyle w:val="Indenta"/>
        <w:rPr>
          <w:snapToGrid w:val="0"/>
        </w:rPr>
      </w:pPr>
      <w:r>
        <w:rPr>
          <w:snapToGrid w:val="0"/>
        </w:rPr>
        <w:tab/>
        <w:t>(a)</w:t>
      </w:r>
      <w:r>
        <w:rPr>
          <w:snapToGrid w:val="0"/>
        </w:rPr>
        <w:tab/>
        <w:t>examine the vehicle; or</w:t>
      </w:r>
    </w:p>
    <w:p w:rsidR="006724FB" w:rsidRDefault="006724FB">
      <w:pPr>
        <w:pStyle w:val="Indenta"/>
        <w:rPr>
          <w:snapToGrid w:val="0"/>
        </w:rPr>
      </w:pPr>
      <w:r>
        <w:rPr>
          <w:snapToGrid w:val="0"/>
        </w:rPr>
        <w:lastRenderedPageBreak/>
        <w:tab/>
        <w:t>(b)</w:t>
      </w:r>
      <w:r>
        <w:rPr>
          <w:snapToGrid w:val="0"/>
        </w:rPr>
        <w:tab/>
        <w:t>require the applicant to produce to the CEO a certificate of inspection that was issued not more than 3 months before the date of the application.</w:t>
      </w:r>
    </w:p>
    <w:p w:rsidR="006724FB" w:rsidRDefault="006724FB">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rsidR="006724FB" w:rsidRDefault="006724FB">
      <w:pPr>
        <w:pStyle w:val="Indenta"/>
        <w:rPr>
          <w:snapToGrid w:val="0"/>
        </w:rPr>
      </w:pPr>
      <w:r>
        <w:rPr>
          <w:snapToGrid w:val="0"/>
        </w:rPr>
        <w:tab/>
        <w:t>(a)</w:t>
      </w:r>
      <w:r>
        <w:rPr>
          <w:snapToGrid w:val="0"/>
        </w:rPr>
        <w:tab/>
        <w:t>examine the vehicle; or</w:t>
      </w:r>
    </w:p>
    <w:p w:rsidR="006724FB" w:rsidRDefault="006724FB">
      <w:pPr>
        <w:pStyle w:val="Indenta"/>
        <w:rPr>
          <w:snapToGrid w:val="0"/>
        </w:rPr>
      </w:pPr>
      <w:r>
        <w:rPr>
          <w:snapToGrid w:val="0"/>
        </w:rPr>
        <w:tab/>
        <w:t>(b)</w:t>
      </w:r>
      <w:r>
        <w:rPr>
          <w:snapToGrid w:val="0"/>
        </w:rPr>
        <w:tab/>
        <w:t>require the applicant to cause the vehicle to be examined by a vehicle examiner or police officer,</w:t>
      </w:r>
    </w:p>
    <w:p w:rsidR="006724FB" w:rsidRDefault="006724FB">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rsidR="006724FB" w:rsidRDefault="006724FB">
      <w:pPr>
        <w:pStyle w:val="Ednotesection"/>
      </w:pPr>
      <w:r>
        <w:t>[</w:t>
      </w:r>
      <w:r>
        <w:rPr>
          <w:b/>
        </w:rPr>
        <w:t>25.</w:t>
      </w:r>
      <w:r>
        <w:tab/>
        <w:t>Deleted: Gazette 18 Jun 2019 p. 2061.]</w:t>
      </w:r>
    </w:p>
    <w:p w:rsidR="006724FB" w:rsidRDefault="006724FB">
      <w:pPr>
        <w:pStyle w:val="Heading5"/>
        <w:rPr>
          <w:snapToGrid w:val="0"/>
        </w:rPr>
      </w:pPr>
      <w:bookmarkStart w:id="47" w:name="_Toc75875555"/>
      <w:r>
        <w:rPr>
          <w:rStyle w:val="CharSectno"/>
        </w:rPr>
        <w:t>26</w:t>
      </w:r>
      <w:r>
        <w:t>.</w:t>
      </w:r>
      <w:r>
        <w:tab/>
      </w:r>
      <w:r>
        <w:rPr>
          <w:snapToGrid w:val="0"/>
        </w:rPr>
        <w:t>Weighbridge record</w:t>
      </w:r>
      <w:bookmarkEnd w:id="47"/>
    </w:p>
    <w:p w:rsidR="006724FB" w:rsidRDefault="006724FB">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rsidR="006724FB" w:rsidRDefault="006724FB">
      <w:pPr>
        <w:pStyle w:val="Indenta"/>
        <w:rPr>
          <w:snapToGrid w:val="0"/>
        </w:rPr>
      </w:pPr>
      <w:r>
        <w:rPr>
          <w:snapToGrid w:val="0"/>
        </w:rPr>
        <w:tab/>
        <w:t>(a)</w:t>
      </w:r>
      <w:r>
        <w:rPr>
          <w:snapToGrid w:val="0"/>
        </w:rPr>
        <w:tab/>
        <w:t>the unladen mass supported on the vehicle’s front axle including the mass of the axle or any axle group; and</w:t>
      </w:r>
    </w:p>
    <w:p w:rsidR="006724FB" w:rsidRDefault="006724FB">
      <w:pPr>
        <w:pStyle w:val="Indenta"/>
        <w:rPr>
          <w:snapToGrid w:val="0"/>
        </w:rPr>
      </w:pPr>
      <w:r>
        <w:rPr>
          <w:snapToGrid w:val="0"/>
        </w:rPr>
        <w:tab/>
        <w:t>(b)</w:t>
      </w:r>
      <w:r>
        <w:rPr>
          <w:snapToGrid w:val="0"/>
        </w:rPr>
        <w:tab/>
        <w:t>the unladen mass supported on the vehicle’s rear axle or axle group including the mass of the axle or any axle group.</w:t>
      </w:r>
    </w:p>
    <w:p w:rsidR="006724FB" w:rsidRDefault="006724FB">
      <w:pPr>
        <w:pStyle w:val="Heading5"/>
        <w:rPr>
          <w:snapToGrid w:val="0"/>
        </w:rPr>
      </w:pPr>
      <w:bookmarkStart w:id="48" w:name="_Toc75875556"/>
      <w:r>
        <w:rPr>
          <w:rStyle w:val="CharSectno"/>
        </w:rPr>
        <w:t>27</w:t>
      </w:r>
      <w:r>
        <w:t>.</w:t>
      </w:r>
      <w:r>
        <w:tab/>
        <w:t>E</w:t>
      </w:r>
      <w:r>
        <w:rPr>
          <w:snapToGrid w:val="0"/>
        </w:rPr>
        <w:t>ngine and vehicle identification numbers</w:t>
      </w:r>
      <w:bookmarkEnd w:id="48"/>
    </w:p>
    <w:p w:rsidR="006724FB" w:rsidRDefault="006724FB">
      <w:pPr>
        <w:pStyle w:val="Subsection"/>
        <w:keepNext/>
        <w:rPr>
          <w:snapToGrid w:val="0"/>
        </w:rPr>
      </w:pPr>
      <w:r>
        <w:tab/>
        <w:t>(1)</w:t>
      </w:r>
      <w:r>
        <w:tab/>
        <w:t>T</w:t>
      </w:r>
      <w:r>
        <w:rPr>
          <w:snapToGrid w:val="0"/>
        </w:rPr>
        <w:t>he CEO must not grant a licence for a vehicle —</w:t>
      </w:r>
    </w:p>
    <w:p w:rsidR="006724FB" w:rsidRDefault="006724FB">
      <w:pPr>
        <w:pStyle w:val="Indenta"/>
        <w:rPr>
          <w:snapToGrid w:val="0"/>
        </w:rPr>
      </w:pPr>
      <w:r>
        <w:rPr>
          <w:snapToGrid w:val="0"/>
        </w:rPr>
        <w:tab/>
        <w:t>(a)</w:t>
      </w:r>
      <w:r>
        <w:rPr>
          <w:snapToGrid w:val="0"/>
        </w:rPr>
        <w:tab/>
        <w:t>unless the vehicle has an engine identification number and there is compliance with regulation 274; or</w:t>
      </w:r>
    </w:p>
    <w:p w:rsidR="006724FB" w:rsidRDefault="006724FB">
      <w:pPr>
        <w:pStyle w:val="Indenta"/>
        <w:rPr>
          <w:snapToGrid w:val="0"/>
        </w:rPr>
      </w:pPr>
      <w:r>
        <w:rPr>
          <w:snapToGrid w:val="0"/>
        </w:rPr>
        <w:tab/>
        <w:t>(b)</w:t>
      </w:r>
      <w:r>
        <w:rPr>
          <w:snapToGrid w:val="0"/>
        </w:rPr>
        <w:tab/>
        <w:t>if the vehicle’s engine identification number has been, or appears to have been altered, defaced, obliterated or removed.</w:t>
      </w:r>
    </w:p>
    <w:p w:rsidR="006724FB" w:rsidRDefault="006724FB">
      <w:pPr>
        <w:pStyle w:val="Subsection"/>
        <w:rPr>
          <w:snapToGrid w:val="0"/>
        </w:rPr>
      </w:pPr>
      <w:r>
        <w:rPr>
          <w:snapToGrid w:val="0"/>
        </w:rPr>
        <w:lastRenderedPageBreak/>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rsidR="006724FB" w:rsidRDefault="006724FB">
      <w:pPr>
        <w:pStyle w:val="Indenta"/>
        <w:rPr>
          <w:snapToGrid w:val="0"/>
        </w:rPr>
      </w:pPr>
      <w:r>
        <w:rPr>
          <w:snapToGrid w:val="0"/>
        </w:rPr>
        <w:tab/>
        <w:t>(a)</w:t>
      </w:r>
      <w:r>
        <w:rPr>
          <w:snapToGrid w:val="0"/>
        </w:rPr>
        <w:tab/>
        <w:t>unless the vehicle has a VIN and there is compliance with regulation 274; or</w:t>
      </w:r>
    </w:p>
    <w:p w:rsidR="006724FB" w:rsidRDefault="006724FB">
      <w:pPr>
        <w:pStyle w:val="Indenta"/>
        <w:rPr>
          <w:snapToGrid w:val="0"/>
        </w:rPr>
      </w:pPr>
      <w:r>
        <w:rPr>
          <w:snapToGrid w:val="0"/>
        </w:rPr>
        <w:tab/>
        <w:t>(b)</w:t>
      </w:r>
      <w:r>
        <w:rPr>
          <w:snapToGrid w:val="0"/>
        </w:rPr>
        <w:tab/>
        <w:t>if the VIN has been, or appears to have been altered, defaced, obliterated or removed.</w:t>
      </w:r>
    </w:p>
    <w:p w:rsidR="006724FB" w:rsidRDefault="006724FB">
      <w:pPr>
        <w:pStyle w:val="Heading5"/>
        <w:rPr>
          <w:snapToGrid w:val="0"/>
        </w:rPr>
      </w:pPr>
      <w:bookmarkStart w:id="49" w:name="_Toc75875557"/>
      <w:r>
        <w:rPr>
          <w:rStyle w:val="CharSectno"/>
        </w:rPr>
        <w:t>28</w:t>
      </w:r>
      <w:r>
        <w:t>.</w:t>
      </w:r>
      <w:r>
        <w:tab/>
      </w:r>
      <w:r>
        <w:rPr>
          <w:snapToGrid w:val="0"/>
        </w:rPr>
        <w:t>Form of licence</w:t>
      </w:r>
      <w:bookmarkEnd w:id="49"/>
    </w:p>
    <w:p w:rsidR="006724FB" w:rsidRDefault="006724FB">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rsidR="006724FB" w:rsidRDefault="006724FB">
      <w:pPr>
        <w:pStyle w:val="Heading5"/>
        <w:spacing w:before="180"/>
      </w:pPr>
      <w:bookmarkStart w:id="50" w:name="_Toc75875558"/>
      <w:r>
        <w:rPr>
          <w:rStyle w:val="CharSectno"/>
        </w:rPr>
        <w:t>29</w:t>
      </w:r>
      <w:r>
        <w:t>.</w:t>
      </w:r>
      <w:r>
        <w:tab/>
        <w:t>Grant of vehicle licence</w:t>
      </w:r>
      <w:bookmarkEnd w:id="50"/>
    </w:p>
    <w:p w:rsidR="006724FB" w:rsidRDefault="006724FB">
      <w:pPr>
        <w:pStyle w:val="Subsection"/>
      </w:pPr>
      <w:r>
        <w:tab/>
        <w:t>(1)</w:t>
      </w:r>
      <w:r>
        <w:tab/>
        <w:t>Except as provided in section 5 and subregulation (2), if an application is made for the grant of a licence —</w:t>
      </w:r>
    </w:p>
    <w:p w:rsidR="006724FB" w:rsidRDefault="006724FB">
      <w:pPr>
        <w:pStyle w:val="Indenta"/>
      </w:pPr>
      <w:r>
        <w:tab/>
        <w:t>(a)</w:t>
      </w:r>
      <w:r>
        <w:tab/>
        <w:t>for a vehicle not previously licensed under the Act, the CEO must grant a licence for the vehicle to the applicant for a period mentioned in regulation 31; or</w:t>
      </w:r>
    </w:p>
    <w:p w:rsidR="006724FB" w:rsidRDefault="006724FB">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rsidR="006724FB" w:rsidRDefault="006724FB">
      <w:pPr>
        <w:pStyle w:val="Subsection"/>
      </w:pPr>
      <w:r>
        <w:tab/>
        <w:t>(2)</w:t>
      </w:r>
      <w:r>
        <w:tab/>
        <w:t xml:space="preserve">If — </w:t>
      </w:r>
    </w:p>
    <w:p w:rsidR="006724FB" w:rsidRDefault="006724FB">
      <w:pPr>
        <w:pStyle w:val="Indenta"/>
      </w:pPr>
      <w:r>
        <w:tab/>
        <w:t>(a)</w:t>
      </w:r>
      <w:r>
        <w:tab/>
        <w:t>an application is made for the grant of a vehicle licence mentioned in subregulation (1)(b); and</w:t>
      </w:r>
    </w:p>
    <w:p w:rsidR="006724FB" w:rsidRDefault="006724FB">
      <w:pPr>
        <w:pStyle w:val="Indenta"/>
      </w:pPr>
      <w:r>
        <w:tab/>
        <w:t>(b)</w:t>
      </w:r>
      <w:r>
        <w:tab/>
        <w:t>the application is made within the renewal period under regulation 30 in relation to the vehicle licence; and</w:t>
      </w:r>
    </w:p>
    <w:p w:rsidR="006724FB" w:rsidRDefault="006724FB">
      <w:pPr>
        <w:pStyle w:val="Indenta"/>
      </w:pPr>
      <w:r>
        <w:tab/>
        <w:t>(c)</w:t>
      </w:r>
      <w:r>
        <w:tab/>
        <w:t>any number plate issued for the vehicle has not been returned to the CEO,</w:t>
      </w:r>
    </w:p>
    <w:p w:rsidR="006724FB" w:rsidRDefault="006724FB">
      <w:pPr>
        <w:pStyle w:val="Subsection"/>
      </w:pPr>
      <w:r>
        <w:tab/>
      </w:r>
      <w:r>
        <w:tab/>
        <w:t>the CEO may refuse to grant the licence, in which case the application must be taken to be an application for a renewal of the licence last granted or renewed for that vehicle.</w:t>
      </w:r>
    </w:p>
    <w:p w:rsidR="006724FB" w:rsidRDefault="006724FB">
      <w:pPr>
        <w:pStyle w:val="Heading5"/>
        <w:spacing w:before="180"/>
        <w:rPr>
          <w:b w:val="0"/>
        </w:rPr>
      </w:pPr>
      <w:bookmarkStart w:id="51" w:name="_Toc75875559"/>
      <w:r>
        <w:rPr>
          <w:rStyle w:val="CharSectno"/>
        </w:rPr>
        <w:lastRenderedPageBreak/>
        <w:t>30</w:t>
      </w:r>
      <w:r>
        <w:t>.</w:t>
      </w:r>
      <w:r>
        <w:tab/>
        <w:t>Renewal of vehicle licence</w:t>
      </w:r>
      <w:bookmarkEnd w:id="51"/>
      <w:r>
        <w:t xml:space="preserve"> </w:t>
      </w:r>
    </w:p>
    <w:p w:rsidR="006724FB" w:rsidRDefault="006724FB">
      <w:pPr>
        <w:pStyle w:val="Subsection"/>
      </w:pPr>
      <w:r>
        <w:tab/>
        <w:t>(1)</w:t>
      </w:r>
      <w:r>
        <w:tab/>
        <w:t xml:space="preserve">In this regulation — </w:t>
      </w:r>
    </w:p>
    <w:p w:rsidR="006724FB" w:rsidRDefault="006724FB">
      <w:pPr>
        <w:pStyle w:val="Defstart"/>
      </w:pPr>
      <w:r>
        <w:tab/>
      </w:r>
      <w:r>
        <w:rPr>
          <w:rStyle w:val="CharDefText"/>
        </w:rPr>
        <w:t>renewal period</w:t>
      </w:r>
      <w:r>
        <w:t xml:space="preserve">, in relation to a vehicle licence, means the period — </w:t>
      </w:r>
    </w:p>
    <w:p w:rsidR="006724FB" w:rsidRDefault="006724FB">
      <w:pPr>
        <w:pStyle w:val="Defpara"/>
        <w:spacing w:before="60"/>
      </w:pPr>
      <w:r>
        <w:tab/>
        <w:t>(a)</w:t>
      </w:r>
      <w:r>
        <w:tab/>
        <w:t>beginning 3 months before the day on which the licence is to expire; and</w:t>
      </w:r>
    </w:p>
    <w:p w:rsidR="006724FB" w:rsidRDefault="006724FB">
      <w:pPr>
        <w:pStyle w:val="Defpara"/>
        <w:spacing w:before="60"/>
      </w:pPr>
      <w:r>
        <w:tab/>
        <w:t>(b)</w:t>
      </w:r>
      <w:r>
        <w:tab/>
        <w:t>in the case of a licence except a seasonal heavy vehicle licence, ending 3 months after the day on which the licence expired; and</w:t>
      </w:r>
    </w:p>
    <w:p w:rsidR="006724FB" w:rsidRDefault="006724FB">
      <w:pPr>
        <w:pStyle w:val="Defpara"/>
        <w:spacing w:before="60"/>
      </w:pPr>
      <w:r>
        <w:tab/>
        <w:t>(c)</w:t>
      </w:r>
      <w:r>
        <w:tab/>
        <w:t xml:space="preserve">in the case of a seasonal heavy vehicle licence, ending — </w:t>
      </w:r>
    </w:p>
    <w:p w:rsidR="006724FB" w:rsidRDefault="006724FB">
      <w:pPr>
        <w:pStyle w:val="Defsubpara"/>
      </w:pPr>
      <w:r>
        <w:tab/>
        <w:t>(i)</w:t>
      </w:r>
      <w:r>
        <w:tab/>
        <w:t>2 months after the day on which the licence expired; or</w:t>
      </w:r>
    </w:p>
    <w:p w:rsidR="006724FB" w:rsidRDefault="006724FB">
      <w:pPr>
        <w:pStyle w:val="Defsubpara"/>
      </w:pPr>
      <w:r>
        <w:tab/>
        <w:t>(ii)</w:t>
      </w:r>
      <w:r>
        <w:tab/>
        <w:t>11 months after the day on which the licence was granted,</w:t>
      </w:r>
    </w:p>
    <w:p w:rsidR="006724FB" w:rsidRDefault="006724FB">
      <w:pPr>
        <w:pStyle w:val="Defpara"/>
      </w:pPr>
      <w:r>
        <w:tab/>
      </w:r>
      <w:r>
        <w:tab/>
        <w:t>whichever comes first.</w:t>
      </w:r>
    </w:p>
    <w:p w:rsidR="006724FB" w:rsidRDefault="006724FB">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rsidR="006724FB" w:rsidRDefault="006724FB">
      <w:pPr>
        <w:pStyle w:val="Subsection"/>
      </w:pPr>
      <w:r>
        <w:tab/>
        <w:t>(3)</w:t>
      </w:r>
      <w:r>
        <w:tab/>
        <w:t>If an application for the renewal of a vehicle licence is made before the renewal period, the CEO must refuse to renew the licence.</w:t>
      </w:r>
    </w:p>
    <w:p w:rsidR="006724FB" w:rsidRDefault="006724FB">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rsidR="006724FB" w:rsidRDefault="006724FB">
      <w:pPr>
        <w:pStyle w:val="Subsection"/>
      </w:pPr>
      <w:r>
        <w:tab/>
        <w:t>(5)</w:t>
      </w:r>
      <w:r>
        <w:tab/>
        <w:t>For the purposes of section 6(2)(c), a renewal of a vehicle licence within the period beginning 15 days after the day on which the licence expired continues the licence.</w:t>
      </w:r>
    </w:p>
    <w:p w:rsidR="006724FB" w:rsidRDefault="006724FB">
      <w:pPr>
        <w:pStyle w:val="Subsection"/>
        <w:keepLines/>
      </w:pPr>
      <w:r>
        <w:lastRenderedPageBreak/>
        <w:tab/>
        <w:t>(6)</w:t>
      </w:r>
      <w:r>
        <w:tab/>
        <w:t>For the purposes of section 6(2)(d), when a vehicle licence is renewed more than 15 days after the day on which the licence expired, the licence must be taken as having effect from the time the licence is renewed.</w:t>
      </w:r>
    </w:p>
    <w:p w:rsidR="006724FB" w:rsidRDefault="006724FB">
      <w:pPr>
        <w:pStyle w:val="Heading5"/>
        <w:spacing w:before="180"/>
      </w:pPr>
      <w:bookmarkStart w:id="52" w:name="_Toc75875560"/>
      <w:r>
        <w:rPr>
          <w:rStyle w:val="CharSectno"/>
        </w:rPr>
        <w:t>31</w:t>
      </w:r>
      <w:r>
        <w:t>.</w:t>
      </w:r>
      <w:r>
        <w:tab/>
        <w:t>Period of grant or renewal of vehicle licence</w:t>
      </w:r>
      <w:bookmarkEnd w:id="52"/>
    </w:p>
    <w:p w:rsidR="006724FB" w:rsidRDefault="006724FB">
      <w:pPr>
        <w:pStyle w:val="Subsection"/>
      </w:pPr>
      <w:r>
        <w:tab/>
        <w:t>(1)</w:t>
      </w:r>
      <w:r>
        <w:tab/>
        <w:t xml:space="preserve">The period for which a vehicle licence, except a seasonal heavy vehicle licence, must be granted or renewed is a period elected by the applicant for the grant or renewal, being — </w:t>
      </w:r>
    </w:p>
    <w:p w:rsidR="006724FB" w:rsidRDefault="006724FB">
      <w:pPr>
        <w:pStyle w:val="Indenta"/>
      </w:pPr>
      <w:r>
        <w:tab/>
        <w:t>(a)</w:t>
      </w:r>
      <w:r>
        <w:tab/>
        <w:t>a period of one year, 6 months or 3 months; or</w:t>
      </w:r>
    </w:p>
    <w:p w:rsidR="006724FB" w:rsidRDefault="006724FB">
      <w:pPr>
        <w:pStyle w:val="Indenta"/>
      </w:pPr>
      <w:r>
        <w:tab/>
        <w:t>(b)</w:t>
      </w:r>
      <w:r>
        <w:tab/>
        <w:t>if the CEO so approves in a particular case — any period up to one year.</w:t>
      </w:r>
    </w:p>
    <w:p w:rsidR="006724FB" w:rsidRDefault="006724FB">
      <w:pPr>
        <w:pStyle w:val="Subsection"/>
      </w:pPr>
      <w:r>
        <w:tab/>
        <w:t>(2)</w:t>
      </w:r>
      <w:r>
        <w:tab/>
        <w:t>The period for which a seasonal heavy vehicle licence must be granted is a period elected by the applicant for the grant, being —</w:t>
      </w:r>
    </w:p>
    <w:p w:rsidR="006724FB" w:rsidRDefault="006724FB">
      <w:pPr>
        <w:pStyle w:val="Indenta"/>
      </w:pPr>
      <w:r>
        <w:tab/>
        <w:t>(a)</w:t>
      </w:r>
      <w:r>
        <w:tab/>
        <w:t>a period of 6 months, 5 months, 4 months or 3 months; or</w:t>
      </w:r>
    </w:p>
    <w:p w:rsidR="006724FB" w:rsidRDefault="006724FB">
      <w:pPr>
        <w:pStyle w:val="Indenta"/>
      </w:pPr>
      <w:r>
        <w:tab/>
        <w:t>(b)</w:t>
      </w:r>
      <w:r>
        <w:tab/>
        <w:t>if the CEO so approves in a particular case — any period up to one year.</w:t>
      </w:r>
    </w:p>
    <w:p w:rsidR="006724FB" w:rsidRDefault="006724FB">
      <w:pPr>
        <w:pStyle w:val="Subsection"/>
      </w:pPr>
      <w:r>
        <w:tab/>
        <w:t>(3)</w:t>
      </w:r>
      <w:r>
        <w:tab/>
        <w:t>The period for which a seasonal heavy vehicle licence must be renewed is a period elected by the applicant for the renewal, being —</w:t>
      </w:r>
    </w:p>
    <w:p w:rsidR="006724FB" w:rsidRDefault="006724FB">
      <w:pPr>
        <w:pStyle w:val="Indenta"/>
      </w:pPr>
      <w:r>
        <w:tab/>
        <w:t>(a)</w:t>
      </w:r>
      <w:r>
        <w:tab/>
        <w:t>a period of one month; or</w:t>
      </w:r>
    </w:p>
    <w:p w:rsidR="006724FB" w:rsidRDefault="006724FB">
      <w:pPr>
        <w:pStyle w:val="Indenta"/>
      </w:pPr>
      <w:r>
        <w:tab/>
        <w:t>(b)</w:t>
      </w:r>
      <w:r>
        <w:tab/>
        <w:t>if the CEO so approves in a particular case — any period up to one year.</w:t>
      </w:r>
    </w:p>
    <w:p w:rsidR="006724FB" w:rsidRDefault="006724FB">
      <w:pPr>
        <w:pStyle w:val="Subsection"/>
      </w:pPr>
      <w:r>
        <w:tab/>
        <w:t>(4)</w:t>
      </w:r>
      <w:r>
        <w:tab/>
        <w:t>The period for which a licence is granted begins on the day on which the licence is granted.</w:t>
      </w:r>
    </w:p>
    <w:p w:rsidR="006724FB" w:rsidRDefault="006724FB">
      <w:pPr>
        <w:pStyle w:val="Subsection"/>
      </w:pPr>
      <w:r>
        <w:tab/>
        <w:t>(5)</w:t>
      </w:r>
      <w:r>
        <w:tab/>
        <w:t>The period for which a licence is renewed begins on the day after the day on which the licence expires.</w:t>
      </w:r>
    </w:p>
    <w:p w:rsidR="006724FB" w:rsidRDefault="006724FB">
      <w:pPr>
        <w:pStyle w:val="Heading5"/>
        <w:spacing w:before="120"/>
      </w:pPr>
      <w:bookmarkStart w:id="53" w:name="_Toc75875561"/>
      <w:r>
        <w:rPr>
          <w:rStyle w:val="CharSectno"/>
        </w:rPr>
        <w:lastRenderedPageBreak/>
        <w:t>32</w:t>
      </w:r>
      <w:r>
        <w:t>.</w:t>
      </w:r>
      <w:r>
        <w:tab/>
        <w:t>CEO may vary, grant or renew licences so that they expire on the same day</w:t>
      </w:r>
      <w:bookmarkEnd w:id="53"/>
    </w:p>
    <w:p w:rsidR="006724FB" w:rsidRDefault="006724FB">
      <w:pPr>
        <w:pStyle w:val="Subsection"/>
        <w:keepNext/>
      </w:pPr>
      <w:r>
        <w:tab/>
      </w:r>
      <w:r>
        <w:tab/>
        <w:t>Despite regulations 29, 30 and 31, the CEO may, on the application of a licence holder of 3 or more vehicle licences —</w:t>
      </w:r>
    </w:p>
    <w:p w:rsidR="006724FB" w:rsidRDefault="006724FB">
      <w:pPr>
        <w:pStyle w:val="Indenta"/>
      </w:pPr>
      <w:r>
        <w:tab/>
        <w:t>(a)</w:t>
      </w:r>
      <w:r>
        <w:tab/>
        <w:t>vary the licences so that they all expire on the same day, being a day selected by the CEO; and</w:t>
      </w:r>
    </w:p>
    <w:p w:rsidR="006724FB" w:rsidRDefault="006724FB">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rsidR="006724FB" w:rsidRDefault="006724FB">
      <w:pPr>
        <w:pStyle w:val="Heading3"/>
        <w:spacing w:before="120"/>
      </w:pPr>
      <w:bookmarkStart w:id="54" w:name="_Toc75419639"/>
      <w:bookmarkStart w:id="55" w:name="_Toc75426974"/>
      <w:bookmarkStart w:id="56" w:name="_Toc75872390"/>
      <w:bookmarkStart w:id="57" w:name="_Toc75875562"/>
      <w:r>
        <w:rPr>
          <w:rStyle w:val="CharDivNo"/>
        </w:rPr>
        <w:t>Division 4</w:t>
      </w:r>
      <w:r>
        <w:t> — </w:t>
      </w:r>
      <w:r>
        <w:rPr>
          <w:rStyle w:val="CharDivText"/>
        </w:rPr>
        <w:t>Classification of vehicle licences</w:t>
      </w:r>
      <w:bookmarkEnd w:id="54"/>
      <w:bookmarkEnd w:id="55"/>
      <w:bookmarkEnd w:id="56"/>
      <w:bookmarkEnd w:id="57"/>
    </w:p>
    <w:p w:rsidR="006724FB" w:rsidRDefault="006724FB">
      <w:pPr>
        <w:pStyle w:val="Heading5"/>
        <w:spacing w:before="120"/>
        <w:rPr>
          <w:snapToGrid w:val="0"/>
        </w:rPr>
      </w:pPr>
      <w:bookmarkStart w:id="58" w:name="_Toc75875563"/>
      <w:r>
        <w:rPr>
          <w:rStyle w:val="CharSectno"/>
        </w:rPr>
        <w:t>33</w:t>
      </w:r>
      <w:r>
        <w:t>.</w:t>
      </w:r>
      <w:r>
        <w:tab/>
      </w:r>
      <w:r>
        <w:rPr>
          <w:snapToGrid w:val="0"/>
        </w:rPr>
        <w:t>Classes of vehicle licences</w:t>
      </w:r>
      <w:bookmarkEnd w:id="58"/>
    </w:p>
    <w:p w:rsidR="006724FB" w:rsidRDefault="006724FB">
      <w:pPr>
        <w:pStyle w:val="Subsection"/>
        <w:rPr>
          <w:snapToGrid w:val="0"/>
        </w:rPr>
      </w:pPr>
      <w:r>
        <w:rPr>
          <w:snapToGrid w:val="0"/>
        </w:rPr>
        <w:tab/>
      </w:r>
      <w:r>
        <w:rPr>
          <w:snapToGrid w:val="0"/>
        </w:rPr>
        <w:tab/>
        <w:t>For section 17, the classes of vehicle licences are Class A, Class B and Class C.</w:t>
      </w:r>
    </w:p>
    <w:p w:rsidR="006724FB" w:rsidRDefault="006724FB">
      <w:pPr>
        <w:pStyle w:val="Heading5"/>
        <w:rPr>
          <w:snapToGrid w:val="0"/>
        </w:rPr>
      </w:pPr>
      <w:bookmarkStart w:id="59" w:name="_Toc75875564"/>
      <w:r>
        <w:rPr>
          <w:rStyle w:val="CharSectno"/>
        </w:rPr>
        <w:t>34</w:t>
      </w:r>
      <w:r>
        <w:t>.</w:t>
      </w:r>
      <w:r>
        <w:tab/>
        <w:t>Class A vehicle licences</w:t>
      </w:r>
      <w:bookmarkEnd w:id="59"/>
    </w:p>
    <w:p w:rsidR="006724FB" w:rsidRDefault="006724FB">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rsidR="006724FB" w:rsidRDefault="006724FB">
      <w:pPr>
        <w:pStyle w:val="Heading5"/>
        <w:rPr>
          <w:snapToGrid w:val="0"/>
        </w:rPr>
      </w:pPr>
      <w:bookmarkStart w:id="60" w:name="_Toc75875565"/>
      <w:r>
        <w:rPr>
          <w:rStyle w:val="CharSectno"/>
        </w:rPr>
        <w:t>35</w:t>
      </w:r>
      <w:r>
        <w:t>.</w:t>
      </w:r>
      <w:r>
        <w:tab/>
        <w:t>Class B vehicle licences</w:t>
      </w:r>
      <w:bookmarkEnd w:id="60"/>
    </w:p>
    <w:p w:rsidR="006724FB" w:rsidRDefault="006724FB">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rsidR="006724FB" w:rsidRDefault="006724FB">
      <w:pPr>
        <w:pStyle w:val="Indenta"/>
      </w:pPr>
      <w:r>
        <w:tab/>
        <w:t>(a)</w:t>
      </w:r>
      <w:r>
        <w:tab/>
        <w:t>the vehicle complies with Part 8; and</w:t>
      </w:r>
    </w:p>
    <w:p w:rsidR="006724FB" w:rsidRDefault="006724FB">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rsidR="006724FB" w:rsidRDefault="006724FB">
      <w:pPr>
        <w:pStyle w:val="Subsection"/>
        <w:keepNext/>
      </w:pPr>
      <w:r>
        <w:rPr>
          <w:snapToGrid w:val="0"/>
        </w:rPr>
        <w:lastRenderedPageBreak/>
        <w:tab/>
        <w:t>(2)</w:t>
      </w:r>
      <w:r>
        <w:rPr>
          <w:snapToGrid w:val="0"/>
        </w:rPr>
        <w:tab/>
        <w:t xml:space="preserve">The CEO may license a motor vehicle as of Class B if the vehicle — </w:t>
      </w:r>
    </w:p>
    <w:p w:rsidR="006724FB" w:rsidRDefault="006724FB">
      <w:pPr>
        <w:pStyle w:val="Indenta"/>
      </w:pPr>
      <w:r>
        <w:tab/>
        <w:t>(a)</w:t>
      </w:r>
      <w:r>
        <w:tab/>
        <w:t>is an agricultural machine; or</w:t>
      </w:r>
    </w:p>
    <w:p w:rsidR="006724FB" w:rsidRDefault="006724FB">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rsidR="006724FB" w:rsidRDefault="006724FB">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rsidR="006724FB" w:rsidRDefault="006724FB">
      <w:pPr>
        <w:pStyle w:val="Heading5"/>
        <w:rPr>
          <w:snapToGrid w:val="0"/>
        </w:rPr>
      </w:pPr>
      <w:bookmarkStart w:id="61" w:name="_Toc75875566"/>
      <w:r>
        <w:rPr>
          <w:rStyle w:val="CharSectno"/>
        </w:rPr>
        <w:t>36</w:t>
      </w:r>
      <w:r>
        <w:t>.</w:t>
      </w:r>
      <w:r>
        <w:tab/>
        <w:t>Class C vehicle licences</w:t>
      </w:r>
      <w:bookmarkEnd w:id="61"/>
    </w:p>
    <w:p w:rsidR="006724FB" w:rsidRDefault="006724FB">
      <w:pPr>
        <w:pStyle w:val="Subsection"/>
        <w:rPr>
          <w:snapToGrid w:val="0"/>
        </w:rPr>
      </w:pPr>
      <w:r>
        <w:rPr>
          <w:snapToGrid w:val="0"/>
        </w:rPr>
        <w:tab/>
        <w:t>(1)</w:t>
      </w:r>
      <w:r>
        <w:rPr>
          <w:snapToGrid w:val="0"/>
        </w:rPr>
        <w:tab/>
        <w:t>The CEO may license, as of Class C, a vehicle that —</w:t>
      </w:r>
    </w:p>
    <w:p w:rsidR="006724FB" w:rsidRDefault="006724FB">
      <w:pPr>
        <w:pStyle w:val="Indenta"/>
      </w:pPr>
      <w:r>
        <w:tab/>
        <w:t>(a)</w:t>
      </w:r>
      <w:r>
        <w:tab/>
        <w:t>does not comply with Part 8; and</w:t>
      </w:r>
    </w:p>
    <w:p w:rsidR="006724FB" w:rsidRDefault="006724FB">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rsidR="006724FB" w:rsidRDefault="006724FB">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rsidR="006724FB" w:rsidRDefault="006724FB">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rsidR="006724FB" w:rsidRDefault="006724FB">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rsidR="006724FB" w:rsidRDefault="006724FB">
      <w:pPr>
        <w:pStyle w:val="Heading5"/>
      </w:pPr>
      <w:bookmarkStart w:id="62" w:name="_Toc75875567"/>
      <w:r>
        <w:rPr>
          <w:rStyle w:val="CharSectno"/>
        </w:rPr>
        <w:lastRenderedPageBreak/>
        <w:t>37</w:t>
      </w:r>
      <w:r>
        <w:t>.</w:t>
      </w:r>
      <w:r>
        <w:tab/>
        <w:t>Vehicle use to be in accordance with licence conditions</w:t>
      </w:r>
      <w:bookmarkEnd w:id="62"/>
    </w:p>
    <w:p w:rsidR="006724FB" w:rsidRDefault="006724FB">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rsidR="006724FB" w:rsidRDefault="006724FB">
      <w:pPr>
        <w:pStyle w:val="Penstart"/>
      </w:pPr>
      <w:r>
        <w:tab/>
        <w:t xml:space="preserve">Penalty: </w:t>
      </w:r>
    </w:p>
    <w:p w:rsidR="006724FB" w:rsidRDefault="006724FB">
      <w:pPr>
        <w:pStyle w:val="Penpara"/>
      </w:pPr>
      <w:r>
        <w:tab/>
        <w:t>(a)</w:t>
      </w:r>
      <w:r>
        <w:tab/>
        <w:t>for a first offence, a fine of 4 PU;</w:t>
      </w:r>
    </w:p>
    <w:p w:rsidR="006724FB" w:rsidRDefault="006724FB">
      <w:pPr>
        <w:pStyle w:val="Penpara"/>
      </w:pPr>
      <w:r>
        <w:tab/>
        <w:t>(b)</w:t>
      </w:r>
      <w:r>
        <w:tab/>
        <w:t>for a subsequent offence, a fine of 8 PU.</w:t>
      </w:r>
    </w:p>
    <w:p w:rsidR="006724FB" w:rsidRDefault="006724FB">
      <w:pPr>
        <w:pStyle w:val="Penstart"/>
        <w:rPr>
          <w:rStyle w:val="DraftersNotes"/>
        </w:rPr>
      </w:pPr>
      <w:r>
        <w:tab/>
        <w:t>Modified penalty: 1 PU.</w:t>
      </w:r>
    </w:p>
    <w:p w:rsidR="006724FB" w:rsidRDefault="006724FB">
      <w:pPr>
        <w:pStyle w:val="Heading5"/>
        <w:spacing w:before="180"/>
      </w:pPr>
      <w:bookmarkStart w:id="63" w:name="_Toc75875568"/>
      <w:r>
        <w:rPr>
          <w:rStyle w:val="CharSectno"/>
        </w:rPr>
        <w:t>38</w:t>
      </w:r>
      <w:r>
        <w:t>.</w:t>
      </w:r>
      <w:r>
        <w:tab/>
      </w:r>
      <w:r>
        <w:rPr>
          <w:snapToGrid w:val="0"/>
        </w:rPr>
        <w:t>Classes of licences for heavy vehicles</w:t>
      </w:r>
      <w:bookmarkEnd w:id="63"/>
    </w:p>
    <w:p w:rsidR="006724FB" w:rsidRDefault="006724FB">
      <w:pPr>
        <w:pStyle w:val="Subsection"/>
      </w:pPr>
      <w:r>
        <w:tab/>
        <w:t>(1)</w:t>
      </w:r>
      <w:r>
        <w:tab/>
        <w:t xml:space="preserve">In this regulation — </w:t>
      </w:r>
    </w:p>
    <w:p w:rsidR="006724FB" w:rsidRDefault="006724FB">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rsidR="006724FB" w:rsidRDefault="006724FB">
      <w:pPr>
        <w:pStyle w:val="Defstart"/>
      </w:pPr>
      <w:r>
        <w:tab/>
      </w:r>
      <w:r>
        <w:rPr>
          <w:rStyle w:val="CharDefText"/>
        </w:rPr>
        <w:t>Table</w:t>
      </w:r>
      <w:r>
        <w:t xml:space="preserve"> means the Table to subregulation (4);</w:t>
      </w:r>
    </w:p>
    <w:p w:rsidR="006724FB" w:rsidRDefault="006724FB">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rsidR="006724FB" w:rsidRDefault="006724FB">
      <w:pPr>
        <w:pStyle w:val="Subsection"/>
      </w:pPr>
      <w:r>
        <w:tab/>
        <w:t>(2)</w:t>
      </w:r>
      <w:r>
        <w:tab/>
        <w:t xml:space="preserve">For the purposes of this regulation — </w:t>
      </w:r>
    </w:p>
    <w:p w:rsidR="006724FB" w:rsidRDefault="006724FB">
      <w:pPr>
        <w:pStyle w:val="Indenta"/>
      </w:pPr>
      <w:r>
        <w:tab/>
        <w:t>(a)</w:t>
      </w:r>
      <w:r>
        <w:tab/>
      </w:r>
      <w:r>
        <w:rPr>
          <w:snapToGrid w:val="0"/>
        </w:rPr>
        <w:t>a converter dolly and a semi</w:t>
      </w:r>
      <w:r>
        <w:rPr>
          <w:snapToGrid w:val="0"/>
        </w:rPr>
        <w:noBreakHyphen/>
        <w:t>trailer when used together are to be regarded as one trailer; and</w:t>
      </w:r>
    </w:p>
    <w:p w:rsidR="006724FB" w:rsidRDefault="006724FB">
      <w:pPr>
        <w:pStyle w:val="Indenta"/>
      </w:pPr>
      <w:r>
        <w:tab/>
        <w:t>(b)</w:t>
      </w:r>
      <w:r>
        <w:tab/>
        <w:t>a vehicle exceeds the maximum permissible axle loading if, and only if, the mass supported on any axle or axle group of the vehicle exceeds the applicable mass requirement.</w:t>
      </w:r>
    </w:p>
    <w:p w:rsidR="006724FB" w:rsidRDefault="006724FB">
      <w:pPr>
        <w:pStyle w:val="Subsection"/>
        <w:rPr>
          <w:snapToGrid w:val="0"/>
        </w:rPr>
      </w:pPr>
      <w:r>
        <w:rPr>
          <w:snapToGrid w:val="0"/>
        </w:rPr>
        <w:tab/>
        <w:t>(3)</w:t>
      </w:r>
      <w:r>
        <w:rPr>
          <w:snapToGrid w:val="0"/>
        </w:rPr>
        <w:tab/>
        <w:t>For section 17, and without limiting regulation 33, the classes of licences for heavy vehicles are set out in the Table.</w:t>
      </w:r>
    </w:p>
    <w:p w:rsidR="006724FB" w:rsidRDefault="006724FB">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rsidR="006724FB" w:rsidRDefault="006724FB">
      <w:pPr>
        <w:pStyle w:val="Indenta"/>
        <w:rPr>
          <w:snapToGrid w:val="0"/>
        </w:rPr>
      </w:pPr>
      <w:r>
        <w:rPr>
          <w:snapToGrid w:val="0"/>
        </w:rPr>
        <w:tab/>
        <w:t>(a)</w:t>
      </w:r>
      <w:r>
        <w:rPr>
          <w:snapToGrid w:val="0"/>
        </w:rPr>
        <w:tab/>
        <w:t>the description of the vehicle;</w:t>
      </w:r>
    </w:p>
    <w:p w:rsidR="006724FB" w:rsidRDefault="006724FB">
      <w:pPr>
        <w:pStyle w:val="Indenta"/>
        <w:rPr>
          <w:snapToGrid w:val="0"/>
        </w:rPr>
      </w:pPr>
      <w:r>
        <w:rPr>
          <w:snapToGrid w:val="0"/>
        </w:rPr>
        <w:lastRenderedPageBreak/>
        <w:tab/>
        <w:t>(b)</w:t>
      </w:r>
      <w:r>
        <w:rPr>
          <w:snapToGrid w:val="0"/>
        </w:rPr>
        <w:tab/>
        <w:t>the number of axles that the vehicle has;</w:t>
      </w:r>
    </w:p>
    <w:p w:rsidR="006724FB" w:rsidRDefault="006724FB">
      <w:pPr>
        <w:pStyle w:val="Indenta"/>
        <w:rPr>
          <w:snapToGrid w:val="0"/>
        </w:rPr>
      </w:pPr>
      <w:r>
        <w:rPr>
          <w:snapToGrid w:val="0"/>
        </w:rPr>
        <w:tab/>
        <w:t>(c)</w:t>
      </w:r>
      <w:r>
        <w:rPr>
          <w:snapToGrid w:val="0"/>
        </w:rPr>
        <w:tab/>
        <w:t>the MRC of the vehicle.</w:t>
      </w:r>
    </w:p>
    <w:p w:rsidR="006724FB" w:rsidRDefault="006724FB">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rsidR="006724FB">
        <w:trPr>
          <w:trHeight w:val="240"/>
          <w:tblHeader/>
        </w:trPr>
        <w:tc>
          <w:tcPr>
            <w:tcW w:w="639" w:type="dxa"/>
            <w:tcBorders>
              <w:top w:val="single" w:sz="4" w:space="0" w:color="auto"/>
            </w:tcBorders>
          </w:tcPr>
          <w:p w:rsidR="006724FB" w:rsidRDefault="006724FB">
            <w:pPr>
              <w:pStyle w:val="TableNAm"/>
              <w:jc w:val="center"/>
              <w:rPr>
                <w:b/>
              </w:rPr>
            </w:pPr>
          </w:p>
        </w:tc>
        <w:tc>
          <w:tcPr>
            <w:tcW w:w="1195" w:type="dxa"/>
            <w:tcBorders>
              <w:top w:val="single" w:sz="4" w:space="0" w:color="auto"/>
            </w:tcBorders>
          </w:tcPr>
          <w:p w:rsidR="006724FB" w:rsidRDefault="006724FB">
            <w:pPr>
              <w:pStyle w:val="TableNAm"/>
              <w:jc w:val="center"/>
              <w:rPr>
                <w:b/>
              </w:rPr>
            </w:pPr>
            <w:r>
              <w:rPr>
                <w:b/>
              </w:rPr>
              <w:t>Column 1</w:t>
            </w:r>
          </w:p>
        </w:tc>
        <w:tc>
          <w:tcPr>
            <w:tcW w:w="1357" w:type="dxa"/>
            <w:tcBorders>
              <w:top w:val="single" w:sz="4" w:space="0" w:color="auto"/>
            </w:tcBorders>
          </w:tcPr>
          <w:p w:rsidR="006724FB" w:rsidRDefault="006724FB">
            <w:pPr>
              <w:pStyle w:val="TableNAm"/>
              <w:jc w:val="center"/>
              <w:rPr>
                <w:b/>
              </w:rPr>
            </w:pPr>
            <w:r>
              <w:rPr>
                <w:b/>
              </w:rPr>
              <w:t>Column 2</w:t>
            </w:r>
          </w:p>
        </w:tc>
        <w:tc>
          <w:tcPr>
            <w:tcW w:w="1417" w:type="dxa"/>
            <w:gridSpan w:val="2"/>
            <w:tcBorders>
              <w:top w:val="single" w:sz="4" w:space="0" w:color="auto"/>
            </w:tcBorders>
          </w:tcPr>
          <w:p w:rsidR="006724FB" w:rsidRDefault="006724FB">
            <w:pPr>
              <w:pStyle w:val="TableNAm"/>
              <w:jc w:val="center"/>
              <w:rPr>
                <w:b/>
              </w:rPr>
            </w:pPr>
            <w:r>
              <w:rPr>
                <w:b/>
              </w:rPr>
              <w:t>Column 3</w:t>
            </w:r>
          </w:p>
        </w:tc>
        <w:tc>
          <w:tcPr>
            <w:tcW w:w="2419" w:type="dxa"/>
            <w:gridSpan w:val="3"/>
            <w:tcBorders>
              <w:top w:val="single" w:sz="4" w:space="0" w:color="auto"/>
            </w:tcBorders>
          </w:tcPr>
          <w:p w:rsidR="006724FB" w:rsidRDefault="006724FB">
            <w:pPr>
              <w:pStyle w:val="TableNAm"/>
              <w:jc w:val="center"/>
              <w:rPr>
                <w:b/>
              </w:rPr>
            </w:pPr>
            <w:r>
              <w:rPr>
                <w:b/>
              </w:rPr>
              <w:t>Column 4</w:t>
            </w:r>
          </w:p>
        </w:tc>
      </w:tr>
      <w:tr w:rsidR="006724FB">
        <w:trPr>
          <w:trHeight w:val="240"/>
          <w:tblHeader/>
        </w:trPr>
        <w:tc>
          <w:tcPr>
            <w:tcW w:w="639" w:type="dxa"/>
            <w:tcBorders>
              <w:bottom w:val="single" w:sz="4" w:space="0" w:color="auto"/>
            </w:tcBorders>
          </w:tcPr>
          <w:p w:rsidR="006724FB" w:rsidRDefault="006724FB">
            <w:pPr>
              <w:pStyle w:val="TableNAm"/>
              <w:jc w:val="center"/>
              <w:rPr>
                <w:b/>
              </w:rPr>
            </w:pPr>
          </w:p>
        </w:tc>
        <w:tc>
          <w:tcPr>
            <w:tcW w:w="1195" w:type="dxa"/>
            <w:tcBorders>
              <w:bottom w:val="single" w:sz="4" w:space="0" w:color="auto"/>
            </w:tcBorders>
          </w:tcPr>
          <w:p w:rsidR="006724FB" w:rsidRDefault="006724FB">
            <w:pPr>
              <w:pStyle w:val="TableNAm"/>
              <w:jc w:val="center"/>
              <w:rPr>
                <w:b/>
              </w:rPr>
            </w:pPr>
            <w:r>
              <w:rPr>
                <w:b/>
              </w:rPr>
              <w:t>Class</w:t>
            </w:r>
          </w:p>
        </w:tc>
        <w:tc>
          <w:tcPr>
            <w:tcW w:w="1357" w:type="dxa"/>
            <w:tcBorders>
              <w:bottom w:val="single" w:sz="4" w:space="0" w:color="auto"/>
            </w:tcBorders>
          </w:tcPr>
          <w:p w:rsidR="006724FB" w:rsidRDefault="006724FB">
            <w:pPr>
              <w:pStyle w:val="TableNAm"/>
              <w:jc w:val="center"/>
              <w:rPr>
                <w:b/>
              </w:rPr>
            </w:pPr>
            <w:r>
              <w:rPr>
                <w:b/>
              </w:rPr>
              <w:t>No. of axles</w:t>
            </w:r>
          </w:p>
        </w:tc>
        <w:tc>
          <w:tcPr>
            <w:tcW w:w="1417" w:type="dxa"/>
            <w:gridSpan w:val="2"/>
            <w:tcBorders>
              <w:bottom w:val="single" w:sz="4" w:space="0" w:color="auto"/>
            </w:tcBorders>
          </w:tcPr>
          <w:p w:rsidR="006724FB" w:rsidRDefault="006724FB">
            <w:pPr>
              <w:pStyle w:val="TableNAm"/>
              <w:jc w:val="center"/>
              <w:rPr>
                <w:b/>
              </w:rPr>
            </w:pPr>
            <w:r>
              <w:rPr>
                <w:b/>
              </w:rPr>
              <w:t>MRC</w:t>
            </w:r>
          </w:p>
        </w:tc>
        <w:tc>
          <w:tcPr>
            <w:tcW w:w="2419" w:type="dxa"/>
            <w:gridSpan w:val="3"/>
            <w:tcBorders>
              <w:bottom w:val="single" w:sz="4" w:space="0" w:color="auto"/>
            </w:tcBorders>
          </w:tcPr>
          <w:p w:rsidR="006724FB" w:rsidRDefault="006724FB">
            <w:pPr>
              <w:pStyle w:val="TableNAm"/>
              <w:jc w:val="center"/>
              <w:rPr>
                <w:b/>
              </w:rPr>
            </w:pPr>
            <w:r>
              <w:rPr>
                <w:b/>
              </w:rPr>
              <w:t>Conditions as to heavy trailers hauled</w:t>
            </w:r>
          </w:p>
        </w:tc>
      </w:tr>
      <w:tr w:rsidR="00672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rsidR="006724FB" w:rsidRDefault="006724FB">
            <w:pPr>
              <w:pStyle w:val="TableNAm"/>
              <w:rPr>
                <w:b/>
              </w:rPr>
            </w:pPr>
            <w:r>
              <w:rPr>
                <w:b/>
              </w:rPr>
              <w:t>Car or bus (not articulated)</w:t>
            </w:r>
          </w:p>
        </w:tc>
      </w:tr>
      <w:tr w:rsidR="006724FB">
        <w:trPr>
          <w:trHeight w:val="240"/>
        </w:trPr>
        <w:tc>
          <w:tcPr>
            <w:tcW w:w="639" w:type="dxa"/>
          </w:tcPr>
          <w:p w:rsidR="006724FB" w:rsidRDefault="006724FB">
            <w:pPr>
              <w:pStyle w:val="TableNAm"/>
            </w:pPr>
          </w:p>
        </w:tc>
        <w:tc>
          <w:tcPr>
            <w:tcW w:w="1195" w:type="dxa"/>
          </w:tcPr>
          <w:p w:rsidR="006724FB" w:rsidRDefault="006724FB">
            <w:pPr>
              <w:pStyle w:val="TableNAm"/>
            </w:pPr>
            <w:r>
              <w:t>1B2</w:t>
            </w:r>
          </w:p>
        </w:tc>
        <w:tc>
          <w:tcPr>
            <w:tcW w:w="1357" w:type="dxa"/>
          </w:tcPr>
          <w:p w:rsidR="006724FB" w:rsidRDefault="006724FB">
            <w:pPr>
              <w:pStyle w:val="TableNAm"/>
            </w:pPr>
            <w:r>
              <w:t>2</w:t>
            </w:r>
          </w:p>
        </w:tc>
        <w:tc>
          <w:tcPr>
            <w:tcW w:w="1417" w:type="dxa"/>
            <w:gridSpan w:val="2"/>
          </w:tcPr>
          <w:p w:rsidR="006724FB" w:rsidRDefault="006724FB">
            <w:pPr>
              <w:pStyle w:val="TableNAm"/>
            </w:pPr>
            <w:r>
              <w:t>12 000 kg or under</w:t>
            </w:r>
          </w:p>
        </w:tc>
        <w:tc>
          <w:tcPr>
            <w:tcW w:w="2419" w:type="dxa"/>
            <w:gridSpan w:val="3"/>
          </w:tcPr>
          <w:p w:rsidR="006724FB" w:rsidRDefault="006724FB">
            <w:pPr>
              <w:pStyle w:val="TableNAm"/>
              <w:jc w:val="center"/>
            </w:pPr>
          </w:p>
        </w:tc>
      </w:tr>
      <w:tr w:rsidR="006724FB">
        <w:trPr>
          <w:trHeight w:val="240"/>
        </w:trPr>
        <w:tc>
          <w:tcPr>
            <w:tcW w:w="639" w:type="dxa"/>
          </w:tcPr>
          <w:p w:rsidR="006724FB" w:rsidRDefault="006724FB">
            <w:pPr>
              <w:pStyle w:val="TableNAm"/>
            </w:pPr>
          </w:p>
        </w:tc>
        <w:tc>
          <w:tcPr>
            <w:tcW w:w="1195" w:type="dxa"/>
          </w:tcPr>
          <w:p w:rsidR="006724FB" w:rsidRDefault="006724FB">
            <w:pPr>
              <w:pStyle w:val="TableNAm"/>
            </w:pPr>
            <w:r>
              <w:t>2B2</w:t>
            </w:r>
          </w:p>
        </w:tc>
        <w:tc>
          <w:tcPr>
            <w:tcW w:w="1357" w:type="dxa"/>
          </w:tcPr>
          <w:p w:rsidR="006724FB" w:rsidRDefault="006724FB">
            <w:pPr>
              <w:pStyle w:val="TableNAm"/>
            </w:pPr>
            <w:r>
              <w:t>2</w:t>
            </w:r>
          </w:p>
        </w:tc>
        <w:tc>
          <w:tcPr>
            <w:tcW w:w="1417" w:type="dxa"/>
            <w:gridSpan w:val="2"/>
          </w:tcPr>
          <w:p w:rsidR="006724FB" w:rsidRDefault="006724FB">
            <w:pPr>
              <w:pStyle w:val="TableNAm"/>
            </w:pPr>
            <w:r>
              <w:t>over 12 000 kg</w:t>
            </w:r>
          </w:p>
        </w:tc>
        <w:tc>
          <w:tcPr>
            <w:tcW w:w="2419" w:type="dxa"/>
            <w:gridSpan w:val="3"/>
          </w:tcPr>
          <w:p w:rsidR="006724FB" w:rsidRDefault="006724FB">
            <w:pPr>
              <w:pStyle w:val="TableNAm"/>
              <w:jc w:val="center"/>
            </w:pPr>
          </w:p>
        </w:tc>
      </w:tr>
      <w:tr w:rsidR="006724FB">
        <w:trPr>
          <w:trHeight w:val="240"/>
        </w:trPr>
        <w:tc>
          <w:tcPr>
            <w:tcW w:w="639" w:type="dxa"/>
          </w:tcPr>
          <w:p w:rsidR="006724FB" w:rsidRDefault="006724FB">
            <w:pPr>
              <w:pStyle w:val="TableNAm"/>
            </w:pPr>
          </w:p>
        </w:tc>
        <w:tc>
          <w:tcPr>
            <w:tcW w:w="1195" w:type="dxa"/>
          </w:tcPr>
          <w:p w:rsidR="006724FB" w:rsidRDefault="006724FB">
            <w:pPr>
              <w:pStyle w:val="TableNAm"/>
            </w:pPr>
            <w:r>
              <w:t>2B3</w:t>
            </w:r>
          </w:p>
        </w:tc>
        <w:tc>
          <w:tcPr>
            <w:tcW w:w="1357" w:type="dxa"/>
          </w:tcPr>
          <w:p w:rsidR="006724FB" w:rsidRDefault="006724FB">
            <w:pPr>
              <w:pStyle w:val="TableNAm"/>
            </w:pPr>
            <w:r>
              <w:t>3</w:t>
            </w:r>
          </w:p>
        </w:tc>
        <w:tc>
          <w:tcPr>
            <w:tcW w:w="1417" w:type="dxa"/>
            <w:gridSpan w:val="2"/>
          </w:tcPr>
          <w:p w:rsidR="006724FB" w:rsidRDefault="006724FB">
            <w:pPr>
              <w:pStyle w:val="TableNAm"/>
            </w:pPr>
            <w:r>
              <w:t>any</w:t>
            </w:r>
          </w:p>
        </w:tc>
        <w:tc>
          <w:tcPr>
            <w:tcW w:w="2419" w:type="dxa"/>
            <w:gridSpan w:val="3"/>
          </w:tcPr>
          <w:p w:rsidR="006724FB" w:rsidRDefault="006724FB">
            <w:pPr>
              <w:pStyle w:val="TableNAm"/>
              <w:jc w:val="center"/>
            </w:pPr>
          </w:p>
        </w:tc>
      </w:tr>
      <w:tr w:rsidR="00672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rsidR="006724FB" w:rsidRDefault="006724FB">
            <w:pPr>
              <w:pStyle w:val="TableNAm"/>
              <w:rPr>
                <w:b/>
              </w:rPr>
            </w:pPr>
            <w:r>
              <w:rPr>
                <w:b/>
              </w:rPr>
              <w:t>Car or bus (articulated)</w:t>
            </w:r>
          </w:p>
        </w:tc>
      </w:tr>
      <w:tr w:rsidR="006724FB">
        <w:trPr>
          <w:trHeight w:val="240"/>
        </w:trPr>
        <w:tc>
          <w:tcPr>
            <w:tcW w:w="639" w:type="dxa"/>
          </w:tcPr>
          <w:p w:rsidR="006724FB" w:rsidRDefault="006724FB">
            <w:pPr>
              <w:pStyle w:val="TableNAm"/>
            </w:pPr>
          </w:p>
        </w:tc>
        <w:tc>
          <w:tcPr>
            <w:tcW w:w="1195" w:type="dxa"/>
          </w:tcPr>
          <w:p w:rsidR="006724FB" w:rsidRDefault="006724FB">
            <w:pPr>
              <w:pStyle w:val="TableNAm"/>
            </w:pPr>
            <w:r>
              <w:t>AB3</w:t>
            </w:r>
          </w:p>
        </w:tc>
        <w:tc>
          <w:tcPr>
            <w:tcW w:w="1357" w:type="dxa"/>
          </w:tcPr>
          <w:p w:rsidR="006724FB" w:rsidRDefault="006724FB">
            <w:pPr>
              <w:pStyle w:val="TableNAm"/>
            </w:pPr>
            <w:r>
              <w:t>3</w:t>
            </w:r>
          </w:p>
        </w:tc>
        <w:tc>
          <w:tcPr>
            <w:tcW w:w="1417" w:type="dxa"/>
            <w:gridSpan w:val="2"/>
          </w:tcPr>
          <w:p w:rsidR="006724FB" w:rsidRDefault="006724FB">
            <w:pPr>
              <w:pStyle w:val="TableNAm"/>
            </w:pPr>
            <w:r>
              <w:t>any</w:t>
            </w:r>
          </w:p>
        </w:tc>
        <w:tc>
          <w:tcPr>
            <w:tcW w:w="2419" w:type="dxa"/>
            <w:gridSpan w:val="3"/>
          </w:tcPr>
          <w:p w:rsidR="006724FB" w:rsidRDefault="006724FB">
            <w:pPr>
              <w:pStyle w:val="TableNAm"/>
              <w:jc w:val="center"/>
            </w:pPr>
          </w:p>
        </w:tc>
      </w:tr>
      <w:tr w:rsidR="00672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rsidR="006724FB" w:rsidRDefault="006724FB">
            <w:pPr>
              <w:pStyle w:val="TableNAm"/>
              <w:rPr>
                <w:b/>
              </w:rPr>
            </w:pPr>
            <w:r>
              <w:rPr>
                <w:b/>
              </w:rPr>
              <w:t>Goods vehicle or motor home</w:t>
            </w:r>
          </w:p>
        </w:tc>
      </w:tr>
      <w:tr w:rsidR="006724FB">
        <w:trPr>
          <w:trHeight w:val="240"/>
        </w:trPr>
        <w:tc>
          <w:tcPr>
            <w:tcW w:w="639" w:type="dxa"/>
          </w:tcPr>
          <w:p w:rsidR="006724FB" w:rsidRDefault="006724FB">
            <w:pPr>
              <w:pStyle w:val="TableNAm"/>
            </w:pPr>
          </w:p>
        </w:tc>
        <w:tc>
          <w:tcPr>
            <w:tcW w:w="1195" w:type="dxa"/>
          </w:tcPr>
          <w:p w:rsidR="006724FB" w:rsidRDefault="006724FB">
            <w:pPr>
              <w:pStyle w:val="TableNAm"/>
            </w:pPr>
            <w:r>
              <w:t>1R2</w:t>
            </w:r>
          </w:p>
        </w:tc>
        <w:tc>
          <w:tcPr>
            <w:tcW w:w="1357" w:type="dxa"/>
          </w:tcPr>
          <w:p w:rsidR="006724FB" w:rsidRDefault="006724FB">
            <w:pPr>
              <w:pStyle w:val="TableNAm"/>
            </w:pPr>
            <w:r>
              <w:t>2</w:t>
            </w:r>
          </w:p>
        </w:tc>
        <w:tc>
          <w:tcPr>
            <w:tcW w:w="1417" w:type="dxa"/>
            <w:gridSpan w:val="2"/>
          </w:tcPr>
          <w:p w:rsidR="006724FB" w:rsidRDefault="006724FB">
            <w:pPr>
              <w:pStyle w:val="TableNAm"/>
            </w:pPr>
            <w:r>
              <w:t>12 000 kg or under</w:t>
            </w:r>
          </w:p>
        </w:tc>
        <w:tc>
          <w:tcPr>
            <w:tcW w:w="2419" w:type="dxa"/>
            <w:gridSpan w:val="3"/>
          </w:tcPr>
          <w:p w:rsidR="006724FB" w:rsidRDefault="006724FB">
            <w:pPr>
              <w:pStyle w:val="TableNAm"/>
              <w:jc w:val="center"/>
            </w:pPr>
            <w:r>
              <w:t>nil</w:t>
            </w:r>
          </w:p>
        </w:tc>
      </w:tr>
      <w:tr w:rsidR="006724FB">
        <w:trPr>
          <w:trHeight w:val="240"/>
        </w:trPr>
        <w:tc>
          <w:tcPr>
            <w:tcW w:w="639" w:type="dxa"/>
          </w:tcPr>
          <w:p w:rsidR="006724FB" w:rsidRDefault="006724FB">
            <w:pPr>
              <w:pStyle w:val="TableNAm"/>
            </w:pPr>
          </w:p>
        </w:tc>
        <w:tc>
          <w:tcPr>
            <w:tcW w:w="1195" w:type="dxa"/>
          </w:tcPr>
          <w:p w:rsidR="006724FB" w:rsidRDefault="006724FB">
            <w:pPr>
              <w:pStyle w:val="TableNAm"/>
            </w:pPr>
            <w:r>
              <w:t>2R2</w:t>
            </w:r>
          </w:p>
        </w:tc>
        <w:tc>
          <w:tcPr>
            <w:tcW w:w="1357" w:type="dxa"/>
          </w:tcPr>
          <w:p w:rsidR="006724FB" w:rsidRDefault="006724FB">
            <w:pPr>
              <w:pStyle w:val="TableNAm"/>
            </w:pPr>
            <w:r>
              <w:t>2</w:t>
            </w:r>
          </w:p>
        </w:tc>
        <w:tc>
          <w:tcPr>
            <w:tcW w:w="1417" w:type="dxa"/>
            <w:gridSpan w:val="2"/>
          </w:tcPr>
          <w:p w:rsidR="006724FB" w:rsidRDefault="006724FB">
            <w:pPr>
              <w:pStyle w:val="TableNAm"/>
            </w:pPr>
            <w:r>
              <w:t>over 12 000 kg</w:t>
            </w:r>
          </w:p>
        </w:tc>
        <w:tc>
          <w:tcPr>
            <w:tcW w:w="2419" w:type="dxa"/>
            <w:gridSpan w:val="3"/>
          </w:tcPr>
          <w:p w:rsidR="006724FB" w:rsidRDefault="006724FB">
            <w:pPr>
              <w:pStyle w:val="TableNAm"/>
              <w:jc w:val="center"/>
            </w:pPr>
            <w:r>
              <w:t>nil</w:t>
            </w:r>
          </w:p>
        </w:tc>
      </w:tr>
      <w:tr w:rsidR="006724FB">
        <w:trPr>
          <w:trHeight w:val="240"/>
        </w:trPr>
        <w:tc>
          <w:tcPr>
            <w:tcW w:w="639" w:type="dxa"/>
          </w:tcPr>
          <w:p w:rsidR="006724FB" w:rsidRDefault="006724FB">
            <w:pPr>
              <w:pStyle w:val="TableNAm"/>
            </w:pPr>
          </w:p>
        </w:tc>
        <w:tc>
          <w:tcPr>
            <w:tcW w:w="1195" w:type="dxa"/>
          </w:tcPr>
          <w:p w:rsidR="006724FB" w:rsidRDefault="006724FB">
            <w:pPr>
              <w:pStyle w:val="TableNAm"/>
            </w:pPr>
            <w:r>
              <w:t>1R3</w:t>
            </w:r>
          </w:p>
        </w:tc>
        <w:tc>
          <w:tcPr>
            <w:tcW w:w="1357" w:type="dxa"/>
          </w:tcPr>
          <w:p w:rsidR="006724FB" w:rsidRDefault="006724FB">
            <w:pPr>
              <w:pStyle w:val="TableNAm"/>
            </w:pPr>
            <w:r>
              <w:t>3</w:t>
            </w:r>
          </w:p>
        </w:tc>
        <w:tc>
          <w:tcPr>
            <w:tcW w:w="1417" w:type="dxa"/>
            <w:gridSpan w:val="2"/>
          </w:tcPr>
          <w:p w:rsidR="006724FB" w:rsidRDefault="006724FB">
            <w:pPr>
              <w:pStyle w:val="TableNAm"/>
            </w:pPr>
            <w:r>
              <w:t>16 500 kg or under</w:t>
            </w:r>
          </w:p>
        </w:tc>
        <w:tc>
          <w:tcPr>
            <w:tcW w:w="2419" w:type="dxa"/>
            <w:gridSpan w:val="3"/>
          </w:tcPr>
          <w:p w:rsidR="006724FB" w:rsidRDefault="006724FB">
            <w:pPr>
              <w:pStyle w:val="TableNAm"/>
              <w:jc w:val="center"/>
            </w:pPr>
            <w:r>
              <w:t>nil</w:t>
            </w:r>
          </w:p>
        </w:tc>
      </w:tr>
      <w:tr w:rsidR="006724FB">
        <w:trPr>
          <w:trHeight w:val="240"/>
        </w:trPr>
        <w:tc>
          <w:tcPr>
            <w:tcW w:w="639" w:type="dxa"/>
          </w:tcPr>
          <w:p w:rsidR="006724FB" w:rsidRDefault="006724FB">
            <w:pPr>
              <w:pStyle w:val="TableNAm"/>
            </w:pPr>
          </w:p>
        </w:tc>
        <w:tc>
          <w:tcPr>
            <w:tcW w:w="1195" w:type="dxa"/>
          </w:tcPr>
          <w:p w:rsidR="006724FB" w:rsidRDefault="006724FB">
            <w:pPr>
              <w:pStyle w:val="TableNAm"/>
            </w:pPr>
            <w:r>
              <w:t>2R3</w:t>
            </w:r>
          </w:p>
        </w:tc>
        <w:tc>
          <w:tcPr>
            <w:tcW w:w="1357" w:type="dxa"/>
          </w:tcPr>
          <w:p w:rsidR="006724FB" w:rsidRDefault="006724FB">
            <w:pPr>
              <w:pStyle w:val="TableNAm"/>
            </w:pPr>
            <w:r>
              <w:t>3</w:t>
            </w:r>
          </w:p>
        </w:tc>
        <w:tc>
          <w:tcPr>
            <w:tcW w:w="1417" w:type="dxa"/>
            <w:gridSpan w:val="2"/>
          </w:tcPr>
          <w:p w:rsidR="006724FB" w:rsidRDefault="006724FB">
            <w:pPr>
              <w:pStyle w:val="TableNAm"/>
            </w:pPr>
            <w:r>
              <w:t>over 16 500 kg</w:t>
            </w:r>
          </w:p>
        </w:tc>
        <w:tc>
          <w:tcPr>
            <w:tcW w:w="2419" w:type="dxa"/>
            <w:gridSpan w:val="3"/>
          </w:tcPr>
          <w:p w:rsidR="006724FB" w:rsidRDefault="006724FB">
            <w:pPr>
              <w:pStyle w:val="TableNAm"/>
              <w:jc w:val="center"/>
            </w:pPr>
            <w:r>
              <w:t>nil</w:t>
            </w:r>
          </w:p>
        </w:tc>
      </w:tr>
      <w:tr w:rsidR="006724FB">
        <w:trPr>
          <w:trHeight w:val="240"/>
        </w:trPr>
        <w:tc>
          <w:tcPr>
            <w:tcW w:w="639" w:type="dxa"/>
          </w:tcPr>
          <w:p w:rsidR="006724FB" w:rsidRDefault="006724FB">
            <w:pPr>
              <w:pStyle w:val="TableNAm"/>
            </w:pPr>
          </w:p>
        </w:tc>
        <w:tc>
          <w:tcPr>
            <w:tcW w:w="1195" w:type="dxa"/>
          </w:tcPr>
          <w:p w:rsidR="006724FB" w:rsidRDefault="006724FB">
            <w:pPr>
              <w:pStyle w:val="TableNAm"/>
            </w:pPr>
            <w:r>
              <w:t>1R4</w:t>
            </w:r>
          </w:p>
        </w:tc>
        <w:tc>
          <w:tcPr>
            <w:tcW w:w="1357" w:type="dxa"/>
          </w:tcPr>
          <w:p w:rsidR="006724FB" w:rsidRDefault="006724FB">
            <w:pPr>
              <w:pStyle w:val="TableNAm"/>
            </w:pPr>
            <w:r>
              <w:t>4</w:t>
            </w:r>
          </w:p>
        </w:tc>
        <w:tc>
          <w:tcPr>
            <w:tcW w:w="1417" w:type="dxa"/>
            <w:gridSpan w:val="2"/>
          </w:tcPr>
          <w:p w:rsidR="006724FB" w:rsidRDefault="006724FB">
            <w:pPr>
              <w:pStyle w:val="TableNAm"/>
            </w:pPr>
            <w:r>
              <w:t>20 000 kg or under</w:t>
            </w:r>
          </w:p>
        </w:tc>
        <w:tc>
          <w:tcPr>
            <w:tcW w:w="2419" w:type="dxa"/>
            <w:gridSpan w:val="3"/>
          </w:tcPr>
          <w:p w:rsidR="006724FB" w:rsidRDefault="006724FB">
            <w:pPr>
              <w:pStyle w:val="TableNAm"/>
              <w:jc w:val="center"/>
            </w:pPr>
            <w:r>
              <w:t>nil</w:t>
            </w:r>
          </w:p>
        </w:tc>
      </w:tr>
      <w:tr w:rsidR="006724FB">
        <w:trPr>
          <w:trHeight w:val="240"/>
        </w:trPr>
        <w:tc>
          <w:tcPr>
            <w:tcW w:w="639" w:type="dxa"/>
          </w:tcPr>
          <w:p w:rsidR="006724FB" w:rsidRDefault="006724FB">
            <w:pPr>
              <w:pStyle w:val="TableNAm"/>
            </w:pPr>
          </w:p>
        </w:tc>
        <w:tc>
          <w:tcPr>
            <w:tcW w:w="1195" w:type="dxa"/>
          </w:tcPr>
          <w:p w:rsidR="006724FB" w:rsidRDefault="006724FB">
            <w:pPr>
              <w:pStyle w:val="TableNAm"/>
            </w:pPr>
            <w:r>
              <w:t>2R4</w:t>
            </w:r>
          </w:p>
        </w:tc>
        <w:tc>
          <w:tcPr>
            <w:tcW w:w="1357" w:type="dxa"/>
          </w:tcPr>
          <w:p w:rsidR="006724FB" w:rsidRDefault="006724FB">
            <w:pPr>
              <w:pStyle w:val="TableNAm"/>
            </w:pPr>
            <w:r>
              <w:t>4</w:t>
            </w:r>
          </w:p>
        </w:tc>
        <w:tc>
          <w:tcPr>
            <w:tcW w:w="1417" w:type="dxa"/>
            <w:gridSpan w:val="2"/>
          </w:tcPr>
          <w:p w:rsidR="006724FB" w:rsidRDefault="006724FB">
            <w:pPr>
              <w:pStyle w:val="TableNAm"/>
            </w:pPr>
            <w:r>
              <w:t>over 20 000 kg</w:t>
            </w:r>
          </w:p>
        </w:tc>
        <w:tc>
          <w:tcPr>
            <w:tcW w:w="2419" w:type="dxa"/>
            <w:gridSpan w:val="3"/>
          </w:tcPr>
          <w:p w:rsidR="006724FB" w:rsidRDefault="006724FB">
            <w:pPr>
              <w:pStyle w:val="TableNAm"/>
              <w:jc w:val="center"/>
            </w:pPr>
            <w:r>
              <w:t>nil</w:t>
            </w:r>
          </w:p>
        </w:tc>
      </w:tr>
      <w:tr w:rsidR="006724FB">
        <w:trPr>
          <w:trHeight w:val="240"/>
        </w:trPr>
        <w:tc>
          <w:tcPr>
            <w:tcW w:w="639" w:type="dxa"/>
          </w:tcPr>
          <w:p w:rsidR="006724FB" w:rsidRDefault="006724FB">
            <w:pPr>
              <w:pStyle w:val="TableNAm"/>
              <w:keepNext/>
              <w:keepLines/>
            </w:pPr>
          </w:p>
        </w:tc>
        <w:tc>
          <w:tcPr>
            <w:tcW w:w="1195" w:type="dxa"/>
          </w:tcPr>
          <w:p w:rsidR="006724FB" w:rsidRDefault="006724FB">
            <w:pPr>
              <w:pStyle w:val="TableNAm"/>
              <w:keepNext/>
              <w:keepLines/>
            </w:pPr>
            <w:r>
              <w:t>1R5</w:t>
            </w:r>
          </w:p>
        </w:tc>
        <w:tc>
          <w:tcPr>
            <w:tcW w:w="1357" w:type="dxa"/>
          </w:tcPr>
          <w:p w:rsidR="006724FB" w:rsidRDefault="006724FB">
            <w:pPr>
              <w:pStyle w:val="TableNAm"/>
              <w:keepNext/>
              <w:keepLines/>
            </w:pPr>
            <w:r>
              <w:t>5 or more</w:t>
            </w:r>
          </w:p>
        </w:tc>
        <w:tc>
          <w:tcPr>
            <w:tcW w:w="1417" w:type="dxa"/>
            <w:gridSpan w:val="2"/>
          </w:tcPr>
          <w:p w:rsidR="006724FB" w:rsidRDefault="006724FB">
            <w:pPr>
              <w:pStyle w:val="TableNAm"/>
              <w:keepNext/>
              <w:keepLines/>
            </w:pPr>
            <w:r>
              <w:t>20 000 kg or under</w:t>
            </w:r>
          </w:p>
        </w:tc>
        <w:tc>
          <w:tcPr>
            <w:tcW w:w="2419" w:type="dxa"/>
            <w:gridSpan w:val="3"/>
          </w:tcPr>
          <w:p w:rsidR="006724FB" w:rsidRDefault="006724FB">
            <w:pPr>
              <w:pStyle w:val="TableNAm"/>
              <w:keepNext/>
              <w:keepLines/>
              <w:jc w:val="center"/>
            </w:pPr>
            <w:r>
              <w:t>nil</w:t>
            </w:r>
          </w:p>
        </w:tc>
      </w:tr>
      <w:tr w:rsidR="006724FB">
        <w:trPr>
          <w:trHeight w:val="240"/>
        </w:trPr>
        <w:tc>
          <w:tcPr>
            <w:tcW w:w="639" w:type="dxa"/>
          </w:tcPr>
          <w:p w:rsidR="006724FB" w:rsidRDefault="006724FB">
            <w:pPr>
              <w:pStyle w:val="TableNAm"/>
            </w:pPr>
          </w:p>
        </w:tc>
        <w:tc>
          <w:tcPr>
            <w:tcW w:w="1195" w:type="dxa"/>
          </w:tcPr>
          <w:p w:rsidR="006724FB" w:rsidRDefault="006724FB">
            <w:pPr>
              <w:pStyle w:val="TableNAm"/>
            </w:pPr>
            <w:r>
              <w:t>2R5</w:t>
            </w:r>
          </w:p>
        </w:tc>
        <w:tc>
          <w:tcPr>
            <w:tcW w:w="1357" w:type="dxa"/>
          </w:tcPr>
          <w:p w:rsidR="006724FB" w:rsidRDefault="006724FB">
            <w:pPr>
              <w:pStyle w:val="TableNAm"/>
            </w:pPr>
            <w:r>
              <w:t>5 or more</w:t>
            </w:r>
          </w:p>
        </w:tc>
        <w:tc>
          <w:tcPr>
            <w:tcW w:w="1417" w:type="dxa"/>
            <w:gridSpan w:val="2"/>
          </w:tcPr>
          <w:p w:rsidR="006724FB" w:rsidRDefault="006724FB">
            <w:pPr>
              <w:pStyle w:val="TableNAm"/>
            </w:pPr>
            <w:r>
              <w:t>over 20 000 kg</w:t>
            </w:r>
          </w:p>
        </w:tc>
        <w:tc>
          <w:tcPr>
            <w:tcW w:w="2419" w:type="dxa"/>
            <w:gridSpan w:val="3"/>
          </w:tcPr>
          <w:p w:rsidR="006724FB" w:rsidRDefault="006724FB">
            <w:pPr>
              <w:pStyle w:val="TableNAm"/>
              <w:jc w:val="center"/>
            </w:pPr>
            <w:r>
              <w:t>nil</w:t>
            </w:r>
          </w:p>
        </w:tc>
      </w:tr>
      <w:tr w:rsidR="006724FB">
        <w:trPr>
          <w:trHeight w:val="240"/>
        </w:trPr>
        <w:tc>
          <w:tcPr>
            <w:tcW w:w="639" w:type="dxa"/>
          </w:tcPr>
          <w:p w:rsidR="006724FB" w:rsidRDefault="006724FB">
            <w:pPr>
              <w:pStyle w:val="TableNAm"/>
            </w:pPr>
          </w:p>
        </w:tc>
        <w:tc>
          <w:tcPr>
            <w:tcW w:w="1195" w:type="dxa"/>
          </w:tcPr>
          <w:p w:rsidR="006724FB" w:rsidRDefault="006724FB">
            <w:pPr>
              <w:pStyle w:val="TableNAm"/>
            </w:pPr>
            <w:r>
              <w:t>SR2</w:t>
            </w:r>
          </w:p>
        </w:tc>
        <w:tc>
          <w:tcPr>
            <w:tcW w:w="1357" w:type="dxa"/>
          </w:tcPr>
          <w:p w:rsidR="006724FB" w:rsidRDefault="006724FB">
            <w:pPr>
              <w:pStyle w:val="TableNAm"/>
            </w:pPr>
            <w:r>
              <w:t>2</w:t>
            </w:r>
          </w:p>
        </w:tc>
        <w:tc>
          <w:tcPr>
            <w:tcW w:w="1417" w:type="dxa"/>
            <w:gridSpan w:val="2"/>
          </w:tcPr>
          <w:p w:rsidR="006724FB" w:rsidRDefault="006724FB">
            <w:pPr>
              <w:pStyle w:val="TableNAm"/>
            </w:pPr>
            <w:r>
              <w:t>any</w:t>
            </w:r>
          </w:p>
        </w:tc>
        <w:tc>
          <w:tcPr>
            <w:tcW w:w="2419" w:type="dxa"/>
            <w:gridSpan w:val="3"/>
          </w:tcPr>
          <w:p w:rsidR="006724FB" w:rsidRDefault="006724FB">
            <w:pPr>
              <w:pStyle w:val="TableNAm"/>
              <w:jc w:val="center"/>
            </w:pPr>
            <w:r>
              <w:t>1</w:t>
            </w:r>
          </w:p>
        </w:tc>
      </w:tr>
      <w:tr w:rsidR="006724FB">
        <w:trPr>
          <w:trHeight w:val="240"/>
        </w:trPr>
        <w:tc>
          <w:tcPr>
            <w:tcW w:w="639" w:type="dxa"/>
          </w:tcPr>
          <w:p w:rsidR="006724FB" w:rsidRDefault="006724FB">
            <w:pPr>
              <w:pStyle w:val="TableNAm"/>
            </w:pPr>
          </w:p>
        </w:tc>
        <w:tc>
          <w:tcPr>
            <w:tcW w:w="1195" w:type="dxa"/>
          </w:tcPr>
          <w:p w:rsidR="006724FB" w:rsidRDefault="006724FB">
            <w:pPr>
              <w:pStyle w:val="TableNAm"/>
            </w:pPr>
            <w:r>
              <w:t>SR3</w:t>
            </w:r>
          </w:p>
        </w:tc>
        <w:tc>
          <w:tcPr>
            <w:tcW w:w="1357" w:type="dxa"/>
          </w:tcPr>
          <w:p w:rsidR="006724FB" w:rsidRDefault="006724FB">
            <w:pPr>
              <w:pStyle w:val="TableNAm"/>
            </w:pPr>
            <w:r>
              <w:t>3</w:t>
            </w:r>
          </w:p>
        </w:tc>
        <w:tc>
          <w:tcPr>
            <w:tcW w:w="1417" w:type="dxa"/>
            <w:gridSpan w:val="2"/>
          </w:tcPr>
          <w:p w:rsidR="006724FB" w:rsidRDefault="006724FB">
            <w:pPr>
              <w:pStyle w:val="TableNAm"/>
            </w:pPr>
            <w:r>
              <w:t>any</w:t>
            </w:r>
          </w:p>
        </w:tc>
        <w:tc>
          <w:tcPr>
            <w:tcW w:w="2419" w:type="dxa"/>
            <w:gridSpan w:val="3"/>
          </w:tcPr>
          <w:p w:rsidR="006724FB" w:rsidRDefault="006724FB">
            <w:pPr>
              <w:pStyle w:val="TableNAm"/>
              <w:jc w:val="center"/>
            </w:pPr>
            <w:r>
              <w:t>1</w:t>
            </w:r>
          </w:p>
        </w:tc>
      </w:tr>
      <w:tr w:rsidR="006724FB">
        <w:trPr>
          <w:trHeight w:val="240"/>
        </w:trPr>
        <w:tc>
          <w:tcPr>
            <w:tcW w:w="639" w:type="dxa"/>
          </w:tcPr>
          <w:p w:rsidR="006724FB" w:rsidRDefault="006724FB">
            <w:pPr>
              <w:pStyle w:val="TableNAm"/>
            </w:pPr>
          </w:p>
        </w:tc>
        <w:tc>
          <w:tcPr>
            <w:tcW w:w="1195" w:type="dxa"/>
          </w:tcPr>
          <w:p w:rsidR="006724FB" w:rsidRDefault="006724FB">
            <w:pPr>
              <w:pStyle w:val="TableNAm"/>
            </w:pPr>
            <w:r>
              <w:t>SR4</w:t>
            </w:r>
          </w:p>
        </w:tc>
        <w:tc>
          <w:tcPr>
            <w:tcW w:w="1357" w:type="dxa"/>
          </w:tcPr>
          <w:p w:rsidR="006724FB" w:rsidRDefault="006724FB">
            <w:pPr>
              <w:pStyle w:val="TableNAm"/>
            </w:pPr>
            <w:r>
              <w:t>4</w:t>
            </w:r>
          </w:p>
        </w:tc>
        <w:tc>
          <w:tcPr>
            <w:tcW w:w="1417" w:type="dxa"/>
            <w:gridSpan w:val="2"/>
          </w:tcPr>
          <w:p w:rsidR="006724FB" w:rsidRDefault="006724FB">
            <w:pPr>
              <w:pStyle w:val="TableNAm"/>
            </w:pPr>
            <w:r>
              <w:t>any</w:t>
            </w:r>
          </w:p>
        </w:tc>
        <w:tc>
          <w:tcPr>
            <w:tcW w:w="2419" w:type="dxa"/>
            <w:gridSpan w:val="3"/>
          </w:tcPr>
          <w:p w:rsidR="006724FB" w:rsidRDefault="006724FB">
            <w:pPr>
              <w:pStyle w:val="TableNAm"/>
              <w:jc w:val="center"/>
            </w:pPr>
            <w:r>
              <w:t>1</w:t>
            </w:r>
          </w:p>
        </w:tc>
      </w:tr>
      <w:tr w:rsidR="006724FB">
        <w:trPr>
          <w:trHeight w:val="240"/>
        </w:trPr>
        <w:tc>
          <w:tcPr>
            <w:tcW w:w="639" w:type="dxa"/>
          </w:tcPr>
          <w:p w:rsidR="006724FB" w:rsidRDefault="006724FB">
            <w:pPr>
              <w:pStyle w:val="TableNAm"/>
            </w:pPr>
          </w:p>
        </w:tc>
        <w:tc>
          <w:tcPr>
            <w:tcW w:w="1195" w:type="dxa"/>
          </w:tcPr>
          <w:p w:rsidR="006724FB" w:rsidRDefault="006724FB">
            <w:pPr>
              <w:pStyle w:val="TableNAm"/>
            </w:pPr>
            <w:r>
              <w:t>SR5</w:t>
            </w:r>
          </w:p>
        </w:tc>
        <w:tc>
          <w:tcPr>
            <w:tcW w:w="1357" w:type="dxa"/>
          </w:tcPr>
          <w:p w:rsidR="006724FB" w:rsidRDefault="006724FB">
            <w:pPr>
              <w:pStyle w:val="TableNAm"/>
            </w:pPr>
            <w:r>
              <w:t>5</w:t>
            </w:r>
          </w:p>
        </w:tc>
        <w:tc>
          <w:tcPr>
            <w:tcW w:w="1417" w:type="dxa"/>
            <w:gridSpan w:val="2"/>
          </w:tcPr>
          <w:p w:rsidR="006724FB" w:rsidRDefault="006724FB">
            <w:pPr>
              <w:pStyle w:val="TableNAm"/>
            </w:pPr>
            <w:r>
              <w:t>any</w:t>
            </w:r>
          </w:p>
        </w:tc>
        <w:tc>
          <w:tcPr>
            <w:tcW w:w="2419" w:type="dxa"/>
            <w:gridSpan w:val="3"/>
          </w:tcPr>
          <w:p w:rsidR="006724FB" w:rsidRDefault="006724FB">
            <w:pPr>
              <w:pStyle w:val="TableNAm"/>
              <w:jc w:val="center"/>
            </w:pPr>
            <w:r>
              <w:t>1</w:t>
            </w:r>
          </w:p>
        </w:tc>
      </w:tr>
      <w:tr w:rsidR="006724FB">
        <w:trPr>
          <w:trHeight w:val="240"/>
        </w:trPr>
        <w:tc>
          <w:tcPr>
            <w:tcW w:w="639" w:type="dxa"/>
          </w:tcPr>
          <w:p w:rsidR="006724FB" w:rsidRDefault="006724FB">
            <w:pPr>
              <w:pStyle w:val="TableNAm"/>
            </w:pPr>
          </w:p>
        </w:tc>
        <w:tc>
          <w:tcPr>
            <w:tcW w:w="1195" w:type="dxa"/>
          </w:tcPr>
          <w:p w:rsidR="006724FB" w:rsidRDefault="006724FB">
            <w:pPr>
              <w:pStyle w:val="TableNAm"/>
            </w:pPr>
            <w:r>
              <w:t>MR2</w:t>
            </w:r>
          </w:p>
        </w:tc>
        <w:tc>
          <w:tcPr>
            <w:tcW w:w="1357" w:type="dxa"/>
          </w:tcPr>
          <w:p w:rsidR="006724FB" w:rsidRDefault="006724FB">
            <w:pPr>
              <w:pStyle w:val="TableNAm"/>
            </w:pPr>
            <w:r>
              <w:t>2</w:t>
            </w:r>
          </w:p>
        </w:tc>
        <w:tc>
          <w:tcPr>
            <w:tcW w:w="1417" w:type="dxa"/>
            <w:gridSpan w:val="2"/>
          </w:tcPr>
          <w:p w:rsidR="006724FB" w:rsidRDefault="006724FB">
            <w:pPr>
              <w:pStyle w:val="TableNAm"/>
            </w:pPr>
            <w:r>
              <w:t>any</w:t>
            </w:r>
          </w:p>
        </w:tc>
        <w:tc>
          <w:tcPr>
            <w:tcW w:w="2419" w:type="dxa"/>
            <w:gridSpan w:val="3"/>
          </w:tcPr>
          <w:p w:rsidR="006724FB" w:rsidRDefault="006724FB">
            <w:pPr>
              <w:pStyle w:val="TableNAm"/>
              <w:jc w:val="center"/>
            </w:pPr>
            <w:r>
              <w:t>1</w:t>
            </w:r>
          </w:p>
        </w:tc>
      </w:tr>
      <w:tr w:rsidR="006724FB">
        <w:trPr>
          <w:trHeight w:val="240"/>
        </w:trPr>
        <w:tc>
          <w:tcPr>
            <w:tcW w:w="639" w:type="dxa"/>
          </w:tcPr>
          <w:p w:rsidR="006724FB" w:rsidRDefault="006724FB">
            <w:pPr>
              <w:pStyle w:val="TableNAm"/>
            </w:pPr>
          </w:p>
        </w:tc>
        <w:tc>
          <w:tcPr>
            <w:tcW w:w="1195" w:type="dxa"/>
          </w:tcPr>
          <w:p w:rsidR="006724FB" w:rsidRDefault="006724FB">
            <w:pPr>
              <w:pStyle w:val="TableNAm"/>
            </w:pPr>
            <w:r>
              <w:t>MR3</w:t>
            </w:r>
          </w:p>
        </w:tc>
        <w:tc>
          <w:tcPr>
            <w:tcW w:w="1357" w:type="dxa"/>
          </w:tcPr>
          <w:p w:rsidR="006724FB" w:rsidRDefault="006724FB">
            <w:pPr>
              <w:pStyle w:val="TableNAm"/>
            </w:pPr>
            <w:r>
              <w:t>3</w:t>
            </w:r>
          </w:p>
        </w:tc>
        <w:tc>
          <w:tcPr>
            <w:tcW w:w="1417" w:type="dxa"/>
            <w:gridSpan w:val="2"/>
          </w:tcPr>
          <w:p w:rsidR="006724FB" w:rsidRDefault="006724FB">
            <w:pPr>
              <w:pStyle w:val="TableNAm"/>
            </w:pPr>
            <w:r>
              <w:t>any</w:t>
            </w:r>
          </w:p>
        </w:tc>
        <w:tc>
          <w:tcPr>
            <w:tcW w:w="2419" w:type="dxa"/>
            <w:gridSpan w:val="3"/>
          </w:tcPr>
          <w:p w:rsidR="006724FB" w:rsidRDefault="006724FB">
            <w:pPr>
              <w:pStyle w:val="TableNAm"/>
              <w:jc w:val="center"/>
            </w:pPr>
            <w:r>
              <w:t>1</w:t>
            </w:r>
          </w:p>
        </w:tc>
      </w:tr>
      <w:tr w:rsidR="006724FB">
        <w:trPr>
          <w:trHeight w:val="240"/>
        </w:trPr>
        <w:tc>
          <w:tcPr>
            <w:tcW w:w="639" w:type="dxa"/>
          </w:tcPr>
          <w:p w:rsidR="006724FB" w:rsidRDefault="006724FB">
            <w:pPr>
              <w:pStyle w:val="TableNAm"/>
            </w:pPr>
          </w:p>
        </w:tc>
        <w:tc>
          <w:tcPr>
            <w:tcW w:w="1195" w:type="dxa"/>
          </w:tcPr>
          <w:p w:rsidR="006724FB" w:rsidRDefault="006724FB">
            <w:pPr>
              <w:pStyle w:val="TableNAm"/>
            </w:pPr>
            <w:r>
              <w:t>MR4</w:t>
            </w:r>
          </w:p>
        </w:tc>
        <w:tc>
          <w:tcPr>
            <w:tcW w:w="1357" w:type="dxa"/>
          </w:tcPr>
          <w:p w:rsidR="006724FB" w:rsidRDefault="006724FB">
            <w:pPr>
              <w:pStyle w:val="TableNAm"/>
            </w:pPr>
            <w:r>
              <w:t>4</w:t>
            </w:r>
          </w:p>
        </w:tc>
        <w:tc>
          <w:tcPr>
            <w:tcW w:w="1417" w:type="dxa"/>
            <w:gridSpan w:val="2"/>
          </w:tcPr>
          <w:p w:rsidR="006724FB" w:rsidRDefault="006724FB">
            <w:pPr>
              <w:pStyle w:val="TableNAm"/>
            </w:pPr>
            <w:r>
              <w:t>any</w:t>
            </w:r>
          </w:p>
        </w:tc>
        <w:tc>
          <w:tcPr>
            <w:tcW w:w="2419" w:type="dxa"/>
            <w:gridSpan w:val="3"/>
          </w:tcPr>
          <w:p w:rsidR="006724FB" w:rsidRDefault="006724FB">
            <w:pPr>
              <w:pStyle w:val="TableNAm"/>
              <w:jc w:val="center"/>
            </w:pPr>
            <w:r>
              <w:t>1</w:t>
            </w:r>
          </w:p>
        </w:tc>
      </w:tr>
      <w:tr w:rsidR="006724FB">
        <w:trPr>
          <w:trHeight w:val="240"/>
        </w:trPr>
        <w:tc>
          <w:tcPr>
            <w:tcW w:w="639" w:type="dxa"/>
          </w:tcPr>
          <w:p w:rsidR="006724FB" w:rsidRDefault="006724FB">
            <w:pPr>
              <w:pStyle w:val="TableNAm"/>
            </w:pPr>
          </w:p>
        </w:tc>
        <w:tc>
          <w:tcPr>
            <w:tcW w:w="1195" w:type="dxa"/>
          </w:tcPr>
          <w:p w:rsidR="006724FB" w:rsidRDefault="006724FB">
            <w:pPr>
              <w:pStyle w:val="TableNAm"/>
            </w:pPr>
            <w:r>
              <w:t>MR5</w:t>
            </w:r>
          </w:p>
        </w:tc>
        <w:tc>
          <w:tcPr>
            <w:tcW w:w="1357" w:type="dxa"/>
          </w:tcPr>
          <w:p w:rsidR="006724FB" w:rsidRDefault="006724FB">
            <w:pPr>
              <w:pStyle w:val="TableNAm"/>
            </w:pPr>
            <w:r>
              <w:t>5 or more</w:t>
            </w:r>
          </w:p>
        </w:tc>
        <w:tc>
          <w:tcPr>
            <w:tcW w:w="1417" w:type="dxa"/>
            <w:gridSpan w:val="2"/>
          </w:tcPr>
          <w:p w:rsidR="006724FB" w:rsidRDefault="006724FB">
            <w:pPr>
              <w:pStyle w:val="TableNAm"/>
            </w:pPr>
            <w:r>
              <w:t>any</w:t>
            </w:r>
          </w:p>
        </w:tc>
        <w:tc>
          <w:tcPr>
            <w:tcW w:w="2419" w:type="dxa"/>
            <w:gridSpan w:val="3"/>
          </w:tcPr>
          <w:p w:rsidR="006724FB" w:rsidRDefault="006724FB">
            <w:pPr>
              <w:pStyle w:val="TableNAm"/>
              <w:jc w:val="center"/>
            </w:pPr>
            <w:r>
              <w:t>1</w:t>
            </w:r>
          </w:p>
        </w:tc>
      </w:tr>
      <w:tr w:rsidR="006724FB">
        <w:trPr>
          <w:trHeight w:val="240"/>
        </w:trPr>
        <w:tc>
          <w:tcPr>
            <w:tcW w:w="639" w:type="dxa"/>
          </w:tcPr>
          <w:p w:rsidR="006724FB" w:rsidRDefault="006724FB">
            <w:pPr>
              <w:pStyle w:val="TableNAm"/>
            </w:pPr>
          </w:p>
        </w:tc>
        <w:tc>
          <w:tcPr>
            <w:tcW w:w="1195" w:type="dxa"/>
          </w:tcPr>
          <w:p w:rsidR="006724FB" w:rsidRDefault="006724FB">
            <w:pPr>
              <w:pStyle w:val="TableNAm"/>
            </w:pPr>
            <w:r>
              <w:t>LR2</w:t>
            </w:r>
          </w:p>
        </w:tc>
        <w:tc>
          <w:tcPr>
            <w:tcW w:w="1357" w:type="dxa"/>
          </w:tcPr>
          <w:p w:rsidR="006724FB" w:rsidRDefault="006724FB">
            <w:pPr>
              <w:pStyle w:val="TableNAm"/>
            </w:pPr>
            <w:r>
              <w:t>2</w:t>
            </w:r>
          </w:p>
        </w:tc>
        <w:tc>
          <w:tcPr>
            <w:tcW w:w="1417" w:type="dxa"/>
            <w:gridSpan w:val="2"/>
          </w:tcPr>
          <w:p w:rsidR="006724FB" w:rsidRDefault="006724FB">
            <w:pPr>
              <w:pStyle w:val="TableNAm"/>
            </w:pPr>
            <w:r>
              <w:t>any</w:t>
            </w:r>
          </w:p>
        </w:tc>
        <w:tc>
          <w:tcPr>
            <w:tcW w:w="2419" w:type="dxa"/>
            <w:gridSpan w:val="3"/>
          </w:tcPr>
          <w:p w:rsidR="006724FB" w:rsidRDefault="006724FB">
            <w:pPr>
              <w:pStyle w:val="TableNAm"/>
              <w:jc w:val="center"/>
            </w:pPr>
          </w:p>
        </w:tc>
      </w:tr>
      <w:tr w:rsidR="006724FB">
        <w:trPr>
          <w:trHeight w:val="240"/>
        </w:trPr>
        <w:tc>
          <w:tcPr>
            <w:tcW w:w="639" w:type="dxa"/>
          </w:tcPr>
          <w:p w:rsidR="006724FB" w:rsidRDefault="006724FB">
            <w:pPr>
              <w:pStyle w:val="TableNAm"/>
            </w:pPr>
          </w:p>
        </w:tc>
        <w:tc>
          <w:tcPr>
            <w:tcW w:w="1195" w:type="dxa"/>
          </w:tcPr>
          <w:p w:rsidR="006724FB" w:rsidRDefault="006724FB">
            <w:pPr>
              <w:pStyle w:val="TableNAm"/>
            </w:pPr>
            <w:r>
              <w:t>LR3</w:t>
            </w:r>
          </w:p>
        </w:tc>
        <w:tc>
          <w:tcPr>
            <w:tcW w:w="1357" w:type="dxa"/>
          </w:tcPr>
          <w:p w:rsidR="006724FB" w:rsidRDefault="006724FB">
            <w:pPr>
              <w:pStyle w:val="TableNAm"/>
            </w:pPr>
            <w:r>
              <w:t>3</w:t>
            </w:r>
          </w:p>
        </w:tc>
        <w:tc>
          <w:tcPr>
            <w:tcW w:w="1417" w:type="dxa"/>
            <w:gridSpan w:val="2"/>
          </w:tcPr>
          <w:p w:rsidR="006724FB" w:rsidRDefault="006724FB">
            <w:pPr>
              <w:pStyle w:val="TableNAm"/>
            </w:pPr>
            <w:r>
              <w:t>any</w:t>
            </w:r>
          </w:p>
        </w:tc>
        <w:tc>
          <w:tcPr>
            <w:tcW w:w="2419" w:type="dxa"/>
            <w:gridSpan w:val="3"/>
          </w:tcPr>
          <w:p w:rsidR="006724FB" w:rsidRDefault="006724FB">
            <w:pPr>
              <w:pStyle w:val="TableNAm"/>
              <w:jc w:val="center"/>
            </w:pPr>
          </w:p>
        </w:tc>
      </w:tr>
      <w:tr w:rsidR="006724FB">
        <w:trPr>
          <w:trHeight w:val="240"/>
        </w:trPr>
        <w:tc>
          <w:tcPr>
            <w:tcW w:w="639" w:type="dxa"/>
          </w:tcPr>
          <w:p w:rsidR="006724FB" w:rsidRDefault="006724FB">
            <w:pPr>
              <w:pStyle w:val="TableNAm"/>
            </w:pPr>
          </w:p>
        </w:tc>
        <w:tc>
          <w:tcPr>
            <w:tcW w:w="1195" w:type="dxa"/>
          </w:tcPr>
          <w:p w:rsidR="006724FB" w:rsidRDefault="006724FB">
            <w:pPr>
              <w:pStyle w:val="TableNAm"/>
            </w:pPr>
            <w:r>
              <w:t>LR4</w:t>
            </w:r>
          </w:p>
        </w:tc>
        <w:tc>
          <w:tcPr>
            <w:tcW w:w="1357" w:type="dxa"/>
          </w:tcPr>
          <w:p w:rsidR="006724FB" w:rsidRDefault="006724FB">
            <w:pPr>
              <w:pStyle w:val="TableNAm"/>
            </w:pPr>
            <w:r>
              <w:t>4</w:t>
            </w:r>
          </w:p>
        </w:tc>
        <w:tc>
          <w:tcPr>
            <w:tcW w:w="1417" w:type="dxa"/>
            <w:gridSpan w:val="2"/>
          </w:tcPr>
          <w:p w:rsidR="006724FB" w:rsidRDefault="006724FB">
            <w:pPr>
              <w:pStyle w:val="TableNAm"/>
            </w:pPr>
            <w:r>
              <w:t>any</w:t>
            </w:r>
          </w:p>
        </w:tc>
        <w:tc>
          <w:tcPr>
            <w:tcW w:w="2419" w:type="dxa"/>
            <w:gridSpan w:val="3"/>
          </w:tcPr>
          <w:p w:rsidR="006724FB" w:rsidRDefault="006724FB">
            <w:pPr>
              <w:pStyle w:val="TableNAm"/>
              <w:jc w:val="center"/>
            </w:pPr>
          </w:p>
        </w:tc>
      </w:tr>
      <w:tr w:rsidR="006724FB">
        <w:trPr>
          <w:trHeight w:val="240"/>
        </w:trPr>
        <w:tc>
          <w:tcPr>
            <w:tcW w:w="639" w:type="dxa"/>
          </w:tcPr>
          <w:p w:rsidR="006724FB" w:rsidRDefault="006724FB">
            <w:pPr>
              <w:pStyle w:val="TableNAm"/>
            </w:pPr>
          </w:p>
        </w:tc>
        <w:tc>
          <w:tcPr>
            <w:tcW w:w="1195" w:type="dxa"/>
          </w:tcPr>
          <w:p w:rsidR="006724FB" w:rsidRDefault="006724FB">
            <w:pPr>
              <w:pStyle w:val="TableNAm"/>
            </w:pPr>
            <w:r>
              <w:t>LR5</w:t>
            </w:r>
          </w:p>
        </w:tc>
        <w:tc>
          <w:tcPr>
            <w:tcW w:w="1357" w:type="dxa"/>
          </w:tcPr>
          <w:p w:rsidR="006724FB" w:rsidRDefault="006724FB">
            <w:pPr>
              <w:pStyle w:val="TableNAm"/>
            </w:pPr>
            <w:r>
              <w:t>5 or more</w:t>
            </w:r>
          </w:p>
        </w:tc>
        <w:tc>
          <w:tcPr>
            <w:tcW w:w="1417" w:type="dxa"/>
            <w:gridSpan w:val="2"/>
          </w:tcPr>
          <w:p w:rsidR="006724FB" w:rsidRDefault="006724FB">
            <w:pPr>
              <w:pStyle w:val="TableNAm"/>
            </w:pPr>
            <w:r>
              <w:t>any</w:t>
            </w:r>
          </w:p>
        </w:tc>
        <w:tc>
          <w:tcPr>
            <w:tcW w:w="2419" w:type="dxa"/>
            <w:gridSpan w:val="3"/>
          </w:tcPr>
          <w:p w:rsidR="006724FB" w:rsidRDefault="006724FB">
            <w:pPr>
              <w:pStyle w:val="TableNAm"/>
              <w:jc w:val="center"/>
            </w:pPr>
          </w:p>
        </w:tc>
      </w:tr>
      <w:tr w:rsidR="00672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rsidR="006724FB" w:rsidRDefault="006724FB">
            <w:pPr>
              <w:pStyle w:val="TableNAm"/>
              <w:rPr>
                <w:b/>
              </w:rPr>
            </w:pPr>
            <w:r>
              <w:rPr>
                <w:b/>
              </w:rPr>
              <w:t>Prime mover</w:t>
            </w:r>
          </w:p>
        </w:tc>
      </w:tr>
      <w:tr w:rsidR="006724FB">
        <w:tc>
          <w:tcPr>
            <w:tcW w:w="639" w:type="dxa"/>
          </w:tcPr>
          <w:p w:rsidR="006724FB" w:rsidRDefault="006724FB">
            <w:pPr>
              <w:pStyle w:val="TableNAm"/>
            </w:pPr>
          </w:p>
        </w:tc>
        <w:tc>
          <w:tcPr>
            <w:tcW w:w="1195" w:type="dxa"/>
          </w:tcPr>
          <w:p w:rsidR="006724FB" w:rsidRDefault="006724FB">
            <w:pPr>
              <w:pStyle w:val="TableNAm"/>
            </w:pPr>
            <w:r>
              <w:t>SP2</w:t>
            </w:r>
          </w:p>
        </w:tc>
        <w:tc>
          <w:tcPr>
            <w:tcW w:w="1357" w:type="dxa"/>
          </w:tcPr>
          <w:p w:rsidR="006724FB" w:rsidRDefault="006724FB">
            <w:pPr>
              <w:pStyle w:val="TableNAm"/>
            </w:pPr>
            <w:r>
              <w:t>2</w:t>
            </w:r>
          </w:p>
        </w:tc>
        <w:tc>
          <w:tcPr>
            <w:tcW w:w="1373" w:type="dxa"/>
          </w:tcPr>
          <w:p w:rsidR="006724FB" w:rsidRDefault="006724FB">
            <w:pPr>
              <w:pStyle w:val="TableNAm"/>
            </w:pPr>
            <w:r>
              <w:t>any</w:t>
            </w:r>
          </w:p>
        </w:tc>
        <w:tc>
          <w:tcPr>
            <w:tcW w:w="2463" w:type="dxa"/>
            <w:gridSpan w:val="4"/>
          </w:tcPr>
          <w:p w:rsidR="006724FB" w:rsidRDefault="006724FB">
            <w:pPr>
              <w:pStyle w:val="TableNAm"/>
              <w:tabs>
                <w:tab w:val="clear" w:pos="567"/>
              </w:tabs>
            </w:pPr>
            <w:r>
              <w:t>1 semi</w:t>
            </w:r>
            <w:r>
              <w:noBreakHyphen/>
              <w:t>trailer and nil other trailers</w:t>
            </w:r>
          </w:p>
        </w:tc>
      </w:tr>
      <w:tr w:rsidR="006724FB">
        <w:tc>
          <w:tcPr>
            <w:tcW w:w="639" w:type="dxa"/>
          </w:tcPr>
          <w:p w:rsidR="006724FB" w:rsidRDefault="006724FB">
            <w:pPr>
              <w:pStyle w:val="TableNAm"/>
            </w:pPr>
          </w:p>
        </w:tc>
        <w:tc>
          <w:tcPr>
            <w:tcW w:w="1195" w:type="dxa"/>
          </w:tcPr>
          <w:p w:rsidR="006724FB" w:rsidRDefault="006724FB">
            <w:pPr>
              <w:pStyle w:val="TableNAm"/>
            </w:pPr>
            <w:r>
              <w:t>SP3</w:t>
            </w:r>
          </w:p>
        </w:tc>
        <w:tc>
          <w:tcPr>
            <w:tcW w:w="1357" w:type="dxa"/>
          </w:tcPr>
          <w:p w:rsidR="006724FB" w:rsidRDefault="006724FB">
            <w:pPr>
              <w:pStyle w:val="TableNAm"/>
            </w:pPr>
            <w:r>
              <w:t>3</w:t>
            </w:r>
          </w:p>
        </w:tc>
        <w:tc>
          <w:tcPr>
            <w:tcW w:w="1373" w:type="dxa"/>
          </w:tcPr>
          <w:p w:rsidR="006724FB" w:rsidRDefault="006724FB">
            <w:pPr>
              <w:pStyle w:val="TableNAm"/>
            </w:pPr>
            <w:r>
              <w:t>any</w:t>
            </w:r>
          </w:p>
        </w:tc>
        <w:tc>
          <w:tcPr>
            <w:tcW w:w="2463" w:type="dxa"/>
            <w:gridSpan w:val="4"/>
          </w:tcPr>
          <w:p w:rsidR="006724FB" w:rsidRDefault="006724FB">
            <w:pPr>
              <w:pStyle w:val="TableNAm"/>
              <w:tabs>
                <w:tab w:val="clear" w:pos="567"/>
              </w:tabs>
            </w:pPr>
            <w:r>
              <w:t>1 semi</w:t>
            </w:r>
            <w:r>
              <w:noBreakHyphen/>
              <w:t>trailer and nil other trailers</w:t>
            </w:r>
          </w:p>
        </w:tc>
      </w:tr>
      <w:tr w:rsidR="006724FB">
        <w:tc>
          <w:tcPr>
            <w:tcW w:w="639" w:type="dxa"/>
          </w:tcPr>
          <w:p w:rsidR="006724FB" w:rsidRDefault="006724FB">
            <w:pPr>
              <w:pStyle w:val="TableNAm"/>
            </w:pPr>
          </w:p>
        </w:tc>
        <w:tc>
          <w:tcPr>
            <w:tcW w:w="1195" w:type="dxa"/>
          </w:tcPr>
          <w:p w:rsidR="006724FB" w:rsidRDefault="006724FB">
            <w:pPr>
              <w:pStyle w:val="TableNAm"/>
            </w:pPr>
            <w:r>
              <w:t>SP4</w:t>
            </w:r>
          </w:p>
        </w:tc>
        <w:tc>
          <w:tcPr>
            <w:tcW w:w="1357" w:type="dxa"/>
          </w:tcPr>
          <w:p w:rsidR="006724FB" w:rsidRDefault="006724FB">
            <w:pPr>
              <w:pStyle w:val="TableNAm"/>
            </w:pPr>
            <w:r>
              <w:t>4</w:t>
            </w:r>
          </w:p>
        </w:tc>
        <w:tc>
          <w:tcPr>
            <w:tcW w:w="1373" w:type="dxa"/>
          </w:tcPr>
          <w:p w:rsidR="006724FB" w:rsidRDefault="006724FB">
            <w:pPr>
              <w:pStyle w:val="TableNAm"/>
            </w:pPr>
            <w:r>
              <w:t>any</w:t>
            </w:r>
          </w:p>
        </w:tc>
        <w:tc>
          <w:tcPr>
            <w:tcW w:w="2463" w:type="dxa"/>
            <w:gridSpan w:val="4"/>
          </w:tcPr>
          <w:p w:rsidR="006724FB" w:rsidRDefault="006724FB">
            <w:pPr>
              <w:pStyle w:val="TableNAm"/>
              <w:tabs>
                <w:tab w:val="clear" w:pos="567"/>
              </w:tabs>
            </w:pPr>
            <w:r>
              <w:t>1 semi</w:t>
            </w:r>
            <w:r>
              <w:noBreakHyphen/>
              <w:t>trailer and nil other trailers</w:t>
            </w:r>
          </w:p>
        </w:tc>
      </w:tr>
      <w:tr w:rsidR="006724FB">
        <w:tc>
          <w:tcPr>
            <w:tcW w:w="639" w:type="dxa"/>
          </w:tcPr>
          <w:p w:rsidR="006724FB" w:rsidRDefault="006724FB">
            <w:pPr>
              <w:pStyle w:val="TableNAm"/>
              <w:keepNext/>
              <w:keepLines/>
            </w:pPr>
          </w:p>
        </w:tc>
        <w:tc>
          <w:tcPr>
            <w:tcW w:w="1195" w:type="dxa"/>
          </w:tcPr>
          <w:p w:rsidR="006724FB" w:rsidRDefault="006724FB">
            <w:pPr>
              <w:pStyle w:val="TableNAm"/>
              <w:keepNext/>
              <w:keepLines/>
            </w:pPr>
            <w:r>
              <w:t>SP5</w:t>
            </w:r>
          </w:p>
        </w:tc>
        <w:tc>
          <w:tcPr>
            <w:tcW w:w="1357" w:type="dxa"/>
          </w:tcPr>
          <w:p w:rsidR="006724FB" w:rsidRDefault="006724FB">
            <w:pPr>
              <w:pStyle w:val="TableNAm"/>
              <w:keepNext/>
              <w:keepLines/>
            </w:pPr>
            <w:r>
              <w:t>5 or more</w:t>
            </w:r>
          </w:p>
        </w:tc>
        <w:tc>
          <w:tcPr>
            <w:tcW w:w="1373" w:type="dxa"/>
          </w:tcPr>
          <w:p w:rsidR="006724FB" w:rsidRDefault="006724FB">
            <w:pPr>
              <w:pStyle w:val="TableNAm"/>
              <w:keepNext/>
              <w:keepLines/>
            </w:pPr>
            <w:r>
              <w:t>any</w:t>
            </w:r>
          </w:p>
        </w:tc>
        <w:tc>
          <w:tcPr>
            <w:tcW w:w="2463" w:type="dxa"/>
            <w:gridSpan w:val="4"/>
          </w:tcPr>
          <w:p w:rsidR="006724FB" w:rsidRDefault="006724FB">
            <w:pPr>
              <w:pStyle w:val="TableNAm"/>
              <w:keepNext/>
              <w:keepLines/>
              <w:tabs>
                <w:tab w:val="clear" w:pos="567"/>
              </w:tabs>
            </w:pPr>
            <w:r>
              <w:t>1 semi</w:t>
            </w:r>
            <w:r>
              <w:noBreakHyphen/>
              <w:t>trailer and nil other trailers</w:t>
            </w:r>
          </w:p>
        </w:tc>
      </w:tr>
      <w:tr w:rsidR="006724FB">
        <w:tblPrEx>
          <w:tblCellMar>
            <w:left w:w="108" w:type="dxa"/>
            <w:right w:w="108" w:type="dxa"/>
          </w:tblCellMar>
        </w:tblPrEx>
        <w:tc>
          <w:tcPr>
            <w:tcW w:w="639" w:type="dxa"/>
          </w:tcPr>
          <w:p w:rsidR="006724FB" w:rsidRDefault="006724FB">
            <w:pPr>
              <w:pStyle w:val="TableNAm"/>
            </w:pPr>
          </w:p>
        </w:tc>
        <w:tc>
          <w:tcPr>
            <w:tcW w:w="1195" w:type="dxa"/>
          </w:tcPr>
          <w:p w:rsidR="006724FB" w:rsidRDefault="006724FB">
            <w:pPr>
              <w:pStyle w:val="TableNAm"/>
            </w:pPr>
            <w:r>
              <w:t>MC2</w:t>
            </w:r>
          </w:p>
        </w:tc>
        <w:tc>
          <w:tcPr>
            <w:tcW w:w="1357" w:type="dxa"/>
          </w:tcPr>
          <w:p w:rsidR="006724FB" w:rsidRDefault="006724FB">
            <w:pPr>
              <w:pStyle w:val="TableNAm"/>
            </w:pPr>
            <w:r>
              <w:t>2</w:t>
            </w:r>
          </w:p>
        </w:tc>
        <w:tc>
          <w:tcPr>
            <w:tcW w:w="1373" w:type="dxa"/>
          </w:tcPr>
          <w:p w:rsidR="006724FB" w:rsidRDefault="006724FB">
            <w:pPr>
              <w:pStyle w:val="TableNAm"/>
            </w:pPr>
            <w:r>
              <w:t>any</w:t>
            </w:r>
          </w:p>
        </w:tc>
        <w:tc>
          <w:tcPr>
            <w:tcW w:w="2463" w:type="dxa"/>
            <w:gridSpan w:val="4"/>
          </w:tcPr>
          <w:p w:rsidR="006724FB" w:rsidRDefault="006724FB">
            <w:pPr>
              <w:pStyle w:val="TableNAm"/>
              <w:tabs>
                <w:tab w:val="clear" w:pos="567"/>
              </w:tabs>
            </w:pPr>
            <w:r>
              <w:t>2 semi</w:t>
            </w:r>
            <w:r>
              <w:noBreakHyphen/>
              <w:t>trailers if no other trailers, otherwise 1 semi</w:t>
            </w:r>
            <w:r>
              <w:noBreakHyphen/>
              <w:t>trailer</w:t>
            </w:r>
          </w:p>
        </w:tc>
      </w:tr>
      <w:tr w:rsidR="006724FB">
        <w:tblPrEx>
          <w:tblCellMar>
            <w:left w:w="108" w:type="dxa"/>
            <w:right w:w="108" w:type="dxa"/>
          </w:tblCellMar>
        </w:tblPrEx>
        <w:tc>
          <w:tcPr>
            <w:tcW w:w="639" w:type="dxa"/>
          </w:tcPr>
          <w:p w:rsidR="006724FB" w:rsidRDefault="006724FB">
            <w:pPr>
              <w:pStyle w:val="TableNAm"/>
            </w:pPr>
          </w:p>
        </w:tc>
        <w:tc>
          <w:tcPr>
            <w:tcW w:w="1195" w:type="dxa"/>
          </w:tcPr>
          <w:p w:rsidR="006724FB" w:rsidRDefault="006724FB">
            <w:pPr>
              <w:pStyle w:val="TableNAm"/>
            </w:pPr>
            <w:r>
              <w:t>MC3</w:t>
            </w:r>
          </w:p>
        </w:tc>
        <w:tc>
          <w:tcPr>
            <w:tcW w:w="1357" w:type="dxa"/>
          </w:tcPr>
          <w:p w:rsidR="006724FB" w:rsidRDefault="006724FB">
            <w:pPr>
              <w:pStyle w:val="TableNAm"/>
            </w:pPr>
            <w:r>
              <w:t>3</w:t>
            </w:r>
          </w:p>
        </w:tc>
        <w:tc>
          <w:tcPr>
            <w:tcW w:w="1373" w:type="dxa"/>
          </w:tcPr>
          <w:p w:rsidR="006724FB" w:rsidRDefault="006724FB">
            <w:pPr>
              <w:pStyle w:val="TableNAm"/>
            </w:pPr>
            <w:r>
              <w:t>any</w:t>
            </w:r>
          </w:p>
        </w:tc>
        <w:tc>
          <w:tcPr>
            <w:tcW w:w="2463" w:type="dxa"/>
            <w:gridSpan w:val="4"/>
          </w:tcPr>
          <w:p w:rsidR="006724FB" w:rsidRDefault="006724FB">
            <w:pPr>
              <w:pStyle w:val="TableNAm"/>
              <w:tabs>
                <w:tab w:val="clear" w:pos="567"/>
              </w:tabs>
            </w:pPr>
            <w:r>
              <w:t>2 semi</w:t>
            </w:r>
            <w:r>
              <w:noBreakHyphen/>
              <w:t>trailers if no other trailers, otherwise 1 semi</w:t>
            </w:r>
            <w:r>
              <w:noBreakHyphen/>
              <w:t>trailer</w:t>
            </w:r>
          </w:p>
        </w:tc>
      </w:tr>
      <w:tr w:rsidR="006724FB">
        <w:tblPrEx>
          <w:tblCellMar>
            <w:left w:w="108" w:type="dxa"/>
            <w:right w:w="108" w:type="dxa"/>
          </w:tblCellMar>
        </w:tblPrEx>
        <w:tc>
          <w:tcPr>
            <w:tcW w:w="639" w:type="dxa"/>
          </w:tcPr>
          <w:p w:rsidR="006724FB" w:rsidRDefault="006724FB">
            <w:pPr>
              <w:pStyle w:val="TableNAm"/>
            </w:pPr>
          </w:p>
        </w:tc>
        <w:tc>
          <w:tcPr>
            <w:tcW w:w="1195" w:type="dxa"/>
          </w:tcPr>
          <w:p w:rsidR="006724FB" w:rsidRDefault="006724FB">
            <w:pPr>
              <w:pStyle w:val="TableNAm"/>
            </w:pPr>
            <w:r>
              <w:t>MC4</w:t>
            </w:r>
          </w:p>
        </w:tc>
        <w:tc>
          <w:tcPr>
            <w:tcW w:w="1357" w:type="dxa"/>
          </w:tcPr>
          <w:p w:rsidR="006724FB" w:rsidRDefault="006724FB">
            <w:pPr>
              <w:pStyle w:val="TableNAm"/>
            </w:pPr>
            <w:r>
              <w:t>4</w:t>
            </w:r>
          </w:p>
        </w:tc>
        <w:tc>
          <w:tcPr>
            <w:tcW w:w="1373" w:type="dxa"/>
          </w:tcPr>
          <w:p w:rsidR="006724FB" w:rsidRDefault="006724FB">
            <w:pPr>
              <w:pStyle w:val="TableNAm"/>
            </w:pPr>
            <w:r>
              <w:t>any</w:t>
            </w:r>
          </w:p>
        </w:tc>
        <w:tc>
          <w:tcPr>
            <w:tcW w:w="2463" w:type="dxa"/>
            <w:gridSpan w:val="4"/>
          </w:tcPr>
          <w:p w:rsidR="006724FB" w:rsidRDefault="006724FB">
            <w:pPr>
              <w:pStyle w:val="TableNAm"/>
              <w:tabs>
                <w:tab w:val="clear" w:pos="567"/>
              </w:tabs>
            </w:pPr>
            <w:r>
              <w:t>2 semi</w:t>
            </w:r>
            <w:r>
              <w:noBreakHyphen/>
              <w:t>trailers if no other trailers, otherwise 1 semi</w:t>
            </w:r>
            <w:r>
              <w:noBreakHyphen/>
              <w:t>trailer</w:t>
            </w:r>
          </w:p>
        </w:tc>
      </w:tr>
      <w:tr w:rsidR="006724FB">
        <w:tblPrEx>
          <w:tblCellMar>
            <w:left w:w="108" w:type="dxa"/>
            <w:right w:w="108" w:type="dxa"/>
          </w:tblCellMar>
        </w:tblPrEx>
        <w:tc>
          <w:tcPr>
            <w:tcW w:w="639" w:type="dxa"/>
          </w:tcPr>
          <w:p w:rsidR="006724FB" w:rsidRDefault="006724FB">
            <w:pPr>
              <w:pStyle w:val="TableNAm"/>
            </w:pPr>
          </w:p>
        </w:tc>
        <w:tc>
          <w:tcPr>
            <w:tcW w:w="1195" w:type="dxa"/>
          </w:tcPr>
          <w:p w:rsidR="006724FB" w:rsidRDefault="006724FB">
            <w:pPr>
              <w:pStyle w:val="TableNAm"/>
            </w:pPr>
            <w:r>
              <w:t>MC5</w:t>
            </w:r>
          </w:p>
        </w:tc>
        <w:tc>
          <w:tcPr>
            <w:tcW w:w="1357" w:type="dxa"/>
          </w:tcPr>
          <w:p w:rsidR="006724FB" w:rsidRDefault="006724FB">
            <w:pPr>
              <w:pStyle w:val="TableNAm"/>
            </w:pPr>
            <w:r>
              <w:t>5 or more</w:t>
            </w:r>
          </w:p>
        </w:tc>
        <w:tc>
          <w:tcPr>
            <w:tcW w:w="1373" w:type="dxa"/>
          </w:tcPr>
          <w:p w:rsidR="006724FB" w:rsidRDefault="006724FB">
            <w:pPr>
              <w:pStyle w:val="TableNAm"/>
            </w:pPr>
            <w:r>
              <w:t>any</w:t>
            </w:r>
          </w:p>
        </w:tc>
        <w:tc>
          <w:tcPr>
            <w:tcW w:w="2463" w:type="dxa"/>
            <w:gridSpan w:val="4"/>
          </w:tcPr>
          <w:p w:rsidR="006724FB" w:rsidRDefault="006724FB">
            <w:pPr>
              <w:pStyle w:val="TableNAm"/>
              <w:tabs>
                <w:tab w:val="clear" w:pos="567"/>
              </w:tabs>
            </w:pPr>
            <w:r>
              <w:t>2 semi</w:t>
            </w:r>
            <w:r>
              <w:noBreakHyphen/>
              <w:t>trailers if no other trailers, otherwise 1 semi</w:t>
            </w:r>
            <w:r>
              <w:noBreakHyphen/>
              <w:t>trailer</w:t>
            </w:r>
          </w:p>
        </w:tc>
      </w:tr>
      <w:tr w:rsidR="00672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rsidR="006724FB" w:rsidRDefault="006724FB">
            <w:pPr>
              <w:pStyle w:val="TableNAm"/>
              <w:rPr>
                <w:b/>
              </w:rPr>
            </w:pPr>
            <w:r>
              <w:rPr>
                <w:b/>
              </w:rPr>
              <w:t>Trailer, not being a towed special purpose vehicle</w:t>
            </w:r>
          </w:p>
        </w:tc>
      </w:tr>
      <w:tr w:rsidR="006724FB">
        <w:trPr>
          <w:gridAfter w:val="1"/>
          <w:wAfter w:w="9" w:type="dxa"/>
        </w:trPr>
        <w:tc>
          <w:tcPr>
            <w:tcW w:w="639" w:type="dxa"/>
          </w:tcPr>
          <w:p w:rsidR="006724FB" w:rsidRDefault="006724FB">
            <w:pPr>
              <w:pStyle w:val="TableNAm"/>
            </w:pPr>
          </w:p>
        </w:tc>
        <w:tc>
          <w:tcPr>
            <w:tcW w:w="1195" w:type="dxa"/>
          </w:tcPr>
          <w:p w:rsidR="006724FB" w:rsidRDefault="006724FB">
            <w:pPr>
              <w:pStyle w:val="TableNAm"/>
            </w:pPr>
            <w:r>
              <w:t>HT</w:t>
            </w:r>
          </w:p>
        </w:tc>
        <w:tc>
          <w:tcPr>
            <w:tcW w:w="1357" w:type="dxa"/>
          </w:tcPr>
          <w:p w:rsidR="006724FB" w:rsidRDefault="006724FB">
            <w:pPr>
              <w:pStyle w:val="TableNAm"/>
            </w:pPr>
            <w:r>
              <w:t>any</w:t>
            </w:r>
          </w:p>
        </w:tc>
        <w:tc>
          <w:tcPr>
            <w:tcW w:w="1417" w:type="dxa"/>
            <w:gridSpan w:val="2"/>
          </w:tcPr>
          <w:p w:rsidR="006724FB" w:rsidRDefault="006724FB">
            <w:pPr>
              <w:pStyle w:val="TableNAm"/>
            </w:pPr>
            <w:r>
              <w:t>any</w:t>
            </w:r>
          </w:p>
        </w:tc>
        <w:tc>
          <w:tcPr>
            <w:tcW w:w="2410" w:type="dxa"/>
            <w:gridSpan w:val="2"/>
          </w:tcPr>
          <w:p w:rsidR="006724FB" w:rsidRDefault="006724FB">
            <w:pPr>
              <w:pStyle w:val="TableNAm"/>
              <w:tabs>
                <w:tab w:val="clear" w:pos="567"/>
              </w:tabs>
              <w:jc w:val="center"/>
            </w:pPr>
          </w:p>
        </w:tc>
      </w:tr>
      <w:tr w:rsidR="006724FB">
        <w:trPr>
          <w:gridAfter w:val="1"/>
          <w:wAfter w:w="9" w:type="dxa"/>
          <w:cantSplit/>
        </w:trPr>
        <w:tc>
          <w:tcPr>
            <w:tcW w:w="7018" w:type="dxa"/>
            <w:gridSpan w:val="7"/>
          </w:tcPr>
          <w:p w:rsidR="006724FB" w:rsidRDefault="006724FB">
            <w:pPr>
              <w:pStyle w:val="TableNAm"/>
              <w:rPr>
                <w:b/>
              </w:rPr>
            </w:pPr>
            <w:r>
              <w:rPr>
                <w:b/>
              </w:rPr>
              <w:t>Special purpose vehicle</w:t>
            </w:r>
          </w:p>
          <w:p w:rsidR="006724FB" w:rsidRDefault="006724FB">
            <w:pPr>
              <w:pStyle w:val="TableNAm"/>
              <w:rPr>
                <w:b/>
                <w:i/>
              </w:rPr>
            </w:pPr>
            <w:r>
              <w:rPr>
                <w:b/>
                <w:i/>
              </w:rPr>
              <w:t>Other than goods vehicle derivative or trailer derivative</w:t>
            </w:r>
          </w:p>
        </w:tc>
      </w:tr>
      <w:tr w:rsidR="006724FB">
        <w:tblPrEx>
          <w:tblCellMar>
            <w:left w:w="108" w:type="dxa"/>
            <w:right w:w="108" w:type="dxa"/>
          </w:tblCellMar>
        </w:tblPrEx>
        <w:trPr>
          <w:cantSplit/>
        </w:trPr>
        <w:tc>
          <w:tcPr>
            <w:tcW w:w="639" w:type="dxa"/>
          </w:tcPr>
          <w:p w:rsidR="006724FB" w:rsidRDefault="006724FB">
            <w:pPr>
              <w:pStyle w:val="TableNAm"/>
            </w:pPr>
          </w:p>
        </w:tc>
        <w:tc>
          <w:tcPr>
            <w:tcW w:w="1195" w:type="dxa"/>
          </w:tcPr>
          <w:p w:rsidR="006724FB" w:rsidRDefault="006724FB">
            <w:pPr>
              <w:pStyle w:val="TableNAm"/>
            </w:pPr>
            <w:r>
              <w:t>PSV</w:t>
            </w:r>
          </w:p>
        </w:tc>
        <w:tc>
          <w:tcPr>
            <w:tcW w:w="1357" w:type="dxa"/>
          </w:tcPr>
          <w:p w:rsidR="006724FB" w:rsidRDefault="006724FB">
            <w:pPr>
              <w:pStyle w:val="TableNAm"/>
            </w:pPr>
            <w:r>
              <w:t>any</w:t>
            </w:r>
          </w:p>
        </w:tc>
        <w:tc>
          <w:tcPr>
            <w:tcW w:w="1417" w:type="dxa"/>
            <w:gridSpan w:val="2"/>
          </w:tcPr>
          <w:p w:rsidR="006724FB" w:rsidRDefault="006724FB">
            <w:pPr>
              <w:pStyle w:val="TableNAm"/>
            </w:pPr>
            <w:r>
              <w:t>any</w:t>
            </w:r>
          </w:p>
        </w:tc>
        <w:tc>
          <w:tcPr>
            <w:tcW w:w="2419" w:type="dxa"/>
            <w:gridSpan w:val="3"/>
          </w:tcPr>
          <w:p w:rsidR="006724FB" w:rsidRDefault="006724FB">
            <w:pPr>
              <w:pStyle w:val="TableNAm"/>
              <w:tabs>
                <w:tab w:val="clear" w:pos="567"/>
              </w:tabs>
              <w:jc w:val="center"/>
            </w:pPr>
          </w:p>
        </w:tc>
      </w:tr>
      <w:tr w:rsidR="006724FB">
        <w:trPr>
          <w:gridAfter w:val="1"/>
          <w:wAfter w:w="9" w:type="dxa"/>
          <w:cantSplit/>
        </w:trPr>
        <w:tc>
          <w:tcPr>
            <w:tcW w:w="7018" w:type="dxa"/>
            <w:gridSpan w:val="7"/>
          </w:tcPr>
          <w:p w:rsidR="006724FB" w:rsidRDefault="006724FB">
            <w:pPr>
              <w:pStyle w:val="TableNAm"/>
              <w:keepNext/>
              <w:rPr>
                <w:b/>
                <w:i/>
              </w:rPr>
            </w:pPr>
            <w:r>
              <w:rPr>
                <w:b/>
                <w:i/>
              </w:rPr>
              <w:t>Goods vehicle derivative or trailer derivative not exceeding maximum permissible axle mass loading</w:t>
            </w:r>
          </w:p>
        </w:tc>
      </w:tr>
      <w:tr w:rsidR="006724FB">
        <w:tblPrEx>
          <w:tblCellMar>
            <w:left w:w="108" w:type="dxa"/>
            <w:right w:w="108" w:type="dxa"/>
          </w:tblCellMar>
        </w:tblPrEx>
        <w:trPr>
          <w:cantSplit/>
        </w:trPr>
        <w:tc>
          <w:tcPr>
            <w:tcW w:w="639" w:type="dxa"/>
          </w:tcPr>
          <w:p w:rsidR="006724FB" w:rsidRDefault="006724FB">
            <w:pPr>
              <w:pStyle w:val="TableNAm"/>
            </w:pPr>
          </w:p>
        </w:tc>
        <w:tc>
          <w:tcPr>
            <w:tcW w:w="1195" w:type="dxa"/>
          </w:tcPr>
          <w:p w:rsidR="006724FB" w:rsidRDefault="006724FB">
            <w:pPr>
              <w:pStyle w:val="TableNAm"/>
            </w:pPr>
            <w:r>
              <w:t>TSV</w:t>
            </w:r>
          </w:p>
        </w:tc>
        <w:tc>
          <w:tcPr>
            <w:tcW w:w="1357" w:type="dxa"/>
          </w:tcPr>
          <w:p w:rsidR="006724FB" w:rsidRDefault="006724FB">
            <w:pPr>
              <w:pStyle w:val="TableNAm"/>
            </w:pPr>
            <w:r>
              <w:t>any</w:t>
            </w:r>
          </w:p>
        </w:tc>
        <w:tc>
          <w:tcPr>
            <w:tcW w:w="1417" w:type="dxa"/>
            <w:gridSpan w:val="2"/>
          </w:tcPr>
          <w:p w:rsidR="006724FB" w:rsidRDefault="006724FB">
            <w:pPr>
              <w:pStyle w:val="TableNAm"/>
            </w:pPr>
            <w:r>
              <w:t>any</w:t>
            </w:r>
          </w:p>
        </w:tc>
        <w:tc>
          <w:tcPr>
            <w:tcW w:w="2419" w:type="dxa"/>
            <w:gridSpan w:val="3"/>
          </w:tcPr>
          <w:p w:rsidR="006724FB" w:rsidRDefault="006724FB">
            <w:pPr>
              <w:pStyle w:val="TableNAm"/>
              <w:tabs>
                <w:tab w:val="clear" w:pos="567"/>
              </w:tabs>
              <w:jc w:val="center"/>
            </w:pPr>
          </w:p>
        </w:tc>
      </w:tr>
      <w:tr w:rsidR="006724FB">
        <w:trPr>
          <w:gridAfter w:val="1"/>
          <w:wAfter w:w="9" w:type="dxa"/>
          <w:cantSplit/>
        </w:trPr>
        <w:tc>
          <w:tcPr>
            <w:tcW w:w="7018" w:type="dxa"/>
            <w:gridSpan w:val="7"/>
          </w:tcPr>
          <w:p w:rsidR="006724FB" w:rsidRDefault="006724FB">
            <w:pPr>
              <w:pStyle w:val="TableNAm"/>
              <w:keepNext/>
              <w:rPr>
                <w:b/>
                <w:i/>
              </w:rPr>
            </w:pPr>
            <w:r>
              <w:rPr>
                <w:b/>
                <w:i/>
              </w:rPr>
              <w:lastRenderedPageBreak/>
              <w:t>Goods vehicle derivative or trailer derivative exceeding maximum permissible axle mass loading</w:t>
            </w:r>
          </w:p>
        </w:tc>
      </w:tr>
      <w:tr w:rsidR="006724FB">
        <w:tblPrEx>
          <w:tblCellMar>
            <w:left w:w="108" w:type="dxa"/>
            <w:right w:w="108" w:type="dxa"/>
          </w:tblCellMar>
        </w:tblPrEx>
        <w:trPr>
          <w:cantSplit/>
        </w:trPr>
        <w:tc>
          <w:tcPr>
            <w:tcW w:w="639" w:type="dxa"/>
          </w:tcPr>
          <w:p w:rsidR="006724FB" w:rsidRDefault="006724FB">
            <w:pPr>
              <w:pStyle w:val="TableNAm"/>
            </w:pPr>
          </w:p>
        </w:tc>
        <w:tc>
          <w:tcPr>
            <w:tcW w:w="1195" w:type="dxa"/>
          </w:tcPr>
          <w:p w:rsidR="006724FB" w:rsidRDefault="006724FB">
            <w:pPr>
              <w:pStyle w:val="TableNAm"/>
            </w:pPr>
            <w:r>
              <w:t>OSV2</w:t>
            </w:r>
          </w:p>
        </w:tc>
        <w:tc>
          <w:tcPr>
            <w:tcW w:w="1357" w:type="dxa"/>
          </w:tcPr>
          <w:p w:rsidR="006724FB" w:rsidRDefault="006724FB">
            <w:pPr>
              <w:pStyle w:val="TableNAm"/>
            </w:pPr>
            <w:r>
              <w:t>1 or 2</w:t>
            </w:r>
          </w:p>
        </w:tc>
        <w:tc>
          <w:tcPr>
            <w:tcW w:w="1417" w:type="dxa"/>
            <w:gridSpan w:val="2"/>
          </w:tcPr>
          <w:p w:rsidR="006724FB" w:rsidRDefault="006724FB">
            <w:pPr>
              <w:pStyle w:val="TableNAm"/>
            </w:pPr>
            <w:r>
              <w:t>any</w:t>
            </w:r>
          </w:p>
        </w:tc>
        <w:tc>
          <w:tcPr>
            <w:tcW w:w="2419" w:type="dxa"/>
            <w:gridSpan w:val="3"/>
          </w:tcPr>
          <w:p w:rsidR="006724FB" w:rsidRDefault="006724FB">
            <w:pPr>
              <w:pStyle w:val="TableNAm"/>
              <w:tabs>
                <w:tab w:val="clear" w:pos="567"/>
              </w:tabs>
              <w:jc w:val="center"/>
            </w:pPr>
          </w:p>
        </w:tc>
      </w:tr>
      <w:tr w:rsidR="006724FB">
        <w:tblPrEx>
          <w:tblCellMar>
            <w:left w:w="108" w:type="dxa"/>
            <w:right w:w="108" w:type="dxa"/>
          </w:tblCellMar>
        </w:tblPrEx>
        <w:trPr>
          <w:cantSplit/>
        </w:trPr>
        <w:tc>
          <w:tcPr>
            <w:tcW w:w="639" w:type="dxa"/>
          </w:tcPr>
          <w:p w:rsidR="006724FB" w:rsidRDefault="006724FB">
            <w:pPr>
              <w:pStyle w:val="TableNAm"/>
            </w:pPr>
          </w:p>
        </w:tc>
        <w:tc>
          <w:tcPr>
            <w:tcW w:w="1195" w:type="dxa"/>
          </w:tcPr>
          <w:p w:rsidR="006724FB" w:rsidRDefault="006724FB">
            <w:pPr>
              <w:pStyle w:val="TableNAm"/>
            </w:pPr>
            <w:r>
              <w:t>OSV3</w:t>
            </w:r>
          </w:p>
        </w:tc>
        <w:tc>
          <w:tcPr>
            <w:tcW w:w="1357" w:type="dxa"/>
          </w:tcPr>
          <w:p w:rsidR="006724FB" w:rsidRDefault="006724FB">
            <w:pPr>
              <w:pStyle w:val="TableNAm"/>
            </w:pPr>
            <w:r>
              <w:t>3</w:t>
            </w:r>
          </w:p>
        </w:tc>
        <w:tc>
          <w:tcPr>
            <w:tcW w:w="1417" w:type="dxa"/>
            <w:gridSpan w:val="2"/>
          </w:tcPr>
          <w:p w:rsidR="006724FB" w:rsidRDefault="006724FB">
            <w:pPr>
              <w:pStyle w:val="TableNAm"/>
            </w:pPr>
            <w:r>
              <w:t>any</w:t>
            </w:r>
          </w:p>
        </w:tc>
        <w:tc>
          <w:tcPr>
            <w:tcW w:w="2419" w:type="dxa"/>
            <w:gridSpan w:val="3"/>
          </w:tcPr>
          <w:p w:rsidR="006724FB" w:rsidRDefault="006724FB">
            <w:pPr>
              <w:pStyle w:val="TableNAm"/>
              <w:tabs>
                <w:tab w:val="clear" w:pos="567"/>
              </w:tabs>
              <w:jc w:val="center"/>
            </w:pPr>
          </w:p>
        </w:tc>
      </w:tr>
      <w:tr w:rsidR="006724FB">
        <w:tblPrEx>
          <w:tblCellMar>
            <w:left w:w="108" w:type="dxa"/>
            <w:right w:w="108" w:type="dxa"/>
          </w:tblCellMar>
        </w:tblPrEx>
        <w:trPr>
          <w:cantSplit/>
        </w:trPr>
        <w:tc>
          <w:tcPr>
            <w:tcW w:w="639" w:type="dxa"/>
          </w:tcPr>
          <w:p w:rsidR="006724FB" w:rsidRDefault="006724FB">
            <w:pPr>
              <w:pStyle w:val="TableNAm"/>
            </w:pPr>
          </w:p>
        </w:tc>
        <w:tc>
          <w:tcPr>
            <w:tcW w:w="1195" w:type="dxa"/>
          </w:tcPr>
          <w:p w:rsidR="006724FB" w:rsidRDefault="006724FB">
            <w:pPr>
              <w:pStyle w:val="TableNAm"/>
            </w:pPr>
            <w:r>
              <w:t>OSV4</w:t>
            </w:r>
          </w:p>
        </w:tc>
        <w:tc>
          <w:tcPr>
            <w:tcW w:w="1357" w:type="dxa"/>
          </w:tcPr>
          <w:p w:rsidR="006724FB" w:rsidRDefault="006724FB">
            <w:pPr>
              <w:pStyle w:val="TableNAm"/>
            </w:pPr>
            <w:r>
              <w:t>4</w:t>
            </w:r>
          </w:p>
        </w:tc>
        <w:tc>
          <w:tcPr>
            <w:tcW w:w="1417" w:type="dxa"/>
            <w:gridSpan w:val="2"/>
          </w:tcPr>
          <w:p w:rsidR="006724FB" w:rsidRDefault="006724FB">
            <w:pPr>
              <w:pStyle w:val="TableNAm"/>
            </w:pPr>
            <w:r>
              <w:t>any</w:t>
            </w:r>
          </w:p>
        </w:tc>
        <w:tc>
          <w:tcPr>
            <w:tcW w:w="2419" w:type="dxa"/>
            <w:gridSpan w:val="3"/>
          </w:tcPr>
          <w:p w:rsidR="006724FB" w:rsidRDefault="006724FB">
            <w:pPr>
              <w:pStyle w:val="TableNAm"/>
              <w:tabs>
                <w:tab w:val="clear" w:pos="567"/>
              </w:tabs>
              <w:jc w:val="center"/>
            </w:pPr>
          </w:p>
        </w:tc>
      </w:tr>
      <w:tr w:rsidR="006724FB">
        <w:tblPrEx>
          <w:tblCellMar>
            <w:left w:w="108" w:type="dxa"/>
            <w:right w:w="108" w:type="dxa"/>
          </w:tblCellMar>
        </w:tblPrEx>
        <w:trPr>
          <w:cantSplit/>
        </w:trPr>
        <w:tc>
          <w:tcPr>
            <w:tcW w:w="639" w:type="dxa"/>
          </w:tcPr>
          <w:p w:rsidR="006724FB" w:rsidRDefault="006724FB">
            <w:pPr>
              <w:pStyle w:val="TableNAm"/>
            </w:pPr>
          </w:p>
        </w:tc>
        <w:tc>
          <w:tcPr>
            <w:tcW w:w="1195" w:type="dxa"/>
          </w:tcPr>
          <w:p w:rsidR="006724FB" w:rsidRDefault="006724FB">
            <w:pPr>
              <w:pStyle w:val="TableNAm"/>
            </w:pPr>
            <w:r>
              <w:t>OSV5</w:t>
            </w:r>
          </w:p>
        </w:tc>
        <w:tc>
          <w:tcPr>
            <w:tcW w:w="1357" w:type="dxa"/>
          </w:tcPr>
          <w:p w:rsidR="006724FB" w:rsidRDefault="006724FB">
            <w:pPr>
              <w:pStyle w:val="TableNAm"/>
            </w:pPr>
            <w:r>
              <w:t>5</w:t>
            </w:r>
          </w:p>
        </w:tc>
        <w:tc>
          <w:tcPr>
            <w:tcW w:w="1417" w:type="dxa"/>
            <w:gridSpan w:val="2"/>
          </w:tcPr>
          <w:p w:rsidR="006724FB" w:rsidRDefault="006724FB">
            <w:pPr>
              <w:pStyle w:val="TableNAm"/>
            </w:pPr>
            <w:r>
              <w:t>any</w:t>
            </w:r>
          </w:p>
        </w:tc>
        <w:tc>
          <w:tcPr>
            <w:tcW w:w="2419" w:type="dxa"/>
            <w:gridSpan w:val="3"/>
          </w:tcPr>
          <w:p w:rsidR="006724FB" w:rsidRDefault="006724FB">
            <w:pPr>
              <w:pStyle w:val="TableNAm"/>
              <w:tabs>
                <w:tab w:val="clear" w:pos="567"/>
              </w:tabs>
              <w:jc w:val="center"/>
            </w:pPr>
          </w:p>
        </w:tc>
      </w:tr>
      <w:tr w:rsidR="006724FB">
        <w:tblPrEx>
          <w:tblCellMar>
            <w:left w:w="108" w:type="dxa"/>
            <w:right w:w="108" w:type="dxa"/>
          </w:tblCellMar>
        </w:tblPrEx>
        <w:trPr>
          <w:cantSplit/>
        </w:trPr>
        <w:tc>
          <w:tcPr>
            <w:tcW w:w="639" w:type="dxa"/>
          </w:tcPr>
          <w:p w:rsidR="006724FB" w:rsidRDefault="006724FB">
            <w:pPr>
              <w:pStyle w:val="TableNAm"/>
            </w:pPr>
          </w:p>
        </w:tc>
        <w:tc>
          <w:tcPr>
            <w:tcW w:w="1195" w:type="dxa"/>
          </w:tcPr>
          <w:p w:rsidR="006724FB" w:rsidRDefault="006724FB">
            <w:pPr>
              <w:pStyle w:val="TableNAm"/>
            </w:pPr>
            <w:r>
              <w:t>OSV6</w:t>
            </w:r>
          </w:p>
        </w:tc>
        <w:tc>
          <w:tcPr>
            <w:tcW w:w="1357" w:type="dxa"/>
          </w:tcPr>
          <w:p w:rsidR="006724FB" w:rsidRDefault="006724FB">
            <w:pPr>
              <w:pStyle w:val="TableNAm"/>
            </w:pPr>
            <w:r>
              <w:t>6</w:t>
            </w:r>
          </w:p>
        </w:tc>
        <w:tc>
          <w:tcPr>
            <w:tcW w:w="1417" w:type="dxa"/>
            <w:gridSpan w:val="2"/>
          </w:tcPr>
          <w:p w:rsidR="006724FB" w:rsidRDefault="006724FB">
            <w:pPr>
              <w:pStyle w:val="TableNAm"/>
            </w:pPr>
            <w:r>
              <w:t>any</w:t>
            </w:r>
          </w:p>
        </w:tc>
        <w:tc>
          <w:tcPr>
            <w:tcW w:w="2419" w:type="dxa"/>
            <w:gridSpan w:val="3"/>
          </w:tcPr>
          <w:p w:rsidR="006724FB" w:rsidRDefault="006724FB">
            <w:pPr>
              <w:pStyle w:val="TableNAm"/>
              <w:tabs>
                <w:tab w:val="clear" w:pos="567"/>
              </w:tabs>
              <w:jc w:val="center"/>
            </w:pPr>
          </w:p>
        </w:tc>
      </w:tr>
      <w:tr w:rsidR="006724FB">
        <w:tblPrEx>
          <w:tblCellMar>
            <w:left w:w="108" w:type="dxa"/>
            <w:right w:w="108" w:type="dxa"/>
          </w:tblCellMar>
        </w:tblPrEx>
        <w:trPr>
          <w:cantSplit/>
        </w:trPr>
        <w:tc>
          <w:tcPr>
            <w:tcW w:w="639" w:type="dxa"/>
          </w:tcPr>
          <w:p w:rsidR="006724FB" w:rsidRDefault="006724FB">
            <w:pPr>
              <w:pStyle w:val="TableNAm"/>
            </w:pPr>
          </w:p>
        </w:tc>
        <w:tc>
          <w:tcPr>
            <w:tcW w:w="1195" w:type="dxa"/>
          </w:tcPr>
          <w:p w:rsidR="006724FB" w:rsidRDefault="006724FB">
            <w:pPr>
              <w:pStyle w:val="TableNAm"/>
            </w:pPr>
            <w:r>
              <w:t>OSV7</w:t>
            </w:r>
          </w:p>
        </w:tc>
        <w:tc>
          <w:tcPr>
            <w:tcW w:w="1357" w:type="dxa"/>
          </w:tcPr>
          <w:p w:rsidR="006724FB" w:rsidRDefault="006724FB">
            <w:pPr>
              <w:pStyle w:val="TableNAm"/>
            </w:pPr>
            <w:r>
              <w:t>7</w:t>
            </w:r>
          </w:p>
        </w:tc>
        <w:tc>
          <w:tcPr>
            <w:tcW w:w="1417" w:type="dxa"/>
            <w:gridSpan w:val="2"/>
          </w:tcPr>
          <w:p w:rsidR="006724FB" w:rsidRDefault="006724FB">
            <w:pPr>
              <w:pStyle w:val="TableNAm"/>
            </w:pPr>
            <w:r>
              <w:t>any</w:t>
            </w:r>
          </w:p>
        </w:tc>
        <w:tc>
          <w:tcPr>
            <w:tcW w:w="2419" w:type="dxa"/>
            <w:gridSpan w:val="3"/>
          </w:tcPr>
          <w:p w:rsidR="006724FB" w:rsidRDefault="006724FB">
            <w:pPr>
              <w:pStyle w:val="TableNAm"/>
              <w:tabs>
                <w:tab w:val="clear" w:pos="567"/>
              </w:tabs>
              <w:jc w:val="center"/>
            </w:pPr>
          </w:p>
        </w:tc>
      </w:tr>
      <w:tr w:rsidR="006724FB">
        <w:tblPrEx>
          <w:tblCellMar>
            <w:left w:w="108" w:type="dxa"/>
            <w:right w:w="108" w:type="dxa"/>
          </w:tblCellMar>
        </w:tblPrEx>
        <w:trPr>
          <w:cantSplit/>
        </w:trPr>
        <w:tc>
          <w:tcPr>
            <w:tcW w:w="639" w:type="dxa"/>
          </w:tcPr>
          <w:p w:rsidR="006724FB" w:rsidRDefault="006724FB">
            <w:pPr>
              <w:pStyle w:val="TableNAm"/>
            </w:pPr>
          </w:p>
        </w:tc>
        <w:tc>
          <w:tcPr>
            <w:tcW w:w="1195" w:type="dxa"/>
          </w:tcPr>
          <w:p w:rsidR="006724FB" w:rsidRDefault="006724FB">
            <w:pPr>
              <w:pStyle w:val="TableNAm"/>
            </w:pPr>
            <w:r>
              <w:t>OSV8</w:t>
            </w:r>
          </w:p>
        </w:tc>
        <w:tc>
          <w:tcPr>
            <w:tcW w:w="1357" w:type="dxa"/>
          </w:tcPr>
          <w:p w:rsidR="006724FB" w:rsidRDefault="006724FB">
            <w:pPr>
              <w:pStyle w:val="TableNAm"/>
            </w:pPr>
            <w:r>
              <w:t>8</w:t>
            </w:r>
          </w:p>
        </w:tc>
        <w:tc>
          <w:tcPr>
            <w:tcW w:w="1417" w:type="dxa"/>
            <w:gridSpan w:val="2"/>
          </w:tcPr>
          <w:p w:rsidR="006724FB" w:rsidRDefault="006724FB">
            <w:pPr>
              <w:pStyle w:val="TableNAm"/>
            </w:pPr>
            <w:r>
              <w:t>any</w:t>
            </w:r>
          </w:p>
        </w:tc>
        <w:tc>
          <w:tcPr>
            <w:tcW w:w="2419" w:type="dxa"/>
            <w:gridSpan w:val="3"/>
          </w:tcPr>
          <w:p w:rsidR="006724FB" w:rsidRDefault="006724FB">
            <w:pPr>
              <w:pStyle w:val="TableNAm"/>
              <w:tabs>
                <w:tab w:val="clear" w:pos="567"/>
              </w:tabs>
              <w:jc w:val="center"/>
            </w:pPr>
          </w:p>
        </w:tc>
      </w:tr>
      <w:tr w:rsidR="006724FB">
        <w:tblPrEx>
          <w:tblCellMar>
            <w:left w:w="108" w:type="dxa"/>
            <w:right w:w="108" w:type="dxa"/>
          </w:tblCellMar>
        </w:tblPrEx>
        <w:trPr>
          <w:cantSplit/>
        </w:trPr>
        <w:tc>
          <w:tcPr>
            <w:tcW w:w="639" w:type="dxa"/>
            <w:tcBorders>
              <w:bottom w:val="single" w:sz="4" w:space="0" w:color="auto"/>
            </w:tcBorders>
          </w:tcPr>
          <w:p w:rsidR="006724FB" w:rsidRDefault="006724FB">
            <w:pPr>
              <w:pStyle w:val="TableNAm"/>
            </w:pPr>
          </w:p>
        </w:tc>
        <w:tc>
          <w:tcPr>
            <w:tcW w:w="1195" w:type="dxa"/>
            <w:tcBorders>
              <w:bottom w:val="single" w:sz="4" w:space="0" w:color="auto"/>
            </w:tcBorders>
          </w:tcPr>
          <w:p w:rsidR="006724FB" w:rsidRDefault="006724FB">
            <w:pPr>
              <w:pStyle w:val="TableNAm"/>
            </w:pPr>
            <w:r>
              <w:t>OSV9</w:t>
            </w:r>
          </w:p>
        </w:tc>
        <w:tc>
          <w:tcPr>
            <w:tcW w:w="1357" w:type="dxa"/>
            <w:tcBorders>
              <w:bottom w:val="single" w:sz="4" w:space="0" w:color="auto"/>
            </w:tcBorders>
          </w:tcPr>
          <w:p w:rsidR="006724FB" w:rsidRDefault="006724FB">
            <w:pPr>
              <w:pStyle w:val="TableNAm"/>
            </w:pPr>
            <w:r>
              <w:t>9</w:t>
            </w:r>
          </w:p>
        </w:tc>
        <w:tc>
          <w:tcPr>
            <w:tcW w:w="1417" w:type="dxa"/>
            <w:gridSpan w:val="2"/>
            <w:tcBorders>
              <w:bottom w:val="single" w:sz="4" w:space="0" w:color="auto"/>
            </w:tcBorders>
          </w:tcPr>
          <w:p w:rsidR="006724FB" w:rsidRDefault="006724FB">
            <w:pPr>
              <w:pStyle w:val="TableNAm"/>
            </w:pPr>
            <w:r>
              <w:t>any</w:t>
            </w:r>
          </w:p>
        </w:tc>
        <w:tc>
          <w:tcPr>
            <w:tcW w:w="2419" w:type="dxa"/>
            <w:gridSpan w:val="3"/>
            <w:tcBorders>
              <w:bottom w:val="single" w:sz="4" w:space="0" w:color="auto"/>
            </w:tcBorders>
          </w:tcPr>
          <w:p w:rsidR="006724FB" w:rsidRDefault="006724FB">
            <w:pPr>
              <w:pStyle w:val="TableNAm"/>
              <w:tabs>
                <w:tab w:val="clear" w:pos="567"/>
              </w:tabs>
              <w:jc w:val="center"/>
            </w:pPr>
          </w:p>
        </w:tc>
      </w:tr>
    </w:tbl>
    <w:p w:rsidR="006724FB" w:rsidRDefault="006724FB">
      <w:pPr>
        <w:pStyle w:val="Subsection"/>
        <w:rPr>
          <w:snapToGrid w:val="0"/>
        </w:rPr>
      </w:pPr>
      <w:r>
        <w:rPr>
          <w:snapToGrid w:val="0"/>
        </w:rPr>
        <w:tab/>
        <w:t>(5)</w:t>
      </w:r>
      <w:r>
        <w:rPr>
          <w:snapToGrid w:val="0"/>
        </w:rPr>
        <w:tab/>
        <w:t>If more than one class is appropriate for a vehicle —</w:t>
      </w:r>
    </w:p>
    <w:p w:rsidR="006724FB" w:rsidRDefault="006724FB">
      <w:pPr>
        <w:pStyle w:val="Indenta"/>
        <w:rPr>
          <w:snapToGrid w:val="0"/>
        </w:rPr>
      </w:pPr>
      <w:r>
        <w:rPr>
          <w:snapToGrid w:val="0"/>
        </w:rPr>
        <w:tab/>
        <w:t>(a)</w:t>
      </w:r>
      <w:r>
        <w:rPr>
          <w:snapToGrid w:val="0"/>
        </w:rPr>
        <w:tab/>
        <w:t>of that description; and</w:t>
      </w:r>
    </w:p>
    <w:p w:rsidR="006724FB" w:rsidRDefault="006724FB">
      <w:pPr>
        <w:pStyle w:val="Indenta"/>
        <w:rPr>
          <w:snapToGrid w:val="0"/>
        </w:rPr>
      </w:pPr>
      <w:r>
        <w:rPr>
          <w:snapToGrid w:val="0"/>
        </w:rPr>
        <w:tab/>
        <w:t>(b)</w:t>
      </w:r>
      <w:r>
        <w:rPr>
          <w:snapToGrid w:val="0"/>
        </w:rPr>
        <w:tab/>
        <w:t>with that number of axles; and</w:t>
      </w:r>
    </w:p>
    <w:p w:rsidR="006724FB" w:rsidRDefault="006724FB">
      <w:pPr>
        <w:pStyle w:val="Indenta"/>
        <w:rPr>
          <w:snapToGrid w:val="0"/>
        </w:rPr>
      </w:pPr>
      <w:r>
        <w:rPr>
          <w:snapToGrid w:val="0"/>
        </w:rPr>
        <w:tab/>
        <w:t>(c)</w:t>
      </w:r>
      <w:r>
        <w:rPr>
          <w:snapToGrid w:val="0"/>
        </w:rPr>
        <w:tab/>
        <w:t>with that MRC,</w:t>
      </w:r>
    </w:p>
    <w:p w:rsidR="006724FB" w:rsidRDefault="006724FB">
      <w:pPr>
        <w:pStyle w:val="Subsection"/>
        <w:rPr>
          <w:snapToGrid w:val="0"/>
        </w:rPr>
      </w:pPr>
      <w:r>
        <w:rPr>
          <w:snapToGrid w:val="0"/>
        </w:rPr>
        <w:tab/>
      </w:r>
      <w:r>
        <w:rPr>
          <w:snapToGrid w:val="0"/>
        </w:rPr>
        <w:tab/>
        <w:t>the licence must be of whichever of those classes the owner of the vehicle nominates before the licence is granted or renewed.</w:t>
      </w:r>
    </w:p>
    <w:p w:rsidR="006724FB" w:rsidRDefault="006724FB">
      <w:pPr>
        <w:pStyle w:val="Heading5"/>
        <w:spacing w:before="180"/>
      </w:pPr>
      <w:bookmarkStart w:id="64" w:name="_Toc75875569"/>
      <w:r>
        <w:rPr>
          <w:rStyle w:val="CharSectno"/>
        </w:rPr>
        <w:t>39</w:t>
      </w:r>
      <w:r>
        <w:t>.</w:t>
      </w:r>
      <w:r>
        <w:tab/>
        <w:t>Conditions imposed as to heavy trailers hauled</w:t>
      </w:r>
      <w:bookmarkEnd w:id="64"/>
    </w:p>
    <w:p w:rsidR="006724FB" w:rsidRDefault="006724FB">
      <w:pPr>
        <w:pStyle w:val="Subsection"/>
        <w:keepNext/>
        <w:rPr>
          <w:snapToGrid w:val="0"/>
        </w:rPr>
      </w:pPr>
      <w:r>
        <w:rPr>
          <w:snapToGrid w:val="0"/>
        </w:rPr>
        <w:tab/>
        <w:t>(1)</w:t>
      </w:r>
      <w:r>
        <w:rPr>
          <w:snapToGrid w:val="0"/>
        </w:rPr>
        <w:tab/>
        <w:t>If in column 4 of the Table to regulation 38(4) —</w:t>
      </w:r>
    </w:p>
    <w:p w:rsidR="006724FB" w:rsidRDefault="006724FB">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rsidR="006724FB" w:rsidRDefault="006724FB">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rsidR="006724FB" w:rsidRDefault="006724FB">
      <w:pPr>
        <w:pStyle w:val="Indenta"/>
        <w:rPr>
          <w:snapToGrid w:val="0"/>
        </w:rPr>
      </w:pPr>
      <w:r>
        <w:rPr>
          <w:snapToGrid w:val="0"/>
        </w:rPr>
        <w:lastRenderedPageBreak/>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rsidR="006724FB" w:rsidRDefault="006724FB">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rsidR="006724FB" w:rsidRDefault="006724FB">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rsidR="006724FB" w:rsidRDefault="006724FB">
      <w:pPr>
        <w:pStyle w:val="Heading5"/>
      </w:pPr>
      <w:bookmarkStart w:id="65" w:name="_Toc75875570"/>
      <w:r>
        <w:rPr>
          <w:rStyle w:val="CharSectno"/>
        </w:rPr>
        <w:t>40</w:t>
      </w:r>
      <w:r>
        <w:t>.</w:t>
      </w:r>
      <w:r>
        <w:tab/>
        <w:t>Certain heavy vehicle licences to be endorsed “seasonal”</w:t>
      </w:r>
      <w:bookmarkEnd w:id="65"/>
    </w:p>
    <w:p w:rsidR="006724FB" w:rsidRDefault="006724FB">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rsidR="006724FB" w:rsidRDefault="006724FB">
      <w:pPr>
        <w:pStyle w:val="Indenta"/>
        <w:rPr>
          <w:snapToGrid w:val="0"/>
        </w:rPr>
      </w:pPr>
      <w:r>
        <w:rPr>
          <w:snapToGrid w:val="0"/>
        </w:rPr>
        <w:tab/>
        <w:t>(a)</w:t>
      </w:r>
      <w:r>
        <w:rPr>
          <w:snapToGrid w:val="0"/>
        </w:rPr>
        <w:tab/>
        <w:t>on a road; or</w:t>
      </w:r>
    </w:p>
    <w:p w:rsidR="006724FB" w:rsidRDefault="006724FB">
      <w:pPr>
        <w:pStyle w:val="Indenta"/>
        <w:rPr>
          <w:snapToGrid w:val="0"/>
        </w:rPr>
      </w:pPr>
      <w:r>
        <w:rPr>
          <w:snapToGrid w:val="0"/>
        </w:rPr>
        <w:tab/>
        <w:t>(b)</w:t>
      </w:r>
      <w:r>
        <w:rPr>
          <w:snapToGrid w:val="0"/>
        </w:rPr>
        <w:tab/>
        <w:t>for seasonal work during the year beginning on the day the licence is granted.</w:t>
      </w:r>
    </w:p>
    <w:p w:rsidR="006724FB" w:rsidRDefault="006724FB">
      <w:pPr>
        <w:pStyle w:val="Heading5"/>
      </w:pPr>
      <w:bookmarkStart w:id="66" w:name="_Toc75875571"/>
      <w:r>
        <w:rPr>
          <w:rStyle w:val="CharSectno"/>
        </w:rPr>
        <w:t>41</w:t>
      </w:r>
      <w:r>
        <w:t>.</w:t>
      </w:r>
      <w:r>
        <w:tab/>
        <w:t>Vehicle use to be in accordance with licence</w:t>
      </w:r>
      <w:bookmarkEnd w:id="66"/>
    </w:p>
    <w:p w:rsidR="006724FB" w:rsidRDefault="006724FB">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rsidR="006724FB" w:rsidRDefault="006724FB">
      <w:pPr>
        <w:pStyle w:val="Penstart"/>
      </w:pPr>
      <w:r>
        <w:tab/>
        <w:t xml:space="preserve">Penalty: </w:t>
      </w:r>
    </w:p>
    <w:p w:rsidR="006724FB" w:rsidRDefault="006724FB">
      <w:pPr>
        <w:pStyle w:val="Penpara"/>
      </w:pPr>
      <w:r>
        <w:tab/>
        <w:t>(a)</w:t>
      </w:r>
      <w:r>
        <w:tab/>
        <w:t>for a first offence, a fine of 4 PU;</w:t>
      </w:r>
    </w:p>
    <w:p w:rsidR="006724FB" w:rsidRDefault="006724FB">
      <w:pPr>
        <w:pStyle w:val="Penpara"/>
      </w:pPr>
      <w:r>
        <w:tab/>
        <w:t>(b)</w:t>
      </w:r>
      <w:r>
        <w:tab/>
        <w:t>for a subsequent offence, a fine of 8 PU.</w:t>
      </w:r>
    </w:p>
    <w:p w:rsidR="006724FB" w:rsidRDefault="006724FB">
      <w:pPr>
        <w:pStyle w:val="Penstart"/>
        <w:rPr>
          <w:rStyle w:val="DraftersNotes"/>
        </w:rPr>
      </w:pPr>
      <w:r>
        <w:tab/>
        <w:t>Modified penalty: 1 PU.</w:t>
      </w:r>
    </w:p>
    <w:p w:rsidR="006724FB" w:rsidRDefault="006724FB">
      <w:pPr>
        <w:pStyle w:val="Heading5"/>
        <w:rPr>
          <w:snapToGrid w:val="0"/>
        </w:rPr>
      </w:pPr>
      <w:bookmarkStart w:id="67" w:name="_Toc75875572"/>
      <w:r>
        <w:rPr>
          <w:rStyle w:val="CharSectno"/>
        </w:rPr>
        <w:lastRenderedPageBreak/>
        <w:t>42</w:t>
      </w:r>
      <w:r>
        <w:t>.</w:t>
      </w:r>
      <w:r>
        <w:tab/>
        <w:t>Vehicle l</w:t>
      </w:r>
      <w:r>
        <w:rPr>
          <w:snapToGrid w:val="0"/>
        </w:rPr>
        <w:t>icence to be carried, produced in certain cases</w:t>
      </w:r>
      <w:bookmarkEnd w:id="67"/>
    </w:p>
    <w:p w:rsidR="006724FB" w:rsidRDefault="006724FB">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rsidR="006724FB" w:rsidRDefault="006724FB">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rsidR="006724FB" w:rsidRDefault="006724FB">
      <w:pPr>
        <w:pStyle w:val="Heading3"/>
        <w:keepNext w:val="0"/>
        <w:widowControl w:val="0"/>
      </w:pPr>
      <w:bookmarkStart w:id="68" w:name="_Toc75419650"/>
      <w:bookmarkStart w:id="69" w:name="_Toc75426985"/>
      <w:bookmarkStart w:id="70" w:name="_Toc75872401"/>
      <w:bookmarkStart w:id="71" w:name="_Toc75875573"/>
      <w:r>
        <w:rPr>
          <w:rStyle w:val="CharDivNo"/>
        </w:rPr>
        <w:t>Division 5</w:t>
      </w:r>
      <w:r>
        <w:t> — </w:t>
      </w:r>
      <w:r>
        <w:rPr>
          <w:rStyle w:val="CharDivText"/>
        </w:rPr>
        <w:t>Permits for unlicensed vehicles</w:t>
      </w:r>
      <w:bookmarkEnd w:id="68"/>
      <w:bookmarkEnd w:id="69"/>
      <w:bookmarkEnd w:id="70"/>
      <w:bookmarkEnd w:id="71"/>
    </w:p>
    <w:p w:rsidR="006724FB" w:rsidRDefault="006724FB">
      <w:pPr>
        <w:pStyle w:val="Heading5"/>
      </w:pPr>
      <w:bookmarkStart w:id="72" w:name="_Toc75875574"/>
      <w:r>
        <w:rPr>
          <w:rStyle w:val="CharSectno"/>
        </w:rPr>
        <w:t>43</w:t>
      </w:r>
      <w:r>
        <w:t>.</w:t>
      </w:r>
      <w:r>
        <w:tab/>
        <w:t>Term used:</w:t>
      </w:r>
      <w:r>
        <w:rPr>
          <w:snapToGrid w:val="0"/>
        </w:rPr>
        <w:t xml:space="preserve"> permit</w:t>
      </w:r>
      <w:bookmarkEnd w:id="72"/>
    </w:p>
    <w:p w:rsidR="006724FB" w:rsidRDefault="006724FB">
      <w:pPr>
        <w:pStyle w:val="Subsection"/>
        <w:rPr>
          <w:snapToGrid w:val="0"/>
        </w:rPr>
      </w:pPr>
      <w:r>
        <w:rPr>
          <w:snapToGrid w:val="0"/>
        </w:rPr>
        <w:tab/>
      </w:r>
      <w:r>
        <w:rPr>
          <w:snapToGrid w:val="0"/>
        </w:rPr>
        <w:tab/>
        <w:t xml:space="preserve">In this Division — </w:t>
      </w:r>
    </w:p>
    <w:p w:rsidR="006724FB" w:rsidRDefault="006724FB">
      <w:pPr>
        <w:pStyle w:val="Defstart"/>
      </w:pPr>
      <w:r>
        <w:tab/>
      </w:r>
      <w:r>
        <w:rPr>
          <w:rStyle w:val="CharDefText"/>
        </w:rPr>
        <w:t>permit</w:t>
      </w:r>
      <w:r>
        <w:t xml:space="preserve"> means a permit under section 13(1).</w:t>
      </w:r>
    </w:p>
    <w:p w:rsidR="006724FB" w:rsidRDefault="006724FB">
      <w:pPr>
        <w:pStyle w:val="Heading5"/>
      </w:pPr>
      <w:bookmarkStart w:id="73" w:name="_Toc75875575"/>
      <w:r>
        <w:rPr>
          <w:rStyle w:val="CharSectno"/>
        </w:rPr>
        <w:t>44</w:t>
      </w:r>
      <w:r>
        <w:t>.</w:t>
      </w:r>
      <w:r>
        <w:tab/>
        <w:t>Application for permit</w:t>
      </w:r>
      <w:bookmarkEnd w:id="73"/>
    </w:p>
    <w:p w:rsidR="006724FB" w:rsidRDefault="006724FB">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rsidR="006724FB" w:rsidRDefault="006724FB">
      <w:pPr>
        <w:pStyle w:val="Indenta"/>
        <w:rPr>
          <w:snapToGrid w:val="0"/>
        </w:rPr>
      </w:pPr>
      <w:r>
        <w:rPr>
          <w:snapToGrid w:val="0"/>
        </w:rPr>
        <w:tab/>
        <w:t>(a)</w:t>
      </w:r>
      <w:r>
        <w:rPr>
          <w:snapToGrid w:val="0"/>
        </w:rPr>
        <w:tab/>
        <w:t>not exceeding 2 days; or</w:t>
      </w:r>
    </w:p>
    <w:p w:rsidR="006724FB" w:rsidRDefault="006724FB">
      <w:pPr>
        <w:pStyle w:val="Indenta"/>
        <w:rPr>
          <w:snapToGrid w:val="0"/>
        </w:rPr>
      </w:pPr>
      <w:r>
        <w:rPr>
          <w:snapToGrid w:val="0"/>
        </w:rPr>
        <w:tab/>
        <w:t>(b)</w:t>
      </w:r>
      <w:r>
        <w:rPr>
          <w:snapToGrid w:val="0"/>
        </w:rPr>
        <w:tab/>
        <w:t>of one month or any number of months up to and including 12 months.</w:t>
      </w:r>
    </w:p>
    <w:p w:rsidR="006724FB" w:rsidRDefault="006724FB">
      <w:pPr>
        <w:pStyle w:val="Subsection"/>
        <w:keepNext/>
        <w:rPr>
          <w:snapToGrid w:val="0"/>
        </w:rPr>
      </w:pPr>
      <w:r>
        <w:rPr>
          <w:snapToGrid w:val="0"/>
        </w:rPr>
        <w:tab/>
        <w:t>(2)</w:t>
      </w:r>
      <w:r>
        <w:rPr>
          <w:snapToGrid w:val="0"/>
        </w:rPr>
        <w:tab/>
        <w:t>An application for a permit in relation to a vehicle that —</w:t>
      </w:r>
    </w:p>
    <w:p w:rsidR="006724FB" w:rsidRDefault="006724FB">
      <w:pPr>
        <w:pStyle w:val="Indenta"/>
        <w:rPr>
          <w:snapToGrid w:val="0"/>
        </w:rPr>
      </w:pPr>
      <w:r>
        <w:rPr>
          <w:snapToGrid w:val="0"/>
        </w:rPr>
        <w:tab/>
        <w:t>(a)</w:t>
      </w:r>
      <w:r>
        <w:rPr>
          <w:snapToGrid w:val="0"/>
        </w:rPr>
        <w:tab/>
        <w:t>does not comply with the requirements necessary for licensing the vehicle under the Act; and</w:t>
      </w:r>
    </w:p>
    <w:p w:rsidR="006724FB" w:rsidRDefault="006724FB">
      <w:pPr>
        <w:pStyle w:val="Indenta"/>
        <w:rPr>
          <w:snapToGrid w:val="0"/>
        </w:rPr>
      </w:pPr>
      <w:r>
        <w:rPr>
          <w:snapToGrid w:val="0"/>
        </w:rPr>
        <w:tab/>
        <w:t>(b)</w:t>
      </w:r>
      <w:r>
        <w:rPr>
          <w:snapToGrid w:val="0"/>
        </w:rPr>
        <w:tab/>
        <w:t>is designed or used primarily for recreational, sporting or like purposes,</w:t>
      </w:r>
    </w:p>
    <w:p w:rsidR="006724FB" w:rsidRDefault="006724FB">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rsidR="006724FB" w:rsidRDefault="006724FB">
      <w:pPr>
        <w:pStyle w:val="Subsection"/>
        <w:rPr>
          <w:snapToGrid w:val="0"/>
        </w:rPr>
      </w:pPr>
      <w:r>
        <w:rPr>
          <w:snapToGrid w:val="0"/>
        </w:rPr>
        <w:tab/>
        <w:t>(3)</w:t>
      </w:r>
      <w:r>
        <w:rPr>
          <w:snapToGrid w:val="0"/>
        </w:rPr>
        <w:tab/>
        <w:t>An application for a permit must be accompanied by the relevant fee under subregulation (4).</w:t>
      </w:r>
    </w:p>
    <w:p w:rsidR="006724FB" w:rsidRDefault="006724FB">
      <w:pPr>
        <w:pStyle w:val="Subsection"/>
        <w:keepNext/>
      </w:pPr>
      <w:r>
        <w:lastRenderedPageBreak/>
        <w:tab/>
        <w:t>(4)</w:t>
      </w:r>
      <w:r>
        <w:tab/>
        <w:t xml:space="preserve">The fee payable for a permit is — </w:t>
      </w:r>
    </w:p>
    <w:p w:rsidR="006724FB" w:rsidRDefault="006724FB">
      <w:pPr>
        <w:pStyle w:val="Indenta"/>
      </w:pPr>
      <w:r>
        <w:tab/>
        <w:t>(a)</w:t>
      </w:r>
      <w:r>
        <w:tab/>
        <w:t xml:space="preserve">if the permit is requested in respect of a period not exceeding 2 days, </w:t>
      </w:r>
      <w:r w:rsidR="006C5153">
        <w:t>$6.70</w:t>
      </w:r>
      <w:r>
        <w:t>; and</w:t>
      </w:r>
    </w:p>
    <w:p w:rsidR="006724FB" w:rsidRDefault="006724FB">
      <w:pPr>
        <w:pStyle w:val="Indenta"/>
      </w:pPr>
      <w:r>
        <w:tab/>
        <w:t>(b)</w:t>
      </w:r>
      <w:r>
        <w:tab/>
        <w:t xml:space="preserve">if the permit is requested in respect of a period of one or more months, the greater of — </w:t>
      </w:r>
    </w:p>
    <w:p w:rsidR="006724FB" w:rsidRDefault="006724FB">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rsidR="006724FB" w:rsidRDefault="006724FB">
      <w:pPr>
        <w:pStyle w:val="Indenti"/>
      </w:pPr>
      <w:r>
        <w:tab/>
        <w:t>(ii)</w:t>
      </w:r>
      <w:r>
        <w:tab/>
      </w:r>
      <w:r w:rsidR="006C5153">
        <w:t>$25.70</w:t>
      </w:r>
      <w:r>
        <w:t>.</w:t>
      </w:r>
    </w:p>
    <w:p w:rsidR="006724FB" w:rsidRDefault="006724FB">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rsidR="006724FB" w:rsidRDefault="006724FB">
      <w:pPr>
        <w:pStyle w:val="Indenta"/>
        <w:rPr>
          <w:snapToGrid w:val="0"/>
        </w:rPr>
      </w:pPr>
      <w:r>
        <w:rPr>
          <w:snapToGrid w:val="0"/>
        </w:rPr>
        <w:tab/>
        <w:t>(a)</w:t>
      </w:r>
      <w:r>
        <w:rPr>
          <w:snapToGrid w:val="0"/>
        </w:rPr>
        <w:tab/>
        <w:t>the appropriate premium for the policy of insurance under that Act; and</w:t>
      </w:r>
    </w:p>
    <w:p w:rsidR="006724FB" w:rsidRDefault="006724FB">
      <w:pPr>
        <w:pStyle w:val="Indenta"/>
      </w:pPr>
      <w:r>
        <w:tab/>
        <w:t>(b)</w:t>
      </w:r>
      <w:r>
        <w:tab/>
        <w:t xml:space="preserve">the duty payable on the policy of insurance under the </w:t>
      </w:r>
      <w:r>
        <w:rPr>
          <w:i/>
        </w:rPr>
        <w:t>Duties Act 2008</w:t>
      </w:r>
      <w:r>
        <w:t>.</w:t>
      </w:r>
    </w:p>
    <w:p w:rsidR="006724FB" w:rsidRDefault="006724FB">
      <w:pPr>
        <w:pStyle w:val="Footnotesection"/>
      </w:pPr>
      <w:r>
        <w:tab/>
        <w:t>[Regulation 44 amended: Gazette 12 Jun 2015 p. 2037; 14 Jun 2016 p. 1996; 23 Jun 2017 p. 3268; 22 Jun 2018 p. 2191; 31 May 2019 p. 1724; SL 2020/74 r. 9</w:t>
      </w:r>
      <w:r w:rsidR="006C5153">
        <w:t>; SL 2021/92 r. 20</w:t>
      </w:r>
      <w:r>
        <w:t>.]</w:t>
      </w:r>
    </w:p>
    <w:p w:rsidR="006724FB" w:rsidRDefault="006724FB">
      <w:pPr>
        <w:pStyle w:val="Heading5"/>
      </w:pPr>
      <w:bookmarkStart w:id="74" w:name="_Toc75875576"/>
      <w:r>
        <w:rPr>
          <w:rStyle w:val="CharSectno"/>
        </w:rPr>
        <w:t>45</w:t>
      </w:r>
      <w:r>
        <w:t>.</w:t>
      </w:r>
      <w:r>
        <w:tab/>
        <w:t>Grant of permit</w:t>
      </w:r>
      <w:bookmarkEnd w:id="74"/>
    </w:p>
    <w:p w:rsidR="006724FB" w:rsidRDefault="006724FB">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rsidR="006724FB" w:rsidRDefault="006724FB">
      <w:pPr>
        <w:pStyle w:val="Subsection"/>
      </w:pPr>
      <w:r>
        <w:rPr>
          <w:snapToGrid w:val="0"/>
        </w:rPr>
        <w:tab/>
        <w:t>(2)</w:t>
      </w:r>
      <w:r>
        <w:rPr>
          <w:snapToGrid w:val="0"/>
        </w:rPr>
        <w:tab/>
        <w:t xml:space="preserve">The </w:t>
      </w:r>
      <w:r>
        <w:t xml:space="preserve">permit document must set out — </w:t>
      </w:r>
    </w:p>
    <w:p w:rsidR="006724FB" w:rsidRDefault="006724FB">
      <w:pPr>
        <w:pStyle w:val="Indenta"/>
      </w:pPr>
      <w:r>
        <w:tab/>
        <w:t>(a)</w:t>
      </w:r>
      <w:r>
        <w:tab/>
        <w:t>any conditions imposed on the grant of the permit in addition to the requirements specified by the CEO as mentioned in section 13(1); and</w:t>
      </w:r>
    </w:p>
    <w:p w:rsidR="006724FB" w:rsidRDefault="006724FB">
      <w:pPr>
        <w:pStyle w:val="Indenta"/>
        <w:rPr>
          <w:snapToGrid w:val="0"/>
        </w:rPr>
      </w:pPr>
      <w:r>
        <w:rPr>
          <w:snapToGrid w:val="0"/>
        </w:rPr>
        <w:tab/>
        <w:t>(b)</w:t>
      </w:r>
      <w:r>
        <w:rPr>
          <w:snapToGrid w:val="0"/>
        </w:rPr>
        <w:tab/>
        <w:t>the period for which the permit has effect.</w:t>
      </w:r>
    </w:p>
    <w:p w:rsidR="006724FB" w:rsidRDefault="006724FB">
      <w:pPr>
        <w:pStyle w:val="Subsection"/>
        <w:rPr>
          <w:snapToGrid w:val="0"/>
        </w:rPr>
      </w:pPr>
      <w:r>
        <w:rPr>
          <w:snapToGrid w:val="0"/>
        </w:rPr>
        <w:lastRenderedPageBreak/>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rsidR="006724FB" w:rsidRDefault="006724FB">
      <w:pPr>
        <w:pStyle w:val="Heading5"/>
      </w:pPr>
      <w:bookmarkStart w:id="75" w:name="_Toc75875577"/>
      <w:r>
        <w:rPr>
          <w:rStyle w:val="CharSectno"/>
        </w:rPr>
        <w:t>46</w:t>
      </w:r>
      <w:r>
        <w:t>.</w:t>
      </w:r>
      <w:r>
        <w:tab/>
        <w:t>Vehicle use to be in accordance with permit</w:t>
      </w:r>
      <w:bookmarkEnd w:id="75"/>
    </w:p>
    <w:p w:rsidR="006724FB" w:rsidRDefault="006724FB">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rsidR="006724FB" w:rsidRDefault="006724FB">
      <w:pPr>
        <w:pStyle w:val="Penstart"/>
      </w:pPr>
      <w:r>
        <w:tab/>
        <w:t>Penalty:</w:t>
      </w:r>
    </w:p>
    <w:p w:rsidR="006724FB" w:rsidRDefault="006724FB">
      <w:pPr>
        <w:pStyle w:val="Penpara"/>
      </w:pPr>
      <w:r>
        <w:tab/>
        <w:t>(a)</w:t>
      </w:r>
      <w:r>
        <w:tab/>
        <w:t>for a first offence, a fine of 4 PU;</w:t>
      </w:r>
    </w:p>
    <w:p w:rsidR="006724FB" w:rsidRDefault="006724FB">
      <w:pPr>
        <w:pStyle w:val="Penpara"/>
      </w:pPr>
      <w:r>
        <w:tab/>
        <w:t>(b)</w:t>
      </w:r>
      <w:r>
        <w:tab/>
        <w:t>for a subsequent offence, a fine of 8 PU.</w:t>
      </w:r>
    </w:p>
    <w:p w:rsidR="006724FB" w:rsidRDefault="006724FB">
      <w:pPr>
        <w:pStyle w:val="Penstart"/>
        <w:rPr>
          <w:rStyle w:val="DraftersNotes"/>
        </w:rPr>
      </w:pPr>
      <w:r>
        <w:tab/>
        <w:t>Modified penalty: 1 PU.</w:t>
      </w:r>
    </w:p>
    <w:p w:rsidR="006724FB" w:rsidRDefault="006724FB">
      <w:pPr>
        <w:pStyle w:val="Heading5"/>
        <w:rPr>
          <w:snapToGrid w:val="0"/>
        </w:rPr>
      </w:pPr>
      <w:bookmarkStart w:id="76" w:name="_Toc75875578"/>
      <w:r>
        <w:rPr>
          <w:rStyle w:val="CharSectno"/>
        </w:rPr>
        <w:t>47</w:t>
      </w:r>
      <w:r>
        <w:t>.</w:t>
      </w:r>
      <w:r>
        <w:tab/>
        <w:t>Display of s</w:t>
      </w:r>
      <w:r>
        <w:rPr>
          <w:snapToGrid w:val="0"/>
        </w:rPr>
        <w:t>igns</w:t>
      </w:r>
      <w:bookmarkEnd w:id="76"/>
    </w:p>
    <w:p w:rsidR="006724FB" w:rsidRDefault="006724FB">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rsidR="006724FB" w:rsidRDefault="006724FB">
      <w:pPr>
        <w:pStyle w:val="Penstart"/>
      </w:pPr>
      <w:r>
        <w:tab/>
        <w:t xml:space="preserve">Penalty: </w:t>
      </w:r>
    </w:p>
    <w:p w:rsidR="006724FB" w:rsidRDefault="006724FB">
      <w:pPr>
        <w:pStyle w:val="Penpara"/>
      </w:pPr>
      <w:r>
        <w:tab/>
        <w:t>(a)</w:t>
      </w:r>
      <w:r>
        <w:tab/>
        <w:t>for a first offence, a fine of 4 PU;</w:t>
      </w:r>
    </w:p>
    <w:p w:rsidR="006724FB" w:rsidRDefault="006724FB">
      <w:pPr>
        <w:pStyle w:val="Penpara"/>
      </w:pPr>
      <w:r>
        <w:tab/>
        <w:t>(b)</w:t>
      </w:r>
      <w:r>
        <w:tab/>
        <w:t>for a subsequent offence, a fine of 8 PU.</w:t>
      </w:r>
    </w:p>
    <w:p w:rsidR="006724FB" w:rsidRDefault="006724FB">
      <w:pPr>
        <w:pStyle w:val="Penstart"/>
        <w:rPr>
          <w:rStyle w:val="DraftersNotes"/>
        </w:rPr>
      </w:pPr>
      <w:r>
        <w:tab/>
        <w:t>Modified penalty: 1 PU.</w:t>
      </w:r>
    </w:p>
    <w:p w:rsidR="006724FB" w:rsidRDefault="006724FB">
      <w:pPr>
        <w:pStyle w:val="Heading3"/>
        <w:keepLines/>
        <w:widowControl w:val="0"/>
      </w:pPr>
      <w:bookmarkStart w:id="77" w:name="_Toc75419656"/>
      <w:bookmarkStart w:id="78" w:name="_Toc75426991"/>
      <w:bookmarkStart w:id="79" w:name="_Toc75872407"/>
      <w:bookmarkStart w:id="80" w:name="_Toc75875579"/>
      <w:r>
        <w:rPr>
          <w:rStyle w:val="CharDivNo"/>
        </w:rPr>
        <w:lastRenderedPageBreak/>
        <w:t>Division 6</w:t>
      </w:r>
      <w:r>
        <w:t> — </w:t>
      </w:r>
      <w:r>
        <w:rPr>
          <w:rStyle w:val="CharDivText"/>
        </w:rPr>
        <w:t>Miscellaneous</w:t>
      </w:r>
      <w:bookmarkEnd w:id="77"/>
      <w:bookmarkEnd w:id="78"/>
      <w:bookmarkEnd w:id="79"/>
      <w:bookmarkEnd w:id="80"/>
    </w:p>
    <w:p w:rsidR="006724FB" w:rsidRDefault="006724FB">
      <w:pPr>
        <w:pStyle w:val="Heading5"/>
        <w:rPr>
          <w:snapToGrid w:val="0"/>
        </w:rPr>
      </w:pPr>
      <w:bookmarkStart w:id="81" w:name="_Toc75875580"/>
      <w:r>
        <w:rPr>
          <w:rStyle w:val="CharSectno"/>
        </w:rPr>
        <w:t>48</w:t>
      </w:r>
      <w:r>
        <w:t>.</w:t>
      </w:r>
      <w:r>
        <w:tab/>
        <w:t>D</w:t>
      </w:r>
      <w:r>
        <w:rPr>
          <w:snapToGrid w:val="0"/>
        </w:rPr>
        <w:t>uplicate or certified copy of vehicle licence document</w:t>
      </w:r>
      <w:bookmarkEnd w:id="81"/>
    </w:p>
    <w:p w:rsidR="006724FB" w:rsidRDefault="006724FB">
      <w:pPr>
        <w:pStyle w:val="Subsection"/>
        <w:keepNext/>
        <w:keepLines/>
        <w:rPr>
          <w:snapToGrid w:val="0"/>
        </w:rPr>
      </w:pPr>
      <w:r>
        <w:rPr>
          <w:snapToGrid w:val="0"/>
        </w:rPr>
        <w:tab/>
      </w:r>
      <w:r>
        <w:rPr>
          <w:snapToGrid w:val="0"/>
        </w:rPr>
        <w:tab/>
        <w:t xml:space="preserve">The CEO must, on payment of a fee of </w:t>
      </w:r>
      <w:r w:rsidR="006C5153">
        <w:t>$3.40</w:t>
      </w:r>
      <w:r>
        <w:rPr>
          <w:snapToGrid w:val="0"/>
        </w:rPr>
        <w:t>, issue a duplicate or certified copy of a vehicle licence document that has been lost or destroyed, to a licence holder of the vehicle or, in the event of that person’s death, to the person’s executor or administrator.</w:t>
      </w:r>
    </w:p>
    <w:p w:rsidR="006724FB" w:rsidRDefault="006724FB">
      <w:pPr>
        <w:pStyle w:val="Footnotesection"/>
      </w:pPr>
      <w:r>
        <w:tab/>
        <w:t>[Regulation 48 amended: Gazette 12 Jun 2015 p. 2037; 14 Jun 2016 p. 1996; 23 Jun 2017 p. 3268; 22 Jun 2018 p. 2191; 31 May 2019 p. 1724</w:t>
      </w:r>
      <w:r w:rsidR="006C5153">
        <w:t>; SL 2021/92 r. 20</w:t>
      </w:r>
      <w:r>
        <w:t>.]</w:t>
      </w:r>
    </w:p>
    <w:p w:rsidR="006724FB" w:rsidRDefault="006724FB">
      <w:pPr>
        <w:pStyle w:val="Heading5"/>
        <w:rPr>
          <w:snapToGrid w:val="0"/>
        </w:rPr>
      </w:pPr>
      <w:bookmarkStart w:id="82" w:name="_Toc75875581"/>
      <w:r>
        <w:rPr>
          <w:rStyle w:val="CharSectno"/>
        </w:rPr>
        <w:t>49</w:t>
      </w:r>
      <w:r>
        <w:t>.</w:t>
      </w:r>
      <w:r>
        <w:tab/>
      </w:r>
      <w:r>
        <w:rPr>
          <w:snapToGrid w:val="0"/>
        </w:rPr>
        <w:t>Licences not current</w:t>
      </w:r>
      <w:bookmarkEnd w:id="82"/>
    </w:p>
    <w:p w:rsidR="006724FB" w:rsidRDefault="006724FB">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rsidR="006724FB" w:rsidRDefault="006724FB">
      <w:pPr>
        <w:pStyle w:val="Penstart"/>
      </w:pPr>
      <w:r>
        <w:tab/>
        <w:t xml:space="preserve">Penalty: </w:t>
      </w:r>
    </w:p>
    <w:p w:rsidR="006724FB" w:rsidRDefault="006724FB">
      <w:pPr>
        <w:pStyle w:val="Penpara"/>
      </w:pPr>
      <w:r>
        <w:tab/>
        <w:t>(a)</w:t>
      </w:r>
      <w:r>
        <w:tab/>
        <w:t>for a first offence, a fine of 4 PU;</w:t>
      </w:r>
    </w:p>
    <w:p w:rsidR="006724FB" w:rsidRDefault="006724FB">
      <w:pPr>
        <w:pStyle w:val="Penpara"/>
      </w:pPr>
      <w:r>
        <w:tab/>
        <w:t>(b)</w:t>
      </w:r>
      <w:r>
        <w:tab/>
        <w:t>for a subsequent offence, a fine of 8 PU.</w:t>
      </w:r>
    </w:p>
    <w:p w:rsidR="006724FB" w:rsidRDefault="006724FB">
      <w:pPr>
        <w:pStyle w:val="Penstart"/>
      </w:pPr>
      <w:r>
        <w:tab/>
        <w:t>Modified penalty: 2 PU.</w:t>
      </w:r>
    </w:p>
    <w:p w:rsidR="006724FB" w:rsidRDefault="006724FB">
      <w:pPr>
        <w:pStyle w:val="Heading5"/>
        <w:spacing w:before="120"/>
        <w:rPr>
          <w:snapToGrid w:val="0"/>
        </w:rPr>
      </w:pPr>
      <w:bookmarkStart w:id="83" w:name="_Toc75875582"/>
      <w:r>
        <w:rPr>
          <w:rStyle w:val="CharSectno"/>
        </w:rPr>
        <w:t>50</w:t>
      </w:r>
      <w:r>
        <w:t>.</w:t>
      </w:r>
      <w:r>
        <w:tab/>
      </w:r>
      <w:r>
        <w:rPr>
          <w:snapToGrid w:val="0"/>
        </w:rPr>
        <w:t>Change of personal details</w:t>
      </w:r>
      <w:bookmarkEnd w:id="83"/>
    </w:p>
    <w:p w:rsidR="006724FB" w:rsidRDefault="006724FB">
      <w:pPr>
        <w:pStyle w:val="Subsection"/>
      </w:pPr>
      <w:r>
        <w:tab/>
        <w:t>(1)</w:t>
      </w:r>
      <w:r>
        <w:tab/>
        <w:t xml:space="preserve">In this regulation — </w:t>
      </w:r>
    </w:p>
    <w:p w:rsidR="006724FB" w:rsidRDefault="006724FB">
      <w:pPr>
        <w:pStyle w:val="Defstart"/>
      </w:pPr>
      <w:r>
        <w:tab/>
      </w:r>
      <w:r>
        <w:rPr>
          <w:rStyle w:val="CharDefText"/>
        </w:rPr>
        <w:t>personal details</w:t>
      </w:r>
      <w:r>
        <w:t xml:space="preserve">, in relation to a person, means — </w:t>
      </w:r>
    </w:p>
    <w:p w:rsidR="006724FB" w:rsidRDefault="006724FB">
      <w:pPr>
        <w:pStyle w:val="Defpara"/>
      </w:pPr>
      <w:r>
        <w:tab/>
        <w:t>(a)</w:t>
      </w:r>
      <w:r>
        <w:tab/>
        <w:t>the person’s full name;</w:t>
      </w:r>
    </w:p>
    <w:p w:rsidR="006724FB" w:rsidRDefault="006724FB">
      <w:pPr>
        <w:pStyle w:val="Defpara"/>
      </w:pPr>
      <w:r>
        <w:tab/>
        <w:t>(b)</w:t>
      </w:r>
      <w:r>
        <w:tab/>
        <w:t>the address of where the person is currently living.</w:t>
      </w:r>
    </w:p>
    <w:p w:rsidR="006724FB" w:rsidRDefault="006724FB">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rsidR="006724FB" w:rsidRDefault="006724FB">
      <w:pPr>
        <w:pStyle w:val="Penstart"/>
      </w:pPr>
      <w:r>
        <w:tab/>
        <w:t xml:space="preserve">Penalty for an offence under this subregulation: </w:t>
      </w:r>
    </w:p>
    <w:p w:rsidR="006724FB" w:rsidRDefault="006724FB">
      <w:pPr>
        <w:pStyle w:val="Penpara"/>
      </w:pPr>
      <w:r>
        <w:lastRenderedPageBreak/>
        <w:tab/>
        <w:t>(a)</w:t>
      </w:r>
      <w:r>
        <w:tab/>
        <w:t>for a first offence, a fine of 4 PU;</w:t>
      </w:r>
    </w:p>
    <w:p w:rsidR="006724FB" w:rsidRDefault="006724FB">
      <w:pPr>
        <w:pStyle w:val="Penpara"/>
        <w:keepNext/>
      </w:pPr>
      <w:r>
        <w:tab/>
        <w:t>(b)</w:t>
      </w:r>
      <w:r>
        <w:tab/>
        <w:t>for a subsequent offence, a fine of 8 PU.</w:t>
      </w:r>
    </w:p>
    <w:p w:rsidR="006724FB" w:rsidRDefault="006724FB">
      <w:pPr>
        <w:pStyle w:val="Penstart"/>
      </w:pPr>
      <w:r>
        <w:tab/>
        <w:t>Modified penalty for an offence under this subregulation: 1 PU.</w:t>
      </w:r>
    </w:p>
    <w:p w:rsidR="006724FB" w:rsidRDefault="006724FB">
      <w:pPr>
        <w:pStyle w:val="Heading5"/>
      </w:pPr>
      <w:bookmarkStart w:id="84" w:name="_Toc75875583"/>
      <w:r>
        <w:rPr>
          <w:rStyle w:val="CharSectno"/>
        </w:rPr>
        <w:t>51</w:t>
      </w:r>
      <w:r>
        <w:t>.</w:t>
      </w:r>
      <w:r>
        <w:tab/>
        <w:t>Licence documents to be handed over on disposal</w:t>
      </w:r>
      <w:bookmarkEnd w:id="84"/>
    </w:p>
    <w:p w:rsidR="006724FB" w:rsidRDefault="006724FB">
      <w:pPr>
        <w:pStyle w:val="Subsection"/>
      </w:pPr>
      <w:r>
        <w:tab/>
        <w:t>(1)</w:t>
      </w:r>
      <w:r>
        <w:tab/>
        <w:t>In this regulation —</w:t>
      </w:r>
    </w:p>
    <w:p w:rsidR="006724FB" w:rsidRDefault="006724FB">
      <w:pPr>
        <w:pStyle w:val="Defstart"/>
      </w:pPr>
      <w:r>
        <w:tab/>
      </w:r>
      <w:r>
        <w:rPr>
          <w:rStyle w:val="CharDefText"/>
        </w:rPr>
        <w:t>new owner</w:t>
      </w:r>
      <w:r>
        <w:t xml:space="preserve"> has the meaning given in section 10(4).</w:t>
      </w:r>
    </w:p>
    <w:p w:rsidR="006724FB" w:rsidRDefault="006724FB">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rsidR="006724FB" w:rsidRDefault="006724FB">
      <w:pPr>
        <w:pStyle w:val="Penstart"/>
      </w:pPr>
      <w:r>
        <w:tab/>
        <w:t xml:space="preserve">Penalty: </w:t>
      </w:r>
    </w:p>
    <w:p w:rsidR="006724FB" w:rsidRDefault="006724FB">
      <w:pPr>
        <w:pStyle w:val="Penpara"/>
      </w:pPr>
      <w:r>
        <w:tab/>
        <w:t>(a)</w:t>
      </w:r>
      <w:r>
        <w:tab/>
        <w:t>for a first offence, a fine of 4 PU;</w:t>
      </w:r>
    </w:p>
    <w:p w:rsidR="006724FB" w:rsidRDefault="006724FB">
      <w:pPr>
        <w:pStyle w:val="Penpara"/>
      </w:pPr>
      <w:r>
        <w:tab/>
        <w:t>(b)</w:t>
      </w:r>
      <w:r>
        <w:tab/>
        <w:t>for a subsequent offence, a fine of 8 PU.</w:t>
      </w:r>
    </w:p>
    <w:p w:rsidR="006724FB" w:rsidRDefault="006724FB">
      <w:pPr>
        <w:pStyle w:val="Penstart"/>
      </w:pPr>
      <w:r>
        <w:tab/>
        <w:t>Modified penalty: 2 PU.</w:t>
      </w:r>
    </w:p>
    <w:p w:rsidR="006724FB" w:rsidRDefault="006724FB">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rsidR="006724FB" w:rsidRDefault="006724FB">
      <w:pPr>
        <w:pStyle w:val="Penstart"/>
      </w:pPr>
      <w:r>
        <w:tab/>
        <w:t xml:space="preserve">Penalty for an offence under this subregulation: </w:t>
      </w:r>
    </w:p>
    <w:p w:rsidR="006724FB" w:rsidRDefault="006724FB">
      <w:pPr>
        <w:pStyle w:val="Penpara"/>
      </w:pPr>
      <w:r>
        <w:tab/>
        <w:t>(a)</w:t>
      </w:r>
      <w:r>
        <w:tab/>
        <w:t>for a first offence, a fine of 4 PU;</w:t>
      </w:r>
    </w:p>
    <w:p w:rsidR="006724FB" w:rsidRDefault="006724FB">
      <w:pPr>
        <w:pStyle w:val="Penpara"/>
      </w:pPr>
      <w:r>
        <w:tab/>
        <w:t>(b)</w:t>
      </w:r>
      <w:r>
        <w:tab/>
        <w:t>for a subsequent offence, a fine of 8 PU.</w:t>
      </w:r>
    </w:p>
    <w:p w:rsidR="006724FB" w:rsidRDefault="006724FB">
      <w:pPr>
        <w:pStyle w:val="Penstart"/>
      </w:pPr>
      <w:r>
        <w:tab/>
        <w:t>Modified penalty for an offence under this subregulation: 2 PU.</w:t>
      </w:r>
    </w:p>
    <w:p w:rsidR="006724FB" w:rsidRDefault="006724FB">
      <w:pPr>
        <w:pStyle w:val="Heading3"/>
        <w:keepNext w:val="0"/>
      </w:pPr>
      <w:bookmarkStart w:id="85" w:name="_Toc75419661"/>
      <w:bookmarkStart w:id="86" w:name="_Toc75426996"/>
      <w:bookmarkStart w:id="87" w:name="_Toc75872412"/>
      <w:bookmarkStart w:id="88" w:name="_Toc75875584"/>
      <w:r>
        <w:rPr>
          <w:rStyle w:val="CharDivNo"/>
        </w:rPr>
        <w:t>Division 7</w:t>
      </w:r>
      <w:r>
        <w:t> — </w:t>
      </w:r>
      <w:r>
        <w:rPr>
          <w:rStyle w:val="CharDivText"/>
        </w:rPr>
        <w:t>Vehicle licence charges</w:t>
      </w:r>
      <w:bookmarkEnd w:id="85"/>
      <w:bookmarkEnd w:id="86"/>
      <w:bookmarkEnd w:id="87"/>
      <w:bookmarkEnd w:id="88"/>
    </w:p>
    <w:p w:rsidR="006724FB" w:rsidRDefault="006724FB">
      <w:pPr>
        <w:pStyle w:val="Heading4"/>
      </w:pPr>
      <w:bookmarkStart w:id="89" w:name="_Toc75419662"/>
      <w:bookmarkStart w:id="90" w:name="_Toc75426997"/>
      <w:bookmarkStart w:id="91" w:name="_Toc75872413"/>
      <w:bookmarkStart w:id="92" w:name="_Toc75875585"/>
      <w:r>
        <w:t>Subdivision 1 — General</w:t>
      </w:r>
      <w:bookmarkEnd w:id="89"/>
      <w:bookmarkEnd w:id="90"/>
      <w:bookmarkEnd w:id="91"/>
      <w:bookmarkEnd w:id="92"/>
    </w:p>
    <w:p w:rsidR="006724FB" w:rsidRDefault="006724FB">
      <w:pPr>
        <w:pStyle w:val="Heading5"/>
      </w:pPr>
      <w:bookmarkStart w:id="93" w:name="_Toc75875586"/>
      <w:r>
        <w:rPr>
          <w:rStyle w:val="CharSectno"/>
        </w:rPr>
        <w:t>52</w:t>
      </w:r>
      <w:r>
        <w:t>.</w:t>
      </w:r>
      <w:r>
        <w:tab/>
        <w:t>Terms used</w:t>
      </w:r>
      <w:bookmarkEnd w:id="93"/>
    </w:p>
    <w:p w:rsidR="006724FB" w:rsidRDefault="006724FB">
      <w:pPr>
        <w:pStyle w:val="Subsection"/>
      </w:pPr>
      <w:r>
        <w:tab/>
        <w:t>(1)</w:t>
      </w:r>
      <w:r>
        <w:tab/>
        <w:t xml:space="preserve">In this Division — </w:t>
      </w:r>
    </w:p>
    <w:p w:rsidR="006724FB" w:rsidRDefault="006724FB">
      <w:pPr>
        <w:pStyle w:val="Defstart"/>
      </w:pPr>
      <w:r>
        <w:lastRenderedPageBreak/>
        <w:tab/>
      </w:r>
      <w:r>
        <w:rPr>
          <w:rStyle w:val="CharDefText"/>
        </w:rPr>
        <w:t>agricultural special purpose vehicle</w:t>
      </w:r>
      <w:r>
        <w:t xml:space="preserve"> means a special purpose vehicle that the CEO is satisfied will be used exclusively in a farming business;</w:t>
      </w:r>
    </w:p>
    <w:p w:rsidR="006724FB" w:rsidRDefault="006724FB">
      <w:pPr>
        <w:pStyle w:val="Defstart"/>
      </w:pPr>
      <w:r>
        <w:rPr>
          <w:b/>
        </w:rPr>
        <w:tab/>
      </w:r>
      <w:r>
        <w:rPr>
          <w:rStyle w:val="CharDefText"/>
        </w:rPr>
        <w:t>farm</w:t>
      </w:r>
      <w:r>
        <w:t xml:space="preserve"> means the land on which a farmer carries on the farmer’s farming business;</w:t>
      </w:r>
    </w:p>
    <w:p w:rsidR="006724FB" w:rsidRDefault="006724FB">
      <w:pPr>
        <w:pStyle w:val="Defstart"/>
      </w:pPr>
      <w:r>
        <w:rPr>
          <w:b/>
        </w:rPr>
        <w:tab/>
      </w:r>
      <w:r>
        <w:rPr>
          <w:rStyle w:val="CharDefText"/>
        </w:rPr>
        <w:t>farmer</w:t>
      </w:r>
      <w:r>
        <w:t xml:space="preserve"> means a person who carries on business as a farmer or grazier;</w:t>
      </w:r>
    </w:p>
    <w:p w:rsidR="006724FB" w:rsidRDefault="006724FB">
      <w:pPr>
        <w:pStyle w:val="Defstart"/>
      </w:pPr>
      <w:r>
        <w:rPr>
          <w:b/>
        </w:rPr>
        <w:tab/>
      </w:r>
      <w:r>
        <w:rPr>
          <w:rStyle w:val="CharDefText"/>
        </w:rPr>
        <w:t>farming business</w:t>
      </w:r>
      <w:r>
        <w:t xml:space="preserve"> means the business of farming or grazing;</w:t>
      </w:r>
    </w:p>
    <w:p w:rsidR="006724FB" w:rsidRDefault="006724FB">
      <w:pPr>
        <w:pStyle w:val="Defstart"/>
      </w:pPr>
      <w:r>
        <w:rPr>
          <w:b/>
        </w:rPr>
        <w:tab/>
      </w:r>
      <w:r>
        <w:rPr>
          <w:rStyle w:val="CharDefText"/>
        </w:rPr>
        <w:t>stock</w:t>
      </w:r>
      <w:r>
        <w:t xml:space="preserve"> means cattle, sheep, goats or swine.</w:t>
      </w:r>
    </w:p>
    <w:p w:rsidR="006724FB" w:rsidRDefault="006724FB">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rsidR="006724FB" w:rsidRDefault="006724FB">
      <w:pPr>
        <w:pStyle w:val="Heading5"/>
      </w:pPr>
      <w:bookmarkStart w:id="94" w:name="_Toc75875587"/>
      <w:r>
        <w:rPr>
          <w:rStyle w:val="CharSectno"/>
        </w:rPr>
        <w:t>53</w:t>
      </w:r>
      <w:r>
        <w:t>.</w:t>
      </w:r>
      <w:r>
        <w:tab/>
        <w:t>Vehicle licence charges</w:t>
      </w:r>
      <w:bookmarkEnd w:id="94"/>
    </w:p>
    <w:p w:rsidR="006724FB" w:rsidRDefault="006724FB">
      <w:pPr>
        <w:pStyle w:val="Subsection"/>
      </w:pPr>
      <w:r>
        <w:tab/>
      </w:r>
      <w:r>
        <w:tab/>
        <w:t xml:space="preserve">The charge for granting and renewing a licence for a vehicle is the charge specified for the vehicle in this Division. </w:t>
      </w:r>
    </w:p>
    <w:p w:rsidR="006724FB" w:rsidRDefault="006724FB">
      <w:pPr>
        <w:pStyle w:val="Heading5"/>
      </w:pPr>
      <w:bookmarkStart w:id="95" w:name="_Toc75875588"/>
      <w:r>
        <w:rPr>
          <w:rStyle w:val="CharSectno"/>
        </w:rPr>
        <w:t>54</w:t>
      </w:r>
      <w:r>
        <w:t>.</w:t>
      </w:r>
      <w:r>
        <w:tab/>
        <w:t>Calculation of vehicle licence charges</w:t>
      </w:r>
      <w:bookmarkEnd w:id="95"/>
    </w:p>
    <w:p w:rsidR="006724FB" w:rsidRDefault="006724FB">
      <w:pPr>
        <w:pStyle w:val="Subsection"/>
        <w:keepNext/>
      </w:pPr>
      <w:r>
        <w:tab/>
        <w:t>(1)</w:t>
      </w:r>
      <w:r>
        <w:tab/>
        <w:t>The vehicle licence charge payable for a vehicle for a period of one year is —</w:t>
      </w:r>
    </w:p>
    <w:p w:rsidR="006724FB" w:rsidRDefault="006724FB">
      <w:pPr>
        <w:pStyle w:val="Indenta"/>
      </w:pPr>
      <w:r>
        <w:tab/>
        <w:t>(a)</w:t>
      </w:r>
      <w:r>
        <w:tab/>
        <w:t>for a vehicle other than a heavy vehicle, the charge payable under Subdivision 2;</w:t>
      </w:r>
    </w:p>
    <w:p w:rsidR="006724FB" w:rsidRDefault="006724FB">
      <w:pPr>
        <w:pStyle w:val="Indenta"/>
      </w:pPr>
      <w:r>
        <w:tab/>
        <w:t>(b)</w:t>
      </w:r>
      <w:r>
        <w:tab/>
        <w:t>for a heavy vehicle, the charge payable under Subdivision 3.</w:t>
      </w:r>
    </w:p>
    <w:p w:rsidR="006724FB" w:rsidRDefault="006724FB">
      <w:pPr>
        <w:pStyle w:val="Subsection"/>
      </w:pPr>
      <w:r>
        <w:tab/>
        <w:t>(2)</w:t>
      </w:r>
      <w:r>
        <w:tab/>
        <w:t>The vehicle licence charge payable for a vehicle for a period of 6 months is 50% of the charge payable for that vehicle for a period of one year.</w:t>
      </w:r>
    </w:p>
    <w:p w:rsidR="006724FB" w:rsidRDefault="006724FB">
      <w:pPr>
        <w:pStyle w:val="Subsection"/>
      </w:pPr>
      <w:r>
        <w:tab/>
        <w:t>(3)</w:t>
      </w:r>
      <w:r>
        <w:tab/>
        <w:t>The vehicle licence charge payable for a vehicle for a period of 3 months is 25% of the charge payable for that vehicle for a period of one year.</w:t>
      </w:r>
    </w:p>
    <w:p w:rsidR="006724FB" w:rsidRDefault="006724FB">
      <w:pPr>
        <w:pStyle w:val="Subsection"/>
      </w:pPr>
      <w:r>
        <w:lastRenderedPageBreak/>
        <w:tab/>
        <w:t>(4)</w:t>
      </w:r>
      <w:r>
        <w:tab/>
        <w:t>The vehicle licence charge payable for a vehicle for any other period of less than one year is determined in accordance with this formula —</w:t>
      </w:r>
    </w:p>
    <w:p w:rsidR="006724FB" w:rsidRDefault="006724FB">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rsidR="006724FB" w:rsidRDefault="006724FB">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rsidR="006724FB" w:rsidRDefault="006724FB">
      <w:pPr>
        <w:pStyle w:val="Subsection"/>
      </w:pPr>
      <w:r>
        <w:tab/>
        <w:t>(6)</w:t>
      </w:r>
      <w:r>
        <w:tab/>
        <w:t>For the purposes of ascertaining a charge under this Division, the tare of a vehicle is —</w:t>
      </w:r>
    </w:p>
    <w:p w:rsidR="006724FB" w:rsidRDefault="006724FB">
      <w:pPr>
        <w:pStyle w:val="Indenta"/>
      </w:pPr>
      <w:r>
        <w:tab/>
        <w:t>(a)</w:t>
      </w:r>
      <w:r>
        <w:tab/>
        <w:t>as specified by the vehicle’s manufacturer; or</w:t>
      </w:r>
    </w:p>
    <w:p w:rsidR="006724FB" w:rsidRDefault="006724FB">
      <w:pPr>
        <w:pStyle w:val="Indenta"/>
        <w:keepNext/>
      </w:pPr>
      <w:r>
        <w:tab/>
        <w:t>(b)</w:t>
      </w:r>
      <w:r>
        <w:tab/>
        <w:t xml:space="preserve">as specified by the CEO if — </w:t>
      </w:r>
    </w:p>
    <w:p w:rsidR="006724FB" w:rsidRDefault="006724FB">
      <w:pPr>
        <w:pStyle w:val="Indenti"/>
      </w:pPr>
      <w:r>
        <w:tab/>
        <w:t>(i)</w:t>
      </w:r>
      <w:r>
        <w:tab/>
        <w:t>the manufacturer has not specified the tare; or</w:t>
      </w:r>
    </w:p>
    <w:p w:rsidR="006724FB" w:rsidRDefault="006724FB">
      <w:pPr>
        <w:pStyle w:val="Indenti"/>
      </w:pPr>
      <w:r>
        <w:tab/>
        <w:t>(ii)</w:t>
      </w:r>
      <w:r>
        <w:tab/>
        <w:t>the manufacturer cannot be identified; or</w:t>
      </w:r>
    </w:p>
    <w:p w:rsidR="006724FB" w:rsidRDefault="006724FB">
      <w:pPr>
        <w:pStyle w:val="Indenti"/>
      </w:pPr>
      <w:r>
        <w:tab/>
        <w:t>(iii)</w:t>
      </w:r>
      <w:r>
        <w:tab/>
        <w:t>the vehicle has been modified to the extent that the manufacturer’s specification is no longer appropriate.</w:t>
      </w:r>
    </w:p>
    <w:p w:rsidR="006724FB" w:rsidRDefault="006724FB">
      <w:pPr>
        <w:pStyle w:val="Heading4"/>
      </w:pPr>
      <w:bookmarkStart w:id="96" w:name="_Toc75419666"/>
      <w:bookmarkStart w:id="97" w:name="_Toc75427001"/>
      <w:bookmarkStart w:id="98" w:name="_Toc75872417"/>
      <w:bookmarkStart w:id="99" w:name="_Toc75875589"/>
      <w:r>
        <w:t>Subdivision 2 — Vehicle licence charges for vehicles other than heavy vehicles</w:t>
      </w:r>
      <w:bookmarkEnd w:id="96"/>
      <w:bookmarkEnd w:id="97"/>
      <w:bookmarkEnd w:id="98"/>
      <w:bookmarkEnd w:id="99"/>
    </w:p>
    <w:p w:rsidR="006724FB" w:rsidRDefault="006724FB">
      <w:pPr>
        <w:pStyle w:val="Heading5"/>
      </w:pPr>
      <w:bookmarkStart w:id="100" w:name="_Toc75875590"/>
      <w:r>
        <w:rPr>
          <w:rStyle w:val="CharSectno"/>
        </w:rPr>
        <w:t>55</w:t>
      </w:r>
      <w:r>
        <w:t>.</w:t>
      </w:r>
      <w:r>
        <w:tab/>
        <w:t>Application</w:t>
      </w:r>
      <w:bookmarkEnd w:id="100"/>
    </w:p>
    <w:p w:rsidR="006724FB" w:rsidRDefault="006724FB">
      <w:pPr>
        <w:pStyle w:val="Subsection"/>
      </w:pPr>
      <w:r>
        <w:tab/>
      </w:r>
      <w:r>
        <w:tab/>
        <w:t>This Subdivision applies to vehicles other than heavy vehicles (as defined in regulation 12).</w:t>
      </w:r>
    </w:p>
    <w:p w:rsidR="006724FB" w:rsidRDefault="006724FB">
      <w:pPr>
        <w:pStyle w:val="Heading5"/>
      </w:pPr>
      <w:bookmarkStart w:id="101" w:name="_Toc75875591"/>
      <w:r>
        <w:rPr>
          <w:rStyle w:val="CharSectno"/>
        </w:rPr>
        <w:t>56</w:t>
      </w:r>
      <w:r>
        <w:t>.</w:t>
      </w:r>
      <w:r>
        <w:tab/>
        <w:t>Licence fees: calculation and reduction</w:t>
      </w:r>
      <w:bookmarkEnd w:id="101"/>
    </w:p>
    <w:p w:rsidR="006724FB" w:rsidRDefault="006724FB">
      <w:pPr>
        <w:pStyle w:val="Subsection"/>
      </w:pPr>
      <w:r>
        <w:tab/>
        <w:t>(1)</w:t>
      </w:r>
      <w:r>
        <w:tab/>
        <w:t>The licence fee payable for a vehicle for a period of one year is an amount of $13.20 plus an amount calculated in accordance with this Subdivision.</w:t>
      </w:r>
    </w:p>
    <w:p w:rsidR="006724FB" w:rsidRDefault="006724FB">
      <w:pPr>
        <w:pStyle w:val="Subsection"/>
      </w:pPr>
      <w:r>
        <w:tab/>
        <w:t>(2)</w:t>
      </w:r>
      <w:r>
        <w:tab/>
        <w:t xml:space="preserve">If an application is made for the grant or renewal of a licence for a vehicle and an election is made under regulation 31(1) for a </w:t>
      </w:r>
      <w:r>
        <w:lastRenderedPageBreak/>
        <w:t>one year grant of that licence, the fee for the grant or renewal is reduced by $6.60.</w:t>
      </w:r>
    </w:p>
    <w:p w:rsidR="006724FB" w:rsidRDefault="006724FB">
      <w:pPr>
        <w:pStyle w:val="Subsection"/>
      </w:pPr>
      <w:r>
        <w:tab/>
        <w:t>(3)</w:t>
      </w:r>
      <w:r>
        <w:tab/>
        <w:t>A reduction under subregulation (2) is to apply before any concession under these regulations.</w:t>
      </w:r>
    </w:p>
    <w:p w:rsidR="006724FB" w:rsidRDefault="006724FB">
      <w:pPr>
        <w:pStyle w:val="Heading5"/>
      </w:pPr>
      <w:bookmarkStart w:id="102" w:name="_Toc75875592"/>
      <w:r>
        <w:rPr>
          <w:rStyle w:val="CharSectno"/>
        </w:rPr>
        <w:t>57</w:t>
      </w:r>
      <w:r>
        <w:t>.</w:t>
      </w:r>
      <w:r>
        <w:tab/>
        <w:t>Car, bus, goods vehicle and motor home</w:t>
      </w:r>
      <w:bookmarkEnd w:id="102"/>
    </w:p>
    <w:p w:rsidR="006724FB" w:rsidRDefault="006724FB">
      <w:pPr>
        <w:pStyle w:val="Subsection"/>
      </w:pPr>
      <w:r>
        <w:tab/>
      </w:r>
      <w:r>
        <w:tab/>
        <w:t>For a car or bus, a goods vehicle or a motor home the charge is $24.56</w:t>
      </w:r>
      <w:r>
        <w:rPr>
          <w:szCs w:val="24"/>
        </w:rPr>
        <w:t xml:space="preserve"> </w:t>
      </w:r>
      <w:r>
        <w:t>per 100 kg, or part of 100 kg, of tare, subject to a maximum licence fee of $520.00.</w:t>
      </w:r>
    </w:p>
    <w:p w:rsidR="006724FB" w:rsidRDefault="006724FB">
      <w:pPr>
        <w:pStyle w:val="Footnotesection"/>
      </w:pPr>
      <w:r>
        <w:tab/>
        <w:t>[Regulation 57 amended: Gazette 27 May 2015 p. 1865 and 1871; 27 May 2016 p. 1552; 26 May 2017 p. 2643; 25 May 2018 p. 1644; 17 May 2019 p. 1439; SL 2021/64 r. 5.]</w:t>
      </w:r>
    </w:p>
    <w:p w:rsidR="006724FB" w:rsidRDefault="006724FB">
      <w:pPr>
        <w:pStyle w:val="Heading5"/>
      </w:pPr>
      <w:bookmarkStart w:id="103" w:name="_Toc75875593"/>
      <w:r>
        <w:rPr>
          <w:rStyle w:val="CharSectno"/>
        </w:rPr>
        <w:t>58</w:t>
      </w:r>
      <w:r>
        <w:t>.</w:t>
      </w:r>
      <w:r>
        <w:tab/>
        <w:t>Prime mover</w:t>
      </w:r>
      <w:bookmarkEnd w:id="103"/>
    </w:p>
    <w:p w:rsidR="006724FB" w:rsidRDefault="006724FB">
      <w:pPr>
        <w:pStyle w:val="Subsection"/>
      </w:pPr>
      <w:r>
        <w:tab/>
      </w:r>
      <w:r>
        <w:tab/>
        <w:t>For a prime mover the charge is $24.56</w:t>
      </w:r>
      <w:r>
        <w:rPr>
          <w:szCs w:val="24"/>
        </w:rPr>
        <w:t xml:space="preserve"> </w:t>
      </w:r>
      <w:r>
        <w:t>per 100 kg, or part of 100 kg, of tare, subject to a maximum fee of $1 373.00.</w:t>
      </w:r>
    </w:p>
    <w:p w:rsidR="006724FB" w:rsidRDefault="006724FB">
      <w:pPr>
        <w:pStyle w:val="Footnotesection"/>
      </w:pPr>
      <w:r>
        <w:tab/>
        <w:t>[Regulation 58 amended: Gazette 27 May 2015 p. 1865 and 1871; 27 May 2016 p. 1552; 26 May 2017 p. 2643; 25 May 2018 p. 1644; 17 May 2019 p. 1439; SL 2021/64 r. 5.]</w:t>
      </w:r>
    </w:p>
    <w:p w:rsidR="006724FB" w:rsidRDefault="006724FB">
      <w:pPr>
        <w:pStyle w:val="Heading5"/>
      </w:pPr>
      <w:bookmarkStart w:id="104" w:name="_Toc75875594"/>
      <w:r>
        <w:rPr>
          <w:rStyle w:val="CharSectno"/>
        </w:rPr>
        <w:t>59</w:t>
      </w:r>
      <w:r>
        <w:t>.</w:t>
      </w:r>
      <w:r>
        <w:tab/>
        <w:t>Trailer other than towed special purpose vehicle</w:t>
      </w:r>
      <w:bookmarkEnd w:id="104"/>
    </w:p>
    <w:p w:rsidR="006724FB" w:rsidRDefault="006724FB">
      <w:pPr>
        <w:pStyle w:val="Subsection"/>
      </w:pPr>
      <w:r>
        <w:tab/>
      </w:r>
      <w:r>
        <w:tab/>
        <w:t>For a trailer other than a towed special purpose vehicle the charge is $12.28</w:t>
      </w:r>
      <w:r>
        <w:rPr>
          <w:szCs w:val="24"/>
        </w:rPr>
        <w:t xml:space="preserve"> </w:t>
      </w:r>
      <w:r>
        <w:t>per 100 kg, or part of 100 kg, of tare.</w:t>
      </w:r>
    </w:p>
    <w:p w:rsidR="006724FB" w:rsidRDefault="006724FB">
      <w:pPr>
        <w:pStyle w:val="Footnotesection"/>
      </w:pPr>
      <w:r>
        <w:tab/>
        <w:t>[Regulation 59 amended: Gazette 27 May 2015 p. 1866; 27 May 2016 p. 1552; 26 May 2017 p. 2643; 25 May 2018 p. 1644; 17 May 2019 p. 1439; SL 2021/64 r. 5.]</w:t>
      </w:r>
    </w:p>
    <w:p w:rsidR="006724FB" w:rsidRDefault="006724FB">
      <w:pPr>
        <w:pStyle w:val="Heading5"/>
      </w:pPr>
      <w:bookmarkStart w:id="105" w:name="_Toc75875595"/>
      <w:r>
        <w:rPr>
          <w:rStyle w:val="CharSectno"/>
        </w:rPr>
        <w:t>60</w:t>
      </w:r>
      <w:r>
        <w:t>.</w:t>
      </w:r>
      <w:r>
        <w:tab/>
        <w:t>Motor cycle</w:t>
      </w:r>
      <w:bookmarkEnd w:id="105"/>
    </w:p>
    <w:p w:rsidR="006724FB" w:rsidRDefault="006724FB">
      <w:pPr>
        <w:pStyle w:val="Subsection"/>
        <w:keepNext/>
      </w:pPr>
      <w:r>
        <w:tab/>
        <w:t>(1)</w:t>
      </w:r>
      <w:r>
        <w:tab/>
        <w:t xml:space="preserve">The charge is $49.12 for a motor cycle that — </w:t>
      </w:r>
    </w:p>
    <w:p w:rsidR="006724FB" w:rsidRDefault="006724FB">
      <w:pPr>
        <w:pStyle w:val="Indenta"/>
      </w:pPr>
      <w:r>
        <w:tab/>
        <w:t>(a)</w:t>
      </w:r>
      <w:r>
        <w:tab/>
        <w:t>has a piston engine and an engine capacity that does not exceed 250 cm</w:t>
      </w:r>
      <w:r>
        <w:rPr>
          <w:vertAlign w:val="superscript"/>
        </w:rPr>
        <w:t>3</w:t>
      </w:r>
      <w:r>
        <w:t>; or</w:t>
      </w:r>
    </w:p>
    <w:p w:rsidR="006724FB" w:rsidRDefault="006724FB">
      <w:pPr>
        <w:pStyle w:val="Indenta"/>
      </w:pPr>
      <w:r>
        <w:tab/>
        <w:t>(b)</w:t>
      </w:r>
      <w:r>
        <w:tab/>
        <w:t>does not have a piston engine and has a power</w:t>
      </w:r>
      <w:r>
        <w:noBreakHyphen/>
        <w:t>to</w:t>
      </w:r>
      <w:r>
        <w:noBreakHyphen/>
        <w:t>weight ratio that does not exceed 150 kW/t.</w:t>
      </w:r>
    </w:p>
    <w:p w:rsidR="006724FB" w:rsidRDefault="006724FB">
      <w:pPr>
        <w:pStyle w:val="Subsection"/>
      </w:pPr>
      <w:r>
        <w:lastRenderedPageBreak/>
        <w:tab/>
        <w:t>(2)</w:t>
      </w:r>
      <w:r>
        <w:tab/>
        <w:t xml:space="preserve">The charge is $73.68 for a motor cycle that — </w:t>
      </w:r>
    </w:p>
    <w:p w:rsidR="006724FB" w:rsidRDefault="006724FB">
      <w:pPr>
        <w:pStyle w:val="Indenta"/>
      </w:pPr>
      <w:r>
        <w:tab/>
        <w:t>(a)</w:t>
      </w:r>
      <w:r>
        <w:tab/>
        <w:t>has a piston engine and an engine capacity that exceeds 250 cm</w:t>
      </w:r>
      <w:r>
        <w:rPr>
          <w:vertAlign w:val="superscript"/>
        </w:rPr>
        <w:t>3</w:t>
      </w:r>
      <w:r>
        <w:t>; or</w:t>
      </w:r>
    </w:p>
    <w:p w:rsidR="006724FB" w:rsidRDefault="006724FB">
      <w:pPr>
        <w:pStyle w:val="Indenta"/>
      </w:pPr>
      <w:r>
        <w:tab/>
        <w:t>(b)</w:t>
      </w:r>
      <w:r>
        <w:tab/>
        <w:t>does not have a piston engine and has a power</w:t>
      </w:r>
      <w:r>
        <w:noBreakHyphen/>
        <w:t>to</w:t>
      </w:r>
      <w:r>
        <w:noBreakHyphen/>
        <w:t>weight ratio that exceeds 150 kW/t.</w:t>
      </w:r>
    </w:p>
    <w:p w:rsidR="006724FB" w:rsidRDefault="006724FB">
      <w:pPr>
        <w:pStyle w:val="Footnotesection"/>
      </w:pPr>
      <w:r>
        <w:tab/>
        <w:t>[Regulation 60 amended: Gazette 27 May 2015 p. 1866; 27 May 2016 p. 1553; 26 May 2017 p. 2643; 25 May 2018 p. 1644; 17 May 2019 p. 1439; SL 2021/64 r. 5.]</w:t>
      </w:r>
    </w:p>
    <w:p w:rsidR="006724FB" w:rsidRDefault="006724FB">
      <w:pPr>
        <w:pStyle w:val="Heading5"/>
      </w:pPr>
      <w:bookmarkStart w:id="106" w:name="_Toc75875596"/>
      <w:r>
        <w:rPr>
          <w:rStyle w:val="CharSectno"/>
        </w:rPr>
        <w:t>61</w:t>
      </w:r>
      <w:r>
        <w:t>.</w:t>
      </w:r>
      <w:r>
        <w:tab/>
        <w:t>Special purpose vehicle</w:t>
      </w:r>
      <w:bookmarkEnd w:id="106"/>
    </w:p>
    <w:p w:rsidR="006724FB" w:rsidRDefault="006724FB">
      <w:pPr>
        <w:pStyle w:val="Subsection"/>
      </w:pPr>
      <w:r>
        <w:tab/>
      </w:r>
      <w:r>
        <w:tab/>
        <w:t>For a special purpose vehicle the charge is $6.14 per 100 kg, or part of 100 kg, of the tare, subject to a maximum fee of $120.00.</w:t>
      </w:r>
    </w:p>
    <w:p w:rsidR="006724FB" w:rsidRDefault="006724FB">
      <w:pPr>
        <w:pStyle w:val="Footnotesection"/>
      </w:pPr>
      <w:r>
        <w:tab/>
        <w:t>[Regulation 61 amended: Gazette 27 May 2015 p. 1866; 27 May 2016 p. 1553; 26 May 2017 p. 2643; 25 May 2018 p. 1644; 17 May 2019 p. 1439; SL 2021/64 r. 5.]</w:t>
      </w:r>
    </w:p>
    <w:p w:rsidR="006724FB" w:rsidRDefault="006724FB">
      <w:pPr>
        <w:pStyle w:val="Heading4"/>
      </w:pPr>
      <w:bookmarkStart w:id="107" w:name="_Toc75419674"/>
      <w:bookmarkStart w:id="108" w:name="_Toc75427009"/>
      <w:bookmarkStart w:id="109" w:name="_Toc75872425"/>
      <w:bookmarkStart w:id="110" w:name="_Toc75875597"/>
      <w:r>
        <w:t>Subdivision 3 — Vehicle licence charges for heavy vehicles</w:t>
      </w:r>
      <w:bookmarkEnd w:id="107"/>
      <w:bookmarkEnd w:id="108"/>
      <w:bookmarkEnd w:id="109"/>
      <w:bookmarkEnd w:id="110"/>
    </w:p>
    <w:p w:rsidR="006724FB" w:rsidRDefault="006724FB">
      <w:pPr>
        <w:pStyle w:val="Heading5"/>
      </w:pPr>
      <w:bookmarkStart w:id="111" w:name="_Toc75875598"/>
      <w:r>
        <w:rPr>
          <w:rStyle w:val="CharSectno"/>
        </w:rPr>
        <w:t>62</w:t>
      </w:r>
      <w:r>
        <w:t>.</w:t>
      </w:r>
      <w:r>
        <w:tab/>
        <w:t>Application</w:t>
      </w:r>
      <w:bookmarkEnd w:id="111"/>
    </w:p>
    <w:p w:rsidR="006724FB" w:rsidRDefault="006724FB">
      <w:pPr>
        <w:pStyle w:val="Subsection"/>
      </w:pPr>
      <w:r>
        <w:tab/>
      </w:r>
      <w:r>
        <w:tab/>
        <w:t>This Subdivision applies to heavy vehicles (as defined in regulation 12).</w:t>
      </w:r>
    </w:p>
    <w:p w:rsidR="006724FB" w:rsidRDefault="006724FB">
      <w:pPr>
        <w:pStyle w:val="Heading5"/>
      </w:pPr>
      <w:bookmarkStart w:id="112" w:name="_Toc75875599"/>
      <w:r>
        <w:rPr>
          <w:rStyle w:val="CharSectno"/>
        </w:rPr>
        <w:t>63</w:t>
      </w:r>
      <w:r>
        <w:t>.</w:t>
      </w:r>
      <w:r>
        <w:tab/>
        <w:t>Car or bus</w:t>
      </w:r>
      <w:bookmarkEnd w:id="112"/>
    </w:p>
    <w:p w:rsidR="006724FB" w:rsidRDefault="006724FB">
      <w:pPr>
        <w:pStyle w:val="Subsection"/>
      </w:pPr>
      <w:r>
        <w:tab/>
      </w:r>
      <w:r>
        <w:tab/>
        <w:t>For a car or bus the charge is an amount corresponding to the licence class in the Table.</w:t>
      </w:r>
    </w:p>
    <w:p w:rsidR="006724FB" w:rsidRDefault="006724FB">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6724FB">
        <w:trPr>
          <w:tblHeader/>
        </w:trPr>
        <w:tc>
          <w:tcPr>
            <w:tcW w:w="2764" w:type="dxa"/>
          </w:tcPr>
          <w:p w:rsidR="006724FB" w:rsidRDefault="006724FB">
            <w:pPr>
              <w:pStyle w:val="TableNAm"/>
              <w:keepNext/>
              <w:jc w:val="center"/>
            </w:pPr>
            <w:r>
              <w:rPr>
                <w:b/>
                <w:bCs/>
              </w:rPr>
              <w:t>Licence class</w:t>
            </w:r>
          </w:p>
        </w:tc>
        <w:tc>
          <w:tcPr>
            <w:tcW w:w="2764" w:type="dxa"/>
          </w:tcPr>
          <w:p w:rsidR="006724FB" w:rsidRDefault="006724FB">
            <w:pPr>
              <w:pStyle w:val="TableNAm"/>
              <w:keepNext/>
              <w:jc w:val="center"/>
            </w:pPr>
            <w:r>
              <w:rPr>
                <w:b/>
                <w:bCs/>
              </w:rPr>
              <w:t>Charge</w:t>
            </w:r>
          </w:p>
          <w:p w:rsidR="006724FB" w:rsidRDefault="006724FB">
            <w:pPr>
              <w:pStyle w:val="TableNAm"/>
              <w:keepNext/>
              <w:jc w:val="center"/>
              <w:rPr>
                <w:b/>
              </w:rPr>
            </w:pPr>
            <w:r>
              <w:rPr>
                <w:b/>
              </w:rPr>
              <w:t>$</w:t>
            </w:r>
          </w:p>
        </w:tc>
      </w:tr>
      <w:tr w:rsidR="006724FB">
        <w:tc>
          <w:tcPr>
            <w:tcW w:w="2764" w:type="dxa"/>
          </w:tcPr>
          <w:p w:rsidR="006724FB" w:rsidRDefault="006724FB">
            <w:pPr>
              <w:pStyle w:val="TableNAm"/>
              <w:jc w:val="center"/>
            </w:pPr>
            <w:r>
              <w:t>1B2</w:t>
            </w:r>
          </w:p>
        </w:tc>
        <w:tc>
          <w:tcPr>
            <w:tcW w:w="2764" w:type="dxa"/>
          </w:tcPr>
          <w:p w:rsidR="006724FB" w:rsidRDefault="006724FB">
            <w:pPr>
              <w:pStyle w:val="TableNAm"/>
              <w:jc w:val="center"/>
            </w:pPr>
            <w:r>
              <w:t>520</w:t>
            </w:r>
          </w:p>
        </w:tc>
      </w:tr>
      <w:tr w:rsidR="006724FB">
        <w:tc>
          <w:tcPr>
            <w:tcW w:w="2764" w:type="dxa"/>
          </w:tcPr>
          <w:p w:rsidR="006724FB" w:rsidRDefault="006724FB">
            <w:pPr>
              <w:pStyle w:val="TableNAm"/>
              <w:jc w:val="center"/>
            </w:pPr>
            <w:r>
              <w:t>2B2</w:t>
            </w:r>
          </w:p>
        </w:tc>
        <w:tc>
          <w:tcPr>
            <w:tcW w:w="2764" w:type="dxa"/>
          </w:tcPr>
          <w:p w:rsidR="006724FB" w:rsidRDefault="006724FB">
            <w:pPr>
              <w:pStyle w:val="TableNAm"/>
              <w:jc w:val="center"/>
            </w:pPr>
            <w:r>
              <w:t>520</w:t>
            </w:r>
          </w:p>
        </w:tc>
      </w:tr>
      <w:tr w:rsidR="006724FB">
        <w:tc>
          <w:tcPr>
            <w:tcW w:w="2764" w:type="dxa"/>
          </w:tcPr>
          <w:p w:rsidR="006724FB" w:rsidRDefault="006724FB">
            <w:pPr>
              <w:pStyle w:val="TableNAm"/>
              <w:jc w:val="center"/>
            </w:pPr>
            <w:r>
              <w:lastRenderedPageBreak/>
              <w:t>2B3</w:t>
            </w:r>
          </w:p>
        </w:tc>
        <w:tc>
          <w:tcPr>
            <w:tcW w:w="2764" w:type="dxa"/>
          </w:tcPr>
          <w:p w:rsidR="006724FB" w:rsidRDefault="006724FB">
            <w:pPr>
              <w:pStyle w:val="TableNAm"/>
              <w:jc w:val="center"/>
            </w:pPr>
            <w:r>
              <w:t>2 869</w:t>
            </w:r>
          </w:p>
        </w:tc>
      </w:tr>
      <w:tr w:rsidR="006724FB">
        <w:tc>
          <w:tcPr>
            <w:tcW w:w="2764" w:type="dxa"/>
          </w:tcPr>
          <w:p w:rsidR="006724FB" w:rsidRDefault="006724FB">
            <w:pPr>
              <w:pStyle w:val="TableNAm"/>
              <w:jc w:val="center"/>
            </w:pPr>
            <w:r>
              <w:t>AB3</w:t>
            </w:r>
          </w:p>
        </w:tc>
        <w:tc>
          <w:tcPr>
            <w:tcW w:w="2764" w:type="dxa"/>
          </w:tcPr>
          <w:p w:rsidR="006724FB" w:rsidRDefault="006724FB">
            <w:pPr>
              <w:pStyle w:val="TableNAm"/>
              <w:jc w:val="center"/>
            </w:pPr>
            <w:r>
              <w:t>520</w:t>
            </w:r>
          </w:p>
        </w:tc>
      </w:tr>
    </w:tbl>
    <w:p w:rsidR="006724FB" w:rsidRDefault="006724FB">
      <w:pPr>
        <w:pStyle w:val="Footnotesection"/>
      </w:pPr>
      <w:r>
        <w:tab/>
        <w:t>[Regulation 63 amended: Gazette 27 May 2015 p. 1867</w:t>
      </w:r>
      <w:r>
        <w:noBreakHyphen/>
        <w:t>8; 26 May 2017 p. 2643; 25 May 2018 p. 1644; 17 May 2019 p. 1439; SL 2020/73 r. 5; SL 2021/64 r. 5.]</w:t>
      </w:r>
    </w:p>
    <w:p w:rsidR="006724FB" w:rsidRDefault="006724FB">
      <w:pPr>
        <w:pStyle w:val="Heading5"/>
      </w:pPr>
      <w:bookmarkStart w:id="113" w:name="_Toc75875600"/>
      <w:r>
        <w:rPr>
          <w:rStyle w:val="CharSectno"/>
        </w:rPr>
        <w:t>64</w:t>
      </w:r>
      <w:r>
        <w:t>.</w:t>
      </w:r>
      <w:r>
        <w:tab/>
        <w:t>Goods vehicle and motor home</w:t>
      </w:r>
      <w:bookmarkEnd w:id="113"/>
    </w:p>
    <w:p w:rsidR="006724FB" w:rsidRDefault="006724FB">
      <w:pPr>
        <w:pStyle w:val="Subsection"/>
        <w:keepNext/>
      </w:pPr>
      <w:r>
        <w:tab/>
      </w:r>
      <w:r>
        <w:tab/>
        <w:t>For a goods vehicle or motor home the charge is an amount corresponding to the licence class in the Table.</w:t>
      </w:r>
    </w:p>
    <w:p w:rsidR="006724FB" w:rsidRDefault="006724FB">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6724FB">
        <w:trPr>
          <w:tblHeader/>
        </w:trPr>
        <w:tc>
          <w:tcPr>
            <w:tcW w:w="2764" w:type="dxa"/>
          </w:tcPr>
          <w:p w:rsidR="006724FB" w:rsidRDefault="006724FB">
            <w:pPr>
              <w:pStyle w:val="TableNAm"/>
              <w:jc w:val="center"/>
            </w:pPr>
            <w:r>
              <w:rPr>
                <w:b/>
                <w:bCs/>
              </w:rPr>
              <w:t>Licence class</w:t>
            </w:r>
          </w:p>
        </w:tc>
        <w:tc>
          <w:tcPr>
            <w:tcW w:w="2764" w:type="dxa"/>
          </w:tcPr>
          <w:p w:rsidR="006724FB" w:rsidRDefault="006724FB">
            <w:pPr>
              <w:pStyle w:val="TableNAm"/>
              <w:jc w:val="center"/>
            </w:pPr>
            <w:r>
              <w:rPr>
                <w:b/>
                <w:bCs/>
              </w:rPr>
              <w:t>Charge</w:t>
            </w:r>
          </w:p>
          <w:p w:rsidR="006724FB" w:rsidRDefault="006724FB">
            <w:pPr>
              <w:pStyle w:val="TableNAm"/>
              <w:jc w:val="center"/>
              <w:rPr>
                <w:b/>
              </w:rPr>
            </w:pPr>
            <w:r>
              <w:rPr>
                <w:b/>
              </w:rPr>
              <w:t>$</w:t>
            </w:r>
          </w:p>
        </w:tc>
      </w:tr>
      <w:tr w:rsidR="006724FB">
        <w:tc>
          <w:tcPr>
            <w:tcW w:w="2764" w:type="dxa"/>
          </w:tcPr>
          <w:p w:rsidR="006724FB" w:rsidRDefault="006724FB">
            <w:pPr>
              <w:pStyle w:val="TableNAm"/>
              <w:jc w:val="center"/>
            </w:pPr>
            <w:r>
              <w:t>1R2</w:t>
            </w:r>
          </w:p>
        </w:tc>
        <w:tc>
          <w:tcPr>
            <w:tcW w:w="2764" w:type="dxa"/>
          </w:tcPr>
          <w:p w:rsidR="006724FB" w:rsidRDefault="006724FB">
            <w:pPr>
              <w:pStyle w:val="TableNAm"/>
              <w:jc w:val="center"/>
            </w:pPr>
            <w:r>
              <w:t>520</w:t>
            </w:r>
          </w:p>
        </w:tc>
      </w:tr>
      <w:tr w:rsidR="006724FB">
        <w:tc>
          <w:tcPr>
            <w:tcW w:w="2764" w:type="dxa"/>
          </w:tcPr>
          <w:p w:rsidR="006724FB" w:rsidRDefault="006724FB">
            <w:pPr>
              <w:pStyle w:val="TableNAm"/>
              <w:jc w:val="center"/>
            </w:pPr>
            <w:r>
              <w:t>2R2</w:t>
            </w:r>
          </w:p>
        </w:tc>
        <w:tc>
          <w:tcPr>
            <w:tcW w:w="2764" w:type="dxa"/>
          </w:tcPr>
          <w:p w:rsidR="006724FB" w:rsidRDefault="006724FB">
            <w:pPr>
              <w:pStyle w:val="TableNAm"/>
              <w:jc w:val="center"/>
            </w:pPr>
            <w:r>
              <w:t>894</w:t>
            </w:r>
          </w:p>
        </w:tc>
      </w:tr>
      <w:tr w:rsidR="006724FB">
        <w:tc>
          <w:tcPr>
            <w:tcW w:w="2764" w:type="dxa"/>
          </w:tcPr>
          <w:p w:rsidR="006724FB" w:rsidRDefault="006724FB">
            <w:pPr>
              <w:pStyle w:val="TableNAm"/>
              <w:jc w:val="center"/>
            </w:pPr>
            <w:r>
              <w:t>1R3</w:t>
            </w:r>
          </w:p>
        </w:tc>
        <w:tc>
          <w:tcPr>
            <w:tcW w:w="2764" w:type="dxa"/>
          </w:tcPr>
          <w:p w:rsidR="006724FB" w:rsidRDefault="006724FB">
            <w:pPr>
              <w:pStyle w:val="TableNAm"/>
              <w:jc w:val="center"/>
            </w:pPr>
            <w:r>
              <w:t>894</w:t>
            </w:r>
          </w:p>
        </w:tc>
      </w:tr>
      <w:tr w:rsidR="006724FB">
        <w:tc>
          <w:tcPr>
            <w:tcW w:w="2764" w:type="dxa"/>
          </w:tcPr>
          <w:p w:rsidR="006724FB" w:rsidRDefault="006724FB">
            <w:pPr>
              <w:pStyle w:val="TableNAm"/>
              <w:jc w:val="center"/>
            </w:pPr>
            <w:r>
              <w:t>2R3</w:t>
            </w:r>
          </w:p>
        </w:tc>
        <w:tc>
          <w:tcPr>
            <w:tcW w:w="2764" w:type="dxa"/>
          </w:tcPr>
          <w:p w:rsidR="006724FB" w:rsidRDefault="006724FB">
            <w:pPr>
              <w:pStyle w:val="TableNAm"/>
              <w:jc w:val="center"/>
            </w:pPr>
            <w:r>
              <w:t>1 178</w:t>
            </w:r>
          </w:p>
        </w:tc>
      </w:tr>
      <w:tr w:rsidR="006724FB">
        <w:tc>
          <w:tcPr>
            <w:tcW w:w="2764" w:type="dxa"/>
          </w:tcPr>
          <w:p w:rsidR="006724FB" w:rsidRDefault="006724FB">
            <w:pPr>
              <w:pStyle w:val="TableNAm"/>
              <w:jc w:val="center"/>
            </w:pPr>
            <w:r>
              <w:t>1R4</w:t>
            </w:r>
          </w:p>
        </w:tc>
        <w:tc>
          <w:tcPr>
            <w:tcW w:w="2764" w:type="dxa"/>
          </w:tcPr>
          <w:p w:rsidR="006724FB" w:rsidRDefault="006724FB">
            <w:pPr>
              <w:pStyle w:val="TableNAm"/>
              <w:jc w:val="center"/>
            </w:pPr>
            <w:r>
              <w:t>894</w:t>
            </w:r>
          </w:p>
        </w:tc>
      </w:tr>
      <w:tr w:rsidR="006724FB">
        <w:tc>
          <w:tcPr>
            <w:tcW w:w="2764" w:type="dxa"/>
          </w:tcPr>
          <w:p w:rsidR="006724FB" w:rsidRDefault="006724FB">
            <w:pPr>
              <w:pStyle w:val="TableNAm"/>
              <w:jc w:val="center"/>
            </w:pPr>
            <w:r>
              <w:t>2R4</w:t>
            </w:r>
          </w:p>
        </w:tc>
        <w:tc>
          <w:tcPr>
            <w:tcW w:w="2764" w:type="dxa"/>
          </w:tcPr>
          <w:p w:rsidR="006724FB" w:rsidRDefault="006724FB">
            <w:pPr>
              <w:pStyle w:val="TableNAm"/>
              <w:jc w:val="center"/>
            </w:pPr>
            <w:r>
              <w:t>1 178</w:t>
            </w:r>
          </w:p>
        </w:tc>
      </w:tr>
      <w:tr w:rsidR="006724FB">
        <w:tc>
          <w:tcPr>
            <w:tcW w:w="2764" w:type="dxa"/>
          </w:tcPr>
          <w:p w:rsidR="006724FB" w:rsidRDefault="006724FB">
            <w:pPr>
              <w:pStyle w:val="TableNAm"/>
              <w:jc w:val="center"/>
            </w:pPr>
            <w:r>
              <w:t>1R5</w:t>
            </w:r>
          </w:p>
        </w:tc>
        <w:tc>
          <w:tcPr>
            <w:tcW w:w="2764" w:type="dxa"/>
          </w:tcPr>
          <w:p w:rsidR="006724FB" w:rsidRDefault="006724FB">
            <w:pPr>
              <w:pStyle w:val="TableNAm"/>
              <w:jc w:val="center"/>
            </w:pPr>
            <w:r>
              <w:t>894</w:t>
            </w:r>
          </w:p>
        </w:tc>
      </w:tr>
      <w:tr w:rsidR="006724FB">
        <w:tc>
          <w:tcPr>
            <w:tcW w:w="2764" w:type="dxa"/>
          </w:tcPr>
          <w:p w:rsidR="006724FB" w:rsidRDefault="006724FB">
            <w:pPr>
              <w:pStyle w:val="TableNAm"/>
              <w:jc w:val="center"/>
            </w:pPr>
            <w:r>
              <w:t>2R5</w:t>
            </w:r>
          </w:p>
        </w:tc>
        <w:tc>
          <w:tcPr>
            <w:tcW w:w="2764" w:type="dxa"/>
          </w:tcPr>
          <w:p w:rsidR="006724FB" w:rsidRDefault="006724FB">
            <w:pPr>
              <w:pStyle w:val="TableNAm"/>
              <w:jc w:val="center"/>
            </w:pPr>
            <w:r>
              <w:t>1 178</w:t>
            </w:r>
          </w:p>
        </w:tc>
      </w:tr>
      <w:tr w:rsidR="006724FB">
        <w:tc>
          <w:tcPr>
            <w:tcW w:w="2764" w:type="dxa"/>
          </w:tcPr>
          <w:p w:rsidR="006724FB" w:rsidRDefault="006724FB">
            <w:pPr>
              <w:pStyle w:val="TableNAm"/>
              <w:jc w:val="center"/>
            </w:pPr>
            <w:r>
              <w:t>SR2</w:t>
            </w:r>
          </w:p>
        </w:tc>
        <w:tc>
          <w:tcPr>
            <w:tcW w:w="2764" w:type="dxa"/>
          </w:tcPr>
          <w:p w:rsidR="006724FB" w:rsidRDefault="006724FB">
            <w:pPr>
              <w:pStyle w:val="TableNAm"/>
              <w:jc w:val="center"/>
            </w:pPr>
            <w:r>
              <w:t>894</w:t>
            </w:r>
          </w:p>
        </w:tc>
      </w:tr>
      <w:tr w:rsidR="006724FB">
        <w:tc>
          <w:tcPr>
            <w:tcW w:w="2764" w:type="dxa"/>
          </w:tcPr>
          <w:p w:rsidR="006724FB" w:rsidRDefault="006724FB">
            <w:pPr>
              <w:pStyle w:val="TableNAm"/>
              <w:jc w:val="center"/>
            </w:pPr>
            <w:r>
              <w:lastRenderedPageBreak/>
              <w:t>SR3</w:t>
            </w:r>
          </w:p>
        </w:tc>
        <w:tc>
          <w:tcPr>
            <w:tcW w:w="2764" w:type="dxa"/>
          </w:tcPr>
          <w:p w:rsidR="006724FB" w:rsidRDefault="006724FB">
            <w:pPr>
              <w:pStyle w:val="TableNAm"/>
              <w:jc w:val="center"/>
            </w:pPr>
            <w:r>
              <w:t>1 178</w:t>
            </w:r>
          </w:p>
        </w:tc>
      </w:tr>
      <w:tr w:rsidR="006724FB">
        <w:tc>
          <w:tcPr>
            <w:tcW w:w="2764" w:type="dxa"/>
          </w:tcPr>
          <w:p w:rsidR="006724FB" w:rsidRDefault="006724FB">
            <w:pPr>
              <w:pStyle w:val="TableNAm"/>
              <w:jc w:val="center"/>
            </w:pPr>
            <w:r>
              <w:t>SR4</w:t>
            </w:r>
          </w:p>
        </w:tc>
        <w:tc>
          <w:tcPr>
            <w:tcW w:w="2764" w:type="dxa"/>
          </w:tcPr>
          <w:p w:rsidR="006724FB" w:rsidRDefault="006724FB">
            <w:pPr>
              <w:pStyle w:val="TableNAm"/>
              <w:jc w:val="center"/>
            </w:pPr>
            <w:r>
              <w:t>2 189</w:t>
            </w:r>
          </w:p>
        </w:tc>
      </w:tr>
      <w:tr w:rsidR="006724FB">
        <w:tc>
          <w:tcPr>
            <w:tcW w:w="2764" w:type="dxa"/>
          </w:tcPr>
          <w:p w:rsidR="006724FB" w:rsidRDefault="006724FB">
            <w:pPr>
              <w:pStyle w:val="TableNAm"/>
              <w:jc w:val="center"/>
            </w:pPr>
            <w:r>
              <w:t>SR5</w:t>
            </w:r>
          </w:p>
        </w:tc>
        <w:tc>
          <w:tcPr>
            <w:tcW w:w="2764" w:type="dxa"/>
          </w:tcPr>
          <w:p w:rsidR="006724FB" w:rsidRDefault="006724FB">
            <w:pPr>
              <w:pStyle w:val="TableNAm"/>
              <w:jc w:val="center"/>
            </w:pPr>
            <w:r>
              <w:t>2 189</w:t>
            </w:r>
          </w:p>
        </w:tc>
      </w:tr>
      <w:tr w:rsidR="006724FB">
        <w:tc>
          <w:tcPr>
            <w:tcW w:w="2764" w:type="dxa"/>
          </w:tcPr>
          <w:p w:rsidR="006724FB" w:rsidRDefault="006724FB">
            <w:pPr>
              <w:pStyle w:val="TableNAm"/>
              <w:jc w:val="center"/>
            </w:pPr>
            <w:r>
              <w:t>MR2</w:t>
            </w:r>
          </w:p>
        </w:tc>
        <w:tc>
          <w:tcPr>
            <w:tcW w:w="2764" w:type="dxa"/>
          </w:tcPr>
          <w:p w:rsidR="006724FB" w:rsidRDefault="006724FB">
            <w:pPr>
              <w:pStyle w:val="TableNAm"/>
              <w:jc w:val="center"/>
            </w:pPr>
            <w:r>
              <w:t>8 015</w:t>
            </w:r>
          </w:p>
        </w:tc>
      </w:tr>
      <w:tr w:rsidR="006724FB">
        <w:tc>
          <w:tcPr>
            <w:tcW w:w="2764" w:type="dxa"/>
          </w:tcPr>
          <w:p w:rsidR="006724FB" w:rsidRDefault="006724FB">
            <w:pPr>
              <w:pStyle w:val="TableNAm"/>
              <w:jc w:val="center"/>
            </w:pPr>
            <w:r>
              <w:t>MR3</w:t>
            </w:r>
          </w:p>
        </w:tc>
        <w:tc>
          <w:tcPr>
            <w:tcW w:w="2764" w:type="dxa"/>
          </w:tcPr>
          <w:p w:rsidR="006724FB" w:rsidRDefault="006724FB">
            <w:pPr>
              <w:pStyle w:val="TableNAm"/>
              <w:jc w:val="center"/>
            </w:pPr>
            <w:r>
              <w:t>8 015</w:t>
            </w:r>
          </w:p>
        </w:tc>
      </w:tr>
      <w:tr w:rsidR="006724FB">
        <w:tc>
          <w:tcPr>
            <w:tcW w:w="2764" w:type="dxa"/>
          </w:tcPr>
          <w:p w:rsidR="006724FB" w:rsidRDefault="006724FB">
            <w:pPr>
              <w:pStyle w:val="TableNAm"/>
              <w:jc w:val="center"/>
            </w:pPr>
            <w:r>
              <w:t>MR4</w:t>
            </w:r>
          </w:p>
        </w:tc>
        <w:tc>
          <w:tcPr>
            <w:tcW w:w="2764" w:type="dxa"/>
          </w:tcPr>
          <w:p w:rsidR="006724FB" w:rsidRDefault="006724FB">
            <w:pPr>
              <w:pStyle w:val="TableNAm"/>
              <w:jc w:val="center"/>
            </w:pPr>
            <w:r>
              <w:t>8 655</w:t>
            </w:r>
          </w:p>
        </w:tc>
      </w:tr>
      <w:tr w:rsidR="006724FB">
        <w:tc>
          <w:tcPr>
            <w:tcW w:w="2764" w:type="dxa"/>
          </w:tcPr>
          <w:p w:rsidR="006724FB" w:rsidRDefault="006724FB">
            <w:pPr>
              <w:pStyle w:val="TableNAm"/>
              <w:jc w:val="center"/>
            </w:pPr>
            <w:r>
              <w:t>MR5</w:t>
            </w:r>
          </w:p>
        </w:tc>
        <w:tc>
          <w:tcPr>
            <w:tcW w:w="2764" w:type="dxa"/>
          </w:tcPr>
          <w:p w:rsidR="006724FB" w:rsidRDefault="006724FB">
            <w:pPr>
              <w:pStyle w:val="TableNAm"/>
              <w:jc w:val="center"/>
            </w:pPr>
            <w:r>
              <w:t>8 655</w:t>
            </w:r>
          </w:p>
        </w:tc>
      </w:tr>
      <w:tr w:rsidR="006724FB">
        <w:tc>
          <w:tcPr>
            <w:tcW w:w="2764" w:type="dxa"/>
          </w:tcPr>
          <w:p w:rsidR="006724FB" w:rsidRDefault="006724FB">
            <w:pPr>
              <w:pStyle w:val="TableNAm"/>
              <w:jc w:val="center"/>
            </w:pPr>
            <w:r>
              <w:t>LR2</w:t>
            </w:r>
          </w:p>
        </w:tc>
        <w:tc>
          <w:tcPr>
            <w:tcW w:w="2764" w:type="dxa"/>
          </w:tcPr>
          <w:p w:rsidR="006724FB" w:rsidRDefault="006724FB">
            <w:pPr>
              <w:pStyle w:val="TableNAm"/>
              <w:jc w:val="center"/>
            </w:pPr>
            <w:r>
              <w:t>11 052</w:t>
            </w:r>
          </w:p>
        </w:tc>
      </w:tr>
      <w:tr w:rsidR="006724FB">
        <w:tc>
          <w:tcPr>
            <w:tcW w:w="2764" w:type="dxa"/>
          </w:tcPr>
          <w:p w:rsidR="006724FB" w:rsidRDefault="006724FB">
            <w:pPr>
              <w:pStyle w:val="TableNAm"/>
              <w:jc w:val="center"/>
            </w:pPr>
            <w:r>
              <w:t>LR3</w:t>
            </w:r>
          </w:p>
        </w:tc>
        <w:tc>
          <w:tcPr>
            <w:tcW w:w="2764" w:type="dxa"/>
          </w:tcPr>
          <w:p w:rsidR="006724FB" w:rsidRDefault="006724FB">
            <w:pPr>
              <w:pStyle w:val="TableNAm"/>
              <w:jc w:val="center"/>
            </w:pPr>
            <w:r>
              <w:t>11 052</w:t>
            </w:r>
          </w:p>
        </w:tc>
      </w:tr>
      <w:tr w:rsidR="006724FB">
        <w:tc>
          <w:tcPr>
            <w:tcW w:w="2764" w:type="dxa"/>
          </w:tcPr>
          <w:p w:rsidR="006724FB" w:rsidRDefault="006724FB">
            <w:pPr>
              <w:pStyle w:val="TableNAm"/>
              <w:jc w:val="center"/>
            </w:pPr>
            <w:r>
              <w:t>LR4</w:t>
            </w:r>
          </w:p>
        </w:tc>
        <w:tc>
          <w:tcPr>
            <w:tcW w:w="2764" w:type="dxa"/>
          </w:tcPr>
          <w:p w:rsidR="006724FB" w:rsidRDefault="006724FB">
            <w:pPr>
              <w:pStyle w:val="TableNAm"/>
              <w:jc w:val="center"/>
            </w:pPr>
            <w:r>
              <w:t>11 052</w:t>
            </w:r>
          </w:p>
        </w:tc>
      </w:tr>
      <w:tr w:rsidR="006724FB">
        <w:tc>
          <w:tcPr>
            <w:tcW w:w="2764" w:type="dxa"/>
          </w:tcPr>
          <w:p w:rsidR="006724FB" w:rsidRDefault="006724FB">
            <w:pPr>
              <w:pStyle w:val="TableNAm"/>
              <w:widowControl w:val="0"/>
              <w:jc w:val="center"/>
            </w:pPr>
            <w:r>
              <w:t>LR5</w:t>
            </w:r>
          </w:p>
        </w:tc>
        <w:tc>
          <w:tcPr>
            <w:tcW w:w="2764" w:type="dxa"/>
          </w:tcPr>
          <w:p w:rsidR="006724FB" w:rsidRDefault="006724FB">
            <w:pPr>
              <w:pStyle w:val="TableNAm"/>
              <w:widowControl w:val="0"/>
              <w:jc w:val="center"/>
            </w:pPr>
            <w:r>
              <w:t>11 052</w:t>
            </w:r>
          </w:p>
        </w:tc>
      </w:tr>
    </w:tbl>
    <w:p w:rsidR="006724FB" w:rsidRDefault="006724FB">
      <w:pPr>
        <w:pStyle w:val="Footnotesection"/>
      </w:pPr>
      <w:r>
        <w:tab/>
        <w:t>[Regulation 64 amended: Gazette 27 May 2015 p. 1868</w:t>
      </w:r>
      <w:r>
        <w:noBreakHyphen/>
        <w:t>9; 26 May 2017 p. 2643-4; 25 May 2018 p. 1644; 17 May 2019 p. 1439; SL 2020/73 r. 5; SL 2021/64 r. 5.]</w:t>
      </w:r>
    </w:p>
    <w:p w:rsidR="006724FB" w:rsidRDefault="006724FB">
      <w:pPr>
        <w:pStyle w:val="Heading5"/>
        <w:keepNext w:val="0"/>
        <w:keepLines w:val="0"/>
        <w:widowControl w:val="0"/>
      </w:pPr>
      <w:bookmarkStart w:id="114" w:name="_Toc75875601"/>
      <w:r>
        <w:rPr>
          <w:rStyle w:val="CharSectno"/>
        </w:rPr>
        <w:t>65</w:t>
      </w:r>
      <w:r>
        <w:t>.</w:t>
      </w:r>
      <w:r>
        <w:tab/>
        <w:t>Prime mover</w:t>
      </w:r>
      <w:bookmarkEnd w:id="114"/>
    </w:p>
    <w:p w:rsidR="006724FB" w:rsidRDefault="006724FB">
      <w:pPr>
        <w:pStyle w:val="Subsection"/>
      </w:pPr>
      <w:r>
        <w:tab/>
      </w:r>
      <w:r>
        <w:tab/>
        <w:t>For a prime mover the charge is an amount corresponding to the licence class in the Table.</w:t>
      </w:r>
    </w:p>
    <w:p w:rsidR="006724FB" w:rsidRDefault="006724FB">
      <w:pPr>
        <w:pStyle w:val="zTHeadingNAm"/>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6724FB">
        <w:trPr>
          <w:tblHeader/>
        </w:trPr>
        <w:tc>
          <w:tcPr>
            <w:tcW w:w="2764" w:type="dxa"/>
          </w:tcPr>
          <w:p w:rsidR="006724FB" w:rsidRDefault="006724FB">
            <w:pPr>
              <w:pStyle w:val="TableNAm"/>
              <w:jc w:val="center"/>
            </w:pPr>
            <w:r>
              <w:rPr>
                <w:b/>
                <w:bCs/>
              </w:rPr>
              <w:t>Licence class</w:t>
            </w:r>
          </w:p>
        </w:tc>
        <w:tc>
          <w:tcPr>
            <w:tcW w:w="2764" w:type="dxa"/>
          </w:tcPr>
          <w:p w:rsidR="006724FB" w:rsidRDefault="006724FB">
            <w:pPr>
              <w:pStyle w:val="TableNAm"/>
              <w:jc w:val="center"/>
            </w:pPr>
            <w:r>
              <w:rPr>
                <w:b/>
                <w:bCs/>
              </w:rPr>
              <w:t>Charge</w:t>
            </w:r>
          </w:p>
          <w:p w:rsidR="006724FB" w:rsidRDefault="006724FB">
            <w:pPr>
              <w:pStyle w:val="TableNAm"/>
              <w:jc w:val="center"/>
            </w:pPr>
            <w:r>
              <w:t>$</w:t>
            </w:r>
          </w:p>
        </w:tc>
      </w:tr>
      <w:tr w:rsidR="006724FB">
        <w:tc>
          <w:tcPr>
            <w:tcW w:w="2764" w:type="dxa"/>
          </w:tcPr>
          <w:p w:rsidR="006724FB" w:rsidRDefault="006724FB">
            <w:pPr>
              <w:pStyle w:val="TableNAm"/>
            </w:pPr>
            <w:r>
              <w:t>SP2</w:t>
            </w:r>
          </w:p>
        </w:tc>
        <w:tc>
          <w:tcPr>
            <w:tcW w:w="2764" w:type="dxa"/>
          </w:tcPr>
          <w:p w:rsidR="006724FB" w:rsidRDefault="006724FB">
            <w:pPr>
              <w:pStyle w:val="TableNAm"/>
              <w:jc w:val="center"/>
            </w:pPr>
            <w:r>
              <w:t>1 373</w:t>
            </w:r>
          </w:p>
        </w:tc>
      </w:tr>
      <w:tr w:rsidR="006724FB">
        <w:tc>
          <w:tcPr>
            <w:tcW w:w="2764" w:type="dxa"/>
          </w:tcPr>
          <w:p w:rsidR="006724FB" w:rsidRDefault="006724FB">
            <w:pPr>
              <w:pStyle w:val="TableNAm"/>
            </w:pPr>
            <w:r>
              <w:t>SP3</w:t>
            </w:r>
          </w:p>
        </w:tc>
        <w:tc>
          <w:tcPr>
            <w:tcW w:w="2764" w:type="dxa"/>
          </w:tcPr>
          <w:p w:rsidR="006724FB" w:rsidRDefault="006724FB">
            <w:pPr>
              <w:pStyle w:val="TableNAm"/>
              <w:jc w:val="center"/>
            </w:pPr>
            <w:r>
              <w:t>5 402</w:t>
            </w:r>
          </w:p>
        </w:tc>
      </w:tr>
      <w:tr w:rsidR="006724FB">
        <w:tc>
          <w:tcPr>
            <w:tcW w:w="2764" w:type="dxa"/>
          </w:tcPr>
          <w:p w:rsidR="006724FB" w:rsidRDefault="006724FB">
            <w:pPr>
              <w:pStyle w:val="TableNAm"/>
            </w:pPr>
            <w:r>
              <w:t>SP4</w:t>
            </w:r>
          </w:p>
        </w:tc>
        <w:tc>
          <w:tcPr>
            <w:tcW w:w="2764" w:type="dxa"/>
          </w:tcPr>
          <w:p w:rsidR="006724FB" w:rsidRDefault="006724FB">
            <w:pPr>
              <w:pStyle w:val="TableNAm"/>
              <w:jc w:val="center"/>
            </w:pPr>
            <w:r>
              <w:t>5 944</w:t>
            </w:r>
          </w:p>
        </w:tc>
      </w:tr>
      <w:tr w:rsidR="006724FB">
        <w:tc>
          <w:tcPr>
            <w:tcW w:w="2764" w:type="dxa"/>
          </w:tcPr>
          <w:p w:rsidR="006724FB" w:rsidRDefault="006724FB">
            <w:pPr>
              <w:pStyle w:val="TableNAm"/>
            </w:pPr>
            <w:r>
              <w:t>SP5</w:t>
            </w:r>
          </w:p>
        </w:tc>
        <w:tc>
          <w:tcPr>
            <w:tcW w:w="2764" w:type="dxa"/>
          </w:tcPr>
          <w:p w:rsidR="006724FB" w:rsidRDefault="006724FB">
            <w:pPr>
              <w:pStyle w:val="TableNAm"/>
              <w:jc w:val="center"/>
            </w:pPr>
            <w:r>
              <w:t>5 944</w:t>
            </w:r>
          </w:p>
        </w:tc>
      </w:tr>
      <w:tr w:rsidR="006724FB">
        <w:tc>
          <w:tcPr>
            <w:tcW w:w="2764" w:type="dxa"/>
          </w:tcPr>
          <w:p w:rsidR="006724FB" w:rsidRDefault="006724FB">
            <w:pPr>
              <w:pStyle w:val="TableNAm"/>
            </w:pPr>
            <w:r>
              <w:t>MC2</w:t>
            </w:r>
          </w:p>
        </w:tc>
        <w:tc>
          <w:tcPr>
            <w:tcW w:w="2764" w:type="dxa"/>
          </w:tcPr>
          <w:p w:rsidR="006724FB" w:rsidRDefault="006724FB">
            <w:pPr>
              <w:pStyle w:val="TableNAm"/>
              <w:jc w:val="center"/>
            </w:pPr>
            <w:r>
              <w:t>9 697</w:t>
            </w:r>
          </w:p>
        </w:tc>
      </w:tr>
      <w:tr w:rsidR="006724FB">
        <w:tc>
          <w:tcPr>
            <w:tcW w:w="2764" w:type="dxa"/>
          </w:tcPr>
          <w:p w:rsidR="006724FB" w:rsidRDefault="006724FB">
            <w:pPr>
              <w:pStyle w:val="TableNAm"/>
            </w:pPr>
            <w:r>
              <w:t>MC3</w:t>
            </w:r>
          </w:p>
        </w:tc>
        <w:tc>
          <w:tcPr>
            <w:tcW w:w="2764" w:type="dxa"/>
          </w:tcPr>
          <w:p w:rsidR="006724FB" w:rsidRDefault="006724FB">
            <w:pPr>
              <w:pStyle w:val="TableNAm"/>
              <w:jc w:val="center"/>
            </w:pPr>
            <w:r>
              <w:t>9 697</w:t>
            </w:r>
          </w:p>
        </w:tc>
      </w:tr>
      <w:tr w:rsidR="006724FB">
        <w:tc>
          <w:tcPr>
            <w:tcW w:w="2764" w:type="dxa"/>
          </w:tcPr>
          <w:p w:rsidR="006724FB" w:rsidRDefault="006724FB">
            <w:pPr>
              <w:pStyle w:val="TableNAm"/>
            </w:pPr>
            <w:r>
              <w:t>MC4</w:t>
            </w:r>
          </w:p>
        </w:tc>
        <w:tc>
          <w:tcPr>
            <w:tcW w:w="2764" w:type="dxa"/>
          </w:tcPr>
          <w:p w:rsidR="006724FB" w:rsidRDefault="006724FB">
            <w:pPr>
              <w:pStyle w:val="TableNAm"/>
              <w:jc w:val="center"/>
            </w:pPr>
            <w:r>
              <w:t>10 666</w:t>
            </w:r>
          </w:p>
        </w:tc>
      </w:tr>
      <w:tr w:rsidR="006724FB">
        <w:tc>
          <w:tcPr>
            <w:tcW w:w="2764" w:type="dxa"/>
          </w:tcPr>
          <w:p w:rsidR="006724FB" w:rsidRDefault="006724FB">
            <w:pPr>
              <w:pStyle w:val="TableNAm"/>
            </w:pPr>
            <w:r>
              <w:t>MC5</w:t>
            </w:r>
          </w:p>
        </w:tc>
        <w:tc>
          <w:tcPr>
            <w:tcW w:w="2764" w:type="dxa"/>
          </w:tcPr>
          <w:p w:rsidR="006724FB" w:rsidRDefault="006724FB">
            <w:pPr>
              <w:pStyle w:val="TableNAm"/>
              <w:jc w:val="center"/>
            </w:pPr>
            <w:r>
              <w:t>10 666</w:t>
            </w:r>
          </w:p>
        </w:tc>
      </w:tr>
    </w:tbl>
    <w:p w:rsidR="006724FB" w:rsidRDefault="006724FB">
      <w:pPr>
        <w:pStyle w:val="Footnotesection"/>
      </w:pPr>
      <w:r>
        <w:tab/>
        <w:t>[Regulation 65 amended: Gazette 27 May 2015 p. 1869-70; 26 May 2017 p. 2643-4; 25 May 2018 p. 1644; 17 May 2019 p. 1439; SL 2020/73 r. 5; SL 2021/64 r. 5.]</w:t>
      </w:r>
    </w:p>
    <w:p w:rsidR="006724FB" w:rsidRDefault="006724FB">
      <w:pPr>
        <w:pStyle w:val="Heading5"/>
      </w:pPr>
      <w:bookmarkStart w:id="115" w:name="_Toc75875602"/>
      <w:r>
        <w:rPr>
          <w:rStyle w:val="CharSectno"/>
        </w:rPr>
        <w:t>66</w:t>
      </w:r>
      <w:r>
        <w:t>.</w:t>
      </w:r>
      <w:r>
        <w:tab/>
        <w:t>Trailer, not being a towed special purpose vehicle</w:t>
      </w:r>
      <w:bookmarkEnd w:id="115"/>
    </w:p>
    <w:p w:rsidR="006724FB" w:rsidRDefault="006724FB">
      <w:pPr>
        <w:pStyle w:val="Subsection"/>
      </w:pPr>
      <w:r>
        <w:tab/>
      </w:r>
      <w:r>
        <w:tab/>
        <w:t>For a trailer other than a towed special purpose vehicle (licence class HT) the charge is $520.00 for every axle fitted.</w:t>
      </w:r>
    </w:p>
    <w:p w:rsidR="006724FB" w:rsidRDefault="006724FB">
      <w:pPr>
        <w:pStyle w:val="Footnotesection"/>
      </w:pPr>
      <w:r>
        <w:tab/>
        <w:t>[Regulation 66 amended: Gazette 27 May 2015 p. 1871; 26 May 2017 p. 2643-4; 25 May 2018 p. 1644; 17 May 2019 p. 1439; SL 2020/73 r. 5; SL 2021/64 r. 5.]</w:t>
      </w:r>
    </w:p>
    <w:p w:rsidR="006724FB" w:rsidRDefault="006724FB">
      <w:pPr>
        <w:pStyle w:val="Heading5"/>
      </w:pPr>
      <w:bookmarkStart w:id="116" w:name="_Toc75875603"/>
      <w:r>
        <w:rPr>
          <w:rStyle w:val="CharSectno"/>
        </w:rPr>
        <w:t>67</w:t>
      </w:r>
      <w:r>
        <w:t>.</w:t>
      </w:r>
      <w:r>
        <w:tab/>
        <w:t>Special purpose vehicle</w:t>
      </w:r>
      <w:bookmarkEnd w:id="116"/>
    </w:p>
    <w:p w:rsidR="006724FB" w:rsidRDefault="006724FB">
      <w:pPr>
        <w:pStyle w:val="Subsection"/>
      </w:pPr>
      <w:r>
        <w:tab/>
      </w:r>
      <w:r>
        <w:tab/>
        <w:t>For a special purpose vehicle the charge is an amount corresponding to the licence class in the Table.</w:t>
      </w:r>
    </w:p>
    <w:p w:rsidR="006724FB" w:rsidRDefault="006724FB">
      <w:pPr>
        <w:pStyle w:val="zTHeadingNAm"/>
        <w:spacing w:before="80"/>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6724FB">
        <w:trPr>
          <w:tblHeader/>
        </w:trPr>
        <w:tc>
          <w:tcPr>
            <w:tcW w:w="2764" w:type="dxa"/>
          </w:tcPr>
          <w:p w:rsidR="006724FB" w:rsidRDefault="006724FB">
            <w:pPr>
              <w:pStyle w:val="TableNAm"/>
              <w:keepNext/>
              <w:jc w:val="center"/>
            </w:pPr>
            <w:r>
              <w:rPr>
                <w:b/>
                <w:bCs/>
              </w:rPr>
              <w:t>Licence class</w:t>
            </w:r>
          </w:p>
        </w:tc>
        <w:tc>
          <w:tcPr>
            <w:tcW w:w="2764" w:type="dxa"/>
          </w:tcPr>
          <w:p w:rsidR="006724FB" w:rsidRDefault="006724FB">
            <w:pPr>
              <w:pStyle w:val="TableNAm"/>
              <w:keepNext/>
              <w:jc w:val="center"/>
            </w:pPr>
            <w:r>
              <w:rPr>
                <w:b/>
                <w:bCs/>
              </w:rPr>
              <w:t>Charge</w:t>
            </w:r>
          </w:p>
          <w:p w:rsidR="006724FB" w:rsidRDefault="006724FB">
            <w:pPr>
              <w:pStyle w:val="TableNAm"/>
              <w:keepNext/>
              <w:jc w:val="center"/>
            </w:pPr>
            <w:r>
              <w:t>$</w:t>
            </w:r>
          </w:p>
        </w:tc>
      </w:tr>
      <w:tr w:rsidR="006724FB">
        <w:tc>
          <w:tcPr>
            <w:tcW w:w="2764" w:type="dxa"/>
          </w:tcPr>
          <w:p w:rsidR="006724FB" w:rsidRDefault="006724FB">
            <w:pPr>
              <w:pStyle w:val="TableNAm"/>
            </w:pPr>
            <w:r>
              <w:t>PSV</w:t>
            </w:r>
          </w:p>
        </w:tc>
        <w:tc>
          <w:tcPr>
            <w:tcW w:w="2764" w:type="dxa"/>
          </w:tcPr>
          <w:p w:rsidR="006724FB" w:rsidRDefault="006724FB">
            <w:pPr>
              <w:pStyle w:val="TableNAm"/>
              <w:jc w:val="center"/>
            </w:pPr>
            <w:r>
              <w:t>120</w:t>
            </w:r>
          </w:p>
        </w:tc>
      </w:tr>
      <w:tr w:rsidR="006724FB">
        <w:tc>
          <w:tcPr>
            <w:tcW w:w="2764" w:type="dxa"/>
          </w:tcPr>
          <w:p w:rsidR="006724FB" w:rsidRDefault="006724FB">
            <w:pPr>
              <w:pStyle w:val="TableNAm"/>
            </w:pPr>
            <w:r>
              <w:t>TSV</w:t>
            </w:r>
          </w:p>
        </w:tc>
        <w:tc>
          <w:tcPr>
            <w:tcW w:w="2764" w:type="dxa"/>
          </w:tcPr>
          <w:p w:rsidR="006724FB" w:rsidRDefault="006724FB">
            <w:pPr>
              <w:pStyle w:val="TableNAm"/>
              <w:jc w:val="center"/>
            </w:pPr>
            <w:r>
              <w:t>120</w:t>
            </w:r>
          </w:p>
        </w:tc>
      </w:tr>
      <w:tr w:rsidR="006724FB">
        <w:tc>
          <w:tcPr>
            <w:tcW w:w="2764" w:type="dxa"/>
          </w:tcPr>
          <w:p w:rsidR="006724FB" w:rsidRDefault="006724FB">
            <w:pPr>
              <w:pStyle w:val="TableNAm"/>
            </w:pPr>
            <w:r>
              <w:t>OSV2</w:t>
            </w:r>
          </w:p>
        </w:tc>
        <w:tc>
          <w:tcPr>
            <w:tcW w:w="2764" w:type="dxa"/>
          </w:tcPr>
          <w:p w:rsidR="006724FB" w:rsidRDefault="006724FB">
            <w:pPr>
              <w:pStyle w:val="TableNAm"/>
              <w:jc w:val="center"/>
            </w:pPr>
            <w:r>
              <w:t>423</w:t>
            </w:r>
          </w:p>
        </w:tc>
      </w:tr>
      <w:tr w:rsidR="006724FB">
        <w:tc>
          <w:tcPr>
            <w:tcW w:w="2764" w:type="dxa"/>
          </w:tcPr>
          <w:p w:rsidR="006724FB" w:rsidRDefault="006724FB">
            <w:pPr>
              <w:pStyle w:val="TableNAm"/>
            </w:pPr>
            <w:r>
              <w:t>OSV3</w:t>
            </w:r>
          </w:p>
        </w:tc>
        <w:tc>
          <w:tcPr>
            <w:tcW w:w="2764" w:type="dxa"/>
          </w:tcPr>
          <w:p w:rsidR="006724FB" w:rsidRDefault="006724FB">
            <w:pPr>
              <w:pStyle w:val="TableNAm"/>
              <w:jc w:val="center"/>
            </w:pPr>
            <w:r>
              <w:t>846</w:t>
            </w:r>
          </w:p>
        </w:tc>
      </w:tr>
      <w:tr w:rsidR="006724FB">
        <w:tc>
          <w:tcPr>
            <w:tcW w:w="2764" w:type="dxa"/>
          </w:tcPr>
          <w:p w:rsidR="006724FB" w:rsidRDefault="006724FB">
            <w:pPr>
              <w:pStyle w:val="TableNAm"/>
            </w:pPr>
            <w:r>
              <w:t>OSV4</w:t>
            </w:r>
          </w:p>
        </w:tc>
        <w:tc>
          <w:tcPr>
            <w:tcW w:w="2764" w:type="dxa"/>
          </w:tcPr>
          <w:p w:rsidR="006724FB" w:rsidRDefault="006724FB">
            <w:pPr>
              <w:pStyle w:val="TableNAm"/>
              <w:jc w:val="center"/>
            </w:pPr>
            <w:r>
              <w:t>1 269</w:t>
            </w:r>
          </w:p>
        </w:tc>
      </w:tr>
      <w:tr w:rsidR="006724FB">
        <w:tc>
          <w:tcPr>
            <w:tcW w:w="2764" w:type="dxa"/>
          </w:tcPr>
          <w:p w:rsidR="006724FB" w:rsidRDefault="006724FB">
            <w:pPr>
              <w:pStyle w:val="TableNAm"/>
            </w:pPr>
            <w:r>
              <w:t>OSV5</w:t>
            </w:r>
          </w:p>
        </w:tc>
        <w:tc>
          <w:tcPr>
            <w:tcW w:w="2764" w:type="dxa"/>
          </w:tcPr>
          <w:p w:rsidR="006724FB" w:rsidRDefault="006724FB">
            <w:pPr>
              <w:pStyle w:val="TableNAm"/>
              <w:jc w:val="center"/>
            </w:pPr>
            <w:r>
              <w:t>1 692</w:t>
            </w:r>
          </w:p>
        </w:tc>
      </w:tr>
      <w:tr w:rsidR="006724FB">
        <w:tc>
          <w:tcPr>
            <w:tcW w:w="2764" w:type="dxa"/>
          </w:tcPr>
          <w:p w:rsidR="006724FB" w:rsidRDefault="006724FB">
            <w:pPr>
              <w:pStyle w:val="TableNAm"/>
            </w:pPr>
            <w:r>
              <w:t>OSV6</w:t>
            </w:r>
          </w:p>
        </w:tc>
        <w:tc>
          <w:tcPr>
            <w:tcW w:w="2764" w:type="dxa"/>
          </w:tcPr>
          <w:p w:rsidR="006724FB" w:rsidRDefault="006724FB">
            <w:pPr>
              <w:pStyle w:val="TableNAm"/>
              <w:jc w:val="center"/>
            </w:pPr>
            <w:r>
              <w:t>2 115</w:t>
            </w:r>
          </w:p>
        </w:tc>
      </w:tr>
      <w:tr w:rsidR="006724FB">
        <w:tc>
          <w:tcPr>
            <w:tcW w:w="2764" w:type="dxa"/>
          </w:tcPr>
          <w:p w:rsidR="006724FB" w:rsidRDefault="006724FB">
            <w:pPr>
              <w:pStyle w:val="TableNAm"/>
            </w:pPr>
            <w:r>
              <w:t>OSV7</w:t>
            </w:r>
          </w:p>
        </w:tc>
        <w:tc>
          <w:tcPr>
            <w:tcW w:w="2764" w:type="dxa"/>
          </w:tcPr>
          <w:p w:rsidR="006724FB" w:rsidRDefault="006724FB">
            <w:pPr>
              <w:pStyle w:val="TableNAm"/>
              <w:jc w:val="center"/>
            </w:pPr>
            <w:r>
              <w:t>2 538</w:t>
            </w:r>
          </w:p>
        </w:tc>
      </w:tr>
      <w:tr w:rsidR="006724FB">
        <w:tc>
          <w:tcPr>
            <w:tcW w:w="2764" w:type="dxa"/>
          </w:tcPr>
          <w:p w:rsidR="006724FB" w:rsidRDefault="006724FB">
            <w:pPr>
              <w:pStyle w:val="TableNAm"/>
            </w:pPr>
            <w:r>
              <w:t>OSV8</w:t>
            </w:r>
          </w:p>
        </w:tc>
        <w:tc>
          <w:tcPr>
            <w:tcW w:w="2764" w:type="dxa"/>
          </w:tcPr>
          <w:p w:rsidR="006724FB" w:rsidRDefault="006724FB">
            <w:pPr>
              <w:pStyle w:val="TableNAm"/>
              <w:jc w:val="center"/>
            </w:pPr>
            <w:r>
              <w:t>2 961</w:t>
            </w:r>
          </w:p>
        </w:tc>
      </w:tr>
      <w:tr w:rsidR="006724FB">
        <w:tc>
          <w:tcPr>
            <w:tcW w:w="2764" w:type="dxa"/>
          </w:tcPr>
          <w:p w:rsidR="006724FB" w:rsidRDefault="006724FB">
            <w:pPr>
              <w:pStyle w:val="TableNAm"/>
            </w:pPr>
            <w:r>
              <w:t>OSV9</w:t>
            </w:r>
          </w:p>
        </w:tc>
        <w:tc>
          <w:tcPr>
            <w:tcW w:w="2764" w:type="dxa"/>
          </w:tcPr>
          <w:p w:rsidR="006724FB" w:rsidRDefault="006724FB">
            <w:pPr>
              <w:pStyle w:val="TableNAm"/>
              <w:jc w:val="center"/>
            </w:pPr>
            <w:r>
              <w:t>3 384</w:t>
            </w:r>
          </w:p>
        </w:tc>
      </w:tr>
    </w:tbl>
    <w:p w:rsidR="006724FB" w:rsidRDefault="006724FB">
      <w:pPr>
        <w:pStyle w:val="Footnotesection"/>
      </w:pPr>
      <w:r>
        <w:tab/>
        <w:t>[Regulation 67 amended: Gazette 27 May 2015 p. 1870-1; 26 May 2017 p. 2643-4; 25 May 2018 p. 1645; 17 May 2019 p. 1439-40; SL 2020/73 r. 5; SL 2021/64 r. 5.]</w:t>
      </w:r>
    </w:p>
    <w:p w:rsidR="006724FB" w:rsidRDefault="006724FB">
      <w:pPr>
        <w:pStyle w:val="Heading4"/>
      </w:pPr>
      <w:bookmarkStart w:id="117" w:name="_Toc75419681"/>
      <w:bookmarkStart w:id="118" w:name="_Toc75427016"/>
      <w:bookmarkStart w:id="119" w:name="_Toc75872432"/>
      <w:bookmarkStart w:id="120" w:name="_Toc75875604"/>
      <w:r>
        <w:t>Subdivision 4 — Exemptions</w:t>
      </w:r>
      <w:bookmarkEnd w:id="117"/>
      <w:bookmarkEnd w:id="118"/>
      <w:bookmarkEnd w:id="119"/>
      <w:bookmarkEnd w:id="120"/>
    </w:p>
    <w:p w:rsidR="006724FB" w:rsidRDefault="006724FB">
      <w:pPr>
        <w:pStyle w:val="Heading5"/>
      </w:pPr>
      <w:bookmarkStart w:id="121" w:name="_Toc75875605"/>
      <w:r>
        <w:rPr>
          <w:rStyle w:val="CharSectno"/>
        </w:rPr>
        <w:t>68</w:t>
      </w:r>
      <w:r>
        <w:t>.</w:t>
      </w:r>
      <w:r>
        <w:tab/>
        <w:t>Exemptions not available for seasonally licensed heavy vehicles</w:t>
      </w:r>
      <w:bookmarkEnd w:id="121"/>
    </w:p>
    <w:p w:rsidR="006724FB" w:rsidRDefault="006724FB">
      <w:pPr>
        <w:pStyle w:val="Subsection"/>
      </w:pPr>
      <w:r>
        <w:tab/>
      </w:r>
      <w:r>
        <w:tab/>
        <w:t>This Subdivision does not apply to a seasonally licensed heavy vehicle.</w:t>
      </w:r>
    </w:p>
    <w:p w:rsidR="006724FB" w:rsidRDefault="006724FB">
      <w:pPr>
        <w:pStyle w:val="Heading5"/>
      </w:pPr>
      <w:bookmarkStart w:id="122" w:name="_Toc75875606"/>
      <w:r>
        <w:rPr>
          <w:rStyle w:val="CharSectno"/>
        </w:rPr>
        <w:t>69</w:t>
      </w:r>
      <w:r>
        <w:t>.</w:t>
      </w:r>
      <w:r>
        <w:tab/>
        <w:t>Government, emergency vehicles</w:t>
      </w:r>
      <w:bookmarkEnd w:id="122"/>
      <w:r>
        <w:t xml:space="preserve"> </w:t>
      </w:r>
    </w:p>
    <w:p w:rsidR="006724FB" w:rsidRDefault="006724FB">
      <w:pPr>
        <w:pStyle w:val="Subsection"/>
        <w:rPr>
          <w:snapToGrid w:val="0"/>
        </w:rPr>
      </w:pPr>
      <w:r>
        <w:tab/>
      </w:r>
      <w:r>
        <w:tab/>
      </w:r>
      <w:r>
        <w:rPr>
          <w:snapToGrid w:val="0"/>
        </w:rPr>
        <w:t>A vehicle licence charge is not payable for a vehicle that —</w:t>
      </w:r>
    </w:p>
    <w:p w:rsidR="006724FB" w:rsidRDefault="006724FB">
      <w:pPr>
        <w:pStyle w:val="Indenta"/>
        <w:rPr>
          <w:snapToGrid w:val="0"/>
        </w:rPr>
      </w:pPr>
      <w:r>
        <w:rPr>
          <w:snapToGrid w:val="0"/>
        </w:rPr>
        <w:lastRenderedPageBreak/>
        <w:tab/>
        <w:t>(a)</w:t>
      </w:r>
      <w:r>
        <w:rPr>
          <w:snapToGrid w:val="0"/>
        </w:rPr>
        <w:tab/>
        <w:t xml:space="preserve">is owned by the </w:t>
      </w:r>
      <w:r>
        <w:t>Crown in right of the State</w:t>
      </w:r>
      <w:r>
        <w:rPr>
          <w:snapToGrid w:val="0"/>
        </w:rPr>
        <w:t xml:space="preserve"> and has an MRC not exceeding 4 500 kg; or</w:t>
      </w:r>
    </w:p>
    <w:p w:rsidR="006724FB" w:rsidRDefault="006724FB">
      <w:pPr>
        <w:pStyle w:val="Indenta"/>
        <w:rPr>
          <w:snapToGrid w:val="0"/>
        </w:rPr>
      </w:pPr>
      <w:r>
        <w:rPr>
          <w:snapToGrid w:val="0"/>
        </w:rPr>
        <w:tab/>
        <w:t>(b)</w:t>
      </w:r>
      <w:r>
        <w:rPr>
          <w:snapToGrid w:val="0"/>
        </w:rPr>
        <w:tab/>
        <w:t>is owned by a local government; or</w:t>
      </w:r>
    </w:p>
    <w:p w:rsidR="006724FB" w:rsidRDefault="006724FB">
      <w:pPr>
        <w:pStyle w:val="Indenta"/>
        <w:keepNext/>
      </w:pPr>
      <w:r>
        <w:tab/>
        <w:t>(c)</w:t>
      </w:r>
      <w:r>
        <w:tab/>
        <w:t xml:space="preserve">is — </w:t>
      </w:r>
    </w:p>
    <w:p w:rsidR="006724FB" w:rsidRDefault="006724FB">
      <w:pPr>
        <w:pStyle w:val="Indenti"/>
      </w:pPr>
      <w:r>
        <w:tab/>
        <w:t>(i)</w:t>
      </w:r>
      <w:r>
        <w:tab/>
        <w:t>owned by the Crown in any capacity or a local government; and</w:t>
      </w:r>
    </w:p>
    <w:p w:rsidR="006724FB" w:rsidRDefault="006724FB">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rsidR="006724FB" w:rsidRDefault="006724FB">
      <w:pPr>
        <w:pStyle w:val="Indenti"/>
      </w:pPr>
      <w:r>
        <w:tab/>
        <w:t>(iii)</w:t>
      </w:r>
      <w:r>
        <w:tab/>
        <w:t>to be used exclusively for preventing and extinguishing fires or dealing with other emergencies;</w:t>
      </w:r>
    </w:p>
    <w:p w:rsidR="006724FB" w:rsidRDefault="006724FB">
      <w:pPr>
        <w:pStyle w:val="Indenta"/>
      </w:pPr>
      <w:r>
        <w:tab/>
      </w:r>
      <w:r>
        <w:tab/>
        <w:t>or</w:t>
      </w:r>
    </w:p>
    <w:p w:rsidR="006724FB" w:rsidRDefault="006724FB">
      <w:pPr>
        <w:pStyle w:val="Indenta"/>
        <w:rPr>
          <w:snapToGrid w:val="0"/>
        </w:rPr>
      </w:pPr>
      <w:r>
        <w:rPr>
          <w:snapToGrid w:val="0"/>
        </w:rPr>
        <w:tab/>
        <w:t>(d)</w:t>
      </w:r>
      <w:r>
        <w:rPr>
          <w:snapToGrid w:val="0"/>
        </w:rPr>
        <w:tab/>
        <w:t>is to be used exclusively as an ambulance.</w:t>
      </w:r>
    </w:p>
    <w:p w:rsidR="006724FB" w:rsidRDefault="006724FB">
      <w:pPr>
        <w:pStyle w:val="Footnotesection"/>
      </w:pPr>
      <w:r>
        <w:tab/>
        <w:t>[Regulation 69 amended: Gazette 7 Feb 2017 p. 1178 (disallowed: Gazette 30 Jun 2017 p. 3612</w:t>
      </w:r>
      <w:r>
        <w:rPr>
          <w:i w:val="0"/>
          <w:vertAlign w:val="superscript"/>
        </w:rPr>
        <w:t> 1</w:t>
      </w:r>
      <w:r>
        <w:rPr>
          <w:noProof/>
        </w:rPr>
        <w:t>)</w:t>
      </w:r>
      <w:r>
        <w:t>.]</w:t>
      </w:r>
    </w:p>
    <w:p w:rsidR="006724FB" w:rsidRDefault="006724FB">
      <w:pPr>
        <w:pStyle w:val="Heading5"/>
      </w:pPr>
      <w:bookmarkStart w:id="123" w:name="_Toc75875607"/>
      <w:r>
        <w:rPr>
          <w:rStyle w:val="CharSectno"/>
        </w:rPr>
        <w:t>70</w:t>
      </w:r>
      <w:r>
        <w:t>.</w:t>
      </w:r>
      <w:r>
        <w:tab/>
        <w:t>Farm vehicles</w:t>
      </w:r>
      <w:bookmarkEnd w:id="123"/>
    </w:p>
    <w:p w:rsidR="006724FB" w:rsidRDefault="006724FB">
      <w:pPr>
        <w:pStyle w:val="Subsection"/>
      </w:pPr>
      <w:r>
        <w:tab/>
        <w:t>(1)</w:t>
      </w:r>
      <w:r>
        <w:tab/>
        <w:t>This regulation does not apply to an agricultural machine or agricultural special purpose vehicle.</w:t>
      </w:r>
    </w:p>
    <w:p w:rsidR="006724FB" w:rsidRDefault="006724FB">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rsidR="006724FB" w:rsidRDefault="006724FB">
      <w:pPr>
        <w:pStyle w:val="Indenta"/>
        <w:rPr>
          <w:snapToGrid w:val="0"/>
        </w:rPr>
      </w:pPr>
      <w:r>
        <w:rPr>
          <w:snapToGrid w:val="0"/>
        </w:rPr>
        <w:tab/>
        <w:t>(a)</w:t>
      </w:r>
      <w:r>
        <w:rPr>
          <w:snapToGrid w:val="0"/>
        </w:rPr>
        <w:tab/>
        <w:t>to pass from one portion of the farm to another; or</w:t>
      </w:r>
    </w:p>
    <w:p w:rsidR="006724FB" w:rsidRDefault="006724FB">
      <w:pPr>
        <w:pStyle w:val="Indenta"/>
        <w:rPr>
          <w:snapToGrid w:val="0"/>
        </w:rPr>
      </w:pPr>
      <w:r>
        <w:rPr>
          <w:snapToGrid w:val="0"/>
        </w:rPr>
        <w:tab/>
        <w:t>(b)</w:t>
      </w:r>
      <w:r>
        <w:rPr>
          <w:snapToGrid w:val="0"/>
        </w:rPr>
        <w:tab/>
        <w:t>to travel between the farm and some other place to carry out firefighting or fire prevention operations; or</w:t>
      </w:r>
    </w:p>
    <w:p w:rsidR="006724FB" w:rsidRDefault="006724FB">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rsidR="006724FB" w:rsidRDefault="006724FB">
      <w:pPr>
        <w:pStyle w:val="Indenta"/>
        <w:rPr>
          <w:snapToGrid w:val="0"/>
        </w:rPr>
      </w:pPr>
      <w:r>
        <w:rPr>
          <w:snapToGrid w:val="0"/>
        </w:rPr>
        <w:tab/>
        <w:t>(d)</w:t>
      </w:r>
      <w:r>
        <w:rPr>
          <w:snapToGrid w:val="0"/>
        </w:rPr>
        <w:tab/>
        <w:t xml:space="preserve">if the farm is in an area that is declared by the Minister administering the </w:t>
      </w:r>
      <w:r>
        <w:rPr>
          <w:i/>
          <w:snapToGrid w:val="0"/>
        </w:rPr>
        <w:t xml:space="preserve">Biosecurity and Agriculture </w:t>
      </w:r>
      <w:r>
        <w:rPr>
          <w:i/>
          <w:snapToGrid w:val="0"/>
        </w:rPr>
        <w:lastRenderedPageBreak/>
        <w:t>Management Act 2007</w:t>
      </w:r>
      <w:r>
        <w:rPr>
          <w:snapToGrid w:val="0"/>
        </w:rPr>
        <w:t xml:space="preserve"> to be drought affected or water deficient, to travel between the farm and a water supply for the purpose of carting water for stock or for domestic purposes.</w:t>
      </w:r>
    </w:p>
    <w:p w:rsidR="006724FB" w:rsidRDefault="006724FB">
      <w:pPr>
        <w:pStyle w:val="Heading5"/>
      </w:pPr>
      <w:bookmarkStart w:id="124" w:name="_Toc75875608"/>
      <w:r>
        <w:rPr>
          <w:rStyle w:val="CharSectno"/>
        </w:rPr>
        <w:t>71</w:t>
      </w:r>
      <w:r>
        <w:t>.</w:t>
      </w:r>
      <w:r>
        <w:tab/>
        <w:t>Vehicles owned by full</w:t>
      </w:r>
      <w:r>
        <w:noBreakHyphen/>
        <w:t>time carers</w:t>
      </w:r>
      <w:bookmarkEnd w:id="124"/>
    </w:p>
    <w:p w:rsidR="006724FB" w:rsidRDefault="006724FB">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rsidR="006724FB" w:rsidRDefault="006724FB">
      <w:pPr>
        <w:pStyle w:val="Heading5"/>
      </w:pPr>
      <w:bookmarkStart w:id="125" w:name="_Toc75875609"/>
      <w:r>
        <w:rPr>
          <w:rStyle w:val="CharSectno"/>
        </w:rPr>
        <w:t>72</w:t>
      </w:r>
      <w:r>
        <w:t>.</w:t>
      </w:r>
      <w:r>
        <w:tab/>
        <w:t>Exemption or refund in exceptional circumstances</w:t>
      </w:r>
      <w:bookmarkEnd w:id="125"/>
    </w:p>
    <w:p w:rsidR="006724FB" w:rsidRDefault="006724FB">
      <w:pPr>
        <w:pStyle w:val="Subsection"/>
      </w:pPr>
      <w:r>
        <w:tab/>
        <w:t>(1)</w:t>
      </w:r>
      <w:r>
        <w:tab/>
        <w:t xml:space="preserve">If the CEO is satisfied that exceptional circumstances warrant the refund, waiver or reduction being given in a particular case, the CEO may, in that case — </w:t>
      </w:r>
    </w:p>
    <w:p w:rsidR="006724FB" w:rsidRDefault="006724FB">
      <w:pPr>
        <w:pStyle w:val="Indenta"/>
      </w:pPr>
      <w:r>
        <w:tab/>
        <w:t>(a)</w:t>
      </w:r>
      <w:r>
        <w:tab/>
        <w:t>refund all or part of a payment that has been made in respect of any vehicle licence charge; or</w:t>
      </w:r>
    </w:p>
    <w:p w:rsidR="006724FB" w:rsidRDefault="006724FB">
      <w:pPr>
        <w:pStyle w:val="Indenta"/>
      </w:pPr>
      <w:r>
        <w:tab/>
        <w:t>(b)</w:t>
      </w:r>
      <w:r>
        <w:tab/>
        <w:t>in writing, waive or reduce a vehicle licence charge.</w:t>
      </w:r>
    </w:p>
    <w:p w:rsidR="006724FB" w:rsidRDefault="006724FB">
      <w:pPr>
        <w:pStyle w:val="Subsection"/>
      </w:pPr>
      <w:r>
        <w:tab/>
        <w:t>(2)</w:t>
      </w:r>
      <w:r>
        <w:tab/>
        <w:t>The CEO may, in writing given to a person affected by a decision under subregulation (1)(b), vary or revoke the waiver or reduction.</w:t>
      </w:r>
    </w:p>
    <w:p w:rsidR="006724FB" w:rsidRDefault="006724FB">
      <w:pPr>
        <w:pStyle w:val="Subsection"/>
      </w:pPr>
      <w:r>
        <w:tab/>
        <w:t>(3)</w:t>
      </w:r>
      <w:r>
        <w:tab/>
        <w:t>A refund, waiver or reduction may be given subject to the conditions imposed by the CEO and specified in the licence.</w:t>
      </w:r>
    </w:p>
    <w:p w:rsidR="006724FB" w:rsidRDefault="006724FB">
      <w:pPr>
        <w:pStyle w:val="Subsection"/>
      </w:pPr>
      <w:r>
        <w:tab/>
        <w:t>(4)</w:t>
      </w:r>
      <w:r>
        <w:tab/>
        <w:t>A person must not contravene a condition imposed under subregulation (3).</w:t>
      </w:r>
    </w:p>
    <w:p w:rsidR="006724FB" w:rsidRDefault="006724FB">
      <w:pPr>
        <w:pStyle w:val="Penstart"/>
        <w:rPr>
          <w:rStyle w:val="DraftersNotes"/>
        </w:rPr>
      </w:pPr>
      <w:r>
        <w:tab/>
        <w:t>Penalty for an offence under this subregulation: a fine of 8 PU.</w:t>
      </w:r>
    </w:p>
    <w:p w:rsidR="006724FB" w:rsidRDefault="006724FB">
      <w:pPr>
        <w:pStyle w:val="Heading4"/>
      </w:pPr>
      <w:bookmarkStart w:id="126" w:name="_Toc75419687"/>
      <w:bookmarkStart w:id="127" w:name="_Toc75427022"/>
      <w:bookmarkStart w:id="128" w:name="_Toc75872438"/>
      <w:bookmarkStart w:id="129" w:name="_Toc75875610"/>
      <w:r>
        <w:t>Subdivision 5 — Concessions</w:t>
      </w:r>
      <w:bookmarkEnd w:id="126"/>
      <w:bookmarkEnd w:id="127"/>
      <w:bookmarkEnd w:id="128"/>
      <w:bookmarkEnd w:id="129"/>
    </w:p>
    <w:p w:rsidR="006724FB" w:rsidRDefault="006724FB">
      <w:pPr>
        <w:pStyle w:val="Heading5"/>
      </w:pPr>
      <w:bookmarkStart w:id="130" w:name="_Toc75875611"/>
      <w:r>
        <w:rPr>
          <w:rStyle w:val="CharSectno"/>
        </w:rPr>
        <w:t>73</w:t>
      </w:r>
      <w:r>
        <w:t>.</w:t>
      </w:r>
      <w:r>
        <w:tab/>
        <w:t>Concessions not available for seasonally licensed heavy vehicles</w:t>
      </w:r>
      <w:bookmarkEnd w:id="130"/>
    </w:p>
    <w:p w:rsidR="006724FB" w:rsidRDefault="006724FB">
      <w:pPr>
        <w:pStyle w:val="Subsection"/>
      </w:pPr>
      <w:r>
        <w:tab/>
      </w:r>
      <w:r>
        <w:tab/>
        <w:t>This Subdivision does not apply to a seasonally licensed heavy vehicle.</w:t>
      </w:r>
    </w:p>
    <w:p w:rsidR="006724FB" w:rsidRDefault="006724FB">
      <w:pPr>
        <w:pStyle w:val="Heading5"/>
      </w:pPr>
      <w:bookmarkStart w:id="131" w:name="_Toc75875612"/>
      <w:r>
        <w:rPr>
          <w:rStyle w:val="CharSectno"/>
        </w:rPr>
        <w:lastRenderedPageBreak/>
        <w:t>74</w:t>
      </w:r>
      <w:r>
        <w:t>.</w:t>
      </w:r>
      <w:r>
        <w:tab/>
        <w:t>Certain heavy vehicles used outside South</w:t>
      </w:r>
      <w:r>
        <w:noBreakHyphen/>
        <w:t>west Division</w:t>
      </w:r>
      <w:bookmarkEnd w:id="131"/>
    </w:p>
    <w:p w:rsidR="006724FB" w:rsidRDefault="006724FB">
      <w:pPr>
        <w:pStyle w:val="Subsection"/>
        <w:spacing w:before="120"/>
      </w:pPr>
      <w:r>
        <w:tab/>
      </w:r>
      <w:r>
        <w:tab/>
      </w:r>
      <w:r>
        <w:rPr>
          <w:snapToGrid w:val="0"/>
        </w:rPr>
        <w:t>The vehicle licence charge payable for a vehicle is reduced by 50% if the CEO is satisfied that the vehicle —</w:t>
      </w:r>
    </w:p>
    <w:p w:rsidR="006724FB" w:rsidRDefault="006724FB">
      <w:pPr>
        <w:pStyle w:val="Indenta"/>
        <w:rPr>
          <w:snapToGrid w:val="0"/>
        </w:rPr>
      </w:pPr>
      <w:r>
        <w:rPr>
          <w:snapToGrid w:val="0"/>
        </w:rPr>
        <w:tab/>
        <w:t>(a)</w:t>
      </w:r>
      <w:r>
        <w:rPr>
          <w:snapToGrid w:val="0"/>
        </w:rPr>
        <w:tab/>
        <w:t xml:space="preserve">has </w:t>
      </w:r>
      <w:r>
        <w:t>an unloaded mass</w:t>
      </w:r>
      <w:r>
        <w:rPr>
          <w:snapToGrid w:val="0"/>
        </w:rPr>
        <w:t xml:space="preserve"> exceeding 2 t; and</w:t>
      </w:r>
    </w:p>
    <w:p w:rsidR="006724FB" w:rsidRDefault="006724FB">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rsidR="006724FB" w:rsidRDefault="006724FB">
      <w:pPr>
        <w:pStyle w:val="Heading5"/>
      </w:pPr>
      <w:bookmarkStart w:id="132" w:name="_Toc75875613"/>
      <w:r>
        <w:rPr>
          <w:rStyle w:val="CharSectno"/>
        </w:rPr>
        <w:t>75</w:t>
      </w:r>
      <w:r>
        <w:t>.</w:t>
      </w:r>
      <w:r>
        <w:tab/>
        <w:t>Vehicles used for prospecting</w:t>
      </w:r>
      <w:bookmarkEnd w:id="132"/>
    </w:p>
    <w:p w:rsidR="006724FB" w:rsidRDefault="006724FB">
      <w:pPr>
        <w:pStyle w:val="Subsection"/>
        <w:spacing w:before="120"/>
      </w:pPr>
      <w:r>
        <w:tab/>
      </w:r>
      <w:r>
        <w:tab/>
      </w:r>
      <w:r>
        <w:rPr>
          <w:snapToGrid w:val="0"/>
        </w:rPr>
        <w:t>The vehicle licence charge payable for a vehicle is reduced by 50% if the CEO is satisfied that the vehicle —</w:t>
      </w:r>
    </w:p>
    <w:p w:rsidR="006724FB" w:rsidRDefault="006724FB">
      <w:pPr>
        <w:pStyle w:val="Indenta"/>
        <w:rPr>
          <w:snapToGrid w:val="0"/>
        </w:rPr>
      </w:pPr>
      <w:r>
        <w:rPr>
          <w:snapToGrid w:val="0"/>
        </w:rPr>
        <w:tab/>
        <w:t>(a)</w:t>
      </w:r>
      <w:r>
        <w:rPr>
          <w:snapToGrid w:val="0"/>
        </w:rPr>
        <w:tab/>
        <w:t>is owned by — </w:t>
      </w:r>
    </w:p>
    <w:p w:rsidR="006724FB" w:rsidRDefault="006724FB">
      <w:pPr>
        <w:pStyle w:val="Indenti"/>
        <w:rPr>
          <w:snapToGrid w:val="0"/>
        </w:rPr>
      </w:pPr>
      <w:r>
        <w:tab/>
        <w:t>(i)</w:t>
      </w:r>
      <w:r>
        <w:tab/>
        <w:t xml:space="preserve">a genuine </w:t>
      </w:r>
      <w:r>
        <w:rPr>
          <w:snapToGrid w:val="0"/>
        </w:rPr>
        <w:t>prospector; or</w:t>
      </w:r>
    </w:p>
    <w:p w:rsidR="006724FB" w:rsidRDefault="006724FB">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rsidR="006724FB" w:rsidRDefault="006724FB">
      <w:pPr>
        <w:pStyle w:val="Indenta"/>
        <w:rPr>
          <w:snapToGrid w:val="0"/>
        </w:rPr>
      </w:pPr>
      <w:r>
        <w:rPr>
          <w:snapToGrid w:val="0"/>
        </w:rPr>
        <w:tab/>
      </w:r>
      <w:r>
        <w:rPr>
          <w:snapToGrid w:val="0"/>
        </w:rPr>
        <w:tab/>
        <w:t>and</w:t>
      </w:r>
    </w:p>
    <w:p w:rsidR="006724FB" w:rsidRDefault="006724FB">
      <w:pPr>
        <w:pStyle w:val="Indenta"/>
        <w:rPr>
          <w:snapToGrid w:val="0"/>
        </w:rPr>
      </w:pPr>
      <w:r>
        <w:rPr>
          <w:snapToGrid w:val="0"/>
        </w:rPr>
        <w:tab/>
        <w:t>(b)</w:t>
      </w:r>
      <w:r>
        <w:rPr>
          <w:snapToGrid w:val="0"/>
        </w:rPr>
        <w:tab/>
        <w:t>is to be used by that prospector or person exclusively or principally in connection with prospecting.</w:t>
      </w:r>
    </w:p>
    <w:p w:rsidR="006724FB" w:rsidRDefault="006724FB">
      <w:pPr>
        <w:pStyle w:val="Heading5"/>
        <w:spacing w:before="180"/>
      </w:pPr>
      <w:bookmarkStart w:id="133" w:name="_Toc75875614"/>
      <w:r>
        <w:rPr>
          <w:rStyle w:val="CharSectno"/>
        </w:rPr>
        <w:t>76</w:t>
      </w:r>
      <w:r>
        <w:t>.</w:t>
      </w:r>
      <w:r>
        <w:tab/>
        <w:t>Vehicles used for pulling sandalwood</w:t>
      </w:r>
      <w:bookmarkEnd w:id="133"/>
    </w:p>
    <w:p w:rsidR="006724FB" w:rsidRDefault="006724FB">
      <w:pPr>
        <w:pStyle w:val="Subsection"/>
      </w:pPr>
      <w:r>
        <w:tab/>
      </w:r>
      <w:r>
        <w:tab/>
      </w:r>
      <w:r>
        <w:rPr>
          <w:snapToGrid w:val="0"/>
        </w:rPr>
        <w:t>The vehicle licence charge payable for a vehicle is reduced by 50% if the CEO is satisfied that the vehicle —</w:t>
      </w:r>
    </w:p>
    <w:p w:rsidR="006724FB" w:rsidRDefault="006724FB">
      <w:pPr>
        <w:pStyle w:val="Indenta"/>
        <w:rPr>
          <w:snapToGrid w:val="0"/>
        </w:rPr>
      </w:pPr>
      <w:r>
        <w:tab/>
        <w:t>(a)</w:t>
      </w:r>
      <w:r>
        <w:tab/>
        <w:t xml:space="preserve">is owned by a genuine </w:t>
      </w:r>
      <w:r>
        <w:rPr>
          <w:snapToGrid w:val="0"/>
        </w:rPr>
        <w:t>sandalwood puller; and</w:t>
      </w:r>
    </w:p>
    <w:p w:rsidR="006724FB" w:rsidRDefault="006724FB">
      <w:pPr>
        <w:pStyle w:val="Indenta"/>
        <w:rPr>
          <w:snapToGrid w:val="0"/>
        </w:rPr>
      </w:pPr>
      <w:r>
        <w:rPr>
          <w:snapToGrid w:val="0"/>
        </w:rPr>
        <w:tab/>
        <w:t>(b)</w:t>
      </w:r>
      <w:r>
        <w:rPr>
          <w:snapToGrid w:val="0"/>
        </w:rPr>
        <w:tab/>
        <w:t>is to be used by that person exclusively or principally in connection with the pulling of sandalwood.</w:t>
      </w:r>
    </w:p>
    <w:p w:rsidR="006724FB" w:rsidRDefault="006724FB">
      <w:pPr>
        <w:pStyle w:val="Heading5"/>
      </w:pPr>
      <w:bookmarkStart w:id="134" w:name="_Toc75875615"/>
      <w:r>
        <w:rPr>
          <w:rStyle w:val="CharSectno"/>
        </w:rPr>
        <w:t>77</w:t>
      </w:r>
      <w:r>
        <w:t>.</w:t>
      </w:r>
      <w:r>
        <w:tab/>
        <w:t>Vehicles used for kangaroo hunting</w:t>
      </w:r>
      <w:bookmarkEnd w:id="134"/>
    </w:p>
    <w:p w:rsidR="006724FB" w:rsidRDefault="006724FB">
      <w:pPr>
        <w:pStyle w:val="Subsection"/>
      </w:pPr>
      <w:r>
        <w:tab/>
      </w:r>
      <w:r>
        <w:tab/>
      </w:r>
      <w:r>
        <w:rPr>
          <w:snapToGrid w:val="0"/>
        </w:rPr>
        <w:t>The vehicle licence charge payable for a vehicle is reduced by 50% if the CEO is satisfied that the vehicle —</w:t>
      </w:r>
    </w:p>
    <w:p w:rsidR="006724FB" w:rsidRDefault="006724FB">
      <w:pPr>
        <w:pStyle w:val="Indenta"/>
        <w:rPr>
          <w:snapToGrid w:val="0"/>
        </w:rPr>
      </w:pPr>
      <w:r>
        <w:rPr>
          <w:snapToGrid w:val="0"/>
        </w:rPr>
        <w:tab/>
        <w:t>(a)</w:t>
      </w:r>
      <w:r>
        <w:rPr>
          <w:snapToGrid w:val="0"/>
        </w:rPr>
        <w:tab/>
        <w:t>is owned by a genuine kangaroo hunter; and</w:t>
      </w:r>
    </w:p>
    <w:p w:rsidR="006724FB" w:rsidRDefault="006724FB">
      <w:pPr>
        <w:pStyle w:val="Indenta"/>
        <w:rPr>
          <w:snapToGrid w:val="0"/>
        </w:rPr>
      </w:pPr>
      <w:r>
        <w:rPr>
          <w:snapToGrid w:val="0"/>
        </w:rPr>
        <w:lastRenderedPageBreak/>
        <w:tab/>
        <w:t>(b)</w:t>
      </w:r>
      <w:r>
        <w:rPr>
          <w:snapToGrid w:val="0"/>
        </w:rPr>
        <w:tab/>
        <w:t>is to be used by that person exclusively or principally in connection with the hunting of kangaroos.</w:t>
      </w:r>
    </w:p>
    <w:p w:rsidR="006724FB" w:rsidRDefault="006724FB">
      <w:pPr>
        <w:pStyle w:val="Heading5"/>
      </w:pPr>
      <w:bookmarkStart w:id="135" w:name="_Toc75875616"/>
      <w:r>
        <w:rPr>
          <w:rStyle w:val="CharSectno"/>
        </w:rPr>
        <w:t>78</w:t>
      </w:r>
      <w:r>
        <w:t>.</w:t>
      </w:r>
      <w:r>
        <w:tab/>
        <w:t>Vehicles used for beekeeping</w:t>
      </w:r>
      <w:bookmarkEnd w:id="135"/>
    </w:p>
    <w:p w:rsidR="006724FB" w:rsidRDefault="006724FB">
      <w:pPr>
        <w:pStyle w:val="Subsection"/>
      </w:pPr>
      <w:r>
        <w:tab/>
      </w:r>
      <w:r>
        <w:tab/>
      </w:r>
      <w:r>
        <w:rPr>
          <w:snapToGrid w:val="0"/>
        </w:rPr>
        <w:t>The vehicle licence charge payable for a vehicle is reduced by 50% if the CEO is satisfied that the vehicle —</w:t>
      </w:r>
    </w:p>
    <w:p w:rsidR="006724FB" w:rsidRDefault="006724FB">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rsidR="006724FB" w:rsidRDefault="006724FB">
      <w:pPr>
        <w:pStyle w:val="Indenta"/>
        <w:rPr>
          <w:snapToGrid w:val="0"/>
        </w:rPr>
      </w:pPr>
      <w:r>
        <w:rPr>
          <w:snapToGrid w:val="0"/>
        </w:rPr>
        <w:tab/>
        <w:t>(b)</w:t>
      </w:r>
      <w:r>
        <w:rPr>
          <w:snapToGrid w:val="0"/>
        </w:rPr>
        <w:tab/>
        <w:t>is to be used by the person exclusively or principally in connection with beekeeping.</w:t>
      </w:r>
    </w:p>
    <w:p w:rsidR="006724FB" w:rsidRDefault="006724FB">
      <w:pPr>
        <w:pStyle w:val="Heading5"/>
      </w:pPr>
      <w:bookmarkStart w:id="136" w:name="_Toc75875617"/>
      <w:r>
        <w:rPr>
          <w:rStyle w:val="CharSectno"/>
        </w:rPr>
        <w:t>79</w:t>
      </w:r>
      <w:r>
        <w:t>.</w:t>
      </w:r>
      <w:r>
        <w:tab/>
        <w:t>Certain vehicles used to transport stock</w:t>
      </w:r>
      <w:bookmarkEnd w:id="136"/>
    </w:p>
    <w:p w:rsidR="006724FB" w:rsidRDefault="006724FB">
      <w:pPr>
        <w:pStyle w:val="Subsection"/>
      </w:pPr>
      <w:r>
        <w:rPr>
          <w:snapToGrid w:val="0"/>
        </w:rPr>
        <w:tab/>
        <w:t>(1)</w:t>
      </w:r>
      <w:r>
        <w:rPr>
          <w:snapToGrid w:val="0"/>
        </w:rPr>
        <w:tab/>
        <w:t>The vehicle licence charge payable for a vehicle is reduced by 50% if the CEO is satisfied that the vehicle —</w:t>
      </w:r>
    </w:p>
    <w:p w:rsidR="006724FB" w:rsidRDefault="006724FB">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rsidR="006724FB" w:rsidRDefault="006724FB">
      <w:pPr>
        <w:pStyle w:val="Indenta"/>
        <w:rPr>
          <w:snapToGrid w:val="0"/>
        </w:rPr>
      </w:pPr>
      <w:r>
        <w:rPr>
          <w:snapToGrid w:val="0"/>
        </w:rPr>
        <w:tab/>
        <w:t>(b)</w:t>
      </w:r>
      <w:r>
        <w:rPr>
          <w:snapToGrid w:val="0"/>
        </w:rPr>
        <w:tab/>
        <w:t>is owned by a person who carries on the business of transporting stock; and</w:t>
      </w:r>
    </w:p>
    <w:p w:rsidR="006724FB" w:rsidRDefault="006724FB">
      <w:pPr>
        <w:pStyle w:val="Indenta"/>
        <w:rPr>
          <w:snapToGrid w:val="0"/>
        </w:rPr>
      </w:pPr>
      <w:r>
        <w:rPr>
          <w:snapToGrid w:val="0"/>
        </w:rPr>
        <w:tab/>
        <w:t>(c)</w:t>
      </w:r>
      <w:r>
        <w:rPr>
          <w:snapToGrid w:val="0"/>
        </w:rPr>
        <w:tab/>
        <w:t>is to be used by the person exclusively or principally for journeys that involve the carriage of stock.</w:t>
      </w:r>
    </w:p>
    <w:p w:rsidR="006724FB" w:rsidRDefault="006724FB">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rsidR="006724FB" w:rsidRDefault="006724FB">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rsidR="006724FB" w:rsidRDefault="006724FB">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rsidR="006724FB" w:rsidRDefault="006724FB">
      <w:pPr>
        <w:pStyle w:val="Subsection"/>
      </w:pPr>
      <w:r>
        <w:tab/>
        <w:t>(3)</w:t>
      </w:r>
      <w:r>
        <w:tab/>
        <w:t xml:space="preserve">The CEO may, on payment of a fee of $11.50, authorise the use of a vehicle to which this regulation applies to carry goods other </w:t>
      </w:r>
      <w:r>
        <w:lastRenderedPageBreak/>
        <w:t>than stock on a specified journey or on a specified part of a journey.</w:t>
      </w:r>
    </w:p>
    <w:p w:rsidR="006724FB" w:rsidRDefault="006724FB">
      <w:pPr>
        <w:pStyle w:val="Subsection"/>
      </w:pPr>
      <w:r>
        <w:tab/>
        <w:t>(4)</w:t>
      </w:r>
      <w:r>
        <w:tab/>
        <w:t>An authorisation is to be in writing and may be amended or revoked by the CEO.</w:t>
      </w:r>
    </w:p>
    <w:p w:rsidR="006724FB" w:rsidRDefault="006724FB">
      <w:pPr>
        <w:pStyle w:val="Subsection"/>
      </w:pPr>
      <w:r>
        <w:tab/>
        <w:t>(5)</w:t>
      </w:r>
      <w:r>
        <w:tab/>
        <w:t>All fees received by the CEO under subregulation (3) are to be credited to the Consolidated Account.</w:t>
      </w:r>
    </w:p>
    <w:p w:rsidR="006724FB" w:rsidRDefault="006724FB">
      <w:pPr>
        <w:pStyle w:val="Heading5"/>
      </w:pPr>
      <w:bookmarkStart w:id="137" w:name="_Toc75875618"/>
      <w:r>
        <w:rPr>
          <w:rStyle w:val="CharSectno"/>
        </w:rPr>
        <w:t>80</w:t>
      </w:r>
      <w:r>
        <w:t>.</w:t>
      </w:r>
      <w:r>
        <w:tab/>
        <w:t>Vehicles used for farm haulage</w:t>
      </w:r>
      <w:bookmarkEnd w:id="137"/>
    </w:p>
    <w:p w:rsidR="006724FB" w:rsidRDefault="006724FB">
      <w:pPr>
        <w:pStyle w:val="Subsection"/>
      </w:pPr>
      <w:r>
        <w:tab/>
        <w:t>(1)</w:t>
      </w:r>
      <w:r>
        <w:tab/>
        <w:t xml:space="preserve">This regulation does not apply to — </w:t>
      </w:r>
    </w:p>
    <w:p w:rsidR="006724FB" w:rsidRDefault="006724FB">
      <w:pPr>
        <w:pStyle w:val="Indenta"/>
      </w:pPr>
      <w:r>
        <w:tab/>
        <w:t>(a)</w:t>
      </w:r>
      <w:r>
        <w:tab/>
        <w:t>an agricultural machine or an agricultural special purpose vehicle; or</w:t>
      </w:r>
    </w:p>
    <w:p w:rsidR="006724FB" w:rsidRDefault="006724FB">
      <w:pPr>
        <w:pStyle w:val="Indenta"/>
      </w:pPr>
      <w:r>
        <w:tab/>
        <w:t>(b)</w:t>
      </w:r>
      <w:r>
        <w:tab/>
        <w:t>a vehicle that has an unloaded mass of less than 1 524 kg.</w:t>
      </w:r>
    </w:p>
    <w:p w:rsidR="006724FB" w:rsidRDefault="006724FB">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rsidR="006724FB" w:rsidRDefault="006724FB">
      <w:pPr>
        <w:pStyle w:val="Indenta"/>
        <w:rPr>
          <w:snapToGrid w:val="0"/>
        </w:rPr>
      </w:pPr>
      <w:r>
        <w:rPr>
          <w:snapToGrid w:val="0"/>
        </w:rPr>
        <w:tab/>
        <w:t>(a)</w:t>
      </w:r>
      <w:r>
        <w:rPr>
          <w:snapToGrid w:val="0"/>
        </w:rPr>
        <w:tab/>
        <w:t>is owned by a farmer; and</w:t>
      </w:r>
    </w:p>
    <w:p w:rsidR="006724FB" w:rsidRDefault="006724FB">
      <w:pPr>
        <w:pStyle w:val="Indenta"/>
        <w:rPr>
          <w:snapToGrid w:val="0"/>
        </w:rPr>
      </w:pPr>
      <w:r>
        <w:rPr>
          <w:snapToGrid w:val="0"/>
        </w:rPr>
        <w:tab/>
        <w:t>(b)</w:t>
      </w:r>
      <w:r>
        <w:rPr>
          <w:snapToGrid w:val="0"/>
        </w:rPr>
        <w:tab/>
        <w:t>is to be used exclusively or principally for carrying the products of, or requisites for, the owner’s farming business.</w:t>
      </w:r>
    </w:p>
    <w:p w:rsidR="006724FB" w:rsidRDefault="006724FB">
      <w:pPr>
        <w:pStyle w:val="Subsection"/>
      </w:pPr>
      <w:r>
        <w:tab/>
        <w:t>(3)</w:t>
      </w:r>
      <w:r>
        <w:tab/>
        <w:t>A reduction under this regulation does not apply at any one time in respect of more than one vehicle used in connection with the carrying on of the same business.</w:t>
      </w:r>
    </w:p>
    <w:p w:rsidR="006724FB" w:rsidRDefault="006724FB">
      <w:pPr>
        <w:pStyle w:val="Subsection"/>
      </w:pPr>
      <w:r>
        <w:rPr>
          <w:snapToGrid w:val="0"/>
        </w:rPr>
        <w:tab/>
        <w:t>(4)</w:t>
      </w:r>
      <w:r>
        <w:rPr>
          <w:snapToGrid w:val="0"/>
        </w:rPr>
        <w:tab/>
        <w:t xml:space="preserve">Subregulation (3) does not prevent a reduction applying in respect of — </w:t>
      </w:r>
    </w:p>
    <w:p w:rsidR="006724FB" w:rsidRDefault="006724FB">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rsidR="006724FB" w:rsidRDefault="006724FB">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rsidR="006724FB" w:rsidRDefault="006724FB">
      <w:pPr>
        <w:pStyle w:val="Heading5"/>
      </w:pPr>
      <w:bookmarkStart w:id="138" w:name="_Toc75875619"/>
      <w:r>
        <w:rPr>
          <w:rStyle w:val="CharSectno"/>
        </w:rPr>
        <w:lastRenderedPageBreak/>
        <w:t>81</w:t>
      </w:r>
      <w:r>
        <w:t>.</w:t>
      </w:r>
      <w:r>
        <w:tab/>
        <w:t>Agricultural machines and agricultural special purpose vehicles</w:t>
      </w:r>
      <w:bookmarkEnd w:id="138"/>
    </w:p>
    <w:p w:rsidR="006724FB" w:rsidRDefault="006724FB">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rsidR="006724FB" w:rsidRDefault="006724FB">
      <w:pPr>
        <w:pStyle w:val="Indenta"/>
      </w:pPr>
      <w:r>
        <w:tab/>
        <w:t>(a)</w:t>
      </w:r>
      <w:r>
        <w:tab/>
        <w:t>to pass from one portion of a farm to another;</w:t>
      </w:r>
    </w:p>
    <w:p w:rsidR="006724FB" w:rsidRDefault="006724FB">
      <w:pPr>
        <w:pStyle w:val="Indenta"/>
      </w:pPr>
      <w:r>
        <w:tab/>
        <w:t>(b)</w:t>
      </w:r>
      <w:r>
        <w:tab/>
        <w:t>to travel between a farm and some other place for farming activities;</w:t>
      </w:r>
    </w:p>
    <w:p w:rsidR="006724FB" w:rsidRDefault="006724FB">
      <w:pPr>
        <w:pStyle w:val="Indenta"/>
      </w:pPr>
      <w:r>
        <w:tab/>
        <w:t>(c)</w:t>
      </w:r>
      <w:r>
        <w:tab/>
        <w:t>to carry out firefighting or fire prevention operations;</w:t>
      </w:r>
    </w:p>
    <w:p w:rsidR="006724FB" w:rsidRDefault="006724FB">
      <w:pPr>
        <w:pStyle w:val="Indenta"/>
      </w:pPr>
      <w:r>
        <w:tab/>
        <w:t>(d)</w:t>
      </w:r>
      <w:r>
        <w:tab/>
        <w:t xml:space="preserve">to take part in fire control exercises previously authorised by a bush fire control officer appointed under the </w:t>
      </w:r>
      <w:r>
        <w:rPr>
          <w:i/>
        </w:rPr>
        <w:t>Bush Fires Act 1954</w:t>
      </w:r>
      <w:r>
        <w:t>;</w:t>
      </w:r>
    </w:p>
    <w:p w:rsidR="006724FB" w:rsidRDefault="006724FB">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rsidR="006724FB" w:rsidRDefault="006724FB">
      <w:pPr>
        <w:pStyle w:val="Heading5"/>
      </w:pPr>
      <w:bookmarkStart w:id="139" w:name="_Toc75875620"/>
      <w:r>
        <w:rPr>
          <w:rStyle w:val="CharSectno"/>
        </w:rPr>
        <w:t>82</w:t>
      </w:r>
      <w:r>
        <w:t>.</w:t>
      </w:r>
      <w:r>
        <w:tab/>
        <w:t>Certain semi</w:t>
      </w:r>
      <w:r>
        <w:noBreakHyphen/>
        <w:t>trailers</w:t>
      </w:r>
      <w:bookmarkEnd w:id="139"/>
    </w:p>
    <w:p w:rsidR="006724FB" w:rsidRDefault="006724FB">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rsidR="006724FB" w:rsidRDefault="006724FB">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rsidR="006724FB" w:rsidRDefault="006724FB">
      <w:pPr>
        <w:pStyle w:val="Indenta"/>
      </w:pPr>
      <w:r>
        <w:tab/>
        <w:t>(b)</w:t>
      </w:r>
      <w:r>
        <w:tab/>
        <w:t>the semi</w:t>
      </w:r>
      <w:r>
        <w:noBreakHyphen/>
        <w:t>trailer will not be towed together with another trailer; and</w:t>
      </w:r>
    </w:p>
    <w:p w:rsidR="006724FB" w:rsidRDefault="006724FB">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rsidR="006724FB" w:rsidRDefault="006724FB">
      <w:pPr>
        <w:pStyle w:val="Heading5"/>
      </w:pPr>
      <w:bookmarkStart w:id="140" w:name="_Toc75875621"/>
      <w:r>
        <w:rPr>
          <w:rStyle w:val="CharSectno"/>
        </w:rPr>
        <w:lastRenderedPageBreak/>
        <w:t>83</w:t>
      </w:r>
      <w:r>
        <w:t>.</w:t>
      </w:r>
      <w:r>
        <w:tab/>
      </w:r>
      <w:r>
        <w:rPr>
          <w:snapToGrid w:val="0"/>
        </w:rPr>
        <w:t>Vehicles owned by pensioners, seniors</w:t>
      </w:r>
      <w:bookmarkEnd w:id="140"/>
    </w:p>
    <w:p w:rsidR="006724FB" w:rsidRDefault="006724FB">
      <w:pPr>
        <w:pStyle w:val="Subsection"/>
      </w:pPr>
      <w:r>
        <w:rPr>
          <w:snapToGrid w:val="0"/>
        </w:rPr>
        <w:tab/>
        <w:t>(1)</w:t>
      </w:r>
      <w:r>
        <w:rPr>
          <w:snapToGrid w:val="0"/>
        </w:rPr>
        <w:tab/>
        <w:t xml:space="preserve">The vehicle licence charge payable for a vehicle is reduced by 50% if the CEO is satisfied that the vehicle — </w:t>
      </w:r>
    </w:p>
    <w:p w:rsidR="006724FB" w:rsidRDefault="006724FB">
      <w:pPr>
        <w:pStyle w:val="Indenta"/>
        <w:rPr>
          <w:snapToGrid w:val="0"/>
        </w:rPr>
      </w:pPr>
      <w:r>
        <w:rPr>
          <w:snapToGrid w:val="0"/>
        </w:rPr>
        <w:tab/>
        <w:t>(a)</w:t>
      </w:r>
      <w:r>
        <w:rPr>
          <w:snapToGrid w:val="0"/>
        </w:rPr>
        <w:tab/>
        <w:t xml:space="preserve">is — </w:t>
      </w:r>
    </w:p>
    <w:p w:rsidR="006724FB" w:rsidRDefault="006724FB">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rsidR="006724FB" w:rsidRDefault="006724FB">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rsidR="006724FB" w:rsidRDefault="006724FB">
      <w:pPr>
        <w:pStyle w:val="Indenti"/>
        <w:rPr>
          <w:snapToGrid w:val="0"/>
        </w:rPr>
      </w:pPr>
      <w:r>
        <w:rPr>
          <w:snapToGrid w:val="0"/>
        </w:rPr>
        <w:tab/>
        <w:t>(iii)</w:t>
      </w:r>
      <w:r>
        <w:rPr>
          <w:snapToGrid w:val="0"/>
        </w:rPr>
        <w:tab/>
        <w:t>a motor home; or</w:t>
      </w:r>
    </w:p>
    <w:p w:rsidR="006724FB" w:rsidRDefault="006724FB">
      <w:pPr>
        <w:pStyle w:val="Indenti"/>
        <w:rPr>
          <w:snapToGrid w:val="0"/>
        </w:rPr>
      </w:pPr>
      <w:r>
        <w:rPr>
          <w:snapToGrid w:val="0"/>
        </w:rPr>
        <w:tab/>
        <w:t>(iv)</w:t>
      </w:r>
      <w:r>
        <w:rPr>
          <w:snapToGrid w:val="0"/>
        </w:rPr>
        <w:tab/>
        <w:t>a motor cycle; or</w:t>
      </w:r>
    </w:p>
    <w:p w:rsidR="006724FB" w:rsidRDefault="006724FB">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rsidR="006724FB" w:rsidRDefault="006724FB">
      <w:pPr>
        <w:pStyle w:val="Indenta"/>
        <w:rPr>
          <w:snapToGrid w:val="0"/>
        </w:rPr>
      </w:pPr>
      <w:r>
        <w:rPr>
          <w:snapToGrid w:val="0"/>
        </w:rPr>
        <w:tab/>
      </w:r>
      <w:r>
        <w:rPr>
          <w:snapToGrid w:val="0"/>
        </w:rPr>
        <w:tab/>
        <w:t>and</w:t>
      </w:r>
    </w:p>
    <w:p w:rsidR="006724FB" w:rsidRDefault="006724FB">
      <w:pPr>
        <w:pStyle w:val="Indenta"/>
        <w:keepNext/>
      </w:pPr>
      <w:r>
        <w:tab/>
        <w:t>(b)</w:t>
      </w:r>
      <w:r>
        <w:tab/>
        <w:t xml:space="preserve">is owned by a person whom the CEO is satisfied — </w:t>
      </w:r>
    </w:p>
    <w:p w:rsidR="006724FB" w:rsidRDefault="006724FB">
      <w:pPr>
        <w:pStyle w:val="Indenti"/>
      </w:pPr>
      <w:r>
        <w:tab/>
        <w:t>(i)</w:t>
      </w:r>
      <w:r>
        <w:tab/>
        <w:t>is the holder of a current pensioner concession card issued by the Department of Social Security, or the Department of Veteran’s Affairs, of the Commonwealth; or</w:t>
      </w:r>
    </w:p>
    <w:p w:rsidR="006724FB" w:rsidRDefault="006724FB">
      <w:pPr>
        <w:pStyle w:val="Indenti"/>
      </w:pPr>
      <w:r>
        <w:tab/>
        <w:t>(ii)</w:t>
      </w:r>
      <w:r>
        <w:tab/>
        <w:t>is the holder of both a WA Seniors Card and a Commonwealth Seniors Health Card.</w:t>
      </w:r>
    </w:p>
    <w:p w:rsidR="006724FB" w:rsidRDefault="006724FB">
      <w:pPr>
        <w:pStyle w:val="Subsection"/>
        <w:rPr>
          <w:snapToGrid w:val="0"/>
        </w:rPr>
      </w:pPr>
      <w:r>
        <w:rPr>
          <w:snapToGrid w:val="0"/>
        </w:rPr>
        <w:tab/>
        <w:t>(2)</w:t>
      </w:r>
      <w:r>
        <w:rPr>
          <w:snapToGrid w:val="0"/>
        </w:rPr>
        <w:tab/>
        <w:t>A person is not entitled to a reduction under this regulation in respect of more than one vehicle at any one time.</w:t>
      </w:r>
    </w:p>
    <w:p w:rsidR="006724FB" w:rsidRDefault="006724FB">
      <w:pPr>
        <w:pStyle w:val="Heading5"/>
        <w:spacing w:before="260"/>
      </w:pPr>
      <w:bookmarkStart w:id="141" w:name="_Toc75875622"/>
      <w:r>
        <w:rPr>
          <w:rStyle w:val="CharSectno"/>
        </w:rPr>
        <w:t>84</w:t>
      </w:r>
      <w:r>
        <w:t>.</w:t>
      </w:r>
      <w:r>
        <w:tab/>
        <w:t>Motor homes</w:t>
      </w:r>
      <w:bookmarkEnd w:id="141"/>
    </w:p>
    <w:p w:rsidR="006724FB" w:rsidRDefault="006724FB">
      <w:pPr>
        <w:pStyle w:val="Subsection"/>
        <w:keepNext/>
        <w:rPr>
          <w:snapToGrid w:val="0"/>
        </w:rPr>
      </w:pPr>
      <w:r>
        <w:rPr>
          <w:snapToGrid w:val="0"/>
        </w:rPr>
        <w:tab/>
      </w:r>
      <w:r>
        <w:rPr>
          <w:snapToGrid w:val="0"/>
        </w:rPr>
        <w:tab/>
        <w:t>The vehicle licence charge that, but for this regulation, would be payable for a motor home is reduced by 50%.</w:t>
      </w:r>
    </w:p>
    <w:p w:rsidR="006724FB" w:rsidRDefault="006724FB">
      <w:pPr>
        <w:pStyle w:val="Footnotesection"/>
      </w:pPr>
      <w:r>
        <w:tab/>
        <w:t>[Regulation 84 amended: SL 2021/37 r. 5.]</w:t>
      </w:r>
    </w:p>
    <w:p w:rsidR="006724FB" w:rsidRDefault="006724FB">
      <w:pPr>
        <w:pStyle w:val="Heading5"/>
      </w:pPr>
      <w:bookmarkStart w:id="142" w:name="_Toc75875623"/>
      <w:r>
        <w:rPr>
          <w:rStyle w:val="CharSectno"/>
        </w:rPr>
        <w:lastRenderedPageBreak/>
        <w:t>84A</w:t>
      </w:r>
      <w:r>
        <w:t>.</w:t>
      </w:r>
      <w:r>
        <w:tab/>
        <w:t>Classic vehicles</w:t>
      </w:r>
      <w:bookmarkEnd w:id="142"/>
    </w:p>
    <w:p w:rsidR="006724FB" w:rsidRDefault="006724FB">
      <w:pPr>
        <w:pStyle w:val="Subsection"/>
        <w:keepNext/>
      </w:pPr>
      <w:r>
        <w:tab/>
        <w:t>(1)</w:t>
      </w:r>
      <w:r>
        <w:tab/>
        <w:t xml:space="preserve">In this regulation — </w:t>
      </w:r>
    </w:p>
    <w:p w:rsidR="006724FB" w:rsidRDefault="006724FB">
      <w:pPr>
        <w:pStyle w:val="Defstart"/>
      </w:pPr>
      <w:r>
        <w:tab/>
      </w:r>
      <w:r>
        <w:rPr>
          <w:rStyle w:val="CharDefText"/>
        </w:rPr>
        <w:t>approved motoring organisation</w:t>
      </w:r>
      <w:r>
        <w:t xml:space="preserve"> means a body corporate approved under subregulation (4);</w:t>
      </w:r>
    </w:p>
    <w:p w:rsidR="006724FB" w:rsidRDefault="006724FB">
      <w:pPr>
        <w:pStyle w:val="Defstart"/>
        <w:keepNext/>
      </w:pPr>
      <w:r>
        <w:tab/>
      </w:r>
      <w:r>
        <w:rPr>
          <w:rStyle w:val="CharDefText"/>
        </w:rPr>
        <w:t>classic vehicle</w:t>
      </w:r>
      <w:r>
        <w:t xml:space="preserve"> means a vehicle that is — </w:t>
      </w:r>
    </w:p>
    <w:p w:rsidR="006724FB" w:rsidRDefault="006724FB">
      <w:pPr>
        <w:pStyle w:val="Defpara"/>
      </w:pPr>
      <w:r>
        <w:tab/>
        <w:t>(a)</w:t>
      </w:r>
      <w:r>
        <w:tab/>
        <w:t xml:space="preserve">a street rod vehicle; or </w:t>
      </w:r>
    </w:p>
    <w:p w:rsidR="006724FB" w:rsidRDefault="006724FB">
      <w:pPr>
        <w:pStyle w:val="Defpara"/>
      </w:pPr>
      <w:r>
        <w:tab/>
        <w:t>(b)</w:t>
      </w:r>
      <w:r>
        <w:tab/>
        <w:t xml:space="preserve">a vehicle manufactured before 1990; </w:t>
      </w:r>
    </w:p>
    <w:p w:rsidR="006724FB" w:rsidRDefault="006724FB">
      <w:pPr>
        <w:pStyle w:val="Defstart"/>
      </w:pPr>
      <w:r>
        <w:tab/>
      </w:r>
      <w:r>
        <w:rPr>
          <w:rStyle w:val="CharDefText"/>
        </w:rPr>
        <w:t>discount period</w:t>
      </w:r>
      <w:r>
        <w:t xml:space="preserve"> means the period for which a reduced charge is paid;</w:t>
      </w:r>
    </w:p>
    <w:p w:rsidR="006724FB" w:rsidRDefault="006724FB">
      <w:pPr>
        <w:pStyle w:val="Defstart"/>
      </w:pPr>
      <w:r>
        <w:tab/>
      </w:r>
      <w:r>
        <w:rPr>
          <w:rStyle w:val="CharDefText"/>
        </w:rPr>
        <w:t>financial member</w:t>
      </w:r>
      <w:r>
        <w:t xml:space="preserve">, of an approved motoring organisation, means a person who pays a membership fee to belong to the organisation; </w:t>
      </w:r>
    </w:p>
    <w:p w:rsidR="006724FB" w:rsidRDefault="006724FB">
      <w:pPr>
        <w:pStyle w:val="Defstart"/>
        <w:keepNext/>
      </w:pPr>
      <w:r>
        <w:tab/>
      </w:r>
      <w:r>
        <w:rPr>
          <w:rStyle w:val="CharDefText"/>
        </w:rPr>
        <w:t>motoring event</w:t>
      </w:r>
      <w:r>
        <w:t xml:space="preserve"> means an event — </w:t>
      </w:r>
    </w:p>
    <w:p w:rsidR="006724FB" w:rsidRDefault="006724FB">
      <w:pPr>
        <w:pStyle w:val="Defpara"/>
      </w:pPr>
      <w:r>
        <w:tab/>
        <w:t>(a)</w:t>
      </w:r>
      <w:r>
        <w:tab/>
        <w:t>held by an approved motoring organisation; or</w:t>
      </w:r>
    </w:p>
    <w:p w:rsidR="006724FB" w:rsidRDefault="006724FB">
      <w:pPr>
        <w:pStyle w:val="Defpara"/>
      </w:pPr>
      <w:r>
        <w:tab/>
        <w:t>(b)</w:t>
      </w:r>
      <w:r>
        <w:tab/>
        <w:t>held by another person and approved by an approved motoring organisation;</w:t>
      </w:r>
    </w:p>
    <w:p w:rsidR="006724FB" w:rsidRDefault="006724FB">
      <w:pPr>
        <w:pStyle w:val="Defstart"/>
      </w:pPr>
      <w:r>
        <w:tab/>
      </w:r>
      <w:r>
        <w:rPr>
          <w:rStyle w:val="CharDefText"/>
        </w:rPr>
        <w:t>reduced charge</w:t>
      </w:r>
      <w:r>
        <w:t xml:space="preserve"> means a vehicle licence charge reduced in accordance with subregulation (2).</w:t>
      </w:r>
    </w:p>
    <w:p w:rsidR="006724FB" w:rsidRDefault="006724FB">
      <w:pPr>
        <w:pStyle w:val="Subsection"/>
        <w:keepNext/>
        <w:rPr>
          <w:snapToGrid w:val="0"/>
        </w:rPr>
      </w:pPr>
      <w:r>
        <w:rPr>
          <w:snapToGrid w:val="0"/>
        </w:rPr>
        <w:tab/>
        <w:t>(2)</w:t>
      </w:r>
      <w:r>
        <w:rPr>
          <w:snapToGrid w:val="0"/>
        </w:rPr>
        <w:tab/>
        <w:t xml:space="preserve">The vehicle licence charge that, but for this regulation, would be payable for a classic vehicle is reduced by 75% if — </w:t>
      </w:r>
    </w:p>
    <w:p w:rsidR="006724FB" w:rsidRDefault="006724FB">
      <w:pPr>
        <w:pStyle w:val="Indenta"/>
      </w:pPr>
      <w:r>
        <w:tab/>
        <w:t>(a)</w:t>
      </w:r>
      <w:r>
        <w:tab/>
      </w:r>
      <w:r>
        <w:rPr>
          <w:snapToGrid w:val="0"/>
        </w:rPr>
        <w:t>the vehicle</w:t>
      </w:r>
      <w:r>
        <w:t xml:space="preserve"> is a light vehicle; and</w:t>
      </w:r>
    </w:p>
    <w:p w:rsidR="006724FB" w:rsidRDefault="006724FB">
      <w:pPr>
        <w:pStyle w:val="Indenta"/>
        <w:keepNext/>
      </w:pPr>
      <w:r>
        <w:tab/>
        <w:t>(b)</w:t>
      </w:r>
      <w:r>
        <w:tab/>
        <w:t xml:space="preserve">the vehicle is owned by — </w:t>
      </w:r>
    </w:p>
    <w:p w:rsidR="006724FB" w:rsidRDefault="006724FB">
      <w:pPr>
        <w:pStyle w:val="Indenti"/>
      </w:pPr>
      <w:r>
        <w:tab/>
        <w:t>(i)</w:t>
      </w:r>
      <w:r>
        <w:tab/>
        <w:t>an approved motoring organisation; or</w:t>
      </w:r>
    </w:p>
    <w:p w:rsidR="006724FB" w:rsidRDefault="006724FB">
      <w:pPr>
        <w:pStyle w:val="Indenti"/>
      </w:pPr>
      <w:r>
        <w:tab/>
        <w:t>(ii)</w:t>
      </w:r>
      <w:r>
        <w:tab/>
        <w:t>a person who the CEO is satisfied will be a financial member of an approved motoring organisation for the duration of the discount period;</w:t>
      </w:r>
    </w:p>
    <w:p w:rsidR="006724FB" w:rsidRDefault="006724FB">
      <w:pPr>
        <w:pStyle w:val="Indenta"/>
      </w:pPr>
      <w:r>
        <w:tab/>
      </w:r>
      <w:r>
        <w:tab/>
        <w:t>and</w:t>
      </w:r>
    </w:p>
    <w:p w:rsidR="006724FB" w:rsidRDefault="006724FB">
      <w:pPr>
        <w:pStyle w:val="Indenta"/>
        <w:keepNext/>
      </w:pPr>
      <w:r>
        <w:lastRenderedPageBreak/>
        <w:tab/>
        <w:t>(c)</w:t>
      </w:r>
      <w:r>
        <w:tab/>
        <w:t xml:space="preserve">the CEO is satisfied the vehicle will not be used — </w:t>
      </w:r>
    </w:p>
    <w:p w:rsidR="006724FB" w:rsidRDefault="006724FB">
      <w:pPr>
        <w:pStyle w:val="Indenti"/>
      </w:pPr>
      <w:r>
        <w:tab/>
        <w:t>(i)</w:t>
      </w:r>
      <w:r>
        <w:tab/>
        <w:t>at motoring events on more than 60 days in a calendar year in which the whole or a part of the discount period occurs; and</w:t>
      </w:r>
    </w:p>
    <w:p w:rsidR="006724FB" w:rsidRDefault="006724FB">
      <w:pPr>
        <w:pStyle w:val="Indenti"/>
      </w:pPr>
      <w:r>
        <w:tab/>
        <w:t>(ii)</w:t>
      </w:r>
      <w:r>
        <w:tab/>
        <w:t>for other purposes (including for testing, maintenance or repair) on more than 30 days in a calendar year in which the whole or a part of the discount period occurs.</w:t>
      </w:r>
    </w:p>
    <w:p w:rsidR="006724FB" w:rsidRDefault="006724FB">
      <w:pPr>
        <w:pStyle w:val="Subsection"/>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rsidR="006724FB" w:rsidRDefault="006724FB">
      <w:pPr>
        <w:pStyle w:val="Subsection"/>
      </w:pPr>
      <w:r>
        <w:tab/>
        <w:t>(4)</w:t>
      </w:r>
      <w:r>
        <w:tab/>
        <w:t xml:space="preserve">The CEO may approve a body corporate as an approved motoring organisation if the CEO is satisfied that the body corporate’s operations include offering membership to persons who own classic vehicles. </w:t>
      </w:r>
    </w:p>
    <w:p w:rsidR="006724FB" w:rsidRDefault="006724FB">
      <w:pPr>
        <w:pStyle w:val="Subsection"/>
      </w:pPr>
      <w:r>
        <w:tab/>
        <w:t>(5)</w:t>
      </w:r>
      <w:r>
        <w:tab/>
        <w:t>The CEO may approve a label to be displayed on a classic vehicle for which a reduced charge is paid.</w:t>
      </w:r>
    </w:p>
    <w:p w:rsidR="006724FB" w:rsidRDefault="006724FB">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rsidR="006724FB" w:rsidRDefault="006724FB">
      <w:pPr>
        <w:pStyle w:val="Indenta"/>
      </w:pPr>
      <w:r>
        <w:tab/>
        <w:t>(a)</w:t>
      </w:r>
      <w:r>
        <w:tab/>
        <w:t>displayed in a conspicuous place on the vehicle; and</w:t>
      </w:r>
    </w:p>
    <w:p w:rsidR="006724FB" w:rsidRDefault="006724FB">
      <w:pPr>
        <w:pStyle w:val="Indenta"/>
        <w:keepNext/>
      </w:pPr>
      <w:r>
        <w:tab/>
        <w:t>(b)</w:t>
      </w:r>
      <w:r>
        <w:tab/>
        <w:t xml:space="preserve">unobscured. </w:t>
      </w:r>
    </w:p>
    <w:p w:rsidR="006724FB" w:rsidRDefault="006724FB">
      <w:pPr>
        <w:pStyle w:val="Penstart"/>
        <w:keepNext/>
      </w:pPr>
      <w:r>
        <w:tab/>
        <w:t>Penalty for this subregulation: a fine of 10 PU.</w:t>
      </w:r>
    </w:p>
    <w:p w:rsidR="006724FB" w:rsidRDefault="006724FB">
      <w:pPr>
        <w:pStyle w:val="Penstart"/>
        <w:keepNext/>
      </w:pPr>
      <w:r>
        <w:tab/>
        <w:t>Modified penalty for this subregulation: 4 PU.</w:t>
      </w:r>
    </w:p>
    <w:p w:rsidR="006724FB" w:rsidRDefault="006724FB">
      <w:pPr>
        <w:pStyle w:val="Footnotesection"/>
      </w:pPr>
      <w:r>
        <w:tab/>
        <w:t>[Regulation 84A inserted: SL 2021/37 r. 6.]</w:t>
      </w:r>
    </w:p>
    <w:p w:rsidR="006724FB" w:rsidRDefault="006724FB">
      <w:pPr>
        <w:pStyle w:val="Heading5"/>
      </w:pPr>
      <w:bookmarkStart w:id="143" w:name="_Toc75875624"/>
      <w:r>
        <w:rPr>
          <w:rStyle w:val="CharSectno"/>
        </w:rPr>
        <w:t>85</w:t>
      </w:r>
      <w:r>
        <w:t>.</w:t>
      </w:r>
      <w:r>
        <w:tab/>
        <w:t>Reductions not cumulative</w:t>
      </w:r>
      <w:bookmarkEnd w:id="143"/>
    </w:p>
    <w:p w:rsidR="006724FB" w:rsidRDefault="006724FB">
      <w:pPr>
        <w:pStyle w:val="Subsection"/>
      </w:pPr>
      <w:r>
        <w:tab/>
        <w:t>(1)</w:t>
      </w:r>
      <w:r>
        <w:tab/>
        <w:t xml:space="preserve">Subject to subregulation (3), only one reduction under this Subdivision is to be applied to the </w:t>
      </w:r>
      <w:r>
        <w:rPr>
          <w:snapToGrid w:val="0"/>
        </w:rPr>
        <w:t>vehicle licence charge</w:t>
      </w:r>
      <w:r>
        <w:t xml:space="preserve"> of a vehicle for any year.</w:t>
      </w:r>
    </w:p>
    <w:p w:rsidR="006724FB" w:rsidRDefault="006724FB">
      <w:pPr>
        <w:pStyle w:val="Subsection"/>
      </w:pPr>
      <w:r>
        <w:lastRenderedPageBreak/>
        <w:tab/>
        <w:t>(2)</w:t>
      </w:r>
      <w:r>
        <w:tab/>
        <w:t>If a vehicle qualifies for 2 or more reductions under this Subdivision, the owner of the vehicle may choose which one is to be applied.</w:t>
      </w:r>
    </w:p>
    <w:p w:rsidR="006724FB" w:rsidRDefault="006724FB">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rsidR="006724FB" w:rsidRDefault="006724FB">
      <w:pPr>
        <w:pStyle w:val="Footnotesection"/>
      </w:pPr>
      <w:r>
        <w:tab/>
        <w:t>[Regulation 85 amended: SL 2021/37 r. 7.]</w:t>
      </w:r>
    </w:p>
    <w:p w:rsidR="006724FB" w:rsidRDefault="006724FB">
      <w:pPr>
        <w:pStyle w:val="Heading3"/>
      </w:pPr>
      <w:bookmarkStart w:id="144" w:name="_Toc75419702"/>
      <w:bookmarkStart w:id="145" w:name="_Toc75427037"/>
      <w:bookmarkStart w:id="146" w:name="_Toc75872453"/>
      <w:bookmarkStart w:id="147" w:name="_Toc75875625"/>
      <w:r>
        <w:rPr>
          <w:rStyle w:val="CharDivNo"/>
        </w:rPr>
        <w:t>Division 8</w:t>
      </w:r>
      <w:r>
        <w:t> — </w:t>
      </w:r>
      <w:r>
        <w:rPr>
          <w:rStyle w:val="CharDivText"/>
        </w:rPr>
        <w:t>Fees relating to vehicle licensing</w:t>
      </w:r>
      <w:bookmarkEnd w:id="144"/>
      <w:bookmarkEnd w:id="145"/>
      <w:bookmarkEnd w:id="146"/>
      <w:bookmarkEnd w:id="147"/>
    </w:p>
    <w:p w:rsidR="006724FB" w:rsidRDefault="006724FB">
      <w:pPr>
        <w:pStyle w:val="Heading4"/>
      </w:pPr>
      <w:bookmarkStart w:id="148" w:name="_Toc75419703"/>
      <w:bookmarkStart w:id="149" w:name="_Toc75427038"/>
      <w:bookmarkStart w:id="150" w:name="_Toc75872454"/>
      <w:bookmarkStart w:id="151" w:name="_Toc75875626"/>
      <w:r>
        <w:t>Subdivision 1 — Vehicle examination fees</w:t>
      </w:r>
      <w:bookmarkEnd w:id="148"/>
      <w:bookmarkEnd w:id="149"/>
      <w:bookmarkEnd w:id="150"/>
      <w:bookmarkEnd w:id="151"/>
    </w:p>
    <w:p w:rsidR="006724FB" w:rsidRDefault="006724FB">
      <w:pPr>
        <w:pStyle w:val="Heading5"/>
      </w:pPr>
      <w:bookmarkStart w:id="152" w:name="_Toc75875627"/>
      <w:r>
        <w:rPr>
          <w:rStyle w:val="CharSectno"/>
        </w:rPr>
        <w:t>86</w:t>
      </w:r>
      <w:r>
        <w:t>.</w:t>
      </w:r>
      <w:r>
        <w:tab/>
        <w:t>Terms used</w:t>
      </w:r>
      <w:bookmarkEnd w:id="152"/>
    </w:p>
    <w:p w:rsidR="006724FB" w:rsidRDefault="006724FB">
      <w:pPr>
        <w:pStyle w:val="Subsection"/>
      </w:pPr>
      <w:r>
        <w:tab/>
      </w:r>
      <w:r>
        <w:tab/>
        <w:t xml:space="preserve">In this Subdivision — </w:t>
      </w:r>
    </w:p>
    <w:p w:rsidR="006724FB" w:rsidRDefault="006724FB">
      <w:pPr>
        <w:pStyle w:val="Defstart"/>
      </w:pPr>
      <w:r>
        <w:rPr>
          <w:b/>
        </w:rPr>
        <w:tab/>
      </w:r>
      <w:r>
        <w:rPr>
          <w:rStyle w:val="CharDefText"/>
        </w:rPr>
        <w:t>motor carrier</w:t>
      </w:r>
      <w:r>
        <w:t xml:space="preserve"> </w:t>
      </w:r>
      <w:r>
        <w:rPr>
          <w:bCs/>
        </w:rPr>
        <w:t>means</w:t>
      </w:r>
      <w:r>
        <w:t xml:space="preserve"> a —</w:t>
      </w:r>
    </w:p>
    <w:p w:rsidR="006724FB" w:rsidRDefault="006724FB">
      <w:pPr>
        <w:pStyle w:val="Defpara"/>
      </w:pPr>
      <w:r>
        <w:tab/>
        <w:t>(a)</w:t>
      </w:r>
      <w:r>
        <w:tab/>
        <w:t>motor vehicle that —</w:t>
      </w:r>
    </w:p>
    <w:p w:rsidR="006724FB" w:rsidRDefault="006724FB">
      <w:pPr>
        <w:pStyle w:val="Defsubpara"/>
      </w:pPr>
      <w:r>
        <w:tab/>
        <w:t>(i)</w:t>
      </w:r>
      <w:r>
        <w:tab/>
        <w:t>is designed to travel on 3 wheels; and</w:t>
      </w:r>
    </w:p>
    <w:p w:rsidR="006724FB" w:rsidRDefault="006724FB">
      <w:pPr>
        <w:pStyle w:val="Defsubpara"/>
      </w:pPr>
      <w:r>
        <w:tab/>
        <w:t>(ii)</w:t>
      </w:r>
      <w:r>
        <w:tab/>
        <w:t>has an unladen mass of not more than 1 016 kg; and</w:t>
      </w:r>
    </w:p>
    <w:p w:rsidR="006724FB" w:rsidRDefault="006724FB">
      <w:pPr>
        <w:pStyle w:val="Defsubpara"/>
      </w:pPr>
      <w:r>
        <w:tab/>
        <w:t>(iii)</w:t>
      </w:r>
      <w:r>
        <w:tab/>
        <w:t>is designed with a significant portion of its steering mechanism and other controls similar to those of a motor cycle;</w:t>
      </w:r>
    </w:p>
    <w:p w:rsidR="006724FB" w:rsidRDefault="006724FB">
      <w:pPr>
        <w:pStyle w:val="Defpara"/>
      </w:pPr>
      <w:r>
        <w:tab/>
      </w:r>
      <w:r>
        <w:tab/>
        <w:t>or</w:t>
      </w:r>
    </w:p>
    <w:p w:rsidR="006724FB" w:rsidRDefault="006724FB">
      <w:pPr>
        <w:pStyle w:val="Defpara"/>
      </w:pPr>
      <w:r>
        <w:tab/>
        <w:t>(b)</w:t>
      </w:r>
      <w:r>
        <w:tab/>
        <w:t>motorised wheelchair other than a motorised wheelchair that is designed so as not to be capable of a speed exceeding 10 km/h;</w:t>
      </w:r>
    </w:p>
    <w:p w:rsidR="006724FB" w:rsidRDefault="006724FB">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rsidR="006724FB" w:rsidRDefault="006724FB">
      <w:pPr>
        <w:pStyle w:val="Heading5"/>
      </w:pPr>
      <w:bookmarkStart w:id="153" w:name="_Toc75875628"/>
      <w:r>
        <w:rPr>
          <w:rStyle w:val="CharSectno"/>
        </w:rPr>
        <w:lastRenderedPageBreak/>
        <w:t>87</w:t>
      </w:r>
      <w:r>
        <w:t>.</w:t>
      </w:r>
      <w:r>
        <w:tab/>
        <w:t>Fees for vehicle examinations in non</w:t>
      </w:r>
      <w:r>
        <w:noBreakHyphen/>
        <w:t>regional areas</w:t>
      </w:r>
      <w:bookmarkEnd w:id="153"/>
    </w:p>
    <w:p w:rsidR="006724FB" w:rsidRDefault="006724FB">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rsidR="006724FB" w:rsidRDefault="006724FB">
      <w:pPr>
        <w:pStyle w:val="Subsection"/>
      </w:pPr>
      <w:r>
        <w:tab/>
        <w:t>(2)</w:t>
      </w:r>
      <w:r>
        <w:tab/>
        <w:t>This regulation applies only if the examination is conducted in a place other than a region mentioned in this Division.</w:t>
      </w:r>
    </w:p>
    <w:p w:rsidR="00D34E84" w:rsidRDefault="00D34E84" w:rsidP="00D34E84">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D34E84" w:rsidTr="006C5153">
        <w:trPr>
          <w:tblHeader/>
        </w:trPr>
        <w:tc>
          <w:tcPr>
            <w:tcW w:w="2409" w:type="dxa"/>
            <w:noWrap/>
          </w:tcPr>
          <w:p w:rsidR="00D34E84" w:rsidRDefault="00D34E84" w:rsidP="006C5153">
            <w:pPr>
              <w:pStyle w:val="TableNAm"/>
              <w:jc w:val="center"/>
              <w:rPr>
                <w:b/>
              </w:rPr>
            </w:pPr>
            <w:r>
              <w:rPr>
                <w:b/>
              </w:rPr>
              <w:t>Vehicle</w:t>
            </w:r>
          </w:p>
        </w:tc>
        <w:tc>
          <w:tcPr>
            <w:tcW w:w="1701" w:type="dxa"/>
            <w:noWrap/>
          </w:tcPr>
          <w:p w:rsidR="00D34E84" w:rsidRDefault="00D34E84" w:rsidP="006C5153">
            <w:pPr>
              <w:pStyle w:val="TableNAm"/>
              <w:jc w:val="center"/>
              <w:rPr>
                <w:b/>
              </w:rPr>
            </w:pPr>
            <w:r>
              <w:rPr>
                <w:b/>
              </w:rPr>
              <w:t>First examination</w:t>
            </w:r>
            <w:r>
              <w:rPr>
                <w:b/>
              </w:rPr>
              <w:br/>
              <w:t>($)</w:t>
            </w:r>
          </w:p>
        </w:tc>
        <w:tc>
          <w:tcPr>
            <w:tcW w:w="1701" w:type="dxa"/>
            <w:noWrap/>
          </w:tcPr>
          <w:p w:rsidR="00D34E84" w:rsidRDefault="00D34E84" w:rsidP="006C5153">
            <w:pPr>
              <w:pStyle w:val="TableNAm"/>
              <w:jc w:val="center"/>
              <w:rPr>
                <w:b/>
              </w:rPr>
            </w:pPr>
            <w:r>
              <w:rPr>
                <w:b/>
              </w:rPr>
              <w:t>Subsequent examination</w:t>
            </w:r>
            <w:r>
              <w:rPr>
                <w:b/>
              </w:rPr>
              <w:br/>
              <w:t>($)</w:t>
            </w:r>
          </w:p>
        </w:tc>
      </w:tr>
      <w:tr w:rsidR="00D34E84" w:rsidTr="006C5153">
        <w:tc>
          <w:tcPr>
            <w:tcW w:w="2409" w:type="dxa"/>
            <w:noWrap/>
          </w:tcPr>
          <w:p w:rsidR="00D34E84" w:rsidRDefault="00D34E84" w:rsidP="006C5153">
            <w:pPr>
              <w:pStyle w:val="TableNAm"/>
            </w:pPr>
            <w:r>
              <w:t>Trailer without brakes, motor cycle, motor carrier</w:t>
            </w:r>
          </w:p>
        </w:tc>
        <w:tc>
          <w:tcPr>
            <w:tcW w:w="1701" w:type="dxa"/>
            <w:noWrap/>
            <w:vAlign w:val="bottom"/>
          </w:tcPr>
          <w:p w:rsidR="00D34E84" w:rsidRDefault="00D34E84" w:rsidP="006C5153">
            <w:pPr>
              <w:pStyle w:val="TableNAm"/>
            </w:pPr>
            <w:r>
              <w:t>135.80</w:t>
            </w:r>
          </w:p>
        </w:tc>
        <w:tc>
          <w:tcPr>
            <w:tcW w:w="1701" w:type="dxa"/>
            <w:noWrap/>
            <w:vAlign w:val="bottom"/>
          </w:tcPr>
          <w:p w:rsidR="00D34E84" w:rsidRDefault="00D34E84" w:rsidP="006C5153">
            <w:pPr>
              <w:pStyle w:val="TableNAm"/>
            </w:pPr>
            <w:r>
              <w:t>105.00</w:t>
            </w:r>
          </w:p>
        </w:tc>
      </w:tr>
      <w:tr w:rsidR="00D34E84" w:rsidTr="006C5153">
        <w:tc>
          <w:tcPr>
            <w:tcW w:w="2409" w:type="dxa"/>
            <w:noWrap/>
          </w:tcPr>
          <w:p w:rsidR="00D34E84" w:rsidRDefault="00D34E84" w:rsidP="006C5153">
            <w:pPr>
              <w:pStyle w:val="TableNAm"/>
            </w:pPr>
            <w:r>
              <w:t>Heavy vehicle examined at an inspection station</w:t>
            </w:r>
          </w:p>
        </w:tc>
        <w:tc>
          <w:tcPr>
            <w:tcW w:w="1701" w:type="dxa"/>
            <w:noWrap/>
            <w:vAlign w:val="bottom"/>
          </w:tcPr>
          <w:p w:rsidR="00D34E84" w:rsidRDefault="00D34E84" w:rsidP="006C5153">
            <w:pPr>
              <w:pStyle w:val="TableNAm"/>
            </w:pPr>
            <w:r>
              <w:t>195.40</w:t>
            </w:r>
          </w:p>
        </w:tc>
        <w:tc>
          <w:tcPr>
            <w:tcW w:w="1701" w:type="dxa"/>
            <w:noWrap/>
            <w:vAlign w:val="bottom"/>
          </w:tcPr>
          <w:p w:rsidR="00D34E84" w:rsidRDefault="00D34E84" w:rsidP="006C5153">
            <w:pPr>
              <w:pStyle w:val="TableNAm"/>
            </w:pPr>
            <w:r>
              <w:t>136.80</w:t>
            </w:r>
          </w:p>
        </w:tc>
      </w:tr>
      <w:tr w:rsidR="00D34E84" w:rsidTr="006C5153">
        <w:tc>
          <w:tcPr>
            <w:tcW w:w="2409" w:type="dxa"/>
            <w:noWrap/>
          </w:tcPr>
          <w:p w:rsidR="00D34E84" w:rsidRDefault="00D34E84" w:rsidP="006C5153">
            <w:pPr>
              <w:pStyle w:val="TableNAm"/>
            </w:pPr>
            <w:r>
              <w:t>Heavy vehicle examined at a place other than an inspection station</w:t>
            </w:r>
          </w:p>
        </w:tc>
        <w:tc>
          <w:tcPr>
            <w:tcW w:w="1701" w:type="dxa"/>
            <w:noWrap/>
            <w:vAlign w:val="bottom"/>
          </w:tcPr>
          <w:p w:rsidR="00D34E84" w:rsidRDefault="00D34E84" w:rsidP="006C5153">
            <w:pPr>
              <w:pStyle w:val="TableNAm"/>
            </w:pPr>
            <w:r>
              <w:t>240.05</w:t>
            </w:r>
          </w:p>
        </w:tc>
        <w:tc>
          <w:tcPr>
            <w:tcW w:w="1701" w:type="dxa"/>
            <w:noWrap/>
            <w:vAlign w:val="bottom"/>
          </w:tcPr>
          <w:p w:rsidR="00D34E84" w:rsidRDefault="00D34E84" w:rsidP="006C5153">
            <w:pPr>
              <w:pStyle w:val="TableNAm"/>
            </w:pPr>
            <w:r>
              <w:t>180.20</w:t>
            </w:r>
          </w:p>
        </w:tc>
      </w:tr>
      <w:tr w:rsidR="00D34E84" w:rsidTr="006C5153">
        <w:tc>
          <w:tcPr>
            <w:tcW w:w="2409" w:type="dxa"/>
            <w:noWrap/>
          </w:tcPr>
          <w:p w:rsidR="00D34E84" w:rsidRDefault="00D34E84" w:rsidP="006C5153">
            <w:pPr>
              <w:pStyle w:val="TableNAm"/>
            </w:pPr>
            <w:r>
              <w:t>All other vehicles</w:t>
            </w:r>
          </w:p>
        </w:tc>
        <w:tc>
          <w:tcPr>
            <w:tcW w:w="1701" w:type="dxa"/>
            <w:noWrap/>
            <w:vAlign w:val="bottom"/>
          </w:tcPr>
          <w:p w:rsidR="00D34E84" w:rsidRDefault="00D34E84" w:rsidP="006C5153">
            <w:pPr>
              <w:pStyle w:val="TableNAm"/>
            </w:pPr>
            <w:r>
              <w:t>162.30</w:t>
            </w:r>
          </w:p>
        </w:tc>
        <w:tc>
          <w:tcPr>
            <w:tcW w:w="1701" w:type="dxa"/>
            <w:noWrap/>
            <w:vAlign w:val="bottom"/>
          </w:tcPr>
          <w:p w:rsidR="00D34E84" w:rsidRDefault="00D34E84" w:rsidP="006C5153">
            <w:pPr>
              <w:pStyle w:val="TableNAm"/>
            </w:pPr>
            <w:r>
              <w:t>105.00</w:t>
            </w:r>
          </w:p>
        </w:tc>
      </w:tr>
    </w:tbl>
    <w:p w:rsidR="006724FB" w:rsidRDefault="006724FB">
      <w:pPr>
        <w:pStyle w:val="Footnotesection"/>
      </w:pPr>
      <w:r>
        <w:tab/>
        <w:t>[Regulation 87 amended: Gazette 12 Jun 2015 p. 2037; 14 Jun 2016 p. 1996; 23 Jun 2017 p. 3261; 22 Jun 2018 p. 2186; 31 May 2019 p. 1724; SL 2020/74 r. 9</w:t>
      </w:r>
      <w:r w:rsidR="00D34E84">
        <w:t>; SL 2021/92 r. 10</w:t>
      </w:r>
      <w:r>
        <w:t>.]</w:t>
      </w:r>
    </w:p>
    <w:p w:rsidR="006724FB" w:rsidRDefault="006724FB">
      <w:pPr>
        <w:pStyle w:val="Heading5"/>
      </w:pPr>
      <w:bookmarkStart w:id="154" w:name="_Toc75875629"/>
      <w:r>
        <w:rPr>
          <w:rStyle w:val="CharSectno"/>
        </w:rPr>
        <w:t>88</w:t>
      </w:r>
      <w:r>
        <w:t>.</w:t>
      </w:r>
      <w:r>
        <w:tab/>
        <w:t>Fees for vehicle examination in the Gascoyne region</w:t>
      </w:r>
      <w:bookmarkEnd w:id="154"/>
    </w:p>
    <w:p w:rsidR="006724FB" w:rsidRDefault="006724FB">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rsidR="00D34E84" w:rsidRDefault="00D34E84" w:rsidP="00D34E84">
      <w:pPr>
        <w:pStyle w:val="THeadingNAm"/>
      </w:pPr>
      <w:r>
        <w:lastRenderedPageBreak/>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D34E84" w:rsidTr="006C5153">
        <w:trPr>
          <w:cantSplit/>
          <w:tblHeader/>
        </w:trPr>
        <w:tc>
          <w:tcPr>
            <w:tcW w:w="2409" w:type="dxa"/>
            <w:noWrap/>
          </w:tcPr>
          <w:p w:rsidR="00D34E84" w:rsidRDefault="00D34E84" w:rsidP="006C5153">
            <w:pPr>
              <w:pStyle w:val="TableNAm"/>
              <w:jc w:val="center"/>
              <w:rPr>
                <w:b/>
              </w:rPr>
            </w:pPr>
            <w:r>
              <w:rPr>
                <w:b/>
              </w:rPr>
              <w:t>Vehicle</w:t>
            </w:r>
          </w:p>
        </w:tc>
        <w:tc>
          <w:tcPr>
            <w:tcW w:w="1701" w:type="dxa"/>
            <w:noWrap/>
          </w:tcPr>
          <w:p w:rsidR="00D34E84" w:rsidRDefault="00D34E84" w:rsidP="006C5153">
            <w:pPr>
              <w:pStyle w:val="TableNAm"/>
              <w:jc w:val="center"/>
              <w:rPr>
                <w:b/>
              </w:rPr>
            </w:pPr>
            <w:r>
              <w:rPr>
                <w:b/>
              </w:rPr>
              <w:t>First examination</w:t>
            </w:r>
            <w:r>
              <w:rPr>
                <w:b/>
              </w:rPr>
              <w:br/>
              <w:t>($)</w:t>
            </w:r>
          </w:p>
        </w:tc>
        <w:tc>
          <w:tcPr>
            <w:tcW w:w="1701" w:type="dxa"/>
            <w:noWrap/>
          </w:tcPr>
          <w:p w:rsidR="00D34E84" w:rsidRDefault="00D34E84" w:rsidP="006C5153">
            <w:pPr>
              <w:pStyle w:val="TableNAm"/>
              <w:jc w:val="center"/>
              <w:rPr>
                <w:b/>
              </w:rPr>
            </w:pPr>
            <w:r>
              <w:rPr>
                <w:b/>
              </w:rPr>
              <w:t>Subsequent examination</w:t>
            </w:r>
            <w:r>
              <w:rPr>
                <w:b/>
              </w:rPr>
              <w:br/>
              <w:t>($)</w:t>
            </w:r>
          </w:p>
        </w:tc>
      </w:tr>
      <w:tr w:rsidR="00D34E84" w:rsidTr="006C5153">
        <w:trPr>
          <w:cantSplit/>
        </w:trPr>
        <w:tc>
          <w:tcPr>
            <w:tcW w:w="2409" w:type="dxa"/>
            <w:noWrap/>
          </w:tcPr>
          <w:p w:rsidR="00D34E84" w:rsidRDefault="00D34E84" w:rsidP="006C5153">
            <w:pPr>
              <w:pStyle w:val="TableNAm"/>
            </w:pPr>
            <w:r>
              <w:t>Trailer without brakes, motor cycle, motor carrier</w:t>
            </w:r>
          </w:p>
        </w:tc>
        <w:tc>
          <w:tcPr>
            <w:tcW w:w="1701" w:type="dxa"/>
            <w:noWrap/>
            <w:vAlign w:val="bottom"/>
          </w:tcPr>
          <w:p w:rsidR="00D34E84" w:rsidRDefault="00D34E84" w:rsidP="006C5153">
            <w:pPr>
              <w:pStyle w:val="TableNAm"/>
            </w:pPr>
            <w:r>
              <w:t>142.90</w:t>
            </w:r>
          </w:p>
        </w:tc>
        <w:tc>
          <w:tcPr>
            <w:tcW w:w="1701" w:type="dxa"/>
            <w:noWrap/>
            <w:vAlign w:val="bottom"/>
          </w:tcPr>
          <w:p w:rsidR="00D34E84" w:rsidRDefault="00D34E84" w:rsidP="006C5153">
            <w:pPr>
              <w:pStyle w:val="TableNAm"/>
            </w:pPr>
            <w:r>
              <w:t>109.95</w:t>
            </w:r>
          </w:p>
        </w:tc>
      </w:tr>
      <w:tr w:rsidR="00D34E84" w:rsidTr="006C5153">
        <w:trPr>
          <w:cantSplit/>
        </w:trPr>
        <w:tc>
          <w:tcPr>
            <w:tcW w:w="2409" w:type="dxa"/>
            <w:noWrap/>
          </w:tcPr>
          <w:p w:rsidR="00D34E84" w:rsidRDefault="00D34E84" w:rsidP="006C5153">
            <w:pPr>
              <w:pStyle w:val="TableNAm"/>
            </w:pPr>
            <w:r>
              <w:t>Heavy vehicle</w:t>
            </w:r>
          </w:p>
        </w:tc>
        <w:tc>
          <w:tcPr>
            <w:tcW w:w="1701" w:type="dxa"/>
            <w:noWrap/>
            <w:vAlign w:val="bottom"/>
          </w:tcPr>
          <w:p w:rsidR="00D34E84" w:rsidRDefault="00D34E84" w:rsidP="006C5153">
            <w:pPr>
              <w:pStyle w:val="TableNAm"/>
            </w:pPr>
            <w:r>
              <w:t>206.65</w:t>
            </w:r>
          </w:p>
        </w:tc>
        <w:tc>
          <w:tcPr>
            <w:tcW w:w="1701" w:type="dxa"/>
            <w:noWrap/>
            <w:vAlign w:val="bottom"/>
          </w:tcPr>
          <w:p w:rsidR="00D34E84" w:rsidRDefault="00D34E84" w:rsidP="006C5153">
            <w:pPr>
              <w:pStyle w:val="TableNAm"/>
            </w:pPr>
            <w:r>
              <w:t>143.95</w:t>
            </w:r>
          </w:p>
        </w:tc>
      </w:tr>
      <w:tr w:rsidR="00D34E84" w:rsidTr="006C5153">
        <w:trPr>
          <w:cantSplit/>
        </w:trPr>
        <w:tc>
          <w:tcPr>
            <w:tcW w:w="2409" w:type="dxa"/>
            <w:noWrap/>
          </w:tcPr>
          <w:p w:rsidR="00D34E84" w:rsidRDefault="00D34E84" w:rsidP="006C5153">
            <w:pPr>
              <w:pStyle w:val="TableNAm"/>
            </w:pPr>
            <w:r>
              <w:t>All other vehicles</w:t>
            </w:r>
          </w:p>
        </w:tc>
        <w:tc>
          <w:tcPr>
            <w:tcW w:w="1701" w:type="dxa"/>
            <w:noWrap/>
            <w:vAlign w:val="bottom"/>
          </w:tcPr>
          <w:p w:rsidR="00D34E84" w:rsidRDefault="00D34E84" w:rsidP="006C5153">
            <w:pPr>
              <w:pStyle w:val="TableNAm"/>
            </w:pPr>
            <w:r>
              <w:t>171.25</w:t>
            </w:r>
          </w:p>
        </w:tc>
        <w:tc>
          <w:tcPr>
            <w:tcW w:w="1701" w:type="dxa"/>
            <w:noWrap/>
            <w:vAlign w:val="bottom"/>
          </w:tcPr>
          <w:p w:rsidR="00D34E84" w:rsidRDefault="00D34E84" w:rsidP="006C5153">
            <w:pPr>
              <w:pStyle w:val="TableNAm"/>
            </w:pPr>
            <w:r>
              <w:t>109.95</w:t>
            </w:r>
          </w:p>
        </w:tc>
      </w:tr>
    </w:tbl>
    <w:p w:rsidR="006724FB" w:rsidRDefault="006724FB">
      <w:pPr>
        <w:pStyle w:val="Footnotesection"/>
      </w:pPr>
      <w:r>
        <w:tab/>
        <w:t>[Regulation 88 amended: Gazette 12 Jun 2015 p. 2037; 14 Jun 2016 p. 1996-7; 23 Jun 2017 p. 3262; 22 Jun 2018 p. 2187; 31 May 2019 p. 1724; SL 2020/74 r. 9</w:t>
      </w:r>
      <w:r w:rsidR="00D34E84">
        <w:t>; SL 2021/92 r. 11</w:t>
      </w:r>
      <w:r>
        <w:t>.]</w:t>
      </w:r>
    </w:p>
    <w:p w:rsidR="006724FB" w:rsidRDefault="006724FB">
      <w:pPr>
        <w:pStyle w:val="Heading5"/>
      </w:pPr>
      <w:bookmarkStart w:id="155" w:name="_Toc75875630"/>
      <w:r>
        <w:rPr>
          <w:rStyle w:val="CharSectno"/>
        </w:rPr>
        <w:t>89</w:t>
      </w:r>
      <w:r>
        <w:t>.</w:t>
      </w:r>
      <w:r>
        <w:tab/>
        <w:t>Fees for vehicle examination in the Goldfields</w:t>
      </w:r>
      <w:r>
        <w:noBreakHyphen/>
        <w:t>Esperance region</w:t>
      </w:r>
      <w:bookmarkEnd w:id="155"/>
    </w:p>
    <w:p w:rsidR="006724FB" w:rsidRDefault="006724FB">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rsidR="00D34E84" w:rsidRDefault="00D34E84" w:rsidP="00D34E84">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D34E84" w:rsidTr="006C5153">
        <w:trPr>
          <w:tblHeader/>
        </w:trPr>
        <w:tc>
          <w:tcPr>
            <w:tcW w:w="2409" w:type="dxa"/>
            <w:noWrap/>
          </w:tcPr>
          <w:p w:rsidR="00D34E84" w:rsidRDefault="00D34E84" w:rsidP="006C5153">
            <w:pPr>
              <w:pStyle w:val="TableNAm"/>
              <w:jc w:val="center"/>
              <w:rPr>
                <w:b/>
              </w:rPr>
            </w:pPr>
            <w:r>
              <w:rPr>
                <w:b/>
              </w:rPr>
              <w:t>Vehicle</w:t>
            </w:r>
          </w:p>
        </w:tc>
        <w:tc>
          <w:tcPr>
            <w:tcW w:w="1701" w:type="dxa"/>
            <w:noWrap/>
          </w:tcPr>
          <w:p w:rsidR="00D34E84" w:rsidRDefault="00D34E84" w:rsidP="006C5153">
            <w:pPr>
              <w:pStyle w:val="TableNAm"/>
              <w:jc w:val="center"/>
              <w:rPr>
                <w:b/>
              </w:rPr>
            </w:pPr>
            <w:r>
              <w:rPr>
                <w:b/>
              </w:rPr>
              <w:t>First examination</w:t>
            </w:r>
            <w:r>
              <w:rPr>
                <w:b/>
              </w:rPr>
              <w:br/>
              <w:t>($)</w:t>
            </w:r>
          </w:p>
        </w:tc>
        <w:tc>
          <w:tcPr>
            <w:tcW w:w="1701" w:type="dxa"/>
            <w:noWrap/>
          </w:tcPr>
          <w:p w:rsidR="00D34E84" w:rsidRDefault="00D34E84" w:rsidP="006C5153">
            <w:pPr>
              <w:pStyle w:val="TableNAm"/>
              <w:jc w:val="center"/>
              <w:rPr>
                <w:b/>
              </w:rPr>
            </w:pPr>
            <w:r>
              <w:rPr>
                <w:b/>
              </w:rPr>
              <w:t>Subsequent examination</w:t>
            </w:r>
            <w:r>
              <w:rPr>
                <w:b/>
              </w:rPr>
              <w:br/>
              <w:t>($)</w:t>
            </w:r>
          </w:p>
        </w:tc>
      </w:tr>
      <w:tr w:rsidR="00D34E84" w:rsidTr="006C5153">
        <w:tc>
          <w:tcPr>
            <w:tcW w:w="2409" w:type="dxa"/>
            <w:noWrap/>
          </w:tcPr>
          <w:p w:rsidR="00D34E84" w:rsidRDefault="00D34E84" w:rsidP="006C5153">
            <w:pPr>
              <w:pStyle w:val="TableNAm"/>
            </w:pPr>
            <w:r>
              <w:t>Trailer without brakes, motor cycle, motor carrier</w:t>
            </w:r>
          </w:p>
        </w:tc>
        <w:tc>
          <w:tcPr>
            <w:tcW w:w="1701" w:type="dxa"/>
            <w:noWrap/>
            <w:vAlign w:val="bottom"/>
          </w:tcPr>
          <w:p w:rsidR="00D34E84" w:rsidRDefault="00D34E84" w:rsidP="006C5153">
            <w:pPr>
              <w:pStyle w:val="TableNAm"/>
            </w:pPr>
            <w:r>
              <w:t>138.55</w:t>
            </w:r>
          </w:p>
        </w:tc>
        <w:tc>
          <w:tcPr>
            <w:tcW w:w="1701" w:type="dxa"/>
            <w:noWrap/>
            <w:vAlign w:val="bottom"/>
          </w:tcPr>
          <w:p w:rsidR="00D34E84" w:rsidRDefault="00D34E84" w:rsidP="006C5153">
            <w:pPr>
              <w:pStyle w:val="TableNAm"/>
            </w:pPr>
            <w:r>
              <w:t>106.90</w:t>
            </w:r>
          </w:p>
        </w:tc>
      </w:tr>
      <w:tr w:rsidR="00D34E84" w:rsidTr="006C5153">
        <w:tc>
          <w:tcPr>
            <w:tcW w:w="2409" w:type="dxa"/>
            <w:noWrap/>
          </w:tcPr>
          <w:p w:rsidR="00D34E84" w:rsidRDefault="00D34E84" w:rsidP="006C5153">
            <w:pPr>
              <w:pStyle w:val="TableNAm"/>
            </w:pPr>
            <w:r>
              <w:t>Heavy vehicle</w:t>
            </w:r>
          </w:p>
        </w:tc>
        <w:tc>
          <w:tcPr>
            <w:tcW w:w="1701" w:type="dxa"/>
            <w:noWrap/>
            <w:vAlign w:val="bottom"/>
          </w:tcPr>
          <w:p w:rsidR="00D34E84" w:rsidRDefault="00D34E84" w:rsidP="006C5153">
            <w:pPr>
              <w:pStyle w:val="TableNAm"/>
            </w:pPr>
            <w:r>
              <w:t>199.75</w:t>
            </w:r>
          </w:p>
        </w:tc>
        <w:tc>
          <w:tcPr>
            <w:tcW w:w="1701" w:type="dxa"/>
            <w:noWrap/>
            <w:vAlign w:val="bottom"/>
          </w:tcPr>
          <w:p w:rsidR="00D34E84" w:rsidRDefault="00D34E84" w:rsidP="006C5153">
            <w:pPr>
              <w:pStyle w:val="TableNAm"/>
            </w:pPr>
            <w:r>
              <w:t>139.55</w:t>
            </w:r>
          </w:p>
        </w:tc>
      </w:tr>
      <w:tr w:rsidR="00D34E84" w:rsidTr="006C5153">
        <w:tc>
          <w:tcPr>
            <w:tcW w:w="2409" w:type="dxa"/>
            <w:noWrap/>
          </w:tcPr>
          <w:p w:rsidR="00D34E84" w:rsidRDefault="00D34E84" w:rsidP="006C5153">
            <w:pPr>
              <w:pStyle w:val="TableNAm"/>
            </w:pPr>
            <w:r>
              <w:t>All other vehicles</w:t>
            </w:r>
          </w:p>
        </w:tc>
        <w:tc>
          <w:tcPr>
            <w:tcW w:w="1701" w:type="dxa"/>
            <w:noWrap/>
            <w:vAlign w:val="bottom"/>
          </w:tcPr>
          <w:p w:rsidR="00D34E84" w:rsidRDefault="00D34E84" w:rsidP="006C5153">
            <w:pPr>
              <w:pStyle w:val="TableNAm"/>
            </w:pPr>
            <w:r>
              <w:t>165.75</w:t>
            </w:r>
          </w:p>
        </w:tc>
        <w:tc>
          <w:tcPr>
            <w:tcW w:w="1701" w:type="dxa"/>
            <w:noWrap/>
            <w:vAlign w:val="bottom"/>
          </w:tcPr>
          <w:p w:rsidR="00D34E84" w:rsidRDefault="00D34E84" w:rsidP="006C5153">
            <w:pPr>
              <w:pStyle w:val="TableNAm"/>
            </w:pPr>
            <w:r>
              <w:t>106.90</w:t>
            </w:r>
          </w:p>
        </w:tc>
      </w:tr>
    </w:tbl>
    <w:p w:rsidR="006724FB" w:rsidRDefault="006724FB">
      <w:pPr>
        <w:pStyle w:val="Footnotesection"/>
      </w:pPr>
      <w:r>
        <w:lastRenderedPageBreak/>
        <w:tab/>
        <w:t>[Regulation 89 amended: Gazette 12 Jun 2015 p. 2037</w:t>
      </w:r>
      <w:r>
        <w:noBreakHyphen/>
        <w:t>8; 14 Jun 2016 p. 1997; 23 Jun 2017 p. 3262</w:t>
      </w:r>
      <w:r>
        <w:noBreakHyphen/>
        <w:t>3; 22 Jun 2018 p. 2187; 31 May 2019 p. 1724; SL 2020/74 r. 9</w:t>
      </w:r>
      <w:r w:rsidR="00D34E84">
        <w:t>; SL 2021/92 r. 12</w:t>
      </w:r>
      <w:r>
        <w:t>.]</w:t>
      </w:r>
    </w:p>
    <w:p w:rsidR="006724FB" w:rsidRDefault="006724FB">
      <w:pPr>
        <w:pStyle w:val="Heading5"/>
      </w:pPr>
      <w:bookmarkStart w:id="156" w:name="_Toc75875631"/>
      <w:r>
        <w:rPr>
          <w:rStyle w:val="CharSectno"/>
        </w:rPr>
        <w:t>90</w:t>
      </w:r>
      <w:r>
        <w:t>.</w:t>
      </w:r>
      <w:r>
        <w:tab/>
        <w:t>Fees for vehicle examination in the Great Southern region</w:t>
      </w:r>
      <w:bookmarkEnd w:id="156"/>
    </w:p>
    <w:p w:rsidR="006724FB" w:rsidRDefault="006724FB">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rsidR="00D34E84" w:rsidRDefault="00D34E84" w:rsidP="00D34E84">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D34E84" w:rsidTr="006C5153">
        <w:trPr>
          <w:cantSplit/>
          <w:tblHeader/>
        </w:trPr>
        <w:tc>
          <w:tcPr>
            <w:tcW w:w="2409" w:type="dxa"/>
            <w:noWrap/>
          </w:tcPr>
          <w:p w:rsidR="00D34E84" w:rsidRDefault="00D34E84" w:rsidP="006C5153">
            <w:pPr>
              <w:pStyle w:val="TableNAm"/>
              <w:jc w:val="center"/>
              <w:rPr>
                <w:b/>
              </w:rPr>
            </w:pPr>
            <w:r>
              <w:rPr>
                <w:b/>
              </w:rPr>
              <w:t>Vehicle</w:t>
            </w:r>
          </w:p>
        </w:tc>
        <w:tc>
          <w:tcPr>
            <w:tcW w:w="1701" w:type="dxa"/>
            <w:noWrap/>
          </w:tcPr>
          <w:p w:rsidR="00D34E84" w:rsidRDefault="00D34E84" w:rsidP="006C5153">
            <w:pPr>
              <w:pStyle w:val="TableNAm"/>
              <w:jc w:val="center"/>
              <w:rPr>
                <w:b/>
              </w:rPr>
            </w:pPr>
            <w:r>
              <w:rPr>
                <w:b/>
              </w:rPr>
              <w:t>First examination</w:t>
            </w:r>
            <w:r>
              <w:rPr>
                <w:b/>
              </w:rPr>
              <w:br/>
              <w:t>($)</w:t>
            </w:r>
          </w:p>
        </w:tc>
        <w:tc>
          <w:tcPr>
            <w:tcW w:w="1701" w:type="dxa"/>
            <w:noWrap/>
          </w:tcPr>
          <w:p w:rsidR="00D34E84" w:rsidRDefault="00D34E84" w:rsidP="006C5153">
            <w:pPr>
              <w:pStyle w:val="TableNAm"/>
              <w:jc w:val="center"/>
              <w:rPr>
                <w:b/>
              </w:rPr>
            </w:pPr>
            <w:r>
              <w:rPr>
                <w:b/>
              </w:rPr>
              <w:t>Subsequent examination</w:t>
            </w:r>
            <w:r>
              <w:rPr>
                <w:b/>
              </w:rPr>
              <w:br/>
              <w:t>($)</w:t>
            </w:r>
          </w:p>
        </w:tc>
      </w:tr>
      <w:tr w:rsidR="00D34E84" w:rsidTr="006C5153">
        <w:trPr>
          <w:cantSplit/>
        </w:trPr>
        <w:tc>
          <w:tcPr>
            <w:tcW w:w="2409" w:type="dxa"/>
            <w:noWrap/>
          </w:tcPr>
          <w:p w:rsidR="00D34E84" w:rsidRDefault="00D34E84" w:rsidP="006C5153">
            <w:pPr>
              <w:pStyle w:val="TableNAm"/>
            </w:pPr>
            <w:r>
              <w:t>Trailer without brakes, motor cycle, motor carrier</w:t>
            </w:r>
          </w:p>
        </w:tc>
        <w:tc>
          <w:tcPr>
            <w:tcW w:w="1701" w:type="dxa"/>
            <w:noWrap/>
            <w:vAlign w:val="bottom"/>
          </w:tcPr>
          <w:p w:rsidR="00D34E84" w:rsidRDefault="00D34E84" w:rsidP="006C5153">
            <w:pPr>
              <w:pStyle w:val="TableNAm"/>
            </w:pPr>
            <w:r>
              <w:t>137.00</w:t>
            </w:r>
          </w:p>
        </w:tc>
        <w:tc>
          <w:tcPr>
            <w:tcW w:w="1701" w:type="dxa"/>
            <w:noWrap/>
            <w:vAlign w:val="bottom"/>
          </w:tcPr>
          <w:p w:rsidR="00D34E84" w:rsidRDefault="00D34E84" w:rsidP="006C5153">
            <w:pPr>
              <w:pStyle w:val="TableNAm"/>
            </w:pPr>
            <w:r>
              <w:t>105.85</w:t>
            </w:r>
          </w:p>
        </w:tc>
      </w:tr>
      <w:tr w:rsidR="00D34E84" w:rsidTr="006C5153">
        <w:trPr>
          <w:cantSplit/>
        </w:trPr>
        <w:tc>
          <w:tcPr>
            <w:tcW w:w="2409" w:type="dxa"/>
            <w:noWrap/>
          </w:tcPr>
          <w:p w:rsidR="00D34E84" w:rsidRDefault="00D34E84" w:rsidP="006C5153">
            <w:pPr>
              <w:pStyle w:val="TableNAm"/>
            </w:pPr>
            <w:r>
              <w:t>Heavy vehicle</w:t>
            </w:r>
          </w:p>
        </w:tc>
        <w:tc>
          <w:tcPr>
            <w:tcW w:w="1701" w:type="dxa"/>
            <w:noWrap/>
            <w:vAlign w:val="bottom"/>
          </w:tcPr>
          <w:p w:rsidR="00D34E84" w:rsidRDefault="00D34E84" w:rsidP="006C5153">
            <w:pPr>
              <w:pStyle w:val="TableNAm"/>
            </w:pPr>
            <w:r>
              <w:t>197.35</w:t>
            </w:r>
          </w:p>
        </w:tc>
        <w:tc>
          <w:tcPr>
            <w:tcW w:w="1701" w:type="dxa"/>
            <w:noWrap/>
            <w:vAlign w:val="bottom"/>
          </w:tcPr>
          <w:p w:rsidR="00D34E84" w:rsidRDefault="00D34E84" w:rsidP="006C5153">
            <w:pPr>
              <w:pStyle w:val="TableNAm"/>
            </w:pPr>
            <w:r>
              <w:t>138.05</w:t>
            </w:r>
          </w:p>
        </w:tc>
      </w:tr>
      <w:tr w:rsidR="00D34E84" w:rsidTr="006C5153">
        <w:trPr>
          <w:cantSplit/>
        </w:trPr>
        <w:tc>
          <w:tcPr>
            <w:tcW w:w="2409" w:type="dxa"/>
            <w:noWrap/>
          </w:tcPr>
          <w:p w:rsidR="00D34E84" w:rsidRDefault="00D34E84" w:rsidP="006C5153">
            <w:pPr>
              <w:pStyle w:val="TableNAm"/>
            </w:pPr>
            <w:r>
              <w:t>All other vehicles</w:t>
            </w:r>
          </w:p>
        </w:tc>
        <w:tc>
          <w:tcPr>
            <w:tcW w:w="1701" w:type="dxa"/>
            <w:noWrap/>
            <w:vAlign w:val="bottom"/>
          </w:tcPr>
          <w:p w:rsidR="00D34E84" w:rsidRDefault="00D34E84" w:rsidP="006C5153">
            <w:pPr>
              <w:pStyle w:val="TableNAm"/>
            </w:pPr>
            <w:r>
              <w:t>163.85</w:t>
            </w:r>
          </w:p>
        </w:tc>
        <w:tc>
          <w:tcPr>
            <w:tcW w:w="1701" w:type="dxa"/>
            <w:noWrap/>
            <w:vAlign w:val="bottom"/>
          </w:tcPr>
          <w:p w:rsidR="00D34E84" w:rsidRDefault="00D34E84" w:rsidP="006C5153">
            <w:pPr>
              <w:pStyle w:val="TableNAm"/>
            </w:pPr>
            <w:r>
              <w:t>105.85</w:t>
            </w:r>
          </w:p>
        </w:tc>
      </w:tr>
    </w:tbl>
    <w:p w:rsidR="006724FB" w:rsidRDefault="006724FB">
      <w:pPr>
        <w:pStyle w:val="Footnotesection"/>
      </w:pPr>
      <w:r>
        <w:tab/>
        <w:t>[Regulation 90 inserted: Gazette 22 Jun 2018 p. 2187</w:t>
      </w:r>
      <w:r>
        <w:noBreakHyphen/>
        <w:t>8; amended: Gazette 31 May 2019 p. 1725; SL 2020/74 r. 9</w:t>
      </w:r>
      <w:r w:rsidR="00D34E84">
        <w:t>; SL 2021/92 r. 13</w:t>
      </w:r>
      <w:r>
        <w:t>.]</w:t>
      </w:r>
    </w:p>
    <w:p w:rsidR="006724FB" w:rsidRDefault="006724FB">
      <w:pPr>
        <w:pStyle w:val="Heading5"/>
      </w:pPr>
      <w:bookmarkStart w:id="157" w:name="_Toc75875632"/>
      <w:r>
        <w:rPr>
          <w:rStyle w:val="CharSectno"/>
        </w:rPr>
        <w:t>91</w:t>
      </w:r>
      <w:r>
        <w:t>.</w:t>
      </w:r>
      <w:r>
        <w:tab/>
        <w:t>Fees for vehicle examination in the Kimberley region</w:t>
      </w:r>
      <w:bookmarkEnd w:id="157"/>
    </w:p>
    <w:p w:rsidR="006724FB" w:rsidRDefault="006724FB">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rsidR="00D34E84" w:rsidRDefault="00D34E84" w:rsidP="00D34E84">
      <w:pPr>
        <w:pStyle w:val="THeadingNAm"/>
      </w:pPr>
      <w:r>
        <w:lastRenderedPageBreak/>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D34E84" w:rsidTr="006C5153">
        <w:trPr>
          <w:tblHeader/>
        </w:trPr>
        <w:tc>
          <w:tcPr>
            <w:tcW w:w="2409" w:type="dxa"/>
            <w:noWrap/>
          </w:tcPr>
          <w:p w:rsidR="00D34E84" w:rsidRDefault="00D34E84" w:rsidP="006C5153">
            <w:pPr>
              <w:pStyle w:val="TableNAm"/>
              <w:jc w:val="center"/>
              <w:rPr>
                <w:b/>
              </w:rPr>
            </w:pPr>
            <w:r>
              <w:rPr>
                <w:b/>
              </w:rPr>
              <w:t>Vehicle</w:t>
            </w:r>
          </w:p>
        </w:tc>
        <w:tc>
          <w:tcPr>
            <w:tcW w:w="1701" w:type="dxa"/>
            <w:noWrap/>
          </w:tcPr>
          <w:p w:rsidR="00D34E84" w:rsidRDefault="00D34E84" w:rsidP="006C5153">
            <w:pPr>
              <w:pStyle w:val="TableNAm"/>
              <w:jc w:val="center"/>
              <w:rPr>
                <w:b/>
              </w:rPr>
            </w:pPr>
            <w:r>
              <w:rPr>
                <w:b/>
              </w:rPr>
              <w:t>First examination</w:t>
            </w:r>
            <w:r>
              <w:rPr>
                <w:b/>
              </w:rPr>
              <w:br/>
              <w:t>($)</w:t>
            </w:r>
          </w:p>
        </w:tc>
        <w:tc>
          <w:tcPr>
            <w:tcW w:w="1701" w:type="dxa"/>
            <w:noWrap/>
          </w:tcPr>
          <w:p w:rsidR="00D34E84" w:rsidRDefault="00D34E84" w:rsidP="006C5153">
            <w:pPr>
              <w:pStyle w:val="TableNAm"/>
              <w:jc w:val="center"/>
              <w:rPr>
                <w:b/>
              </w:rPr>
            </w:pPr>
            <w:r>
              <w:rPr>
                <w:b/>
              </w:rPr>
              <w:t>Subsequent examination</w:t>
            </w:r>
            <w:r>
              <w:rPr>
                <w:b/>
              </w:rPr>
              <w:br/>
              <w:t>($)</w:t>
            </w:r>
          </w:p>
        </w:tc>
      </w:tr>
      <w:tr w:rsidR="00D34E84" w:rsidTr="006C5153">
        <w:tc>
          <w:tcPr>
            <w:tcW w:w="2409" w:type="dxa"/>
            <w:noWrap/>
          </w:tcPr>
          <w:p w:rsidR="00D34E84" w:rsidRDefault="00D34E84" w:rsidP="006C5153">
            <w:pPr>
              <w:pStyle w:val="TableNAm"/>
            </w:pPr>
            <w:r>
              <w:t>Trailer without brakes, motor cycle, motor carrier</w:t>
            </w:r>
          </w:p>
        </w:tc>
        <w:tc>
          <w:tcPr>
            <w:tcW w:w="1701" w:type="dxa"/>
            <w:noWrap/>
            <w:vAlign w:val="bottom"/>
          </w:tcPr>
          <w:p w:rsidR="00D34E84" w:rsidRDefault="00D34E84" w:rsidP="006C5153">
            <w:pPr>
              <w:pStyle w:val="TableNAm"/>
            </w:pPr>
            <w:r>
              <w:t>151.60</w:t>
            </w:r>
          </w:p>
        </w:tc>
        <w:tc>
          <w:tcPr>
            <w:tcW w:w="1701" w:type="dxa"/>
            <w:noWrap/>
            <w:vAlign w:val="bottom"/>
          </w:tcPr>
          <w:p w:rsidR="00D34E84" w:rsidRDefault="00D34E84" w:rsidP="006C5153">
            <w:pPr>
              <w:pStyle w:val="TableNAm"/>
            </w:pPr>
            <w:r>
              <w:t>116.00</w:t>
            </w:r>
          </w:p>
        </w:tc>
      </w:tr>
      <w:tr w:rsidR="00D34E84" w:rsidTr="006C5153">
        <w:tc>
          <w:tcPr>
            <w:tcW w:w="2409" w:type="dxa"/>
            <w:noWrap/>
          </w:tcPr>
          <w:p w:rsidR="00D34E84" w:rsidRDefault="00D34E84" w:rsidP="006C5153">
            <w:pPr>
              <w:pStyle w:val="TableNAm"/>
            </w:pPr>
            <w:r>
              <w:t>Heavy vehicle</w:t>
            </w:r>
          </w:p>
        </w:tc>
        <w:tc>
          <w:tcPr>
            <w:tcW w:w="1701" w:type="dxa"/>
            <w:noWrap/>
            <w:vAlign w:val="bottom"/>
          </w:tcPr>
          <w:p w:rsidR="00D34E84" w:rsidRDefault="00D34E84" w:rsidP="006C5153">
            <w:pPr>
              <w:pStyle w:val="TableNAm"/>
            </w:pPr>
            <w:r>
              <w:t>220.50</w:t>
            </w:r>
          </w:p>
        </w:tc>
        <w:tc>
          <w:tcPr>
            <w:tcW w:w="1701" w:type="dxa"/>
            <w:noWrap/>
            <w:vAlign w:val="bottom"/>
          </w:tcPr>
          <w:p w:rsidR="00D34E84" w:rsidRDefault="00D34E84" w:rsidP="006C5153">
            <w:pPr>
              <w:pStyle w:val="TableNAm"/>
            </w:pPr>
            <w:r>
              <w:t>152.75</w:t>
            </w:r>
          </w:p>
        </w:tc>
      </w:tr>
      <w:tr w:rsidR="00D34E84" w:rsidTr="006C5153">
        <w:tc>
          <w:tcPr>
            <w:tcW w:w="2409" w:type="dxa"/>
            <w:noWrap/>
          </w:tcPr>
          <w:p w:rsidR="00D34E84" w:rsidRDefault="00D34E84" w:rsidP="006C5153">
            <w:pPr>
              <w:pStyle w:val="TableNAm"/>
            </w:pPr>
            <w:r>
              <w:t>All other vehicles</w:t>
            </w:r>
          </w:p>
        </w:tc>
        <w:tc>
          <w:tcPr>
            <w:tcW w:w="1701" w:type="dxa"/>
            <w:noWrap/>
            <w:vAlign w:val="bottom"/>
          </w:tcPr>
          <w:p w:rsidR="00D34E84" w:rsidRDefault="00D34E84" w:rsidP="006C5153">
            <w:pPr>
              <w:pStyle w:val="TableNAm"/>
            </w:pPr>
            <w:r>
              <w:t>182.25</w:t>
            </w:r>
          </w:p>
        </w:tc>
        <w:tc>
          <w:tcPr>
            <w:tcW w:w="1701" w:type="dxa"/>
            <w:noWrap/>
            <w:vAlign w:val="bottom"/>
          </w:tcPr>
          <w:p w:rsidR="00D34E84" w:rsidRDefault="00D34E84" w:rsidP="006C5153">
            <w:pPr>
              <w:pStyle w:val="TableNAm"/>
            </w:pPr>
            <w:r>
              <w:t>116.00</w:t>
            </w:r>
          </w:p>
        </w:tc>
      </w:tr>
    </w:tbl>
    <w:p w:rsidR="006724FB" w:rsidRDefault="006724FB">
      <w:pPr>
        <w:pStyle w:val="Footnotesection"/>
      </w:pPr>
      <w:r>
        <w:tab/>
        <w:t>[Regulation 91 amended: Gazette 12 Jun 2015 p. 2038; 14 Jun 2016 p. 1997; 23 Jun 2017 p. 3264; 22 Jun 2018 p. 2188; 31 May 2019 p. 1725; SL 2020/74 r. 9</w:t>
      </w:r>
      <w:r w:rsidR="00D34E84">
        <w:t>; SL 2021/92 r. 14</w:t>
      </w:r>
      <w:r>
        <w:t>.]</w:t>
      </w:r>
    </w:p>
    <w:p w:rsidR="006724FB" w:rsidRDefault="006724FB">
      <w:pPr>
        <w:pStyle w:val="Heading5"/>
      </w:pPr>
      <w:bookmarkStart w:id="158" w:name="_Toc75875633"/>
      <w:r>
        <w:rPr>
          <w:rStyle w:val="CharSectno"/>
        </w:rPr>
        <w:t>92</w:t>
      </w:r>
      <w:r>
        <w:t>.</w:t>
      </w:r>
      <w:r>
        <w:tab/>
        <w:t>Fees for vehicle examination in the Mid West region</w:t>
      </w:r>
      <w:bookmarkEnd w:id="158"/>
    </w:p>
    <w:p w:rsidR="006724FB" w:rsidRDefault="006724FB">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rsidR="00D34E84" w:rsidRDefault="00D34E84" w:rsidP="00D34E84">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D34E84" w:rsidTr="006C5153">
        <w:trPr>
          <w:cantSplit/>
          <w:tblHeader/>
        </w:trPr>
        <w:tc>
          <w:tcPr>
            <w:tcW w:w="2409" w:type="dxa"/>
            <w:noWrap/>
          </w:tcPr>
          <w:p w:rsidR="00D34E84" w:rsidRDefault="00D34E84" w:rsidP="006C5153">
            <w:pPr>
              <w:pStyle w:val="TableNAm"/>
              <w:jc w:val="center"/>
              <w:rPr>
                <w:b/>
              </w:rPr>
            </w:pPr>
            <w:r>
              <w:rPr>
                <w:b/>
              </w:rPr>
              <w:t>Vehicle</w:t>
            </w:r>
          </w:p>
        </w:tc>
        <w:tc>
          <w:tcPr>
            <w:tcW w:w="1701" w:type="dxa"/>
            <w:noWrap/>
          </w:tcPr>
          <w:p w:rsidR="00D34E84" w:rsidRDefault="00D34E84" w:rsidP="006C5153">
            <w:pPr>
              <w:pStyle w:val="TableNAm"/>
              <w:jc w:val="center"/>
              <w:rPr>
                <w:b/>
              </w:rPr>
            </w:pPr>
            <w:r>
              <w:rPr>
                <w:b/>
              </w:rPr>
              <w:t>First examination</w:t>
            </w:r>
            <w:r>
              <w:rPr>
                <w:b/>
              </w:rPr>
              <w:br/>
              <w:t>($)</w:t>
            </w:r>
          </w:p>
        </w:tc>
        <w:tc>
          <w:tcPr>
            <w:tcW w:w="1701" w:type="dxa"/>
            <w:noWrap/>
          </w:tcPr>
          <w:p w:rsidR="00D34E84" w:rsidRDefault="00D34E84" w:rsidP="006C5153">
            <w:pPr>
              <w:pStyle w:val="TableNAm"/>
              <w:jc w:val="center"/>
              <w:rPr>
                <w:b/>
              </w:rPr>
            </w:pPr>
            <w:r>
              <w:rPr>
                <w:b/>
              </w:rPr>
              <w:t>Subsequent examination</w:t>
            </w:r>
            <w:r>
              <w:rPr>
                <w:b/>
              </w:rPr>
              <w:br/>
              <w:t>($)</w:t>
            </w:r>
          </w:p>
        </w:tc>
      </w:tr>
      <w:tr w:rsidR="00D34E84" w:rsidTr="006C5153">
        <w:trPr>
          <w:cantSplit/>
        </w:trPr>
        <w:tc>
          <w:tcPr>
            <w:tcW w:w="2409" w:type="dxa"/>
            <w:noWrap/>
          </w:tcPr>
          <w:p w:rsidR="00D34E84" w:rsidRDefault="00D34E84" w:rsidP="006C5153">
            <w:pPr>
              <w:pStyle w:val="TableNAm"/>
            </w:pPr>
            <w:r>
              <w:t>Trailer without brakes, motor cycle, motor carrier</w:t>
            </w:r>
          </w:p>
        </w:tc>
        <w:tc>
          <w:tcPr>
            <w:tcW w:w="1701" w:type="dxa"/>
            <w:noWrap/>
            <w:vAlign w:val="bottom"/>
          </w:tcPr>
          <w:p w:rsidR="00D34E84" w:rsidRDefault="00D34E84" w:rsidP="006C5153">
            <w:pPr>
              <w:pStyle w:val="TableNAm"/>
            </w:pPr>
            <w:r>
              <w:t>140.45</w:t>
            </w:r>
          </w:p>
        </w:tc>
        <w:tc>
          <w:tcPr>
            <w:tcW w:w="1701" w:type="dxa"/>
            <w:noWrap/>
            <w:vAlign w:val="bottom"/>
          </w:tcPr>
          <w:p w:rsidR="00D34E84" w:rsidRDefault="00D34E84" w:rsidP="006C5153">
            <w:pPr>
              <w:pStyle w:val="TableNAm"/>
            </w:pPr>
            <w:r>
              <w:t>108.25</w:t>
            </w:r>
          </w:p>
        </w:tc>
      </w:tr>
      <w:tr w:rsidR="00D34E84" w:rsidTr="006C5153">
        <w:trPr>
          <w:cantSplit/>
        </w:trPr>
        <w:tc>
          <w:tcPr>
            <w:tcW w:w="2409" w:type="dxa"/>
            <w:noWrap/>
          </w:tcPr>
          <w:p w:rsidR="00D34E84" w:rsidRDefault="00D34E84" w:rsidP="006C5153">
            <w:pPr>
              <w:pStyle w:val="TableNAm"/>
            </w:pPr>
            <w:r>
              <w:t>Heavy vehicle</w:t>
            </w:r>
          </w:p>
        </w:tc>
        <w:tc>
          <w:tcPr>
            <w:tcW w:w="1701" w:type="dxa"/>
            <w:noWrap/>
            <w:vAlign w:val="bottom"/>
          </w:tcPr>
          <w:p w:rsidR="00D34E84" w:rsidRDefault="00D34E84" w:rsidP="006C5153">
            <w:pPr>
              <w:pStyle w:val="TableNAm"/>
            </w:pPr>
            <w:r>
              <w:t>202.80</w:t>
            </w:r>
          </w:p>
        </w:tc>
        <w:tc>
          <w:tcPr>
            <w:tcW w:w="1701" w:type="dxa"/>
            <w:noWrap/>
            <w:vAlign w:val="bottom"/>
          </w:tcPr>
          <w:p w:rsidR="00D34E84" w:rsidRDefault="00D34E84" w:rsidP="006C5153">
            <w:pPr>
              <w:pStyle w:val="TableNAm"/>
            </w:pPr>
            <w:r>
              <w:t>141.50</w:t>
            </w:r>
          </w:p>
        </w:tc>
      </w:tr>
      <w:tr w:rsidR="00D34E84" w:rsidTr="006C5153">
        <w:trPr>
          <w:cantSplit/>
        </w:trPr>
        <w:tc>
          <w:tcPr>
            <w:tcW w:w="2409" w:type="dxa"/>
            <w:noWrap/>
          </w:tcPr>
          <w:p w:rsidR="00D34E84" w:rsidRDefault="00D34E84" w:rsidP="006C5153">
            <w:pPr>
              <w:pStyle w:val="TableNAm"/>
            </w:pPr>
            <w:r>
              <w:t>All other vehicles</w:t>
            </w:r>
          </w:p>
        </w:tc>
        <w:tc>
          <w:tcPr>
            <w:tcW w:w="1701" w:type="dxa"/>
            <w:noWrap/>
            <w:vAlign w:val="bottom"/>
          </w:tcPr>
          <w:p w:rsidR="00D34E84" w:rsidRDefault="00D34E84" w:rsidP="006C5153">
            <w:pPr>
              <w:pStyle w:val="TableNAm"/>
            </w:pPr>
            <w:r>
              <w:t>168.20</w:t>
            </w:r>
          </w:p>
        </w:tc>
        <w:tc>
          <w:tcPr>
            <w:tcW w:w="1701" w:type="dxa"/>
            <w:noWrap/>
            <w:vAlign w:val="bottom"/>
          </w:tcPr>
          <w:p w:rsidR="00D34E84" w:rsidRDefault="00D34E84" w:rsidP="006C5153">
            <w:pPr>
              <w:pStyle w:val="TableNAm"/>
            </w:pPr>
            <w:r>
              <w:t>108.25</w:t>
            </w:r>
          </w:p>
        </w:tc>
      </w:tr>
    </w:tbl>
    <w:p w:rsidR="006724FB" w:rsidRDefault="006724FB">
      <w:pPr>
        <w:pStyle w:val="Footnotesection"/>
      </w:pPr>
      <w:r>
        <w:lastRenderedPageBreak/>
        <w:tab/>
        <w:t>[Regulation 92 amended: Gazette 12 Jun 2015 p. 2038; 14 Jun 2016 p. 1998; 23 Jun 2017 p. 3264</w:t>
      </w:r>
      <w:r>
        <w:noBreakHyphen/>
        <w:t>5; 22 Jun 2018 p. 2188</w:t>
      </w:r>
      <w:r>
        <w:noBreakHyphen/>
        <w:t>9; 31 May 2019 p. 1725; SL 2020/74 r. 9</w:t>
      </w:r>
      <w:r w:rsidR="00D34E84">
        <w:t>; SL 2021/92 r. 15</w:t>
      </w:r>
      <w:r>
        <w:t>.]</w:t>
      </w:r>
    </w:p>
    <w:p w:rsidR="006724FB" w:rsidRDefault="006724FB">
      <w:pPr>
        <w:pStyle w:val="Heading5"/>
      </w:pPr>
      <w:bookmarkStart w:id="159" w:name="_Toc75875634"/>
      <w:r>
        <w:rPr>
          <w:rStyle w:val="CharSectno"/>
        </w:rPr>
        <w:t>92A</w:t>
      </w:r>
      <w:r>
        <w:t>.</w:t>
      </w:r>
      <w:r>
        <w:tab/>
        <w:t>Fees for vehicle examination in the Peel region</w:t>
      </w:r>
      <w:bookmarkEnd w:id="159"/>
    </w:p>
    <w:p w:rsidR="006724FB" w:rsidRDefault="006724FB">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rsidR="00D34E84" w:rsidRDefault="00D34E84" w:rsidP="00D34E84">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D34E84" w:rsidTr="006C5153">
        <w:trPr>
          <w:tblHeader/>
        </w:trPr>
        <w:tc>
          <w:tcPr>
            <w:tcW w:w="2409" w:type="dxa"/>
            <w:noWrap/>
          </w:tcPr>
          <w:p w:rsidR="00D34E84" w:rsidRDefault="00D34E84" w:rsidP="006C5153">
            <w:pPr>
              <w:pStyle w:val="TableNAm"/>
              <w:jc w:val="center"/>
              <w:rPr>
                <w:b/>
              </w:rPr>
            </w:pPr>
            <w:r>
              <w:rPr>
                <w:b/>
              </w:rPr>
              <w:t>Vehicle</w:t>
            </w:r>
          </w:p>
        </w:tc>
        <w:tc>
          <w:tcPr>
            <w:tcW w:w="1701" w:type="dxa"/>
            <w:noWrap/>
          </w:tcPr>
          <w:p w:rsidR="00D34E84" w:rsidRDefault="00D34E84" w:rsidP="006C5153">
            <w:pPr>
              <w:pStyle w:val="TableNAm"/>
              <w:jc w:val="center"/>
              <w:rPr>
                <w:b/>
              </w:rPr>
            </w:pPr>
            <w:r>
              <w:rPr>
                <w:b/>
              </w:rPr>
              <w:t>First examination</w:t>
            </w:r>
            <w:r>
              <w:rPr>
                <w:b/>
              </w:rPr>
              <w:br/>
              <w:t>($)</w:t>
            </w:r>
          </w:p>
        </w:tc>
        <w:tc>
          <w:tcPr>
            <w:tcW w:w="1701" w:type="dxa"/>
            <w:noWrap/>
          </w:tcPr>
          <w:p w:rsidR="00D34E84" w:rsidRDefault="00D34E84" w:rsidP="006C5153">
            <w:pPr>
              <w:pStyle w:val="TableNAm"/>
              <w:jc w:val="center"/>
              <w:rPr>
                <w:b/>
              </w:rPr>
            </w:pPr>
            <w:r>
              <w:rPr>
                <w:b/>
              </w:rPr>
              <w:t>Subsequent examination</w:t>
            </w:r>
            <w:r>
              <w:rPr>
                <w:b/>
              </w:rPr>
              <w:br/>
              <w:t>($)</w:t>
            </w:r>
          </w:p>
        </w:tc>
      </w:tr>
      <w:tr w:rsidR="00D34E84" w:rsidTr="006C5153">
        <w:tc>
          <w:tcPr>
            <w:tcW w:w="2409" w:type="dxa"/>
            <w:noWrap/>
          </w:tcPr>
          <w:p w:rsidR="00D34E84" w:rsidRDefault="00D34E84" w:rsidP="006C5153">
            <w:pPr>
              <w:pStyle w:val="TableNAm"/>
            </w:pPr>
            <w:r>
              <w:t>Trailer without brakes, motor cycle, motor carrier</w:t>
            </w:r>
          </w:p>
        </w:tc>
        <w:tc>
          <w:tcPr>
            <w:tcW w:w="1701" w:type="dxa"/>
            <w:noWrap/>
            <w:vAlign w:val="bottom"/>
          </w:tcPr>
          <w:p w:rsidR="00D34E84" w:rsidRDefault="00D34E84" w:rsidP="006C5153">
            <w:pPr>
              <w:pStyle w:val="TableNAm"/>
            </w:pPr>
            <w:r>
              <w:t>137.20</w:t>
            </w:r>
          </w:p>
        </w:tc>
        <w:tc>
          <w:tcPr>
            <w:tcW w:w="1701" w:type="dxa"/>
            <w:noWrap/>
            <w:vAlign w:val="bottom"/>
          </w:tcPr>
          <w:p w:rsidR="00D34E84" w:rsidRDefault="00D34E84" w:rsidP="006C5153">
            <w:pPr>
              <w:pStyle w:val="TableNAm"/>
            </w:pPr>
            <w:r>
              <w:t>106.00</w:t>
            </w:r>
          </w:p>
        </w:tc>
      </w:tr>
      <w:tr w:rsidR="00D34E84" w:rsidTr="006C5153">
        <w:tc>
          <w:tcPr>
            <w:tcW w:w="2409" w:type="dxa"/>
            <w:noWrap/>
          </w:tcPr>
          <w:p w:rsidR="00D34E84" w:rsidRDefault="00D34E84" w:rsidP="006C5153">
            <w:pPr>
              <w:pStyle w:val="TableNAm"/>
            </w:pPr>
            <w:r>
              <w:t>Heavy vehicle</w:t>
            </w:r>
          </w:p>
        </w:tc>
        <w:tc>
          <w:tcPr>
            <w:tcW w:w="1701" w:type="dxa"/>
            <w:noWrap/>
            <w:vAlign w:val="bottom"/>
          </w:tcPr>
          <w:p w:rsidR="00D34E84" w:rsidRDefault="00D34E84" w:rsidP="006C5153">
            <w:pPr>
              <w:pStyle w:val="TableNAm"/>
            </w:pPr>
            <w:r>
              <w:t>197.65</w:t>
            </w:r>
          </w:p>
        </w:tc>
        <w:tc>
          <w:tcPr>
            <w:tcW w:w="1701" w:type="dxa"/>
            <w:noWrap/>
            <w:vAlign w:val="bottom"/>
          </w:tcPr>
          <w:p w:rsidR="00D34E84" w:rsidRDefault="00D34E84" w:rsidP="006C5153">
            <w:pPr>
              <w:pStyle w:val="TableNAm"/>
            </w:pPr>
            <w:r>
              <w:t>138.25</w:t>
            </w:r>
          </w:p>
        </w:tc>
      </w:tr>
      <w:tr w:rsidR="00D34E84" w:rsidTr="006C5153">
        <w:tc>
          <w:tcPr>
            <w:tcW w:w="2409" w:type="dxa"/>
            <w:noWrap/>
          </w:tcPr>
          <w:p w:rsidR="00D34E84" w:rsidRDefault="00D34E84" w:rsidP="006C5153">
            <w:pPr>
              <w:pStyle w:val="TableNAm"/>
            </w:pPr>
            <w:r>
              <w:t>All other vehicles</w:t>
            </w:r>
          </w:p>
        </w:tc>
        <w:tc>
          <w:tcPr>
            <w:tcW w:w="1701" w:type="dxa"/>
            <w:noWrap/>
            <w:vAlign w:val="bottom"/>
          </w:tcPr>
          <w:p w:rsidR="00D34E84" w:rsidRDefault="00D34E84" w:rsidP="006C5153">
            <w:pPr>
              <w:pStyle w:val="TableNAm"/>
            </w:pPr>
            <w:r>
              <w:t>164.10</w:t>
            </w:r>
          </w:p>
        </w:tc>
        <w:tc>
          <w:tcPr>
            <w:tcW w:w="1701" w:type="dxa"/>
            <w:noWrap/>
            <w:vAlign w:val="bottom"/>
          </w:tcPr>
          <w:p w:rsidR="00D34E84" w:rsidRDefault="00D34E84" w:rsidP="006C5153">
            <w:pPr>
              <w:pStyle w:val="TableNAm"/>
            </w:pPr>
            <w:r>
              <w:t>106.00</w:t>
            </w:r>
          </w:p>
        </w:tc>
      </w:tr>
    </w:tbl>
    <w:p w:rsidR="006724FB" w:rsidRDefault="006724FB">
      <w:pPr>
        <w:pStyle w:val="Footnotesection"/>
      </w:pPr>
      <w:r>
        <w:tab/>
        <w:t>[Regulation 92A inserted: Gazette 22 Jun 2018 p. 2189; amended: Gazette 31 May 2019 p. 1725; SL 2020/74 r. 9</w:t>
      </w:r>
      <w:bookmarkStart w:id="160" w:name="_Hlk75423953"/>
      <w:r w:rsidR="00D34E84">
        <w:t>; SL 2021/92 r. 16</w:t>
      </w:r>
      <w:bookmarkEnd w:id="160"/>
      <w:r>
        <w:t>.]</w:t>
      </w:r>
    </w:p>
    <w:p w:rsidR="006724FB" w:rsidRDefault="006724FB">
      <w:pPr>
        <w:pStyle w:val="Heading5"/>
      </w:pPr>
      <w:bookmarkStart w:id="161" w:name="_Toc75875635"/>
      <w:r>
        <w:rPr>
          <w:rStyle w:val="CharSectno"/>
        </w:rPr>
        <w:t>93</w:t>
      </w:r>
      <w:r>
        <w:t>.</w:t>
      </w:r>
      <w:r>
        <w:tab/>
        <w:t>Fees for vehicle examination in the Pilbara region</w:t>
      </w:r>
      <w:bookmarkEnd w:id="161"/>
    </w:p>
    <w:p w:rsidR="006724FB" w:rsidRDefault="006724FB">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rsidR="00D34E84" w:rsidRDefault="00D34E84" w:rsidP="00D34E84">
      <w:pPr>
        <w:pStyle w:val="THeadingNAm"/>
      </w:pPr>
      <w:bookmarkStart w:id="162" w:name="_Hlk75423959"/>
      <w:r>
        <w:lastRenderedPageBreak/>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D34E84" w:rsidTr="006C5153">
        <w:trPr>
          <w:cantSplit/>
          <w:tblHeader/>
        </w:trPr>
        <w:tc>
          <w:tcPr>
            <w:tcW w:w="2409" w:type="dxa"/>
            <w:noWrap/>
          </w:tcPr>
          <w:p w:rsidR="00D34E84" w:rsidRDefault="00D34E84" w:rsidP="006C5153">
            <w:pPr>
              <w:pStyle w:val="TableNAm"/>
              <w:jc w:val="center"/>
              <w:rPr>
                <w:b/>
              </w:rPr>
            </w:pPr>
            <w:r>
              <w:rPr>
                <w:b/>
              </w:rPr>
              <w:t>Vehicle</w:t>
            </w:r>
          </w:p>
        </w:tc>
        <w:tc>
          <w:tcPr>
            <w:tcW w:w="1701" w:type="dxa"/>
            <w:noWrap/>
          </w:tcPr>
          <w:p w:rsidR="00D34E84" w:rsidRDefault="00D34E84" w:rsidP="006C5153">
            <w:pPr>
              <w:pStyle w:val="TableNAm"/>
              <w:jc w:val="center"/>
              <w:rPr>
                <w:b/>
              </w:rPr>
            </w:pPr>
            <w:r>
              <w:rPr>
                <w:b/>
              </w:rPr>
              <w:t>First examination</w:t>
            </w:r>
            <w:r>
              <w:rPr>
                <w:b/>
              </w:rPr>
              <w:br/>
              <w:t>($)</w:t>
            </w:r>
          </w:p>
        </w:tc>
        <w:tc>
          <w:tcPr>
            <w:tcW w:w="1701" w:type="dxa"/>
            <w:noWrap/>
          </w:tcPr>
          <w:p w:rsidR="00D34E84" w:rsidRDefault="00D34E84" w:rsidP="006C5153">
            <w:pPr>
              <w:pStyle w:val="TableNAm"/>
              <w:jc w:val="center"/>
              <w:rPr>
                <w:b/>
              </w:rPr>
            </w:pPr>
            <w:r>
              <w:rPr>
                <w:b/>
              </w:rPr>
              <w:t>Subsequent examination</w:t>
            </w:r>
            <w:r>
              <w:rPr>
                <w:b/>
              </w:rPr>
              <w:br/>
              <w:t>($)</w:t>
            </w:r>
          </w:p>
        </w:tc>
      </w:tr>
      <w:tr w:rsidR="00D34E84" w:rsidTr="006C5153">
        <w:trPr>
          <w:cantSplit/>
        </w:trPr>
        <w:tc>
          <w:tcPr>
            <w:tcW w:w="2409" w:type="dxa"/>
            <w:noWrap/>
          </w:tcPr>
          <w:p w:rsidR="00D34E84" w:rsidRDefault="00D34E84" w:rsidP="006C5153">
            <w:pPr>
              <w:pStyle w:val="TableNAm"/>
            </w:pPr>
            <w:r>
              <w:t>Trailer without brakes, motor cycle, motor carrier</w:t>
            </w:r>
          </w:p>
        </w:tc>
        <w:tc>
          <w:tcPr>
            <w:tcW w:w="1701" w:type="dxa"/>
            <w:noWrap/>
            <w:vAlign w:val="bottom"/>
          </w:tcPr>
          <w:p w:rsidR="00D34E84" w:rsidRDefault="00D34E84" w:rsidP="006C5153">
            <w:pPr>
              <w:pStyle w:val="TableNAm"/>
            </w:pPr>
            <w:r>
              <w:t>151.70</w:t>
            </w:r>
          </w:p>
        </w:tc>
        <w:tc>
          <w:tcPr>
            <w:tcW w:w="1701" w:type="dxa"/>
            <w:noWrap/>
            <w:vAlign w:val="bottom"/>
          </w:tcPr>
          <w:p w:rsidR="00D34E84" w:rsidRDefault="00D34E84" w:rsidP="006C5153">
            <w:pPr>
              <w:pStyle w:val="TableNAm"/>
            </w:pPr>
            <w:r>
              <w:t>116.10</w:t>
            </w:r>
          </w:p>
        </w:tc>
      </w:tr>
      <w:tr w:rsidR="00D34E84" w:rsidTr="006C5153">
        <w:trPr>
          <w:cantSplit/>
        </w:trPr>
        <w:tc>
          <w:tcPr>
            <w:tcW w:w="2409" w:type="dxa"/>
            <w:noWrap/>
          </w:tcPr>
          <w:p w:rsidR="00D34E84" w:rsidRDefault="00D34E84" w:rsidP="006C5153">
            <w:pPr>
              <w:pStyle w:val="TableNAm"/>
            </w:pPr>
            <w:r>
              <w:t>Heavy vehicle</w:t>
            </w:r>
          </w:p>
        </w:tc>
        <w:tc>
          <w:tcPr>
            <w:tcW w:w="1701" w:type="dxa"/>
            <w:noWrap/>
            <w:vAlign w:val="bottom"/>
          </w:tcPr>
          <w:p w:rsidR="00D34E84" w:rsidRDefault="00D34E84" w:rsidP="006C5153">
            <w:pPr>
              <w:pStyle w:val="TableNAm"/>
            </w:pPr>
            <w:r>
              <w:t>220.70</w:t>
            </w:r>
          </w:p>
        </w:tc>
        <w:tc>
          <w:tcPr>
            <w:tcW w:w="1701" w:type="dxa"/>
            <w:noWrap/>
            <w:vAlign w:val="bottom"/>
          </w:tcPr>
          <w:p w:rsidR="00D34E84" w:rsidRDefault="00D34E84" w:rsidP="006C5153">
            <w:pPr>
              <w:pStyle w:val="TableNAm"/>
            </w:pPr>
            <w:r>
              <w:t>152.90</w:t>
            </w:r>
          </w:p>
        </w:tc>
      </w:tr>
      <w:tr w:rsidR="00D34E84" w:rsidTr="006C5153">
        <w:trPr>
          <w:cantSplit/>
        </w:trPr>
        <w:tc>
          <w:tcPr>
            <w:tcW w:w="2409" w:type="dxa"/>
            <w:noWrap/>
          </w:tcPr>
          <w:p w:rsidR="00D34E84" w:rsidRDefault="00D34E84" w:rsidP="006C5153">
            <w:pPr>
              <w:pStyle w:val="TableNAm"/>
            </w:pPr>
            <w:r>
              <w:t>All other vehicles</w:t>
            </w:r>
          </w:p>
        </w:tc>
        <w:tc>
          <w:tcPr>
            <w:tcW w:w="1701" w:type="dxa"/>
            <w:noWrap/>
            <w:vAlign w:val="bottom"/>
          </w:tcPr>
          <w:p w:rsidR="00D34E84" w:rsidRDefault="00D34E84" w:rsidP="006C5153">
            <w:pPr>
              <w:pStyle w:val="TableNAm"/>
            </w:pPr>
            <w:r>
              <w:t>182.40</w:t>
            </w:r>
          </w:p>
        </w:tc>
        <w:tc>
          <w:tcPr>
            <w:tcW w:w="1701" w:type="dxa"/>
            <w:noWrap/>
            <w:vAlign w:val="bottom"/>
          </w:tcPr>
          <w:p w:rsidR="00D34E84" w:rsidRDefault="00D34E84" w:rsidP="006C5153">
            <w:pPr>
              <w:pStyle w:val="TableNAm"/>
            </w:pPr>
            <w:r>
              <w:t>116.10</w:t>
            </w:r>
          </w:p>
        </w:tc>
      </w:tr>
    </w:tbl>
    <w:bookmarkEnd w:id="162"/>
    <w:p w:rsidR="006724FB" w:rsidRDefault="006724FB">
      <w:pPr>
        <w:pStyle w:val="Footnotesection"/>
      </w:pPr>
      <w:r>
        <w:tab/>
        <w:t>[Regulation 93 amended: Gazette 12 Jun 2015 p. 2038; 14 Jun 2016 p. 1998; 23 Jun 2017 p. 3265; 22 Jun 2018 p. 2189</w:t>
      </w:r>
      <w:r>
        <w:noBreakHyphen/>
        <w:t>90; 31 May 2019 p. 1725; SL 2020/74 r. 9</w:t>
      </w:r>
      <w:r w:rsidR="00D34E84">
        <w:t>; SL 2021/92 r. 17</w:t>
      </w:r>
      <w:r>
        <w:t>.]</w:t>
      </w:r>
    </w:p>
    <w:p w:rsidR="006724FB" w:rsidRDefault="006724FB">
      <w:pPr>
        <w:pStyle w:val="Heading5"/>
      </w:pPr>
      <w:bookmarkStart w:id="163" w:name="_Toc75875636"/>
      <w:r>
        <w:rPr>
          <w:rStyle w:val="CharSectno"/>
        </w:rPr>
        <w:t>93A</w:t>
      </w:r>
      <w:r>
        <w:t>.</w:t>
      </w:r>
      <w:r>
        <w:tab/>
        <w:t>Fees for vehicle examination in the South West region</w:t>
      </w:r>
      <w:bookmarkEnd w:id="163"/>
    </w:p>
    <w:p w:rsidR="006724FB" w:rsidRDefault="006724FB">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rsidR="00D34E84" w:rsidRDefault="00D34E84" w:rsidP="00D34E84">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D34E84" w:rsidTr="006C5153">
        <w:trPr>
          <w:tblHeader/>
        </w:trPr>
        <w:tc>
          <w:tcPr>
            <w:tcW w:w="2409" w:type="dxa"/>
            <w:noWrap/>
          </w:tcPr>
          <w:p w:rsidR="00D34E84" w:rsidRDefault="00D34E84" w:rsidP="006C5153">
            <w:pPr>
              <w:pStyle w:val="TableNAm"/>
              <w:jc w:val="center"/>
              <w:rPr>
                <w:b/>
              </w:rPr>
            </w:pPr>
            <w:r>
              <w:rPr>
                <w:b/>
              </w:rPr>
              <w:t>Vehicle</w:t>
            </w:r>
          </w:p>
        </w:tc>
        <w:tc>
          <w:tcPr>
            <w:tcW w:w="1701" w:type="dxa"/>
            <w:noWrap/>
          </w:tcPr>
          <w:p w:rsidR="00D34E84" w:rsidRDefault="00D34E84" w:rsidP="006C5153">
            <w:pPr>
              <w:pStyle w:val="TableNAm"/>
              <w:jc w:val="center"/>
              <w:rPr>
                <w:b/>
              </w:rPr>
            </w:pPr>
            <w:r>
              <w:rPr>
                <w:b/>
              </w:rPr>
              <w:t>First examination</w:t>
            </w:r>
            <w:r>
              <w:rPr>
                <w:b/>
              </w:rPr>
              <w:br/>
              <w:t>($)</w:t>
            </w:r>
          </w:p>
        </w:tc>
        <w:tc>
          <w:tcPr>
            <w:tcW w:w="1701" w:type="dxa"/>
            <w:noWrap/>
          </w:tcPr>
          <w:p w:rsidR="00D34E84" w:rsidRDefault="00D34E84" w:rsidP="006C5153">
            <w:pPr>
              <w:pStyle w:val="TableNAm"/>
              <w:jc w:val="center"/>
              <w:rPr>
                <w:b/>
              </w:rPr>
            </w:pPr>
            <w:r>
              <w:rPr>
                <w:b/>
              </w:rPr>
              <w:t>Subsequent examination</w:t>
            </w:r>
            <w:r>
              <w:rPr>
                <w:b/>
              </w:rPr>
              <w:br/>
              <w:t>($)</w:t>
            </w:r>
          </w:p>
        </w:tc>
      </w:tr>
      <w:tr w:rsidR="00D34E84" w:rsidTr="006C5153">
        <w:tc>
          <w:tcPr>
            <w:tcW w:w="2409" w:type="dxa"/>
            <w:noWrap/>
          </w:tcPr>
          <w:p w:rsidR="00D34E84" w:rsidRDefault="00D34E84" w:rsidP="006C5153">
            <w:pPr>
              <w:pStyle w:val="TableNAm"/>
            </w:pPr>
            <w:r>
              <w:t>Trailer without brakes, motor cycle, motor carrier</w:t>
            </w:r>
          </w:p>
        </w:tc>
        <w:tc>
          <w:tcPr>
            <w:tcW w:w="1701" w:type="dxa"/>
            <w:noWrap/>
            <w:vAlign w:val="bottom"/>
          </w:tcPr>
          <w:p w:rsidR="00D34E84" w:rsidRDefault="00D34E84" w:rsidP="006C5153">
            <w:pPr>
              <w:pStyle w:val="TableNAm"/>
            </w:pPr>
            <w:r>
              <w:t>137.95</w:t>
            </w:r>
          </w:p>
        </w:tc>
        <w:tc>
          <w:tcPr>
            <w:tcW w:w="1701" w:type="dxa"/>
            <w:noWrap/>
            <w:vAlign w:val="bottom"/>
          </w:tcPr>
          <w:p w:rsidR="00D34E84" w:rsidRDefault="00D34E84" w:rsidP="006C5153">
            <w:pPr>
              <w:pStyle w:val="TableNAm"/>
            </w:pPr>
            <w:r>
              <w:t>106.50</w:t>
            </w:r>
          </w:p>
        </w:tc>
      </w:tr>
      <w:tr w:rsidR="00D34E84" w:rsidTr="006C5153">
        <w:tc>
          <w:tcPr>
            <w:tcW w:w="2409" w:type="dxa"/>
            <w:noWrap/>
          </w:tcPr>
          <w:p w:rsidR="00D34E84" w:rsidRDefault="00D34E84" w:rsidP="006C5153">
            <w:pPr>
              <w:pStyle w:val="TableNAm"/>
            </w:pPr>
            <w:r>
              <w:t>Heavy vehicle</w:t>
            </w:r>
          </w:p>
        </w:tc>
        <w:tc>
          <w:tcPr>
            <w:tcW w:w="1701" w:type="dxa"/>
            <w:noWrap/>
            <w:vAlign w:val="bottom"/>
          </w:tcPr>
          <w:p w:rsidR="00D34E84" w:rsidRDefault="00D34E84" w:rsidP="006C5153">
            <w:pPr>
              <w:pStyle w:val="TableNAm"/>
            </w:pPr>
            <w:r>
              <w:t>198.80</w:t>
            </w:r>
          </w:p>
        </w:tc>
        <w:tc>
          <w:tcPr>
            <w:tcW w:w="1701" w:type="dxa"/>
            <w:noWrap/>
            <w:vAlign w:val="bottom"/>
          </w:tcPr>
          <w:p w:rsidR="00D34E84" w:rsidRDefault="00D34E84" w:rsidP="006C5153">
            <w:pPr>
              <w:pStyle w:val="TableNAm"/>
            </w:pPr>
            <w:r>
              <w:t>138.95</w:t>
            </w:r>
          </w:p>
        </w:tc>
      </w:tr>
      <w:tr w:rsidR="00D34E84" w:rsidTr="006C5153">
        <w:tc>
          <w:tcPr>
            <w:tcW w:w="2409" w:type="dxa"/>
            <w:noWrap/>
          </w:tcPr>
          <w:p w:rsidR="00D34E84" w:rsidRDefault="00D34E84" w:rsidP="006C5153">
            <w:pPr>
              <w:pStyle w:val="TableNAm"/>
            </w:pPr>
            <w:r>
              <w:t>All other vehicles</w:t>
            </w:r>
          </w:p>
        </w:tc>
        <w:tc>
          <w:tcPr>
            <w:tcW w:w="1701" w:type="dxa"/>
            <w:noWrap/>
            <w:vAlign w:val="bottom"/>
          </w:tcPr>
          <w:p w:rsidR="00D34E84" w:rsidRDefault="00D34E84" w:rsidP="006C5153">
            <w:pPr>
              <w:pStyle w:val="TableNAm"/>
            </w:pPr>
            <w:r>
              <w:t>165.00</w:t>
            </w:r>
          </w:p>
        </w:tc>
        <w:tc>
          <w:tcPr>
            <w:tcW w:w="1701" w:type="dxa"/>
            <w:noWrap/>
            <w:vAlign w:val="bottom"/>
          </w:tcPr>
          <w:p w:rsidR="00D34E84" w:rsidRDefault="00D34E84" w:rsidP="006C5153">
            <w:pPr>
              <w:pStyle w:val="TableNAm"/>
            </w:pPr>
            <w:r>
              <w:t>106.50</w:t>
            </w:r>
          </w:p>
        </w:tc>
      </w:tr>
    </w:tbl>
    <w:p w:rsidR="006724FB" w:rsidRDefault="006724FB">
      <w:pPr>
        <w:pStyle w:val="Footnotesection"/>
      </w:pPr>
      <w:r>
        <w:lastRenderedPageBreak/>
        <w:tab/>
        <w:t>[Regulation 93A amended: Gazette 14 Jun 2016 p. 1994-5; 23 Jun 2017 p. 3266; 22 Jun 2018 p. 2190; 31 May 2019 p. 1725; SL 2020/74 r. 9</w:t>
      </w:r>
      <w:r w:rsidR="00D34E84">
        <w:t>; SL 2021/92 r. 18</w:t>
      </w:r>
      <w:r>
        <w:t>.]</w:t>
      </w:r>
    </w:p>
    <w:p w:rsidR="006724FB" w:rsidRDefault="006724FB">
      <w:pPr>
        <w:pStyle w:val="Heading5"/>
      </w:pPr>
      <w:bookmarkStart w:id="164" w:name="_Toc75875637"/>
      <w:r>
        <w:rPr>
          <w:rStyle w:val="CharSectno"/>
        </w:rPr>
        <w:t>94</w:t>
      </w:r>
      <w:r>
        <w:t>.</w:t>
      </w:r>
      <w:r>
        <w:tab/>
        <w:t>Fees for vehicle examination in the Wheatbelt region</w:t>
      </w:r>
      <w:bookmarkEnd w:id="164"/>
    </w:p>
    <w:p w:rsidR="006724FB" w:rsidRDefault="006724FB">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rsidR="00D34E84" w:rsidRDefault="00D34E84" w:rsidP="00D34E84">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D34E84" w:rsidTr="006C5153">
        <w:trPr>
          <w:tblHeader/>
        </w:trPr>
        <w:tc>
          <w:tcPr>
            <w:tcW w:w="2409" w:type="dxa"/>
            <w:noWrap/>
          </w:tcPr>
          <w:p w:rsidR="00D34E84" w:rsidRDefault="00D34E84" w:rsidP="006C5153">
            <w:pPr>
              <w:pStyle w:val="TableNAm"/>
              <w:jc w:val="center"/>
              <w:rPr>
                <w:b/>
              </w:rPr>
            </w:pPr>
            <w:r>
              <w:rPr>
                <w:b/>
              </w:rPr>
              <w:t>Vehicle</w:t>
            </w:r>
          </w:p>
        </w:tc>
        <w:tc>
          <w:tcPr>
            <w:tcW w:w="1701" w:type="dxa"/>
            <w:noWrap/>
          </w:tcPr>
          <w:p w:rsidR="00D34E84" w:rsidRDefault="00D34E84" w:rsidP="006C5153">
            <w:pPr>
              <w:pStyle w:val="TableNAm"/>
              <w:jc w:val="center"/>
              <w:rPr>
                <w:b/>
              </w:rPr>
            </w:pPr>
            <w:r>
              <w:rPr>
                <w:b/>
              </w:rPr>
              <w:t>First examination</w:t>
            </w:r>
            <w:r>
              <w:rPr>
                <w:b/>
              </w:rPr>
              <w:br/>
              <w:t>($)</w:t>
            </w:r>
          </w:p>
        </w:tc>
        <w:tc>
          <w:tcPr>
            <w:tcW w:w="1701" w:type="dxa"/>
            <w:noWrap/>
          </w:tcPr>
          <w:p w:rsidR="00D34E84" w:rsidRDefault="00D34E84" w:rsidP="006C5153">
            <w:pPr>
              <w:pStyle w:val="TableNAm"/>
              <w:jc w:val="center"/>
              <w:rPr>
                <w:b/>
              </w:rPr>
            </w:pPr>
            <w:r>
              <w:rPr>
                <w:b/>
              </w:rPr>
              <w:t>Subsequent examination</w:t>
            </w:r>
            <w:r>
              <w:rPr>
                <w:b/>
              </w:rPr>
              <w:br/>
              <w:t>($)</w:t>
            </w:r>
          </w:p>
        </w:tc>
      </w:tr>
      <w:tr w:rsidR="00D34E84" w:rsidTr="006C5153">
        <w:tc>
          <w:tcPr>
            <w:tcW w:w="2409" w:type="dxa"/>
            <w:noWrap/>
          </w:tcPr>
          <w:p w:rsidR="00D34E84" w:rsidRDefault="00D34E84" w:rsidP="006C5153">
            <w:pPr>
              <w:pStyle w:val="TableNAm"/>
            </w:pPr>
            <w:r>
              <w:t>Trailer without brakes, motor cycle, motor carrier</w:t>
            </w:r>
          </w:p>
        </w:tc>
        <w:tc>
          <w:tcPr>
            <w:tcW w:w="1701" w:type="dxa"/>
            <w:noWrap/>
            <w:vAlign w:val="bottom"/>
          </w:tcPr>
          <w:p w:rsidR="00D34E84" w:rsidRDefault="00D34E84" w:rsidP="006C5153">
            <w:pPr>
              <w:pStyle w:val="TableNAm"/>
            </w:pPr>
            <w:r>
              <w:t>135.80</w:t>
            </w:r>
          </w:p>
        </w:tc>
        <w:tc>
          <w:tcPr>
            <w:tcW w:w="1701" w:type="dxa"/>
            <w:noWrap/>
            <w:vAlign w:val="bottom"/>
          </w:tcPr>
          <w:p w:rsidR="00D34E84" w:rsidRDefault="00D34E84" w:rsidP="006C5153">
            <w:pPr>
              <w:pStyle w:val="TableNAm"/>
            </w:pPr>
            <w:r>
              <w:t>105.00</w:t>
            </w:r>
          </w:p>
        </w:tc>
      </w:tr>
      <w:tr w:rsidR="00D34E84" w:rsidTr="006C5153">
        <w:tc>
          <w:tcPr>
            <w:tcW w:w="2409" w:type="dxa"/>
            <w:noWrap/>
          </w:tcPr>
          <w:p w:rsidR="00D34E84" w:rsidRDefault="00D34E84" w:rsidP="006C5153">
            <w:pPr>
              <w:pStyle w:val="TableNAm"/>
            </w:pPr>
            <w:r>
              <w:t>Heavy vehicle</w:t>
            </w:r>
          </w:p>
        </w:tc>
        <w:tc>
          <w:tcPr>
            <w:tcW w:w="1701" w:type="dxa"/>
            <w:noWrap/>
            <w:vAlign w:val="bottom"/>
          </w:tcPr>
          <w:p w:rsidR="00D34E84" w:rsidRDefault="00D34E84" w:rsidP="006C5153">
            <w:pPr>
              <w:pStyle w:val="TableNAm"/>
            </w:pPr>
            <w:r>
              <w:t>195.40</w:t>
            </w:r>
          </w:p>
        </w:tc>
        <w:tc>
          <w:tcPr>
            <w:tcW w:w="1701" w:type="dxa"/>
            <w:noWrap/>
            <w:vAlign w:val="bottom"/>
          </w:tcPr>
          <w:p w:rsidR="00D34E84" w:rsidRDefault="00D34E84" w:rsidP="006C5153">
            <w:pPr>
              <w:pStyle w:val="TableNAm"/>
            </w:pPr>
            <w:r>
              <w:t>136.80</w:t>
            </w:r>
          </w:p>
        </w:tc>
      </w:tr>
      <w:tr w:rsidR="00D34E84" w:rsidTr="006C5153">
        <w:tc>
          <w:tcPr>
            <w:tcW w:w="2409" w:type="dxa"/>
            <w:noWrap/>
          </w:tcPr>
          <w:p w:rsidR="00D34E84" w:rsidRDefault="00D34E84" w:rsidP="006C5153">
            <w:pPr>
              <w:pStyle w:val="TableNAm"/>
            </w:pPr>
            <w:r>
              <w:t>All other vehicles</w:t>
            </w:r>
          </w:p>
        </w:tc>
        <w:tc>
          <w:tcPr>
            <w:tcW w:w="1701" w:type="dxa"/>
            <w:noWrap/>
            <w:vAlign w:val="bottom"/>
          </w:tcPr>
          <w:p w:rsidR="00D34E84" w:rsidRDefault="00D34E84" w:rsidP="006C5153">
            <w:pPr>
              <w:pStyle w:val="TableNAm"/>
            </w:pPr>
            <w:r>
              <w:t>162.30</w:t>
            </w:r>
          </w:p>
        </w:tc>
        <w:tc>
          <w:tcPr>
            <w:tcW w:w="1701" w:type="dxa"/>
            <w:noWrap/>
            <w:vAlign w:val="bottom"/>
          </w:tcPr>
          <w:p w:rsidR="00D34E84" w:rsidRDefault="00D34E84" w:rsidP="006C5153">
            <w:pPr>
              <w:pStyle w:val="TableNAm"/>
            </w:pPr>
            <w:r>
              <w:t>105.00</w:t>
            </w:r>
          </w:p>
        </w:tc>
      </w:tr>
    </w:tbl>
    <w:p w:rsidR="006724FB" w:rsidRDefault="006724FB">
      <w:pPr>
        <w:pStyle w:val="Footnotesection"/>
      </w:pPr>
      <w:r>
        <w:tab/>
        <w:t>[Regulation 94 amended: Gazette 12 Jun 2015 p. 2038</w:t>
      </w:r>
      <w:r>
        <w:noBreakHyphen/>
        <w:t>9; 14 Jun 2016 p. 1998; 23 Jun 2017 p. 3266</w:t>
      </w:r>
      <w:r>
        <w:noBreakHyphen/>
        <w:t>7; 22 Jun 2018 p. 2190; 31 May 2019 p. 1725; SL 2020/74 r. 9</w:t>
      </w:r>
      <w:r w:rsidR="00D34E84">
        <w:t>; SL 2021/92 r. 19</w:t>
      </w:r>
      <w:r>
        <w:t>.]</w:t>
      </w:r>
    </w:p>
    <w:p w:rsidR="006724FB" w:rsidRDefault="006724FB">
      <w:pPr>
        <w:pStyle w:val="Heading5"/>
      </w:pPr>
      <w:bookmarkStart w:id="165" w:name="_Toc75875638"/>
      <w:r>
        <w:rPr>
          <w:rStyle w:val="CharSectno"/>
        </w:rPr>
        <w:t>95</w:t>
      </w:r>
      <w:r>
        <w:t>.</w:t>
      </w:r>
      <w:r>
        <w:tab/>
        <w:t>Fees for examination for verification of identity</w:t>
      </w:r>
      <w:bookmarkEnd w:id="165"/>
    </w:p>
    <w:p w:rsidR="006724FB" w:rsidRDefault="006724FB">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rsidR="006724FB" w:rsidRDefault="006724FB">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rsidR="006724FB">
        <w:trPr>
          <w:tblHeader/>
        </w:trPr>
        <w:tc>
          <w:tcPr>
            <w:tcW w:w="4394" w:type="dxa"/>
          </w:tcPr>
          <w:p w:rsidR="006724FB" w:rsidRDefault="006724FB">
            <w:pPr>
              <w:pStyle w:val="TableNAm"/>
              <w:jc w:val="center"/>
            </w:pPr>
            <w:r>
              <w:rPr>
                <w:b/>
              </w:rPr>
              <w:lastRenderedPageBreak/>
              <w:t>Place of examination</w:t>
            </w:r>
          </w:p>
        </w:tc>
        <w:tc>
          <w:tcPr>
            <w:tcW w:w="1417" w:type="dxa"/>
          </w:tcPr>
          <w:p w:rsidR="006724FB" w:rsidRDefault="006724FB">
            <w:pPr>
              <w:pStyle w:val="TableNAm"/>
              <w:jc w:val="center"/>
            </w:pPr>
            <w:r>
              <w:rPr>
                <w:b/>
              </w:rPr>
              <w:t>Fee ($)</w:t>
            </w:r>
          </w:p>
        </w:tc>
      </w:tr>
      <w:tr w:rsidR="006724FB">
        <w:tc>
          <w:tcPr>
            <w:tcW w:w="4394" w:type="dxa"/>
          </w:tcPr>
          <w:p w:rsidR="006724FB" w:rsidRDefault="006724FB">
            <w:pPr>
              <w:pStyle w:val="TableNAm"/>
            </w:pPr>
            <w:r>
              <w:t>Place other than a region mentioned in this Division</w:t>
            </w:r>
          </w:p>
        </w:tc>
        <w:tc>
          <w:tcPr>
            <w:tcW w:w="1417" w:type="dxa"/>
          </w:tcPr>
          <w:p w:rsidR="006724FB" w:rsidRDefault="006724FB">
            <w:pPr>
              <w:pStyle w:val="TableNAm"/>
            </w:pPr>
            <w:r>
              <w:br/>
            </w:r>
            <w:r w:rsidR="006C5153">
              <w:t>116.00</w:t>
            </w:r>
          </w:p>
        </w:tc>
      </w:tr>
      <w:tr w:rsidR="006724FB">
        <w:tc>
          <w:tcPr>
            <w:tcW w:w="4394" w:type="dxa"/>
          </w:tcPr>
          <w:p w:rsidR="006724FB" w:rsidRDefault="006724FB">
            <w:pPr>
              <w:pStyle w:val="TableNAm"/>
            </w:pPr>
            <w:r>
              <w:t>Gascoyne region</w:t>
            </w:r>
          </w:p>
        </w:tc>
        <w:tc>
          <w:tcPr>
            <w:tcW w:w="1417" w:type="dxa"/>
          </w:tcPr>
          <w:p w:rsidR="006724FB" w:rsidRDefault="006C5153">
            <w:pPr>
              <w:pStyle w:val="TableNAm"/>
            </w:pPr>
            <w:r>
              <w:t>121.70</w:t>
            </w:r>
          </w:p>
        </w:tc>
      </w:tr>
      <w:tr w:rsidR="006724FB">
        <w:tc>
          <w:tcPr>
            <w:tcW w:w="4394" w:type="dxa"/>
          </w:tcPr>
          <w:p w:rsidR="006724FB" w:rsidRDefault="006724FB">
            <w:pPr>
              <w:pStyle w:val="TableNAm"/>
            </w:pPr>
            <w:r>
              <w:t>Goldfields</w:t>
            </w:r>
            <w:r>
              <w:noBreakHyphen/>
              <w:t>Esperance region</w:t>
            </w:r>
          </w:p>
        </w:tc>
        <w:tc>
          <w:tcPr>
            <w:tcW w:w="1417" w:type="dxa"/>
          </w:tcPr>
          <w:p w:rsidR="006724FB" w:rsidRDefault="006C5153">
            <w:pPr>
              <w:pStyle w:val="TableNAm"/>
            </w:pPr>
            <w:r>
              <w:t>118.20</w:t>
            </w:r>
          </w:p>
        </w:tc>
      </w:tr>
      <w:tr w:rsidR="006724FB">
        <w:tc>
          <w:tcPr>
            <w:tcW w:w="4394" w:type="dxa"/>
          </w:tcPr>
          <w:p w:rsidR="006724FB" w:rsidRDefault="006724FB">
            <w:pPr>
              <w:pStyle w:val="TableNAm"/>
            </w:pPr>
            <w:r>
              <w:t>Great Southern region</w:t>
            </w:r>
          </w:p>
        </w:tc>
        <w:tc>
          <w:tcPr>
            <w:tcW w:w="1417" w:type="dxa"/>
          </w:tcPr>
          <w:p w:rsidR="006724FB" w:rsidRDefault="006C5153">
            <w:pPr>
              <w:pStyle w:val="TableNAm"/>
            </w:pPr>
            <w:r>
              <w:t>117.00</w:t>
            </w:r>
          </w:p>
        </w:tc>
      </w:tr>
      <w:tr w:rsidR="006724FB">
        <w:tc>
          <w:tcPr>
            <w:tcW w:w="4394" w:type="dxa"/>
          </w:tcPr>
          <w:p w:rsidR="006724FB" w:rsidRDefault="006724FB">
            <w:pPr>
              <w:pStyle w:val="TableNAm"/>
            </w:pPr>
            <w:r>
              <w:t>Kimberley region</w:t>
            </w:r>
          </w:p>
        </w:tc>
        <w:tc>
          <w:tcPr>
            <w:tcW w:w="1417" w:type="dxa"/>
          </w:tcPr>
          <w:p w:rsidR="006724FB" w:rsidRDefault="006C5153">
            <w:pPr>
              <w:pStyle w:val="TableNAm"/>
            </w:pPr>
            <w:r>
              <w:t>128.75</w:t>
            </w:r>
          </w:p>
        </w:tc>
      </w:tr>
      <w:tr w:rsidR="006724FB">
        <w:tc>
          <w:tcPr>
            <w:tcW w:w="4394" w:type="dxa"/>
          </w:tcPr>
          <w:p w:rsidR="006724FB" w:rsidRDefault="006724FB">
            <w:pPr>
              <w:pStyle w:val="TableNAm"/>
            </w:pPr>
            <w:r>
              <w:t>Mid West region</w:t>
            </w:r>
          </w:p>
        </w:tc>
        <w:tc>
          <w:tcPr>
            <w:tcW w:w="1417" w:type="dxa"/>
          </w:tcPr>
          <w:p w:rsidR="006724FB" w:rsidRDefault="006C5153">
            <w:pPr>
              <w:pStyle w:val="TableNAm"/>
            </w:pPr>
            <w:r>
              <w:t>119.75</w:t>
            </w:r>
          </w:p>
        </w:tc>
      </w:tr>
      <w:tr w:rsidR="006724FB">
        <w:tc>
          <w:tcPr>
            <w:tcW w:w="4394" w:type="dxa"/>
          </w:tcPr>
          <w:p w:rsidR="006724FB" w:rsidRDefault="006724FB">
            <w:pPr>
              <w:pStyle w:val="TableNAm"/>
            </w:pPr>
            <w:r>
              <w:t>Peel region</w:t>
            </w:r>
          </w:p>
        </w:tc>
        <w:tc>
          <w:tcPr>
            <w:tcW w:w="1417" w:type="dxa"/>
          </w:tcPr>
          <w:p w:rsidR="006724FB" w:rsidRDefault="006C5153">
            <w:pPr>
              <w:pStyle w:val="TableNAm"/>
            </w:pPr>
            <w:r>
              <w:t>117.15</w:t>
            </w:r>
          </w:p>
        </w:tc>
      </w:tr>
      <w:tr w:rsidR="006724FB">
        <w:tc>
          <w:tcPr>
            <w:tcW w:w="4394" w:type="dxa"/>
          </w:tcPr>
          <w:p w:rsidR="006724FB" w:rsidRDefault="006724FB">
            <w:pPr>
              <w:pStyle w:val="TableNAm"/>
            </w:pPr>
            <w:r>
              <w:t>Pilbara region</w:t>
            </w:r>
          </w:p>
        </w:tc>
        <w:tc>
          <w:tcPr>
            <w:tcW w:w="1417" w:type="dxa"/>
          </w:tcPr>
          <w:p w:rsidR="006724FB" w:rsidRDefault="006C5153">
            <w:pPr>
              <w:pStyle w:val="TableNAm"/>
            </w:pPr>
            <w:r>
              <w:t>128.80</w:t>
            </w:r>
          </w:p>
        </w:tc>
      </w:tr>
      <w:tr w:rsidR="006724FB">
        <w:tc>
          <w:tcPr>
            <w:tcW w:w="4394" w:type="dxa"/>
          </w:tcPr>
          <w:p w:rsidR="006724FB" w:rsidRDefault="006724FB">
            <w:pPr>
              <w:pStyle w:val="TableNAm"/>
            </w:pPr>
            <w:r>
              <w:t>South West region</w:t>
            </w:r>
          </w:p>
        </w:tc>
        <w:tc>
          <w:tcPr>
            <w:tcW w:w="1417" w:type="dxa"/>
          </w:tcPr>
          <w:p w:rsidR="006724FB" w:rsidRDefault="006C5153">
            <w:pPr>
              <w:pStyle w:val="TableNAm"/>
            </w:pPr>
            <w:r>
              <w:t>117.70</w:t>
            </w:r>
          </w:p>
        </w:tc>
      </w:tr>
      <w:tr w:rsidR="006724FB">
        <w:tc>
          <w:tcPr>
            <w:tcW w:w="4394" w:type="dxa"/>
          </w:tcPr>
          <w:p w:rsidR="006724FB" w:rsidRDefault="006724FB">
            <w:pPr>
              <w:pStyle w:val="TableNAm"/>
            </w:pPr>
            <w:r>
              <w:t>Wheatbelt region</w:t>
            </w:r>
          </w:p>
        </w:tc>
        <w:tc>
          <w:tcPr>
            <w:tcW w:w="1417" w:type="dxa"/>
          </w:tcPr>
          <w:p w:rsidR="006724FB" w:rsidRDefault="006C5153">
            <w:pPr>
              <w:pStyle w:val="TableNAm"/>
            </w:pPr>
            <w:r>
              <w:t>116.00</w:t>
            </w:r>
          </w:p>
        </w:tc>
      </w:tr>
    </w:tbl>
    <w:p w:rsidR="006724FB" w:rsidRDefault="006724FB">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rsidR="006724FB" w:rsidRDefault="006724FB">
      <w:pPr>
        <w:pStyle w:val="Footnotesection"/>
      </w:pPr>
      <w:r>
        <w:tab/>
        <w:t>[Regulation 95 amended: Gazette 12 Jun 2015 p. 2039; 14 Jun 2016 p. 1995-6; 23 Jun 2017 p. 3267; 22 Jun 2018 p. 2191; 31 May 2019 p. 1726; SL 2020/74 r. 9</w:t>
      </w:r>
      <w:r w:rsidR="006C5153">
        <w:t>; SL 2021/92 r. 20</w:t>
      </w:r>
      <w:r>
        <w:t>.]</w:t>
      </w:r>
    </w:p>
    <w:p w:rsidR="006724FB" w:rsidRDefault="006724FB">
      <w:pPr>
        <w:pStyle w:val="Heading5"/>
      </w:pPr>
      <w:bookmarkStart w:id="166" w:name="_Toc75875639"/>
      <w:r>
        <w:rPr>
          <w:rStyle w:val="CharSectno"/>
        </w:rPr>
        <w:t>96</w:t>
      </w:r>
      <w:r>
        <w:t>.</w:t>
      </w:r>
      <w:r>
        <w:tab/>
        <w:t>Exemption for person with disability</w:t>
      </w:r>
      <w:bookmarkEnd w:id="166"/>
    </w:p>
    <w:p w:rsidR="006724FB" w:rsidRDefault="006724FB">
      <w:pPr>
        <w:pStyle w:val="Subsection"/>
      </w:pPr>
      <w:r>
        <w:rPr>
          <w:snapToGrid w:val="0"/>
        </w:rPr>
        <w:tab/>
      </w:r>
      <w:r>
        <w:rPr>
          <w:snapToGrid w:val="0"/>
        </w:rPr>
        <w:tab/>
        <w:t xml:space="preserve">If the controls of a vehicle other than a heavy vehicle have been, in the opinion of a person authorised to issue a certificate of inspection in relation to the vehicle, substantially modified to enable use by a person with disability, the owner of that vehicle </w:t>
      </w:r>
      <w:r>
        <w:rPr>
          <w:snapToGrid w:val="0"/>
        </w:rPr>
        <w:lastRenderedPageBreak/>
        <w:t>is exempt from the payment of fees under this Subdivision if that owner is the person for whose use the vehicle has been modified.</w:t>
      </w:r>
    </w:p>
    <w:p w:rsidR="006724FB" w:rsidRDefault="006724FB">
      <w:pPr>
        <w:pStyle w:val="Heading4"/>
      </w:pPr>
      <w:bookmarkStart w:id="167" w:name="_Toc75419717"/>
      <w:bookmarkStart w:id="168" w:name="_Toc75427052"/>
      <w:bookmarkStart w:id="169" w:name="_Toc75872468"/>
      <w:bookmarkStart w:id="170" w:name="_Toc75875640"/>
      <w:r>
        <w:t>Subdivision 2 — Other fees relating to vehicle licensing</w:t>
      </w:r>
      <w:bookmarkEnd w:id="167"/>
      <w:bookmarkEnd w:id="168"/>
      <w:bookmarkEnd w:id="169"/>
      <w:bookmarkEnd w:id="170"/>
    </w:p>
    <w:p w:rsidR="006724FB" w:rsidRDefault="006724FB">
      <w:pPr>
        <w:pStyle w:val="Ednotesection"/>
      </w:pPr>
      <w:r>
        <w:t>[</w:t>
      </w:r>
      <w:r>
        <w:rPr>
          <w:b/>
        </w:rPr>
        <w:t>97</w:t>
      </w:r>
      <w:r>
        <w:t xml:space="preserve">. </w:t>
      </w:r>
      <w:r>
        <w:tab/>
        <w:t>Deleted: Gazette 22 Jun 2018 p. 2191.]</w:t>
      </w:r>
    </w:p>
    <w:p w:rsidR="006724FB" w:rsidRDefault="006724FB">
      <w:pPr>
        <w:pStyle w:val="Heading5"/>
      </w:pPr>
      <w:bookmarkStart w:id="171" w:name="_Toc75875641"/>
      <w:r>
        <w:rPr>
          <w:rStyle w:val="CharSectno"/>
        </w:rPr>
        <w:t>98</w:t>
      </w:r>
      <w:r>
        <w:t>.</w:t>
      </w:r>
      <w:r>
        <w:tab/>
        <w:t>Fee payable by motor vehicle dealer or vehicle manufacturer licensing vehicle</w:t>
      </w:r>
      <w:bookmarkEnd w:id="171"/>
    </w:p>
    <w:p w:rsidR="006724FB" w:rsidRDefault="006724FB">
      <w:pPr>
        <w:pStyle w:val="Subsection"/>
        <w:spacing w:before="140"/>
      </w:pPr>
      <w:r>
        <w:tab/>
        <w:t>(1)</w:t>
      </w:r>
      <w:r>
        <w:tab/>
        <w:t xml:space="preserve">A fee of </w:t>
      </w:r>
      <w:r w:rsidR="006C5153">
        <w:t>$13.30</w:t>
      </w:r>
      <w:r>
        <w:t xml:space="preserve"> is payable —</w:t>
      </w:r>
    </w:p>
    <w:p w:rsidR="006724FB" w:rsidRDefault="006724FB">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rsidR="006724FB" w:rsidRDefault="006724FB">
      <w:pPr>
        <w:pStyle w:val="Indenta"/>
      </w:pPr>
      <w:r>
        <w:tab/>
        <w:t>(b)</w:t>
      </w:r>
      <w:r>
        <w:tab/>
        <w:t>by the operator of a business manufacturing vehicles wishing to licence a vehicle manufactured in that business.</w:t>
      </w:r>
    </w:p>
    <w:p w:rsidR="006724FB" w:rsidRDefault="006724FB">
      <w:pPr>
        <w:pStyle w:val="Subsection"/>
      </w:pPr>
      <w:r>
        <w:tab/>
        <w:t>(2)</w:t>
      </w:r>
      <w:r>
        <w:tab/>
        <w:t>The fee mentioned in subregulation (1) is not payable in respect of a particular vehicle if the vehicle is examined under regulation 24(1) or (2).</w:t>
      </w:r>
    </w:p>
    <w:p w:rsidR="006724FB" w:rsidRDefault="006724FB">
      <w:pPr>
        <w:pStyle w:val="Subsection"/>
      </w:pPr>
      <w:r>
        <w:tab/>
        <w:t>(3)</w:t>
      </w:r>
      <w:r>
        <w:tab/>
        <w:t>The fee mentioned in subregulation (1) is in addition to any charge payable under regulation 53 in relation to the vehicle.</w:t>
      </w:r>
    </w:p>
    <w:p w:rsidR="006724FB" w:rsidRDefault="006724FB">
      <w:pPr>
        <w:pStyle w:val="Footnotesection"/>
      </w:pPr>
      <w:r>
        <w:tab/>
        <w:t>[Regulation 98 amended: Gazette 12 Jun 2015 p. 2039; 14 Jun 2016 p. 1999; 23 Jun 2017 p. 3268; 31 May 2019 p. 1726; SL 2020/74 r. 9</w:t>
      </w:r>
      <w:r w:rsidR="00857959">
        <w:t>; SL 2021/92 r. 20</w:t>
      </w:r>
      <w:r>
        <w:t>.]</w:t>
      </w:r>
    </w:p>
    <w:p w:rsidR="006724FB" w:rsidRDefault="006724FB">
      <w:pPr>
        <w:pStyle w:val="Heading5"/>
      </w:pPr>
      <w:bookmarkStart w:id="172" w:name="_Toc75875642"/>
      <w:r>
        <w:rPr>
          <w:rStyle w:val="CharSectno"/>
        </w:rPr>
        <w:t>99</w:t>
      </w:r>
      <w:r>
        <w:t>.</w:t>
      </w:r>
      <w:r>
        <w:tab/>
        <w:t>Recording fees</w:t>
      </w:r>
      <w:bookmarkEnd w:id="172"/>
    </w:p>
    <w:p w:rsidR="006724FB" w:rsidRDefault="006724FB">
      <w:pPr>
        <w:pStyle w:val="Subsection"/>
      </w:pPr>
      <w:r>
        <w:tab/>
        <w:t>(1)</w:t>
      </w:r>
      <w:r>
        <w:tab/>
        <w:t>A recording fee of $10.30 is payable in respect of the grant or renewal of a vehicle licence for a vehicle (other than a heavy vehicle).</w:t>
      </w:r>
    </w:p>
    <w:p w:rsidR="006724FB" w:rsidRDefault="006724FB">
      <w:pPr>
        <w:pStyle w:val="Subsection"/>
      </w:pPr>
      <w:r>
        <w:tab/>
        <w:t>(2)</w:t>
      </w:r>
      <w:r>
        <w:tab/>
        <w:t>A recording fee of $10.30 is payable in respect of the grant or renewal of a vehicle licence for a heavy vehicle.</w:t>
      </w:r>
    </w:p>
    <w:p w:rsidR="006724FB" w:rsidRDefault="006724FB">
      <w:pPr>
        <w:pStyle w:val="Footnotesection"/>
      </w:pPr>
      <w:r>
        <w:lastRenderedPageBreak/>
        <w:tab/>
        <w:t>[Regulation 99 amended: Gazette 12 Jun 2015 p. 2039; 14 Jun 2016 p. 1999; 22 Jun 2018 p. 2191; 17 May 2019 p. 1440.]</w:t>
      </w:r>
    </w:p>
    <w:p w:rsidR="006724FB" w:rsidRDefault="006724FB">
      <w:pPr>
        <w:pStyle w:val="Heading5"/>
      </w:pPr>
      <w:bookmarkStart w:id="173" w:name="_Toc75875643"/>
      <w:r>
        <w:rPr>
          <w:rStyle w:val="CharSectno"/>
        </w:rPr>
        <w:t>100</w:t>
      </w:r>
      <w:r>
        <w:t>.</w:t>
      </w:r>
      <w:r>
        <w:tab/>
        <w:t>Transfer fee</w:t>
      </w:r>
      <w:bookmarkEnd w:id="173"/>
    </w:p>
    <w:p w:rsidR="006724FB" w:rsidRDefault="006724FB">
      <w:pPr>
        <w:pStyle w:val="Subsection"/>
        <w:keepNext/>
      </w:pPr>
      <w:r>
        <w:tab/>
      </w:r>
      <w:r>
        <w:tab/>
        <w:t xml:space="preserve">A fee of </w:t>
      </w:r>
      <w:r w:rsidR="00857959">
        <w:t>$18.90</w:t>
      </w:r>
      <w:r>
        <w:t xml:space="preserve"> is payable in respect of the transfer of a vehicle licence.</w:t>
      </w:r>
    </w:p>
    <w:p w:rsidR="006724FB" w:rsidRDefault="006724FB">
      <w:pPr>
        <w:pStyle w:val="Footnotesection"/>
      </w:pPr>
      <w:r>
        <w:tab/>
        <w:t>[Regulation 100 amended: Gazette 12 Jun 2015 p. 2039; 14 Jun 2016 p. 1999; 22 Jun 2018 p. 2191; 31 May 2019 p. 1726; SL 2020/74 r. 9</w:t>
      </w:r>
      <w:r w:rsidR="00857959">
        <w:t>; SL 2021/92 r. 20</w:t>
      </w:r>
      <w:r>
        <w:t>.]</w:t>
      </w:r>
    </w:p>
    <w:p w:rsidR="006724FB" w:rsidRDefault="006724FB">
      <w:pPr>
        <w:pStyle w:val="Heading5"/>
      </w:pPr>
      <w:bookmarkStart w:id="174" w:name="_Toc75875644"/>
      <w:r>
        <w:rPr>
          <w:rStyle w:val="CharSectno"/>
        </w:rPr>
        <w:t>101</w:t>
      </w:r>
      <w:r>
        <w:t>.</w:t>
      </w:r>
      <w:r>
        <w:tab/>
        <w:t>Fee for issuing duplicate tax invoices for fees paid</w:t>
      </w:r>
      <w:bookmarkEnd w:id="174"/>
    </w:p>
    <w:p w:rsidR="006724FB" w:rsidRDefault="006724FB">
      <w:pPr>
        <w:pStyle w:val="Subsection"/>
      </w:pPr>
      <w:r>
        <w:tab/>
      </w:r>
      <w:r>
        <w:tab/>
        <w:t xml:space="preserve">A fee of $3.95 is payable for a duplicate tax invoice in respect of these — </w:t>
      </w:r>
    </w:p>
    <w:p w:rsidR="006724FB" w:rsidRDefault="006724FB">
      <w:pPr>
        <w:pStyle w:val="Indenta"/>
      </w:pPr>
      <w:r>
        <w:tab/>
        <w:t>(a)</w:t>
      </w:r>
      <w:r>
        <w:tab/>
        <w:t>a vehicle licence renewal notice;</w:t>
      </w:r>
    </w:p>
    <w:p w:rsidR="006724FB" w:rsidRDefault="006724FB">
      <w:pPr>
        <w:pStyle w:val="Indenta"/>
      </w:pPr>
      <w:r>
        <w:tab/>
        <w:t>(b)</w:t>
      </w:r>
      <w:r>
        <w:tab/>
        <w:t>a vehicle licence renewal receipt;</w:t>
      </w:r>
    </w:p>
    <w:p w:rsidR="006724FB" w:rsidRDefault="006724FB">
      <w:pPr>
        <w:pStyle w:val="Indenta"/>
      </w:pPr>
      <w:r>
        <w:tab/>
        <w:t>(c)</w:t>
      </w:r>
      <w:r>
        <w:tab/>
        <w:t>a new vehicle licence;</w:t>
      </w:r>
    </w:p>
    <w:p w:rsidR="006724FB" w:rsidRDefault="006724FB">
      <w:pPr>
        <w:pStyle w:val="Indenta"/>
      </w:pPr>
      <w:r>
        <w:tab/>
        <w:t>(d)</w:t>
      </w:r>
      <w:r>
        <w:tab/>
        <w:t>a vehicle fee adjustment;</w:t>
      </w:r>
    </w:p>
    <w:p w:rsidR="006724FB" w:rsidRDefault="006724FB">
      <w:pPr>
        <w:pStyle w:val="Indenta"/>
      </w:pPr>
      <w:r>
        <w:tab/>
        <w:t>(e)</w:t>
      </w:r>
      <w:r>
        <w:tab/>
        <w:t>a vehicle inspection receipt;</w:t>
      </w:r>
    </w:p>
    <w:p w:rsidR="006724FB" w:rsidRDefault="006724FB">
      <w:pPr>
        <w:pStyle w:val="Indenta"/>
      </w:pPr>
      <w:r>
        <w:tab/>
        <w:t>(f)</w:t>
      </w:r>
      <w:r>
        <w:tab/>
        <w:t>a temporary permit for the movement of an unlicensed vehicle.</w:t>
      </w:r>
    </w:p>
    <w:p w:rsidR="006724FB" w:rsidRDefault="006724FB">
      <w:pPr>
        <w:pStyle w:val="Footnotesection"/>
      </w:pPr>
      <w:r>
        <w:tab/>
        <w:t>[Regulation 101 amended: Gazette 12 Jun 2015 p. 2039; 14 Jun 2016 p. 1999; 23 Jun 2017 p. 3268; 22 Jun 2018 p. 2191; 31 May 2019 p. 1726.]</w:t>
      </w:r>
    </w:p>
    <w:p w:rsidR="006724FB" w:rsidRDefault="006724FB">
      <w:pPr>
        <w:pStyle w:val="Heading4"/>
      </w:pPr>
      <w:bookmarkStart w:id="175" w:name="_Toc75419722"/>
      <w:bookmarkStart w:id="176" w:name="_Toc75427057"/>
      <w:bookmarkStart w:id="177" w:name="_Toc75872473"/>
      <w:bookmarkStart w:id="178" w:name="_Toc75875645"/>
      <w:r>
        <w:lastRenderedPageBreak/>
        <w:t>Subdivision 3 — Exemptions, refunds</w:t>
      </w:r>
      <w:bookmarkEnd w:id="175"/>
      <w:bookmarkEnd w:id="176"/>
      <w:bookmarkEnd w:id="177"/>
      <w:bookmarkEnd w:id="178"/>
    </w:p>
    <w:p w:rsidR="006724FB" w:rsidRDefault="006724FB">
      <w:pPr>
        <w:pStyle w:val="Heading5"/>
        <w:rPr>
          <w:snapToGrid w:val="0"/>
        </w:rPr>
      </w:pPr>
      <w:bookmarkStart w:id="179" w:name="_Toc75875646"/>
      <w:r>
        <w:rPr>
          <w:rStyle w:val="CharSectno"/>
        </w:rPr>
        <w:t>102</w:t>
      </w:r>
      <w:r>
        <w:t>.</w:t>
      </w:r>
      <w:r>
        <w:tab/>
        <w:t>P</w:t>
      </w:r>
      <w:r>
        <w:rPr>
          <w:snapToGrid w:val="0"/>
        </w:rPr>
        <w:t xml:space="preserve">ower to give </w:t>
      </w:r>
      <w:r>
        <w:t>e</w:t>
      </w:r>
      <w:r>
        <w:rPr>
          <w:snapToGrid w:val="0"/>
        </w:rPr>
        <w:t>xemption or refund in exceptional circumstances</w:t>
      </w:r>
      <w:bookmarkEnd w:id="179"/>
    </w:p>
    <w:p w:rsidR="006724FB" w:rsidRDefault="006724FB">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rsidR="006724FB" w:rsidRDefault="006724FB">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rsidR="006724FB" w:rsidRDefault="006724FB">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rsidR="006724FB" w:rsidRDefault="006724FB">
      <w:pPr>
        <w:pStyle w:val="Subsection"/>
        <w:rPr>
          <w:snapToGrid w:val="0"/>
        </w:rPr>
      </w:pPr>
      <w:r>
        <w:rPr>
          <w:snapToGrid w:val="0"/>
        </w:rPr>
        <w:tab/>
        <w:t>(2)</w:t>
      </w:r>
      <w:r>
        <w:rPr>
          <w:snapToGrid w:val="0"/>
        </w:rPr>
        <w:tab/>
        <w:t>The CEO may, in writing given to a person exempted under subregulation (1)(b), vary or revoke the exemption.</w:t>
      </w:r>
    </w:p>
    <w:p w:rsidR="006724FB" w:rsidRDefault="006724FB">
      <w:pPr>
        <w:pStyle w:val="Subsection"/>
        <w:rPr>
          <w:snapToGrid w:val="0"/>
        </w:rPr>
      </w:pPr>
      <w:r>
        <w:rPr>
          <w:snapToGrid w:val="0"/>
        </w:rPr>
        <w:tab/>
        <w:t>(3)</w:t>
      </w:r>
      <w:r>
        <w:rPr>
          <w:snapToGrid w:val="0"/>
        </w:rPr>
        <w:tab/>
        <w:t>An exemption may be given subject to the conditions imposed by the CEO and specified in the exemption.</w:t>
      </w:r>
    </w:p>
    <w:p w:rsidR="006724FB" w:rsidRDefault="006724FB">
      <w:pPr>
        <w:pStyle w:val="Subsection"/>
        <w:rPr>
          <w:snapToGrid w:val="0"/>
        </w:rPr>
      </w:pPr>
      <w:r>
        <w:rPr>
          <w:snapToGrid w:val="0"/>
        </w:rPr>
        <w:tab/>
        <w:t>(4)</w:t>
      </w:r>
      <w:r>
        <w:rPr>
          <w:snapToGrid w:val="0"/>
        </w:rPr>
        <w:tab/>
        <w:t>A person must not contravene a condition of an exemption.</w:t>
      </w:r>
    </w:p>
    <w:p w:rsidR="006724FB" w:rsidRDefault="006724FB">
      <w:pPr>
        <w:pStyle w:val="Penstart"/>
      </w:pPr>
      <w:r>
        <w:tab/>
        <w:t>Penalty for an offence under this subregulation: a fine of 8 PU.</w:t>
      </w:r>
    </w:p>
    <w:p w:rsidR="006724FB" w:rsidRDefault="006724FB">
      <w:pPr>
        <w:pStyle w:val="Heading2"/>
      </w:pPr>
      <w:bookmarkStart w:id="180" w:name="_Toc75419724"/>
      <w:bookmarkStart w:id="181" w:name="_Toc75427059"/>
      <w:bookmarkStart w:id="182" w:name="_Toc75872475"/>
      <w:bookmarkStart w:id="183" w:name="_Toc75875647"/>
      <w:r>
        <w:rPr>
          <w:rStyle w:val="CharPartNo"/>
        </w:rPr>
        <w:lastRenderedPageBreak/>
        <w:t>Part 3</w:t>
      </w:r>
      <w:r>
        <w:rPr>
          <w:rStyle w:val="CharDivNo"/>
        </w:rPr>
        <w:t> </w:t>
      </w:r>
      <w:r>
        <w:t>—</w:t>
      </w:r>
      <w:r>
        <w:rPr>
          <w:rStyle w:val="CharDivText"/>
        </w:rPr>
        <w:t> </w:t>
      </w:r>
      <w:r>
        <w:rPr>
          <w:rStyle w:val="CharPartText"/>
        </w:rPr>
        <w:t>Overseas vehicles when temporarily in Australia</w:t>
      </w:r>
      <w:bookmarkEnd w:id="180"/>
      <w:bookmarkEnd w:id="181"/>
      <w:bookmarkEnd w:id="182"/>
      <w:bookmarkEnd w:id="183"/>
    </w:p>
    <w:p w:rsidR="006724FB" w:rsidRDefault="006724FB">
      <w:pPr>
        <w:pStyle w:val="Heading5"/>
      </w:pPr>
      <w:bookmarkStart w:id="184" w:name="_Toc75875648"/>
      <w:r>
        <w:rPr>
          <w:rStyle w:val="CharSectno"/>
        </w:rPr>
        <w:t>103</w:t>
      </w:r>
      <w:r>
        <w:t>.</w:t>
      </w:r>
      <w:r>
        <w:tab/>
        <w:t>Terms used</w:t>
      </w:r>
      <w:bookmarkEnd w:id="184"/>
    </w:p>
    <w:p w:rsidR="006724FB" w:rsidRDefault="006724FB">
      <w:pPr>
        <w:pStyle w:val="Subsection"/>
      </w:pPr>
      <w:r>
        <w:tab/>
      </w:r>
      <w:r>
        <w:tab/>
        <w:t xml:space="preserve">In this Part — </w:t>
      </w:r>
    </w:p>
    <w:p w:rsidR="006724FB" w:rsidRDefault="006724FB">
      <w:pPr>
        <w:pStyle w:val="Defstart"/>
      </w:pPr>
      <w:r>
        <w:tab/>
      </w:r>
      <w:r>
        <w:rPr>
          <w:rStyle w:val="CharDefText"/>
        </w:rPr>
        <w:t>application</w:t>
      </w:r>
      <w:r>
        <w:t xml:space="preserve"> means an application under section 22 or 24;</w:t>
      </w:r>
    </w:p>
    <w:p w:rsidR="006724FB" w:rsidRDefault="006724FB">
      <w:pPr>
        <w:pStyle w:val="Defstart"/>
      </w:pPr>
      <w:r>
        <w:tab/>
      </w:r>
      <w:r>
        <w:rPr>
          <w:rStyle w:val="CharDefText"/>
        </w:rPr>
        <w:t>contract of insurance</w:t>
      </w:r>
      <w:r>
        <w:t xml:space="preserve"> means a contract of insurance mentioned in section 22(2)(b) or 24(2)(c);</w:t>
      </w:r>
    </w:p>
    <w:p w:rsidR="006724FB" w:rsidRDefault="006724FB">
      <w:pPr>
        <w:pStyle w:val="Defstart"/>
      </w:pPr>
      <w:r>
        <w:tab/>
      </w:r>
      <w:r>
        <w:rPr>
          <w:rStyle w:val="CharDefText"/>
        </w:rPr>
        <w:t>licence</w:t>
      </w:r>
      <w:r>
        <w:t>, in relation to an overseas vehicle, has the meaning given by section 20;</w:t>
      </w:r>
    </w:p>
    <w:p w:rsidR="006724FB" w:rsidRDefault="006724FB">
      <w:pPr>
        <w:pStyle w:val="Defstart"/>
      </w:pPr>
      <w:r>
        <w:tab/>
      </w:r>
      <w:r>
        <w:rPr>
          <w:rStyle w:val="CharDefText"/>
        </w:rPr>
        <w:t>overseas vehicle</w:t>
      </w:r>
      <w:r>
        <w:t xml:space="preserve"> has the meaning given in section 20.</w:t>
      </w:r>
    </w:p>
    <w:p w:rsidR="006724FB" w:rsidRDefault="006724FB">
      <w:pPr>
        <w:pStyle w:val="Heading5"/>
        <w:rPr>
          <w:snapToGrid w:val="0"/>
        </w:rPr>
      </w:pPr>
      <w:bookmarkStart w:id="185" w:name="_Toc75875649"/>
      <w:r>
        <w:rPr>
          <w:rStyle w:val="CharSectno"/>
        </w:rPr>
        <w:t>104</w:t>
      </w:r>
      <w:r>
        <w:t>.</w:t>
      </w:r>
      <w:r>
        <w:tab/>
      </w:r>
      <w:r>
        <w:rPr>
          <w:snapToGrid w:val="0"/>
        </w:rPr>
        <w:t>Applications for vehicle licence, extension or renewal of vehicle licence for overseas vehicles</w:t>
      </w:r>
      <w:bookmarkEnd w:id="185"/>
    </w:p>
    <w:p w:rsidR="006724FB" w:rsidRDefault="006724FB">
      <w:pPr>
        <w:pStyle w:val="Subsection"/>
        <w:rPr>
          <w:snapToGrid w:val="0"/>
        </w:rPr>
      </w:pPr>
      <w:r>
        <w:rPr>
          <w:snapToGrid w:val="0"/>
        </w:rPr>
        <w:tab/>
      </w:r>
      <w:r>
        <w:rPr>
          <w:snapToGrid w:val="0"/>
        </w:rPr>
        <w:tab/>
        <w:t xml:space="preserve">An application under section 22(1) or 24(1) must set out — </w:t>
      </w:r>
    </w:p>
    <w:p w:rsidR="006724FB" w:rsidRDefault="006724FB">
      <w:pPr>
        <w:pStyle w:val="Indenta"/>
        <w:rPr>
          <w:snapToGrid w:val="0"/>
        </w:rPr>
      </w:pPr>
      <w:r>
        <w:rPr>
          <w:snapToGrid w:val="0"/>
        </w:rPr>
        <w:tab/>
        <w:t>(a)</w:t>
      </w:r>
      <w:r>
        <w:rPr>
          <w:snapToGrid w:val="0"/>
        </w:rPr>
        <w:tab/>
        <w:t>the full name and permanent overseas address of the owner of the vehicle; and</w:t>
      </w:r>
    </w:p>
    <w:p w:rsidR="006724FB" w:rsidRDefault="006724FB">
      <w:pPr>
        <w:pStyle w:val="Indenta"/>
        <w:rPr>
          <w:snapToGrid w:val="0"/>
        </w:rPr>
      </w:pPr>
      <w:r>
        <w:rPr>
          <w:snapToGrid w:val="0"/>
        </w:rPr>
        <w:tab/>
        <w:t>(b)</w:t>
      </w:r>
      <w:r>
        <w:rPr>
          <w:snapToGrid w:val="0"/>
        </w:rPr>
        <w:tab/>
        <w:t>the owner’s principal addresses while in Australia and in this State; and</w:t>
      </w:r>
    </w:p>
    <w:p w:rsidR="006724FB" w:rsidRDefault="006724FB">
      <w:pPr>
        <w:pStyle w:val="Indenta"/>
        <w:rPr>
          <w:snapToGrid w:val="0"/>
        </w:rPr>
      </w:pPr>
      <w:r>
        <w:rPr>
          <w:snapToGrid w:val="0"/>
        </w:rPr>
        <w:tab/>
        <w:t>(c)</w:t>
      </w:r>
      <w:r>
        <w:rPr>
          <w:snapToGrid w:val="0"/>
        </w:rPr>
        <w:tab/>
        <w:t>a description of the vehicle that enables its identification; and</w:t>
      </w:r>
    </w:p>
    <w:p w:rsidR="006724FB" w:rsidRDefault="006724FB">
      <w:pPr>
        <w:pStyle w:val="Indenta"/>
        <w:rPr>
          <w:snapToGrid w:val="0"/>
        </w:rPr>
      </w:pPr>
      <w:r>
        <w:rPr>
          <w:snapToGrid w:val="0"/>
        </w:rPr>
        <w:tab/>
        <w:t>(d)</w:t>
      </w:r>
      <w:r>
        <w:rPr>
          <w:snapToGrid w:val="0"/>
        </w:rPr>
        <w:tab/>
        <w:t xml:space="preserve">details relating to — </w:t>
      </w:r>
    </w:p>
    <w:p w:rsidR="006724FB" w:rsidRDefault="006724FB">
      <w:pPr>
        <w:pStyle w:val="Indenti"/>
        <w:rPr>
          <w:snapToGrid w:val="0"/>
        </w:rPr>
      </w:pPr>
      <w:r>
        <w:rPr>
          <w:snapToGrid w:val="0"/>
        </w:rPr>
        <w:tab/>
        <w:t>(i)</w:t>
      </w:r>
      <w:r>
        <w:rPr>
          <w:snapToGrid w:val="0"/>
        </w:rPr>
        <w:tab/>
        <w:t>the arrival of the vehicle in, and the proposed removal of the vehicle out of, the Commonwealth and the State; and</w:t>
      </w:r>
    </w:p>
    <w:p w:rsidR="006724FB" w:rsidRDefault="006724FB">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rsidR="006724FB" w:rsidRDefault="006724FB">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rsidR="006724FB" w:rsidRDefault="006724FB">
      <w:pPr>
        <w:pStyle w:val="Indenti"/>
        <w:rPr>
          <w:snapToGrid w:val="0"/>
        </w:rPr>
      </w:pPr>
      <w:r>
        <w:rPr>
          <w:snapToGrid w:val="0"/>
        </w:rPr>
        <w:tab/>
        <w:t>(iv)</w:t>
      </w:r>
      <w:r>
        <w:rPr>
          <w:snapToGrid w:val="0"/>
        </w:rPr>
        <w:tab/>
        <w:t>the Third Party Insurance Policy required to be held in respect of the vehicle.</w:t>
      </w:r>
    </w:p>
    <w:p w:rsidR="006724FB" w:rsidRDefault="006724FB">
      <w:pPr>
        <w:pStyle w:val="Heading5"/>
      </w:pPr>
      <w:bookmarkStart w:id="186" w:name="_Toc75875650"/>
      <w:r>
        <w:rPr>
          <w:rStyle w:val="CharSectno"/>
        </w:rPr>
        <w:lastRenderedPageBreak/>
        <w:t>105</w:t>
      </w:r>
      <w:r>
        <w:t>.</w:t>
      </w:r>
      <w:r>
        <w:tab/>
        <w:t>Prescribed standards and requirements</w:t>
      </w:r>
      <w:bookmarkEnd w:id="186"/>
    </w:p>
    <w:p w:rsidR="006724FB" w:rsidRDefault="006724FB">
      <w:pPr>
        <w:pStyle w:val="Subsection"/>
      </w:pPr>
      <w:r>
        <w:tab/>
      </w:r>
      <w:r>
        <w:tab/>
        <w:t>For sections 22(2)(d) and 24(2)(e), the standards and requirements for an overseas vehicle are the standards and requirements set out in Parts 8, 10 and 11 that apply to that kind of motor vehicle.</w:t>
      </w:r>
    </w:p>
    <w:p w:rsidR="006724FB" w:rsidRDefault="006724FB">
      <w:pPr>
        <w:pStyle w:val="Heading5"/>
      </w:pPr>
      <w:bookmarkStart w:id="187" w:name="_Toc75875651"/>
      <w:r>
        <w:rPr>
          <w:rStyle w:val="CharSectno"/>
        </w:rPr>
        <w:t>106</w:t>
      </w:r>
      <w:r>
        <w:t>.</w:t>
      </w:r>
      <w:r>
        <w:tab/>
        <w:t>Further information</w:t>
      </w:r>
      <w:bookmarkEnd w:id="187"/>
    </w:p>
    <w:p w:rsidR="006724FB" w:rsidRDefault="006724FB">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rsidR="006724FB" w:rsidRDefault="006724FB">
      <w:pPr>
        <w:pStyle w:val="Subsection"/>
      </w:pPr>
      <w:r>
        <w:tab/>
        <w:t>(2)</w:t>
      </w:r>
      <w:r>
        <w:tab/>
        <w:t>The CEO may refuse to consider an application if the applicant does not comply with a requirement under subregulation (1) within the specified time.</w:t>
      </w:r>
    </w:p>
    <w:p w:rsidR="006724FB" w:rsidRDefault="006724FB">
      <w:pPr>
        <w:pStyle w:val="Heading5"/>
      </w:pPr>
      <w:bookmarkStart w:id="188" w:name="_Toc75875652"/>
      <w:r>
        <w:rPr>
          <w:rStyle w:val="CharSectno"/>
        </w:rPr>
        <w:t>107</w:t>
      </w:r>
      <w:r>
        <w:t>.</w:t>
      </w:r>
      <w:r>
        <w:tab/>
        <w:t>Fees for temporary number plates</w:t>
      </w:r>
      <w:bookmarkEnd w:id="188"/>
    </w:p>
    <w:p w:rsidR="006724FB" w:rsidRDefault="006724FB">
      <w:pPr>
        <w:pStyle w:val="Subsection"/>
      </w:pPr>
      <w:r>
        <w:tab/>
      </w:r>
      <w:r>
        <w:tab/>
        <w:t xml:space="preserve">For section 26(2), the fee for the issue of a temporary number plate or set of temporary number plates is </w:t>
      </w:r>
      <w:r w:rsidR="00857959">
        <w:t>$30.50</w:t>
      </w:r>
      <w:r>
        <w:t>.</w:t>
      </w:r>
    </w:p>
    <w:p w:rsidR="006724FB" w:rsidRDefault="006724FB">
      <w:pPr>
        <w:pStyle w:val="Footnotesection"/>
      </w:pPr>
      <w:r>
        <w:tab/>
        <w:t>[Regulation 107 amended: Gazette 12 Jun 2015 p. 2039; 14 Jun 2016 p. 1999; 23 Jun 2017 p. 3268; 22 Jun 2018 p. 2191; 31 May 2019 p. 1726; SL 2020/74 r. 9</w:t>
      </w:r>
      <w:r w:rsidR="00857959">
        <w:t>; SL 2021/92 r. 20</w:t>
      </w:r>
      <w:r>
        <w:t>.]</w:t>
      </w:r>
    </w:p>
    <w:p w:rsidR="006724FB" w:rsidRDefault="006724FB">
      <w:pPr>
        <w:pStyle w:val="Heading5"/>
      </w:pPr>
      <w:bookmarkStart w:id="189" w:name="_Toc75875653"/>
      <w:r>
        <w:rPr>
          <w:rStyle w:val="CharSectno"/>
        </w:rPr>
        <w:t>108</w:t>
      </w:r>
      <w:r>
        <w:t>.</w:t>
      </w:r>
      <w:r>
        <w:tab/>
        <w:t>Return of temporary plates for overseas vehicles</w:t>
      </w:r>
      <w:bookmarkEnd w:id="189"/>
    </w:p>
    <w:p w:rsidR="006724FB" w:rsidRDefault="006724FB">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rsidR="006724FB" w:rsidRDefault="006724FB">
      <w:pPr>
        <w:pStyle w:val="Penstart"/>
      </w:pPr>
      <w:r>
        <w:tab/>
        <w:t xml:space="preserve">Penalty: </w:t>
      </w:r>
    </w:p>
    <w:p w:rsidR="006724FB" w:rsidRDefault="006724FB">
      <w:pPr>
        <w:pStyle w:val="Penpara"/>
      </w:pPr>
      <w:r>
        <w:tab/>
        <w:t>(a)</w:t>
      </w:r>
      <w:r>
        <w:tab/>
        <w:t>for a first offence, a fine of 4 PU;</w:t>
      </w:r>
    </w:p>
    <w:p w:rsidR="006724FB" w:rsidRDefault="006724FB" w:rsidP="00791964">
      <w:pPr>
        <w:pStyle w:val="Penpara"/>
        <w:keepNext/>
      </w:pPr>
      <w:r>
        <w:lastRenderedPageBreak/>
        <w:tab/>
        <w:t>(b)</w:t>
      </w:r>
      <w:r>
        <w:tab/>
        <w:t>for a subsequent offence, a fine of 8 PU.</w:t>
      </w:r>
    </w:p>
    <w:p w:rsidR="006724FB" w:rsidRDefault="006724FB">
      <w:pPr>
        <w:pStyle w:val="Penstart"/>
      </w:pPr>
      <w:r>
        <w:tab/>
        <w:t>Modified penalty: 1 PU.</w:t>
      </w:r>
    </w:p>
    <w:p w:rsidR="006724FB" w:rsidRDefault="006724FB">
      <w:pPr>
        <w:pStyle w:val="Heading2"/>
      </w:pPr>
      <w:bookmarkStart w:id="190" w:name="_Toc75419731"/>
      <w:bookmarkStart w:id="191" w:name="_Toc75427066"/>
      <w:bookmarkStart w:id="192" w:name="_Toc75872482"/>
      <w:bookmarkStart w:id="193" w:name="_Toc75875654"/>
      <w:r>
        <w:rPr>
          <w:rStyle w:val="CharPartNo"/>
        </w:rPr>
        <w:lastRenderedPageBreak/>
        <w:t>Part 4</w:t>
      </w:r>
      <w:r>
        <w:t> — </w:t>
      </w:r>
      <w:r>
        <w:rPr>
          <w:rStyle w:val="CharPartText"/>
        </w:rPr>
        <w:t>Number plates</w:t>
      </w:r>
      <w:bookmarkEnd w:id="190"/>
      <w:bookmarkEnd w:id="191"/>
      <w:bookmarkEnd w:id="192"/>
      <w:bookmarkEnd w:id="193"/>
    </w:p>
    <w:p w:rsidR="006724FB" w:rsidRDefault="006724FB">
      <w:pPr>
        <w:pStyle w:val="Heading3"/>
      </w:pPr>
      <w:bookmarkStart w:id="194" w:name="_Toc75419732"/>
      <w:bookmarkStart w:id="195" w:name="_Toc75427067"/>
      <w:bookmarkStart w:id="196" w:name="_Toc75872483"/>
      <w:bookmarkStart w:id="197" w:name="_Toc75875655"/>
      <w:r>
        <w:rPr>
          <w:rStyle w:val="CharDivNo"/>
        </w:rPr>
        <w:t>Division 1</w:t>
      </w:r>
      <w:r>
        <w:t> — </w:t>
      </w:r>
      <w:r>
        <w:rPr>
          <w:rStyle w:val="CharDivText"/>
        </w:rPr>
        <w:t>Preliminary</w:t>
      </w:r>
      <w:bookmarkEnd w:id="194"/>
      <w:bookmarkEnd w:id="195"/>
      <w:bookmarkEnd w:id="196"/>
      <w:bookmarkEnd w:id="197"/>
    </w:p>
    <w:p w:rsidR="006724FB" w:rsidRDefault="006724FB">
      <w:pPr>
        <w:pStyle w:val="Heading5"/>
      </w:pPr>
      <w:bookmarkStart w:id="198" w:name="_Toc75875656"/>
      <w:r>
        <w:rPr>
          <w:rStyle w:val="CharSectno"/>
        </w:rPr>
        <w:t>109</w:t>
      </w:r>
      <w:r>
        <w:t>.</w:t>
      </w:r>
      <w:r>
        <w:tab/>
        <w:t>Terms used</w:t>
      </w:r>
      <w:bookmarkEnd w:id="198"/>
    </w:p>
    <w:p w:rsidR="006724FB" w:rsidRDefault="006724FB">
      <w:pPr>
        <w:pStyle w:val="Subsection"/>
      </w:pPr>
      <w:r>
        <w:tab/>
      </w:r>
      <w:r>
        <w:tab/>
        <w:t xml:space="preserve">In this Part — </w:t>
      </w:r>
    </w:p>
    <w:p w:rsidR="006724FB" w:rsidRDefault="006724FB">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rsidR="006724FB" w:rsidRDefault="006724FB">
      <w:pPr>
        <w:pStyle w:val="Defstart"/>
      </w:pPr>
      <w:r>
        <w:tab/>
      </w:r>
      <w:r>
        <w:rPr>
          <w:rStyle w:val="CharDefText"/>
        </w:rPr>
        <w:t>authorised passenger transport vehicle</w:t>
      </w:r>
      <w:r>
        <w:t xml:space="preserve"> means a vehicle in relation to which a passenger transport vehicle authorisation is in force;</w:t>
      </w:r>
    </w:p>
    <w:p w:rsidR="006724FB" w:rsidRDefault="006724FB">
      <w:pPr>
        <w:pStyle w:val="Defstart"/>
      </w:pPr>
      <w:r>
        <w:tab/>
      </w:r>
      <w:r>
        <w:rPr>
          <w:rStyle w:val="CharDefText"/>
        </w:rPr>
        <w:t>imitation plate</w:t>
      </w:r>
      <w:r>
        <w:t xml:space="preserve"> means — </w:t>
      </w:r>
    </w:p>
    <w:p w:rsidR="006724FB" w:rsidRDefault="006724FB">
      <w:pPr>
        <w:pStyle w:val="Defpara"/>
      </w:pPr>
      <w:r>
        <w:tab/>
        <w:t>(a)</w:t>
      </w:r>
      <w:r>
        <w:tab/>
        <w:t>a replica or imitation of a number plate issued by the CEO or a corresponding authority; or</w:t>
      </w:r>
    </w:p>
    <w:p w:rsidR="006724FB" w:rsidRDefault="006724FB">
      <w:pPr>
        <w:pStyle w:val="Defpara"/>
      </w:pPr>
      <w:r>
        <w:tab/>
        <w:t>(b)</w:t>
      </w:r>
      <w:r>
        <w:tab/>
        <w:t>an article that is so similar to a number plate issued by the CEO or a corresponding authority that it is likely to be confused with such a number plate;</w:t>
      </w:r>
    </w:p>
    <w:p w:rsidR="006724FB" w:rsidRDefault="006724FB">
      <w:pPr>
        <w:pStyle w:val="Defstart"/>
      </w:pPr>
      <w:r>
        <w:tab/>
      </w:r>
      <w:r>
        <w:rPr>
          <w:rStyle w:val="CharDefText"/>
        </w:rPr>
        <w:t>name plate</w:t>
      </w:r>
      <w:r>
        <w:t xml:space="preserve"> means a name plate issued under regulation 125(1);</w:t>
      </w:r>
    </w:p>
    <w:p w:rsidR="006724FB" w:rsidRDefault="006724FB">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rsidR="006724FB" w:rsidRDefault="006724FB">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rsidR="006724FB" w:rsidRDefault="006724FB">
      <w:pPr>
        <w:pStyle w:val="Defstart"/>
      </w:pPr>
      <w:r>
        <w:rPr>
          <w:b/>
        </w:rPr>
        <w:tab/>
      </w:r>
      <w:r>
        <w:rPr>
          <w:rStyle w:val="CharDefText"/>
        </w:rPr>
        <w:t>ordinary plate</w:t>
      </w:r>
      <w:r>
        <w:t xml:space="preserve"> means a number plate issued by the CEO that is not a name plate, personalised plate, special plate or trade plate;</w:t>
      </w:r>
    </w:p>
    <w:p w:rsidR="006724FB" w:rsidRDefault="006724FB">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rsidR="006724FB" w:rsidRDefault="006724FB">
      <w:pPr>
        <w:pStyle w:val="Defstart"/>
      </w:pPr>
      <w:r>
        <w:tab/>
      </w:r>
      <w:r>
        <w:rPr>
          <w:rStyle w:val="CharDefText"/>
        </w:rPr>
        <w:t>passenger transport vehicle</w:t>
      </w:r>
      <w:r>
        <w:t xml:space="preserve"> has the meaning given in the </w:t>
      </w:r>
      <w:r>
        <w:rPr>
          <w:i/>
        </w:rPr>
        <w:t>Transport (Road Passenger Services) Act 2018</w:t>
      </w:r>
      <w:r>
        <w:t xml:space="preserve"> section 4(1);</w:t>
      </w:r>
    </w:p>
    <w:p w:rsidR="006724FB" w:rsidRDefault="006724FB">
      <w:pPr>
        <w:pStyle w:val="Defstart"/>
      </w:pPr>
      <w:r>
        <w:lastRenderedPageBreak/>
        <w:tab/>
      </w:r>
      <w:r>
        <w:rPr>
          <w:rStyle w:val="CharDefText"/>
        </w:rPr>
        <w:t>passenger transport vehicle authorisation</w:t>
      </w:r>
      <w:r>
        <w:t xml:space="preserve"> has the meaning given in the </w:t>
      </w:r>
      <w:r>
        <w:rPr>
          <w:i/>
        </w:rPr>
        <w:t>Transport (Road Passenger Services) Act 2018</w:t>
      </w:r>
      <w:r>
        <w:t xml:space="preserve"> section 4(1);</w:t>
      </w:r>
    </w:p>
    <w:p w:rsidR="006724FB" w:rsidRDefault="006724FB">
      <w:pPr>
        <w:pStyle w:val="Defstart"/>
        <w:keepNext/>
      </w:pPr>
      <w:r>
        <w:tab/>
      </w:r>
      <w:r>
        <w:rPr>
          <w:rStyle w:val="CharDefText"/>
        </w:rPr>
        <w:t>personalised plates</w:t>
      </w:r>
      <w:r>
        <w:t xml:space="preserve"> — </w:t>
      </w:r>
    </w:p>
    <w:p w:rsidR="006724FB" w:rsidRDefault="006724FB">
      <w:pPr>
        <w:pStyle w:val="Defpara"/>
      </w:pPr>
      <w:r>
        <w:tab/>
        <w:t>(a)</w:t>
      </w:r>
      <w:r>
        <w:tab/>
        <w:t>in relation to personalised plates issued before 10 June 1988, means reflective plates consisting of no more than 7 characters, the first being a letter and the last being the letter “P”;</w:t>
      </w:r>
    </w:p>
    <w:p w:rsidR="006724FB" w:rsidRDefault="006724FB">
      <w:pPr>
        <w:pStyle w:val="Defpara"/>
      </w:pPr>
      <w:r>
        <w:tab/>
        <w:t>(b)</w:t>
      </w:r>
      <w:r>
        <w:tab/>
        <w:t>in relation to personalised plates issued on or after 10 June 1988, means reflective plates consisting of no more than 6 characters, the first being a letter;</w:t>
      </w:r>
    </w:p>
    <w:p w:rsidR="006724FB" w:rsidRDefault="006724FB">
      <w:pPr>
        <w:pStyle w:val="Defstart"/>
      </w:pPr>
      <w:r>
        <w:tab/>
      </w:r>
      <w:r>
        <w:rPr>
          <w:rStyle w:val="CharDefText"/>
        </w:rPr>
        <w:t>reflective plate</w:t>
      </w:r>
      <w:r>
        <w:t xml:space="preserve"> means a number plate that has —</w:t>
      </w:r>
    </w:p>
    <w:p w:rsidR="006724FB" w:rsidRDefault="006724FB">
      <w:pPr>
        <w:pStyle w:val="Defpara"/>
      </w:pPr>
      <w:r>
        <w:tab/>
        <w:t>(a)</w:t>
      </w:r>
      <w:r>
        <w:tab/>
        <w:t>non</w:t>
      </w:r>
      <w:r>
        <w:noBreakHyphen/>
        <w:t>reflective identifying characters superimposed on a reflective background; or</w:t>
      </w:r>
    </w:p>
    <w:p w:rsidR="006724FB" w:rsidRDefault="006724FB">
      <w:pPr>
        <w:pStyle w:val="Defpara"/>
      </w:pPr>
      <w:r>
        <w:tab/>
        <w:t>(b)</w:t>
      </w:r>
      <w:r>
        <w:tab/>
        <w:t>reflective identifying characters superimposed on a non</w:t>
      </w:r>
      <w:r>
        <w:noBreakHyphen/>
        <w:t>reflective background;</w:t>
      </w:r>
    </w:p>
    <w:p w:rsidR="006724FB" w:rsidRDefault="006724FB">
      <w:pPr>
        <w:pStyle w:val="Defstart"/>
      </w:pPr>
      <w:r>
        <w:tab/>
      </w:r>
      <w:r>
        <w:rPr>
          <w:rStyle w:val="CharDefText"/>
        </w:rPr>
        <w:t>special plate</w:t>
      </w:r>
      <w:r>
        <w:t xml:space="preserve"> means a special plate issued under regulation 125(1);</w:t>
      </w:r>
    </w:p>
    <w:p w:rsidR="006724FB" w:rsidRDefault="006724FB">
      <w:pPr>
        <w:pStyle w:val="Defstart"/>
      </w:pPr>
      <w:r>
        <w:tab/>
      </w:r>
      <w:r>
        <w:rPr>
          <w:rStyle w:val="CharDefText"/>
        </w:rPr>
        <w:t>trade plate</w:t>
      </w:r>
      <w:r>
        <w:t xml:space="preserve"> means a number plate of a kind mentioned in regulation 132.</w:t>
      </w:r>
    </w:p>
    <w:p w:rsidR="006724FB" w:rsidRDefault="006724FB">
      <w:pPr>
        <w:pStyle w:val="Footnotesection"/>
      </w:pPr>
      <w:r>
        <w:tab/>
        <w:t>[Regulation 109 amended: Gazette 26 Jun 2019 p. 2231; SL 2020/91 r. 14.]</w:t>
      </w:r>
    </w:p>
    <w:p w:rsidR="006724FB" w:rsidRDefault="006724FB">
      <w:pPr>
        <w:pStyle w:val="Heading5"/>
      </w:pPr>
      <w:bookmarkStart w:id="199" w:name="_Toc75875657"/>
      <w:r>
        <w:rPr>
          <w:rStyle w:val="CharSectno"/>
        </w:rPr>
        <w:t>109A</w:t>
      </w:r>
      <w:r>
        <w:t>.</w:t>
      </w:r>
      <w:r>
        <w:tab/>
        <w:t>Passenger transport vehicle authorisations</w:t>
      </w:r>
      <w:bookmarkEnd w:id="199"/>
    </w:p>
    <w:p w:rsidR="006724FB" w:rsidRDefault="006724FB">
      <w:pPr>
        <w:pStyle w:val="Subsection"/>
      </w:pPr>
      <w:r>
        <w:tab/>
      </w:r>
      <w:r>
        <w:tab/>
        <w:t>For the purposes of this Part, if the CEO is satisfied that a passenger transport vehicle authorisation will be granted for a vehicle within a reasonable period, the CEO may treat the vehicle as if that passenger transport vehicle authorisation were in force.</w:t>
      </w:r>
    </w:p>
    <w:p w:rsidR="006724FB" w:rsidRDefault="006724FB">
      <w:pPr>
        <w:pStyle w:val="Footnotesection"/>
      </w:pPr>
      <w:r>
        <w:tab/>
        <w:t>[Regulation 109A inserted: Gazette 26 Jun 2019 p. 2232.]</w:t>
      </w:r>
    </w:p>
    <w:p w:rsidR="006724FB" w:rsidRDefault="006724FB">
      <w:pPr>
        <w:pStyle w:val="Heading5"/>
        <w:rPr>
          <w:snapToGrid w:val="0"/>
        </w:rPr>
      </w:pPr>
      <w:bookmarkStart w:id="200" w:name="_Toc75875658"/>
      <w:r>
        <w:rPr>
          <w:rStyle w:val="CharSectno"/>
        </w:rPr>
        <w:lastRenderedPageBreak/>
        <w:t>110</w:t>
      </w:r>
      <w:r>
        <w:t>.</w:t>
      </w:r>
      <w:r>
        <w:tab/>
        <w:t>P</w:t>
      </w:r>
      <w:r>
        <w:rPr>
          <w:snapToGrid w:val="0"/>
        </w:rPr>
        <w:t xml:space="preserve">ower to give </w:t>
      </w:r>
      <w:r>
        <w:t>e</w:t>
      </w:r>
      <w:r>
        <w:rPr>
          <w:snapToGrid w:val="0"/>
        </w:rPr>
        <w:t>xemption or refund in exceptional circumstances</w:t>
      </w:r>
      <w:bookmarkEnd w:id="200"/>
    </w:p>
    <w:p w:rsidR="006724FB" w:rsidRDefault="006724FB">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rsidR="006724FB" w:rsidRDefault="006724FB">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rsidR="006724FB" w:rsidRDefault="006724FB">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rsidR="006724FB" w:rsidRDefault="006724FB">
      <w:pPr>
        <w:pStyle w:val="Subsection"/>
        <w:rPr>
          <w:snapToGrid w:val="0"/>
        </w:rPr>
      </w:pPr>
      <w:r>
        <w:rPr>
          <w:snapToGrid w:val="0"/>
        </w:rPr>
        <w:tab/>
        <w:t>(2)</w:t>
      </w:r>
      <w:r>
        <w:rPr>
          <w:snapToGrid w:val="0"/>
        </w:rPr>
        <w:tab/>
        <w:t>The CEO may, in writing given to a person exempted under subregulation (1)(b), vary or revoke the exemption.</w:t>
      </w:r>
    </w:p>
    <w:p w:rsidR="006724FB" w:rsidRDefault="006724FB">
      <w:pPr>
        <w:pStyle w:val="Subsection"/>
        <w:rPr>
          <w:snapToGrid w:val="0"/>
        </w:rPr>
      </w:pPr>
      <w:r>
        <w:rPr>
          <w:snapToGrid w:val="0"/>
        </w:rPr>
        <w:tab/>
        <w:t>(3)</w:t>
      </w:r>
      <w:r>
        <w:rPr>
          <w:snapToGrid w:val="0"/>
        </w:rPr>
        <w:tab/>
        <w:t>An exemption may be given subject to the conditions imposed by the CEO and specified in the exemption.</w:t>
      </w:r>
    </w:p>
    <w:p w:rsidR="006724FB" w:rsidRDefault="006724FB">
      <w:pPr>
        <w:pStyle w:val="Subsection"/>
        <w:rPr>
          <w:snapToGrid w:val="0"/>
        </w:rPr>
      </w:pPr>
      <w:r>
        <w:rPr>
          <w:snapToGrid w:val="0"/>
        </w:rPr>
        <w:tab/>
        <w:t>(4)</w:t>
      </w:r>
      <w:r>
        <w:rPr>
          <w:snapToGrid w:val="0"/>
        </w:rPr>
        <w:tab/>
        <w:t>A person must not contravene a condition of an exemption.</w:t>
      </w:r>
    </w:p>
    <w:p w:rsidR="006724FB" w:rsidRDefault="006724FB">
      <w:pPr>
        <w:pStyle w:val="Penstart"/>
      </w:pPr>
      <w:r>
        <w:tab/>
        <w:t>Penalty for an offence under this subregulation: a fine of 8 PU.</w:t>
      </w:r>
    </w:p>
    <w:p w:rsidR="006724FB" w:rsidRDefault="006724FB">
      <w:pPr>
        <w:pStyle w:val="Heading3"/>
        <w:keepNext w:val="0"/>
        <w:widowControl w:val="0"/>
      </w:pPr>
      <w:bookmarkStart w:id="201" w:name="_Toc75419736"/>
      <w:bookmarkStart w:id="202" w:name="_Toc75427071"/>
      <w:bookmarkStart w:id="203" w:name="_Toc75872487"/>
      <w:bookmarkStart w:id="204" w:name="_Toc75875659"/>
      <w:r>
        <w:rPr>
          <w:rStyle w:val="CharDivNo"/>
        </w:rPr>
        <w:t>Division 2</w:t>
      </w:r>
      <w:r>
        <w:t> — </w:t>
      </w:r>
      <w:r>
        <w:rPr>
          <w:rStyle w:val="CharDivText"/>
        </w:rPr>
        <w:t>Number plates generally</w:t>
      </w:r>
      <w:bookmarkEnd w:id="201"/>
      <w:bookmarkEnd w:id="202"/>
      <w:bookmarkEnd w:id="203"/>
      <w:bookmarkEnd w:id="204"/>
    </w:p>
    <w:p w:rsidR="006724FB" w:rsidRDefault="006724FB">
      <w:pPr>
        <w:pStyle w:val="Heading5"/>
        <w:rPr>
          <w:snapToGrid w:val="0"/>
        </w:rPr>
      </w:pPr>
      <w:bookmarkStart w:id="205" w:name="_Toc75875660"/>
      <w:r>
        <w:rPr>
          <w:rStyle w:val="CharSectno"/>
        </w:rPr>
        <w:t>111</w:t>
      </w:r>
      <w:r>
        <w:t>.</w:t>
      </w:r>
      <w:r>
        <w:tab/>
      </w:r>
      <w:r>
        <w:rPr>
          <w:snapToGrid w:val="0"/>
        </w:rPr>
        <w:t>CEO to provide number plates</w:t>
      </w:r>
      <w:bookmarkEnd w:id="205"/>
    </w:p>
    <w:p w:rsidR="006724FB" w:rsidRDefault="006724FB">
      <w:pPr>
        <w:pStyle w:val="Subsection"/>
        <w:rPr>
          <w:snapToGrid w:val="0"/>
        </w:rPr>
      </w:pPr>
      <w:r>
        <w:rPr>
          <w:snapToGrid w:val="0"/>
        </w:rPr>
        <w:tab/>
        <w:t>(1)</w:t>
      </w:r>
      <w:r>
        <w:rPr>
          <w:snapToGrid w:val="0"/>
        </w:rPr>
        <w:tab/>
        <w:t>The CEO must provide and issue number plates for each vehicle that is licensed under Part 2 of the Act.</w:t>
      </w:r>
    </w:p>
    <w:p w:rsidR="006724FB" w:rsidRDefault="006724FB">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rsidR="006724FB" w:rsidRDefault="006724FB">
      <w:pPr>
        <w:pStyle w:val="Subsection"/>
      </w:pPr>
      <w:r>
        <w:tab/>
        <w:t>(2A)</w:t>
      </w:r>
      <w:r>
        <w:tab/>
        <w:t>Number plates issued for an authorised passenger transport vehicle (other than an authorised on-demand rank or hail vehicle) may, but are not required to, identify the vehicle as a passenger transport vehicle or as a passenger transport vehicle that is used to provide a particular category of passenger transport service.</w:t>
      </w:r>
    </w:p>
    <w:p w:rsidR="006724FB" w:rsidRDefault="006724FB">
      <w:pPr>
        <w:pStyle w:val="Subsection"/>
      </w:pPr>
      <w:r>
        <w:lastRenderedPageBreak/>
        <w:tab/>
        <w:t>(2B)</w:t>
      </w:r>
      <w:r>
        <w:tab/>
        <w:t xml:space="preserve">Number plates must not be issued identifying a vehicle as a passenger transport vehicle, or as a passenger transport vehicle that is used to provide a particular category of passenger transport service, unless — </w:t>
      </w:r>
    </w:p>
    <w:p w:rsidR="006724FB" w:rsidRDefault="006724FB">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rsidR="006724FB" w:rsidRDefault="006724FB">
      <w:pPr>
        <w:pStyle w:val="Indenta"/>
      </w:pPr>
      <w:r>
        <w:tab/>
        <w:t>(b)</w:t>
      </w:r>
      <w:r>
        <w:tab/>
        <w:t>the vehicle is to be operated to replace a vehicle with an authorisation referred to in paragraph (a).</w:t>
      </w:r>
    </w:p>
    <w:p w:rsidR="006724FB" w:rsidRDefault="006724FB">
      <w:pPr>
        <w:pStyle w:val="Subsection"/>
      </w:pPr>
      <w:r>
        <w:tab/>
        <w:t>(3)</w:t>
      </w:r>
      <w:r>
        <w:tab/>
        <w:t xml:space="preserve">Whether or not a fee or charge is payable or paid under this </w:t>
      </w:r>
      <w:r>
        <w:rPr>
          <w:snapToGrid w:val="0"/>
        </w:rPr>
        <w:t>Part </w:t>
      </w:r>
      <w:r>
        <w:t>for a number plate, each number plate remains the property of the CEO.</w:t>
      </w:r>
    </w:p>
    <w:p w:rsidR="006724FB" w:rsidRDefault="006724FB">
      <w:pPr>
        <w:pStyle w:val="Footnotesection"/>
      </w:pPr>
      <w:r>
        <w:tab/>
        <w:t>[Regulation 111 amended: Gazette 26 Jun 2019 p. 2232</w:t>
      </w:r>
      <w:r>
        <w:noBreakHyphen/>
        <w:t>3.]</w:t>
      </w:r>
    </w:p>
    <w:p w:rsidR="006724FB" w:rsidRDefault="006724FB">
      <w:pPr>
        <w:pStyle w:val="Heading5"/>
      </w:pPr>
      <w:bookmarkStart w:id="206" w:name="_Toc75875661"/>
      <w:r>
        <w:rPr>
          <w:rStyle w:val="CharSectno"/>
        </w:rPr>
        <w:t>112</w:t>
      </w:r>
      <w:r>
        <w:t>.</w:t>
      </w:r>
      <w:r>
        <w:tab/>
        <w:t>Fees for issue, reissue, replacement of certain number plates</w:t>
      </w:r>
      <w:bookmarkEnd w:id="206"/>
    </w:p>
    <w:p w:rsidR="006724FB" w:rsidRDefault="006724FB">
      <w:pPr>
        <w:pStyle w:val="Subsection"/>
      </w:pPr>
      <w:r>
        <w:tab/>
      </w:r>
      <w:r>
        <w:tab/>
        <w:t xml:space="preserve">These fees are payable — </w:t>
      </w:r>
    </w:p>
    <w:p w:rsidR="006724FB" w:rsidRDefault="006724FB">
      <w:pPr>
        <w:pStyle w:val="Indenta"/>
      </w:pPr>
      <w:r>
        <w:tab/>
        <w:t>(a)</w:t>
      </w:r>
      <w:r>
        <w:tab/>
        <w:t xml:space="preserve">for the issue of ordinary plates except if paragraph (b), (ba), (bb), (bc), (d), (da) or (db) applies — </w:t>
      </w:r>
      <w:r w:rsidR="00857959">
        <w:t>$30.50</w:t>
      </w:r>
      <w:r>
        <w:t>;</w:t>
      </w:r>
    </w:p>
    <w:p w:rsidR="006724FB" w:rsidRDefault="006724FB">
      <w:pPr>
        <w:pStyle w:val="Indenta"/>
      </w:pPr>
      <w:r>
        <w:tab/>
        <w:t>(b)</w:t>
      </w:r>
      <w:r>
        <w:tab/>
        <w:t>for the issue of plates for an authorised on</w:t>
      </w:r>
      <w:r>
        <w:noBreakHyphen/>
        <w:t>demand rank or hail vehicle or plates identifying a vehicle as an on</w:t>
      </w:r>
      <w:r>
        <w:noBreakHyphen/>
        <w:t>demand charter vehicle — $29.00;</w:t>
      </w:r>
    </w:p>
    <w:p w:rsidR="006724FB" w:rsidRDefault="006724FB">
      <w:pPr>
        <w:pStyle w:val="Indenta"/>
      </w:pPr>
      <w:r>
        <w:tab/>
        <w:t>(ba)</w:t>
      </w:r>
      <w:r>
        <w:tab/>
        <w:t>for the re</w:t>
      </w:r>
      <w:r>
        <w:noBreakHyphen/>
        <w:t xml:space="preserve">issue of ordinary plates that have been returned under regulation 113(1), (2) or (3) except if paragraph (bb) or (bc) applies (other than plates to replace existing plates bearing the same characters) — </w:t>
      </w:r>
      <w:r w:rsidR="00857959">
        <w:t>$18.30</w:t>
      </w:r>
      <w:r>
        <w:t>;</w:t>
      </w:r>
    </w:p>
    <w:p w:rsidR="006724FB" w:rsidRDefault="006724FB">
      <w:pPr>
        <w:pStyle w:val="Indenta"/>
      </w:pPr>
      <w:r>
        <w:tab/>
        <w:t>(bb)</w:t>
      </w:r>
      <w:r>
        <w:tab/>
        <w:t>for the re</w:t>
      </w:r>
      <w:r>
        <w:noBreakHyphen/>
        <w:t xml:space="preserve">issue of plates that are issued under regulation 111(2) or that are taken under the </w:t>
      </w:r>
      <w:r>
        <w:rPr>
          <w:i/>
        </w:rPr>
        <w:t xml:space="preserve">Transport (Road Passenger Services) Regulations 2020 </w:t>
      </w:r>
      <w:r>
        <w:t>Part 13 Division 2 to be issued by the CEO under regulation 111(2) and that have been returned under regulation 113(1), (2) or (3) or 113A — $19.00;</w:t>
      </w:r>
    </w:p>
    <w:p w:rsidR="006724FB" w:rsidRDefault="006724FB">
      <w:pPr>
        <w:pStyle w:val="Indenta"/>
      </w:pPr>
      <w:r>
        <w:lastRenderedPageBreak/>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$19.00;</w:t>
      </w:r>
    </w:p>
    <w:p w:rsidR="006724FB" w:rsidRDefault="006724FB">
      <w:pPr>
        <w:pStyle w:val="Indenta"/>
      </w:pPr>
      <w:r>
        <w:tab/>
        <w:t>(c)</w:t>
      </w:r>
      <w:r>
        <w:tab/>
        <w:t>upon application for the issue of personalised plates — $104.60;</w:t>
      </w:r>
    </w:p>
    <w:p w:rsidR="006724FB" w:rsidRDefault="006724FB">
      <w:pPr>
        <w:pStyle w:val="Indenta"/>
      </w:pPr>
      <w:r>
        <w:tab/>
        <w:t>(d)</w:t>
      </w:r>
      <w:r>
        <w:tab/>
        <w:t xml:space="preserve">upon application for the issue of plates to replace ordinary plates bearing the same characters except if paragraph (da) or (db) applies — </w:t>
      </w:r>
      <w:r w:rsidR="00857959">
        <w:t>$42.40</w:t>
      </w:r>
      <w:r>
        <w:t>;</w:t>
      </w:r>
    </w:p>
    <w:p w:rsidR="006724FB" w:rsidRDefault="006724FB">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$34.00;</w:t>
      </w:r>
    </w:p>
    <w:p w:rsidR="006724FB" w:rsidRDefault="006724FB">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$34.00;</w:t>
      </w:r>
    </w:p>
    <w:p w:rsidR="006724FB" w:rsidRDefault="006724FB">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rsidR="006724FB" w:rsidRDefault="006724FB">
      <w:pPr>
        <w:pStyle w:val="Indenta"/>
      </w:pPr>
      <w:r>
        <w:tab/>
        <w:t>(f)</w:t>
      </w:r>
      <w:r>
        <w:tab/>
        <w:t>upon application for issue of name plates — $986.30;</w:t>
      </w:r>
    </w:p>
    <w:p w:rsidR="006724FB" w:rsidRDefault="006724FB">
      <w:pPr>
        <w:pStyle w:val="Indenta"/>
      </w:pPr>
      <w:r>
        <w:tab/>
        <w:t>(g)</w:t>
      </w:r>
      <w:r>
        <w:tab/>
        <w:t xml:space="preserve">upon application for the issue of special plates or name plates to replace special plates or name plates bearing the same characters — </w:t>
      </w:r>
    </w:p>
    <w:p w:rsidR="006724FB" w:rsidRDefault="006724FB">
      <w:pPr>
        <w:pStyle w:val="Indenti"/>
      </w:pPr>
      <w:r>
        <w:tab/>
        <w:t>(i)</w:t>
      </w:r>
      <w:r>
        <w:tab/>
        <w:t xml:space="preserve">for premium material plates — </w:t>
      </w:r>
      <w:r w:rsidR="00857959">
        <w:t>$252.10</w:t>
      </w:r>
      <w:r>
        <w:t>;</w:t>
      </w:r>
    </w:p>
    <w:p w:rsidR="006724FB" w:rsidRDefault="006724FB">
      <w:pPr>
        <w:pStyle w:val="Indenti"/>
        <w:keepNext/>
        <w:rPr>
          <w:rStyle w:val="DraftersNotes"/>
          <w:bCs/>
          <w:iCs/>
        </w:rPr>
      </w:pPr>
      <w:r>
        <w:lastRenderedPageBreak/>
        <w:tab/>
        <w:t>(ii)</w:t>
      </w:r>
      <w:r>
        <w:tab/>
        <w:t xml:space="preserve">for standard metal plates — </w:t>
      </w:r>
      <w:r w:rsidR="00857959">
        <w:t>$124.60</w:t>
      </w:r>
      <w:r>
        <w:t>.</w:t>
      </w:r>
    </w:p>
    <w:p w:rsidR="006724FB" w:rsidRDefault="006724FB">
      <w:pPr>
        <w:pStyle w:val="Footnotesection"/>
      </w:pPr>
      <w:r>
        <w:tab/>
        <w:t>[Regulation 112 amended: Gazette 12 Jun 2015 p. 2039; 14 Jun 2016 p. 1999; 23 Jun 2017 p. 3268; 22 Jun 2018 p. 2191</w:t>
      </w:r>
      <w:r>
        <w:noBreakHyphen/>
        <w:t>2; 31 May 2019 p. 1726; 26 Jun 2019 p. 2233</w:t>
      </w:r>
      <w:r>
        <w:noBreakHyphen/>
        <w:t>4; SL 2020/74 r. 9; SL 2020/91 r. 14</w:t>
      </w:r>
      <w:r w:rsidR="00857959">
        <w:t>; SL 2021/92 r. 20</w:t>
      </w:r>
      <w:r>
        <w:t>.]</w:t>
      </w:r>
    </w:p>
    <w:p w:rsidR="006724FB" w:rsidRDefault="006724FB">
      <w:pPr>
        <w:pStyle w:val="Heading5"/>
      </w:pPr>
      <w:bookmarkStart w:id="207" w:name="_Toc75875662"/>
      <w:r>
        <w:rPr>
          <w:rStyle w:val="CharSectno"/>
        </w:rPr>
        <w:t>113</w:t>
      </w:r>
      <w:r>
        <w:t>.</w:t>
      </w:r>
      <w:r>
        <w:tab/>
        <w:t>Return of number plates</w:t>
      </w:r>
      <w:bookmarkEnd w:id="207"/>
    </w:p>
    <w:p w:rsidR="006724FB" w:rsidRDefault="006724FB">
      <w:pPr>
        <w:pStyle w:val="Subsection"/>
      </w:pPr>
      <w:r>
        <w:tab/>
        <w:t>(1)</w:t>
      </w:r>
      <w:r>
        <w:tab/>
        <w:t xml:space="preserve">A number plate issued by the CEO for a vehicle must be returned to the CEO by a responsible person for, or other person in possession of, the vehicle — </w:t>
      </w:r>
    </w:p>
    <w:p w:rsidR="006724FB" w:rsidRDefault="006724FB">
      <w:pPr>
        <w:pStyle w:val="Indenta"/>
      </w:pPr>
      <w:r>
        <w:tab/>
        <w:t>(a)</w:t>
      </w:r>
      <w:r>
        <w:tab/>
        <w:t>if the licence is cancelled or a licence holder of the vehicle is disqualified from holding a vehicle licence, as soon as practicable after the cancellation or disqualification; or</w:t>
      </w:r>
    </w:p>
    <w:p w:rsidR="006724FB" w:rsidRDefault="006724FB">
      <w:pPr>
        <w:pStyle w:val="Indenta"/>
      </w:pPr>
      <w:r>
        <w:tab/>
        <w:t>(b)</w:t>
      </w:r>
      <w:r>
        <w:tab/>
        <w:t xml:space="preserve">if the licence has expired — </w:t>
      </w:r>
    </w:p>
    <w:p w:rsidR="006724FB" w:rsidRDefault="006724FB">
      <w:pPr>
        <w:pStyle w:val="Indenti"/>
      </w:pPr>
      <w:r>
        <w:tab/>
        <w:t>(i)</w:t>
      </w:r>
      <w:r>
        <w:tab/>
        <w:t>in the case of a seasonal heavy vehicle licence, within one year of the expiry of the licence; and</w:t>
      </w:r>
    </w:p>
    <w:p w:rsidR="006724FB" w:rsidRDefault="006724FB">
      <w:pPr>
        <w:pStyle w:val="Indenti"/>
      </w:pPr>
      <w:r>
        <w:tab/>
        <w:t>(ii)</w:t>
      </w:r>
      <w:r>
        <w:tab/>
        <w:t>in any other case, within 3 months of the expiry of the licence.</w:t>
      </w:r>
    </w:p>
    <w:p w:rsidR="006724FB" w:rsidRDefault="006724FB">
      <w:pPr>
        <w:pStyle w:val="Penstart"/>
      </w:pPr>
      <w:r>
        <w:tab/>
        <w:t xml:space="preserve">Penalty: </w:t>
      </w:r>
    </w:p>
    <w:p w:rsidR="006724FB" w:rsidRDefault="006724FB">
      <w:pPr>
        <w:pStyle w:val="Penpara"/>
      </w:pPr>
      <w:r>
        <w:tab/>
        <w:t>(a)</w:t>
      </w:r>
      <w:r>
        <w:tab/>
        <w:t>for a first offence, a fine of 4 PU;</w:t>
      </w:r>
    </w:p>
    <w:p w:rsidR="006724FB" w:rsidRDefault="006724FB">
      <w:pPr>
        <w:pStyle w:val="Penpara"/>
      </w:pPr>
      <w:r>
        <w:tab/>
        <w:t>(b)</w:t>
      </w:r>
      <w:r>
        <w:tab/>
        <w:t>for a subsequent offence, a fine of 8 PU.</w:t>
      </w:r>
    </w:p>
    <w:p w:rsidR="006724FB" w:rsidRDefault="006724FB">
      <w:pPr>
        <w:pStyle w:val="Penstart"/>
      </w:pPr>
      <w:r>
        <w:tab/>
        <w:t>Modified penalty: 2 PU.</w:t>
      </w:r>
    </w:p>
    <w:p w:rsidR="006724FB" w:rsidRDefault="006724FB">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rsidR="006724FB" w:rsidRDefault="006724FB">
      <w:pPr>
        <w:pStyle w:val="Penstart"/>
      </w:pPr>
      <w:r>
        <w:tab/>
        <w:t>Penalty:</w:t>
      </w:r>
    </w:p>
    <w:p w:rsidR="006724FB" w:rsidRDefault="006724FB">
      <w:pPr>
        <w:pStyle w:val="Penpara"/>
      </w:pPr>
      <w:r>
        <w:tab/>
        <w:t>(a)</w:t>
      </w:r>
      <w:r>
        <w:tab/>
        <w:t>for a first offence, a fine of 4 PU;</w:t>
      </w:r>
    </w:p>
    <w:p w:rsidR="006724FB" w:rsidRDefault="006724FB">
      <w:pPr>
        <w:pStyle w:val="Penpara"/>
      </w:pPr>
      <w:r>
        <w:tab/>
        <w:t>(b)</w:t>
      </w:r>
      <w:r>
        <w:tab/>
        <w:t>for a subsequent offence, a fine of 8 PU.</w:t>
      </w:r>
    </w:p>
    <w:p w:rsidR="006724FB" w:rsidRDefault="006724FB">
      <w:pPr>
        <w:pStyle w:val="Penstart"/>
      </w:pPr>
      <w:r>
        <w:lastRenderedPageBreak/>
        <w:tab/>
        <w:t>Modified penalty: 2 PU.</w:t>
      </w:r>
    </w:p>
    <w:p w:rsidR="006724FB" w:rsidRDefault="006724FB">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rsidR="006724FB" w:rsidRDefault="006724FB">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rsidR="006724FB" w:rsidRDefault="006724FB">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rsidR="006724FB" w:rsidRDefault="006724FB">
      <w:pPr>
        <w:pStyle w:val="Penstart"/>
      </w:pPr>
      <w:r>
        <w:tab/>
        <w:t xml:space="preserve">Penalty for an offence under this subregulation: </w:t>
      </w:r>
    </w:p>
    <w:p w:rsidR="006724FB" w:rsidRDefault="006724FB">
      <w:pPr>
        <w:pStyle w:val="Penpara"/>
      </w:pPr>
      <w:r>
        <w:tab/>
        <w:t>(a)</w:t>
      </w:r>
      <w:r>
        <w:tab/>
        <w:t>for a first offence, a fine of 4 PU;</w:t>
      </w:r>
    </w:p>
    <w:p w:rsidR="006724FB" w:rsidRDefault="006724FB">
      <w:pPr>
        <w:pStyle w:val="Penpara"/>
      </w:pPr>
      <w:r>
        <w:tab/>
        <w:t>(b)</w:t>
      </w:r>
      <w:r>
        <w:tab/>
        <w:t>for a subsequent offence, a fine of 8 PU.</w:t>
      </w:r>
    </w:p>
    <w:p w:rsidR="006724FB" w:rsidRDefault="006724FB">
      <w:pPr>
        <w:pStyle w:val="Penstart"/>
      </w:pPr>
      <w:r>
        <w:tab/>
        <w:t>Modified penalty for an offence under this subregulation: 1 PU.</w:t>
      </w:r>
    </w:p>
    <w:p w:rsidR="006724FB" w:rsidRDefault="006724FB">
      <w:pPr>
        <w:pStyle w:val="Heading5"/>
      </w:pPr>
      <w:bookmarkStart w:id="208" w:name="_Toc75875663"/>
      <w:r>
        <w:rPr>
          <w:rStyle w:val="CharSectno"/>
        </w:rPr>
        <w:t>113A</w:t>
      </w:r>
      <w:r>
        <w:t>.</w:t>
      </w:r>
      <w:r>
        <w:tab/>
        <w:t>Return of number plates for passenger transport vehicles</w:t>
      </w:r>
      <w:bookmarkEnd w:id="208"/>
    </w:p>
    <w:p w:rsidR="006724FB" w:rsidRDefault="006724FB">
      <w:pPr>
        <w:pStyle w:val="Subsection"/>
      </w:pPr>
      <w:r>
        <w:tab/>
        <w:t>(1)</w:t>
      </w:r>
      <w:r>
        <w:tab/>
        <w:t xml:space="preserve">This regulation applies if — </w:t>
      </w:r>
    </w:p>
    <w:p w:rsidR="006724FB" w:rsidRDefault="006724FB">
      <w:pPr>
        <w:pStyle w:val="Indenta"/>
      </w:pPr>
      <w:r>
        <w:tab/>
        <w:t>(a)</w:t>
      </w:r>
      <w:r>
        <w:tab/>
        <w:t>a number plate issued by the CEO identifies the vehicle as a passenger transport vehicle or as a passenger transport vehicle that is used to provide a particular category of passenger transport service; and</w:t>
      </w:r>
    </w:p>
    <w:p w:rsidR="006724FB" w:rsidRDefault="006724FB">
      <w:pPr>
        <w:pStyle w:val="Indenta"/>
      </w:pPr>
      <w:r>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rsidR="006724FB" w:rsidRDefault="006724FB">
      <w:pPr>
        <w:pStyle w:val="Subsection"/>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rsidR="006724FB" w:rsidRDefault="006724FB">
      <w:pPr>
        <w:pStyle w:val="Penstart"/>
      </w:pPr>
      <w:r>
        <w:lastRenderedPageBreak/>
        <w:tab/>
        <w:t xml:space="preserve">Penalty for this subregulation: </w:t>
      </w:r>
    </w:p>
    <w:p w:rsidR="006724FB" w:rsidRDefault="006724FB">
      <w:pPr>
        <w:pStyle w:val="Penpara"/>
      </w:pPr>
      <w:r>
        <w:tab/>
        <w:t>(a)</w:t>
      </w:r>
      <w:r>
        <w:tab/>
        <w:t>for a first offence, a fine of 8 PU;</w:t>
      </w:r>
    </w:p>
    <w:p w:rsidR="006724FB" w:rsidRDefault="006724FB">
      <w:pPr>
        <w:pStyle w:val="Penpara"/>
      </w:pPr>
      <w:r>
        <w:tab/>
        <w:t>(b)</w:t>
      </w:r>
      <w:r>
        <w:tab/>
        <w:t>for a subsequent offence, a fine of 16 PU.</w:t>
      </w:r>
    </w:p>
    <w:p w:rsidR="006724FB" w:rsidRDefault="006724FB">
      <w:pPr>
        <w:pStyle w:val="Penstart"/>
      </w:pPr>
      <w:r>
        <w:tab/>
        <w:t>Modified penalty for this subregulation: 4 PU.</w:t>
      </w:r>
    </w:p>
    <w:p w:rsidR="006724FB" w:rsidRDefault="006724FB">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rsidR="006724FB" w:rsidRDefault="006724FB">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rsidR="006724FB" w:rsidRDefault="006724FB">
      <w:pPr>
        <w:pStyle w:val="Subsection"/>
      </w:pPr>
      <w:r>
        <w:tab/>
        <w:t>(5)</w:t>
      </w:r>
      <w:r>
        <w:tab/>
        <w:t>This regulation does not limit regulation 113.</w:t>
      </w:r>
    </w:p>
    <w:p w:rsidR="006724FB" w:rsidRDefault="006724FB">
      <w:pPr>
        <w:pStyle w:val="Footnotesection"/>
      </w:pPr>
      <w:r>
        <w:tab/>
        <w:t>[Regulation 113A inserted: Gazette 26 Jun 2019 p. 2235</w:t>
      </w:r>
      <w:r>
        <w:noBreakHyphen/>
        <w:t>6.]</w:t>
      </w:r>
    </w:p>
    <w:p w:rsidR="006724FB" w:rsidRDefault="006724FB">
      <w:pPr>
        <w:pStyle w:val="Heading5"/>
      </w:pPr>
      <w:bookmarkStart w:id="209" w:name="_Toc75875664"/>
      <w:r>
        <w:rPr>
          <w:rStyle w:val="CharSectno"/>
        </w:rPr>
        <w:t>114</w:t>
      </w:r>
      <w:r>
        <w:t>.</w:t>
      </w:r>
      <w:r>
        <w:tab/>
        <w:t>Transfer of certain plates</w:t>
      </w:r>
      <w:bookmarkEnd w:id="209"/>
    </w:p>
    <w:p w:rsidR="006724FB" w:rsidRDefault="006724FB">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 xml:space="preserve">fee of </w:t>
      </w:r>
      <w:r w:rsidR="00857959">
        <w:t>$18.90</w:t>
      </w:r>
      <w:r>
        <w:rPr>
          <w:snapToGrid w:val="0"/>
        </w:rPr>
        <w:t>, transfer those plates to another vehicle owned by the person.</w:t>
      </w:r>
    </w:p>
    <w:p w:rsidR="006724FB" w:rsidRDefault="006724FB">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rsidR="00857959">
        <w:t>$18.90</w:t>
      </w:r>
      <w:r>
        <w:rPr>
          <w:snapToGrid w:val="0"/>
        </w:rPr>
        <w:t>, transfer those plates to another vehicle owned by the person or by a member of the person’s immediate family.</w:t>
      </w:r>
    </w:p>
    <w:p w:rsidR="006724FB" w:rsidRDefault="006724FB">
      <w:pPr>
        <w:pStyle w:val="Subsection"/>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rsidR="006724FB" w:rsidRDefault="006724FB">
      <w:pPr>
        <w:pStyle w:val="Indenta"/>
      </w:pPr>
      <w:r>
        <w:tab/>
        <w:t>(a)</w:t>
      </w:r>
      <w:r>
        <w:tab/>
        <w:t xml:space="preserve">a passenger transport vehicle authorisation, or a passenger transport vehicle authorisation that authorises </w:t>
      </w:r>
      <w:r>
        <w:lastRenderedPageBreak/>
        <w:t>the vehicle to be operated for use in providing that category of passenger transport service, as the case requires, is in force in relation to the vehicle to which the number plates are proposed to be transferred; or</w:t>
      </w:r>
    </w:p>
    <w:p w:rsidR="006724FB" w:rsidRDefault="006724FB">
      <w:pPr>
        <w:pStyle w:val="Indenta"/>
      </w:pPr>
      <w:r>
        <w:tab/>
        <w:t>(b)</w:t>
      </w:r>
      <w:r>
        <w:tab/>
        <w:t>the vehicle to which the number plates are proposed to be transferred is to be operated to replace a vehicle with an authorisation referred to in paragraph (a).</w:t>
      </w:r>
    </w:p>
    <w:p w:rsidR="006724FB" w:rsidRDefault="006724FB">
      <w:pPr>
        <w:pStyle w:val="Footnotesection"/>
      </w:pPr>
      <w:r>
        <w:tab/>
        <w:t>[Regulation 114 amended: Gazette 12 Jun 2015 p. 2039; 14 Jun 2016 p. 1999; 23 Jun 2017 p. 3268; 22 Jun 2018 p. 2192; 31 May 2019 p. 1726; 26 Jun 2019 p. 2236; SL 2020/74 r. 9</w:t>
      </w:r>
      <w:r w:rsidR="00857959">
        <w:t>; SL 2021/92 r. 20</w:t>
      </w:r>
      <w:r>
        <w:t>.]</w:t>
      </w:r>
    </w:p>
    <w:p w:rsidR="006724FB" w:rsidRDefault="006724FB">
      <w:pPr>
        <w:pStyle w:val="Heading5"/>
        <w:spacing w:before="240"/>
        <w:rPr>
          <w:snapToGrid w:val="0"/>
        </w:rPr>
      </w:pPr>
      <w:bookmarkStart w:id="210" w:name="_Toc75875665"/>
      <w:r>
        <w:rPr>
          <w:rStyle w:val="CharSectno"/>
        </w:rPr>
        <w:t>115</w:t>
      </w:r>
      <w:r>
        <w:t>.</w:t>
      </w:r>
      <w:r>
        <w:tab/>
        <w:t>Replacement of</w:t>
      </w:r>
      <w:r>
        <w:rPr>
          <w:snapToGrid w:val="0"/>
        </w:rPr>
        <w:t xml:space="preserve"> stolen, lost number plates</w:t>
      </w:r>
      <w:bookmarkEnd w:id="210"/>
    </w:p>
    <w:p w:rsidR="006724FB" w:rsidRDefault="006724FB">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rsidR="006724FB" w:rsidRDefault="006724FB">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rsidR="006724FB" w:rsidRDefault="006724FB">
      <w:pPr>
        <w:pStyle w:val="Subsection"/>
      </w:pPr>
      <w:r>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rsidR="006724FB" w:rsidRDefault="006724FB">
      <w:pPr>
        <w:pStyle w:val="Subsection"/>
        <w:rPr>
          <w:snapToGrid w:val="0"/>
        </w:rPr>
      </w:pPr>
      <w:r>
        <w:rPr>
          <w:snapToGrid w:val="0"/>
        </w:rPr>
        <w:tab/>
        <w:t>(3)</w:t>
      </w:r>
      <w:r>
        <w:rPr>
          <w:snapToGrid w:val="0"/>
        </w:rPr>
        <w:tab/>
        <w:t>If a stolen or lost number plate is from a set of —</w:t>
      </w:r>
    </w:p>
    <w:p w:rsidR="006724FB" w:rsidRDefault="006724FB">
      <w:pPr>
        <w:pStyle w:val="Indenta"/>
        <w:rPr>
          <w:snapToGrid w:val="0"/>
        </w:rPr>
      </w:pPr>
      <w:r>
        <w:rPr>
          <w:snapToGrid w:val="0"/>
        </w:rPr>
        <w:tab/>
        <w:t>(a)</w:t>
      </w:r>
      <w:r>
        <w:rPr>
          <w:snapToGrid w:val="0"/>
        </w:rPr>
        <w:tab/>
        <w:t>special plates; or</w:t>
      </w:r>
    </w:p>
    <w:p w:rsidR="006724FB" w:rsidRDefault="006724FB">
      <w:pPr>
        <w:pStyle w:val="Indenta"/>
        <w:rPr>
          <w:snapToGrid w:val="0"/>
        </w:rPr>
      </w:pPr>
      <w:r>
        <w:rPr>
          <w:snapToGrid w:val="0"/>
        </w:rPr>
        <w:lastRenderedPageBreak/>
        <w:tab/>
        <w:t>(b)</w:t>
      </w:r>
      <w:r>
        <w:rPr>
          <w:snapToGrid w:val="0"/>
        </w:rPr>
        <w:tab/>
        <w:t>name plates; or</w:t>
      </w:r>
    </w:p>
    <w:p w:rsidR="006724FB" w:rsidRDefault="006724FB">
      <w:pPr>
        <w:pStyle w:val="Indenta"/>
        <w:keepNext/>
        <w:rPr>
          <w:snapToGrid w:val="0"/>
        </w:rPr>
      </w:pPr>
      <w:r>
        <w:rPr>
          <w:snapToGrid w:val="0"/>
        </w:rPr>
        <w:tab/>
        <w:t>(c)</w:t>
      </w:r>
      <w:r>
        <w:rPr>
          <w:snapToGrid w:val="0"/>
        </w:rPr>
        <w:tab/>
        <w:t>personalised plates,</w:t>
      </w:r>
    </w:p>
    <w:p w:rsidR="006724FB" w:rsidRDefault="006724FB">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rsidR="006724FB" w:rsidRDefault="006724FB">
      <w:pPr>
        <w:pStyle w:val="Footnotesection"/>
      </w:pPr>
      <w:r>
        <w:tab/>
        <w:t>[Regulation 115 amended: Gazette 26 Jun 2019 p. 2237.]</w:t>
      </w:r>
    </w:p>
    <w:p w:rsidR="006724FB" w:rsidRDefault="006724FB">
      <w:pPr>
        <w:pStyle w:val="Heading5"/>
      </w:pPr>
      <w:bookmarkStart w:id="211" w:name="_Toc75875666"/>
      <w:r>
        <w:rPr>
          <w:rStyle w:val="CharSectno"/>
        </w:rPr>
        <w:t>116</w:t>
      </w:r>
      <w:r>
        <w:t>.</w:t>
      </w:r>
      <w:r>
        <w:tab/>
        <w:t>Replacement of dilapidated, damaged number plates</w:t>
      </w:r>
      <w:bookmarkEnd w:id="211"/>
    </w:p>
    <w:p w:rsidR="006724FB" w:rsidRDefault="006724FB">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rsidR="006724FB" w:rsidRDefault="006724FB">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rsidR="006724FB" w:rsidRDefault="006724FB">
      <w:pPr>
        <w:pStyle w:val="Subsection"/>
        <w:rPr>
          <w:snapToGrid w:val="0"/>
        </w:rPr>
      </w:pPr>
      <w:r>
        <w:tab/>
        <w:t>(3)</w:t>
      </w:r>
      <w:r>
        <w:tab/>
      </w:r>
      <w:r>
        <w:rPr>
          <w:snapToGrid w:val="0"/>
        </w:rPr>
        <w:t>If the returned set is a set of —</w:t>
      </w:r>
    </w:p>
    <w:p w:rsidR="006724FB" w:rsidRDefault="006724FB">
      <w:pPr>
        <w:pStyle w:val="Indenta"/>
        <w:rPr>
          <w:snapToGrid w:val="0"/>
        </w:rPr>
      </w:pPr>
      <w:r>
        <w:rPr>
          <w:snapToGrid w:val="0"/>
        </w:rPr>
        <w:tab/>
        <w:t>(a)</w:t>
      </w:r>
      <w:r>
        <w:rPr>
          <w:snapToGrid w:val="0"/>
        </w:rPr>
        <w:tab/>
        <w:t>special plates; or</w:t>
      </w:r>
    </w:p>
    <w:p w:rsidR="006724FB" w:rsidRDefault="006724FB">
      <w:pPr>
        <w:pStyle w:val="Indenta"/>
        <w:rPr>
          <w:snapToGrid w:val="0"/>
        </w:rPr>
      </w:pPr>
      <w:r>
        <w:rPr>
          <w:snapToGrid w:val="0"/>
        </w:rPr>
        <w:tab/>
        <w:t>(b)</w:t>
      </w:r>
      <w:r>
        <w:rPr>
          <w:snapToGrid w:val="0"/>
        </w:rPr>
        <w:tab/>
        <w:t>name plates; or</w:t>
      </w:r>
    </w:p>
    <w:p w:rsidR="006724FB" w:rsidRDefault="006724FB">
      <w:pPr>
        <w:pStyle w:val="Indenta"/>
        <w:rPr>
          <w:snapToGrid w:val="0"/>
        </w:rPr>
      </w:pPr>
      <w:r>
        <w:rPr>
          <w:snapToGrid w:val="0"/>
        </w:rPr>
        <w:tab/>
        <w:t>(c)</w:t>
      </w:r>
      <w:r>
        <w:rPr>
          <w:snapToGrid w:val="0"/>
        </w:rPr>
        <w:tab/>
        <w:t>personalised plates,</w:t>
      </w:r>
    </w:p>
    <w:p w:rsidR="006724FB" w:rsidRDefault="006724FB">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rsidR="006724FB" w:rsidRDefault="006724FB">
      <w:pPr>
        <w:pStyle w:val="Heading5"/>
        <w:keepNext w:val="0"/>
        <w:keepLines w:val="0"/>
        <w:widowControl w:val="0"/>
        <w:spacing w:before="180"/>
        <w:rPr>
          <w:snapToGrid w:val="0"/>
        </w:rPr>
      </w:pPr>
      <w:bookmarkStart w:id="212" w:name="_Toc75875667"/>
      <w:r>
        <w:rPr>
          <w:rStyle w:val="CharSectno"/>
        </w:rPr>
        <w:t>117</w:t>
      </w:r>
      <w:r>
        <w:t>.</w:t>
      </w:r>
      <w:r>
        <w:tab/>
        <w:t>Number plate content, colour</w:t>
      </w:r>
      <w:bookmarkEnd w:id="212"/>
    </w:p>
    <w:p w:rsidR="006724FB" w:rsidRDefault="006724FB">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rsidR="006724FB" w:rsidRDefault="006724FB">
      <w:pPr>
        <w:pStyle w:val="Subsection"/>
        <w:rPr>
          <w:snapToGrid w:val="0"/>
        </w:rPr>
      </w:pPr>
      <w:r>
        <w:rPr>
          <w:snapToGrid w:val="0"/>
        </w:rPr>
        <w:lastRenderedPageBreak/>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rsidR="006724FB" w:rsidRDefault="006724FB">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rsidR="006724FB" w:rsidRDefault="006724FB">
      <w:pPr>
        <w:pStyle w:val="Heading5"/>
      </w:pPr>
      <w:bookmarkStart w:id="213" w:name="_Toc75875668"/>
      <w:r>
        <w:rPr>
          <w:rStyle w:val="CharSectno"/>
        </w:rPr>
        <w:t>118</w:t>
      </w:r>
      <w:r>
        <w:t>.</w:t>
      </w:r>
      <w:r>
        <w:tab/>
        <w:t>Surrender of non</w:t>
      </w:r>
      <w:r>
        <w:noBreakHyphen/>
        <w:t>reflective plates</w:t>
      </w:r>
      <w:bookmarkEnd w:id="213"/>
    </w:p>
    <w:p w:rsidR="006724FB" w:rsidRDefault="006724FB">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rsidR="006724FB" w:rsidRDefault="006724FB">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rsidR="006724FB" w:rsidRDefault="006724FB">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rsidR="006724FB" w:rsidRDefault="006724FB">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w:t>
      </w:r>
      <w:r>
        <w:rPr>
          <w:snapToGrid w:val="0"/>
        </w:rPr>
        <w:lastRenderedPageBreak/>
        <w:t>replacement</w:t>
      </w:r>
      <w:r>
        <w:t xml:space="preserve"> but only on payment</w:t>
      </w:r>
      <w:r>
        <w:rPr>
          <w:snapToGrid w:val="0"/>
        </w:rPr>
        <w:t xml:space="preserve"> of the relevant fee payable under regulation 112 </w:t>
      </w:r>
      <w:r>
        <w:t>for the issue of the plates</w:t>
      </w:r>
      <w:r>
        <w:rPr>
          <w:snapToGrid w:val="0"/>
        </w:rPr>
        <w:t>.</w:t>
      </w:r>
    </w:p>
    <w:p w:rsidR="006724FB" w:rsidRDefault="006724FB">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rsidR="006724FB" w:rsidRDefault="006724FB">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rsidR="006724FB" w:rsidRDefault="006724FB">
      <w:pPr>
        <w:pStyle w:val="Penstart"/>
      </w:pPr>
      <w:r>
        <w:tab/>
        <w:t>Penalty for an offence under this subregulation:</w:t>
      </w:r>
    </w:p>
    <w:p w:rsidR="006724FB" w:rsidRDefault="006724FB">
      <w:pPr>
        <w:pStyle w:val="Penpara"/>
      </w:pPr>
      <w:r>
        <w:tab/>
        <w:t>(a)</w:t>
      </w:r>
      <w:r>
        <w:tab/>
        <w:t>for a first offence, a fine of 4 PU;</w:t>
      </w:r>
    </w:p>
    <w:p w:rsidR="006724FB" w:rsidRDefault="006724FB">
      <w:pPr>
        <w:pStyle w:val="Penpara"/>
      </w:pPr>
      <w:r>
        <w:tab/>
        <w:t>(b)</w:t>
      </w:r>
      <w:r>
        <w:tab/>
        <w:t>for a subsequent offence, a fine of 8 PU.</w:t>
      </w:r>
    </w:p>
    <w:p w:rsidR="006724FB" w:rsidRDefault="006724FB">
      <w:pPr>
        <w:pStyle w:val="Penstart"/>
      </w:pPr>
      <w:r>
        <w:tab/>
        <w:t>Modified penalty for an offence under this subregulation: 2 PU.</w:t>
      </w:r>
    </w:p>
    <w:p w:rsidR="006724FB" w:rsidRDefault="006724FB">
      <w:pPr>
        <w:pStyle w:val="Heading5"/>
        <w:rPr>
          <w:snapToGrid w:val="0"/>
        </w:rPr>
      </w:pPr>
      <w:bookmarkStart w:id="214" w:name="_Toc75875669"/>
      <w:r>
        <w:rPr>
          <w:rStyle w:val="CharSectno"/>
        </w:rPr>
        <w:t>119</w:t>
      </w:r>
      <w:r>
        <w:t>.</w:t>
      </w:r>
      <w:r>
        <w:tab/>
      </w:r>
      <w:r>
        <w:rPr>
          <w:snapToGrid w:val="0"/>
        </w:rPr>
        <w:t>Number plate to be fixed on vehicle</w:t>
      </w:r>
      <w:bookmarkEnd w:id="214"/>
    </w:p>
    <w:p w:rsidR="006724FB" w:rsidRDefault="006724FB">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rsidR="006724FB" w:rsidRDefault="006724FB">
      <w:pPr>
        <w:pStyle w:val="Penstart"/>
      </w:pPr>
      <w:r>
        <w:tab/>
        <w:t xml:space="preserve">Penalty: </w:t>
      </w:r>
    </w:p>
    <w:p w:rsidR="006724FB" w:rsidRDefault="006724FB">
      <w:pPr>
        <w:pStyle w:val="Penpara"/>
      </w:pPr>
      <w:r>
        <w:tab/>
        <w:t>(a)</w:t>
      </w:r>
      <w:r>
        <w:tab/>
        <w:t>for a first offence, a fine of 4 PU;</w:t>
      </w:r>
    </w:p>
    <w:p w:rsidR="006724FB" w:rsidRDefault="006724FB">
      <w:pPr>
        <w:pStyle w:val="Penpara"/>
      </w:pPr>
      <w:r>
        <w:tab/>
        <w:t>(b)</w:t>
      </w:r>
      <w:r>
        <w:tab/>
        <w:t>for a subsequent offence, a fine of 8 PU.</w:t>
      </w:r>
    </w:p>
    <w:p w:rsidR="006724FB" w:rsidRDefault="006724FB">
      <w:pPr>
        <w:pStyle w:val="Penstart"/>
      </w:pPr>
      <w:r>
        <w:tab/>
        <w:t>Modified penalty: 2 PU.</w:t>
      </w:r>
    </w:p>
    <w:p w:rsidR="006724FB" w:rsidRDefault="006724FB">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rsidR="006724FB" w:rsidRDefault="006724FB">
      <w:pPr>
        <w:pStyle w:val="Subsection"/>
        <w:rPr>
          <w:snapToGrid w:val="0"/>
        </w:rPr>
      </w:pPr>
      <w:r>
        <w:lastRenderedPageBreak/>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rsidR="006724FB" w:rsidRDefault="006724FB">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rsidR="006724FB" w:rsidRDefault="006724FB">
      <w:pPr>
        <w:pStyle w:val="Subsection"/>
      </w:pPr>
      <w:r>
        <w:tab/>
        <w:t>(5)</w:t>
      </w:r>
      <w:r>
        <w:tab/>
        <w:t xml:space="preserve">In subregulations (2) and (3) — </w:t>
      </w:r>
    </w:p>
    <w:p w:rsidR="006724FB" w:rsidRDefault="006724FB">
      <w:pPr>
        <w:pStyle w:val="Defstart"/>
      </w:pPr>
      <w:r>
        <w:tab/>
      </w:r>
      <w:r>
        <w:rPr>
          <w:rStyle w:val="CharDefText"/>
        </w:rPr>
        <w:t>jinker</w:t>
      </w:r>
      <w:r>
        <w:t xml:space="preserve"> means a vehicle — </w:t>
      </w:r>
    </w:p>
    <w:p w:rsidR="006724FB" w:rsidRDefault="006724FB">
      <w:pPr>
        <w:pStyle w:val="Defpara"/>
      </w:pPr>
      <w:r>
        <w:tab/>
        <w:t>(a)</w:t>
      </w:r>
      <w:r>
        <w:tab/>
        <w:t xml:space="preserve">with an axle or axle group that is built to support part of a load; and </w:t>
      </w:r>
    </w:p>
    <w:p w:rsidR="006724FB" w:rsidRDefault="006724FB">
      <w:pPr>
        <w:pStyle w:val="Defpara"/>
      </w:pPr>
      <w:r>
        <w:tab/>
        <w:t>(b)</w:t>
      </w:r>
      <w:r>
        <w:tab/>
        <w:t>that is connected to the vehicle in front of it by a pole or cable or the load itself, if any.</w:t>
      </w:r>
    </w:p>
    <w:p w:rsidR="006724FB" w:rsidRDefault="006724FB">
      <w:pPr>
        <w:pStyle w:val="Heading5"/>
        <w:rPr>
          <w:snapToGrid w:val="0"/>
        </w:rPr>
      </w:pPr>
      <w:bookmarkStart w:id="215" w:name="_Toc75875670"/>
      <w:r>
        <w:rPr>
          <w:rStyle w:val="CharSectno"/>
        </w:rPr>
        <w:t>120</w:t>
      </w:r>
      <w:r>
        <w:t>.</w:t>
      </w:r>
      <w:r>
        <w:tab/>
        <w:t>Preventing effective identification of number plate</w:t>
      </w:r>
      <w:bookmarkEnd w:id="215"/>
    </w:p>
    <w:p w:rsidR="006724FB" w:rsidRDefault="006724FB">
      <w:pPr>
        <w:pStyle w:val="Subsection"/>
        <w:keepNext/>
      </w:pPr>
      <w:r>
        <w:tab/>
        <w:t>(1)</w:t>
      </w:r>
      <w:r>
        <w:tab/>
        <w:t xml:space="preserve">In this regulation — </w:t>
      </w:r>
    </w:p>
    <w:p w:rsidR="006724FB" w:rsidRDefault="006724FB">
      <w:pPr>
        <w:pStyle w:val="Defstart"/>
        <w:keepNext/>
      </w:pPr>
      <w:r>
        <w:tab/>
      </w:r>
      <w:r>
        <w:rPr>
          <w:rStyle w:val="CharDefText"/>
        </w:rPr>
        <w:t>ID prevention state</w:t>
      </w:r>
      <w:r>
        <w:t xml:space="preserve">, in relation to a plate on a vehicle, means that — </w:t>
      </w:r>
    </w:p>
    <w:p w:rsidR="006724FB" w:rsidRDefault="006724FB">
      <w:pPr>
        <w:pStyle w:val="Defpara"/>
      </w:pPr>
      <w:r>
        <w:tab/>
        <w:t>(a)</w:t>
      </w:r>
      <w:r>
        <w:tab/>
        <w:t>the plate is bent in a way that prevents the whole or a part of a character on the plate from being read at any time when the vehicle is used or driven; or</w:t>
      </w:r>
    </w:p>
    <w:p w:rsidR="006724FB" w:rsidRDefault="006724FB">
      <w:pPr>
        <w:pStyle w:val="Defpara"/>
      </w:pPr>
      <w:r>
        <w:tab/>
        <w:t>(b)</w:t>
      </w:r>
      <w:r>
        <w:tab/>
        <w:t>the plate’s angle is changed in a way that prevents the whole or a part of a character on the plate from being read at any time when the vehicle is used or driven; or</w:t>
      </w:r>
    </w:p>
    <w:p w:rsidR="006724FB" w:rsidRDefault="006724FB">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rsidR="006724FB" w:rsidRDefault="006724FB">
      <w:pPr>
        <w:pStyle w:val="Defpara"/>
      </w:pPr>
      <w:r>
        <w:lastRenderedPageBreak/>
        <w:tab/>
        <w:t>(d)</w:t>
      </w:r>
      <w:r>
        <w:tab/>
        <w:t>a character or a part of a character on the plate is covered, altered or otherwise obscured in a way that prevents the whole or part of a character on the plate from being read at any time when the vehicle is used or driven; or</w:t>
      </w:r>
    </w:p>
    <w:p w:rsidR="006724FB" w:rsidRDefault="006724FB">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rsidR="006724FB" w:rsidRDefault="006724FB">
      <w:pPr>
        <w:pStyle w:val="Defstart"/>
      </w:pPr>
      <w:r>
        <w:tab/>
      </w:r>
      <w:r>
        <w:rPr>
          <w:rStyle w:val="CharDefText"/>
        </w:rPr>
        <w:t>obscuring device</w:t>
      </w:r>
      <w:r>
        <w:t xml:space="preserve"> means a device the use or operation of which would result in a plate on a vehicle being in an ID prevention state but does not include — </w:t>
      </w:r>
    </w:p>
    <w:p w:rsidR="006724FB" w:rsidRDefault="006724FB">
      <w:pPr>
        <w:pStyle w:val="Defpara"/>
      </w:pPr>
      <w:r>
        <w:tab/>
        <w:t>(a)</w:t>
      </w:r>
      <w:r>
        <w:tab/>
        <w:t>a tow ball fitted to the rear of a vehicle; or</w:t>
      </w:r>
    </w:p>
    <w:p w:rsidR="006724FB" w:rsidRDefault="006724FB">
      <w:pPr>
        <w:pStyle w:val="Defpara"/>
      </w:pPr>
      <w:r>
        <w:tab/>
        <w:t>(b)</w:t>
      </w:r>
      <w:r>
        <w:tab/>
        <w:t>a bicycle rack fitted to the rear of a vehicle; or</w:t>
      </w:r>
    </w:p>
    <w:p w:rsidR="006724FB" w:rsidRDefault="006724FB">
      <w:pPr>
        <w:pStyle w:val="Defpara"/>
      </w:pPr>
      <w:r>
        <w:tab/>
        <w:t>(c)</w:t>
      </w:r>
      <w:r>
        <w:tab/>
        <w:t>a bicycle carried on a bicycle rack fitted to the rear of a vehicle;</w:t>
      </w:r>
    </w:p>
    <w:p w:rsidR="006724FB" w:rsidRDefault="006724FB">
      <w:pPr>
        <w:pStyle w:val="Defstart"/>
        <w:keepNext/>
      </w:pPr>
      <w:r>
        <w:tab/>
      </w:r>
      <w:r>
        <w:rPr>
          <w:rStyle w:val="CharDefText"/>
        </w:rPr>
        <w:t>obscuring device action</w:t>
      </w:r>
      <w:r>
        <w:t xml:space="preserve">, in relation to a vehicle, means — </w:t>
      </w:r>
    </w:p>
    <w:p w:rsidR="006724FB" w:rsidRDefault="006724FB">
      <w:pPr>
        <w:pStyle w:val="Defpara"/>
      </w:pPr>
      <w:r>
        <w:tab/>
        <w:t>(a)</w:t>
      </w:r>
      <w:r>
        <w:tab/>
        <w:t>installing an obscuring device in or on the vehicle; or</w:t>
      </w:r>
    </w:p>
    <w:p w:rsidR="006724FB" w:rsidRDefault="006724FB">
      <w:pPr>
        <w:pStyle w:val="Defpara"/>
      </w:pPr>
      <w:r>
        <w:tab/>
        <w:t>(b)</w:t>
      </w:r>
      <w:r>
        <w:tab/>
        <w:t>causing an obscuring device to be installed in or on the vehicle; or</w:t>
      </w:r>
    </w:p>
    <w:p w:rsidR="006724FB" w:rsidRDefault="006724FB">
      <w:pPr>
        <w:pStyle w:val="Defpara"/>
      </w:pPr>
      <w:r>
        <w:tab/>
        <w:t>(c)</w:t>
      </w:r>
      <w:r>
        <w:tab/>
        <w:t>otherwise providing an obscuring device for the vehicle;</w:t>
      </w:r>
    </w:p>
    <w:p w:rsidR="006724FB" w:rsidRDefault="006724FB">
      <w:pPr>
        <w:pStyle w:val="Defstart"/>
      </w:pPr>
      <w:r>
        <w:tab/>
      </w:r>
      <w:r>
        <w:rPr>
          <w:rStyle w:val="CharDefText"/>
        </w:rPr>
        <w:t>plate</w:t>
      </w:r>
      <w:r>
        <w:t xml:space="preserve"> means a number plate or identification tablet issued by the CEO or a corresponding authority;</w:t>
      </w:r>
    </w:p>
    <w:p w:rsidR="006724FB" w:rsidRDefault="006724FB">
      <w:pPr>
        <w:pStyle w:val="Defstart"/>
      </w:pPr>
      <w:r>
        <w:tab/>
      </w:r>
      <w:r>
        <w:rPr>
          <w:rStyle w:val="CharDefText"/>
        </w:rPr>
        <w:t>read</w:t>
      </w:r>
      <w:r>
        <w:t>, in relation to a plate on a vehicle, means read from the vehicle’s exterior.</w:t>
      </w:r>
    </w:p>
    <w:p w:rsidR="006724FB" w:rsidRDefault="006724FB">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rsidR="006724FB" w:rsidRDefault="006724FB">
      <w:pPr>
        <w:pStyle w:val="Subsection"/>
      </w:pPr>
      <w:r>
        <w:tab/>
        <w:t>(3)</w:t>
      </w:r>
      <w:r>
        <w:tab/>
        <w:t>A responsible person for a vehicle must not allow the vehicle to be used or driven if a plate on the vehicle is in an ID prevention state.</w:t>
      </w:r>
    </w:p>
    <w:p w:rsidR="006724FB" w:rsidRDefault="006724FB">
      <w:pPr>
        <w:pStyle w:val="Subsection"/>
      </w:pPr>
      <w:r>
        <w:rPr>
          <w:snapToGrid w:val="0"/>
        </w:rPr>
        <w:lastRenderedPageBreak/>
        <w:tab/>
        <w:t>(4)</w:t>
      </w:r>
      <w:r>
        <w:rPr>
          <w:snapToGrid w:val="0"/>
        </w:rPr>
        <w:tab/>
        <w:t>A responsible person for a vehicle must not take obscuring device action in relation to the vehicle.</w:t>
      </w:r>
    </w:p>
    <w:p w:rsidR="006724FB" w:rsidRDefault="006724FB">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rsidR="006724FB" w:rsidRDefault="006724FB">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rsidR="006724FB" w:rsidRDefault="006724FB">
      <w:pPr>
        <w:pStyle w:val="Subsection"/>
      </w:pPr>
      <w:r>
        <w:tab/>
        <w:t>(7)</w:t>
      </w:r>
      <w:r>
        <w:tab/>
        <w:t>A person in charge of a vehicle must not use or drive the vehicle if a plate on the vehicle is in an ID prevention state.</w:t>
      </w:r>
    </w:p>
    <w:p w:rsidR="006724FB" w:rsidRDefault="006724FB">
      <w:pPr>
        <w:pStyle w:val="Subsection"/>
      </w:pPr>
      <w:r>
        <w:tab/>
        <w:t>(8)</w:t>
      </w:r>
      <w:r>
        <w:tab/>
        <w:t>A person in charge of a vehicle must not use or drive the vehicle if an obscuring device is installed in or on the vehicle or is otherwise provided for the vehicle.</w:t>
      </w:r>
    </w:p>
    <w:p w:rsidR="006724FB" w:rsidRDefault="006724FB">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rsidR="006724FB" w:rsidRDefault="006724FB">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rsidR="006724FB" w:rsidRDefault="006724FB">
      <w:pPr>
        <w:pStyle w:val="Indenta"/>
      </w:pPr>
      <w:r>
        <w:tab/>
        <w:t>(a)</w:t>
      </w:r>
      <w:r>
        <w:tab/>
        <w:t>a tow ball fitted to the rear of the vehicle; or</w:t>
      </w:r>
    </w:p>
    <w:p w:rsidR="006724FB" w:rsidRDefault="006724FB">
      <w:pPr>
        <w:pStyle w:val="Indenta"/>
      </w:pPr>
      <w:r>
        <w:tab/>
        <w:t>(b)</w:t>
      </w:r>
      <w:r>
        <w:tab/>
        <w:t>a bicycle rack fitted to the rear of the vehicle; or</w:t>
      </w:r>
    </w:p>
    <w:p w:rsidR="006724FB" w:rsidRDefault="006724FB">
      <w:pPr>
        <w:pStyle w:val="Indenta"/>
      </w:pPr>
      <w:r>
        <w:tab/>
        <w:t>(c)</w:t>
      </w:r>
      <w:r>
        <w:tab/>
        <w:t>a bicycle carried on a bicycle rack fitted to the rear of the vehicle.</w:t>
      </w:r>
    </w:p>
    <w:p w:rsidR="006724FB" w:rsidRDefault="006724FB">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rsidR="006724FB" w:rsidRDefault="006724FB">
      <w:pPr>
        <w:pStyle w:val="Indenta"/>
      </w:pPr>
      <w:r>
        <w:tab/>
        <w:t>(a)</w:t>
      </w:r>
      <w:r>
        <w:tab/>
        <w:t>is of a type approved by the CEO as being non</w:t>
      </w:r>
      <w:r>
        <w:noBreakHyphen/>
        <w:t>reflective; and</w:t>
      </w:r>
    </w:p>
    <w:p w:rsidR="006724FB" w:rsidRDefault="006724FB">
      <w:pPr>
        <w:pStyle w:val="Indenta"/>
      </w:pPr>
      <w:r>
        <w:lastRenderedPageBreak/>
        <w:tab/>
        <w:t>(b)</w:t>
      </w:r>
      <w:r>
        <w:tab/>
        <w:t>bears the name of its manufacturer and its serial or other identification number in a conspicuous place, but not so as to obscure the characters on the number plate; and</w:t>
      </w:r>
    </w:p>
    <w:p w:rsidR="006724FB" w:rsidRDefault="006724FB">
      <w:pPr>
        <w:pStyle w:val="Indenta"/>
      </w:pPr>
      <w:r>
        <w:tab/>
        <w:t>(c)</w:t>
      </w:r>
      <w:r>
        <w:tab/>
        <w:t>is kept clean, in good condition and free from discoloration, heavy scratching and any marking other than those referred to in paragraph (b).</w:t>
      </w:r>
    </w:p>
    <w:p w:rsidR="006724FB" w:rsidRDefault="006724FB">
      <w:pPr>
        <w:pStyle w:val="Penstart"/>
      </w:pPr>
      <w:r>
        <w:tab/>
        <w:t>Penalty for an offence under subregulation (2), (3), (4), (5), (6), (7), (8) or (9): a fine of 64 PU.</w:t>
      </w:r>
    </w:p>
    <w:p w:rsidR="006724FB" w:rsidRDefault="006724FB">
      <w:pPr>
        <w:pStyle w:val="Penstart"/>
      </w:pPr>
      <w:r>
        <w:tab/>
        <w:t>Modified penalty for an offence under subregulation (2), (3), (4), (5), (6), (7), (8) or (9): 24 PU.</w:t>
      </w:r>
    </w:p>
    <w:p w:rsidR="006724FB" w:rsidRDefault="006724FB">
      <w:pPr>
        <w:pStyle w:val="Footnotesection"/>
      </w:pPr>
      <w:r>
        <w:tab/>
        <w:t>[Regulation 120 amended: Gazette 20 Jan 2017 p. 652.]</w:t>
      </w:r>
    </w:p>
    <w:p w:rsidR="006724FB" w:rsidRDefault="006724FB">
      <w:pPr>
        <w:pStyle w:val="Heading5"/>
        <w:spacing w:before="240"/>
        <w:rPr>
          <w:snapToGrid w:val="0"/>
        </w:rPr>
      </w:pPr>
      <w:bookmarkStart w:id="216" w:name="_Toc75875671"/>
      <w:r>
        <w:rPr>
          <w:rStyle w:val="CharSectno"/>
        </w:rPr>
        <w:t>121</w:t>
      </w:r>
      <w:r>
        <w:t>.</w:t>
      </w:r>
      <w:r>
        <w:tab/>
        <w:t xml:space="preserve">No </w:t>
      </w:r>
      <w:r>
        <w:rPr>
          <w:snapToGrid w:val="0"/>
        </w:rPr>
        <w:t>painting or interfering with number plates</w:t>
      </w:r>
      <w:bookmarkEnd w:id="216"/>
    </w:p>
    <w:p w:rsidR="006724FB" w:rsidRDefault="006724FB">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rsidR="006724FB" w:rsidRDefault="006724FB">
      <w:pPr>
        <w:pStyle w:val="Indenta"/>
      </w:pPr>
      <w:r>
        <w:rPr>
          <w:snapToGrid w:val="0"/>
        </w:rPr>
        <w:tab/>
        <w:t>(a)</w:t>
      </w:r>
      <w:r>
        <w:rPr>
          <w:snapToGrid w:val="0"/>
        </w:rPr>
        <w:tab/>
      </w:r>
      <w:r>
        <w:t>reinstated to its original condition; or</w:t>
      </w:r>
    </w:p>
    <w:p w:rsidR="006724FB" w:rsidRDefault="006724FB">
      <w:pPr>
        <w:pStyle w:val="Indenta"/>
        <w:keepNext/>
      </w:pPr>
      <w:r>
        <w:tab/>
        <w:t>(b)</w:t>
      </w:r>
      <w:r>
        <w:tab/>
        <w:t>labelled for compliance with regulation 362(2).</w:t>
      </w:r>
    </w:p>
    <w:p w:rsidR="006724FB" w:rsidRDefault="006724FB">
      <w:pPr>
        <w:pStyle w:val="Penstart"/>
      </w:pPr>
      <w:r>
        <w:tab/>
        <w:t xml:space="preserve">Penalty: </w:t>
      </w:r>
    </w:p>
    <w:p w:rsidR="006724FB" w:rsidRDefault="006724FB">
      <w:pPr>
        <w:pStyle w:val="Penpara"/>
      </w:pPr>
      <w:r>
        <w:tab/>
        <w:t>(a)</w:t>
      </w:r>
      <w:r>
        <w:tab/>
        <w:t>for a first offence, a fine of 4 PU;</w:t>
      </w:r>
    </w:p>
    <w:p w:rsidR="006724FB" w:rsidRDefault="006724FB">
      <w:pPr>
        <w:pStyle w:val="Penpara"/>
      </w:pPr>
      <w:r>
        <w:tab/>
        <w:t>(b)</w:t>
      </w:r>
      <w:r>
        <w:tab/>
        <w:t>for a subsequent offence, a fine of 8 PU.</w:t>
      </w:r>
    </w:p>
    <w:p w:rsidR="006724FB" w:rsidRDefault="006724FB">
      <w:pPr>
        <w:pStyle w:val="Penstart"/>
      </w:pPr>
      <w:r>
        <w:tab/>
        <w:t>Modified penalty: 2 PU.</w:t>
      </w:r>
    </w:p>
    <w:p w:rsidR="006724FB" w:rsidRDefault="006724FB">
      <w:pPr>
        <w:pStyle w:val="Heading5"/>
      </w:pPr>
      <w:bookmarkStart w:id="217" w:name="_Toc75875672"/>
      <w:r>
        <w:rPr>
          <w:rStyle w:val="CharSectno"/>
        </w:rPr>
        <w:t>122</w:t>
      </w:r>
      <w:r>
        <w:t>.</w:t>
      </w:r>
      <w:r>
        <w:tab/>
        <w:t>Seizure of number plates</w:t>
      </w:r>
      <w:bookmarkEnd w:id="217"/>
    </w:p>
    <w:p w:rsidR="006724FB" w:rsidRDefault="006724FB">
      <w:pPr>
        <w:pStyle w:val="Subsection"/>
        <w:keepNext/>
        <w:rPr>
          <w:snapToGrid w:val="0"/>
        </w:rPr>
      </w:pPr>
      <w:r>
        <w:rPr>
          <w:snapToGrid w:val="0"/>
        </w:rPr>
        <w:tab/>
      </w:r>
      <w:r>
        <w:rPr>
          <w:snapToGrid w:val="0"/>
        </w:rPr>
        <w:tab/>
        <w:t>A police officer may seize and take possession of a number plate that the officer has reasonable grounds to believe —</w:t>
      </w:r>
    </w:p>
    <w:p w:rsidR="006724FB" w:rsidRDefault="006724FB">
      <w:pPr>
        <w:pStyle w:val="Indenta"/>
        <w:rPr>
          <w:snapToGrid w:val="0"/>
        </w:rPr>
      </w:pPr>
      <w:r>
        <w:rPr>
          <w:snapToGrid w:val="0"/>
        </w:rPr>
        <w:tab/>
        <w:t>(a)</w:t>
      </w:r>
      <w:r>
        <w:rPr>
          <w:snapToGrid w:val="0"/>
        </w:rPr>
        <w:tab/>
        <w:t>has not been issued in connection with a current vehicle licence; or</w:t>
      </w:r>
    </w:p>
    <w:p w:rsidR="006724FB" w:rsidRDefault="006724FB">
      <w:pPr>
        <w:pStyle w:val="Indenta"/>
        <w:rPr>
          <w:snapToGrid w:val="0"/>
        </w:rPr>
      </w:pPr>
      <w:r>
        <w:rPr>
          <w:snapToGrid w:val="0"/>
        </w:rPr>
        <w:tab/>
        <w:t>(b)</w:t>
      </w:r>
      <w:r>
        <w:rPr>
          <w:snapToGrid w:val="0"/>
        </w:rPr>
        <w:tab/>
        <w:t>is fixed to a vehicle other than that for which it was issued; or</w:t>
      </w:r>
    </w:p>
    <w:p w:rsidR="006724FB" w:rsidRDefault="006724FB">
      <w:pPr>
        <w:pStyle w:val="Indenta"/>
        <w:rPr>
          <w:snapToGrid w:val="0"/>
        </w:rPr>
      </w:pPr>
      <w:r>
        <w:rPr>
          <w:snapToGrid w:val="0"/>
        </w:rPr>
        <w:lastRenderedPageBreak/>
        <w:tab/>
        <w:t>(c)</w:t>
      </w:r>
      <w:r>
        <w:rPr>
          <w:snapToGrid w:val="0"/>
        </w:rPr>
        <w:tab/>
        <w:t>should have been returned to the CEO under these regulations or a notice under these regulations.</w:t>
      </w:r>
    </w:p>
    <w:p w:rsidR="006724FB" w:rsidRDefault="006724FB">
      <w:pPr>
        <w:pStyle w:val="Heading5"/>
        <w:spacing w:before="180"/>
        <w:rPr>
          <w:snapToGrid w:val="0"/>
        </w:rPr>
      </w:pPr>
      <w:bookmarkStart w:id="218" w:name="_Toc75875673"/>
      <w:r>
        <w:rPr>
          <w:rStyle w:val="CharSectno"/>
        </w:rPr>
        <w:t>123</w:t>
      </w:r>
      <w:r>
        <w:t>.</w:t>
      </w:r>
      <w:r>
        <w:tab/>
      </w:r>
      <w:r>
        <w:rPr>
          <w:snapToGrid w:val="0"/>
        </w:rPr>
        <w:t>Restriction on manufacture, sale or supply of imitation plates</w:t>
      </w:r>
      <w:bookmarkEnd w:id="218"/>
    </w:p>
    <w:p w:rsidR="006724FB" w:rsidRDefault="006724FB">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rsidR="006724FB" w:rsidRDefault="006724FB">
      <w:pPr>
        <w:pStyle w:val="Penstart"/>
      </w:pPr>
      <w:r>
        <w:tab/>
        <w:t>Penalty:</w:t>
      </w:r>
    </w:p>
    <w:p w:rsidR="006724FB" w:rsidRDefault="006724FB">
      <w:pPr>
        <w:pStyle w:val="Penpara"/>
      </w:pPr>
      <w:r>
        <w:tab/>
        <w:t>(a)</w:t>
      </w:r>
      <w:r>
        <w:tab/>
        <w:t>for a first offence, a fine of 4 PU;</w:t>
      </w:r>
    </w:p>
    <w:p w:rsidR="006724FB" w:rsidRDefault="006724FB">
      <w:pPr>
        <w:pStyle w:val="Penpara"/>
      </w:pPr>
      <w:r>
        <w:tab/>
        <w:t>(b)</w:t>
      </w:r>
      <w:r>
        <w:tab/>
        <w:t>for a subsequent offence, a fine of 8 PU.</w:t>
      </w:r>
    </w:p>
    <w:p w:rsidR="006724FB" w:rsidRDefault="006724FB">
      <w:pPr>
        <w:pStyle w:val="Penstart"/>
      </w:pPr>
      <w:r>
        <w:tab/>
        <w:t>Modified penalty: 1 PU.</w:t>
      </w:r>
    </w:p>
    <w:p w:rsidR="006724FB" w:rsidRDefault="006724FB">
      <w:pPr>
        <w:pStyle w:val="Heading5"/>
        <w:spacing w:before="180"/>
        <w:rPr>
          <w:snapToGrid w:val="0"/>
        </w:rPr>
      </w:pPr>
      <w:bookmarkStart w:id="219" w:name="_Toc75875674"/>
      <w:r>
        <w:rPr>
          <w:rStyle w:val="CharSectno"/>
        </w:rPr>
        <w:t>124</w:t>
      </w:r>
      <w:r>
        <w:t>.</w:t>
      </w:r>
      <w:r>
        <w:tab/>
        <w:t>Seizure</w:t>
      </w:r>
      <w:r>
        <w:rPr>
          <w:snapToGrid w:val="0"/>
        </w:rPr>
        <w:t xml:space="preserve"> and disposal of imitation plates</w:t>
      </w:r>
      <w:bookmarkEnd w:id="219"/>
    </w:p>
    <w:p w:rsidR="006724FB" w:rsidRDefault="006724FB">
      <w:pPr>
        <w:pStyle w:val="Subsection"/>
        <w:keepNext/>
        <w:rPr>
          <w:snapToGrid w:val="0"/>
        </w:rPr>
      </w:pPr>
      <w:r>
        <w:rPr>
          <w:snapToGrid w:val="0"/>
        </w:rPr>
        <w:tab/>
        <w:t>(1)</w:t>
      </w:r>
      <w:r>
        <w:rPr>
          <w:snapToGrid w:val="0"/>
        </w:rPr>
        <w:tab/>
        <w:t>A police officer may seize and take possession of —</w:t>
      </w:r>
    </w:p>
    <w:p w:rsidR="006724FB" w:rsidRDefault="006724FB">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rsidR="006724FB" w:rsidRDefault="006724FB">
      <w:pPr>
        <w:pStyle w:val="Indenta"/>
        <w:rPr>
          <w:snapToGrid w:val="0"/>
        </w:rPr>
      </w:pPr>
      <w:r>
        <w:rPr>
          <w:snapToGrid w:val="0"/>
        </w:rPr>
        <w:tab/>
        <w:t>(b)</w:t>
      </w:r>
      <w:r>
        <w:rPr>
          <w:snapToGrid w:val="0"/>
        </w:rPr>
        <w:tab/>
        <w:t>any imitation plate that is fixed to a vehicle.</w:t>
      </w:r>
    </w:p>
    <w:p w:rsidR="006724FB" w:rsidRDefault="006724FB">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rsidR="006724FB" w:rsidRDefault="006724FB">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rsidR="006724FB" w:rsidRDefault="006724FB">
      <w:pPr>
        <w:pStyle w:val="Indenta"/>
        <w:rPr>
          <w:snapToGrid w:val="0"/>
        </w:rPr>
      </w:pPr>
      <w:r>
        <w:rPr>
          <w:snapToGrid w:val="0"/>
        </w:rPr>
        <w:tab/>
        <w:t>(a)</w:t>
      </w:r>
      <w:r>
        <w:rPr>
          <w:snapToGrid w:val="0"/>
        </w:rPr>
        <w:tab/>
        <w:t>that the plate is liable to be destroyed; and</w:t>
      </w:r>
    </w:p>
    <w:p w:rsidR="006724FB" w:rsidRDefault="006724FB">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rsidR="006724FB" w:rsidRDefault="006724FB">
      <w:pPr>
        <w:pStyle w:val="Subsection"/>
        <w:rPr>
          <w:snapToGrid w:val="0"/>
        </w:rPr>
      </w:pPr>
      <w:r>
        <w:rPr>
          <w:snapToGrid w:val="0"/>
        </w:rPr>
        <w:lastRenderedPageBreak/>
        <w:tab/>
        <w:t>(4)</w:t>
      </w:r>
      <w:r>
        <w:rPr>
          <w:snapToGrid w:val="0"/>
        </w:rPr>
        <w:tab/>
        <w:t>At any time after the expiration of 14 days from service of the notice under subregulation (3) the CEO may apply to a JP for approval to destroy the imitation plate.</w:t>
      </w:r>
    </w:p>
    <w:p w:rsidR="006724FB" w:rsidRDefault="006724FB">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rsidR="006724FB" w:rsidRDefault="006724FB">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rsidR="006724FB" w:rsidRDefault="006724FB">
      <w:pPr>
        <w:pStyle w:val="Indenta"/>
        <w:rPr>
          <w:snapToGrid w:val="0"/>
        </w:rPr>
      </w:pPr>
      <w:r>
        <w:rPr>
          <w:snapToGrid w:val="0"/>
        </w:rPr>
        <w:tab/>
        <w:t>(a)</w:t>
      </w:r>
      <w:r>
        <w:rPr>
          <w:snapToGrid w:val="0"/>
        </w:rPr>
        <w:tab/>
        <w:t>approve of the destruction of the plate; or</w:t>
      </w:r>
    </w:p>
    <w:p w:rsidR="006724FB" w:rsidRDefault="006724FB">
      <w:pPr>
        <w:pStyle w:val="Indenta"/>
        <w:rPr>
          <w:snapToGrid w:val="0"/>
        </w:rPr>
      </w:pPr>
      <w:r>
        <w:rPr>
          <w:snapToGrid w:val="0"/>
        </w:rPr>
        <w:tab/>
        <w:t>(b)</w:t>
      </w:r>
      <w:r>
        <w:rPr>
          <w:snapToGrid w:val="0"/>
        </w:rPr>
        <w:tab/>
        <w:t>direct that the plate be returned to the person from whom it was seized; or</w:t>
      </w:r>
    </w:p>
    <w:p w:rsidR="006724FB" w:rsidRDefault="006724FB">
      <w:pPr>
        <w:pStyle w:val="Indenta"/>
        <w:rPr>
          <w:snapToGrid w:val="0"/>
        </w:rPr>
      </w:pPr>
      <w:r>
        <w:rPr>
          <w:snapToGrid w:val="0"/>
        </w:rPr>
        <w:tab/>
        <w:t>(c)</w:t>
      </w:r>
      <w:r>
        <w:rPr>
          <w:snapToGrid w:val="0"/>
        </w:rPr>
        <w:tab/>
        <w:t>authorise the continued retention of the plate for evidentiary purposes.</w:t>
      </w:r>
    </w:p>
    <w:p w:rsidR="006724FB" w:rsidRDefault="006724FB">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rsidR="006724FB" w:rsidRDefault="006724FB">
      <w:pPr>
        <w:pStyle w:val="Heading3"/>
      </w:pPr>
      <w:bookmarkStart w:id="220" w:name="_Toc75419752"/>
      <w:bookmarkStart w:id="221" w:name="_Toc75427087"/>
      <w:bookmarkStart w:id="222" w:name="_Toc75872503"/>
      <w:bookmarkStart w:id="223" w:name="_Toc75875675"/>
      <w:r>
        <w:rPr>
          <w:rStyle w:val="CharDivNo"/>
        </w:rPr>
        <w:t>Division 3</w:t>
      </w:r>
      <w:r>
        <w:t> — </w:t>
      </w:r>
      <w:r>
        <w:rPr>
          <w:rStyle w:val="CharDivText"/>
        </w:rPr>
        <w:t>Name plates and special plates</w:t>
      </w:r>
      <w:bookmarkEnd w:id="220"/>
      <w:bookmarkEnd w:id="221"/>
      <w:bookmarkEnd w:id="222"/>
      <w:bookmarkEnd w:id="223"/>
    </w:p>
    <w:p w:rsidR="006724FB" w:rsidRDefault="006724FB">
      <w:pPr>
        <w:pStyle w:val="Heading5"/>
      </w:pPr>
      <w:bookmarkStart w:id="224" w:name="_Toc75875676"/>
      <w:r>
        <w:rPr>
          <w:rStyle w:val="CharSectno"/>
        </w:rPr>
        <w:t>125</w:t>
      </w:r>
      <w:r>
        <w:t>.</w:t>
      </w:r>
      <w:r>
        <w:tab/>
        <w:t>Name plates or special plates not for certain vehicles</w:t>
      </w:r>
      <w:bookmarkEnd w:id="224"/>
    </w:p>
    <w:p w:rsidR="006724FB" w:rsidRDefault="006724FB">
      <w:pPr>
        <w:pStyle w:val="Subsection"/>
      </w:pPr>
      <w:r>
        <w:tab/>
        <w:t>(1)</w:t>
      </w:r>
      <w:r>
        <w:tab/>
        <w:t>The CEO may issue a number plate that is a special plate or a name plate.</w:t>
      </w:r>
    </w:p>
    <w:p w:rsidR="006724FB" w:rsidRDefault="006724FB">
      <w:pPr>
        <w:pStyle w:val="Subsection"/>
      </w:pPr>
      <w:r>
        <w:tab/>
        <w:t>(2)</w:t>
      </w:r>
      <w:r>
        <w:tab/>
        <w:t>The CEO must not issue a special plate or a name plate for a vehicle with a seasonal heavy vehicle licence.</w:t>
      </w:r>
    </w:p>
    <w:p w:rsidR="006724FB" w:rsidRDefault="006724FB">
      <w:pPr>
        <w:pStyle w:val="Subsection"/>
      </w:pPr>
      <w:r>
        <w:tab/>
        <w:t>(3)</w:t>
      </w:r>
      <w:r>
        <w:tab/>
        <w:t>The CEO must not issue a special plate or a name plate for an authorised on</w:t>
      </w:r>
      <w:r>
        <w:noBreakHyphen/>
        <w:t>demand rank or hail vehicle.</w:t>
      </w:r>
    </w:p>
    <w:p w:rsidR="006724FB" w:rsidRDefault="006724FB">
      <w:pPr>
        <w:pStyle w:val="Footnotesection"/>
      </w:pPr>
      <w:r>
        <w:tab/>
        <w:t>[Regulation 125 amended: Gazette 26 Jun 2019 p. 2237.]</w:t>
      </w:r>
    </w:p>
    <w:p w:rsidR="006724FB" w:rsidRDefault="006724FB">
      <w:pPr>
        <w:pStyle w:val="Heading5"/>
      </w:pPr>
      <w:bookmarkStart w:id="225" w:name="_Toc75875677"/>
      <w:r>
        <w:rPr>
          <w:rStyle w:val="CharSectno"/>
        </w:rPr>
        <w:lastRenderedPageBreak/>
        <w:t>126</w:t>
      </w:r>
      <w:r>
        <w:t>.</w:t>
      </w:r>
      <w:r>
        <w:tab/>
        <w:t>Special plate content and colour</w:t>
      </w:r>
      <w:bookmarkEnd w:id="225"/>
    </w:p>
    <w:p w:rsidR="006724FB" w:rsidRDefault="006724FB">
      <w:pPr>
        <w:pStyle w:val="Subsection"/>
        <w:keepNext/>
        <w:rPr>
          <w:snapToGrid w:val="0"/>
        </w:rPr>
      </w:pPr>
      <w:r>
        <w:rPr>
          <w:snapToGrid w:val="0"/>
        </w:rPr>
        <w:tab/>
      </w:r>
      <w:r>
        <w:rPr>
          <w:snapToGrid w:val="0"/>
        </w:rPr>
        <w:tab/>
        <w:t xml:space="preserve">Special plates may consist of — </w:t>
      </w:r>
    </w:p>
    <w:p w:rsidR="006724FB" w:rsidRDefault="006724FB">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rsidR="006724FB" w:rsidRDefault="006724FB">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rsidR="006724FB" w:rsidRDefault="006724FB">
      <w:pPr>
        <w:pStyle w:val="Indenta"/>
        <w:rPr>
          <w:snapToGrid w:val="0"/>
        </w:rPr>
      </w:pPr>
      <w:r>
        <w:rPr>
          <w:snapToGrid w:val="0"/>
        </w:rPr>
        <w:tab/>
        <w:t>(c)</w:t>
      </w:r>
      <w:r>
        <w:rPr>
          <w:snapToGrid w:val="0"/>
        </w:rPr>
        <w:tab/>
        <w:t>a unique series, other than a unique series mentioned in paragraph (b), consisting of —</w:t>
      </w:r>
    </w:p>
    <w:p w:rsidR="006724FB" w:rsidRDefault="006724FB">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rsidR="006724FB" w:rsidRDefault="006724FB">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rsidR="006724FB" w:rsidRDefault="006724FB">
      <w:pPr>
        <w:pStyle w:val="Heading5"/>
      </w:pPr>
      <w:bookmarkStart w:id="226" w:name="_Toc75875678"/>
      <w:r>
        <w:rPr>
          <w:rStyle w:val="CharSectno"/>
        </w:rPr>
        <w:t>127</w:t>
      </w:r>
      <w:r>
        <w:t>.</w:t>
      </w:r>
      <w:r>
        <w:tab/>
        <w:t>Name plate content and colour</w:t>
      </w:r>
      <w:bookmarkEnd w:id="226"/>
    </w:p>
    <w:p w:rsidR="006724FB" w:rsidRDefault="006724FB">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rsidR="006724FB" w:rsidRDefault="006724FB">
      <w:pPr>
        <w:pStyle w:val="Heading5"/>
      </w:pPr>
      <w:bookmarkStart w:id="227" w:name="_Toc75875679"/>
      <w:r>
        <w:rPr>
          <w:rStyle w:val="CharSectno"/>
        </w:rPr>
        <w:t>128</w:t>
      </w:r>
      <w:r>
        <w:t>.</w:t>
      </w:r>
      <w:r>
        <w:tab/>
        <w:t>Disposal of right to display special plates</w:t>
      </w:r>
      <w:bookmarkEnd w:id="227"/>
    </w:p>
    <w:p w:rsidR="006724FB" w:rsidRDefault="006724FB">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rsidR="006724FB" w:rsidRDefault="006724FB">
      <w:pPr>
        <w:pStyle w:val="Heading5"/>
        <w:rPr>
          <w:snapToGrid w:val="0"/>
        </w:rPr>
      </w:pPr>
      <w:bookmarkStart w:id="228" w:name="_Toc75875680"/>
      <w:r>
        <w:rPr>
          <w:rStyle w:val="CharSectno"/>
        </w:rPr>
        <w:t>129</w:t>
      </w:r>
      <w:r>
        <w:t>.</w:t>
      </w:r>
      <w:r>
        <w:tab/>
        <w:t>Right</w:t>
      </w:r>
      <w:r>
        <w:rPr>
          <w:snapToGrid w:val="0"/>
        </w:rPr>
        <w:t xml:space="preserve"> to display special plates, name plates</w:t>
      </w:r>
      <w:bookmarkEnd w:id="228"/>
      <w:r>
        <w:rPr>
          <w:snapToGrid w:val="0"/>
        </w:rPr>
        <w:t xml:space="preserve"> </w:t>
      </w:r>
    </w:p>
    <w:p w:rsidR="006724FB" w:rsidRDefault="006724FB">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rsidR="006724FB" w:rsidRDefault="006724FB">
      <w:pPr>
        <w:pStyle w:val="Subsection"/>
        <w:rPr>
          <w:snapToGrid w:val="0"/>
        </w:rPr>
      </w:pPr>
      <w:r>
        <w:rPr>
          <w:snapToGrid w:val="0"/>
        </w:rPr>
        <w:lastRenderedPageBreak/>
        <w:tab/>
        <w:t>(2)</w:t>
      </w:r>
      <w:r>
        <w:rPr>
          <w:snapToGrid w:val="0"/>
        </w:rPr>
        <w:tab/>
        <w:t>The CEO must also issue to a person who is entitled to the right to display a special plate mentioned in regulation 126(a), a miniature of the special plate in a size determined by the CEO.</w:t>
      </w:r>
    </w:p>
    <w:p w:rsidR="006724FB" w:rsidRDefault="006724FB">
      <w:pPr>
        <w:pStyle w:val="Subsection"/>
        <w:rPr>
          <w:snapToGrid w:val="0"/>
        </w:rPr>
      </w:pPr>
      <w:r>
        <w:rPr>
          <w:snapToGrid w:val="0"/>
        </w:rPr>
        <w:tab/>
        <w:t>(3)</w:t>
      </w:r>
      <w:r>
        <w:rPr>
          <w:snapToGrid w:val="0"/>
        </w:rPr>
        <w:tab/>
        <w:t>A person who is entitled to the right to display a special plate or name plate may transfer that entitlement.</w:t>
      </w:r>
    </w:p>
    <w:p w:rsidR="006724FB" w:rsidRDefault="006724FB">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rsidR="006724FB" w:rsidRDefault="006724FB">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rsidR="006724FB" w:rsidRDefault="006724FB">
      <w:pPr>
        <w:pStyle w:val="Indenta"/>
        <w:rPr>
          <w:snapToGrid w:val="0"/>
        </w:rPr>
      </w:pPr>
      <w:r>
        <w:rPr>
          <w:snapToGrid w:val="0"/>
        </w:rPr>
        <w:tab/>
        <w:t>(a)</w:t>
      </w:r>
      <w:r>
        <w:rPr>
          <w:snapToGrid w:val="0"/>
        </w:rPr>
        <w:tab/>
        <w:t>the duplicate of the instrument of transfer of the plate; and</w:t>
      </w:r>
    </w:p>
    <w:p w:rsidR="006724FB" w:rsidRDefault="006724FB">
      <w:pPr>
        <w:pStyle w:val="Indenta"/>
        <w:rPr>
          <w:snapToGrid w:val="0"/>
        </w:rPr>
      </w:pPr>
      <w:r>
        <w:rPr>
          <w:snapToGrid w:val="0"/>
        </w:rPr>
        <w:tab/>
        <w:t>(b)</w:t>
      </w:r>
      <w:r>
        <w:rPr>
          <w:snapToGrid w:val="0"/>
        </w:rPr>
        <w:tab/>
        <w:t>the plate itself if not held by the CEO; and</w:t>
      </w:r>
    </w:p>
    <w:p w:rsidR="006724FB" w:rsidRDefault="006724FB">
      <w:pPr>
        <w:pStyle w:val="Indenta"/>
        <w:rPr>
          <w:snapToGrid w:val="0"/>
        </w:rPr>
      </w:pPr>
      <w:r>
        <w:rPr>
          <w:snapToGrid w:val="0"/>
        </w:rPr>
        <w:tab/>
        <w:t>(c)</w:t>
      </w:r>
      <w:r>
        <w:rPr>
          <w:snapToGrid w:val="0"/>
        </w:rPr>
        <w:tab/>
        <w:t>the certificate issued by the CEO in respect of the right to display the plate.</w:t>
      </w:r>
    </w:p>
    <w:p w:rsidR="006724FB" w:rsidRDefault="006724FB">
      <w:pPr>
        <w:pStyle w:val="Penstart"/>
      </w:pPr>
      <w:r>
        <w:tab/>
        <w:t xml:space="preserve">Penalty: </w:t>
      </w:r>
    </w:p>
    <w:p w:rsidR="006724FB" w:rsidRDefault="006724FB">
      <w:pPr>
        <w:pStyle w:val="Penpara"/>
      </w:pPr>
      <w:r>
        <w:tab/>
        <w:t>(a)</w:t>
      </w:r>
      <w:r>
        <w:tab/>
        <w:t>for a first offence, a fine of 4 PU;</w:t>
      </w:r>
    </w:p>
    <w:p w:rsidR="006724FB" w:rsidRDefault="006724FB">
      <w:pPr>
        <w:pStyle w:val="Penpara"/>
      </w:pPr>
      <w:r>
        <w:tab/>
        <w:t>(b)</w:t>
      </w:r>
      <w:r>
        <w:tab/>
        <w:t>for a subsequent offence, a fine of 8 PU.</w:t>
      </w:r>
    </w:p>
    <w:p w:rsidR="006724FB" w:rsidRDefault="006724FB">
      <w:pPr>
        <w:pStyle w:val="Penstart"/>
        <w:rPr>
          <w:snapToGrid w:val="0"/>
        </w:rPr>
      </w:pPr>
      <w:r>
        <w:tab/>
        <w:t>Modified penalty: 1 PU.</w:t>
      </w:r>
    </w:p>
    <w:p w:rsidR="006724FB" w:rsidRDefault="006724FB">
      <w:pPr>
        <w:pStyle w:val="Subsection"/>
        <w:keepNext/>
        <w:rPr>
          <w:snapToGrid w:val="0"/>
        </w:rPr>
      </w:pPr>
      <w:r>
        <w:rPr>
          <w:snapToGrid w:val="0"/>
        </w:rPr>
        <w:tab/>
        <w:t>(6)</w:t>
      </w:r>
      <w:r>
        <w:rPr>
          <w:snapToGrid w:val="0"/>
        </w:rPr>
        <w:tab/>
        <w:t xml:space="preserve">The buyer of the right to display a special plate or name plate must provide to the CEO — </w:t>
      </w:r>
    </w:p>
    <w:p w:rsidR="006724FB" w:rsidRDefault="006724FB">
      <w:pPr>
        <w:pStyle w:val="Indenta"/>
        <w:rPr>
          <w:snapToGrid w:val="0"/>
        </w:rPr>
      </w:pPr>
      <w:r>
        <w:rPr>
          <w:snapToGrid w:val="0"/>
        </w:rPr>
        <w:tab/>
        <w:t>(a)</w:t>
      </w:r>
      <w:r>
        <w:rPr>
          <w:snapToGrid w:val="0"/>
        </w:rPr>
        <w:tab/>
        <w:t>the original of the instrument of transfer of the right to display the plate; and</w:t>
      </w:r>
    </w:p>
    <w:p w:rsidR="006724FB" w:rsidRDefault="006724FB">
      <w:pPr>
        <w:pStyle w:val="Indenta"/>
        <w:rPr>
          <w:snapToGrid w:val="0"/>
        </w:rPr>
      </w:pPr>
      <w:r>
        <w:rPr>
          <w:snapToGrid w:val="0"/>
        </w:rPr>
        <w:tab/>
        <w:t>(b)</w:t>
      </w:r>
      <w:r>
        <w:rPr>
          <w:snapToGrid w:val="0"/>
        </w:rPr>
        <w:tab/>
        <w:t>notification of the vehicle in respect of which the plate is to be displayed; and</w:t>
      </w:r>
    </w:p>
    <w:p w:rsidR="006724FB" w:rsidRDefault="006724FB">
      <w:pPr>
        <w:pStyle w:val="Indenta"/>
        <w:rPr>
          <w:snapToGrid w:val="0"/>
        </w:rPr>
      </w:pPr>
      <w:r>
        <w:rPr>
          <w:snapToGrid w:val="0"/>
        </w:rPr>
        <w:tab/>
        <w:t>(c)</w:t>
      </w:r>
      <w:r>
        <w:rPr>
          <w:snapToGrid w:val="0"/>
        </w:rPr>
        <w:tab/>
        <w:t>payment of the relevant fee under regulation 130.</w:t>
      </w:r>
    </w:p>
    <w:p w:rsidR="006724FB" w:rsidRDefault="006724FB">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rsidR="006724FB" w:rsidRDefault="006724FB">
      <w:pPr>
        <w:pStyle w:val="Indenta"/>
        <w:rPr>
          <w:snapToGrid w:val="0"/>
        </w:rPr>
      </w:pPr>
      <w:r>
        <w:rPr>
          <w:snapToGrid w:val="0"/>
        </w:rPr>
        <w:tab/>
        <w:t>(a)</w:t>
      </w:r>
      <w:r>
        <w:rPr>
          <w:snapToGrid w:val="0"/>
        </w:rPr>
        <w:tab/>
        <w:t>a certificate evidencing the right; and</w:t>
      </w:r>
    </w:p>
    <w:p w:rsidR="006724FB" w:rsidRDefault="006724FB">
      <w:pPr>
        <w:pStyle w:val="Indenta"/>
        <w:rPr>
          <w:snapToGrid w:val="0"/>
        </w:rPr>
      </w:pPr>
      <w:r>
        <w:rPr>
          <w:snapToGrid w:val="0"/>
        </w:rPr>
        <w:lastRenderedPageBreak/>
        <w:tab/>
        <w:t>(b)</w:t>
      </w:r>
      <w:r>
        <w:rPr>
          <w:snapToGrid w:val="0"/>
        </w:rPr>
        <w:tab/>
        <w:t>in the case of special plates mentioned in regulation 126(a), a miniature of the special plates in a size determined by the CEO; and</w:t>
      </w:r>
    </w:p>
    <w:p w:rsidR="006724FB" w:rsidRDefault="006724FB">
      <w:pPr>
        <w:pStyle w:val="Indenta"/>
        <w:rPr>
          <w:rStyle w:val="DraftersNotes"/>
          <w:bCs/>
          <w:iCs/>
        </w:rPr>
      </w:pPr>
      <w:r>
        <w:rPr>
          <w:snapToGrid w:val="0"/>
        </w:rPr>
        <w:tab/>
        <w:t>(c)</w:t>
      </w:r>
      <w:r>
        <w:rPr>
          <w:snapToGrid w:val="0"/>
        </w:rPr>
        <w:tab/>
        <w:t>the special plates, unless retained under regulation 131.</w:t>
      </w:r>
    </w:p>
    <w:p w:rsidR="006724FB" w:rsidRDefault="006724FB">
      <w:pPr>
        <w:pStyle w:val="Heading5"/>
      </w:pPr>
      <w:bookmarkStart w:id="229" w:name="_Toc75875681"/>
      <w:r>
        <w:rPr>
          <w:rStyle w:val="CharSectno"/>
        </w:rPr>
        <w:t>130</w:t>
      </w:r>
      <w:r>
        <w:t>.</w:t>
      </w:r>
      <w:r>
        <w:tab/>
        <w:t>Fees for transfer of right to display special, name plates</w:t>
      </w:r>
      <w:bookmarkEnd w:id="229"/>
    </w:p>
    <w:p w:rsidR="006724FB" w:rsidRDefault="006724FB">
      <w:pPr>
        <w:pStyle w:val="Subsection"/>
      </w:pPr>
      <w:r>
        <w:tab/>
        <w:t>(1)</w:t>
      </w:r>
      <w:r>
        <w:tab/>
        <w:t xml:space="preserve">These fees are payable for the transfer of the right to display a special plate — </w:t>
      </w:r>
    </w:p>
    <w:p w:rsidR="006724FB" w:rsidRDefault="006724FB">
      <w:pPr>
        <w:pStyle w:val="Indenta"/>
      </w:pPr>
      <w:r>
        <w:tab/>
        <w:t>(a)</w:t>
      </w:r>
      <w:r>
        <w:tab/>
        <w:t xml:space="preserve">single digit numeral special plates — </w:t>
      </w:r>
      <w:r w:rsidR="00857959">
        <w:t>$11 131.20</w:t>
      </w:r>
      <w:r>
        <w:t>;</w:t>
      </w:r>
    </w:p>
    <w:p w:rsidR="006724FB" w:rsidRDefault="006724FB">
      <w:pPr>
        <w:pStyle w:val="Indenta"/>
        <w:rPr>
          <w:szCs w:val="22"/>
        </w:rPr>
      </w:pPr>
      <w:r>
        <w:tab/>
        <w:t>(b)</w:t>
      </w:r>
      <w:r>
        <w:tab/>
        <w:t xml:space="preserve">2 digit numeral special plates — </w:t>
      </w:r>
      <w:r w:rsidR="00857959">
        <w:t>$2 227.30</w:t>
      </w:r>
      <w:r>
        <w:rPr>
          <w:szCs w:val="22"/>
        </w:rPr>
        <w:t>;</w:t>
      </w:r>
    </w:p>
    <w:p w:rsidR="006724FB" w:rsidRDefault="006724FB">
      <w:pPr>
        <w:pStyle w:val="Indenta"/>
        <w:rPr>
          <w:szCs w:val="22"/>
        </w:rPr>
      </w:pPr>
      <w:r>
        <w:tab/>
        <w:t>(c)</w:t>
      </w:r>
      <w:r>
        <w:tab/>
        <w:t xml:space="preserve">3 digit numeral special plates — </w:t>
      </w:r>
      <w:r w:rsidR="00857959">
        <w:t>$1 108.30</w:t>
      </w:r>
      <w:r>
        <w:rPr>
          <w:szCs w:val="22"/>
        </w:rPr>
        <w:t>;</w:t>
      </w:r>
    </w:p>
    <w:p w:rsidR="006724FB" w:rsidRDefault="006724FB">
      <w:pPr>
        <w:pStyle w:val="Indenta"/>
        <w:rPr>
          <w:szCs w:val="22"/>
        </w:rPr>
      </w:pPr>
      <w:r>
        <w:tab/>
        <w:t>(d)</w:t>
      </w:r>
      <w:r>
        <w:tab/>
        <w:t xml:space="preserve">any other number of digit special plates — </w:t>
      </w:r>
      <w:r w:rsidR="00857959">
        <w:t>$221.30</w:t>
      </w:r>
      <w:r>
        <w:rPr>
          <w:szCs w:val="22"/>
        </w:rPr>
        <w:t>;</w:t>
      </w:r>
    </w:p>
    <w:p w:rsidR="006724FB" w:rsidRDefault="006724FB">
      <w:pPr>
        <w:pStyle w:val="Indenta"/>
        <w:rPr>
          <w:szCs w:val="22"/>
        </w:rPr>
      </w:pPr>
      <w:r>
        <w:tab/>
        <w:t>(e)</w:t>
      </w:r>
      <w:r>
        <w:tab/>
        <w:t xml:space="preserve">unique series special plates referred to in regulation 126(b) — </w:t>
      </w:r>
      <w:r w:rsidR="00857959">
        <w:t>$2 227.30</w:t>
      </w:r>
      <w:r>
        <w:rPr>
          <w:szCs w:val="22"/>
        </w:rPr>
        <w:t>;</w:t>
      </w:r>
    </w:p>
    <w:p w:rsidR="006724FB" w:rsidRDefault="006724FB">
      <w:pPr>
        <w:pStyle w:val="Indenta"/>
      </w:pPr>
      <w:r>
        <w:tab/>
        <w:t>(f)</w:t>
      </w:r>
      <w:r>
        <w:tab/>
        <w:t xml:space="preserve">unique series special plates referred to in regulation 126(c) — </w:t>
      </w:r>
      <w:r w:rsidR="00857959">
        <w:t>$96.60</w:t>
      </w:r>
      <w:r>
        <w:rPr>
          <w:szCs w:val="22"/>
        </w:rPr>
        <w:t>.</w:t>
      </w:r>
    </w:p>
    <w:p w:rsidR="006724FB" w:rsidRDefault="006724FB">
      <w:pPr>
        <w:pStyle w:val="Subsection"/>
      </w:pPr>
      <w:r>
        <w:tab/>
        <w:t>(2)</w:t>
      </w:r>
      <w:r>
        <w:tab/>
        <w:t xml:space="preserve">The fee payable for the transfer of the right to display a name plate is </w:t>
      </w:r>
      <w:r w:rsidR="00857959">
        <w:t>$555.70</w:t>
      </w:r>
      <w:r>
        <w:t>.</w:t>
      </w:r>
    </w:p>
    <w:p w:rsidR="006724FB" w:rsidRDefault="006724FB">
      <w:pPr>
        <w:pStyle w:val="Subsection"/>
        <w:keepNext/>
      </w:pPr>
      <w:r>
        <w:tab/>
        <w:t>(3)</w:t>
      </w:r>
      <w:r>
        <w:tab/>
        <w:t xml:space="preserve">Despite subregulations (1) and (2), the fee payable for the transfer of the right to display a special plate or a name plate — </w:t>
      </w:r>
    </w:p>
    <w:p w:rsidR="006724FB" w:rsidRDefault="006724FB">
      <w:pPr>
        <w:pStyle w:val="Indenta"/>
      </w:pPr>
      <w:r>
        <w:tab/>
        <w:t>(a)</w:t>
      </w:r>
      <w:r>
        <w:tab/>
        <w:t xml:space="preserve">under an agreement or order under the </w:t>
      </w:r>
      <w:r>
        <w:rPr>
          <w:i/>
        </w:rPr>
        <w:t>Family Law Act 1975</w:t>
      </w:r>
      <w:r>
        <w:t xml:space="preserve"> (Commonwealth) or the </w:t>
      </w:r>
      <w:r>
        <w:rPr>
          <w:i/>
        </w:rPr>
        <w:t>Family Court Act 1997</w:t>
      </w:r>
      <w:r>
        <w:t xml:space="preserve">, is </w:t>
      </w:r>
      <w:r w:rsidR="00857959">
        <w:t>$22.60</w:t>
      </w:r>
      <w:r>
        <w:t>; or</w:t>
      </w:r>
    </w:p>
    <w:p w:rsidR="006724FB" w:rsidRDefault="006724FB">
      <w:pPr>
        <w:pStyle w:val="Indenta"/>
      </w:pPr>
      <w:r>
        <w:tab/>
        <w:t>(b)</w:t>
      </w:r>
      <w:r>
        <w:tab/>
        <w:t xml:space="preserve">to a beneficiary by a trustee or other person in a fiduciary capacity under a trust whether express or implied, is </w:t>
      </w:r>
      <w:r w:rsidR="00857959">
        <w:t>$22.60</w:t>
      </w:r>
      <w:r>
        <w:t>.</w:t>
      </w:r>
    </w:p>
    <w:p w:rsidR="006724FB" w:rsidRDefault="006724FB">
      <w:pPr>
        <w:pStyle w:val="Subsection"/>
        <w:keepNext/>
      </w:pPr>
      <w:r>
        <w:tab/>
        <w:t>(4)</w:t>
      </w:r>
      <w:r>
        <w:tab/>
        <w:t xml:space="preserve">If — </w:t>
      </w:r>
    </w:p>
    <w:p w:rsidR="006724FB" w:rsidRDefault="006724FB">
      <w:pPr>
        <w:pStyle w:val="Indenta"/>
      </w:pPr>
      <w:r>
        <w:tab/>
        <w:t>(a)</w:t>
      </w:r>
      <w:r>
        <w:tab/>
        <w:t>the right to display a special plate or name plate is owned by a body corporate; and</w:t>
      </w:r>
    </w:p>
    <w:p w:rsidR="006724FB" w:rsidRDefault="006724FB">
      <w:pPr>
        <w:pStyle w:val="Indenta"/>
        <w:keepNext/>
      </w:pPr>
      <w:r>
        <w:lastRenderedPageBreak/>
        <w:tab/>
        <w:t>(b)</w:t>
      </w:r>
      <w:r>
        <w:tab/>
        <w:t>the CEO is of the opinion that there has been a significant change in the ownership or control of the body corporate,</w:t>
      </w:r>
    </w:p>
    <w:p w:rsidR="006724FB" w:rsidRDefault="006724FB">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rsidR="006724FB" w:rsidRDefault="006724FB">
      <w:pPr>
        <w:pStyle w:val="Footnotesection"/>
      </w:pPr>
      <w:r>
        <w:tab/>
        <w:t>[Regulation 130 amended: Gazette 12 Jun 2015 p. 2039</w:t>
      </w:r>
      <w:r>
        <w:noBreakHyphen/>
        <w:t>40; 14 Jun 2016 p. 1999-2000; 23 Jun 2017 p. 3268</w:t>
      </w:r>
      <w:r>
        <w:noBreakHyphen/>
        <w:t>9; 22 Jun 2018 p. 2192; 31 May 2019 p. 1726; SL 2020/74 r. 9</w:t>
      </w:r>
      <w:r w:rsidR="00857959">
        <w:t>; SL 2021/92 r. 20</w:t>
      </w:r>
      <w:r>
        <w:t>.]</w:t>
      </w:r>
    </w:p>
    <w:p w:rsidR="006724FB" w:rsidRDefault="006724FB">
      <w:pPr>
        <w:pStyle w:val="Heading5"/>
        <w:keepNext w:val="0"/>
        <w:keepLines w:val="0"/>
        <w:widowControl w:val="0"/>
        <w:rPr>
          <w:snapToGrid w:val="0"/>
        </w:rPr>
      </w:pPr>
      <w:bookmarkStart w:id="230" w:name="_Toc75875682"/>
      <w:r>
        <w:rPr>
          <w:rStyle w:val="CharSectno"/>
        </w:rPr>
        <w:t>131</w:t>
      </w:r>
      <w:r>
        <w:t>.</w:t>
      </w:r>
      <w:r>
        <w:tab/>
      </w:r>
      <w:r>
        <w:rPr>
          <w:snapToGrid w:val="0"/>
        </w:rPr>
        <w:t>Retention of special plates, name plates by CEO</w:t>
      </w:r>
      <w:bookmarkEnd w:id="230"/>
    </w:p>
    <w:p w:rsidR="006724FB" w:rsidRDefault="006724FB">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rsidR="006724FB" w:rsidRDefault="006724FB">
      <w:pPr>
        <w:pStyle w:val="Subsection"/>
        <w:spacing w:before="120"/>
      </w:pPr>
      <w:r>
        <w:tab/>
        <w:t>(2)</w:t>
      </w:r>
      <w:r>
        <w:tab/>
        <w:t>A fee of $18.10 is payable for the storage of a special plate retained by the CEO under subregulation (1).</w:t>
      </w:r>
    </w:p>
    <w:p w:rsidR="006724FB" w:rsidRDefault="006724FB">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rsidR="006724FB" w:rsidRDefault="006724FB">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rsidR="006724FB" w:rsidRDefault="006724FB">
      <w:pPr>
        <w:pStyle w:val="Heading3"/>
        <w:spacing w:before="120"/>
      </w:pPr>
      <w:bookmarkStart w:id="231" w:name="_Toc75419760"/>
      <w:bookmarkStart w:id="232" w:name="_Toc75427095"/>
      <w:bookmarkStart w:id="233" w:name="_Toc75872511"/>
      <w:bookmarkStart w:id="234" w:name="_Toc75875683"/>
      <w:r>
        <w:rPr>
          <w:rStyle w:val="CharDivNo"/>
        </w:rPr>
        <w:lastRenderedPageBreak/>
        <w:t>Division 4</w:t>
      </w:r>
      <w:r>
        <w:t> — </w:t>
      </w:r>
      <w:r>
        <w:rPr>
          <w:rStyle w:val="CharDivText"/>
        </w:rPr>
        <w:t>Trade plates for unlicensed vehicles</w:t>
      </w:r>
      <w:bookmarkEnd w:id="231"/>
      <w:bookmarkEnd w:id="232"/>
      <w:bookmarkEnd w:id="233"/>
      <w:bookmarkEnd w:id="234"/>
    </w:p>
    <w:p w:rsidR="006724FB" w:rsidRDefault="006724FB">
      <w:pPr>
        <w:pStyle w:val="Heading5"/>
        <w:spacing w:before="180"/>
        <w:rPr>
          <w:snapToGrid w:val="0"/>
        </w:rPr>
      </w:pPr>
      <w:bookmarkStart w:id="235" w:name="_Toc75875684"/>
      <w:r>
        <w:rPr>
          <w:rStyle w:val="CharSectno"/>
        </w:rPr>
        <w:t>132</w:t>
      </w:r>
      <w:r>
        <w:t>.</w:t>
      </w:r>
      <w:r>
        <w:tab/>
        <w:t xml:space="preserve">Who may be issued </w:t>
      </w:r>
      <w:r>
        <w:rPr>
          <w:snapToGrid w:val="0"/>
        </w:rPr>
        <w:t>trade plates</w:t>
      </w:r>
      <w:bookmarkEnd w:id="235"/>
    </w:p>
    <w:p w:rsidR="006724FB" w:rsidRDefault="006724FB">
      <w:pPr>
        <w:pStyle w:val="Subsection"/>
        <w:rPr>
          <w:snapToGrid w:val="0"/>
        </w:rPr>
      </w:pPr>
      <w:r>
        <w:rPr>
          <w:snapToGrid w:val="0"/>
        </w:rPr>
        <w:tab/>
      </w:r>
      <w:r>
        <w:rPr>
          <w:snapToGrid w:val="0"/>
        </w:rPr>
        <w:tab/>
        <w:t>For section 13(2), the classes of persons who may be issued number plates for use on an unlicensed vehicle are these —</w:t>
      </w:r>
    </w:p>
    <w:p w:rsidR="006724FB" w:rsidRDefault="006724FB">
      <w:pPr>
        <w:pStyle w:val="Indenta"/>
        <w:rPr>
          <w:snapToGrid w:val="0"/>
        </w:rPr>
      </w:pPr>
      <w:r>
        <w:rPr>
          <w:snapToGrid w:val="0"/>
        </w:rPr>
        <w:tab/>
        <w:t>(a)</w:t>
      </w:r>
      <w:r>
        <w:rPr>
          <w:snapToGrid w:val="0"/>
        </w:rPr>
        <w:tab/>
        <w:t>manufacturers of vehicles;</w:t>
      </w:r>
    </w:p>
    <w:p w:rsidR="006724FB" w:rsidRDefault="006724FB">
      <w:pPr>
        <w:pStyle w:val="Indenta"/>
        <w:rPr>
          <w:snapToGrid w:val="0"/>
        </w:rPr>
      </w:pPr>
      <w:r>
        <w:rPr>
          <w:snapToGrid w:val="0"/>
        </w:rPr>
        <w:tab/>
        <w:t>(b)</w:t>
      </w:r>
      <w:r>
        <w:rPr>
          <w:snapToGrid w:val="0"/>
        </w:rPr>
        <w:tab/>
        <w:t>dealers in vehicles;</w:t>
      </w:r>
    </w:p>
    <w:p w:rsidR="006724FB" w:rsidRDefault="006724FB">
      <w:pPr>
        <w:pStyle w:val="Indenta"/>
        <w:rPr>
          <w:snapToGrid w:val="0"/>
        </w:rPr>
      </w:pPr>
      <w:r>
        <w:rPr>
          <w:snapToGrid w:val="0"/>
        </w:rPr>
        <w:tab/>
        <w:t>(c)</w:t>
      </w:r>
      <w:r>
        <w:rPr>
          <w:snapToGrid w:val="0"/>
        </w:rPr>
        <w:tab/>
        <w:t>registered used car dealers;</w:t>
      </w:r>
    </w:p>
    <w:p w:rsidR="006724FB" w:rsidRDefault="006724FB">
      <w:pPr>
        <w:pStyle w:val="Indenta"/>
        <w:rPr>
          <w:snapToGrid w:val="0"/>
        </w:rPr>
      </w:pPr>
      <w:r>
        <w:rPr>
          <w:snapToGrid w:val="0"/>
        </w:rPr>
        <w:tab/>
        <w:t>(d)</w:t>
      </w:r>
      <w:r>
        <w:rPr>
          <w:snapToGrid w:val="0"/>
        </w:rPr>
        <w:tab/>
        <w:t>persons carrying on the business of a repairer of motor vehicles;</w:t>
      </w:r>
    </w:p>
    <w:p w:rsidR="006724FB" w:rsidRDefault="006724FB">
      <w:pPr>
        <w:pStyle w:val="Indenta"/>
        <w:rPr>
          <w:snapToGrid w:val="0"/>
        </w:rPr>
      </w:pPr>
      <w:r>
        <w:rPr>
          <w:snapToGrid w:val="0"/>
        </w:rPr>
        <w:tab/>
        <w:t>(e)</w:t>
      </w:r>
      <w:r>
        <w:rPr>
          <w:snapToGrid w:val="0"/>
        </w:rPr>
        <w:tab/>
        <w:t>persons carrying on the business of transporting motor vehicles on behalf of —</w:t>
      </w:r>
    </w:p>
    <w:p w:rsidR="006724FB" w:rsidRDefault="006724FB">
      <w:pPr>
        <w:pStyle w:val="Indenti"/>
        <w:rPr>
          <w:snapToGrid w:val="0"/>
        </w:rPr>
      </w:pPr>
      <w:r>
        <w:rPr>
          <w:snapToGrid w:val="0"/>
        </w:rPr>
        <w:tab/>
        <w:t>(i)</w:t>
      </w:r>
      <w:r>
        <w:rPr>
          <w:snapToGrid w:val="0"/>
        </w:rPr>
        <w:tab/>
        <w:t>a manufacturer or dealer in new motor vehicles; or</w:t>
      </w:r>
    </w:p>
    <w:p w:rsidR="006724FB" w:rsidRDefault="006724FB">
      <w:pPr>
        <w:pStyle w:val="Indenti"/>
        <w:rPr>
          <w:snapToGrid w:val="0"/>
        </w:rPr>
      </w:pPr>
      <w:r>
        <w:rPr>
          <w:snapToGrid w:val="0"/>
        </w:rPr>
        <w:tab/>
        <w:t>(ii)</w:t>
      </w:r>
      <w:r>
        <w:rPr>
          <w:snapToGrid w:val="0"/>
        </w:rPr>
        <w:tab/>
        <w:t>a registered used car dealer;</w:t>
      </w:r>
    </w:p>
    <w:p w:rsidR="006724FB" w:rsidRDefault="006724FB">
      <w:pPr>
        <w:pStyle w:val="Indenta"/>
        <w:rPr>
          <w:snapToGrid w:val="0"/>
        </w:rPr>
      </w:pPr>
      <w:r>
        <w:rPr>
          <w:snapToGrid w:val="0"/>
        </w:rPr>
        <w:tab/>
        <w:t>(f)</w:t>
      </w:r>
      <w:r>
        <w:rPr>
          <w:snapToGrid w:val="0"/>
        </w:rPr>
        <w:tab/>
        <w:t>vehicle body builders;</w:t>
      </w:r>
    </w:p>
    <w:p w:rsidR="006724FB" w:rsidRDefault="006724FB">
      <w:pPr>
        <w:pStyle w:val="Indenta"/>
        <w:rPr>
          <w:snapToGrid w:val="0"/>
        </w:rPr>
      </w:pPr>
      <w:r>
        <w:rPr>
          <w:snapToGrid w:val="0"/>
        </w:rPr>
        <w:tab/>
        <w:t>(g)</w:t>
      </w:r>
      <w:r>
        <w:rPr>
          <w:snapToGrid w:val="0"/>
        </w:rPr>
        <w:tab/>
        <w:t xml:space="preserve">persons carrying on any of these kinds of business in relation to vehicles — </w:t>
      </w:r>
    </w:p>
    <w:p w:rsidR="006724FB" w:rsidRDefault="006724FB">
      <w:pPr>
        <w:pStyle w:val="Indenti"/>
      </w:pPr>
      <w:r>
        <w:tab/>
        <w:t>(i)</w:t>
      </w:r>
      <w:r>
        <w:tab/>
        <w:t>window tinting;</w:t>
      </w:r>
    </w:p>
    <w:p w:rsidR="006724FB" w:rsidRDefault="006724FB">
      <w:pPr>
        <w:pStyle w:val="Indenti"/>
      </w:pPr>
      <w:r>
        <w:tab/>
        <w:t>(ii)</w:t>
      </w:r>
      <w:r>
        <w:tab/>
        <w:t>applying graphics or signage;</w:t>
      </w:r>
    </w:p>
    <w:p w:rsidR="006724FB" w:rsidRDefault="006724FB">
      <w:pPr>
        <w:pStyle w:val="Indenti"/>
      </w:pPr>
      <w:r>
        <w:tab/>
        <w:t>(iii)</w:t>
      </w:r>
      <w:r>
        <w:tab/>
        <w:t>installing or repairing audio, security or communications equipment;</w:t>
      </w:r>
    </w:p>
    <w:p w:rsidR="006724FB" w:rsidRDefault="006724FB">
      <w:pPr>
        <w:pStyle w:val="Indenti"/>
      </w:pPr>
      <w:r>
        <w:tab/>
        <w:t>(iv)</w:t>
      </w:r>
      <w:r>
        <w:tab/>
        <w:t>vehicle detailing;</w:t>
      </w:r>
    </w:p>
    <w:p w:rsidR="006724FB" w:rsidRDefault="006724FB">
      <w:pPr>
        <w:pStyle w:val="Indenti"/>
      </w:pPr>
      <w:r>
        <w:tab/>
        <w:t>(v)</w:t>
      </w:r>
      <w:r>
        <w:tab/>
        <w:t>customs brokerage.</w:t>
      </w:r>
    </w:p>
    <w:p w:rsidR="006724FB" w:rsidRDefault="006724FB">
      <w:pPr>
        <w:pStyle w:val="Heading5"/>
      </w:pPr>
      <w:bookmarkStart w:id="236" w:name="_Toc75875685"/>
      <w:r>
        <w:rPr>
          <w:rStyle w:val="CharSectno"/>
        </w:rPr>
        <w:t>133</w:t>
      </w:r>
      <w:r>
        <w:t>.</w:t>
      </w:r>
      <w:r>
        <w:tab/>
        <w:t>Trade plate content, colour</w:t>
      </w:r>
      <w:bookmarkEnd w:id="236"/>
    </w:p>
    <w:p w:rsidR="006724FB" w:rsidRDefault="006724FB">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below that combination and must be enamelled or painted on the plate in the colour and on the background approved by the CEO.</w:t>
      </w:r>
    </w:p>
    <w:p w:rsidR="006724FB" w:rsidRDefault="006724FB">
      <w:pPr>
        <w:pStyle w:val="Heading5"/>
      </w:pPr>
      <w:bookmarkStart w:id="237" w:name="_Toc75875686"/>
      <w:r>
        <w:rPr>
          <w:rStyle w:val="CharSectno"/>
        </w:rPr>
        <w:lastRenderedPageBreak/>
        <w:t>134</w:t>
      </w:r>
      <w:r>
        <w:t>.</w:t>
      </w:r>
      <w:r>
        <w:tab/>
        <w:t>Fees for trade plates</w:t>
      </w:r>
      <w:bookmarkEnd w:id="237"/>
    </w:p>
    <w:p w:rsidR="006724FB" w:rsidRDefault="006724FB">
      <w:pPr>
        <w:pStyle w:val="Subsection"/>
      </w:pPr>
      <w:r>
        <w:tab/>
        <w:t>(1)</w:t>
      </w:r>
      <w:r>
        <w:tab/>
        <w:t xml:space="preserve">These fees are payable for issue of trade plates — </w:t>
      </w:r>
    </w:p>
    <w:p w:rsidR="006724FB" w:rsidRDefault="006724FB">
      <w:pPr>
        <w:pStyle w:val="Indenta"/>
      </w:pPr>
      <w:r>
        <w:tab/>
        <w:t>(a)</w:t>
      </w:r>
      <w:r>
        <w:tab/>
        <w:t>$34.00 for a set of replacement plates bearing the same characters as the set of plates being replaced; and</w:t>
      </w:r>
    </w:p>
    <w:p w:rsidR="006724FB" w:rsidRDefault="006724FB">
      <w:pPr>
        <w:pStyle w:val="Indenta"/>
      </w:pPr>
      <w:r>
        <w:tab/>
        <w:t>(b)</w:t>
      </w:r>
      <w:r>
        <w:tab/>
      </w:r>
      <w:r w:rsidR="00857959">
        <w:t>$26.80</w:t>
      </w:r>
      <w:r>
        <w:t xml:space="preserve"> for a set of plates in any other case.</w:t>
      </w:r>
    </w:p>
    <w:p w:rsidR="006724FB" w:rsidRDefault="006724FB">
      <w:pPr>
        <w:pStyle w:val="Subsection"/>
      </w:pPr>
      <w:r>
        <w:tab/>
        <w:t>(2)</w:t>
      </w:r>
      <w:r>
        <w:tab/>
        <w:t>In addition, a deposit of $500.00 is payable in respect of each set of plates.</w:t>
      </w:r>
    </w:p>
    <w:p w:rsidR="006724FB" w:rsidRDefault="006724FB">
      <w:pPr>
        <w:pStyle w:val="Subsection"/>
      </w:pPr>
      <w:r>
        <w:tab/>
        <w:t>(3)</w:t>
      </w:r>
      <w:r>
        <w:tab/>
        <w:t xml:space="preserve">A fee of </w:t>
      </w:r>
      <w:r w:rsidR="00857959">
        <w:t>$44.00</w:t>
      </w:r>
      <w:r>
        <w:t xml:space="preserve"> is payable annually for the use and possession of a set of trade plates.</w:t>
      </w:r>
    </w:p>
    <w:p w:rsidR="006724FB" w:rsidRDefault="006724FB">
      <w:pPr>
        <w:pStyle w:val="Subsection"/>
      </w:pPr>
      <w:r>
        <w:tab/>
        <w:t>(4)</w:t>
      </w:r>
      <w:r>
        <w:tab/>
        <w:t>The fee payable under subregulation (3) must be paid before the start of the year to which it relates.</w:t>
      </w:r>
    </w:p>
    <w:p w:rsidR="006724FB" w:rsidRDefault="006724FB">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rsidR="006724FB" w:rsidRDefault="006724FB">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rsidR="006724FB" w:rsidRDefault="006724FB">
      <w:pPr>
        <w:pStyle w:val="Footnotesection"/>
      </w:pPr>
      <w:r>
        <w:tab/>
        <w:t>[Regulation 134 amended: Gazette 12 Jun 2015 p. 2040; 14 Jun 2016 p. 2000; 23 Jun 2017 p. 3268</w:t>
      </w:r>
      <w:r>
        <w:noBreakHyphen/>
        <w:t>9; 22 Jun 2018 p. 2192; 31 May 2019 p. 1726; SL 2020/74 r. 9</w:t>
      </w:r>
      <w:r w:rsidR="00857959">
        <w:t>; SL 2021/92 r. 20</w:t>
      </w:r>
      <w:r>
        <w:t>.]</w:t>
      </w:r>
    </w:p>
    <w:p w:rsidR="006724FB" w:rsidRDefault="006724FB">
      <w:pPr>
        <w:pStyle w:val="Heading5"/>
        <w:rPr>
          <w:rStyle w:val="DraftersNotes"/>
          <w:b/>
          <w:bCs/>
          <w:iCs/>
        </w:rPr>
      </w:pPr>
      <w:bookmarkStart w:id="238" w:name="_Toc75875687"/>
      <w:r>
        <w:rPr>
          <w:rStyle w:val="CharSectno"/>
        </w:rPr>
        <w:t>135</w:t>
      </w:r>
      <w:r>
        <w:t>.</w:t>
      </w:r>
      <w:r>
        <w:tab/>
        <w:t>Replacement of lost, stolen, dilapidated, damaged trade plates</w:t>
      </w:r>
      <w:bookmarkEnd w:id="238"/>
    </w:p>
    <w:p w:rsidR="006724FB" w:rsidRDefault="006724FB">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rsidR="006724FB" w:rsidRDefault="006724FB">
      <w:pPr>
        <w:pStyle w:val="Indenta"/>
        <w:rPr>
          <w:snapToGrid w:val="0"/>
        </w:rPr>
      </w:pPr>
      <w:r>
        <w:rPr>
          <w:snapToGrid w:val="0"/>
        </w:rPr>
        <w:tab/>
        <w:t>(a)</w:t>
      </w:r>
      <w:r>
        <w:rPr>
          <w:snapToGrid w:val="0"/>
        </w:rPr>
        <w:tab/>
        <w:t>the CEO is to keep the deposit paid for the plates; and</w:t>
      </w:r>
    </w:p>
    <w:p w:rsidR="006724FB" w:rsidRDefault="006724FB">
      <w:pPr>
        <w:pStyle w:val="Indenta"/>
        <w:keepNext/>
        <w:rPr>
          <w:snapToGrid w:val="0"/>
        </w:rPr>
      </w:pPr>
      <w:r>
        <w:rPr>
          <w:snapToGrid w:val="0"/>
        </w:rPr>
        <w:lastRenderedPageBreak/>
        <w:tab/>
        <w:t>(b)</w:t>
      </w:r>
      <w:r>
        <w:rPr>
          <w:snapToGrid w:val="0"/>
        </w:rPr>
        <w:tab/>
        <w:t xml:space="preserve">the CEO must issue a replacement set of trade plates — </w:t>
      </w:r>
    </w:p>
    <w:p w:rsidR="006724FB" w:rsidRDefault="006724FB">
      <w:pPr>
        <w:pStyle w:val="Indenti"/>
        <w:rPr>
          <w:snapToGrid w:val="0"/>
        </w:rPr>
      </w:pPr>
      <w:r>
        <w:rPr>
          <w:snapToGrid w:val="0"/>
        </w:rPr>
        <w:tab/>
        <w:t>(i)</w:t>
      </w:r>
      <w:r>
        <w:rPr>
          <w:snapToGrid w:val="0"/>
        </w:rPr>
        <w:tab/>
        <w:t>on the return of each plate in the set that was not stolen or lost; and</w:t>
      </w:r>
    </w:p>
    <w:p w:rsidR="006724FB" w:rsidRDefault="006724FB">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rsidR="006724FB" w:rsidRDefault="006724FB">
      <w:pPr>
        <w:pStyle w:val="Indenta"/>
        <w:rPr>
          <w:snapToGrid w:val="0"/>
        </w:rPr>
      </w:pPr>
      <w:r>
        <w:rPr>
          <w:snapToGrid w:val="0"/>
        </w:rPr>
        <w:tab/>
      </w:r>
      <w:r>
        <w:rPr>
          <w:snapToGrid w:val="0"/>
        </w:rPr>
        <w:tab/>
        <w:t>and</w:t>
      </w:r>
    </w:p>
    <w:p w:rsidR="006724FB" w:rsidRDefault="006724FB">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rsidR="006724FB" w:rsidRDefault="006724FB">
      <w:pPr>
        <w:pStyle w:val="Subsection"/>
        <w:rPr>
          <w:snapToGrid w:val="0"/>
        </w:rPr>
      </w:pPr>
      <w:r>
        <w:rPr>
          <w:snapToGrid w:val="0"/>
        </w:rPr>
        <w:tab/>
        <w:t>(2)</w:t>
      </w:r>
      <w:r>
        <w:rPr>
          <w:snapToGrid w:val="0"/>
        </w:rPr>
        <w:tab/>
        <w:t xml:space="preserve">If a trade plate has become dilapidated or is damaged so as to render it illegible — </w:t>
      </w:r>
    </w:p>
    <w:p w:rsidR="006724FB" w:rsidRDefault="006724FB">
      <w:pPr>
        <w:pStyle w:val="Indenta"/>
        <w:rPr>
          <w:snapToGrid w:val="0"/>
        </w:rPr>
      </w:pPr>
      <w:r>
        <w:rPr>
          <w:snapToGrid w:val="0"/>
        </w:rPr>
        <w:tab/>
        <w:t>(a)</w:t>
      </w:r>
      <w:r>
        <w:rPr>
          <w:snapToGrid w:val="0"/>
        </w:rPr>
        <w:tab/>
        <w:t>the person to whom the plate was issued must return the plate and each other plate in the set to the CEO; and</w:t>
      </w:r>
    </w:p>
    <w:p w:rsidR="006724FB" w:rsidRDefault="006724FB">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rsidR="006724FB" w:rsidRDefault="006724FB">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rsidR="006724FB" w:rsidRDefault="006724FB">
      <w:pPr>
        <w:pStyle w:val="Heading5"/>
        <w:rPr>
          <w:snapToGrid w:val="0"/>
        </w:rPr>
      </w:pPr>
      <w:bookmarkStart w:id="239" w:name="_Toc75875688"/>
      <w:r>
        <w:rPr>
          <w:rStyle w:val="CharSectno"/>
        </w:rPr>
        <w:t>136</w:t>
      </w:r>
      <w:r>
        <w:t>.</w:t>
      </w:r>
      <w:r>
        <w:tab/>
      </w:r>
      <w:r>
        <w:rPr>
          <w:snapToGrid w:val="0"/>
        </w:rPr>
        <w:t>Labels for trade plates</w:t>
      </w:r>
      <w:bookmarkEnd w:id="239"/>
    </w:p>
    <w:p w:rsidR="006724FB" w:rsidRDefault="006724FB">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rsidR="006724FB" w:rsidRDefault="006724FB">
      <w:pPr>
        <w:pStyle w:val="Subsection"/>
        <w:keepNext/>
        <w:rPr>
          <w:snapToGrid w:val="0"/>
        </w:rPr>
      </w:pPr>
      <w:r>
        <w:lastRenderedPageBreak/>
        <w:tab/>
        <w:t>(2)</w:t>
      </w:r>
      <w:r>
        <w:tab/>
        <w:t xml:space="preserve">The CEO must issue an adhesive label under subregulation (1), </w:t>
      </w:r>
      <w:r>
        <w:rPr>
          <w:snapToGrid w:val="0"/>
        </w:rPr>
        <w:t xml:space="preserve">without requiring payment of a further annual fee — </w:t>
      </w:r>
    </w:p>
    <w:p w:rsidR="006724FB" w:rsidRDefault="006724FB">
      <w:pPr>
        <w:pStyle w:val="Indenta"/>
        <w:rPr>
          <w:snapToGrid w:val="0"/>
        </w:rPr>
      </w:pPr>
      <w:r>
        <w:tab/>
        <w:t>(a)</w:t>
      </w:r>
      <w:r>
        <w:tab/>
        <w:t>for each plate in a</w:t>
      </w:r>
      <w:r>
        <w:rPr>
          <w:snapToGrid w:val="0"/>
        </w:rPr>
        <w:t xml:space="preserve"> replacement set of trade plates issued under regulation 135(1); or</w:t>
      </w:r>
    </w:p>
    <w:p w:rsidR="006724FB" w:rsidRDefault="006724FB">
      <w:pPr>
        <w:pStyle w:val="Indenta"/>
        <w:rPr>
          <w:snapToGrid w:val="0"/>
        </w:rPr>
      </w:pPr>
      <w:r>
        <w:rPr>
          <w:snapToGrid w:val="0"/>
        </w:rPr>
        <w:tab/>
        <w:t>(b)</w:t>
      </w:r>
      <w:r>
        <w:rPr>
          <w:snapToGrid w:val="0"/>
        </w:rPr>
        <w:tab/>
        <w:t>for each replacement trade plate or each plate in a replacement set of trade plates issued under regulation 135(2).</w:t>
      </w:r>
    </w:p>
    <w:p w:rsidR="006724FB" w:rsidRDefault="006724FB">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rsidR="006724FB" w:rsidRDefault="006724FB">
      <w:pPr>
        <w:pStyle w:val="Penstart"/>
      </w:pPr>
      <w:r>
        <w:tab/>
        <w:t xml:space="preserve">Penalty: </w:t>
      </w:r>
    </w:p>
    <w:p w:rsidR="006724FB" w:rsidRDefault="006724FB">
      <w:pPr>
        <w:pStyle w:val="Penpara"/>
      </w:pPr>
      <w:r>
        <w:tab/>
        <w:t>(a)</w:t>
      </w:r>
      <w:r>
        <w:tab/>
        <w:t>for a first offence, a fine of 4 PU;</w:t>
      </w:r>
    </w:p>
    <w:p w:rsidR="006724FB" w:rsidRDefault="006724FB">
      <w:pPr>
        <w:pStyle w:val="Penpara"/>
      </w:pPr>
      <w:r>
        <w:tab/>
        <w:t>(b)</w:t>
      </w:r>
      <w:r>
        <w:tab/>
        <w:t>for a subsequent offence, a fine of 8 PU.</w:t>
      </w:r>
    </w:p>
    <w:p w:rsidR="006724FB" w:rsidRDefault="006724FB">
      <w:pPr>
        <w:pStyle w:val="Penstart"/>
      </w:pPr>
      <w:r>
        <w:tab/>
        <w:t>Modified penalty: 1 PU.</w:t>
      </w:r>
    </w:p>
    <w:p w:rsidR="006724FB" w:rsidRDefault="006724FB">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rsidR="006724FB" w:rsidRDefault="006724FB">
      <w:pPr>
        <w:pStyle w:val="Penstart"/>
      </w:pPr>
      <w:r>
        <w:tab/>
        <w:t>Penalty for an offence under this subregulation:</w:t>
      </w:r>
    </w:p>
    <w:p w:rsidR="006724FB" w:rsidRDefault="006724FB">
      <w:pPr>
        <w:pStyle w:val="Penpara"/>
      </w:pPr>
      <w:r>
        <w:tab/>
        <w:t>(a)</w:t>
      </w:r>
      <w:r>
        <w:tab/>
        <w:t>for a first offence, a fine of 4 PU;</w:t>
      </w:r>
    </w:p>
    <w:p w:rsidR="006724FB" w:rsidRDefault="006724FB">
      <w:pPr>
        <w:pStyle w:val="Penpara"/>
      </w:pPr>
      <w:r>
        <w:tab/>
        <w:t>(b)</w:t>
      </w:r>
      <w:r>
        <w:tab/>
        <w:t>for a subsequent offence, a fine of 8 PU.</w:t>
      </w:r>
    </w:p>
    <w:p w:rsidR="006724FB" w:rsidRDefault="006724FB">
      <w:pPr>
        <w:pStyle w:val="Penstart"/>
      </w:pPr>
      <w:r>
        <w:tab/>
        <w:t>Modified penalty for an offence under this subregulation: 1 PU.</w:t>
      </w:r>
    </w:p>
    <w:p w:rsidR="006724FB" w:rsidRDefault="006724FB">
      <w:pPr>
        <w:pStyle w:val="Heading5"/>
        <w:rPr>
          <w:snapToGrid w:val="0"/>
        </w:rPr>
      </w:pPr>
      <w:bookmarkStart w:id="240" w:name="_Toc75875689"/>
      <w:r>
        <w:rPr>
          <w:rStyle w:val="CharSectno"/>
        </w:rPr>
        <w:t>137</w:t>
      </w:r>
      <w:r>
        <w:t>.</w:t>
      </w:r>
      <w:r>
        <w:tab/>
        <w:t>Vehicle standards and r</w:t>
      </w:r>
      <w:r>
        <w:rPr>
          <w:snapToGrid w:val="0"/>
        </w:rPr>
        <w:t>equirements for use of trade plates</w:t>
      </w:r>
      <w:bookmarkEnd w:id="240"/>
    </w:p>
    <w:p w:rsidR="006724FB" w:rsidRDefault="006724FB">
      <w:pPr>
        <w:pStyle w:val="Subsection"/>
        <w:keepNext/>
        <w:rPr>
          <w:snapToGrid w:val="0"/>
        </w:rPr>
      </w:pPr>
      <w:r>
        <w:rPr>
          <w:snapToGrid w:val="0"/>
        </w:rPr>
        <w:tab/>
        <w:t>(1)</w:t>
      </w:r>
      <w:r>
        <w:rPr>
          <w:snapToGrid w:val="0"/>
        </w:rPr>
        <w:tab/>
        <w:t xml:space="preserve">For section 13(3)(d), a trade plate must not be used on an unlicensed vehicle unless — </w:t>
      </w:r>
    </w:p>
    <w:p w:rsidR="006724FB" w:rsidRDefault="006724FB">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rsidR="006724FB" w:rsidRDefault="006724FB">
      <w:pPr>
        <w:pStyle w:val="Indenta"/>
      </w:pPr>
      <w:r>
        <w:tab/>
        <w:t>(b)</w:t>
      </w:r>
      <w:r>
        <w:tab/>
        <w:t>the vehicle complies with subregulation (2) even though it does not comply with paragraph (a); or</w:t>
      </w:r>
    </w:p>
    <w:p w:rsidR="006724FB" w:rsidRDefault="006724FB">
      <w:pPr>
        <w:pStyle w:val="Indenta"/>
      </w:pPr>
      <w:r>
        <w:lastRenderedPageBreak/>
        <w:tab/>
        <w:t>(c)</w:t>
      </w:r>
      <w:r>
        <w:tab/>
        <w:t>the vehicle is an agricultural machine that complies with subregulation (3) even though it does not comply with paragraph (a).</w:t>
      </w:r>
    </w:p>
    <w:p w:rsidR="006724FB" w:rsidRDefault="006724FB">
      <w:pPr>
        <w:pStyle w:val="Penstart"/>
      </w:pPr>
      <w:r>
        <w:tab/>
        <w:t>Penalty:</w:t>
      </w:r>
    </w:p>
    <w:p w:rsidR="006724FB" w:rsidRDefault="006724FB">
      <w:pPr>
        <w:pStyle w:val="Penpara"/>
      </w:pPr>
      <w:r>
        <w:tab/>
        <w:t>(a)</w:t>
      </w:r>
      <w:r>
        <w:tab/>
        <w:t>for a first offence, a fine of 4 PU;</w:t>
      </w:r>
    </w:p>
    <w:p w:rsidR="006724FB" w:rsidRDefault="006724FB">
      <w:pPr>
        <w:pStyle w:val="Penpara"/>
      </w:pPr>
      <w:r>
        <w:tab/>
        <w:t>(b)</w:t>
      </w:r>
      <w:r>
        <w:tab/>
        <w:t>for a subsequent offence, a fine of 8 PU.</w:t>
      </w:r>
    </w:p>
    <w:p w:rsidR="006724FB" w:rsidRDefault="006724FB">
      <w:pPr>
        <w:pStyle w:val="Penstart"/>
      </w:pPr>
      <w:r>
        <w:tab/>
        <w:t>Modified penalty: 1 PU.</w:t>
      </w:r>
    </w:p>
    <w:p w:rsidR="006724FB" w:rsidRDefault="006724FB">
      <w:pPr>
        <w:pStyle w:val="Subsection"/>
      </w:pPr>
      <w:r>
        <w:tab/>
        <w:t>(2)</w:t>
      </w:r>
      <w:r>
        <w:tab/>
        <w:t xml:space="preserve">A motor vehicle with only a cab and </w:t>
      </w:r>
      <w:r w:rsidR="000D230E">
        <w:t>chassis, or that cannot be licensed as of Class A under regulation 34 because it does not have a compliance plate fitted to it or it is not entered on the RAV,</w:t>
      </w:r>
      <w:r>
        <w:t xml:space="preserve"> must have — </w:t>
      </w:r>
    </w:p>
    <w:p w:rsidR="006724FB" w:rsidRDefault="006724FB">
      <w:pPr>
        <w:pStyle w:val="Indenta"/>
      </w:pPr>
      <w:r>
        <w:tab/>
        <w:t>(a)</w:t>
      </w:r>
      <w:r>
        <w:tab/>
        <w:t>effective steering, brakes and suspension (if fitted); and</w:t>
      </w:r>
    </w:p>
    <w:p w:rsidR="006724FB" w:rsidRDefault="006724FB">
      <w:pPr>
        <w:pStyle w:val="Indenta"/>
      </w:pPr>
      <w:r>
        <w:tab/>
        <w:t>(b)</w:t>
      </w:r>
      <w:r>
        <w:tab/>
        <w:t>a driver’s seat situated so that the driver has a full and uninterrupted view of the road and any traffic ahead and on each side of the driver; and</w:t>
      </w:r>
    </w:p>
    <w:p w:rsidR="006724FB" w:rsidRDefault="006724FB">
      <w:pPr>
        <w:pStyle w:val="Indenta"/>
      </w:pPr>
      <w:r>
        <w:tab/>
        <w:t>(c)</w:t>
      </w:r>
      <w:r>
        <w:tab/>
        <w:t>wheels and tyres or rubber tracks; and</w:t>
      </w:r>
    </w:p>
    <w:p w:rsidR="006724FB" w:rsidRDefault="006724FB">
      <w:pPr>
        <w:pStyle w:val="Indenta"/>
      </w:pPr>
      <w:r>
        <w:tab/>
        <w:t>(d)</w:t>
      </w:r>
      <w:r>
        <w:tab/>
        <w:t>mudguards for each wheel or mudflaps for the rear wheels; and</w:t>
      </w:r>
    </w:p>
    <w:p w:rsidR="006724FB" w:rsidRDefault="006724FB">
      <w:pPr>
        <w:pStyle w:val="Indenta"/>
      </w:pPr>
      <w:r>
        <w:tab/>
        <w:t>(e)</w:t>
      </w:r>
      <w:r>
        <w:tab/>
        <w:t>lights at the front and rear; and</w:t>
      </w:r>
    </w:p>
    <w:p w:rsidR="006724FB" w:rsidRDefault="006724FB">
      <w:pPr>
        <w:pStyle w:val="Indenta"/>
      </w:pPr>
      <w:r>
        <w:tab/>
        <w:t>(f)</w:t>
      </w:r>
      <w:r>
        <w:tab/>
        <w:t>reflectors at the rear; and</w:t>
      </w:r>
    </w:p>
    <w:p w:rsidR="006724FB" w:rsidRDefault="006724FB">
      <w:pPr>
        <w:pStyle w:val="Indenta"/>
      </w:pPr>
      <w:r>
        <w:tab/>
        <w:t>(g)</w:t>
      </w:r>
      <w:r>
        <w:tab/>
        <w:t>a means of transmitting power from the engine to the drive wheels; and</w:t>
      </w:r>
    </w:p>
    <w:p w:rsidR="006724FB" w:rsidRDefault="006724FB">
      <w:pPr>
        <w:pStyle w:val="Indenta"/>
      </w:pPr>
      <w:r>
        <w:tab/>
        <w:t>(h)</w:t>
      </w:r>
      <w:r>
        <w:tab/>
        <w:t>a structure that will not fail when the vehicle is used for the purpose for which it was designed.</w:t>
      </w:r>
    </w:p>
    <w:p w:rsidR="006724FB" w:rsidRDefault="006724FB">
      <w:pPr>
        <w:pStyle w:val="Subsection"/>
        <w:keepNext/>
      </w:pPr>
      <w:r>
        <w:tab/>
        <w:t>(3)</w:t>
      </w:r>
      <w:r>
        <w:tab/>
        <w:t xml:space="preserve">An agricultural machine that does not comply with the standards and requirements set out in Parts 8, 10 and 11 that apply to that kind of motor vehicle must — </w:t>
      </w:r>
    </w:p>
    <w:p w:rsidR="006724FB" w:rsidRDefault="006724FB">
      <w:pPr>
        <w:pStyle w:val="Indenta"/>
      </w:pPr>
      <w:r>
        <w:tab/>
        <w:t>(a)</w:t>
      </w:r>
      <w:r>
        <w:tab/>
        <w:t>comply with subregulation (2)(a), (b), (c), (f), (g) and (h); and</w:t>
      </w:r>
    </w:p>
    <w:p w:rsidR="006724FB" w:rsidRDefault="006724FB">
      <w:pPr>
        <w:pStyle w:val="Indenta"/>
      </w:pPr>
      <w:r>
        <w:tab/>
        <w:t>(b)</w:t>
      </w:r>
      <w:r>
        <w:tab/>
        <w:t>have lights at the front (if the machine is used in the daytime) and lights at the front and rear (if the machine is used at night); and</w:t>
      </w:r>
    </w:p>
    <w:p w:rsidR="006724FB" w:rsidRDefault="006724FB">
      <w:pPr>
        <w:pStyle w:val="Indenta"/>
        <w:keepNext/>
      </w:pPr>
      <w:r>
        <w:lastRenderedPageBreak/>
        <w:tab/>
        <w:t>(c)</w:t>
      </w:r>
      <w:r>
        <w:tab/>
        <w:t xml:space="preserve">be — </w:t>
      </w:r>
    </w:p>
    <w:p w:rsidR="006724FB" w:rsidRDefault="006724FB">
      <w:pPr>
        <w:pStyle w:val="Indenti"/>
      </w:pPr>
      <w:r>
        <w:tab/>
        <w:t>(i)</w:t>
      </w:r>
      <w:r>
        <w:tab/>
        <w:t>not more than 2.5 m wide, 4.3 m high and 12 m long and comply with any applicable requirements of Part 8 Divisions 1, 2 and 3 except for regulations 171 to 178; or</w:t>
      </w:r>
    </w:p>
    <w:p w:rsidR="006724FB" w:rsidRDefault="006724FB">
      <w:pPr>
        <w:pStyle w:val="Indenti"/>
        <w:keepNext/>
      </w:pPr>
      <w:r>
        <w:tab/>
        <w:t>(ii)</w:t>
      </w:r>
      <w:r>
        <w:tab/>
        <w:t xml:space="preserve">more than 2.5 m but not more than 3.5 m wide and not more than 4.3 m high and 12 m long and — </w:t>
      </w:r>
    </w:p>
    <w:p w:rsidR="006724FB" w:rsidRDefault="006724FB">
      <w:pPr>
        <w:pStyle w:val="IndentI0"/>
      </w:pPr>
      <w:r>
        <w:tab/>
        <w:t>(I)</w:t>
      </w:r>
      <w:r>
        <w:tab/>
        <w:t>comply with each mass, dimension or loading requirement that applies to the vehicle; and</w:t>
      </w:r>
    </w:p>
    <w:p w:rsidR="006724FB" w:rsidRDefault="006724FB">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rsidR="006724FB" w:rsidRDefault="006724FB">
      <w:pPr>
        <w:pStyle w:val="IndentI0"/>
      </w:pPr>
      <w:r>
        <w:tab/>
        <w:t>(III)</w:t>
      </w:r>
      <w:r>
        <w:tab/>
        <w:t>not used on a road within the metropolitan region during peak hours;</w:t>
      </w:r>
    </w:p>
    <w:p w:rsidR="006724FB" w:rsidRDefault="006724FB">
      <w:pPr>
        <w:pStyle w:val="Indenti"/>
      </w:pPr>
      <w:r>
        <w:tab/>
      </w:r>
      <w:r>
        <w:tab/>
        <w:t>or</w:t>
      </w:r>
    </w:p>
    <w:p w:rsidR="006724FB" w:rsidRDefault="006724FB">
      <w:pPr>
        <w:pStyle w:val="Indenti"/>
      </w:pPr>
      <w:r>
        <w:tab/>
        <w:t>(iii)</w:t>
      </w:r>
      <w:r>
        <w:tab/>
        <w:t xml:space="preserve">more than 3.5 m but not more than 6 m wide and not more than 4.3 m high and 12 m long and — </w:t>
      </w:r>
    </w:p>
    <w:p w:rsidR="006724FB" w:rsidRDefault="006724FB">
      <w:pPr>
        <w:pStyle w:val="IndentI0"/>
      </w:pPr>
      <w:r>
        <w:tab/>
        <w:t>(I)</w:t>
      </w:r>
      <w:r>
        <w:tab/>
        <w:t>comply with each mass, dimension or loading requirement that applies to the vehicle; and</w:t>
      </w:r>
    </w:p>
    <w:p w:rsidR="006724FB" w:rsidRDefault="006724FB">
      <w:pPr>
        <w:pStyle w:val="IndentI0"/>
        <w:keepNext/>
      </w:pPr>
      <w:r>
        <w:tab/>
        <w:t>(II)</w:t>
      </w:r>
      <w:r>
        <w:tab/>
        <w:t>not used on a road without the prior written approval of the Commissioner of Main Roads;</w:t>
      </w:r>
    </w:p>
    <w:p w:rsidR="006724FB" w:rsidRDefault="006724FB">
      <w:pPr>
        <w:pStyle w:val="Indenti"/>
      </w:pPr>
      <w:r>
        <w:tab/>
      </w:r>
      <w:r>
        <w:tab/>
        <w:t>or</w:t>
      </w:r>
    </w:p>
    <w:p w:rsidR="006724FB" w:rsidRDefault="006724FB">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rsidR="006724FB" w:rsidRDefault="006724FB">
      <w:pPr>
        <w:pStyle w:val="Subsection"/>
      </w:pPr>
      <w:r>
        <w:lastRenderedPageBreak/>
        <w:tab/>
        <w:t>(4)</w:t>
      </w:r>
      <w:r>
        <w:tab/>
        <w:t>Regulation 232 does not apply to a motor vehicle bearing trade plates driven on a road if the vehicle complies with the requirements of subregulation (2).</w:t>
      </w:r>
    </w:p>
    <w:p w:rsidR="000D230E" w:rsidRDefault="000D230E" w:rsidP="000D230E">
      <w:pPr>
        <w:pStyle w:val="Footnotesection"/>
      </w:pPr>
      <w:r>
        <w:tab/>
        <w:t>[Regulation 137 amended: SL 2021/81 r. 5.]</w:t>
      </w:r>
    </w:p>
    <w:p w:rsidR="006724FB" w:rsidRDefault="006724FB">
      <w:pPr>
        <w:pStyle w:val="Heading5"/>
      </w:pPr>
      <w:bookmarkStart w:id="241" w:name="_Toc75875690"/>
      <w:r>
        <w:rPr>
          <w:rStyle w:val="CharSectno"/>
        </w:rPr>
        <w:t>138</w:t>
      </w:r>
      <w:r>
        <w:t>.</w:t>
      </w:r>
      <w:r>
        <w:tab/>
        <w:t>Purposes of use of vehicle with trade plates</w:t>
      </w:r>
      <w:bookmarkEnd w:id="241"/>
    </w:p>
    <w:p w:rsidR="006724FB" w:rsidRDefault="006724FB">
      <w:pPr>
        <w:pStyle w:val="Subsection"/>
        <w:rPr>
          <w:snapToGrid w:val="0"/>
        </w:rPr>
      </w:pPr>
      <w:r>
        <w:rPr>
          <w:snapToGrid w:val="0"/>
        </w:rPr>
        <w:tab/>
      </w:r>
      <w:r>
        <w:rPr>
          <w:snapToGrid w:val="0"/>
        </w:rPr>
        <w:tab/>
        <w:t xml:space="preserve">For section 13(3)(d), trade plates may be used on an unlicensed vehicle only if — </w:t>
      </w:r>
    </w:p>
    <w:p w:rsidR="006724FB" w:rsidRDefault="006724FB">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rsidR="006724FB" w:rsidRDefault="006724FB">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rsidR="006724FB" w:rsidRDefault="006724FB">
      <w:pPr>
        <w:pStyle w:val="Indenta"/>
        <w:rPr>
          <w:snapToGrid w:val="0"/>
        </w:rPr>
      </w:pPr>
      <w:r>
        <w:rPr>
          <w:snapToGrid w:val="0"/>
        </w:rPr>
        <w:tab/>
        <w:t>(c)</w:t>
      </w:r>
      <w:r>
        <w:rPr>
          <w:snapToGrid w:val="0"/>
        </w:rPr>
        <w:tab/>
        <w:t xml:space="preserve">the vehicle is not used to carry goods other than — </w:t>
      </w:r>
    </w:p>
    <w:p w:rsidR="006724FB" w:rsidRDefault="006724FB">
      <w:pPr>
        <w:pStyle w:val="Indenti"/>
        <w:rPr>
          <w:snapToGrid w:val="0"/>
        </w:rPr>
      </w:pPr>
      <w:r>
        <w:rPr>
          <w:snapToGrid w:val="0"/>
        </w:rPr>
        <w:tab/>
        <w:t>(i)</w:t>
      </w:r>
      <w:r>
        <w:rPr>
          <w:snapToGrid w:val="0"/>
        </w:rPr>
        <w:tab/>
        <w:t>goods essential for the operation of the vehicle; or</w:t>
      </w:r>
    </w:p>
    <w:p w:rsidR="006724FB" w:rsidRDefault="006724FB">
      <w:pPr>
        <w:pStyle w:val="Indenti"/>
        <w:rPr>
          <w:snapToGrid w:val="0"/>
        </w:rPr>
      </w:pPr>
      <w:r>
        <w:rPr>
          <w:snapToGrid w:val="0"/>
        </w:rPr>
        <w:tab/>
        <w:t>(ii)</w:t>
      </w:r>
      <w:r>
        <w:rPr>
          <w:snapToGrid w:val="0"/>
        </w:rPr>
        <w:tab/>
        <w:t>goods for the comfort of the person or persons travelling in the vehicle; or</w:t>
      </w:r>
    </w:p>
    <w:p w:rsidR="006724FB" w:rsidRDefault="006724FB">
      <w:pPr>
        <w:pStyle w:val="Indenti"/>
      </w:pPr>
      <w:r>
        <w:rPr>
          <w:snapToGrid w:val="0"/>
        </w:rPr>
        <w:tab/>
        <w:t>(iii)</w:t>
      </w:r>
      <w:r>
        <w:rPr>
          <w:snapToGrid w:val="0"/>
        </w:rPr>
        <w:tab/>
        <w:t>other vehicles in accordance with paragraph</w:t>
      </w:r>
      <w:r>
        <w:t> (d)(vii); or</w:t>
      </w:r>
    </w:p>
    <w:p w:rsidR="006724FB" w:rsidRDefault="006724FB">
      <w:pPr>
        <w:pStyle w:val="Indenti"/>
      </w:pPr>
      <w:r>
        <w:tab/>
        <w:t>(iv)</w:t>
      </w:r>
      <w:r>
        <w:tab/>
        <w:t>goods belonging to the holder or a customer of the holder of trade plates being transported to or from the holder or the customer;</w:t>
      </w:r>
    </w:p>
    <w:p w:rsidR="006724FB" w:rsidRDefault="006724FB">
      <w:pPr>
        <w:pStyle w:val="Indenta"/>
        <w:rPr>
          <w:snapToGrid w:val="0"/>
        </w:rPr>
      </w:pPr>
      <w:r>
        <w:rPr>
          <w:snapToGrid w:val="0"/>
        </w:rPr>
        <w:tab/>
      </w:r>
      <w:r>
        <w:rPr>
          <w:snapToGrid w:val="0"/>
        </w:rPr>
        <w:tab/>
        <w:t>or</w:t>
      </w:r>
    </w:p>
    <w:p w:rsidR="006724FB" w:rsidRDefault="006724FB">
      <w:pPr>
        <w:pStyle w:val="Indenta"/>
        <w:rPr>
          <w:snapToGrid w:val="0"/>
        </w:rPr>
      </w:pPr>
      <w:r>
        <w:tab/>
        <w:t>(d)</w:t>
      </w:r>
      <w:r>
        <w:tab/>
        <w:t>the vehicle is being used</w:t>
      </w:r>
      <w:r>
        <w:rPr>
          <w:snapToGrid w:val="0"/>
        </w:rPr>
        <w:t xml:space="preserve"> for any of these purposes — </w:t>
      </w:r>
    </w:p>
    <w:p w:rsidR="006724FB" w:rsidRDefault="006724FB">
      <w:pPr>
        <w:pStyle w:val="Indenti"/>
        <w:rPr>
          <w:snapToGrid w:val="0"/>
        </w:rPr>
      </w:pPr>
      <w:r>
        <w:rPr>
          <w:snapToGrid w:val="0"/>
        </w:rPr>
        <w:tab/>
        <w:t>(i)</w:t>
      </w:r>
      <w:r>
        <w:rPr>
          <w:snapToGrid w:val="0"/>
        </w:rPr>
        <w:tab/>
        <w:t>trial after completion or repair;</w:t>
      </w:r>
    </w:p>
    <w:p w:rsidR="006724FB" w:rsidRDefault="006724FB">
      <w:pPr>
        <w:pStyle w:val="Indenti"/>
        <w:rPr>
          <w:snapToGrid w:val="0"/>
        </w:rPr>
      </w:pPr>
      <w:r>
        <w:rPr>
          <w:snapToGrid w:val="0"/>
        </w:rPr>
        <w:tab/>
        <w:t>(ii)</w:t>
      </w:r>
      <w:r>
        <w:rPr>
          <w:snapToGrid w:val="0"/>
        </w:rPr>
        <w:tab/>
        <w:t>delivery to or from a manufacturer, dealer or repairer or their agent;</w:t>
      </w:r>
    </w:p>
    <w:p w:rsidR="006724FB" w:rsidRDefault="006724FB">
      <w:pPr>
        <w:pStyle w:val="Indenti"/>
        <w:rPr>
          <w:snapToGrid w:val="0"/>
        </w:rPr>
      </w:pPr>
      <w:r>
        <w:rPr>
          <w:snapToGrid w:val="0"/>
        </w:rPr>
        <w:lastRenderedPageBreak/>
        <w:tab/>
        <w:t>(iii)</w:t>
      </w:r>
      <w:r>
        <w:rPr>
          <w:snapToGrid w:val="0"/>
        </w:rPr>
        <w:tab/>
        <w:t>being driven from the premises of a dealer to that of an intending buyer for the purpose of trial mentioned in subparagraph (i);</w:t>
      </w:r>
    </w:p>
    <w:p w:rsidR="006724FB" w:rsidRDefault="006724FB">
      <w:pPr>
        <w:pStyle w:val="Indenti"/>
        <w:rPr>
          <w:snapToGrid w:val="0"/>
        </w:rPr>
      </w:pPr>
      <w:r>
        <w:rPr>
          <w:snapToGrid w:val="0"/>
        </w:rPr>
        <w:tab/>
        <w:t>(iv)</w:t>
      </w:r>
      <w:r>
        <w:rPr>
          <w:snapToGrid w:val="0"/>
        </w:rPr>
        <w:tab/>
        <w:t>trial by an intending buyer or an agent of the buyer, for an unbroken period not exceeding 24 hours;</w:t>
      </w:r>
    </w:p>
    <w:p w:rsidR="006724FB" w:rsidRDefault="006724FB">
      <w:pPr>
        <w:pStyle w:val="Indenti"/>
        <w:rPr>
          <w:snapToGrid w:val="0"/>
        </w:rPr>
      </w:pPr>
      <w:r>
        <w:tab/>
        <w:t>(v)</w:t>
      </w:r>
      <w:r>
        <w:tab/>
      </w:r>
      <w:r>
        <w:rPr>
          <w:snapToGrid w:val="0"/>
        </w:rPr>
        <w:t>delivery to a buyer after sale;</w:t>
      </w:r>
    </w:p>
    <w:p w:rsidR="006724FB" w:rsidRDefault="006724FB">
      <w:pPr>
        <w:pStyle w:val="Indenti"/>
        <w:rPr>
          <w:snapToGrid w:val="0"/>
        </w:rPr>
      </w:pPr>
      <w:r>
        <w:tab/>
        <w:t>(vi)</w:t>
      </w:r>
      <w:r>
        <w:tab/>
      </w:r>
      <w:r>
        <w:rPr>
          <w:snapToGrid w:val="0"/>
        </w:rPr>
        <w:t>being driven to or from an inspection station for the purpose of being examined or tested;</w:t>
      </w:r>
    </w:p>
    <w:p w:rsidR="006724FB" w:rsidRDefault="006724FB">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rsidR="006724FB" w:rsidRDefault="006724FB">
      <w:pPr>
        <w:pStyle w:val="Indenti"/>
      </w:pPr>
      <w:r>
        <w:tab/>
        <w:t>(viii)</w:t>
      </w:r>
      <w:r>
        <w:tab/>
        <w:t>having its windows tinted;</w:t>
      </w:r>
    </w:p>
    <w:p w:rsidR="006724FB" w:rsidRDefault="006724FB">
      <w:pPr>
        <w:pStyle w:val="Indenti"/>
      </w:pPr>
      <w:r>
        <w:tab/>
        <w:t>(ix)</w:t>
      </w:r>
      <w:r>
        <w:tab/>
        <w:t>having graphics or signage applied;</w:t>
      </w:r>
    </w:p>
    <w:p w:rsidR="006724FB" w:rsidRDefault="006724FB">
      <w:pPr>
        <w:pStyle w:val="Indenti"/>
      </w:pPr>
      <w:r>
        <w:tab/>
        <w:t>(x)</w:t>
      </w:r>
      <w:r>
        <w:tab/>
        <w:t>having audio, security or communications equipment installed or repaired;</w:t>
      </w:r>
    </w:p>
    <w:p w:rsidR="006724FB" w:rsidRDefault="006724FB">
      <w:pPr>
        <w:pStyle w:val="Indenti"/>
      </w:pPr>
      <w:r>
        <w:tab/>
        <w:t>(xi)</w:t>
      </w:r>
      <w:r>
        <w:tab/>
        <w:t>being detailed;</w:t>
      </w:r>
    </w:p>
    <w:p w:rsidR="006724FB" w:rsidRDefault="006724FB">
      <w:pPr>
        <w:pStyle w:val="Indenti"/>
      </w:pPr>
      <w:r>
        <w:tab/>
        <w:t>(xii)</w:t>
      </w:r>
      <w:r>
        <w:tab/>
        <w:t>being driven by a customs broker for the purpose of a brokerage arrangement in relation to the vehicle.</w:t>
      </w:r>
    </w:p>
    <w:p w:rsidR="006724FB" w:rsidRDefault="006724FB">
      <w:pPr>
        <w:pStyle w:val="Heading5"/>
      </w:pPr>
      <w:bookmarkStart w:id="242" w:name="_Toc75875691"/>
      <w:r>
        <w:rPr>
          <w:rStyle w:val="CharSectno"/>
        </w:rPr>
        <w:t>139</w:t>
      </w:r>
      <w:r>
        <w:t>.</w:t>
      </w:r>
      <w:r>
        <w:tab/>
        <w:t>Trade plate to be fixed on vehicle</w:t>
      </w:r>
      <w:bookmarkEnd w:id="242"/>
    </w:p>
    <w:p w:rsidR="006724FB" w:rsidRDefault="006724FB">
      <w:pPr>
        <w:pStyle w:val="Subsection"/>
      </w:pPr>
      <w:r>
        <w:rPr>
          <w:snapToGrid w:val="0"/>
        </w:rPr>
        <w:tab/>
      </w:r>
      <w:r>
        <w:rPr>
          <w:snapToGrid w:val="0"/>
        </w:rPr>
        <w:tab/>
        <w:t>Regulation 119 applies to a trade plate as if a trade plate were a number plate for the purposes of that regulation.</w:t>
      </w:r>
    </w:p>
    <w:p w:rsidR="006724FB" w:rsidRDefault="006724FB">
      <w:pPr>
        <w:pStyle w:val="Heading5"/>
      </w:pPr>
      <w:bookmarkStart w:id="243" w:name="_Toc75875692"/>
      <w:r>
        <w:rPr>
          <w:rStyle w:val="CharSectno"/>
        </w:rPr>
        <w:t>140</w:t>
      </w:r>
      <w:r>
        <w:t>.</w:t>
      </w:r>
      <w:r>
        <w:tab/>
        <w:t>Seizure of trade plates</w:t>
      </w:r>
      <w:bookmarkEnd w:id="243"/>
    </w:p>
    <w:p w:rsidR="006724FB" w:rsidRDefault="006724FB">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rsidR="006724FB" w:rsidRDefault="006724FB">
      <w:pPr>
        <w:pStyle w:val="Indenta"/>
      </w:pPr>
      <w:r>
        <w:tab/>
        <w:t>(a)</w:t>
      </w:r>
      <w:r>
        <w:tab/>
        <w:t>that the plate is being used in a way that does not comply with a requirement specified in writing by the CEO under section 13(2); or</w:t>
      </w:r>
    </w:p>
    <w:p w:rsidR="006724FB" w:rsidRDefault="006724FB">
      <w:pPr>
        <w:pStyle w:val="Indenta"/>
        <w:rPr>
          <w:snapToGrid w:val="0"/>
        </w:rPr>
      </w:pPr>
      <w:r>
        <w:rPr>
          <w:snapToGrid w:val="0"/>
        </w:rPr>
        <w:lastRenderedPageBreak/>
        <w:tab/>
        <w:t>(b)</w:t>
      </w:r>
      <w:r>
        <w:rPr>
          <w:snapToGrid w:val="0"/>
        </w:rPr>
        <w:tab/>
        <w:t>that regulation 136(3) or (4), 137 or 138 has not been, or is not being, complied with in relation to the plate or the vehicle bearing the plate.</w:t>
      </w:r>
    </w:p>
    <w:p w:rsidR="006724FB" w:rsidRDefault="006724FB">
      <w:pPr>
        <w:pStyle w:val="Heading2"/>
      </w:pPr>
      <w:bookmarkStart w:id="244" w:name="_Toc75419770"/>
      <w:bookmarkStart w:id="245" w:name="_Toc75427105"/>
      <w:bookmarkStart w:id="246" w:name="_Toc75872521"/>
      <w:bookmarkStart w:id="247" w:name="_Toc75875693"/>
      <w:r>
        <w:rPr>
          <w:rStyle w:val="CharPartNo"/>
        </w:rPr>
        <w:lastRenderedPageBreak/>
        <w:t>Part 5</w:t>
      </w:r>
      <w:r>
        <w:rPr>
          <w:rStyle w:val="CharDivNo"/>
        </w:rPr>
        <w:t> </w:t>
      </w:r>
      <w:r>
        <w:t>—</w:t>
      </w:r>
      <w:r>
        <w:rPr>
          <w:rStyle w:val="CharDivText"/>
        </w:rPr>
        <w:t> </w:t>
      </w:r>
      <w:r>
        <w:rPr>
          <w:rStyle w:val="CharPartText"/>
        </w:rPr>
        <w:t>Vehicle and engine identification numbers</w:t>
      </w:r>
      <w:bookmarkEnd w:id="244"/>
      <w:bookmarkEnd w:id="245"/>
      <w:bookmarkEnd w:id="246"/>
      <w:bookmarkEnd w:id="247"/>
    </w:p>
    <w:p w:rsidR="006724FB" w:rsidRDefault="006724FB">
      <w:pPr>
        <w:pStyle w:val="Heading5"/>
        <w:rPr>
          <w:b w:val="0"/>
        </w:rPr>
      </w:pPr>
      <w:bookmarkStart w:id="248" w:name="_Toc75875694"/>
      <w:r>
        <w:rPr>
          <w:rStyle w:val="CharSectno"/>
        </w:rPr>
        <w:t>141</w:t>
      </w:r>
      <w:r>
        <w:t>.</w:t>
      </w:r>
      <w:r>
        <w:tab/>
      </w:r>
      <w:r>
        <w:rPr>
          <w:snapToGrid w:val="0"/>
        </w:rPr>
        <w:t>Vehicle identification number</w:t>
      </w:r>
      <w:bookmarkEnd w:id="248"/>
    </w:p>
    <w:p w:rsidR="006724FB" w:rsidRDefault="006724FB">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rsidR="006724FB" w:rsidRDefault="006724FB">
      <w:pPr>
        <w:pStyle w:val="Indenta"/>
        <w:rPr>
          <w:snapToGrid w:val="0"/>
        </w:rPr>
      </w:pPr>
      <w:r>
        <w:rPr>
          <w:snapToGrid w:val="0"/>
        </w:rPr>
        <w:tab/>
        <w:t>(a)</w:t>
      </w:r>
      <w:r>
        <w:rPr>
          <w:snapToGrid w:val="0"/>
        </w:rPr>
        <w:tab/>
        <w:t>the vehicle does not have a VIN and the CEO is satisfied that a VIN is necessary for identifying the vehicle; or</w:t>
      </w:r>
    </w:p>
    <w:p w:rsidR="006724FB" w:rsidRDefault="006724FB">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rsidR="006724FB" w:rsidRDefault="006724FB">
      <w:pPr>
        <w:pStyle w:val="Subsection"/>
        <w:rPr>
          <w:snapToGrid w:val="0"/>
        </w:rPr>
      </w:pPr>
      <w:r>
        <w:rPr>
          <w:snapToGrid w:val="0"/>
        </w:rPr>
        <w:tab/>
        <w:t>(2)</w:t>
      </w:r>
      <w:r>
        <w:rPr>
          <w:snapToGrid w:val="0"/>
        </w:rPr>
        <w:tab/>
        <w:t>If a VIN is assigned, the owner of the vehicle must ensure —</w:t>
      </w:r>
    </w:p>
    <w:p w:rsidR="006724FB" w:rsidRDefault="006724FB">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rsidR="006724FB" w:rsidRDefault="006724FB">
      <w:pPr>
        <w:pStyle w:val="Indenta"/>
        <w:rPr>
          <w:snapToGrid w:val="0"/>
        </w:rPr>
      </w:pPr>
      <w:r>
        <w:rPr>
          <w:snapToGrid w:val="0"/>
        </w:rPr>
        <w:tab/>
        <w:t>(b)</w:t>
      </w:r>
      <w:r>
        <w:rPr>
          <w:snapToGrid w:val="0"/>
        </w:rPr>
        <w:tab/>
        <w:t>that upon being stamped, the vehicle is produced to the CEO for inspection of the VIN.</w:t>
      </w:r>
    </w:p>
    <w:p w:rsidR="006724FB" w:rsidRDefault="006724FB">
      <w:pPr>
        <w:pStyle w:val="Penstart"/>
      </w:pPr>
      <w:r>
        <w:tab/>
        <w:t>Penalty: for an offence under this subregulation:</w:t>
      </w:r>
    </w:p>
    <w:p w:rsidR="006724FB" w:rsidRDefault="006724FB">
      <w:pPr>
        <w:pStyle w:val="Penpara"/>
      </w:pPr>
      <w:r>
        <w:tab/>
        <w:t>(a)</w:t>
      </w:r>
      <w:r>
        <w:tab/>
        <w:t>for a first offence, a fine of 4 PU;</w:t>
      </w:r>
    </w:p>
    <w:p w:rsidR="006724FB" w:rsidRDefault="006724FB">
      <w:pPr>
        <w:pStyle w:val="Penpara"/>
      </w:pPr>
      <w:r>
        <w:tab/>
        <w:t>(b)</w:t>
      </w:r>
      <w:r>
        <w:tab/>
        <w:t>for a subsequent offence, a fine of 8 PU.</w:t>
      </w:r>
    </w:p>
    <w:p w:rsidR="006724FB" w:rsidRDefault="006724FB">
      <w:pPr>
        <w:pStyle w:val="Penstart"/>
      </w:pPr>
      <w:r>
        <w:tab/>
        <w:t>Modified penalty for an offence under this subregulation: 1 PU.</w:t>
      </w:r>
    </w:p>
    <w:p w:rsidR="006724FB" w:rsidRDefault="006724FB">
      <w:pPr>
        <w:pStyle w:val="Heading5"/>
        <w:rPr>
          <w:b w:val="0"/>
        </w:rPr>
      </w:pPr>
      <w:bookmarkStart w:id="249" w:name="_Toc75875695"/>
      <w:r>
        <w:rPr>
          <w:rStyle w:val="CharSectno"/>
        </w:rPr>
        <w:t>142</w:t>
      </w:r>
      <w:r>
        <w:t>.</w:t>
      </w:r>
      <w:r>
        <w:tab/>
      </w:r>
      <w:r>
        <w:rPr>
          <w:snapToGrid w:val="0"/>
        </w:rPr>
        <w:t>Engine identification number</w:t>
      </w:r>
      <w:bookmarkEnd w:id="249"/>
    </w:p>
    <w:p w:rsidR="006724FB" w:rsidRDefault="006724FB">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rsidR="006724FB" w:rsidRDefault="006724FB">
      <w:pPr>
        <w:pStyle w:val="Indenta"/>
        <w:rPr>
          <w:snapToGrid w:val="0"/>
        </w:rPr>
      </w:pPr>
      <w:r>
        <w:rPr>
          <w:snapToGrid w:val="0"/>
        </w:rPr>
        <w:tab/>
        <w:t>(a)</w:t>
      </w:r>
      <w:r>
        <w:rPr>
          <w:snapToGrid w:val="0"/>
        </w:rPr>
        <w:tab/>
        <w:t>the date of the change or replacement of the engine or engine part;</w:t>
      </w:r>
    </w:p>
    <w:p w:rsidR="006724FB" w:rsidRDefault="006724FB">
      <w:pPr>
        <w:pStyle w:val="Indenta"/>
        <w:rPr>
          <w:snapToGrid w:val="0"/>
        </w:rPr>
      </w:pPr>
      <w:r>
        <w:rPr>
          <w:snapToGrid w:val="0"/>
        </w:rPr>
        <w:tab/>
        <w:t>(b)</w:t>
      </w:r>
      <w:r>
        <w:rPr>
          <w:snapToGrid w:val="0"/>
        </w:rPr>
        <w:tab/>
        <w:t>the make and the licence number of the motor vehicle;</w:t>
      </w:r>
    </w:p>
    <w:p w:rsidR="006724FB" w:rsidRDefault="006724FB">
      <w:pPr>
        <w:pStyle w:val="Indenta"/>
        <w:rPr>
          <w:snapToGrid w:val="0"/>
        </w:rPr>
      </w:pPr>
      <w:r>
        <w:rPr>
          <w:snapToGrid w:val="0"/>
        </w:rPr>
        <w:lastRenderedPageBreak/>
        <w:tab/>
        <w:t>(c)</w:t>
      </w:r>
      <w:r>
        <w:rPr>
          <w:snapToGrid w:val="0"/>
        </w:rPr>
        <w:tab/>
        <w:t xml:space="preserve">the name and address of the </w:t>
      </w:r>
      <w:r>
        <w:t>responsible person for</w:t>
      </w:r>
      <w:r>
        <w:rPr>
          <w:snapToGrid w:val="0"/>
        </w:rPr>
        <w:t xml:space="preserve"> the motor vehicle;</w:t>
      </w:r>
    </w:p>
    <w:p w:rsidR="006724FB" w:rsidRDefault="006724FB">
      <w:pPr>
        <w:pStyle w:val="Indenta"/>
        <w:rPr>
          <w:snapToGrid w:val="0"/>
        </w:rPr>
      </w:pPr>
      <w:r>
        <w:rPr>
          <w:snapToGrid w:val="0"/>
        </w:rPr>
        <w:tab/>
        <w:t>(d)</w:t>
      </w:r>
      <w:r>
        <w:rPr>
          <w:snapToGrid w:val="0"/>
        </w:rPr>
        <w:tab/>
        <w:t>the engine identification number on the engine or engine part so changed or replaced;</w:t>
      </w:r>
    </w:p>
    <w:p w:rsidR="006724FB" w:rsidRDefault="006724FB">
      <w:pPr>
        <w:pStyle w:val="Indenta"/>
        <w:rPr>
          <w:snapToGrid w:val="0"/>
        </w:rPr>
      </w:pPr>
      <w:r>
        <w:rPr>
          <w:snapToGrid w:val="0"/>
        </w:rPr>
        <w:tab/>
        <w:t>(e)</w:t>
      </w:r>
      <w:r>
        <w:rPr>
          <w:snapToGrid w:val="0"/>
        </w:rPr>
        <w:tab/>
        <w:t>the engine identification number (if any) on the engine or engine part substituted for that changed or replaced;</w:t>
      </w:r>
    </w:p>
    <w:p w:rsidR="006724FB" w:rsidRDefault="006724FB">
      <w:pPr>
        <w:pStyle w:val="Indenta"/>
        <w:rPr>
          <w:snapToGrid w:val="0"/>
        </w:rPr>
      </w:pPr>
      <w:r>
        <w:rPr>
          <w:snapToGrid w:val="0"/>
        </w:rPr>
        <w:tab/>
        <w:t>(f)</w:t>
      </w:r>
      <w:r>
        <w:rPr>
          <w:snapToGrid w:val="0"/>
        </w:rPr>
        <w:tab/>
        <w:t>the name and address of the person from whom the substituted engine or engine part was obtained.</w:t>
      </w:r>
    </w:p>
    <w:p w:rsidR="006724FB" w:rsidRDefault="006724FB">
      <w:pPr>
        <w:pStyle w:val="Penstart"/>
      </w:pPr>
      <w:r>
        <w:tab/>
        <w:t xml:space="preserve">Penalty: </w:t>
      </w:r>
    </w:p>
    <w:p w:rsidR="006724FB" w:rsidRDefault="006724FB">
      <w:pPr>
        <w:pStyle w:val="Penpara"/>
      </w:pPr>
      <w:r>
        <w:tab/>
        <w:t>(a)</w:t>
      </w:r>
      <w:r>
        <w:tab/>
        <w:t>for a first offence, a fine of 4 PU;</w:t>
      </w:r>
    </w:p>
    <w:p w:rsidR="006724FB" w:rsidRDefault="006724FB">
      <w:pPr>
        <w:pStyle w:val="Penpara"/>
      </w:pPr>
      <w:r>
        <w:tab/>
        <w:t>(b)</w:t>
      </w:r>
      <w:r>
        <w:tab/>
        <w:t>for a subsequent offence, a fine of 8 PU.</w:t>
      </w:r>
    </w:p>
    <w:p w:rsidR="006724FB" w:rsidRDefault="006724FB">
      <w:pPr>
        <w:pStyle w:val="Penstart"/>
      </w:pPr>
      <w:r>
        <w:tab/>
        <w:t>Modified penalty: 1 PU.</w:t>
      </w:r>
    </w:p>
    <w:p w:rsidR="006724FB" w:rsidRDefault="006724FB">
      <w:pPr>
        <w:pStyle w:val="Subsection"/>
        <w:rPr>
          <w:snapToGrid w:val="0"/>
        </w:rPr>
      </w:pPr>
      <w:r>
        <w:rPr>
          <w:snapToGrid w:val="0"/>
        </w:rPr>
        <w:tab/>
        <w:t>(2)</w:t>
      </w:r>
      <w:r>
        <w:rPr>
          <w:snapToGrid w:val="0"/>
        </w:rPr>
        <w:tab/>
        <w:t xml:space="preserve">The CEO may assign an engine identification number for a motor vehicle if — </w:t>
      </w:r>
    </w:p>
    <w:p w:rsidR="006724FB" w:rsidRDefault="006724FB">
      <w:pPr>
        <w:pStyle w:val="Indenta"/>
        <w:rPr>
          <w:snapToGrid w:val="0"/>
        </w:rPr>
      </w:pPr>
      <w:r>
        <w:rPr>
          <w:snapToGrid w:val="0"/>
        </w:rPr>
        <w:tab/>
        <w:t>(a)</w:t>
      </w:r>
      <w:r>
        <w:rPr>
          <w:snapToGrid w:val="0"/>
        </w:rPr>
        <w:tab/>
        <w:t>the motor vehicle does not have an engine identification number; or</w:t>
      </w:r>
    </w:p>
    <w:p w:rsidR="006724FB" w:rsidRDefault="006724FB">
      <w:pPr>
        <w:pStyle w:val="Indenta"/>
        <w:rPr>
          <w:snapToGrid w:val="0"/>
        </w:rPr>
      </w:pPr>
      <w:r>
        <w:rPr>
          <w:snapToGrid w:val="0"/>
        </w:rPr>
        <w:tab/>
        <w:t>(b)</w:t>
      </w:r>
      <w:r>
        <w:rPr>
          <w:snapToGrid w:val="0"/>
        </w:rPr>
        <w:tab/>
        <w:t>the motor vehicle’s engine identification number has been or appears to have been, altered, defaced, obliterated or removed,</w:t>
      </w:r>
    </w:p>
    <w:p w:rsidR="006724FB" w:rsidRDefault="006724FB">
      <w:pPr>
        <w:pStyle w:val="Subsection"/>
        <w:rPr>
          <w:snapToGrid w:val="0"/>
        </w:rPr>
      </w:pPr>
      <w:r>
        <w:rPr>
          <w:snapToGrid w:val="0"/>
        </w:rPr>
        <w:tab/>
      </w:r>
      <w:r>
        <w:rPr>
          <w:snapToGrid w:val="0"/>
        </w:rPr>
        <w:tab/>
        <w:t>and if the CEO is satisfied that an engine identification number is necessary for identifying the engine of the motor vehicle.</w:t>
      </w:r>
    </w:p>
    <w:p w:rsidR="006724FB" w:rsidRDefault="006724FB">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rsidR="006724FB" w:rsidRDefault="006724FB">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rsidR="006724FB" w:rsidRDefault="006724FB">
      <w:pPr>
        <w:pStyle w:val="Indenta"/>
        <w:rPr>
          <w:snapToGrid w:val="0"/>
        </w:rPr>
      </w:pPr>
      <w:r>
        <w:rPr>
          <w:snapToGrid w:val="0"/>
        </w:rPr>
        <w:tab/>
        <w:t>(b)</w:t>
      </w:r>
      <w:r>
        <w:rPr>
          <w:snapToGrid w:val="0"/>
        </w:rPr>
        <w:tab/>
        <w:t>that upon being stamped, the vehicle is produced to the CEO for inspection of the number.</w:t>
      </w:r>
    </w:p>
    <w:p w:rsidR="006724FB" w:rsidRDefault="006724FB">
      <w:pPr>
        <w:pStyle w:val="Penstart"/>
      </w:pPr>
      <w:r>
        <w:tab/>
        <w:t xml:space="preserve">Penalty: </w:t>
      </w:r>
    </w:p>
    <w:p w:rsidR="006724FB" w:rsidRDefault="006724FB">
      <w:pPr>
        <w:pStyle w:val="Penpara"/>
      </w:pPr>
      <w:r>
        <w:tab/>
        <w:t>(a)</w:t>
      </w:r>
      <w:r>
        <w:tab/>
        <w:t>for a first offence, a fine of 4 PU;</w:t>
      </w:r>
    </w:p>
    <w:p w:rsidR="006724FB" w:rsidRDefault="006724FB">
      <w:pPr>
        <w:pStyle w:val="Penpara"/>
        <w:keepNext/>
      </w:pPr>
      <w:r>
        <w:lastRenderedPageBreak/>
        <w:tab/>
        <w:t>(b)</w:t>
      </w:r>
      <w:r>
        <w:tab/>
        <w:t>for a subsequent offence, a fine of 8 PU.</w:t>
      </w:r>
    </w:p>
    <w:p w:rsidR="006724FB" w:rsidRDefault="006724FB">
      <w:pPr>
        <w:pStyle w:val="Penstart"/>
      </w:pPr>
      <w:r>
        <w:tab/>
        <w:t>Modified penalty: 1 PU.</w:t>
      </w:r>
    </w:p>
    <w:p w:rsidR="006724FB" w:rsidRDefault="006724FB">
      <w:pPr>
        <w:pStyle w:val="Subsection"/>
        <w:rPr>
          <w:snapToGrid w:val="0"/>
        </w:rPr>
      </w:pPr>
      <w:r>
        <w:rPr>
          <w:snapToGrid w:val="0"/>
        </w:rPr>
        <w:tab/>
        <w:t>(4)</w:t>
      </w:r>
      <w:r>
        <w:rPr>
          <w:snapToGrid w:val="0"/>
        </w:rPr>
        <w:tab/>
        <w:t xml:space="preserve">A person must not use, or permit any other person to use, a motor vehicle if — </w:t>
      </w:r>
    </w:p>
    <w:p w:rsidR="006724FB" w:rsidRDefault="006724FB">
      <w:pPr>
        <w:pStyle w:val="Indenta"/>
        <w:rPr>
          <w:snapToGrid w:val="0"/>
        </w:rPr>
      </w:pPr>
      <w:r>
        <w:rPr>
          <w:snapToGrid w:val="0"/>
        </w:rPr>
        <w:tab/>
        <w:t>(a)</w:t>
      </w:r>
      <w:r>
        <w:rPr>
          <w:snapToGrid w:val="0"/>
        </w:rPr>
        <w:tab/>
        <w:t>the motor vehicle does not have an engine identification number; or</w:t>
      </w:r>
    </w:p>
    <w:p w:rsidR="006724FB" w:rsidRDefault="006724FB">
      <w:pPr>
        <w:pStyle w:val="Indenta"/>
        <w:rPr>
          <w:snapToGrid w:val="0"/>
        </w:rPr>
      </w:pPr>
      <w:r>
        <w:rPr>
          <w:snapToGrid w:val="0"/>
        </w:rPr>
        <w:tab/>
        <w:t>(b)</w:t>
      </w:r>
      <w:r>
        <w:rPr>
          <w:snapToGrid w:val="0"/>
        </w:rPr>
        <w:tab/>
        <w:t>the motor vehicle’s engine identification number has been, or appears to have been, altered, defaced, obliterated or removed.</w:t>
      </w:r>
    </w:p>
    <w:p w:rsidR="006724FB" w:rsidRDefault="006724FB">
      <w:pPr>
        <w:pStyle w:val="Penstart"/>
      </w:pPr>
      <w:r>
        <w:tab/>
        <w:t>Penalty:</w:t>
      </w:r>
    </w:p>
    <w:p w:rsidR="006724FB" w:rsidRDefault="006724FB">
      <w:pPr>
        <w:pStyle w:val="Penpara"/>
      </w:pPr>
      <w:r>
        <w:tab/>
        <w:t>(a)</w:t>
      </w:r>
      <w:r>
        <w:tab/>
        <w:t>for a first offence, a fine of 4 PU;</w:t>
      </w:r>
    </w:p>
    <w:p w:rsidR="006724FB" w:rsidRDefault="006724FB">
      <w:pPr>
        <w:pStyle w:val="Penpara"/>
      </w:pPr>
      <w:r>
        <w:tab/>
        <w:t>(b)</w:t>
      </w:r>
      <w:r>
        <w:tab/>
        <w:t>for a subsequent offence, a fine of 8 PU.</w:t>
      </w:r>
    </w:p>
    <w:p w:rsidR="006724FB" w:rsidRDefault="006724FB">
      <w:pPr>
        <w:pStyle w:val="Penstart"/>
      </w:pPr>
      <w:r>
        <w:tab/>
        <w:t>Modified penalty: 1 PU.</w:t>
      </w:r>
    </w:p>
    <w:p w:rsidR="006724FB" w:rsidRDefault="006724FB">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rsidR="006724FB" w:rsidRDefault="006724FB">
      <w:pPr>
        <w:pStyle w:val="Subsection"/>
        <w:rPr>
          <w:snapToGrid w:val="0"/>
        </w:rPr>
      </w:pPr>
      <w:r>
        <w:rPr>
          <w:snapToGrid w:val="0"/>
        </w:rPr>
        <w:tab/>
        <w:t>(6)</w:t>
      </w:r>
      <w:r>
        <w:rPr>
          <w:snapToGrid w:val="0"/>
        </w:rPr>
        <w:tab/>
        <w:t xml:space="preserve">A person must not, without the CEO’s written approval — </w:t>
      </w:r>
    </w:p>
    <w:p w:rsidR="006724FB" w:rsidRDefault="006724FB">
      <w:pPr>
        <w:pStyle w:val="Indenta"/>
        <w:rPr>
          <w:snapToGrid w:val="0"/>
        </w:rPr>
      </w:pPr>
      <w:r>
        <w:rPr>
          <w:snapToGrid w:val="0"/>
        </w:rPr>
        <w:tab/>
        <w:t>(a)</w:t>
      </w:r>
      <w:r>
        <w:rPr>
          <w:snapToGrid w:val="0"/>
        </w:rPr>
        <w:tab/>
        <w:t>alter, deface, obliterate or remove an engine identification number; or</w:t>
      </w:r>
    </w:p>
    <w:p w:rsidR="006724FB" w:rsidRDefault="006724FB">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rsidR="006724FB" w:rsidRDefault="006724FB">
      <w:pPr>
        <w:pStyle w:val="Penstart"/>
      </w:pPr>
      <w:r>
        <w:tab/>
        <w:t>Penalty for an offence under this subregulation:</w:t>
      </w:r>
    </w:p>
    <w:p w:rsidR="006724FB" w:rsidRDefault="006724FB">
      <w:pPr>
        <w:pStyle w:val="Penpara"/>
      </w:pPr>
      <w:r>
        <w:tab/>
        <w:t>(a)</w:t>
      </w:r>
      <w:r>
        <w:tab/>
        <w:t>for a first offence, a fine of 4 PU;</w:t>
      </w:r>
    </w:p>
    <w:p w:rsidR="006724FB" w:rsidRDefault="006724FB">
      <w:pPr>
        <w:pStyle w:val="Penpara"/>
      </w:pPr>
      <w:r>
        <w:tab/>
        <w:t>(b)</w:t>
      </w:r>
      <w:r>
        <w:tab/>
        <w:t>for a subsequent offence, a fine of 8 PU.</w:t>
      </w:r>
    </w:p>
    <w:p w:rsidR="006724FB" w:rsidRDefault="006724FB">
      <w:pPr>
        <w:pStyle w:val="Penstart"/>
      </w:pPr>
      <w:r>
        <w:tab/>
        <w:t>Modified penalty for an offence under this subregulation: 2 PU.</w:t>
      </w:r>
    </w:p>
    <w:p w:rsidR="006724FB" w:rsidRDefault="006724FB">
      <w:pPr>
        <w:pStyle w:val="Ednotepart"/>
        <w:rPr>
          <w:rStyle w:val="DraftersNotes"/>
          <w:b w:val="0"/>
          <w:sz w:val="24"/>
        </w:rPr>
      </w:pPr>
      <w:r>
        <w:rPr>
          <w:rStyle w:val="DraftersNotes"/>
          <w:b w:val="0"/>
          <w:i/>
          <w:sz w:val="24"/>
        </w:rPr>
        <w:t>[Part 6 (r. 143-145) deleted: Gazette 24 Jun 2016 p. 2343.]</w:t>
      </w:r>
    </w:p>
    <w:p w:rsidR="006724FB" w:rsidRDefault="006724FB">
      <w:pPr>
        <w:pStyle w:val="Heading2"/>
      </w:pPr>
      <w:bookmarkStart w:id="250" w:name="_Toc75419773"/>
      <w:bookmarkStart w:id="251" w:name="_Toc75427108"/>
      <w:bookmarkStart w:id="252" w:name="_Toc75872524"/>
      <w:bookmarkStart w:id="253" w:name="_Toc75875696"/>
      <w:r>
        <w:rPr>
          <w:rStyle w:val="CharPartNo"/>
        </w:rPr>
        <w:lastRenderedPageBreak/>
        <w:t>Part 7</w:t>
      </w:r>
      <w:r>
        <w:t> — </w:t>
      </w:r>
      <w:r>
        <w:rPr>
          <w:rStyle w:val="CharPartText"/>
        </w:rPr>
        <w:t>Written</w:t>
      </w:r>
      <w:r>
        <w:rPr>
          <w:rStyle w:val="CharPartText"/>
        </w:rPr>
        <w:noBreakHyphen/>
        <w:t>Off Vehicle Register</w:t>
      </w:r>
      <w:bookmarkEnd w:id="250"/>
      <w:bookmarkEnd w:id="251"/>
      <w:bookmarkEnd w:id="252"/>
      <w:bookmarkEnd w:id="253"/>
    </w:p>
    <w:p w:rsidR="006724FB" w:rsidRDefault="006724FB">
      <w:pPr>
        <w:pStyle w:val="Heading3"/>
      </w:pPr>
      <w:bookmarkStart w:id="254" w:name="_Toc75419774"/>
      <w:bookmarkStart w:id="255" w:name="_Toc75427109"/>
      <w:bookmarkStart w:id="256" w:name="_Toc75872525"/>
      <w:bookmarkStart w:id="257" w:name="_Toc75875697"/>
      <w:r>
        <w:rPr>
          <w:rStyle w:val="CharDivNo"/>
        </w:rPr>
        <w:t>Division 1</w:t>
      </w:r>
      <w:r>
        <w:t> — </w:t>
      </w:r>
      <w:r>
        <w:rPr>
          <w:rStyle w:val="CharDivText"/>
        </w:rPr>
        <w:t>Preliminary</w:t>
      </w:r>
      <w:bookmarkEnd w:id="254"/>
      <w:bookmarkEnd w:id="255"/>
      <w:bookmarkEnd w:id="256"/>
      <w:bookmarkEnd w:id="257"/>
    </w:p>
    <w:p w:rsidR="006724FB" w:rsidRDefault="006724FB">
      <w:pPr>
        <w:pStyle w:val="Heading5"/>
      </w:pPr>
      <w:bookmarkStart w:id="258" w:name="_Toc75875698"/>
      <w:r>
        <w:rPr>
          <w:rStyle w:val="CharSectno"/>
        </w:rPr>
        <w:t>146</w:t>
      </w:r>
      <w:r>
        <w:t>.</w:t>
      </w:r>
      <w:r>
        <w:tab/>
        <w:t>Terms used</w:t>
      </w:r>
      <w:bookmarkEnd w:id="258"/>
    </w:p>
    <w:p w:rsidR="006724FB" w:rsidRDefault="006724FB">
      <w:pPr>
        <w:pStyle w:val="Subsection"/>
      </w:pPr>
      <w:r>
        <w:tab/>
      </w:r>
      <w:r>
        <w:tab/>
        <w:t xml:space="preserve">In this Part, unless the contrary intention appears — </w:t>
      </w:r>
    </w:p>
    <w:p w:rsidR="006724FB" w:rsidRDefault="006724FB">
      <w:pPr>
        <w:pStyle w:val="Defstart"/>
      </w:pPr>
      <w:r>
        <w:tab/>
      </w:r>
      <w:r>
        <w:rPr>
          <w:rStyle w:val="CharDefText"/>
        </w:rPr>
        <w:t>assessor</w:t>
      </w:r>
      <w:r>
        <w:t xml:space="preserve">, in relation to a vehicle, means — </w:t>
      </w:r>
    </w:p>
    <w:p w:rsidR="006724FB" w:rsidRDefault="006724FB">
      <w:pPr>
        <w:pStyle w:val="Defpara"/>
      </w:pPr>
      <w:r>
        <w:tab/>
        <w:t>(a)</w:t>
      </w:r>
      <w:r>
        <w:tab/>
        <w:t>the insurer (if any) of the vehicle; or</w:t>
      </w:r>
    </w:p>
    <w:p w:rsidR="006724FB" w:rsidRDefault="006724FB">
      <w:pPr>
        <w:pStyle w:val="Defpara"/>
      </w:pPr>
      <w:r>
        <w:tab/>
        <w:t>(b)</w:t>
      </w:r>
      <w:r>
        <w:tab/>
        <w:t>an insurer, dealer or wrecker who has possession or control of the vehicle and who is in a position to assess whether the vehicle is a write</w:t>
      </w:r>
      <w:r>
        <w:noBreakHyphen/>
        <w:t>off;</w:t>
      </w:r>
    </w:p>
    <w:p w:rsidR="006724FB" w:rsidRDefault="006724FB">
      <w:pPr>
        <w:pStyle w:val="Defstart"/>
      </w:pPr>
      <w:r>
        <w:rPr>
          <w:b/>
        </w:rPr>
        <w:tab/>
      </w:r>
      <w:r>
        <w:rPr>
          <w:rStyle w:val="CharDefText"/>
        </w:rPr>
        <w:t>dealer</w:t>
      </w:r>
      <w:r>
        <w:t xml:space="preserve"> means a person —</w:t>
      </w:r>
    </w:p>
    <w:p w:rsidR="006724FB" w:rsidRDefault="006724FB">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rsidR="006724FB" w:rsidRDefault="006724FB">
      <w:pPr>
        <w:pStyle w:val="Defpara"/>
      </w:pPr>
      <w:r>
        <w:tab/>
        <w:t>(b)</w:t>
      </w:r>
      <w:r>
        <w:tab/>
        <w:t>who carries on the business of hiring vehicles, if the right to buy the vehicle is not included in that hiring; or</w:t>
      </w:r>
    </w:p>
    <w:p w:rsidR="006724FB" w:rsidRDefault="006724FB">
      <w:pPr>
        <w:pStyle w:val="Defpara"/>
      </w:pPr>
      <w:r>
        <w:tab/>
        <w:t>(c)</w:t>
      </w:r>
      <w:r>
        <w:tab/>
        <w:t>whose ordinary business is not that of buying or selling vehicles but who carries on or acts in that business only for one or more of these purposes —</w:t>
      </w:r>
    </w:p>
    <w:p w:rsidR="006724FB" w:rsidRDefault="006724FB">
      <w:pPr>
        <w:pStyle w:val="Defsubpara"/>
      </w:pPr>
      <w:r>
        <w:tab/>
        <w:t>(i)</w:t>
      </w:r>
      <w:r>
        <w:tab/>
        <w:t>for the purpose of the hiring, under a hire</w:t>
      </w:r>
      <w:r>
        <w:noBreakHyphen/>
        <w:t>purchase agreement, of the vehicle bought or sold;</w:t>
      </w:r>
    </w:p>
    <w:p w:rsidR="006724FB" w:rsidRDefault="006724FB">
      <w:pPr>
        <w:pStyle w:val="Defsubpara"/>
      </w:pPr>
      <w:r>
        <w:tab/>
        <w:t>(ii)</w:t>
      </w:r>
      <w:r>
        <w:tab/>
        <w:t>for the purpose of effectuating a security over the vehicle bought or sold;</w:t>
      </w:r>
    </w:p>
    <w:p w:rsidR="006724FB" w:rsidRDefault="006724FB">
      <w:pPr>
        <w:pStyle w:val="Defsubpara"/>
      </w:pPr>
      <w:r>
        <w:tab/>
        <w:t>(iii)</w:t>
      </w:r>
      <w:r>
        <w:tab/>
        <w:t>for the purpose of the hiring, if the right to buy the vehicle is not included in that hiring, of the vehicle bought or sold;</w:t>
      </w:r>
    </w:p>
    <w:p w:rsidR="006724FB" w:rsidRDefault="006724FB">
      <w:pPr>
        <w:pStyle w:val="Defsubpara"/>
      </w:pPr>
      <w:r>
        <w:tab/>
        <w:t>(iv)</w:t>
      </w:r>
      <w:r>
        <w:tab/>
        <w:t>for the purpose of disposing of a vehicle acquired by the person in connection with a purpose mentioned in subparagraph (i), (ii) or (iii);</w:t>
      </w:r>
    </w:p>
    <w:p w:rsidR="006724FB" w:rsidRDefault="006724FB">
      <w:pPr>
        <w:pStyle w:val="Defstart"/>
        <w:keepNext/>
      </w:pPr>
      <w:r>
        <w:rPr>
          <w:b/>
        </w:rPr>
        <w:lastRenderedPageBreak/>
        <w:tab/>
      </w:r>
      <w:r>
        <w:rPr>
          <w:rStyle w:val="CharDefText"/>
        </w:rPr>
        <w:t>insurer</w:t>
      </w:r>
      <w:r>
        <w:t xml:space="preserve">, in relation to a vehicle, means — </w:t>
      </w:r>
    </w:p>
    <w:p w:rsidR="006724FB" w:rsidRDefault="006724FB">
      <w:pPr>
        <w:pStyle w:val="Defpara"/>
      </w:pPr>
      <w:r>
        <w:tab/>
        <w:t>(a)</w:t>
      </w:r>
      <w:r>
        <w:tab/>
        <w:t>a person who insures the vehicle in the course of carrying on a business of insurance; or</w:t>
      </w:r>
    </w:p>
    <w:p w:rsidR="006724FB" w:rsidRDefault="006724FB">
      <w:pPr>
        <w:pStyle w:val="Defpara"/>
      </w:pPr>
      <w:r>
        <w:tab/>
        <w:t>(b)</w:t>
      </w:r>
      <w:r>
        <w:tab/>
        <w:t>if the vehicle is owned by a corporation and is not insured — the corporation;</w:t>
      </w:r>
    </w:p>
    <w:p w:rsidR="006724FB" w:rsidRDefault="006724FB">
      <w:pPr>
        <w:pStyle w:val="Defstart"/>
      </w:pPr>
      <w:r>
        <w:rPr>
          <w:b/>
        </w:rPr>
        <w:tab/>
      </w:r>
      <w:r>
        <w:rPr>
          <w:rStyle w:val="CharDefText"/>
        </w:rPr>
        <w:t>notifiable</w:t>
      </w:r>
      <w:r>
        <w:t>, in relation to a vehicle, means notifiable under regulation 149;</w:t>
      </w:r>
    </w:p>
    <w:p w:rsidR="006724FB" w:rsidRDefault="006724FB">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rsidR="006724FB" w:rsidRDefault="006724FB">
      <w:pPr>
        <w:pStyle w:val="Defstart"/>
      </w:pPr>
      <w:r>
        <w:rPr>
          <w:b/>
        </w:rPr>
        <w:tab/>
      </w:r>
      <w:r>
        <w:rPr>
          <w:rStyle w:val="CharDefText"/>
        </w:rPr>
        <w:t>total loss</w:t>
      </w:r>
      <w:r>
        <w:t>, in relation to a vehicle, has the meaning given in regulation 147;</w:t>
      </w:r>
    </w:p>
    <w:p w:rsidR="006724FB" w:rsidRDefault="006724FB">
      <w:pPr>
        <w:pStyle w:val="Defstart"/>
      </w:pPr>
      <w:r>
        <w:rPr>
          <w:b/>
        </w:rPr>
        <w:tab/>
      </w:r>
      <w:r>
        <w:rPr>
          <w:rStyle w:val="CharDefText"/>
        </w:rPr>
        <w:t>wrecker</w:t>
      </w:r>
      <w:r>
        <w:t xml:space="preserve"> means a person who carries on the business of —</w:t>
      </w:r>
    </w:p>
    <w:p w:rsidR="006724FB" w:rsidRDefault="006724FB">
      <w:pPr>
        <w:pStyle w:val="Defpara"/>
      </w:pPr>
      <w:r>
        <w:tab/>
        <w:t>(a)</w:t>
      </w:r>
      <w:r>
        <w:tab/>
        <w:t>destroying or dismantling vehicles, parts of vehicles or vehicle accessories; or</w:t>
      </w:r>
    </w:p>
    <w:p w:rsidR="006724FB" w:rsidRDefault="006724FB">
      <w:pPr>
        <w:pStyle w:val="Defpara"/>
      </w:pPr>
      <w:r>
        <w:tab/>
        <w:t>(b)</w:t>
      </w:r>
      <w:r>
        <w:tab/>
        <w:t>buying and selling vehicles (including substantially destroyed or dismantled vehicles), parts of vehicles or vehicle accessories;</w:t>
      </w:r>
    </w:p>
    <w:p w:rsidR="006724FB" w:rsidRDefault="006724FB">
      <w:pPr>
        <w:pStyle w:val="Defstart"/>
      </w:pPr>
      <w:r>
        <w:rPr>
          <w:b/>
        </w:rPr>
        <w:tab/>
      </w:r>
      <w:r>
        <w:rPr>
          <w:rStyle w:val="CharDefText"/>
        </w:rPr>
        <w:t>written</w:t>
      </w:r>
      <w:r>
        <w:rPr>
          <w:rStyle w:val="CharDefText"/>
        </w:rPr>
        <w:noBreakHyphen/>
        <w:t>off</w:t>
      </w:r>
      <w:r>
        <w:t>, in relation to a vehicle, has the meaning given in regulation 148.</w:t>
      </w:r>
    </w:p>
    <w:p w:rsidR="006724FB" w:rsidRDefault="006724FB">
      <w:pPr>
        <w:pStyle w:val="Heading5"/>
        <w:rPr>
          <w:b w:val="0"/>
        </w:rPr>
      </w:pPr>
      <w:bookmarkStart w:id="259" w:name="_Toc75875699"/>
      <w:r>
        <w:rPr>
          <w:rStyle w:val="CharSectno"/>
        </w:rPr>
        <w:t>147</w:t>
      </w:r>
      <w:r>
        <w:t>.</w:t>
      </w:r>
      <w:r>
        <w:tab/>
        <w:t>Total loss vehicles</w:t>
      </w:r>
      <w:bookmarkEnd w:id="259"/>
    </w:p>
    <w:p w:rsidR="006724FB" w:rsidRDefault="006724FB">
      <w:pPr>
        <w:pStyle w:val="Subsection"/>
        <w:spacing w:before="100"/>
      </w:pPr>
      <w:r>
        <w:tab/>
      </w:r>
      <w:r>
        <w:tab/>
        <w:t xml:space="preserve">A vehicle is a total loss if an assessor determines that the extent of the damage is such that — </w:t>
      </w:r>
    </w:p>
    <w:p w:rsidR="006724FB" w:rsidRDefault="006724FB">
      <w:pPr>
        <w:pStyle w:val="MiscellaneousBody"/>
        <w:tabs>
          <w:tab w:val="left" w:pos="851"/>
        </w:tabs>
      </w:pPr>
      <w:r>
        <w:tab/>
        <w:t>A ≤ B</w:t>
      </w:r>
    </w:p>
    <w:p w:rsidR="006724FB" w:rsidRDefault="006724FB">
      <w:pPr>
        <w:pStyle w:val="MiscellaneousBody"/>
        <w:tabs>
          <w:tab w:val="left" w:pos="851"/>
        </w:tabs>
      </w:pPr>
      <w:r>
        <w:tab/>
        <w:t xml:space="preserve">where — </w:t>
      </w:r>
    </w:p>
    <w:p w:rsidR="006724FB" w:rsidRDefault="006724FB">
      <w:pPr>
        <w:pStyle w:val="MiscellaneousBody"/>
        <w:tabs>
          <w:tab w:val="left" w:pos="851"/>
          <w:tab w:val="left" w:pos="1276"/>
        </w:tabs>
      </w:pPr>
      <w:r>
        <w:tab/>
        <w:t>A</w:t>
      </w:r>
      <w:r>
        <w:tab/>
        <w:t xml:space="preserve">is — </w:t>
      </w:r>
    </w:p>
    <w:p w:rsidR="006724FB" w:rsidRDefault="006724FB">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rsidR="006724FB" w:rsidRDefault="006724FB">
      <w:pPr>
        <w:pStyle w:val="MiscellaneousBody"/>
        <w:tabs>
          <w:tab w:val="left" w:pos="1560"/>
        </w:tabs>
        <w:ind w:left="1985" w:hanging="1985"/>
      </w:pPr>
      <w:r>
        <w:lastRenderedPageBreak/>
        <w:tab/>
        <w:t>(b)</w:t>
      </w:r>
      <w:r>
        <w:tab/>
        <w:t>if the vehicle was not insured at the time of the event that caused the damage, the market value of the vehicle at the time of that event;</w:t>
      </w:r>
    </w:p>
    <w:p w:rsidR="006724FB" w:rsidRDefault="006724FB">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rsidR="006724FB" w:rsidRDefault="006724FB">
      <w:pPr>
        <w:pStyle w:val="Heading5"/>
        <w:rPr>
          <w:b w:val="0"/>
        </w:rPr>
      </w:pPr>
      <w:bookmarkStart w:id="260" w:name="_Toc75875700"/>
      <w:r>
        <w:rPr>
          <w:rStyle w:val="CharSectno"/>
        </w:rPr>
        <w:t>148</w:t>
      </w:r>
      <w:r>
        <w:t>.</w:t>
      </w:r>
      <w:r>
        <w:tab/>
        <w:t>Written</w:t>
      </w:r>
      <w:r>
        <w:noBreakHyphen/>
        <w:t>off vehicles</w:t>
      </w:r>
      <w:bookmarkEnd w:id="260"/>
    </w:p>
    <w:p w:rsidR="006724FB" w:rsidRDefault="006724FB">
      <w:pPr>
        <w:pStyle w:val="Subsection"/>
      </w:pPr>
      <w:r>
        <w:tab/>
      </w:r>
      <w:r>
        <w:tab/>
        <w:t>A vehicle is written</w:t>
      </w:r>
      <w:r>
        <w:noBreakHyphen/>
        <w:t>off if it has been damaged by collision, fire, flood, accident, trespass, dismantling, demolition or other event and has been assessed as a total loss by an assessor.</w:t>
      </w:r>
    </w:p>
    <w:p w:rsidR="006724FB" w:rsidRDefault="006724FB">
      <w:pPr>
        <w:pStyle w:val="Heading5"/>
        <w:rPr>
          <w:b w:val="0"/>
        </w:rPr>
      </w:pPr>
      <w:bookmarkStart w:id="261" w:name="_Toc75875701"/>
      <w:r>
        <w:rPr>
          <w:rStyle w:val="CharSectno"/>
        </w:rPr>
        <w:t>149</w:t>
      </w:r>
      <w:r>
        <w:t>.</w:t>
      </w:r>
      <w:r>
        <w:tab/>
        <w:t>Notifiable vehicles</w:t>
      </w:r>
      <w:bookmarkEnd w:id="261"/>
    </w:p>
    <w:p w:rsidR="006724FB" w:rsidRDefault="006724FB">
      <w:pPr>
        <w:pStyle w:val="Subsection"/>
      </w:pPr>
      <w:r>
        <w:tab/>
      </w:r>
      <w:r>
        <w:tab/>
        <w:t>A written</w:t>
      </w:r>
      <w:r>
        <w:noBreakHyphen/>
        <w:t xml:space="preserve">off vehicle is notifiable if — </w:t>
      </w:r>
    </w:p>
    <w:p w:rsidR="006724FB" w:rsidRDefault="006724FB">
      <w:pPr>
        <w:pStyle w:val="Indenta"/>
      </w:pPr>
      <w:r>
        <w:tab/>
        <w:t>(a)</w:t>
      </w:r>
      <w:r>
        <w:tab/>
        <w:t>it is a motor vehicle, motor cycle, trailer or semi</w:t>
      </w:r>
      <w:r>
        <w:noBreakHyphen/>
        <w:t>trailer; and</w:t>
      </w:r>
    </w:p>
    <w:p w:rsidR="006724FB" w:rsidRDefault="006724FB">
      <w:pPr>
        <w:pStyle w:val="Indenta"/>
      </w:pPr>
      <w:r>
        <w:tab/>
        <w:t>(b)</w:t>
      </w:r>
      <w:r>
        <w:tab/>
        <w:t>in the case of a motor vehicle, trailer or semi</w:t>
      </w:r>
      <w:r>
        <w:noBreakHyphen/>
        <w:t>trailer — the vehicle’s MRC does not exceed 4.5 t; and</w:t>
      </w:r>
    </w:p>
    <w:p w:rsidR="006724FB" w:rsidRDefault="006724FB">
      <w:pPr>
        <w:pStyle w:val="Indenta"/>
      </w:pPr>
      <w:r>
        <w:tab/>
        <w:t>(c)</w:t>
      </w:r>
      <w:r>
        <w:tab/>
        <w:t>it was manufactured within the period of 15 years ending on the day on which the damage occurred (if known) or otherwise on the day on which the vehicle was written off.</w:t>
      </w:r>
    </w:p>
    <w:p w:rsidR="006724FB" w:rsidRDefault="006724FB">
      <w:pPr>
        <w:pStyle w:val="Heading5"/>
        <w:rPr>
          <w:b w:val="0"/>
        </w:rPr>
      </w:pPr>
      <w:bookmarkStart w:id="262" w:name="_Toc75875702"/>
      <w:r>
        <w:rPr>
          <w:rStyle w:val="CharSectno"/>
        </w:rPr>
        <w:t>150</w:t>
      </w:r>
      <w:r>
        <w:t>.</w:t>
      </w:r>
      <w:r>
        <w:tab/>
        <w:t>Statutory write</w:t>
      </w:r>
      <w:r>
        <w:noBreakHyphen/>
        <w:t>offs</w:t>
      </w:r>
      <w:bookmarkEnd w:id="262"/>
    </w:p>
    <w:p w:rsidR="006724FB" w:rsidRDefault="006724FB">
      <w:pPr>
        <w:pStyle w:val="Subsection"/>
      </w:pPr>
      <w:r>
        <w:tab/>
        <w:t>(1)</w:t>
      </w:r>
      <w:r>
        <w:tab/>
        <w:t>A vehicle is a statutory write</w:t>
      </w:r>
      <w:r>
        <w:noBreakHyphen/>
        <w:t xml:space="preserve">off if — </w:t>
      </w:r>
    </w:p>
    <w:p w:rsidR="006724FB" w:rsidRDefault="006724FB">
      <w:pPr>
        <w:pStyle w:val="Indenta"/>
      </w:pPr>
      <w:r>
        <w:tab/>
        <w:t>(a)</w:t>
      </w:r>
      <w:r>
        <w:tab/>
        <w:t>the vehicle is a total loss; and</w:t>
      </w:r>
    </w:p>
    <w:p w:rsidR="006724FB" w:rsidRDefault="006724FB">
      <w:pPr>
        <w:pStyle w:val="Indenta"/>
      </w:pPr>
      <w:r>
        <w:tab/>
        <w:t>(b)</w:t>
      </w:r>
      <w:r>
        <w:tab/>
        <w:t>an assessor has determined that the vehicle is suitable only for dismantling and processing as scrap.</w:t>
      </w:r>
    </w:p>
    <w:p w:rsidR="006724FB" w:rsidRDefault="006724FB">
      <w:pPr>
        <w:pStyle w:val="Subsection"/>
        <w:keepNext/>
      </w:pPr>
      <w:r>
        <w:lastRenderedPageBreak/>
        <w:tab/>
        <w:t>(2)</w:t>
      </w:r>
      <w:r>
        <w:tab/>
        <w:t>An assessor who, in accordance with these regulations, is determining whether a vehicle is a statutory write</w:t>
      </w:r>
      <w:r>
        <w:noBreakHyphen/>
        <w:t xml:space="preserve">off must — </w:t>
      </w:r>
    </w:p>
    <w:p w:rsidR="006724FB" w:rsidRDefault="006724FB">
      <w:pPr>
        <w:pStyle w:val="Indenta"/>
      </w:pPr>
      <w:r>
        <w:tab/>
        <w:t>(a)</w:t>
      </w:r>
      <w:r>
        <w:tab/>
        <w:t>conduct tests on the vehicle which enable the condition of the vehicle to be assessed in accordance with the Technical Guide; and</w:t>
      </w:r>
    </w:p>
    <w:p w:rsidR="006724FB" w:rsidRDefault="006724FB">
      <w:pPr>
        <w:pStyle w:val="Indenta"/>
      </w:pPr>
      <w:r>
        <w:tab/>
        <w:t>(b)</w:t>
      </w:r>
      <w:r>
        <w:tab/>
        <w:t>assess the results of those tests in accordance with the Technical Guide.</w:t>
      </w:r>
    </w:p>
    <w:p w:rsidR="006724FB" w:rsidRDefault="006724FB">
      <w:pPr>
        <w:pStyle w:val="Subsection"/>
      </w:pPr>
      <w:r>
        <w:tab/>
        <w:t>(3)</w:t>
      </w:r>
      <w:r>
        <w:tab/>
        <w:t xml:space="preserve">In subregulation (2) — </w:t>
      </w:r>
    </w:p>
    <w:p w:rsidR="006724FB" w:rsidRDefault="006724FB">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rsidR="006724FB" w:rsidRDefault="006724FB">
      <w:pPr>
        <w:pStyle w:val="Subsection"/>
      </w:pPr>
      <w:r>
        <w:tab/>
        <w:t>(4)</w:t>
      </w:r>
      <w:r>
        <w:tab/>
        <w:t>A notifiable motor cycle, notifiable trailer or notifiable semi</w:t>
      </w:r>
      <w:r>
        <w:noBreakHyphen/>
        <w:t>trailer is a statutory write</w:t>
      </w:r>
      <w:r>
        <w:noBreakHyphen/>
        <w:t xml:space="preserve">off if it has sustained — </w:t>
      </w:r>
    </w:p>
    <w:p w:rsidR="006724FB" w:rsidRDefault="006724FB">
      <w:pPr>
        <w:pStyle w:val="Indenta"/>
      </w:pPr>
      <w:r>
        <w:tab/>
        <w:t>(a)</w:t>
      </w:r>
      <w:r>
        <w:tab/>
        <w:t>impact damage, (except scratching) to its suspension; and</w:t>
      </w:r>
    </w:p>
    <w:p w:rsidR="006724FB" w:rsidRDefault="006724FB">
      <w:pPr>
        <w:pStyle w:val="Indenta"/>
      </w:pPr>
      <w:r>
        <w:tab/>
        <w:t>(b)</w:t>
      </w:r>
      <w:r>
        <w:tab/>
        <w:t>structural damage to its frame in 2 or more places.</w:t>
      </w:r>
    </w:p>
    <w:p w:rsidR="006724FB" w:rsidRDefault="006724FB">
      <w:pPr>
        <w:pStyle w:val="Subsection"/>
      </w:pPr>
      <w:r>
        <w:tab/>
        <w:t>(5)</w:t>
      </w:r>
      <w:r>
        <w:tab/>
        <w:t>A notifiable motor cycle is a statutory write</w:t>
      </w:r>
      <w:r>
        <w:noBreakHyphen/>
        <w:t>off if it has been fully immersed in salt water for any period or fully immersed in fresh water for more than 48 hours.</w:t>
      </w:r>
    </w:p>
    <w:p w:rsidR="006724FB" w:rsidRDefault="006724FB">
      <w:pPr>
        <w:pStyle w:val="Heading5"/>
        <w:spacing w:before="120"/>
        <w:rPr>
          <w:b w:val="0"/>
        </w:rPr>
      </w:pPr>
      <w:bookmarkStart w:id="263" w:name="_Toc75875703"/>
      <w:r>
        <w:rPr>
          <w:rStyle w:val="CharSectno"/>
        </w:rPr>
        <w:t>151</w:t>
      </w:r>
      <w:r>
        <w:t>.</w:t>
      </w:r>
      <w:r>
        <w:tab/>
        <w:t>Repairable write</w:t>
      </w:r>
      <w:r>
        <w:noBreakHyphen/>
        <w:t>offs</w:t>
      </w:r>
      <w:bookmarkEnd w:id="263"/>
    </w:p>
    <w:p w:rsidR="006724FB" w:rsidRDefault="006724FB">
      <w:pPr>
        <w:pStyle w:val="Subsection"/>
      </w:pPr>
      <w:r>
        <w:tab/>
      </w:r>
      <w:r>
        <w:tab/>
        <w:t>A notifiable vehicle is a repairable write</w:t>
      </w:r>
      <w:r>
        <w:noBreakHyphen/>
        <w:t>off if it is not a statutory write</w:t>
      </w:r>
      <w:r>
        <w:noBreakHyphen/>
        <w:t>off.</w:t>
      </w:r>
    </w:p>
    <w:p w:rsidR="006724FB" w:rsidRDefault="006724FB">
      <w:pPr>
        <w:pStyle w:val="Heading3"/>
        <w:spacing w:before="120"/>
      </w:pPr>
      <w:bookmarkStart w:id="264" w:name="_Toc75419781"/>
      <w:bookmarkStart w:id="265" w:name="_Toc75427116"/>
      <w:bookmarkStart w:id="266" w:name="_Toc75872532"/>
      <w:bookmarkStart w:id="267" w:name="_Toc75875704"/>
      <w:r>
        <w:rPr>
          <w:rStyle w:val="CharDivNo"/>
        </w:rPr>
        <w:t>Division 2</w:t>
      </w:r>
      <w:r>
        <w:t> — </w:t>
      </w:r>
      <w:r>
        <w:rPr>
          <w:rStyle w:val="CharDivText"/>
        </w:rPr>
        <w:t>Dealing with notifiable vehicles</w:t>
      </w:r>
      <w:bookmarkEnd w:id="264"/>
      <w:bookmarkEnd w:id="265"/>
      <w:bookmarkEnd w:id="266"/>
      <w:bookmarkEnd w:id="267"/>
    </w:p>
    <w:p w:rsidR="006724FB" w:rsidRDefault="006724FB">
      <w:pPr>
        <w:pStyle w:val="Heading5"/>
        <w:spacing w:before="120"/>
        <w:rPr>
          <w:b w:val="0"/>
        </w:rPr>
      </w:pPr>
      <w:bookmarkStart w:id="268" w:name="_Toc75875705"/>
      <w:r>
        <w:rPr>
          <w:rStyle w:val="CharSectno"/>
        </w:rPr>
        <w:t>152</w:t>
      </w:r>
      <w:r>
        <w:t>.</w:t>
      </w:r>
      <w:r>
        <w:tab/>
        <w:t>Notification and marking of write</w:t>
      </w:r>
      <w:r>
        <w:noBreakHyphen/>
        <w:t>offs</w:t>
      </w:r>
      <w:bookmarkEnd w:id="268"/>
    </w:p>
    <w:p w:rsidR="006724FB" w:rsidRDefault="006724FB">
      <w:pPr>
        <w:pStyle w:val="Subsection"/>
      </w:pPr>
      <w:r>
        <w:tab/>
        <w:t>(1)</w:t>
      </w:r>
      <w:r>
        <w:tab/>
        <w:t xml:space="preserve">In this regulation — </w:t>
      </w:r>
    </w:p>
    <w:p w:rsidR="006724FB" w:rsidRDefault="006724FB">
      <w:pPr>
        <w:pStyle w:val="Defstart"/>
      </w:pPr>
      <w:r>
        <w:tab/>
      </w:r>
      <w:r>
        <w:rPr>
          <w:rStyle w:val="CharDefText"/>
        </w:rPr>
        <w:t>compliance time</w:t>
      </w:r>
      <w:r>
        <w:t xml:space="preserve"> — </w:t>
      </w:r>
    </w:p>
    <w:p w:rsidR="006724FB" w:rsidRDefault="006724FB">
      <w:pPr>
        <w:pStyle w:val="Defpara"/>
      </w:pPr>
      <w:r>
        <w:tab/>
        <w:t>(a)</w:t>
      </w:r>
      <w:r>
        <w:tab/>
        <w:t>for the assessor by whom a vehicle was written off, means 7 days after the day on which the assessment was made; or</w:t>
      </w:r>
    </w:p>
    <w:p w:rsidR="006724FB" w:rsidRDefault="006724FB">
      <w:pPr>
        <w:pStyle w:val="Defpara"/>
      </w:pPr>
      <w:r>
        <w:tab/>
        <w:t>(b)</w:t>
      </w:r>
      <w:r>
        <w:tab/>
        <w:t>for another assessor, means 7 days after the day on which the assessor obtained possession or control of it.</w:t>
      </w:r>
    </w:p>
    <w:p w:rsidR="006724FB" w:rsidRDefault="006724FB">
      <w:pPr>
        <w:pStyle w:val="Subsection"/>
      </w:pPr>
      <w:r>
        <w:lastRenderedPageBreak/>
        <w:tab/>
        <w:t>(2)</w:t>
      </w:r>
      <w:r>
        <w:tab/>
        <w:t xml:space="preserve">An assessor who is in possession or control of a notifiable vehicle must, before the expiration of the compliance time — </w:t>
      </w:r>
    </w:p>
    <w:p w:rsidR="006724FB" w:rsidRDefault="006724FB">
      <w:pPr>
        <w:pStyle w:val="Indenta"/>
      </w:pPr>
      <w:r>
        <w:tab/>
        <w:t>(a)</w:t>
      </w:r>
      <w:r>
        <w:tab/>
        <w:t>give the CEO a written</w:t>
      </w:r>
      <w:r>
        <w:noBreakHyphen/>
        <w:t>off vehicle notice in accordance with regulation 153; and</w:t>
      </w:r>
    </w:p>
    <w:p w:rsidR="006724FB" w:rsidRDefault="006724FB">
      <w:pPr>
        <w:pStyle w:val="Indenta"/>
      </w:pPr>
      <w:r>
        <w:tab/>
        <w:t>(b)</w:t>
      </w:r>
      <w:r>
        <w:tab/>
        <w:t>if the vehicle is a statutory write</w:t>
      </w:r>
      <w:r>
        <w:noBreakHyphen/>
        <w:t xml:space="preserve">off — </w:t>
      </w:r>
    </w:p>
    <w:p w:rsidR="006724FB" w:rsidRDefault="006724FB">
      <w:pPr>
        <w:pStyle w:val="Indenti"/>
      </w:pPr>
      <w:r>
        <w:tab/>
        <w:t>(i)</w:t>
      </w:r>
      <w:r>
        <w:tab/>
        <w:t>attach a written</w:t>
      </w:r>
      <w:r>
        <w:noBreakHyphen/>
        <w:t>off warning label to the vehicle in accordance with regulation 154; and</w:t>
      </w:r>
    </w:p>
    <w:p w:rsidR="006724FB" w:rsidRDefault="006724FB">
      <w:pPr>
        <w:pStyle w:val="Indenti"/>
      </w:pPr>
      <w:r>
        <w:tab/>
        <w:t>(ii)</w:t>
      </w:r>
      <w:r>
        <w:tab/>
        <w:t>mark over its identifier in accordance with regulation 155.</w:t>
      </w:r>
    </w:p>
    <w:p w:rsidR="006724FB" w:rsidRDefault="006724FB">
      <w:pPr>
        <w:pStyle w:val="Penstart"/>
      </w:pPr>
      <w:r>
        <w:tab/>
        <w:t>Penalty: a fine of 20 PU.</w:t>
      </w:r>
    </w:p>
    <w:p w:rsidR="006724FB" w:rsidRDefault="006724FB">
      <w:pPr>
        <w:pStyle w:val="Penstart"/>
      </w:pPr>
      <w:r>
        <w:tab/>
        <w:t>Modified penalty: 4 PU.</w:t>
      </w:r>
    </w:p>
    <w:p w:rsidR="006724FB" w:rsidRDefault="006724FB">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rsidR="006724FB" w:rsidRDefault="006724FB">
      <w:pPr>
        <w:pStyle w:val="Subsection"/>
      </w:pPr>
      <w:r>
        <w:tab/>
        <w:t>(4)</w:t>
      </w:r>
      <w:r>
        <w:tab/>
        <w:t xml:space="preserve">An assessor must not do any of these things unless subregulation (2) has been complied with — </w:t>
      </w:r>
    </w:p>
    <w:p w:rsidR="006724FB" w:rsidRDefault="006724FB">
      <w:pPr>
        <w:pStyle w:val="Indenta"/>
      </w:pPr>
      <w:r>
        <w:tab/>
        <w:t>(a)</w:t>
      </w:r>
      <w:r>
        <w:tab/>
        <w:t>transfer possession of the vehicle or part of it to another person;</w:t>
      </w:r>
    </w:p>
    <w:p w:rsidR="006724FB" w:rsidRDefault="006724FB">
      <w:pPr>
        <w:pStyle w:val="Indenta"/>
      </w:pPr>
      <w:r>
        <w:tab/>
        <w:t>(b)</w:t>
      </w:r>
      <w:r>
        <w:tab/>
        <w:t>wreck or dismantle the vehicle;</w:t>
      </w:r>
    </w:p>
    <w:p w:rsidR="006724FB" w:rsidRDefault="006724FB">
      <w:pPr>
        <w:pStyle w:val="Indenta"/>
      </w:pPr>
      <w:r>
        <w:tab/>
        <w:t>(c)</w:t>
      </w:r>
      <w:r>
        <w:tab/>
        <w:t>separate from the vehicle the part of the vehicle on which its identifier is located.</w:t>
      </w:r>
    </w:p>
    <w:p w:rsidR="006724FB" w:rsidRDefault="006724FB">
      <w:pPr>
        <w:pStyle w:val="Penstart"/>
      </w:pPr>
      <w:r>
        <w:tab/>
        <w:t>Penalty for an offence under this subregulation: a fine of 20 PU.</w:t>
      </w:r>
    </w:p>
    <w:p w:rsidR="006724FB" w:rsidRDefault="006724FB">
      <w:pPr>
        <w:pStyle w:val="Penstart"/>
      </w:pPr>
      <w:r>
        <w:tab/>
        <w:t>Modified penalty for an offence under this subregulation: 4 PU.</w:t>
      </w:r>
    </w:p>
    <w:p w:rsidR="006724FB" w:rsidRDefault="006724FB">
      <w:pPr>
        <w:pStyle w:val="Heading5"/>
        <w:rPr>
          <w:b w:val="0"/>
        </w:rPr>
      </w:pPr>
      <w:bookmarkStart w:id="269" w:name="_Toc75875706"/>
      <w:r>
        <w:rPr>
          <w:rStyle w:val="CharSectno"/>
        </w:rPr>
        <w:t>153</w:t>
      </w:r>
      <w:r>
        <w:t>.</w:t>
      </w:r>
      <w:r>
        <w:tab/>
        <w:t>Written</w:t>
      </w:r>
      <w:r>
        <w:noBreakHyphen/>
        <w:t>off vehicle notices</w:t>
      </w:r>
      <w:bookmarkEnd w:id="269"/>
    </w:p>
    <w:p w:rsidR="006724FB" w:rsidRDefault="006724FB">
      <w:pPr>
        <w:pStyle w:val="Subsection"/>
      </w:pPr>
      <w:r>
        <w:tab/>
      </w:r>
      <w:r>
        <w:tab/>
        <w:t>For the purposes of regulation 152(2)(a), a written</w:t>
      </w:r>
      <w:r>
        <w:noBreakHyphen/>
        <w:t xml:space="preserve">off vehicle notice given by an assessor must include this information — </w:t>
      </w:r>
    </w:p>
    <w:p w:rsidR="006724FB" w:rsidRDefault="006724FB">
      <w:pPr>
        <w:pStyle w:val="Indenta"/>
      </w:pPr>
      <w:r>
        <w:tab/>
        <w:t>(a)</w:t>
      </w:r>
      <w:r>
        <w:tab/>
        <w:t>the assessor’s name;</w:t>
      </w:r>
    </w:p>
    <w:p w:rsidR="006724FB" w:rsidRDefault="006724FB">
      <w:pPr>
        <w:pStyle w:val="Indenta"/>
      </w:pPr>
      <w:r>
        <w:tab/>
        <w:t>(b)</w:t>
      </w:r>
      <w:r>
        <w:tab/>
        <w:t>the assessor’s residential address, business address, email address, telephone number and fax number (if any);</w:t>
      </w:r>
    </w:p>
    <w:p w:rsidR="006724FB" w:rsidRDefault="006724FB">
      <w:pPr>
        <w:pStyle w:val="Indenta"/>
      </w:pPr>
      <w:r>
        <w:lastRenderedPageBreak/>
        <w:tab/>
        <w:t>(c)</w:t>
      </w:r>
      <w:r>
        <w:tab/>
        <w:t>if the assessor is a body corporate — the name and residential address of an individual authorised by the body corporate to deal with the vehicle;</w:t>
      </w:r>
    </w:p>
    <w:p w:rsidR="006724FB" w:rsidRDefault="006724FB">
      <w:pPr>
        <w:pStyle w:val="Indenta"/>
      </w:pPr>
      <w:r>
        <w:tab/>
        <w:t>(d)</w:t>
      </w:r>
      <w:r>
        <w:tab/>
        <w:t>the vehicle’s number plate (if any);</w:t>
      </w:r>
    </w:p>
    <w:p w:rsidR="006724FB" w:rsidRDefault="006724FB">
      <w:pPr>
        <w:pStyle w:val="Indenta"/>
      </w:pPr>
      <w:r>
        <w:tab/>
        <w:t>(e)</w:t>
      </w:r>
      <w:r>
        <w:tab/>
        <w:t>the vehicle’s identifier;</w:t>
      </w:r>
    </w:p>
    <w:p w:rsidR="006724FB" w:rsidRDefault="006724FB">
      <w:pPr>
        <w:pStyle w:val="Indenta"/>
      </w:pPr>
      <w:r>
        <w:tab/>
        <w:t>(f)</w:t>
      </w:r>
      <w:r>
        <w:tab/>
        <w:t>the date on or about which the vehicle was damaged (if known), or otherwise the date on which the vehicle was written off;</w:t>
      </w:r>
    </w:p>
    <w:p w:rsidR="006724FB" w:rsidRDefault="006724FB">
      <w:pPr>
        <w:pStyle w:val="Indenta"/>
      </w:pPr>
      <w:r>
        <w:tab/>
        <w:t>(g)</w:t>
      </w:r>
      <w:r>
        <w:tab/>
        <w:t>a detailed description, in a form approved by the CEO, of the nature and location of the damage to the vehicle.</w:t>
      </w:r>
    </w:p>
    <w:p w:rsidR="006724FB" w:rsidRDefault="006724FB">
      <w:pPr>
        <w:pStyle w:val="Penstart"/>
      </w:pPr>
      <w:r>
        <w:tab/>
        <w:t>Penalty: a fine of 20 PU.</w:t>
      </w:r>
    </w:p>
    <w:p w:rsidR="006724FB" w:rsidRDefault="006724FB">
      <w:pPr>
        <w:pStyle w:val="Penstart"/>
      </w:pPr>
      <w:r>
        <w:tab/>
        <w:t>Modified penalty: 4 PU.</w:t>
      </w:r>
    </w:p>
    <w:p w:rsidR="006724FB" w:rsidRDefault="006724FB">
      <w:pPr>
        <w:pStyle w:val="Heading5"/>
        <w:rPr>
          <w:b w:val="0"/>
        </w:rPr>
      </w:pPr>
      <w:bookmarkStart w:id="270" w:name="_Toc75875707"/>
      <w:r>
        <w:rPr>
          <w:rStyle w:val="CharSectno"/>
        </w:rPr>
        <w:t>154</w:t>
      </w:r>
      <w:r>
        <w:t>.</w:t>
      </w:r>
      <w:r>
        <w:tab/>
        <w:t>Written</w:t>
      </w:r>
      <w:r>
        <w:noBreakHyphen/>
        <w:t>off warning labels</w:t>
      </w:r>
      <w:bookmarkEnd w:id="270"/>
    </w:p>
    <w:p w:rsidR="006724FB" w:rsidRDefault="006724FB">
      <w:pPr>
        <w:pStyle w:val="Subsection"/>
      </w:pPr>
      <w:r>
        <w:tab/>
        <w:t>(1)</w:t>
      </w:r>
      <w:r>
        <w:tab/>
        <w:t>For the purposes of regulation 152(2)(b)(i), a written</w:t>
      </w:r>
      <w:r>
        <w:noBreakHyphen/>
        <w:t xml:space="preserve">off warning label must — </w:t>
      </w:r>
    </w:p>
    <w:p w:rsidR="006724FB" w:rsidRDefault="006724FB">
      <w:pPr>
        <w:pStyle w:val="Indenta"/>
      </w:pPr>
      <w:r>
        <w:tab/>
        <w:t>(a)</w:t>
      </w:r>
      <w:r>
        <w:tab/>
        <w:t>be in a form approved by the CEO; and</w:t>
      </w:r>
    </w:p>
    <w:p w:rsidR="006724FB" w:rsidRDefault="006724FB">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rsidR="006724FB" w:rsidRDefault="006724FB">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rsidR="006724FB" w:rsidRDefault="006724FB">
      <w:pPr>
        <w:pStyle w:val="Penstart"/>
      </w:pPr>
      <w:r>
        <w:tab/>
        <w:t>Penalty: a fine of 20 PU.</w:t>
      </w:r>
    </w:p>
    <w:p w:rsidR="006724FB" w:rsidRDefault="006724FB">
      <w:pPr>
        <w:pStyle w:val="Penstart"/>
      </w:pPr>
      <w:r>
        <w:tab/>
        <w:t>Modified penalty: 4 PU.</w:t>
      </w:r>
    </w:p>
    <w:p w:rsidR="006724FB" w:rsidRDefault="006724FB">
      <w:pPr>
        <w:pStyle w:val="Subsection"/>
      </w:pPr>
      <w:r>
        <w:tab/>
        <w:t>(3)</w:t>
      </w:r>
      <w:r>
        <w:tab/>
        <w:t>A person must not, without reasonable excuse, alter, damage, remove or otherwise interfere with a written</w:t>
      </w:r>
      <w:r>
        <w:noBreakHyphen/>
        <w:t>off warning label that has been attached to a vehicle.</w:t>
      </w:r>
    </w:p>
    <w:p w:rsidR="006724FB" w:rsidRDefault="006724FB">
      <w:pPr>
        <w:pStyle w:val="Penstart"/>
      </w:pPr>
      <w:r>
        <w:tab/>
        <w:t>Penalty for an offence under this subregulation: a fine of 20 PU.</w:t>
      </w:r>
    </w:p>
    <w:p w:rsidR="006724FB" w:rsidRDefault="006724FB">
      <w:pPr>
        <w:pStyle w:val="Heading5"/>
        <w:rPr>
          <w:b w:val="0"/>
        </w:rPr>
      </w:pPr>
      <w:bookmarkStart w:id="271" w:name="_Toc75875708"/>
      <w:r>
        <w:rPr>
          <w:rStyle w:val="CharSectno"/>
        </w:rPr>
        <w:lastRenderedPageBreak/>
        <w:t>155</w:t>
      </w:r>
      <w:r>
        <w:t>.</w:t>
      </w:r>
      <w:r>
        <w:tab/>
        <w:t>Marking over vehicle identifiers of statutory write</w:t>
      </w:r>
      <w:r>
        <w:noBreakHyphen/>
        <w:t>offs</w:t>
      </w:r>
      <w:bookmarkEnd w:id="271"/>
    </w:p>
    <w:p w:rsidR="006724FB" w:rsidRDefault="006724FB">
      <w:pPr>
        <w:pStyle w:val="Subsection"/>
      </w:pPr>
      <w:r>
        <w:tab/>
        <w:t>(1)</w:t>
      </w:r>
      <w:r>
        <w:tab/>
        <w:t>For the purposes of regulation 152(2)(b)(ii), the vehicle’s identifier must be marked over by making a mark across it with a chisel or other suitable tool.</w:t>
      </w:r>
    </w:p>
    <w:p w:rsidR="006724FB" w:rsidRDefault="006724FB">
      <w:pPr>
        <w:pStyle w:val="Subsection"/>
      </w:pPr>
      <w:r>
        <w:tab/>
        <w:t>(2)</w:t>
      </w:r>
      <w:r>
        <w:tab/>
        <w:t>The mark must not obscure the vehicle’s identifier, but must be deep enough to prevent, as far as possible, the removal of the mark.</w:t>
      </w:r>
    </w:p>
    <w:p w:rsidR="006724FB" w:rsidRDefault="006724FB">
      <w:pPr>
        <w:pStyle w:val="Heading3"/>
        <w:keepNext w:val="0"/>
        <w:widowControl w:val="0"/>
      </w:pPr>
      <w:bookmarkStart w:id="272" w:name="_Toc75419786"/>
      <w:bookmarkStart w:id="273" w:name="_Toc75427121"/>
      <w:bookmarkStart w:id="274" w:name="_Toc75872537"/>
      <w:bookmarkStart w:id="275" w:name="_Toc75875709"/>
      <w:r>
        <w:rPr>
          <w:rStyle w:val="CharDivNo"/>
        </w:rPr>
        <w:t>Division 3</w:t>
      </w:r>
      <w:r>
        <w:t> — </w:t>
      </w:r>
      <w:r>
        <w:rPr>
          <w:rStyle w:val="CharDivText"/>
        </w:rPr>
        <w:t>Registration of written</w:t>
      </w:r>
      <w:r>
        <w:rPr>
          <w:rStyle w:val="CharDivText"/>
        </w:rPr>
        <w:noBreakHyphen/>
        <w:t>off vehicles</w:t>
      </w:r>
      <w:bookmarkEnd w:id="272"/>
      <w:bookmarkEnd w:id="273"/>
      <w:bookmarkEnd w:id="274"/>
      <w:bookmarkEnd w:id="275"/>
    </w:p>
    <w:p w:rsidR="006724FB" w:rsidRDefault="006724FB">
      <w:pPr>
        <w:pStyle w:val="Heading5"/>
        <w:rPr>
          <w:b w:val="0"/>
          <w:i/>
        </w:rPr>
      </w:pPr>
      <w:bookmarkStart w:id="276" w:name="_Toc75875710"/>
      <w:r>
        <w:rPr>
          <w:rStyle w:val="CharSectno"/>
        </w:rPr>
        <w:t>156</w:t>
      </w:r>
      <w:r>
        <w:t>.</w:t>
      </w:r>
      <w:r>
        <w:tab/>
        <w:t>Written</w:t>
      </w:r>
      <w:r>
        <w:noBreakHyphen/>
        <w:t>Off Vehicle Register</w:t>
      </w:r>
      <w:bookmarkEnd w:id="276"/>
    </w:p>
    <w:p w:rsidR="006724FB" w:rsidRDefault="006724FB">
      <w:pPr>
        <w:pStyle w:val="Subsection"/>
      </w:pPr>
      <w:r>
        <w:tab/>
        <w:t>(1)</w:t>
      </w:r>
      <w:r>
        <w:tab/>
        <w:t>The CEO must establish and maintain a Written</w:t>
      </w:r>
      <w:r>
        <w:noBreakHyphen/>
        <w:t>Off Vehicle Register in a form determined by the CEO.</w:t>
      </w:r>
    </w:p>
    <w:p w:rsidR="006724FB" w:rsidRDefault="006724FB">
      <w:pPr>
        <w:pStyle w:val="Subsection"/>
      </w:pPr>
      <w:r>
        <w:tab/>
        <w:t>(2)</w:t>
      </w:r>
      <w:r>
        <w:tab/>
        <w:t>The WOVR is part of the register of vehicle licences kept under section 14.</w:t>
      </w:r>
    </w:p>
    <w:p w:rsidR="006724FB" w:rsidRDefault="006724FB">
      <w:pPr>
        <w:pStyle w:val="Heading5"/>
        <w:rPr>
          <w:b w:val="0"/>
        </w:rPr>
      </w:pPr>
      <w:bookmarkStart w:id="277" w:name="_Toc75875711"/>
      <w:r>
        <w:rPr>
          <w:rStyle w:val="CharSectno"/>
        </w:rPr>
        <w:t>157</w:t>
      </w:r>
      <w:r>
        <w:t>.</w:t>
      </w:r>
      <w:r>
        <w:tab/>
        <w:t>WOVR to include particulars of notifiable vehicles</w:t>
      </w:r>
      <w:bookmarkEnd w:id="277"/>
    </w:p>
    <w:p w:rsidR="006724FB" w:rsidRDefault="006724FB">
      <w:pPr>
        <w:pStyle w:val="Subsection"/>
      </w:pPr>
      <w:r>
        <w:tab/>
        <w:t>(1)</w:t>
      </w:r>
      <w:r>
        <w:tab/>
        <w:t xml:space="preserve">In this regulation — </w:t>
      </w:r>
    </w:p>
    <w:p w:rsidR="006724FB" w:rsidRDefault="006724FB">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rsidR="006724FB" w:rsidRDefault="006724FB">
      <w:pPr>
        <w:pStyle w:val="Defstart"/>
      </w:pPr>
      <w:r>
        <w:rPr>
          <w:b/>
        </w:rPr>
        <w:tab/>
      </w:r>
      <w:r>
        <w:rPr>
          <w:rStyle w:val="CharDefText"/>
        </w:rPr>
        <w:t>written</w:t>
      </w:r>
      <w:r>
        <w:rPr>
          <w:rStyle w:val="CharDefText"/>
        </w:rPr>
        <w:noBreakHyphen/>
        <w:t>off vehicle notice</w:t>
      </w:r>
      <w:r>
        <w:t xml:space="preserve"> means a notice under regulation 153.</w:t>
      </w:r>
    </w:p>
    <w:p w:rsidR="006724FB" w:rsidRDefault="006724FB">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rsidR="006724FB" w:rsidRDefault="006724FB">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rsidR="006724FB" w:rsidRDefault="006724FB">
      <w:pPr>
        <w:pStyle w:val="Heading5"/>
        <w:rPr>
          <w:b w:val="0"/>
        </w:rPr>
      </w:pPr>
      <w:bookmarkStart w:id="278" w:name="_Toc75875712"/>
      <w:r>
        <w:rPr>
          <w:rStyle w:val="CharSectno"/>
        </w:rPr>
        <w:lastRenderedPageBreak/>
        <w:t>158</w:t>
      </w:r>
      <w:r>
        <w:t>.</w:t>
      </w:r>
      <w:r>
        <w:tab/>
        <w:t>Cancellation of entry in WOVR</w:t>
      </w:r>
      <w:bookmarkEnd w:id="278"/>
    </w:p>
    <w:p w:rsidR="006724FB" w:rsidRDefault="006724FB">
      <w:pPr>
        <w:pStyle w:val="Subsection"/>
      </w:pPr>
      <w:r>
        <w:tab/>
        <w:t>(1)</w:t>
      </w:r>
      <w:r>
        <w:tab/>
        <w:t>A person may apply to the CEO for cancellation of an entry in the WOVR that relates to a repairable write</w:t>
      </w:r>
      <w:r>
        <w:noBreakHyphen/>
        <w:t>off.</w:t>
      </w:r>
    </w:p>
    <w:p w:rsidR="006724FB" w:rsidRDefault="006724FB">
      <w:pPr>
        <w:pStyle w:val="Subsection"/>
      </w:pPr>
      <w:r>
        <w:tab/>
        <w:t>(2)</w:t>
      </w:r>
      <w:r>
        <w:tab/>
        <w:t xml:space="preserve">An application must — </w:t>
      </w:r>
    </w:p>
    <w:p w:rsidR="006724FB" w:rsidRDefault="006724FB">
      <w:pPr>
        <w:pStyle w:val="Indenta"/>
      </w:pPr>
      <w:r>
        <w:tab/>
        <w:t>(a)</w:t>
      </w:r>
      <w:r>
        <w:tab/>
        <w:t>be made in a form approved by the CEO; and</w:t>
      </w:r>
    </w:p>
    <w:p w:rsidR="006724FB" w:rsidRDefault="006724FB">
      <w:pPr>
        <w:pStyle w:val="Indenta"/>
      </w:pPr>
      <w:r>
        <w:tab/>
        <w:t>(b)</w:t>
      </w:r>
      <w:r>
        <w:tab/>
        <w:t>include particulars of the name and address of the applicant; and</w:t>
      </w:r>
    </w:p>
    <w:p w:rsidR="006724FB" w:rsidRDefault="006724FB">
      <w:pPr>
        <w:pStyle w:val="Indenta"/>
      </w:pPr>
      <w:r>
        <w:tab/>
        <w:t>(c)</w:t>
      </w:r>
      <w:r>
        <w:tab/>
        <w:t>include any particulars required by the CEO to enable the CEO to determine whether the vehicle described in the application is the vehicle to which the entry in the WOVR relates.</w:t>
      </w:r>
    </w:p>
    <w:p w:rsidR="006724FB" w:rsidRDefault="006724FB">
      <w:pPr>
        <w:pStyle w:val="Subsection"/>
      </w:pPr>
      <w:r>
        <w:tab/>
        <w:t>(3)</w:t>
      </w:r>
      <w:r>
        <w:tab/>
        <w:t xml:space="preserve">The CEO may cancel the entry in the WOVR if satisfied that — </w:t>
      </w:r>
    </w:p>
    <w:p w:rsidR="006724FB" w:rsidRDefault="006724FB">
      <w:pPr>
        <w:pStyle w:val="Indenta"/>
      </w:pPr>
      <w:r>
        <w:tab/>
        <w:t>(a)</w:t>
      </w:r>
      <w:r>
        <w:tab/>
        <w:t>the vehicle described in the application is the vehicle to which the entry relates; and</w:t>
      </w:r>
    </w:p>
    <w:p w:rsidR="006724FB" w:rsidRDefault="006724FB">
      <w:pPr>
        <w:pStyle w:val="Indenta"/>
      </w:pPr>
      <w:r>
        <w:tab/>
        <w:t>(b)</w:t>
      </w:r>
      <w:r>
        <w:tab/>
        <w:t>the vehicle has not at any time sustained damage that would require it to be registered in the WOVR as a statutory write</w:t>
      </w:r>
      <w:r>
        <w:noBreakHyphen/>
        <w:t>off under these regulations.</w:t>
      </w:r>
    </w:p>
    <w:p w:rsidR="006724FB" w:rsidRDefault="006724FB">
      <w:pPr>
        <w:pStyle w:val="Heading2"/>
      </w:pPr>
      <w:bookmarkStart w:id="279" w:name="_Toc75419790"/>
      <w:bookmarkStart w:id="280" w:name="_Toc75427125"/>
      <w:bookmarkStart w:id="281" w:name="_Toc75872541"/>
      <w:bookmarkStart w:id="282" w:name="_Toc75875713"/>
      <w:r>
        <w:rPr>
          <w:rStyle w:val="CharPartNo"/>
        </w:rPr>
        <w:lastRenderedPageBreak/>
        <w:t>Part 8</w:t>
      </w:r>
      <w:r>
        <w:t> — </w:t>
      </w:r>
      <w:r>
        <w:rPr>
          <w:rStyle w:val="CharPartText"/>
        </w:rPr>
        <w:t>Mass, dimension and loading requirements</w:t>
      </w:r>
      <w:bookmarkEnd w:id="279"/>
      <w:bookmarkEnd w:id="280"/>
      <w:bookmarkEnd w:id="281"/>
      <w:bookmarkEnd w:id="282"/>
    </w:p>
    <w:p w:rsidR="006724FB" w:rsidRDefault="006724FB">
      <w:pPr>
        <w:pStyle w:val="Heading3"/>
      </w:pPr>
      <w:bookmarkStart w:id="283" w:name="_Toc75419791"/>
      <w:bookmarkStart w:id="284" w:name="_Toc75427126"/>
      <w:bookmarkStart w:id="285" w:name="_Toc75872542"/>
      <w:bookmarkStart w:id="286" w:name="_Toc75875714"/>
      <w:r>
        <w:rPr>
          <w:rStyle w:val="CharDivNo"/>
        </w:rPr>
        <w:t>Division 1</w:t>
      </w:r>
      <w:r>
        <w:t> — </w:t>
      </w:r>
      <w:r>
        <w:rPr>
          <w:rStyle w:val="CharDivText"/>
        </w:rPr>
        <w:t>Mass requirements</w:t>
      </w:r>
      <w:bookmarkEnd w:id="283"/>
      <w:bookmarkEnd w:id="284"/>
      <w:bookmarkEnd w:id="285"/>
      <w:bookmarkEnd w:id="286"/>
    </w:p>
    <w:p w:rsidR="006724FB" w:rsidRDefault="006724FB">
      <w:pPr>
        <w:pStyle w:val="Heading4"/>
      </w:pPr>
      <w:bookmarkStart w:id="287" w:name="_Toc75419792"/>
      <w:bookmarkStart w:id="288" w:name="_Toc75427127"/>
      <w:bookmarkStart w:id="289" w:name="_Toc75872543"/>
      <w:bookmarkStart w:id="290" w:name="_Toc75875715"/>
      <w:r>
        <w:t>Subdivision 1 — General</w:t>
      </w:r>
      <w:bookmarkEnd w:id="287"/>
      <w:bookmarkEnd w:id="288"/>
      <w:bookmarkEnd w:id="289"/>
      <w:bookmarkEnd w:id="290"/>
    </w:p>
    <w:p w:rsidR="006724FB" w:rsidRDefault="006724FB">
      <w:pPr>
        <w:pStyle w:val="Heading5"/>
      </w:pPr>
      <w:bookmarkStart w:id="291" w:name="_Toc75875716"/>
      <w:r>
        <w:rPr>
          <w:rStyle w:val="CharSectno"/>
        </w:rPr>
        <w:t>159</w:t>
      </w:r>
      <w:r>
        <w:t>.</w:t>
      </w:r>
      <w:r>
        <w:tab/>
        <w:t>Mass requirements</w:t>
      </w:r>
      <w:bookmarkEnd w:id="291"/>
    </w:p>
    <w:p w:rsidR="006724FB" w:rsidRDefault="006724FB">
      <w:pPr>
        <w:pStyle w:val="Subsection"/>
      </w:pPr>
      <w:r>
        <w:tab/>
        <w:t>(1)</w:t>
      </w:r>
      <w:r>
        <w:tab/>
        <w:t xml:space="preserve">This Division sets out, for the definition of </w:t>
      </w:r>
      <w:r>
        <w:rPr>
          <w:b/>
          <w:i/>
        </w:rPr>
        <w:t>mass requirement</w:t>
      </w:r>
      <w:r>
        <w:t xml:space="preserve"> in section 3(1), the requirements that relate to the mass of — </w:t>
      </w:r>
    </w:p>
    <w:p w:rsidR="006724FB" w:rsidRDefault="006724FB">
      <w:pPr>
        <w:pStyle w:val="Indenta"/>
      </w:pPr>
      <w:r>
        <w:tab/>
        <w:t>(a)</w:t>
      </w:r>
      <w:r>
        <w:tab/>
        <w:t>a vehicle; or</w:t>
      </w:r>
    </w:p>
    <w:p w:rsidR="006724FB" w:rsidRDefault="006724FB">
      <w:pPr>
        <w:pStyle w:val="Indenta"/>
      </w:pPr>
      <w:r>
        <w:tab/>
        <w:t>(b)</w:t>
      </w:r>
      <w:r>
        <w:tab/>
        <w:t>a vehicle’s load; or</w:t>
      </w:r>
    </w:p>
    <w:p w:rsidR="006724FB" w:rsidRDefault="006724FB">
      <w:pPr>
        <w:pStyle w:val="Indenta"/>
      </w:pPr>
      <w:r>
        <w:tab/>
        <w:t>(c)</w:t>
      </w:r>
      <w:r>
        <w:tab/>
        <w:t>a vehicle and its load.</w:t>
      </w:r>
    </w:p>
    <w:p w:rsidR="006724FB" w:rsidRDefault="006724FB">
      <w:pPr>
        <w:pStyle w:val="Subsection"/>
      </w:pPr>
      <w:r>
        <w:tab/>
        <w:t>(2)</w:t>
      </w:r>
      <w:r>
        <w:tab/>
        <w:t>This Division does not apply to a vehicle mentioned in regulation 228(g).</w:t>
      </w:r>
    </w:p>
    <w:p w:rsidR="006724FB" w:rsidRDefault="006724FB">
      <w:pPr>
        <w:pStyle w:val="Heading5"/>
      </w:pPr>
      <w:bookmarkStart w:id="292" w:name="_Toc75875717"/>
      <w:r>
        <w:rPr>
          <w:rStyle w:val="CharSectno"/>
        </w:rPr>
        <w:t>160</w:t>
      </w:r>
      <w:r>
        <w:t>.</w:t>
      </w:r>
      <w:r>
        <w:tab/>
        <w:t>Mass requirements for all single vehicles</w:t>
      </w:r>
      <w:bookmarkEnd w:id="292"/>
    </w:p>
    <w:p w:rsidR="006724FB" w:rsidRDefault="006724FB">
      <w:pPr>
        <w:pStyle w:val="Subsection"/>
      </w:pPr>
      <w:r>
        <w:tab/>
      </w:r>
      <w:r>
        <w:tab/>
        <w:t>The total mass of a vehicle and its load must not exceed the vehicle’s GVM.</w:t>
      </w:r>
    </w:p>
    <w:p w:rsidR="006724FB" w:rsidRDefault="006724FB">
      <w:pPr>
        <w:pStyle w:val="Heading5"/>
      </w:pPr>
      <w:bookmarkStart w:id="293" w:name="_Toc75875718"/>
      <w:r>
        <w:rPr>
          <w:rStyle w:val="CharSectno"/>
        </w:rPr>
        <w:t>161</w:t>
      </w:r>
      <w:r>
        <w:t>.</w:t>
      </w:r>
      <w:r>
        <w:tab/>
        <w:t>Complying buses</w:t>
      </w:r>
      <w:bookmarkEnd w:id="293"/>
    </w:p>
    <w:p w:rsidR="006724FB" w:rsidRDefault="006724FB">
      <w:pPr>
        <w:pStyle w:val="Subsection"/>
      </w:pPr>
      <w:r>
        <w:tab/>
      </w:r>
      <w:r>
        <w:tab/>
        <w:t xml:space="preserve">In this Division — </w:t>
      </w:r>
    </w:p>
    <w:p w:rsidR="006724FB" w:rsidRDefault="006724FB">
      <w:pPr>
        <w:pStyle w:val="Defstart"/>
      </w:pPr>
      <w:r>
        <w:tab/>
      </w:r>
      <w:r>
        <w:rPr>
          <w:rStyle w:val="CharDefText"/>
        </w:rPr>
        <w:t>approved air suspension system</w:t>
      </w:r>
      <w:r>
        <w:t>, in relation to a vehicle, means a suspension system in which —</w:t>
      </w:r>
    </w:p>
    <w:p w:rsidR="006724FB" w:rsidRDefault="006724FB">
      <w:pPr>
        <w:pStyle w:val="Defpara"/>
      </w:pPr>
      <w:r>
        <w:tab/>
        <w:t>(a)</w:t>
      </w:r>
      <w:r>
        <w:tab/>
        <w:t>vertical movement between each axle and the body of the vehicle is controlled by variations in the pressure of air in an air spring; and</w:t>
      </w:r>
    </w:p>
    <w:p w:rsidR="006724FB" w:rsidRDefault="006724FB">
      <w:pPr>
        <w:pStyle w:val="Defpara"/>
      </w:pPr>
      <w:r>
        <w:tab/>
        <w:t>(b)</w:t>
      </w:r>
      <w:r>
        <w:tab/>
        <w:t>the proportion of the vehicle’s mass that is borne by the air spring remains substantially constant despite variations in the pressure of air in the air spring;</w:t>
      </w:r>
    </w:p>
    <w:p w:rsidR="006724FB" w:rsidRDefault="006724FB">
      <w:pPr>
        <w:pStyle w:val="Defstart"/>
        <w:keepNext/>
      </w:pPr>
      <w:r>
        <w:lastRenderedPageBreak/>
        <w:tab/>
      </w:r>
      <w:r>
        <w:rPr>
          <w:rStyle w:val="CharDefText"/>
        </w:rPr>
        <w:t>complying bus</w:t>
      </w:r>
      <w:r>
        <w:t xml:space="preserve"> means a bus — </w:t>
      </w:r>
    </w:p>
    <w:p w:rsidR="006724FB" w:rsidRDefault="006724FB">
      <w:pPr>
        <w:pStyle w:val="Defpara"/>
        <w:keepNext/>
      </w:pPr>
      <w:r>
        <w:tab/>
        <w:t>(a)</w:t>
      </w:r>
      <w:r>
        <w:tab/>
        <w:t xml:space="preserve">with 2 or 3 axles and a single steer axle that — </w:t>
      </w:r>
    </w:p>
    <w:p w:rsidR="006724FB" w:rsidRDefault="006724FB">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rsidR="006724FB" w:rsidRDefault="006724FB">
      <w:pPr>
        <w:pStyle w:val="Defsubpara"/>
      </w:pPr>
      <w:r>
        <w:tab/>
        <w:t>(ii)</w:t>
      </w:r>
      <w:r>
        <w:tab/>
        <w:t>meets the emergency exit specifications in ADR 44; and</w:t>
      </w:r>
    </w:p>
    <w:p w:rsidR="006724FB" w:rsidRDefault="006724FB">
      <w:pPr>
        <w:pStyle w:val="Defsubpara"/>
      </w:pPr>
      <w:r>
        <w:tab/>
        <w:t>(iii)</w:t>
      </w:r>
      <w:r>
        <w:tab/>
        <w:t>meets the rollover strength specifications in ADR 59; and</w:t>
      </w:r>
    </w:p>
    <w:p w:rsidR="006724FB" w:rsidRDefault="006724FB">
      <w:pPr>
        <w:pStyle w:val="Defsubpara"/>
      </w:pPr>
      <w:r>
        <w:tab/>
        <w:t>(iv)</w:t>
      </w:r>
      <w:r>
        <w:tab/>
        <w:t>meets the occupant protection specifications in ADR 68; and</w:t>
      </w:r>
    </w:p>
    <w:p w:rsidR="006724FB" w:rsidRDefault="006724FB">
      <w:pPr>
        <w:pStyle w:val="Defsubpara"/>
      </w:pPr>
      <w:r>
        <w:tab/>
        <w:t>(v)</w:t>
      </w:r>
      <w:r>
        <w:tab/>
        <w:t>is equipped with an approved air suspension system;</w:t>
      </w:r>
    </w:p>
    <w:p w:rsidR="006724FB" w:rsidRDefault="006724FB">
      <w:pPr>
        <w:pStyle w:val="Indenta"/>
      </w:pPr>
      <w:r>
        <w:tab/>
      </w:r>
      <w:r>
        <w:tab/>
        <w:t>or</w:t>
      </w:r>
    </w:p>
    <w:p w:rsidR="000D230E" w:rsidRDefault="000D230E" w:rsidP="000D230E">
      <w:pPr>
        <w:pStyle w:val="Defpara"/>
      </w:pPr>
      <w:r>
        <w:tab/>
        <w:t>(aa)</w:t>
      </w:r>
      <w:r>
        <w:tab/>
        <w:t xml:space="preserve">with 2 or 3 axles and a single steer axle that — </w:t>
      </w:r>
    </w:p>
    <w:p w:rsidR="000D230E" w:rsidRDefault="000D230E" w:rsidP="000D230E">
      <w:pPr>
        <w:pStyle w:val="Defsubpara"/>
      </w:pPr>
      <w:r>
        <w:tab/>
        <w:t>(i)</w:t>
      </w:r>
      <w:r>
        <w:tab/>
        <w:t>is entered on the RAV as having been manufactured during or after July 1994; and</w:t>
      </w:r>
    </w:p>
    <w:p w:rsidR="000D230E" w:rsidRDefault="000D230E" w:rsidP="000D230E">
      <w:pPr>
        <w:pStyle w:val="Defsubpara"/>
      </w:pPr>
      <w:r>
        <w:tab/>
        <w:t>(ii)</w:t>
      </w:r>
      <w:r>
        <w:tab/>
        <w:t>is equipped with an approved air suspension system;</w:t>
      </w:r>
    </w:p>
    <w:p w:rsidR="000D230E" w:rsidRDefault="000D230E" w:rsidP="000D230E">
      <w:pPr>
        <w:pStyle w:val="Defpara"/>
      </w:pPr>
      <w:r>
        <w:tab/>
      </w:r>
      <w:r>
        <w:tab/>
        <w:t>or</w:t>
      </w:r>
    </w:p>
    <w:p w:rsidR="006724FB" w:rsidRDefault="006724FB">
      <w:pPr>
        <w:pStyle w:val="Defpara"/>
      </w:pPr>
      <w:r>
        <w:tab/>
        <w:t>(b)</w:t>
      </w:r>
      <w:r>
        <w:tab/>
        <w:t>that is the subject of a declaration under regulation 162 or a corresponding law.</w:t>
      </w:r>
    </w:p>
    <w:p w:rsidR="000D230E" w:rsidRDefault="000D230E" w:rsidP="000D230E">
      <w:pPr>
        <w:pStyle w:val="Footnotesection"/>
      </w:pPr>
      <w:r>
        <w:tab/>
        <w:t>[Regulation 161 amended: SL 2021/81 r. 6.]</w:t>
      </w:r>
    </w:p>
    <w:p w:rsidR="006724FB" w:rsidRDefault="006724FB">
      <w:pPr>
        <w:pStyle w:val="Heading5"/>
      </w:pPr>
      <w:bookmarkStart w:id="294" w:name="_Toc75875719"/>
      <w:r>
        <w:rPr>
          <w:rStyle w:val="CharSectno"/>
        </w:rPr>
        <w:t>162</w:t>
      </w:r>
      <w:r>
        <w:t>.</w:t>
      </w:r>
      <w:r>
        <w:tab/>
        <w:t>Declaring buses to be complying buses</w:t>
      </w:r>
      <w:bookmarkEnd w:id="294"/>
    </w:p>
    <w:p w:rsidR="006724FB" w:rsidRDefault="006724FB">
      <w:pPr>
        <w:pStyle w:val="Subsection"/>
      </w:pPr>
      <w:r>
        <w:tab/>
        <w:t>(1)</w:t>
      </w:r>
      <w:r>
        <w:tab/>
        <w:t>This regulation applies to a bus with 2 or 3 axles and a single steer axle that —</w:t>
      </w:r>
    </w:p>
    <w:p w:rsidR="006724FB" w:rsidRDefault="006724FB">
      <w:pPr>
        <w:pStyle w:val="Indenta"/>
      </w:pPr>
      <w:r>
        <w:tab/>
        <w:t>(a)</w:t>
      </w:r>
      <w:r>
        <w:tab/>
        <w:t xml:space="preserve">is not fitted with a compliance plate in accordance with the </w:t>
      </w:r>
      <w:r>
        <w:rPr>
          <w:i/>
        </w:rPr>
        <w:t>Motor Vehicle Standards Act 1989</w:t>
      </w:r>
      <w:r>
        <w:t xml:space="preserve"> (Commonwealth); or</w:t>
      </w:r>
    </w:p>
    <w:p w:rsidR="006724FB" w:rsidRDefault="006724FB">
      <w:pPr>
        <w:pStyle w:val="Indenta"/>
      </w:pPr>
      <w:r>
        <w:lastRenderedPageBreak/>
        <w:tab/>
        <w:t>(b)</w:t>
      </w:r>
      <w:r>
        <w:tab/>
        <w:t xml:space="preserve">is fitted with a compliance plate in accordance with that Act but the compliance plate indicates that the bus was manufactured before </w:t>
      </w:r>
      <w:r w:rsidR="000D230E" w:rsidRPr="00617B18">
        <w:t>1 July 1994; or</w:t>
      </w:r>
    </w:p>
    <w:p w:rsidR="000D230E" w:rsidRDefault="000D230E" w:rsidP="000D230E">
      <w:pPr>
        <w:pStyle w:val="Indenta"/>
      </w:pPr>
      <w:r>
        <w:tab/>
        <w:t>(c)</w:t>
      </w:r>
      <w:r>
        <w:tab/>
        <w:t>is not entered on the RAV as having been manufactured during or after July 1994.</w:t>
      </w:r>
    </w:p>
    <w:p w:rsidR="006724FB" w:rsidRDefault="006724FB">
      <w:pPr>
        <w:pStyle w:val="Subsection"/>
      </w:pPr>
      <w:r>
        <w:tab/>
        <w:t>(2)</w:t>
      </w:r>
      <w:r>
        <w:tab/>
        <w:t>The CEO may declare that a bus equipped with an approved air suspension system is a complying bus for the purposes of these regulations if the CEO is satisfied that the bus meets —</w:t>
      </w:r>
    </w:p>
    <w:p w:rsidR="006724FB" w:rsidRDefault="006724FB">
      <w:pPr>
        <w:pStyle w:val="Indenta"/>
      </w:pPr>
      <w:r>
        <w:tab/>
        <w:t>(a)</w:t>
      </w:r>
      <w:r>
        <w:tab/>
        <w:t>the emergency exit specifications in ADR 44; and</w:t>
      </w:r>
    </w:p>
    <w:p w:rsidR="006724FB" w:rsidRDefault="006724FB">
      <w:pPr>
        <w:pStyle w:val="Indenta"/>
      </w:pPr>
      <w:r>
        <w:tab/>
        <w:t>(b)</w:t>
      </w:r>
      <w:r>
        <w:tab/>
        <w:t>the rollover strength specifications in ADR 59; and</w:t>
      </w:r>
    </w:p>
    <w:p w:rsidR="006724FB" w:rsidRDefault="006724FB">
      <w:pPr>
        <w:pStyle w:val="Indenta"/>
      </w:pPr>
      <w:r>
        <w:tab/>
        <w:t>(c)</w:t>
      </w:r>
      <w:r>
        <w:tab/>
        <w:t>the occupant protection specifications in ADR 68.</w:t>
      </w:r>
    </w:p>
    <w:p w:rsidR="000D230E" w:rsidRDefault="000D230E" w:rsidP="000D230E">
      <w:pPr>
        <w:pStyle w:val="Footnotesection"/>
      </w:pPr>
      <w:bookmarkStart w:id="295" w:name="_Toc75419797"/>
      <w:r>
        <w:tab/>
        <w:t>[Regulation 162 amended: SL 2021/81 r. 7.]</w:t>
      </w:r>
    </w:p>
    <w:p w:rsidR="006724FB" w:rsidRDefault="006724FB">
      <w:pPr>
        <w:pStyle w:val="Heading4"/>
      </w:pPr>
      <w:bookmarkStart w:id="296" w:name="_Toc75427132"/>
      <w:bookmarkStart w:id="297" w:name="_Toc75872548"/>
      <w:bookmarkStart w:id="298" w:name="_Toc75875720"/>
      <w:r>
        <w:t>Subdivision 2 — Heavy vehicles</w:t>
      </w:r>
      <w:bookmarkEnd w:id="295"/>
      <w:bookmarkEnd w:id="296"/>
      <w:bookmarkEnd w:id="297"/>
      <w:bookmarkEnd w:id="298"/>
    </w:p>
    <w:p w:rsidR="006724FB" w:rsidRDefault="006724FB">
      <w:pPr>
        <w:pStyle w:val="Heading5"/>
      </w:pPr>
      <w:bookmarkStart w:id="299" w:name="_Toc75875721"/>
      <w:r>
        <w:rPr>
          <w:rStyle w:val="CharSectno"/>
        </w:rPr>
        <w:t>163</w:t>
      </w:r>
      <w:r>
        <w:t>.</w:t>
      </w:r>
      <w:r>
        <w:tab/>
        <w:t>Mass limits for heavy vehicle tyres</w:t>
      </w:r>
      <w:bookmarkEnd w:id="299"/>
    </w:p>
    <w:p w:rsidR="006724FB" w:rsidRDefault="006724FB">
      <w:pPr>
        <w:pStyle w:val="Subsection"/>
      </w:pPr>
      <w:r>
        <w:tab/>
      </w:r>
      <w:r>
        <w:tab/>
        <w:t>The mass on a tyre of a heavy vehicle must not exceed the greatest load capacity determined for the tyre by the manufacturer at a cold inflation pressure that does not exceed —</w:t>
      </w:r>
    </w:p>
    <w:p w:rsidR="006724FB" w:rsidRDefault="006724FB">
      <w:pPr>
        <w:pStyle w:val="Indenta"/>
      </w:pPr>
      <w:r>
        <w:tab/>
        <w:t>(a)</w:t>
      </w:r>
      <w:r>
        <w:tab/>
        <w:t>825 kPa for a radial ply tyre; or</w:t>
      </w:r>
    </w:p>
    <w:p w:rsidR="006724FB" w:rsidRDefault="006724FB">
      <w:pPr>
        <w:pStyle w:val="Indenta"/>
      </w:pPr>
      <w:r>
        <w:tab/>
        <w:t>(b)</w:t>
      </w:r>
      <w:r>
        <w:tab/>
        <w:t>700 kPa for any other tyre.</w:t>
      </w:r>
    </w:p>
    <w:p w:rsidR="006724FB" w:rsidRDefault="006724FB">
      <w:pPr>
        <w:pStyle w:val="Heading5"/>
      </w:pPr>
      <w:bookmarkStart w:id="300" w:name="_Toc75875722"/>
      <w:r>
        <w:rPr>
          <w:rStyle w:val="CharSectno"/>
        </w:rPr>
        <w:t>164</w:t>
      </w:r>
      <w:r>
        <w:t>.</w:t>
      </w:r>
      <w:r>
        <w:tab/>
        <w:t>Mass limits for heavy vehicle wheels and axles</w:t>
      </w:r>
      <w:bookmarkEnd w:id="300"/>
    </w:p>
    <w:p w:rsidR="006724FB" w:rsidRDefault="006724FB">
      <w:pPr>
        <w:pStyle w:val="Subsection"/>
      </w:pPr>
      <w:r>
        <w:tab/>
        <w:t>(1)</w:t>
      </w:r>
      <w:r>
        <w:tab/>
        <w:t>In this regulation —</w:t>
      </w:r>
    </w:p>
    <w:p w:rsidR="006724FB" w:rsidRDefault="006724FB">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rsidR="006724FB" w:rsidRDefault="006724FB">
      <w:pPr>
        <w:pStyle w:val="Subsection"/>
      </w:pPr>
      <w:r>
        <w:tab/>
        <w:t>(2)</w:t>
      </w:r>
      <w:r>
        <w:tab/>
        <w:t xml:space="preserve">For the purposes of this regulation, a retractable axle — </w:t>
      </w:r>
    </w:p>
    <w:p w:rsidR="006724FB" w:rsidRDefault="006724FB">
      <w:pPr>
        <w:pStyle w:val="Indenta"/>
      </w:pPr>
      <w:r>
        <w:tab/>
        <w:t>(a)</w:t>
      </w:r>
      <w:r>
        <w:tab/>
        <w:t>must be taken to be an axle when it is in the lowered position; and</w:t>
      </w:r>
    </w:p>
    <w:p w:rsidR="006724FB" w:rsidRDefault="006724FB">
      <w:pPr>
        <w:pStyle w:val="Indenta"/>
      </w:pPr>
      <w:r>
        <w:lastRenderedPageBreak/>
        <w:tab/>
        <w:t>(b)</w:t>
      </w:r>
      <w:r>
        <w:tab/>
        <w:t>must be taken not to be an axle when it is in the raised position.</w:t>
      </w:r>
    </w:p>
    <w:p w:rsidR="006724FB" w:rsidRDefault="006724FB">
      <w:pPr>
        <w:pStyle w:val="Subsection"/>
      </w:pPr>
      <w:r>
        <w:tab/>
        <w:t>(3)</w:t>
      </w:r>
      <w:r>
        <w:tab/>
        <w:t>The mass on a wheel or axle of a heavy vehicle must not exceed the limit set by its manufacturer.</w:t>
      </w:r>
    </w:p>
    <w:p w:rsidR="006724FB" w:rsidRDefault="006724FB">
      <w:pPr>
        <w:pStyle w:val="Subsection"/>
      </w:pPr>
      <w:r>
        <w:tab/>
        <w:t>(4)</w:t>
      </w:r>
      <w:r>
        <w:tab/>
        <w:t>The mass on an axle group or single axle of a heavy vehicle must not exceed the limit provided for it in the Table.</w:t>
      </w:r>
    </w:p>
    <w:p w:rsidR="006724FB" w:rsidRDefault="006724FB">
      <w:pPr>
        <w:pStyle w:val="Subsection"/>
      </w:pPr>
      <w:r>
        <w:tab/>
        <w:t>(5)</w:t>
      </w:r>
      <w:r>
        <w:tab/>
        <w:t>The mass limit in the Table that applies to a heavy vehicle’s axle group that includes a retractable axle must be determined as if the axle did not exist, unless subregulation (6) applies.</w:t>
      </w:r>
    </w:p>
    <w:p w:rsidR="006724FB" w:rsidRDefault="006724FB">
      <w:pPr>
        <w:pStyle w:val="Subsection"/>
        <w:keepNext/>
      </w:pPr>
      <w:r>
        <w:tab/>
        <w:t>(6)</w:t>
      </w:r>
      <w:r>
        <w:tab/>
        <w:t xml:space="preserve">A retractable axle is part of an axle group for the purposes of the Table if, when the mass on the group exceeds — </w:t>
      </w:r>
    </w:p>
    <w:p w:rsidR="006724FB" w:rsidRDefault="006724FB">
      <w:pPr>
        <w:pStyle w:val="Indenta"/>
      </w:pPr>
      <w:r>
        <w:tab/>
        <w:t>(a)</w:t>
      </w:r>
      <w:r>
        <w:tab/>
        <w:t>6 t, in the case of a tandem axle group; or</w:t>
      </w:r>
    </w:p>
    <w:p w:rsidR="006724FB" w:rsidRDefault="006724FB">
      <w:pPr>
        <w:pStyle w:val="Indenta"/>
      </w:pPr>
      <w:r>
        <w:tab/>
        <w:t>(b)</w:t>
      </w:r>
      <w:r>
        <w:tab/>
        <w:t>11 t, in the case of a tri</w:t>
      </w:r>
      <w:r>
        <w:noBreakHyphen/>
        <w:t>axle group,</w:t>
      </w:r>
    </w:p>
    <w:p w:rsidR="006724FB" w:rsidRDefault="006724FB">
      <w:pPr>
        <w:pStyle w:val="Subsection"/>
      </w:pPr>
      <w:r>
        <w:tab/>
      </w:r>
      <w:r>
        <w:tab/>
        <w:t>the tyres on the axle are in contact with the ground and the load</w:t>
      </w:r>
      <w:r>
        <w:noBreakHyphen/>
        <w:t>sharing suspension system is operating on each axle (including the retractable axle) and tyre in the group.</w:t>
      </w:r>
    </w:p>
    <w:p w:rsidR="006724FB" w:rsidRDefault="006724FB">
      <w:pPr>
        <w:pStyle w:val="Subsection"/>
      </w:pPr>
      <w:r>
        <w:tab/>
        <w:t>(7)</w:t>
      </w:r>
      <w:r>
        <w:tab/>
        <w:t>The sum of the mass on the axle groups and single axles on a heavy vehicle must not exceed —</w:t>
      </w:r>
    </w:p>
    <w:p w:rsidR="006724FB" w:rsidRDefault="006724FB">
      <w:pPr>
        <w:pStyle w:val="Indenta"/>
      </w:pPr>
      <w:r>
        <w:tab/>
        <w:t>(a)</w:t>
      </w:r>
      <w:r>
        <w:tab/>
        <w:t>in the case of a complying bus without a trailer —</w:t>
      </w:r>
    </w:p>
    <w:p w:rsidR="006724FB" w:rsidRDefault="006724FB">
      <w:pPr>
        <w:pStyle w:val="Indenti"/>
      </w:pPr>
      <w:r>
        <w:tab/>
        <w:t>(i)</w:t>
      </w:r>
      <w:r>
        <w:tab/>
        <w:t>if the complying bus has 2 axles — 16.0 t; and</w:t>
      </w:r>
    </w:p>
    <w:p w:rsidR="006724FB" w:rsidRDefault="006724FB">
      <w:pPr>
        <w:pStyle w:val="Indenti"/>
      </w:pPr>
      <w:r>
        <w:tab/>
        <w:t>(ii)</w:t>
      </w:r>
      <w:r>
        <w:tab/>
        <w:t>if the complying bus has a rear tandem axle group fitted with single tyres on one axle and dual tyres on the other axle — 20.0 t; and</w:t>
      </w:r>
    </w:p>
    <w:p w:rsidR="006724FB" w:rsidRDefault="006724FB">
      <w:pPr>
        <w:pStyle w:val="Indenti"/>
      </w:pPr>
      <w:r>
        <w:tab/>
        <w:t>(iii)</w:t>
      </w:r>
      <w:r>
        <w:tab/>
        <w:t>if the complying bus has a rear tandem axle group fitted with dual tyres on both axles —22.5 t;</w:t>
      </w:r>
    </w:p>
    <w:p w:rsidR="006724FB" w:rsidRDefault="006724FB">
      <w:pPr>
        <w:pStyle w:val="Indenta"/>
      </w:pPr>
      <w:r>
        <w:tab/>
      </w:r>
      <w:r>
        <w:tab/>
        <w:t>and</w:t>
      </w:r>
    </w:p>
    <w:p w:rsidR="006724FB" w:rsidRDefault="006724FB">
      <w:pPr>
        <w:pStyle w:val="Indenta"/>
      </w:pPr>
      <w:r>
        <w:tab/>
        <w:t>(b)</w:t>
      </w:r>
      <w:r>
        <w:tab/>
        <w:t xml:space="preserve">in the case of a combination consisting of a complying bus and a trailer — the sum of the mass limit specified for the bus in paragraph (a) and the mass limits of the </w:t>
      </w:r>
      <w:r>
        <w:lastRenderedPageBreak/>
        <w:t>axle groups and single axles of the trailer as provided in the Table; and</w:t>
      </w:r>
    </w:p>
    <w:p w:rsidR="006724FB" w:rsidRDefault="006724FB">
      <w:pPr>
        <w:pStyle w:val="Indenta"/>
      </w:pPr>
      <w:r>
        <w:tab/>
        <w:t>(c)</w:t>
      </w:r>
      <w:r>
        <w:tab/>
        <w:t>in any other case — the sum of the mass limits of the axle groups and single axles as provided in the Table.</w:t>
      </w:r>
    </w:p>
    <w:p w:rsidR="006724FB" w:rsidRDefault="006724FB">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rsidR="006724FB">
        <w:trPr>
          <w:cantSplit/>
          <w:tblHeader/>
        </w:trPr>
        <w:tc>
          <w:tcPr>
            <w:tcW w:w="5245" w:type="dxa"/>
            <w:tcBorders>
              <w:top w:val="single" w:sz="4" w:space="0" w:color="auto"/>
              <w:bottom w:val="single" w:sz="4" w:space="0" w:color="auto"/>
            </w:tcBorders>
          </w:tcPr>
          <w:p w:rsidR="006724FB" w:rsidRDefault="006724FB">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rsidR="006724FB" w:rsidRDefault="006724FB">
            <w:pPr>
              <w:pStyle w:val="TableNAm"/>
              <w:keepNext/>
              <w:jc w:val="center"/>
              <w:rPr>
                <w:b/>
              </w:rPr>
            </w:pPr>
            <w:r>
              <w:rPr>
                <w:b/>
              </w:rPr>
              <w:t>Mass limit (t)</w:t>
            </w:r>
          </w:p>
        </w:tc>
      </w:tr>
      <w:tr w:rsidR="006724FB">
        <w:trPr>
          <w:cantSplit/>
        </w:trPr>
        <w:tc>
          <w:tcPr>
            <w:tcW w:w="5245" w:type="dxa"/>
          </w:tcPr>
          <w:p w:rsidR="006724FB" w:rsidRDefault="006724FB">
            <w:pPr>
              <w:pStyle w:val="TableNAm"/>
              <w:keepNext/>
              <w:tabs>
                <w:tab w:val="left" w:leader="dot" w:pos="5103"/>
              </w:tabs>
              <w:rPr>
                <w:b/>
                <w:i/>
              </w:rPr>
            </w:pPr>
            <w:r>
              <w:rPr>
                <w:b/>
                <w:i/>
              </w:rPr>
              <w:t>Single axles and single axle groups</w:t>
            </w:r>
          </w:p>
        </w:tc>
        <w:tc>
          <w:tcPr>
            <w:tcW w:w="992" w:type="dxa"/>
          </w:tcPr>
          <w:p w:rsidR="006724FB" w:rsidRDefault="006724FB">
            <w:pPr>
              <w:pStyle w:val="TableNAm"/>
              <w:keepNext/>
              <w:rPr>
                <w:b/>
              </w:rPr>
            </w:pPr>
          </w:p>
        </w:tc>
      </w:tr>
      <w:tr w:rsidR="006724FB">
        <w:trPr>
          <w:cantSplit/>
        </w:trPr>
        <w:tc>
          <w:tcPr>
            <w:tcW w:w="5245" w:type="dxa"/>
          </w:tcPr>
          <w:p w:rsidR="006724FB" w:rsidRDefault="006724FB">
            <w:pPr>
              <w:pStyle w:val="TableNAm"/>
              <w:tabs>
                <w:tab w:val="left" w:leader="dot" w:pos="5103"/>
              </w:tabs>
            </w:pPr>
            <w:r>
              <w:t>Single steer axle on —</w:t>
            </w:r>
          </w:p>
        </w:tc>
        <w:tc>
          <w:tcPr>
            <w:tcW w:w="992" w:type="dxa"/>
          </w:tcPr>
          <w:p w:rsidR="006724FB" w:rsidRDefault="006724FB">
            <w:pPr>
              <w:pStyle w:val="TableNAm"/>
            </w:pPr>
          </w:p>
        </w:tc>
      </w:tr>
      <w:tr w:rsidR="006724FB">
        <w:trPr>
          <w:cantSplit/>
        </w:trPr>
        <w:tc>
          <w:tcPr>
            <w:tcW w:w="5245" w:type="dxa"/>
          </w:tcPr>
          <w:p w:rsidR="006724FB" w:rsidRDefault="006724FB">
            <w:pPr>
              <w:pStyle w:val="TableNAm"/>
              <w:tabs>
                <w:tab w:val="right" w:leader="dot" w:pos="5029"/>
              </w:tabs>
            </w:pPr>
            <w:r>
              <w:t>(a)</w:t>
            </w:r>
            <w:r>
              <w:tab/>
              <w:t xml:space="preserve">a complying bus </w:t>
            </w:r>
            <w:r>
              <w:tab/>
            </w:r>
          </w:p>
        </w:tc>
        <w:tc>
          <w:tcPr>
            <w:tcW w:w="992" w:type="dxa"/>
          </w:tcPr>
          <w:p w:rsidR="006724FB" w:rsidRDefault="006724FB">
            <w:pPr>
              <w:pStyle w:val="TableNAm"/>
            </w:pPr>
            <w:r>
              <w:t>6.5</w:t>
            </w:r>
          </w:p>
        </w:tc>
      </w:tr>
      <w:tr w:rsidR="006724FB">
        <w:trPr>
          <w:cantSplit/>
        </w:trPr>
        <w:tc>
          <w:tcPr>
            <w:tcW w:w="5245" w:type="dxa"/>
          </w:tcPr>
          <w:p w:rsidR="006724FB" w:rsidRDefault="006724FB">
            <w:pPr>
              <w:pStyle w:val="TableNAm"/>
              <w:tabs>
                <w:tab w:val="right" w:leader="dot" w:pos="5029"/>
              </w:tabs>
            </w:pPr>
            <w:r>
              <w:t>(b)</w:t>
            </w:r>
            <w:r>
              <w:tab/>
              <w:t xml:space="preserve">any other motor vehicle </w:t>
            </w:r>
            <w:r>
              <w:tab/>
            </w:r>
          </w:p>
        </w:tc>
        <w:tc>
          <w:tcPr>
            <w:tcW w:w="992" w:type="dxa"/>
          </w:tcPr>
          <w:p w:rsidR="006724FB" w:rsidRDefault="006724FB">
            <w:pPr>
              <w:pStyle w:val="TableNAm"/>
            </w:pPr>
            <w:r>
              <w:t>6.0</w:t>
            </w:r>
          </w:p>
        </w:tc>
      </w:tr>
      <w:tr w:rsidR="006724FB">
        <w:trPr>
          <w:cantSplit/>
        </w:trPr>
        <w:tc>
          <w:tcPr>
            <w:tcW w:w="5245" w:type="dxa"/>
          </w:tcPr>
          <w:p w:rsidR="006724FB" w:rsidRDefault="006724FB">
            <w:pPr>
              <w:pStyle w:val="TableNAm"/>
              <w:tabs>
                <w:tab w:val="left" w:leader="dot" w:pos="5103"/>
              </w:tabs>
            </w:pPr>
            <w:r>
              <w:t>Single axle or single axle group fitted with single tyres with section width of —</w:t>
            </w:r>
          </w:p>
        </w:tc>
        <w:tc>
          <w:tcPr>
            <w:tcW w:w="992" w:type="dxa"/>
          </w:tcPr>
          <w:p w:rsidR="006724FB" w:rsidRDefault="006724FB">
            <w:pPr>
              <w:pStyle w:val="TableNAm"/>
            </w:pPr>
          </w:p>
        </w:tc>
      </w:tr>
      <w:tr w:rsidR="006724FB">
        <w:trPr>
          <w:cantSplit/>
        </w:trPr>
        <w:tc>
          <w:tcPr>
            <w:tcW w:w="5245" w:type="dxa"/>
          </w:tcPr>
          <w:p w:rsidR="006724FB" w:rsidRDefault="006724FB">
            <w:pPr>
              <w:pStyle w:val="TableNAm"/>
              <w:tabs>
                <w:tab w:val="right" w:leader="dot" w:pos="5029"/>
              </w:tabs>
            </w:pPr>
            <w:r>
              <w:t>(a)</w:t>
            </w:r>
            <w:r>
              <w:tab/>
              <w:t xml:space="preserve">less than 375 mm </w:t>
            </w:r>
            <w:r>
              <w:tab/>
            </w:r>
          </w:p>
        </w:tc>
        <w:tc>
          <w:tcPr>
            <w:tcW w:w="992" w:type="dxa"/>
          </w:tcPr>
          <w:p w:rsidR="006724FB" w:rsidRDefault="006724FB">
            <w:pPr>
              <w:pStyle w:val="TableNAm"/>
            </w:pPr>
            <w:r>
              <w:t>6.0</w:t>
            </w:r>
          </w:p>
        </w:tc>
      </w:tr>
      <w:tr w:rsidR="006724FB">
        <w:trPr>
          <w:cantSplit/>
        </w:trPr>
        <w:tc>
          <w:tcPr>
            <w:tcW w:w="5245" w:type="dxa"/>
          </w:tcPr>
          <w:p w:rsidR="006724FB" w:rsidRDefault="006724FB">
            <w:pPr>
              <w:pStyle w:val="TableNAm"/>
              <w:tabs>
                <w:tab w:val="right" w:leader="dot" w:pos="5029"/>
              </w:tabs>
            </w:pPr>
            <w:r>
              <w:t>(b)</w:t>
            </w:r>
            <w:r>
              <w:tab/>
              <w:t xml:space="preserve">at least 375 mm but less than 450 mm </w:t>
            </w:r>
            <w:r>
              <w:tab/>
            </w:r>
          </w:p>
        </w:tc>
        <w:tc>
          <w:tcPr>
            <w:tcW w:w="992" w:type="dxa"/>
          </w:tcPr>
          <w:p w:rsidR="006724FB" w:rsidRDefault="006724FB">
            <w:pPr>
              <w:pStyle w:val="TableNAm"/>
            </w:pPr>
            <w:r>
              <w:t>6.7</w:t>
            </w:r>
          </w:p>
        </w:tc>
      </w:tr>
      <w:tr w:rsidR="006724FB">
        <w:trPr>
          <w:cantSplit/>
        </w:trPr>
        <w:tc>
          <w:tcPr>
            <w:tcW w:w="5245" w:type="dxa"/>
          </w:tcPr>
          <w:p w:rsidR="006724FB" w:rsidRDefault="006724FB">
            <w:pPr>
              <w:pStyle w:val="TableNAm"/>
              <w:tabs>
                <w:tab w:val="right" w:leader="dot" w:pos="5029"/>
              </w:tabs>
            </w:pPr>
            <w:r>
              <w:t>(c)</w:t>
            </w:r>
            <w:r>
              <w:tab/>
              <w:t xml:space="preserve">at least 450 mm </w:t>
            </w:r>
            <w:r>
              <w:tab/>
            </w:r>
          </w:p>
        </w:tc>
        <w:tc>
          <w:tcPr>
            <w:tcW w:w="992" w:type="dxa"/>
          </w:tcPr>
          <w:p w:rsidR="006724FB" w:rsidRDefault="006724FB">
            <w:pPr>
              <w:pStyle w:val="TableNAm"/>
            </w:pPr>
            <w:r>
              <w:t>7.0</w:t>
            </w:r>
          </w:p>
        </w:tc>
      </w:tr>
      <w:tr w:rsidR="006724FB">
        <w:trPr>
          <w:cantSplit/>
        </w:trPr>
        <w:tc>
          <w:tcPr>
            <w:tcW w:w="5245" w:type="dxa"/>
          </w:tcPr>
          <w:p w:rsidR="006724FB" w:rsidRDefault="006724FB">
            <w:pPr>
              <w:pStyle w:val="TableNAm"/>
              <w:tabs>
                <w:tab w:val="left" w:leader="dot" w:pos="5103"/>
              </w:tabs>
            </w:pPr>
            <w:r>
              <w:t>Single axle or single axle group fitted with dual tyres on —</w:t>
            </w:r>
          </w:p>
        </w:tc>
        <w:tc>
          <w:tcPr>
            <w:tcW w:w="992" w:type="dxa"/>
          </w:tcPr>
          <w:p w:rsidR="006724FB" w:rsidRDefault="006724FB">
            <w:pPr>
              <w:pStyle w:val="TableNAm"/>
            </w:pPr>
          </w:p>
        </w:tc>
      </w:tr>
      <w:tr w:rsidR="006724FB">
        <w:trPr>
          <w:cantSplit/>
        </w:trPr>
        <w:tc>
          <w:tcPr>
            <w:tcW w:w="5245" w:type="dxa"/>
          </w:tcPr>
          <w:p w:rsidR="006724FB" w:rsidRDefault="006724FB">
            <w:pPr>
              <w:pStyle w:val="TableNAm"/>
              <w:tabs>
                <w:tab w:val="right" w:leader="dot" w:pos="5029"/>
              </w:tabs>
            </w:pPr>
            <w:r>
              <w:t>(a)</w:t>
            </w:r>
            <w:r>
              <w:tab/>
              <w:t xml:space="preserve">a pig trailer </w:t>
            </w:r>
            <w:r>
              <w:tab/>
            </w:r>
          </w:p>
        </w:tc>
        <w:tc>
          <w:tcPr>
            <w:tcW w:w="992" w:type="dxa"/>
          </w:tcPr>
          <w:p w:rsidR="006724FB" w:rsidRDefault="006724FB">
            <w:pPr>
              <w:pStyle w:val="TableNAm"/>
            </w:pPr>
            <w:r>
              <w:t>9.0</w:t>
            </w:r>
          </w:p>
        </w:tc>
      </w:tr>
      <w:tr w:rsidR="006724FB">
        <w:trPr>
          <w:cantSplit/>
        </w:trPr>
        <w:tc>
          <w:tcPr>
            <w:tcW w:w="5245" w:type="dxa"/>
          </w:tcPr>
          <w:p w:rsidR="006724FB" w:rsidRDefault="006724FB">
            <w:pPr>
              <w:pStyle w:val="TableNAm"/>
              <w:tabs>
                <w:tab w:val="right" w:leader="dot" w:pos="5029"/>
              </w:tabs>
              <w:ind w:left="583" w:hanging="583"/>
            </w:pPr>
            <w:r>
              <w:t>(b)</w:t>
            </w:r>
            <w:r>
              <w:tab/>
              <w:t xml:space="preserve">a complying bus or a bus licensed to carry standing passengers </w:t>
            </w:r>
            <w:r>
              <w:tab/>
            </w:r>
          </w:p>
        </w:tc>
        <w:tc>
          <w:tcPr>
            <w:tcW w:w="992" w:type="dxa"/>
          </w:tcPr>
          <w:p w:rsidR="006724FB" w:rsidRDefault="006724FB">
            <w:pPr>
              <w:pStyle w:val="TableNAm"/>
            </w:pPr>
            <w:r>
              <w:br/>
              <w:t>10.0</w:t>
            </w:r>
          </w:p>
        </w:tc>
      </w:tr>
      <w:tr w:rsidR="006724FB">
        <w:trPr>
          <w:cantSplit/>
        </w:trPr>
        <w:tc>
          <w:tcPr>
            <w:tcW w:w="5245" w:type="dxa"/>
          </w:tcPr>
          <w:p w:rsidR="006724FB" w:rsidRDefault="006724FB">
            <w:pPr>
              <w:pStyle w:val="TableNAm"/>
              <w:tabs>
                <w:tab w:val="right" w:leader="dot" w:pos="5029"/>
              </w:tabs>
            </w:pPr>
            <w:r>
              <w:t>(c)</w:t>
            </w:r>
            <w:r>
              <w:tab/>
              <w:t xml:space="preserve">any other vehicle </w:t>
            </w:r>
            <w:r>
              <w:tab/>
            </w:r>
          </w:p>
        </w:tc>
        <w:tc>
          <w:tcPr>
            <w:tcW w:w="992" w:type="dxa"/>
          </w:tcPr>
          <w:p w:rsidR="006724FB" w:rsidRDefault="006724FB">
            <w:pPr>
              <w:pStyle w:val="TableNAm"/>
            </w:pPr>
            <w:r>
              <w:t>9.0</w:t>
            </w:r>
          </w:p>
        </w:tc>
      </w:tr>
      <w:tr w:rsidR="006724FB">
        <w:trPr>
          <w:cantSplit/>
        </w:trPr>
        <w:tc>
          <w:tcPr>
            <w:tcW w:w="5245" w:type="dxa"/>
          </w:tcPr>
          <w:p w:rsidR="006724FB" w:rsidRDefault="006724FB">
            <w:pPr>
              <w:pStyle w:val="TableNAm"/>
              <w:tabs>
                <w:tab w:val="left" w:leader="dot" w:pos="5103"/>
              </w:tabs>
              <w:rPr>
                <w:b/>
                <w:i/>
              </w:rPr>
            </w:pPr>
            <w:r>
              <w:rPr>
                <w:b/>
                <w:i/>
              </w:rPr>
              <w:t>Twinsteer axle groups</w:t>
            </w:r>
          </w:p>
        </w:tc>
        <w:tc>
          <w:tcPr>
            <w:tcW w:w="992" w:type="dxa"/>
          </w:tcPr>
          <w:p w:rsidR="006724FB" w:rsidRDefault="006724FB">
            <w:pPr>
              <w:pStyle w:val="TableNAm"/>
              <w:rPr>
                <w:b/>
              </w:rPr>
            </w:pPr>
          </w:p>
        </w:tc>
      </w:tr>
      <w:tr w:rsidR="006724FB">
        <w:trPr>
          <w:cantSplit/>
        </w:trPr>
        <w:tc>
          <w:tcPr>
            <w:tcW w:w="5245" w:type="dxa"/>
          </w:tcPr>
          <w:p w:rsidR="006724FB" w:rsidRDefault="006724FB">
            <w:pPr>
              <w:pStyle w:val="TableNAm"/>
              <w:tabs>
                <w:tab w:val="right" w:leader="dot" w:pos="5029"/>
              </w:tabs>
            </w:pPr>
            <w:r>
              <w:t>Twinsteer axle group without a load</w:t>
            </w:r>
            <w:r>
              <w:noBreakHyphen/>
              <w:t xml:space="preserve">sharing suspension system </w:t>
            </w:r>
            <w:r>
              <w:tab/>
            </w:r>
          </w:p>
        </w:tc>
        <w:tc>
          <w:tcPr>
            <w:tcW w:w="992" w:type="dxa"/>
          </w:tcPr>
          <w:p w:rsidR="006724FB" w:rsidRDefault="006724FB">
            <w:pPr>
              <w:pStyle w:val="TableNAm"/>
            </w:pPr>
            <w:r>
              <w:br/>
              <w:t>10.0</w:t>
            </w:r>
          </w:p>
        </w:tc>
      </w:tr>
      <w:tr w:rsidR="006724FB">
        <w:trPr>
          <w:cantSplit/>
        </w:trPr>
        <w:tc>
          <w:tcPr>
            <w:tcW w:w="5245" w:type="dxa"/>
          </w:tcPr>
          <w:p w:rsidR="006724FB" w:rsidRDefault="006724FB">
            <w:pPr>
              <w:pStyle w:val="TableNAm"/>
              <w:tabs>
                <w:tab w:val="right" w:leader="dot" w:pos="5029"/>
              </w:tabs>
            </w:pPr>
            <w:r>
              <w:t>Twinsteer axle group with a load</w:t>
            </w:r>
            <w:r>
              <w:noBreakHyphen/>
              <w:t xml:space="preserve">sharing suspension system </w:t>
            </w:r>
            <w:r>
              <w:tab/>
            </w:r>
          </w:p>
        </w:tc>
        <w:tc>
          <w:tcPr>
            <w:tcW w:w="992" w:type="dxa"/>
          </w:tcPr>
          <w:p w:rsidR="006724FB" w:rsidRDefault="006724FB">
            <w:pPr>
              <w:pStyle w:val="TableNAm"/>
            </w:pPr>
            <w:r>
              <w:br/>
              <w:t>11.0</w:t>
            </w:r>
          </w:p>
        </w:tc>
      </w:tr>
      <w:tr w:rsidR="006724FB">
        <w:trPr>
          <w:cantSplit/>
        </w:trPr>
        <w:tc>
          <w:tcPr>
            <w:tcW w:w="5245" w:type="dxa"/>
          </w:tcPr>
          <w:p w:rsidR="006724FB" w:rsidRDefault="006724FB">
            <w:pPr>
              <w:pStyle w:val="TableNAm"/>
              <w:tabs>
                <w:tab w:val="left" w:leader="dot" w:pos="5103"/>
              </w:tabs>
              <w:rPr>
                <w:b/>
                <w:i/>
              </w:rPr>
            </w:pPr>
            <w:r>
              <w:rPr>
                <w:b/>
                <w:i/>
              </w:rPr>
              <w:t>Tandem axle groups</w:t>
            </w:r>
          </w:p>
        </w:tc>
        <w:tc>
          <w:tcPr>
            <w:tcW w:w="992" w:type="dxa"/>
          </w:tcPr>
          <w:p w:rsidR="006724FB" w:rsidRDefault="006724FB">
            <w:pPr>
              <w:pStyle w:val="TableNAm"/>
              <w:rPr>
                <w:b/>
              </w:rPr>
            </w:pPr>
          </w:p>
        </w:tc>
      </w:tr>
      <w:tr w:rsidR="006724FB">
        <w:trPr>
          <w:cantSplit/>
        </w:trPr>
        <w:tc>
          <w:tcPr>
            <w:tcW w:w="5245" w:type="dxa"/>
          </w:tcPr>
          <w:p w:rsidR="006724FB" w:rsidRDefault="006724FB">
            <w:pPr>
              <w:pStyle w:val="TableNAm"/>
              <w:tabs>
                <w:tab w:val="left" w:leader="dot" w:pos="5103"/>
              </w:tabs>
            </w:pPr>
            <w:r>
              <w:lastRenderedPageBreak/>
              <w:t>Tandem axle group fitted with single tyres with section width of —</w:t>
            </w:r>
          </w:p>
        </w:tc>
        <w:tc>
          <w:tcPr>
            <w:tcW w:w="992" w:type="dxa"/>
          </w:tcPr>
          <w:p w:rsidR="006724FB" w:rsidRDefault="006724FB">
            <w:pPr>
              <w:pStyle w:val="TableNAm"/>
            </w:pPr>
          </w:p>
        </w:tc>
      </w:tr>
      <w:tr w:rsidR="006724FB">
        <w:trPr>
          <w:cantSplit/>
        </w:trPr>
        <w:tc>
          <w:tcPr>
            <w:tcW w:w="5245" w:type="dxa"/>
          </w:tcPr>
          <w:p w:rsidR="006724FB" w:rsidRDefault="006724FB">
            <w:pPr>
              <w:pStyle w:val="TableNAm"/>
              <w:tabs>
                <w:tab w:val="right" w:leader="dot" w:pos="5029"/>
              </w:tabs>
            </w:pPr>
            <w:r>
              <w:t>(a)</w:t>
            </w:r>
            <w:r>
              <w:tab/>
              <w:t xml:space="preserve">less than 375 mm </w:t>
            </w:r>
            <w:r>
              <w:tab/>
            </w:r>
          </w:p>
        </w:tc>
        <w:tc>
          <w:tcPr>
            <w:tcW w:w="992" w:type="dxa"/>
          </w:tcPr>
          <w:p w:rsidR="006724FB" w:rsidRDefault="006724FB">
            <w:pPr>
              <w:pStyle w:val="TableNAm"/>
            </w:pPr>
            <w:r>
              <w:t>11.0</w:t>
            </w:r>
          </w:p>
        </w:tc>
      </w:tr>
      <w:tr w:rsidR="006724FB">
        <w:trPr>
          <w:cantSplit/>
        </w:trPr>
        <w:tc>
          <w:tcPr>
            <w:tcW w:w="5245" w:type="dxa"/>
          </w:tcPr>
          <w:p w:rsidR="006724FB" w:rsidRDefault="006724FB">
            <w:pPr>
              <w:pStyle w:val="TableNAm"/>
              <w:tabs>
                <w:tab w:val="right" w:leader="dot" w:pos="5029"/>
              </w:tabs>
            </w:pPr>
            <w:r>
              <w:t>(b)</w:t>
            </w:r>
            <w:r>
              <w:tab/>
              <w:t xml:space="preserve">at least 375 mm but less than 450 mm </w:t>
            </w:r>
            <w:r>
              <w:tab/>
            </w:r>
          </w:p>
        </w:tc>
        <w:tc>
          <w:tcPr>
            <w:tcW w:w="992" w:type="dxa"/>
          </w:tcPr>
          <w:p w:rsidR="006724FB" w:rsidRDefault="006724FB">
            <w:pPr>
              <w:pStyle w:val="TableNAm"/>
            </w:pPr>
            <w:r>
              <w:t>13.3</w:t>
            </w:r>
          </w:p>
        </w:tc>
      </w:tr>
      <w:tr w:rsidR="006724FB">
        <w:trPr>
          <w:cantSplit/>
        </w:trPr>
        <w:tc>
          <w:tcPr>
            <w:tcW w:w="5245" w:type="dxa"/>
          </w:tcPr>
          <w:p w:rsidR="006724FB" w:rsidRDefault="006724FB">
            <w:pPr>
              <w:pStyle w:val="TableNAm"/>
              <w:tabs>
                <w:tab w:val="right" w:leader="dot" w:pos="5029"/>
              </w:tabs>
            </w:pPr>
            <w:r>
              <w:t>(c)</w:t>
            </w:r>
            <w:r>
              <w:tab/>
              <w:t xml:space="preserve">at least 450 mm </w:t>
            </w:r>
            <w:r>
              <w:tab/>
            </w:r>
          </w:p>
        </w:tc>
        <w:tc>
          <w:tcPr>
            <w:tcW w:w="992" w:type="dxa"/>
          </w:tcPr>
          <w:p w:rsidR="006724FB" w:rsidRDefault="006724FB">
            <w:pPr>
              <w:pStyle w:val="TableNAm"/>
            </w:pPr>
            <w:r>
              <w:t>14.0</w:t>
            </w:r>
          </w:p>
        </w:tc>
      </w:tr>
      <w:tr w:rsidR="006724FB">
        <w:trPr>
          <w:cantSplit/>
        </w:trPr>
        <w:tc>
          <w:tcPr>
            <w:tcW w:w="5245" w:type="dxa"/>
          </w:tcPr>
          <w:p w:rsidR="006724FB" w:rsidRDefault="006724FB">
            <w:pPr>
              <w:pStyle w:val="TableNAm"/>
              <w:tabs>
                <w:tab w:val="left" w:leader="dot" w:pos="5103"/>
              </w:tabs>
            </w:pPr>
            <w:r>
              <w:t>Tandem axle group fitted with single tyres on one axle and dual tyres on the other axle on — </w:t>
            </w:r>
          </w:p>
        </w:tc>
        <w:tc>
          <w:tcPr>
            <w:tcW w:w="992" w:type="dxa"/>
          </w:tcPr>
          <w:p w:rsidR="006724FB" w:rsidRDefault="006724FB">
            <w:pPr>
              <w:pStyle w:val="TableNAm"/>
            </w:pPr>
          </w:p>
        </w:tc>
      </w:tr>
      <w:tr w:rsidR="006724FB">
        <w:trPr>
          <w:cantSplit/>
        </w:trPr>
        <w:tc>
          <w:tcPr>
            <w:tcW w:w="5245" w:type="dxa"/>
          </w:tcPr>
          <w:p w:rsidR="006724FB" w:rsidRDefault="006724FB">
            <w:pPr>
              <w:pStyle w:val="TableNAm"/>
              <w:tabs>
                <w:tab w:val="right" w:leader="dot" w:pos="5029"/>
              </w:tabs>
            </w:pPr>
            <w:r>
              <w:t>(a)</w:t>
            </w:r>
            <w:r>
              <w:tab/>
              <w:t xml:space="preserve">a complying bus </w:t>
            </w:r>
            <w:r>
              <w:tab/>
            </w:r>
          </w:p>
        </w:tc>
        <w:tc>
          <w:tcPr>
            <w:tcW w:w="992" w:type="dxa"/>
          </w:tcPr>
          <w:p w:rsidR="006724FB" w:rsidRDefault="006724FB">
            <w:pPr>
              <w:pStyle w:val="TableNAm"/>
            </w:pPr>
            <w:r>
              <w:t>14.0</w:t>
            </w:r>
          </w:p>
        </w:tc>
      </w:tr>
      <w:tr w:rsidR="006724FB">
        <w:trPr>
          <w:cantSplit/>
        </w:trPr>
        <w:tc>
          <w:tcPr>
            <w:tcW w:w="5245" w:type="dxa"/>
          </w:tcPr>
          <w:p w:rsidR="006724FB" w:rsidRDefault="006724FB">
            <w:pPr>
              <w:pStyle w:val="TableNAm"/>
              <w:tabs>
                <w:tab w:val="right" w:leader="dot" w:pos="5029"/>
              </w:tabs>
            </w:pPr>
            <w:r>
              <w:t>(b)</w:t>
            </w:r>
            <w:r>
              <w:tab/>
              <w:t xml:space="preserve">any other vehicle </w:t>
            </w:r>
            <w:r>
              <w:tab/>
            </w:r>
          </w:p>
        </w:tc>
        <w:tc>
          <w:tcPr>
            <w:tcW w:w="992" w:type="dxa"/>
          </w:tcPr>
          <w:p w:rsidR="006724FB" w:rsidRDefault="006724FB">
            <w:pPr>
              <w:pStyle w:val="TableNAm"/>
            </w:pPr>
            <w:r>
              <w:t>13.0</w:t>
            </w:r>
          </w:p>
        </w:tc>
      </w:tr>
      <w:tr w:rsidR="006724FB">
        <w:trPr>
          <w:cantSplit/>
        </w:trPr>
        <w:tc>
          <w:tcPr>
            <w:tcW w:w="5245" w:type="dxa"/>
          </w:tcPr>
          <w:p w:rsidR="006724FB" w:rsidRDefault="006724FB">
            <w:pPr>
              <w:pStyle w:val="TableNAm"/>
              <w:tabs>
                <w:tab w:val="left" w:leader="dot" w:pos="5103"/>
              </w:tabs>
            </w:pPr>
            <w:r>
              <w:t>Tandem axle group fitted with dual tyres on —</w:t>
            </w:r>
          </w:p>
        </w:tc>
        <w:tc>
          <w:tcPr>
            <w:tcW w:w="992" w:type="dxa"/>
          </w:tcPr>
          <w:p w:rsidR="006724FB" w:rsidRDefault="006724FB">
            <w:pPr>
              <w:pStyle w:val="TableNAm"/>
            </w:pPr>
          </w:p>
        </w:tc>
      </w:tr>
      <w:tr w:rsidR="006724FB">
        <w:trPr>
          <w:cantSplit/>
        </w:trPr>
        <w:tc>
          <w:tcPr>
            <w:tcW w:w="5245" w:type="dxa"/>
          </w:tcPr>
          <w:p w:rsidR="006724FB" w:rsidRDefault="006724FB">
            <w:pPr>
              <w:pStyle w:val="TableNAm"/>
              <w:tabs>
                <w:tab w:val="right" w:leader="dot" w:pos="5029"/>
              </w:tabs>
            </w:pPr>
            <w:r>
              <w:t>(a)</w:t>
            </w:r>
            <w:r>
              <w:tab/>
              <w:t xml:space="preserve">a pig trailer </w:t>
            </w:r>
            <w:r>
              <w:tab/>
            </w:r>
          </w:p>
        </w:tc>
        <w:tc>
          <w:tcPr>
            <w:tcW w:w="992" w:type="dxa"/>
          </w:tcPr>
          <w:p w:rsidR="006724FB" w:rsidRDefault="006724FB">
            <w:pPr>
              <w:pStyle w:val="TableNAm"/>
            </w:pPr>
            <w:r>
              <w:t>16.5</w:t>
            </w:r>
          </w:p>
        </w:tc>
      </w:tr>
      <w:tr w:rsidR="006724FB">
        <w:trPr>
          <w:cantSplit/>
        </w:trPr>
        <w:tc>
          <w:tcPr>
            <w:tcW w:w="5245" w:type="dxa"/>
          </w:tcPr>
          <w:p w:rsidR="006724FB" w:rsidRDefault="006724FB">
            <w:pPr>
              <w:pStyle w:val="TableNAm"/>
              <w:tabs>
                <w:tab w:val="right" w:leader="dot" w:pos="5029"/>
              </w:tabs>
            </w:pPr>
            <w:r>
              <w:t>(b)</w:t>
            </w:r>
            <w:r>
              <w:tab/>
              <w:t xml:space="preserve">any other vehicle </w:t>
            </w:r>
            <w:r>
              <w:tab/>
            </w:r>
          </w:p>
        </w:tc>
        <w:tc>
          <w:tcPr>
            <w:tcW w:w="992" w:type="dxa"/>
          </w:tcPr>
          <w:p w:rsidR="006724FB" w:rsidRDefault="006724FB">
            <w:pPr>
              <w:pStyle w:val="TableNAm"/>
            </w:pPr>
            <w:r>
              <w:t>16.5</w:t>
            </w:r>
          </w:p>
        </w:tc>
      </w:tr>
      <w:tr w:rsidR="006724FB">
        <w:trPr>
          <w:cantSplit/>
        </w:trPr>
        <w:tc>
          <w:tcPr>
            <w:tcW w:w="5245" w:type="dxa"/>
          </w:tcPr>
          <w:p w:rsidR="006724FB" w:rsidRDefault="006724FB">
            <w:pPr>
              <w:pStyle w:val="TableNAm"/>
              <w:tabs>
                <w:tab w:val="left" w:leader="dot" w:pos="5103"/>
              </w:tabs>
              <w:rPr>
                <w:b/>
                <w:i/>
              </w:rPr>
            </w:pPr>
            <w:r>
              <w:rPr>
                <w:b/>
                <w:i/>
              </w:rPr>
              <w:t>Tri</w:t>
            </w:r>
            <w:r>
              <w:rPr>
                <w:b/>
                <w:i/>
              </w:rPr>
              <w:noBreakHyphen/>
              <w:t>axle groups</w:t>
            </w:r>
          </w:p>
        </w:tc>
        <w:tc>
          <w:tcPr>
            <w:tcW w:w="992" w:type="dxa"/>
          </w:tcPr>
          <w:p w:rsidR="006724FB" w:rsidRDefault="006724FB">
            <w:pPr>
              <w:pStyle w:val="TableNAm"/>
              <w:rPr>
                <w:b/>
              </w:rPr>
            </w:pPr>
          </w:p>
        </w:tc>
      </w:tr>
      <w:tr w:rsidR="006724FB">
        <w:trPr>
          <w:cantSplit/>
        </w:trPr>
        <w:tc>
          <w:tcPr>
            <w:tcW w:w="5245" w:type="dxa"/>
          </w:tcPr>
          <w:p w:rsidR="006724FB" w:rsidRDefault="006724FB">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rsidR="006724FB" w:rsidRDefault="006724FB">
            <w:pPr>
              <w:pStyle w:val="TableNAm"/>
            </w:pPr>
            <w:r>
              <w:br/>
            </w:r>
            <w:r>
              <w:br/>
            </w:r>
            <w:r>
              <w:br/>
              <w:t>15.0</w:t>
            </w:r>
          </w:p>
        </w:tc>
      </w:tr>
      <w:tr w:rsidR="006724FB">
        <w:trPr>
          <w:cantSplit/>
        </w:trPr>
        <w:tc>
          <w:tcPr>
            <w:tcW w:w="5245" w:type="dxa"/>
          </w:tcPr>
          <w:p w:rsidR="006724FB" w:rsidRDefault="006724FB">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rsidR="006724FB" w:rsidRDefault="006724FB">
            <w:pPr>
              <w:pStyle w:val="TableNAm"/>
            </w:pPr>
            <w:r>
              <w:br/>
            </w:r>
            <w:r>
              <w:br/>
            </w:r>
            <w:r>
              <w:br/>
              <w:t>18.0</w:t>
            </w:r>
          </w:p>
        </w:tc>
      </w:tr>
      <w:tr w:rsidR="006724FB">
        <w:trPr>
          <w:cantSplit/>
        </w:trPr>
        <w:tc>
          <w:tcPr>
            <w:tcW w:w="5245" w:type="dxa"/>
          </w:tcPr>
          <w:p w:rsidR="006724FB" w:rsidRDefault="006724FB">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rsidR="006724FB" w:rsidRDefault="006724FB">
            <w:pPr>
              <w:pStyle w:val="TableNAm"/>
            </w:pPr>
            <w:r>
              <w:br/>
            </w:r>
            <w:r>
              <w:br/>
            </w:r>
            <w:r>
              <w:br/>
              <w:t>20.0</w:t>
            </w:r>
          </w:p>
        </w:tc>
      </w:tr>
      <w:tr w:rsidR="006724FB">
        <w:trPr>
          <w:cantSplit/>
        </w:trPr>
        <w:tc>
          <w:tcPr>
            <w:tcW w:w="5245" w:type="dxa"/>
          </w:tcPr>
          <w:p w:rsidR="006724FB" w:rsidRDefault="006724FB">
            <w:pPr>
              <w:pStyle w:val="TableNAm"/>
              <w:tabs>
                <w:tab w:val="left" w:leader="dot" w:pos="5103"/>
              </w:tabs>
              <w:rPr>
                <w:b/>
                <w:i/>
              </w:rPr>
            </w:pPr>
            <w:r>
              <w:rPr>
                <w:b/>
                <w:i/>
              </w:rPr>
              <w:t>Quad</w:t>
            </w:r>
            <w:r>
              <w:rPr>
                <w:b/>
                <w:i/>
              </w:rPr>
              <w:noBreakHyphen/>
              <w:t>axle groups</w:t>
            </w:r>
          </w:p>
        </w:tc>
        <w:tc>
          <w:tcPr>
            <w:tcW w:w="992" w:type="dxa"/>
          </w:tcPr>
          <w:p w:rsidR="006724FB" w:rsidRDefault="006724FB">
            <w:pPr>
              <w:pStyle w:val="TableNAm"/>
              <w:rPr>
                <w:b/>
              </w:rPr>
            </w:pPr>
          </w:p>
        </w:tc>
      </w:tr>
      <w:tr w:rsidR="006724FB">
        <w:trPr>
          <w:cantSplit/>
        </w:trPr>
        <w:tc>
          <w:tcPr>
            <w:tcW w:w="5245" w:type="dxa"/>
          </w:tcPr>
          <w:p w:rsidR="006724FB" w:rsidRDefault="006724FB">
            <w:pPr>
              <w:pStyle w:val="TableNAm"/>
              <w:tabs>
                <w:tab w:val="right" w:leader="dot" w:pos="5029"/>
              </w:tabs>
            </w:pPr>
            <w:r>
              <w:lastRenderedPageBreak/>
              <w:t>Quad</w:t>
            </w:r>
            <w:r>
              <w:noBreakHyphen/>
              <w:t xml:space="preserve">axle group fitted with single tyres with section width of less than 375 mm </w:t>
            </w:r>
            <w:r>
              <w:tab/>
            </w:r>
          </w:p>
        </w:tc>
        <w:tc>
          <w:tcPr>
            <w:tcW w:w="992" w:type="dxa"/>
          </w:tcPr>
          <w:p w:rsidR="006724FB" w:rsidRDefault="006724FB">
            <w:pPr>
              <w:pStyle w:val="TableNAm"/>
            </w:pPr>
            <w:r>
              <w:br/>
              <w:t>15.0</w:t>
            </w:r>
          </w:p>
        </w:tc>
      </w:tr>
      <w:tr w:rsidR="006724FB">
        <w:trPr>
          <w:cantSplit/>
        </w:trPr>
        <w:tc>
          <w:tcPr>
            <w:tcW w:w="5245" w:type="dxa"/>
            <w:tcBorders>
              <w:bottom w:val="single" w:sz="4" w:space="0" w:color="auto"/>
            </w:tcBorders>
          </w:tcPr>
          <w:p w:rsidR="006724FB" w:rsidRDefault="006724FB">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rsidR="006724FB" w:rsidRDefault="006724FB">
            <w:pPr>
              <w:pStyle w:val="TableNAm"/>
            </w:pPr>
            <w:r>
              <w:br/>
              <w:t>20.0</w:t>
            </w:r>
          </w:p>
        </w:tc>
      </w:tr>
    </w:tbl>
    <w:p w:rsidR="006724FB" w:rsidRDefault="006724FB">
      <w:pPr>
        <w:pStyle w:val="Heading5"/>
      </w:pPr>
      <w:bookmarkStart w:id="301" w:name="_Toc75875723"/>
      <w:r>
        <w:rPr>
          <w:rStyle w:val="CharSectno"/>
        </w:rPr>
        <w:t>165</w:t>
      </w:r>
      <w:r>
        <w:t>.</w:t>
      </w:r>
      <w:r>
        <w:tab/>
        <w:t>Mass limits relating to heavy vehicle axle spacing</w:t>
      </w:r>
      <w:bookmarkEnd w:id="301"/>
    </w:p>
    <w:p w:rsidR="006724FB" w:rsidRDefault="006724FB">
      <w:pPr>
        <w:pStyle w:val="Subsection"/>
      </w:pPr>
      <w:r>
        <w:tab/>
        <w:t>(1)</w:t>
      </w:r>
      <w:r>
        <w:tab/>
        <w:t xml:space="preserve">In this regulation — </w:t>
      </w:r>
    </w:p>
    <w:p w:rsidR="006724FB" w:rsidRDefault="006724FB">
      <w:pPr>
        <w:pStyle w:val="Defstart"/>
      </w:pPr>
      <w:r>
        <w:tab/>
      </w:r>
      <w:r>
        <w:rPr>
          <w:rStyle w:val="CharDefText"/>
        </w:rPr>
        <w:t>vehicle</w:t>
      </w:r>
      <w:r>
        <w:t xml:space="preserve"> means — </w:t>
      </w:r>
    </w:p>
    <w:p w:rsidR="006724FB" w:rsidRDefault="006724FB">
      <w:pPr>
        <w:pStyle w:val="Defpara"/>
      </w:pPr>
      <w:r>
        <w:tab/>
        <w:t>(a)</w:t>
      </w:r>
      <w:r>
        <w:tab/>
        <w:t>a heavy vehicle; or</w:t>
      </w:r>
    </w:p>
    <w:p w:rsidR="006724FB" w:rsidRDefault="006724FB">
      <w:pPr>
        <w:pStyle w:val="Defpara"/>
      </w:pPr>
      <w:r>
        <w:tab/>
        <w:t>(b)</w:t>
      </w:r>
      <w:r>
        <w:tab/>
        <w:t>a combination that includes a heavy vehicle.</w:t>
      </w:r>
    </w:p>
    <w:p w:rsidR="006724FB" w:rsidRDefault="006724FB">
      <w:pPr>
        <w:pStyle w:val="Subsection"/>
      </w:pPr>
      <w:r>
        <w:tab/>
        <w:t>(2)</w:t>
      </w:r>
      <w:r>
        <w:tab/>
        <w:t>This regulation applies to a vehicle if, under this Division, the total mass of the vehicle and its load must not exceed 42.5 t.</w:t>
      </w:r>
    </w:p>
    <w:p w:rsidR="006724FB" w:rsidRDefault="006724FB">
      <w:pPr>
        <w:pStyle w:val="Subsection"/>
      </w:pPr>
      <w:r>
        <w:tab/>
        <w:t>(3)</w:t>
      </w:r>
      <w:r>
        <w:tab/>
        <w:t>The mass limits in the Table must not be exceeded in relation to the distances set out in the Table that apply to a vehicle.</w:t>
      </w:r>
    </w:p>
    <w:p w:rsidR="006724FB" w:rsidRDefault="006724FB">
      <w:pPr>
        <w:pStyle w:val="Subsection"/>
      </w:pPr>
      <w:r>
        <w:tab/>
        <w:t>(4)</w:t>
      </w:r>
      <w:r>
        <w:tab/>
        <w:t>Each distance in the Table refers to —</w:t>
      </w:r>
    </w:p>
    <w:p w:rsidR="006724FB" w:rsidRDefault="006724FB">
      <w:pPr>
        <w:pStyle w:val="Indenta"/>
      </w:pPr>
      <w:r>
        <w:tab/>
        <w:t>(a)</w:t>
      </w:r>
      <w:r>
        <w:tab/>
        <w:t>the distance from the centre of any single axle to the centre of any other single axle; or</w:t>
      </w:r>
    </w:p>
    <w:p w:rsidR="006724FB" w:rsidRDefault="006724FB">
      <w:pPr>
        <w:pStyle w:val="Indenta"/>
      </w:pPr>
      <w:r>
        <w:tab/>
        <w:t>(b)</w:t>
      </w:r>
      <w:r>
        <w:tab/>
        <w:t>the distance from the centre of any single axle to the centre of the furthest axle in any axle group; or</w:t>
      </w:r>
    </w:p>
    <w:p w:rsidR="006724FB" w:rsidRDefault="006724FB">
      <w:pPr>
        <w:pStyle w:val="Indenta"/>
      </w:pPr>
      <w:r>
        <w:tab/>
        <w:t>(c)</w:t>
      </w:r>
      <w:r>
        <w:tab/>
        <w:t>the greatest distance between the centres of axles in any axle groups.</w:t>
      </w:r>
    </w:p>
    <w:p w:rsidR="006724FB" w:rsidRDefault="006724FB">
      <w:pPr>
        <w:pStyle w:val="Graphics"/>
        <w:spacing w:before="240" w:after="240"/>
        <w:jc w:val="center"/>
      </w:pPr>
      <w:r>
        <w:lastRenderedPageBreak/>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rsidR="006724FB" w:rsidRDefault="006724FB">
      <w:pPr>
        <w:pStyle w:val="MiscellaneousHeading"/>
        <w:rPr>
          <w:b/>
        </w:rPr>
      </w:pPr>
      <w:r>
        <w:rPr>
          <w:b/>
        </w:rPr>
        <w:t>Measurement of distances for the Table</w:t>
      </w:r>
    </w:p>
    <w:p w:rsidR="006724FB" w:rsidRDefault="006724FB">
      <w:pPr>
        <w:pStyle w:val="Subsection"/>
      </w:pPr>
      <w:r>
        <w:tab/>
        <w:t>(5)</w:t>
      </w:r>
      <w:r>
        <w:tab/>
        <w:t>The mass limits in the Table apply to the sum of the mass on each axle group or single axle in the distance mentioned in the Table, including the axles between which the distance is measured.</w:t>
      </w:r>
    </w:p>
    <w:p w:rsidR="006724FB" w:rsidRDefault="006724FB">
      <w:pPr>
        <w:pStyle w:val="Subsection"/>
      </w:pPr>
      <w:r>
        <w:tab/>
        <w:t>(6)</w:t>
      </w:r>
      <w:r>
        <w:tab/>
        <w:t>The total mass of a vehicle and its load must not exceed 15 t if the distance between any 2 axles that are not part of the same axle group is less than 2.5 m.</w:t>
      </w:r>
    </w:p>
    <w:p w:rsidR="006724FB" w:rsidRDefault="006724FB">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rsidR="006724FB">
        <w:trPr>
          <w:cantSplit/>
          <w:tblHeader/>
        </w:trPr>
        <w:tc>
          <w:tcPr>
            <w:tcW w:w="3402" w:type="dxa"/>
            <w:gridSpan w:val="2"/>
            <w:tcBorders>
              <w:top w:val="single" w:sz="4" w:space="0" w:color="auto"/>
            </w:tcBorders>
          </w:tcPr>
          <w:p w:rsidR="006724FB" w:rsidRDefault="006724FB">
            <w:pPr>
              <w:pStyle w:val="TableNAm"/>
              <w:jc w:val="center"/>
              <w:rPr>
                <w:b/>
              </w:rPr>
            </w:pPr>
            <w:r>
              <w:rPr>
                <w:b/>
              </w:rPr>
              <w:t>Distance (m)</w:t>
            </w:r>
          </w:p>
        </w:tc>
        <w:tc>
          <w:tcPr>
            <w:tcW w:w="1559" w:type="dxa"/>
            <w:vMerge w:val="restart"/>
            <w:tcBorders>
              <w:top w:val="single" w:sz="4" w:space="0" w:color="auto"/>
              <w:bottom w:val="single" w:sz="4" w:space="0" w:color="auto"/>
            </w:tcBorders>
          </w:tcPr>
          <w:p w:rsidR="006724FB" w:rsidRDefault="006724FB">
            <w:pPr>
              <w:pStyle w:val="TableNAm"/>
              <w:rPr>
                <w:b/>
              </w:rPr>
            </w:pPr>
            <w:r>
              <w:rPr>
                <w:b/>
              </w:rPr>
              <w:t xml:space="preserve">Mass </w:t>
            </w:r>
            <w:r>
              <w:rPr>
                <w:b/>
              </w:rPr>
              <w:br/>
              <w:t>limit (t)</w:t>
            </w:r>
          </w:p>
        </w:tc>
      </w:tr>
      <w:tr w:rsidR="006724FB">
        <w:trPr>
          <w:cantSplit/>
          <w:tblHeader/>
        </w:trPr>
        <w:tc>
          <w:tcPr>
            <w:tcW w:w="1701" w:type="dxa"/>
            <w:tcBorders>
              <w:bottom w:val="single" w:sz="4" w:space="0" w:color="auto"/>
            </w:tcBorders>
          </w:tcPr>
          <w:p w:rsidR="006724FB" w:rsidRDefault="006724FB">
            <w:pPr>
              <w:pStyle w:val="TableNAm"/>
              <w:rPr>
                <w:b/>
              </w:rPr>
            </w:pPr>
            <w:r>
              <w:rPr>
                <w:b/>
              </w:rPr>
              <w:t>exceeding</w:t>
            </w:r>
          </w:p>
        </w:tc>
        <w:tc>
          <w:tcPr>
            <w:tcW w:w="1701" w:type="dxa"/>
            <w:tcBorders>
              <w:bottom w:val="single" w:sz="4" w:space="0" w:color="auto"/>
            </w:tcBorders>
          </w:tcPr>
          <w:p w:rsidR="006724FB" w:rsidRDefault="006724FB">
            <w:pPr>
              <w:pStyle w:val="TableNAm"/>
              <w:rPr>
                <w:b/>
              </w:rPr>
            </w:pPr>
            <w:r>
              <w:rPr>
                <w:b/>
              </w:rPr>
              <w:t>not exceeding</w:t>
            </w:r>
          </w:p>
        </w:tc>
        <w:tc>
          <w:tcPr>
            <w:tcW w:w="1559" w:type="dxa"/>
            <w:vMerge/>
            <w:tcBorders>
              <w:top w:val="single" w:sz="4" w:space="0" w:color="auto"/>
              <w:bottom w:val="single" w:sz="4" w:space="0" w:color="auto"/>
            </w:tcBorders>
          </w:tcPr>
          <w:p w:rsidR="006724FB" w:rsidRDefault="006724FB">
            <w:pPr>
              <w:pStyle w:val="TableNAm"/>
              <w:rPr>
                <w:b/>
              </w:rPr>
            </w:pPr>
          </w:p>
        </w:tc>
      </w:tr>
      <w:tr w:rsidR="006724FB">
        <w:trPr>
          <w:cantSplit/>
        </w:trPr>
        <w:tc>
          <w:tcPr>
            <w:tcW w:w="1701" w:type="dxa"/>
          </w:tcPr>
          <w:p w:rsidR="006724FB" w:rsidRDefault="006724FB">
            <w:pPr>
              <w:pStyle w:val="TableNAm"/>
            </w:pPr>
            <w:r>
              <w:t xml:space="preserve">   0</w:t>
            </w:r>
            <w:r>
              <w:tab/>
              <w:t>—</w:t>
            </w:r>
          </w:p>
        </w:tc>
        <w:tc>
          <w:tcPr>
            <w:tcW w:w="1701" w:type="dxa"/>
          </w:tcPr>
          <w:p w:rsidR="006724FB" w:rsidRDefault="006724FB">
            <w:pPr>
              <w:pStyle w:val="TableNAm"/>
            </w:pPr>
            <w:r>
              <w:t>3.7  ................</w:t>
            </w:r>
          </w:p>
        </w:tc>
        <w:tc>
          <w:tcPr>
            <w:tcW w:w="1559" w:type="dxa"/>
          </w:tcPr>
          <w:p w:rsidR="006724FB" w:rsidRDefault="006724FB">
            <w:pPr>
              <w:pStyle w:val="TableNAm"/>
            </w:pPr>
            <w:r>
              <w:t>23.0</w:t>
            </w:r>
          </w:p>
        </w:tc>
      </w:tr>
      <w:tr w:rsidR="006724FB">
        <w:trPr>
          <w:cantSplit/>
        </w:trPr>
        <w:tc>
          <w:tcPr>
            <w:tcW w:w="1701" w:type="dxa"/>
          </w:tcPr>
          <w:p w:rsidR="006724FB" w:rsidRDefault="006724FB">
            <w:pPr>
              <w:pStyle w:val="TableNAm"/>
            </w:pPr>
            <w:r>
              <w:t>3.7</w:t>
            </w:r>
            <w:r>
              <w:tab/>
              <w:t>—</w:t>
            </w:r>
          </w:p>
        </w:tc>
        <w:tc>
          <w:tcPr>
            <w:tcW w:w="1701" w:type="dxa"/>
          </w:tcPr>
          <w:p w:rsidR="006724FB" w:rsidRDefault="006724FB">
            <w:pPr>
              <w:pStyle w:val="TableNAm"/>
            </w:pPr>
            <w:r>
              <w:t>3.8  ................</w:t>
            </w:r>
          </w:p>
        </w:tc>
        <w:tc>
          <w:tcPr>
            <w:tcW w:w="1559" w:type="dxa"/>
          </w:tcPr>
          <w:p w:rsidR="006724FB" w:rsidRDefault="006724FB">
            <w:pPr>
              <w:pStyle w:val="TableNAm"/>
            </w:pPr>
            <w:r>
              <w:t>23.5</w:t>
            </w:r>
          </w:p>
        </w:tc>
      </w:tr>
      <w:tr w:rsidR="006724FB">
        <w:trPr>
          <w:cantSplit/>
        </w:trPr>
        <w:tc>
          <w:tcPr>
            <w:tcW w:w="1701" w:type="dxa"/>
          </w:tcPr>
          <w:p w:rsidR="006724FB" w:rsidRDefault="006724FB">
            <w:pPr>
              <w:pStyle w:val="TableNAm"/>
            </w:pPr>
            <w:r>
              <w:t>3.8</w:t>
            </w:r>
            <w:r>
              <w:tab/>
              <w:t>—</w:t>
            </w:r>
          </w:p>
        </w:tc>
        <w:tc>
          <w:tcPr>
            <w:tcW w:w="1701" w:type="dxa"/>
          </w:tcPr>
          <w:p w:rsidR="006724FB" w:rsidRDefault="006724FB">
            <w:pPr>
              <w:pStyle w:val="TableNAm"/>
            </w:pPr>
            <w:r>
              <w:t>4.0  ................</w:t>
            </w:r>
          </w:p>
        </w:tc>
        <w:tc>
          <w:tcPr>
            <w:tcW w:w="1559" w:type="dxa"/>
          </w:tcPr>
          <w:p w:rsidR="006724FB" w:rsidRDefault="006724FB">
            <w:pPr>
              <w:pStyle w:val="TableNAm"/>
            </w:pPr>
            <w:r>
              <w:t>24.0</w:t>
            </w:r>
          </w:p>
        </w:tc>
      </w:tr>
      <w:tr w:rsidR="006724FB">
        <w:trPr>
          <w:cantSplit/>
        </w:trPr>
        <w:tc>
          <w:tcPr>
            <w:tcW w:w="1701" w:type="dxa"/>
          </w:tcPr>
          <w:p w:rsidR="006724FB" w:rsidRDefault="006724FB">
            <w:pPr>
              <w:pStyle w:val="TableNAm"/>
            </w:pPr>
            <w:r>
              <w:t>4.0</w:t>
            </w:r>
            <w:r>
              <w:tab/>
              <w:t>—</w:t>
            </w:r>
          </w:p>
        </w:tc>
        <w:tc>
          <w:tcPr>
            <w:tcW w:w="1701" w:type="dxa"/>
          </w:tcPr>
          <w:p w:rsidR="006724FB" w:rsidRDefault="006724FB">
            <w:pPr>
              <w:pStyle w:val="TableNAm"/>
            </w:pPr>
            <w:r>
              <w:t>4.2  ................</w:t>
            </w:r>
          </w:p>
        </w:tc>
        <w:tc>
          <w:tcPr>
            <w:tcW w:w="1559" w:type="dxa"/>
          </w:tcPr>
          <w:p w:rsidR="006724FB" w:rsidRDefault="006724FB">
            <w:pPr>
              <w:pStyle w:val="TableNAm"/>
            </w:pPr>
            <w:r>
              <w:t>24.5</w:t>
            </w:r>
          </w:p>
        </w:tc>
      </w:tr>
      <w:tr w:rsidR="006724FB">
        <w:trPr>
          <w:cantSplit/>
        </w:trPr>
        <w:tc>
          <w:tcPr>
            <w:tcW w:w="1701" w:type="dxa"/>
          </w:tcPr>
          <w:p w:rsidR="006724FB" w:rsidRDefault="006724FB">
            <w:pPr>
              <w:pStyle w:val="TableNAm"/>
            </w:pPr>
            <w:r>
              <w:t>4.2</w:t>
            </w:r>
            <w:r>
              <w:tab/>
              <w:t>—</w:t>
            </w:r>
          </w:p>
        </w:tc>
        <w:tc>
          <w:tcPr>
            <w:tcW w:w="1701" w:type="dxa"/>
          </w:tcPr>
          <w:p w:rsidR="006724FB" w:rsidRDefault="006724FB">
            <w:pPr>
              <w:pStyle w:val="TableNAm"/>
            </w:pPr>
            <w:r>
              <w:t>4.3  ................</w:t>
            </w:r>
          </w:p>
        </w:tc>
        <w:tc>
          <w:tcPr>
            <w:tcW w:w="1559" w:type="dxa"/>
          </w:tcPr>
          <w:p w:rsidR="006724FB" w:rsidRDefault="006724FB">
            <w:pPr>
              <w:pStyle w:val="TableNAm"/>
            </w:pPr>
            <w:r>
              <w:t>25.0</w:t>
            </w:r>
          </w:p>
        </w:tc>
      </w:tr>
      <w:tr w:rsidR="006724FB">
        <w:trPr>
          <w:cantSplit/>
        </w:trPr>
        <w:tc>
          <w:tcPr>
            <w:tcW w:w="1701" w:type="dxa"/>
          </w:tcPr>
          <w:p w:rsidR="006724FB" w:rsidRDefault="006724FB">
            <w:pPr>
              <w:pStyle w:val="TableNAm"/>
            </w:pPr>
            <w:r>
              <w:t>4.3</w:t>
            </w:r>
            <w:r>
              <w:tab/>
              <w:t>—</w:t>
            </w:r>
          </w:p>
        </w:tc>
        <w:tc>
          <w:tcPr>
            <w:tcW w:w="1701" w:type="dxa"/>
          </w:tcPr>
          <w:p w:rsidR="006724FB" w:rsidRDefault="006724FB">
            <w:pPr>
              <w:pStyle w:val="TableNAm"/>
            </w:pPr>
            <w:r>
              <w:t>4.5  ................</w:t>
            </w:r>
          </w:p>
        </w:tc>
        <w:tc>
          <w:tcPr>
            <w:tcW w:w="1559" w:type="dxa"/>
          </w:tcPr>
          <w:p w:rsidR="006724FB" w:rsidRDefault="006724FB">
            <w:pPr>
              <w:pStyle w:val="TableNAm"/>
            </w:pPr>
            <w:r>
              <w:t>25.5</w:t>
            </w:r>
          </w:p>
        </w:tc>
      </w:tr>
      <w:tr w:rsidR="006724FB">
        <w:trPr>
          <w:cantSplit/>
        </w:trPr>
        <w:tc>
          <w:tcPr>
            <w:tcW w:w="1701" w:type="dxa"/>
          </w:tcPr>
          <w:p w:rsidR="006724FB" w:rsidRDefault="006724FB">
            <w:pPr>
              <w:pStyle w:val="TableNAm"/>
            </w:pPr>
            <w:r>
              <w:t>4.5</w:t>
            </w:r>
            <w:r>
              <w:tab/>
              <w:t>—</w:t>
            </w:r>
          </w:p>
        </w:tc>
        <w:tc>
          <w:tcPr>
            <w:tcW w:w="1701" w:type="dxa"/>
          </w:tcPr>
          <w:p w:rsidR="006724FB" w:rsidRDefault="006724FB">
            <w:pPr>
              <w:pStyle w:val="TableNAm"/>
            </w:pPr>
            <w:r>
              <w:t>4.7  ................</w:t>
            </w:r>
          </w:p>
        </w:tc>
        <w:tc>
          <w:tcPr>
            <w:tcW w:w="1559" w:type="dxa"/>
          </w:tcPr>
          <w:p w:rsidR="006724FB" w:rsidRDefault="006724FB">
            <w:pPr>
              <w:pStyle w:val="TableNAm"/>
            </w:pPr>
            <w:r>
              <w:t>26.0</w:t>
            </w:r>
          </w:p>
        </w:tc>
      </w:tr>
      <w:tr w:rsidR="006724FB">
        <w:trPr>
          <w:cantSplit/>
        </w:trPr>
        <w:tc>
          <w:tcPr>
            <w:tcW w:w="1701" w:type="dxa"/>
          </w:tcPr>
          <w:p w:rsidR="006724FB" w:rsidRDefault="006724FB">
            <w:pPr>
              <w:pStyle w:val="TableNAm"/>
            </w:pPr>
            <w:r>
              <w:lastRenderedPageBreak/>
              <w:t>4.7</w:t>
            </w:r>
            <w:r>
              <w:tab/>
              <w:t>—</w:t>
            </w:r>
          </w:p>
        </w:tc>
        <w:tc>
          <w:tcPr>
            <w:tcW w:w="1701" w:type="dxa"/>
          </w:tcPr>
          <w:p w:rsidR="006724FB" w:rsidRDefault="006724FB">
            <w:pPr>
              <w:pStyle w:val="TableNAm"/>
            </w:pPr>
            <w:r>
              <w:t>4.8  ................</w:t>
            </w:r>
          </w:p>
        </w:tc>
        <w:tc>
          <w:tcPr>
            <w:tcW w:w="1559" w:type="dxa"/>
          </w:tcPr>
          <w:p w:rsidR="006724FB" w:rsidRDefault="006724FB">
            <w:pPr>
              <w:pStyle w:val="TableNAm"/>
            </w:pPr>
            <w:r>
              <w:t>26.5</w:t>
            </w:r>
          </w:p>
        </w:tc>
      </w:tr>
      <w:tr w:rsidR="006724FB">
        <w:trPr>
          <w:cantSplit/>
        </w:trPr>
        <w:tc>
          <w:tcPr>
            <w:tcW w:w="1701" w:type="dxa"/>
          </w:tcPr>
          <w:p w:rsidR="006724FB" w:rsidRDefault="006724FB">
            <w:pPr>
              <w:pStyle w:val="TableNAm"/>
            </w:pPr>
            <w:r>
              <w:t>4.8</w:t>
            </w:r>
            <w:r>
              <w:tab/>
              <w:t>—</w:t>
            </w:r>
          </w:p>
        </w:tc>
        <w:tc>
          <w:tcPr>
            <w:tcW w:w="1701" w:type="dxa"/>
          </w:tcPr>
          <w:p w:rsidR="006724FB" w:rsidRDefault="006724FB">
            <w:pPr>
              <w:pStyle w:val="TableNAm"/>
            </w:pPr>
            <w:r>
              <w:t>5.0  ................</w:t>
            </w:r>
          </w:p>
        </w:tc>
        <w:tc>
          <w:tcPr>
            <w:tcW w:w="1559" w:type="dxa"/>
          </w:tcPr>
          <w:p w:rsidR="006724FB" w:rsidRDefault="006724FB">
            <w:pPr>
              <w:pStyle w:val="TableNAm"/>
            </w:pPr>
            <w:r>
              <w:t>27.0</w:t>
            </w:r>
          </w:p>
        </w:tc>
      </w:tr>
      <w:tr w:rsidR="006724FB">
        <w:trPr>
          <w:cantSplit/>
        </w:trPr>
        <w:tc>
          <w:tcPr>
            <w:tcW w:w="1701" w:type="dxa"/>
          </w:tcPr>
          <w:p w:rsidR="006724FB" w:rsidRDefault="006724FB">
            <w:pPr>
              <w:pStyle w:val="TableNAm"/>
            </w:pPr>
            <w:r>
              <w:t>5.0</w:t>
            </w:r>
            <w:r>
              <w:tab/>
              <w:t>—</w:t>
            </w:r>
          </w:p>
        </w:tc>
        <w:tc>
          <w:tcPr>
            <w:tcW w:w="1701" w:type="dxa"/>
          </w:tcPr>
          <w:p w:rsidR="006724FB" w:rsidRDefault="006724FB">
            <w:pPr>
              <w:pStyle w:val="TableNAm"/>
            </w:pPr>
            <w:r>
              <w:t>5.2  ................</w:t>
            </w:r>
          </w:p>
        </w:tc>
        <w:tc>
          <w:tcPr>
            <w:tcW w:w="1559" w:type="dxa"/>
          </w:tcPr>
          <w:p w:rsidR="006724FB" w:rsidRDefault="006724FB">
            <w:pPr>
              <w:pStyle w:val="TableNAm"/>
            </w:pPr>
            <w:r>
              <w:t>27.5</w:t>
            </w:r>
          </w:p>
        </w:tc>
      </w:tr>
      <w:tr w:rsidR="006724FB">
        <w:trPr>
          <w:cantSplit/>
        </w:trPr>
        <w:tc>
          <w:tcPr>
            <w:tcW w:w="1701" w:type="dxa"/>
          </w:tcPr>
          <w:p w:rsidR="006724FB" w:rsidRDefault="006724FB">
            <w:pPr>
              <w:pStyle w:val="TableNAm"/>
            </w:pPr>
            <w:r>
              <w:t>5.2</w:t>
            </w:r>
            <w:r>
              <w:tab/>
              <w:t>—</w:t>
            </w:r>
          </w:p>
        </w:tc>
        <w:tc>
          <w:tcPr>
            <w:tcW w:w="1701" w:type="dxa"/>
          </w:tcPr>
          <w:p w:rsidR="006724FB" w:rsidRDefault="006724FB">
            <w:pPr>
              <w:pStyle w:val="TableNAm"/>
            </w:pPr>
            <w:r>
              <w:t>5.3  ................</w:t>
            </w:r>
          </w:p>
        </w:tc>
        <w:tc>
          <w:tcPr>
            <w:tcW w:w="1559" w:type="dxa"/>
          </w:tcPr>
          <w:p w:rsidR="006724FB" w:rsidRDefault="006724FB">
            <w:pPr>
              <w:pStyle w:val="TableNAm"/>
            </w:pPr>
            <w:r>
              <w:t>28.0</w:t>
            </w:r>
          </w:p>
        </w:tc>
      </w:tr>
      <w:tr w:rsidR="006724FB">
        <w:trPr>
          <w:cantSplit/>
        </w:trPr>
        <w:tc>
          <w:tcPr>
            <w:tcW w:w="1701" w:type="dxa"/>
          </w:tcPr>
          <w:p w:rsidR="006724FB" w:rsidRDefault="006724FB">
            <w:pPr>
              <w:pStyle w:val="TableNAm"/>
            </w:pPr>
            <w:r>
              <w:t>5.3</w:t>
            </w:r>
            <w:r>
              <w:tab/>
              <w:t>—</w:t>
            </w:r>
          </w:p>
        </w:tc>
        <w:tc>
          <w:tcPr>
            <w:tcW w:w="1701" w:type="dxa"/>
          </w:tcPr>
          <w:p w:rsidR="006724FB" w:rsidRDefault="006724FB">
            <w:pPr>
              <w:pStyle w:val="TableNAm"/>
            </w:pPr>
            <w:r>
              <w:t>5.5  ................</w:t>
            </w:r>
          </w:p>
        </w:tc>
        <w:tc>
          <w:tcPr>
            <w:tcW w:w="1559" w:type="dxa"/>
          </w:tcPr>
          <w:p w:rsidR="006724FB" w:rsidRDefault="006724FB">
            <w:pPr>
              <w:pStyle w:val="TableNAm"/>
            </w:pPr>
            <w:r>
              <w:t>28.5</w:t>
            </w:r>
          </w:p>
        </w:tc>
      </w:tr>
      <w:tr w:rsidR="006724FB">
        <w:trPr>
          <w:cantSplit/>
        </w:trPr>
        <w:tc>
          <w:tcPr>
            <w:tcW w:w="1701" w:type="dxa"/>
          </w:tcPr>
          <w:p w:rsidR="006724FB" w:rsidRDefault="006724FB">
            <w:pPr>
              <w:pStyle w:val="TableNAm"/>
            </w:pPr>
            <w:r>
              <w:t>5.5</w:t>
            </w:r>
            <w:r>
              <w:tab/>
              <w:t>—</w:t>
            </w:r>
          </w:p>
        </w:tc>
        <w:tc>
          <w:tcPr>
            <w:tcW w:w="1701" w:type="dxa"/>
          </w:tcPr>
          <w:p w:rsidR="006724FB" w:rsidRDefault="006724FB">
            <w:pPr>
              <w:pStyle w:val="TableNAm"/>
            </w:pPr>
            <w:r>
              <w:t>5.7  ................</w:t>
            </w:r>
          </w:p>
        </w:tc>
        <w:tc>
          <w:tcPr>
            <w:tcW w:w="1559" w:type="dxa"/>
          </w:tcPr>
          <w:p w:rsidR="006724FB" w:rsidRDefault="006724FB">
            <w:pPr>
              <w:pStyle w:val="TableNAm"/>
            </w:pPr>
            <w:r>
              <w:t>29.0</w:t>
            </w:r>
          </w:p>
        </w:tc>
      </w:tr>
      <w:tr w:rsidR="006724FB">
        <w:trPr>
          <w:cantSplit/>
        </w:trPr>
        <w:tc>
          <w:tcPr>
            <w:tcW w:w="1701" w:type="dxa"/>
          </w:tcPr>
          <w:p w:rsidR="006724FB" w:rsidRDefault="006724FB">
            <w:pPr>
              <w:pStyle w:val="TableNAm"/>
            </w:pPr>
            <w:r>
              <w:t>5.7</w:t>
            </w:r>
            <w:r>
              <w:tab/>
              <w:t>—</w:t>
            </w:r>
          </w:p>
        </w:tc>
        <w:tc>
          <w:tcPr>
            <w:tcW w:w="1701" w:type="dxa"/>
          </w:tcPr>
          <w:p w:rsidR="006724FB" w:rsidRDefault="006724FB">
            <w:pPr>
              <w:pStyle w:val="TableNAm"/>
            </w:pPr>
            <w:r>
              <w:t>5.8  ................</w:t>
            </w:r>
          </w:p>
        </w:tc>
        <w:tc>
          <w:tcPr>
            <w:tcW w:w="1559" w:type="dxa"/>
          </w:tcPr>
          <w:p w:rsidR="006724FB" w:rsidRDefault="006724FB">
            <w:pPr>
              <w:pStyle w:val="TableNAm"/>
            </w:pPr>
            <w:r>
              <w:t>29.5</w:t>
            </w:r>
          </w:p>
        </w:tc>
      </w:tr>
      <w:tr w:rsidR="006724FB">
        <w:trPr>
          <w:cantSplit/>
        </w:trPr>
        <w:tc>
          <w:tcPr>
            <w:tcW w:w="1701" w:type="dxa"/>
          </w:tcPr>
          <w:p w:rsidR="006724FB" w:rsidRDefault="006724FB">
            <w:pPr>
              <w:pStyle w:val="TableNAm"/>
            </w:pPr>
            <w:r>
              <w:t>5.8</w:t>
            </w:r>
            <w:r>
              <w:tab/>
              <w:t>—</w:t>
            </w:r>
          </w:p>
        </w:tc>
        <w:tc>
          <w:tcPr>
            <w:tcW w:w="1701" w:type="dxa"/>
          </w:tcPr>
          <w:p w:rsidR="006724FB" w:rsidRDefault="006724FB">
            <w:pPr>
              <w:pStyle w:val="TableNAm"/>
            </w:pPr>
            <w:r>
              <w:t>6.0  ................</w:t>
            </w:r>
          </w:p>
        </w:tc>
        <w:tc>
          <w:tcPr>
            <w:tcW w:w="1559" w:type="dxa"/>
          </w:tcPr>
          <w:p w:rsidR="006724FB" w:rsidRDefault="006724FB">
            <w:pPr>
              <w:pStyle w:val="TableNAm"/>
            </w:pPr>
            <w:r>
              <w:t>30.0</w:t>
            </w:r>
          </w:p>
        </w:tc>
      </w:tr>
      <w:tr w:rsidR="006724FB">
        <w:trPr>
          <w:cantSplit/>
        </w:trPr>
        <w:tc>
          <w:tcPr>
            <w:tcW w:w="1701" w:type="dxa"/>
          </w:tcPr>
          <w:p w:rsidR="006724FB" w:rsidRDefault="006724FB">
            <w:pPr>
              <w:pStyle w:val="TableNAm"/>
            </w:pPr>
            <w:r>
              <w:t>6.0</w:t>
            </w:r>
            <w:r>
              <w:tab/>
              <w:t>—</w:t>
            </w:r>
          </w:p>
        </w:tc>
        <w:tc>
          <w:tcPr>
            <w:tcW w:w="1701" w:type="dxa"/>
          </w:tcPr>
          <w:p w:rsidR="006724FB" w:rsidRDefault="006724FB">
            <w:pPr>
              <w:pStyle w:val="TableNAm"/>
            </w:pPr>
            <w:r>
              <w:t>6.2  ................</w:t>
            </w:r>
          </w:p>
        </w:tc>
        <w:tc>
          <w:tcPr>
            <w:tcW w:w="1559" w:type="dxa"/>
          </w:tcPr>
          <w:p w:rsidR="006724FB" w:rsidRDefault="006724FB">
            <w:pPr>
              <w:pStyle w:val="TableNAm"/>
            </w:pPr>
            <w:r>
              <w:t>30.5</w:t>
            </w:r>
          </w:p>
        </w:tc>
      </w:tr>
      <w:tr w:rsidR="006724FB">
        <w:trPr>
          <w:cantSplit/>
        </w:trPr>
        <w:tc>
          <w:tcPr>
            <w:tcW w:w="1701" w:type="dxa"/>
          </w:tcPr>
          <w:p w:rsidR="006724FB" w:rsidRDefault="006724FB">
            <w:pPr>
              <w:pStyle w:val="TableNAm"/>
            </w:pPr>
            <w:r>
              <w:t>6.2</w:t>
            </w:r>
            <w:r>
              <w:tab/>
              <w:t>—</w:t>
            </w:r>
          </w:p>
        </w:tc>
        <w:tc>
          <w:tcPr>
            <w:tcW w:w="1701" w:type="dxa"/>
          </w:tcPr>
          <w:p w:rsidR="006724FB" w:rsidRDefault="006724FB">
            <w:pPr>
              <w:pStyle w:val="TableNAm"/>
            </w:pPr>
            <w:r>
              <w:t>6.3  ................</w:t>
            </w:r>
          </w:p>
        </w:tc>
        <w:tc>
          <w:tcPr>
            <w:tcW w:w="1559" w:type="dxa"/>
          </w:tcPr>
          <w:p w:rsidR="006724FB" w:rsidRDefault="006724FB">
            <w:pPr>
              <w:pStyle w:val="TableNAm"/>
            </w:pPr>
            <w:r>
              <w:t>31.0</w:t>
            </w:r>
          </w:p>
        </w:tc>
      </w:tr>
      <w:tr w:rsidR="006724FB">
        <w:trPr>
          <w:cantSplit/>
        </w:trPr>
        <w:tc>
          <w:tcPr>
            <w:tcW w:w="1701" w:type="dxa"/>
          </w:tcPr>
          <w:p w:rsidR="006724FB" w:rsidRDefault="006724FB">
            <w:pPr>
              <w:pStyle w:val="TableNAm"/>
            </w:pPr>
            <w:r>
              <w:t>6.3</w:t>
            </w:r>
            <w:r>
              <w:tab/>
              <w:t>—</w:t>
            </w:r>
          </w:p>
        </w:tc>
        <w:tc>
          <w:tcPr>
            <w:tcW w:w="1701" w:type="dxa"/>
          </w:tcPr>
          <w:p w:rsidR="006724FB" w:rsidRDefault="006724FB">
            <w:pPr>
              <w:pStyle w:val="TableNAm"/>
            </w:pPr>
            <w:r>
              <w:t>6.5  ................</w:t>
            </w:r>
          </w:p>
        </w:tc>
        <w:tc>
          <w:tcPr>
            <w:tcW w:w="1559" w:type="dxa"/>
          </w:tcPr>
          <w:p w:rsidR="006724FB" w:rsidRDefault="006724FB">
            <w:pPr>
              <w:pStyle w:val="TableNAm"/>
            </w:pPr>
            <w:r>
              <w:t>31.5</w:t>
            </w:r>
          </w:p>
        </w:tc>
      </w:tr>
      <w:tr w:rsidR="006724FB">
        <w:trPr>
          <w:cantSplit/>
        </w:trPr>
        <w:tc>
          <w:tcPr>
            <w:tcW w:w="1701" w:type="dxa"/>
          </w:tcPr>
          <w:p w:rsidR="006724FB" w:rsidRDefault="006724FB">
            <w:pPr>
              <w:pStyle w:val="TableNAm"/>
            </w:pPr>
            <w:r>
              <w:t>6.5</w:t>
            </w:r>
            <w:r>
              <w:tab/>
              <w:t>—</w:t>
            </w:r>
          </w:p>
        </w:tc>
        <w:tc>
          <w:tcPr>
            <w:tcW w:w="1701" w:type="dxa"/>
          </w:tcPr>
          <w:p w:rsidR="006724FB" w:rsidRDefault="006724FB">
            <w:pPr>
              <w:pStyle w:val="TableNAm"/>
            </w:pPr>
            <w:r>
              <w:t>6.7  ................</w:t>
            </w:r>
          </w:p>
        </w:tc>
        <w:tc>
          <w:tcPr>
            <w:tcW w:w="1559" w:type="dxa"/>
          </w:tcPr>
          <w:p w:rsidR="006724FB" w:rsidRDefault="006724FB">
            <w:pPr>
              <w:pStyle w:val="TableNAm"/>
            </w:pPr>
            <w:r>
              <w:t>32.0</w:t>
            </w:r>
          </w:p>
        </w:tc>
      </w:tr>
      <w:tr w:rsidR="006724FB">
        <w:trPr>
          <w:cantSplit/>
        </w:trPr>
        <w:tc>
          <w:tcPr>
            <w:tcW w:w="1701" w:type="dxa"/>
          </w:tcPr>
          <w:p w:rsidR="006724FB" w:rsidRDefault="006724FB">
            <w:pPr>
              <w:pStyle w:val="TableNAm"/>
            </w:pPr>
            <w:r>
              <w:t>6.7</w:t>
            </w:r>
            <w:r>
              <w:tab/>
              <w:t>—</w:t>
            </w:r>
          </w:p>
        </w:tc>
        <w:tc>
          <w:tcPr>
            <w:tcW w:w="1701" w:type="dxa"/>
          </w:tcPr>
          <w:p w:rsidR="006724FB" w:rsidRDefault="006724FB">
            <w:pPr>
              <w:pStyle w:val="TableNAm"/>
            </w:pPr>
            <w:r>
              <w:t>6.8  ................</w:t>
            </w:r>
          </w:p>
        </w:tc>
        <w:tc>
          <w:tcPr>
            <w:tcW w:w="1559" w:type="dxa"/>
          </w:tcPr>
          <w:p w:rsidR="006724FB" w:rsidRDefault="006724FB">
            <w:pPr>
              <w:pStyle w:val="TableNAm"/>
            </w:pPr>
            <w:r>
              <w:t>32.5</w:t>
            </w:r>
          </w:p>
        </w:tc>
      </w:tr>
      <w:tr w:rsidR="006724FB">
        <w:trPr>
          <w:cantSplit/>
        </w:trPr>
        <w:tc>
          <w:tcPr>
            <w:tcW w:w="1701" w:type="dxa"/>
          </w:tcPr>
          <w:p w:rsidR="006724FB" w:rsidRDefault="006724FB">
            <w:pPr>
              <w:pStyle w:val="TableNAm"/>
            </w:pPr>
            <w:r>
              <w:t>6.8</w:t>
            </w:r>
            <w:r>
              <w:tab/>
              <w:t>—</w:t>
            </w:r>
          </w:p>
        </w:tc>
        <w:tc>
          <w:tcPr>
            <w:tcW w:w="1701" w:type="dxa"/>
          </w:tcPr>
          <w:p w:rsidR="006724FB" w:rsidRDefault="006724FB">
            <w:pPr>
              <w:pStyle w:val="TableNAm"/>
            </w:pPr>
            <w:r>
              <w:t>7.0  ................</w:t>
            </w:r>
          </w:p>
        </w:tc>
        <w:tc>
          <w:tcPr>
            <w:tcW w:w="1559" w:type="dxa"/>
          </w:tcPr>
          <w:p w:rsidR="006724FB" w:rsidRDefault="006724FB">
            <w:pPr>
              <w:pStyle w:val="TableNAm"/>
            </w:pPr>
            <w:r>
              <w:t>33.0</w:t>
            </w:r>
          </w:p>
        </w:tc>
      </w:tr>
      <w:tr w:rsidR="006724FB">
        <w:trPr>
          <w:cantSplit/>
        </w:trPr>
        <w:tc>
          <w:tcPr>
            <w:tcW w:w="1701" w:type="dxa"/>
          </w:tcPr>
          <w:p w:rsidR="006724FB" w:rsidRDefault="006724FB">
            <w:pPr>
              <w:pStyle w:val="TableNAm"/>
            </w:pPr>
            <w:r>
              <w:t>7.0</w:t>
            </w:r>
            <w:r>
              <w:tab/>
              <w:t>—</w:t>
            </w:r>
          </w:p>
        </w:tc>
        <w:tc>
          <w:tcPr>
            <w:tcW w:w="1701" w:type="dxa"/>
          </w:tcPr>
          <w:p w:rsidR="006724FB" w:rsidRDefault="006724FB">
            <w:pPr>
              <w:pStyle w:val="TableNAm"/>
            </w:pPr>
            <w:r>
              <w:t>7.2  ................</w:t>
            </w:r>
          </w:p>
        </w:tc>
        <w:tc>
          <w:tcPr>
            <w:tcW w:w="1559" w:type="dxa"/>
          </w:tcPr>
          <w:p w:rsidR="006724FB" w:rsidRDefault="006724FB">
            <w:pPr>
              <w:pStyle w:val="TableNAm"/>
            </w:pPr>
            <w:r>
              <w:t>33.5</w:t>
            </w:r>
          </w:p>
        </w:tc>
      </w:tr>
      <w:tr w:rsidR="006724FB">
        <w:trPr>
          <w:cantSplit/>
        </w:trPr>
        <w:tc>
          <w:tcPr>
            <w:tcW w:w="1701" w:type="dxa"/>
          </w:tcPr>
          <w:p w:rsidR="006724FB" w:rsidRDefault="006724FB">
            <w:pPr>
              <w:pStyle w:val="TableNAm"/>
            </w:pPr>
            <w:r>
              <w:t>7.2</w:t>
            </w:r>
            <w:r>
              <w:tab/>
              <w:t>—</w:t>
            </w:r>
          </w:p>
        </w:tc>
        <w:tc>
          <w:tcPr>
            <w:tcW w:w="1701" w:type="dxa"/>
          </w:tcPr>
          <w:p w:rsidR="006724FB" w:rsidRDefault="006724FB">
            <w:pPr>
              <w:pStyle w:val="TableNAm"/>
            </w:pPr>
            <w:r>
              <w:t>7.3  ................</w:t>
            </w:r>
          </w:p>
        </w:tc>
        <w:tc>
          <w:tcPr>
            <w:tcW w:w="1559" w:type="dxa"/>
          </w:tcPr>
          <w:p w:rsidR="006724FB" w:rsidRDefault="006724FB">
            <w:pPr>
              <w:pStyle w:val="TableNAm"/>
            </w:pPr>
            <w:r>
              <w:t>34.0</w:t>
            </w:r>
          </w:p>
        </w:tc>
      </w:tr>
      <w:tr w:rsidR="006724FB">
        <w:trPr>
          <w:cantSplit/>
        </w:trPr>
        <w:tc>
          <w:tcPr>
            <w:tcW w:w="1701" w:type="dxa"/>
          </w:tcPr>
          <w:p w:rsidR="006724FB" w:rsidRDefault="006724FB">
            <w:pPr>
              <w:pStyle w:val="TableNAm"/>
            </w:pPr>
            <w:r>
              <w:t>7.3</w:t>
            </w:r>
            <w:r>
              <w:tab/>
              <w:t>—</w:t>
            </w:r>
          </w:p>
        </w:tc>
        <w:tc>
          <w:tcPr>
            <w:tcW w:w="1701" w:type="dxa"/>
          </w:tcPr>
          <w:p w:rsidR="006724FB" w:rsidRDefault="006724FB">
            <w:pPr>
              <w:pStyle w:val="TableNAm"/>
            </w:pPr>
            <w:r>
              <w:t>7.5  ................</w:t>
            </w:r>
          </w:p>
        </w:tc>
        <w:tc>
          <w:tcPr>
            <w:tcW w:w="1559" w:type="dxa"/>
          </w:tcPr>
          <w:p w:rsidR="006724FB" w:rsidRDefault="006724FB">
            <w:pPr>
              <w:pStyle w:val="TableNAm"/>
            </w:pPr>
            <w:r>
              <w:t>34.5</w:t>
            </w:r>
          </w:p>
        </w:tc>
      </w:tr>
      <w:tr w:rsidR="006724FB">
        <w:trPr>
          <w:cantSplit/>
        </w:trPr>
        <w:tc>
          <w:tcPr>
            <w:tcW w:w="1701" w:type="dxa"/>
          </w:tcPr>
          <w:p w:rsidR="006724FB" w:rsidRDefault="006724FB">
            <w:pPr>
              <w:pStyle w:val="TableNAm"/>
            </w:pPr>
            <w:r>
              <w:t>7.5</w:t>
            </w:r>
            <w:r>
              <w:tab/>
              <w:t>—</w:t>
            </w:r>
          </w:p>
        </w:tc>
        <w:tc>
          <w:tcPr>
            <w:tcW w:w="1701" w:type="dxa"/>
          </w:tcPr>
          <w:p w:rsidR="006724FB" w:rsidRDefault="006724FB">
            <w:pPr>
              <w:pStyle w:val="TableNAm"/>
            </w:pPr>
            <w:r>
              <w:t>7.7  ................</w:t>
            </w:r>
          </w:p>
        </w:tc>
        <w:tc>
          <w:tcPr>
            <w:tcW w:w="1559" w:type="dxa"/>
          </w:tcPr>
          <w:p w:rsidR="006724FB" w:rsidRDefault="006724FB">
            <w:pPr>
              <w:pStyle w:val="TableNAm"/>
            </w:pPr>
            <w:r>
              <w:t>35.0</w:t>
            </w:r>
          </w:p>
        </w:tc>
      </w:tr>
      <w:tr w:rsidR="006724FB">
        <w:trPr>
          <w:cantSplit/>
        </w:trPr>
        <w:tc>
          <w:tcPr>
            <w:tcW w:w="1701" w:type="dxa"/>
          </w:tcPr>
          <w:p w:rsidR="006724FB" w:rsidRDefault="006724FB">
            <w:pPr>
              <w:pStyle w:val="TableNAm"/>
            </w:pPr>
            <w:r>
              <w:t>7.7</w:t>
            </w:r>
            <w:r>
              <w:tab/>
              <w:t>—</w:t>
            </w:r>
          </w:p>
        </w:tc>
        <w:tc>
          <w:tcPr>
            <w:tcW w:w="1701" w:type="dxa"/>
          </w:tcPr>
          <w:p w:rsidR="006724FB" w:rsidRDefault="006724FB">
            <w:pPr>
              <w:pStyle w:val="TableNAm"/>
            </w:pPr>
            <w:r>
              <w:t>7.8  ................</w:t>
            </w:r>
          </w:p>
        </w:tc>
        <w:tc>
          <w:tcPr>
            <w:tcW w:w="1559" w:type="dxa"/>
          </w:tcPr>
          <w:p w:rsidR="006724FB" w:rsidRDefault="006724FB">
            <w:pPr>
              <w:pStyle w:val="TableNAm"/>
            </w:pPr>
            <w:r>
              <w:t>35.5</w:t>
            </w:r>
          </w:p>
        </w:tc>
      </w:tr>
      <w:tr w:rsidR="006724FB">
        <w:trPr>
          <w:cantSplit/>
        </w:trPr>
        <w:tc>
          <w:tcPr>
            <w:tcW w:w="1701" w:type="dxa"/>
          </w:tcPr>
          <w:p w:rsidR="006724FB" w:rsidRDefault="006724FB">
            <w:pPr>
              <w:pStyle w:val="TableNAm"/>
            </w:pPr>
            <w:r>
              <w:t>7.8</w:t>
            </w:r>
            <w:r>
              <w:tab/>
              <w:t>—</w:t>
            </w:r>
          </w:p>
        </w:tc>
        <w:tc>
          <w:tcPr>
            <w:tcW w:w="1701" w:type="dxa"/>
          </w:tcPr>
          <w:p w:rsidR="006724FB" w:rsidRDefault="006724FB">
            <w:pPr>
              <w:pStyle w:val="TableNAm"/>
            </w:pPr>
            <w:r>
              <w:t>8.0  ................</w:t>
            </w:r>
          </w:p>
        </w:tc>
        <w:tc>
          <w:tcPr>
            <w:tcW w:w="1559" w:type="dxa"/>
          </w:tcPr>
          <w:p w:rsidR="006724FB" w:rsidRDefault="006724FB">
            <w:pPr>
              <w:pStyle w:val="TableNAm"/>
            </w:pPr>
            <w:r>
              <w:t>36.0</w:t>
            </w:r>
          </w:p>
        </w:tc>
      </w:tr>
      <w:tr w:rsidR="006724FB">
        <w:trPr>
          <w:cantSplit/>
        </w:trPr>
        <w:tc>
          <w:tcPr>
            <w:tcW w:w="1701" w:type="dxa"/>
          </w:tcPr>
          <w:p w:rsidR="006724FB" w:rsidRDefault="006724FB">
            <w:pPr>
              <w:pStyle w:val="TableNAm"/>
            </w:pPr>
            <w:r>
              <w:t>8.0</w:t>
            </w:r>
            <w:r>
              <w:tab/>
              <w:t>—</w:t>
            </w:r>
          </w:p>
        </w:tc>
        <w:tc>
          <w:tcPr>
            <w:tcW w:w="1701" w:type="dxa"/>
          </w:tcPr>
          <w:p w:rsidR="006724FB" w:rsidRDefault="006724FB">
            <w:pPr>
              <w:pStyle w:val="TableNAm"/>
            </w:pPr>
            <w:r>
              <w:t>8.2  ................</w:t>
            </w:r>
          </w:p>
        </w:tc>
        <w:tc>
          <w:tcPr>
            <w:tcW w:w="1559" w:type="dxa"/>
          </w:tcPr>
          <w:p w:rsidR="006724FB" w:rsidRDefault="006724FB">
            <w:pPr>
              <w:pStyle w:val="TableNAm"/>
            </w:pPr>
            <w:r>
              <w:t>36.5</w:t>
            </w:r>
          </w:p>
        </w:tc>
      </w:tr>
      <w:tr w:rsidR="006724FB">
        <w:trPr>
          <w:cantSplit/>
        </w:trPr>
        <w:tc>
          <w:tcPr>
            <w:tcW w:w="1701" w:type="dxa"/>
          </w:tcPr>
          <w:p w:rsidR="006724FB" w:rsidRDefault="006724FB">
            <w:pPr>
              <w:pStyle w:val="TableNAm"/>
            </w:pPr>
            <w:r>
              <w:t>8.2</w:t>
            </w:r>
            <w:r>
              <w:tab/>
              <w:t>—</w:t>
            </w:r>
          </w:p>
        </w:tc>
        <w:tc>
          <w:tcPr>
            <w:tcW w:w="1701" w:type="dxa"/>
          </w:tcPr>
          <w:p w:rsidR="006724FB" w:rsidRDefault="006724FB">
            <w:pPr>
              <w:pStyle w:val="TableNAm"/>
            </w:pPr>
            <w:r>
              <w:t>8.3  ................</w:t>
            </w:r>
          </w:p>
        </w:tc>
        <w:tc>
          <w:tcPr>
            <w:tcW w:w="1559" w:type="dxa"/>
          </w:tcPr>
          <w:p w:rsidR="006724FB" w:rsidRDefault="006724FB">
            <w:pPr>
              <w:pStyle w:val="TableNAm"/>
            </w:pPr>
            <w:r>
              <w:t>37.0</w:t>
            </w:r>
          </w:p>
        </w:tc>
      </w:tr>
      <w:tr w:rsidR="006724FB">
        <w:trPr>
          <w:cantSplit/>
        </w:trPr>
        <w:tc>
          <w:tcPr>
            <w:tcW w:w="1701" w:type="dxa"/>
          </w:tcPr>
          <w:p w:rsidR="006724FB" w:rsidRDefault="006724FB">
            <w:pPr>
              <w:pStyle w:val="TableNAm"/>
            </w:pPr>
            <w:r>
              <w:t>8.3</w:t>
            </w:r>
            <w:r>
              <w:tab/>
              <w:t>—</w:t>
            </w:r>
          </w:p>
        </w:tc>
        <w:tc>
          <w:tcPr>
            <w:tcW w:w="1701" w:type="dxa"/>
          </w:tcPr>
          <w:p w:rsidR="006724FB" w:rsidRDefault="006724FB">
            <w:pPr>
              <w:pStyle w:val="TableNAm"/>
            </w:pPr>
            <w:r>
              <w:t>8.5  ................</w:t>
            </w:r>
          </w:p>
        </w:tc>
        <w:tc>
          <w:tcPr>
            <w:tcW w:w="1559" w:type="dxa"/>
          </w:tcPr>
          <w:p w:rsidR="006724FB" w:rsidRDefault="006724FB">
            <w:pPr>
              <w:pStyle w:val="TableNAm"/>
            </w:pPr>
            <w:r>
              <w:t>37.5</w:t>
            </w:r>
          </w:p>
        </w:tc>
      </w:tr>
      <w:tr w:rsidR="006724FB">
        <w:trPr>
          <w:cantSplit/>
        </w:trPr>
        <w:tc>
          <w:tcPr>
            <w:tcW w:w="1701" w:type="dxa"/>
          </w:tcPr>
          <w:p w:rsidR="006724FB" w:rsidRDefault="006724FB">
            <w:pPr>
              <w:pStyle w:val="TableNAm"/>
            </w:pPr>
            <w:r>
              <w:t>8.5</w:t>
            </w:r>
            <w:r>
              <w:tab/>
              <w:t>—</w:t>
            </w:r>
          </w:p>
        </w:tc>
        <w:tc>
          <w:tcPr>
            <w:tcW w:w="1701" w:type="dxa"/>
          </w:tcPr>
          <w:p w:rsidR="006724FB" w:rsidRDefault="006724FB">
            <w:pPr>
              <w:pStyle w:val="TableNAm"/>
            </w:pPr>
            <w:r>
              <w:t>8.7  ................</w:t>
            </w:r>
          </w:p>
        </w:tc>
        <w:tc>
          <w:tcPr>
            <w:tcW w:w="1559" w:type="dxa"/>
          </w:tcPr>
          <w:p w:rsidR="006724FB" w:rsidRDefault="006724FB">
            <w:pPr>
              <w:pStyle w:val="TableNAm"/>
            </w:pPr>
            <w:r>
              <w:t>38.0</w:t>
            </w:r>
          </w:p>
        </w:tc>
      </w:tr>
      <w:tr w:rsidR="006724FB">
        <w:trPr>
          <w:cantSplit/>
        </w:trPr>
        <w:tc>
          <w:tcPr>
            <w:tcW w:w="1701" w:type="dxa"/>
          </w:tcPr>
          <w:p w:rsidR="006724FB" w:rsidRDefault="006724FB">
            <w:pPr>
              <w:pStyle w:val="TableNAm"/>
            </w:pPr>
            <w:r>
              <w:lastRenderedPageBreak/>
              <w:t>8.7</w:t>
            </w:r>
            <w:r>
              <w:tab/>
              <w:t>—</w:t>
            </w:r>
          </w:p>
        </w:tc>
        <w:tc>
          <w:tcPr>
            <w:tcW w:w="1701" w:type="dxa"/>
          </w:tcPr>
          <w:p w:rsidR="006724FB" w:rsidRDefault="006724FB">
            <w:pPr>
              <w:pStyle w:val="TableNAm"/>
            </w:pPr>
            <w:r>
              <w:t>8.8  ................</w:t>
            </w:r>
          </w:p>
        </w:tc>
        <w:tc>
          <w:tcPr>
            <w:tcW w:w="1559" w:type="dxa"/>
          </w:tcPr>
          <w:p w:rsidR="006724FB" w:rsidRDefault="006724FB">
            <w:pPr>
              <w:pStyle w:val="TableNAm"/>
            </w:pPr>
            <w:r>
              <w:t>38.5</w:t>
            </w:r>
          </w:p>
        </w:tc>
      </w:tr>
      <w:tr w:rsidR="006724FB">
        <w:trPr>
          <w:cantSplit/>
        </w:trPr>
        <w:tc>
          <w:tcPr>
            <w:tcW w:w="1701" w:type="dxa"/>
          </w:tcPr>
          <w:p w:rsidR="006724FB" w:rsidRDefault="006724FB">
            <w:pPr>
              <w:pStyle w:val="TableNAm"/>
            </w:pPr>
            <w:r>
              <w:t>8.8</w:t>
            </w:r>
            <w:r>
              <w:tab/>
              <w:t>—</w:t>
            </w:r>
          </w:p>
        </w:tc>
        <w:tc>
          <w:tcPr>
            <w:tcW w:w="1701" w:type="dxa"/>
          </w:tcPr>
          <w:p w:rsidR="006724FB" w:rsidRDefault="006724FB">
            <w:pPr>
              <w:pStyle w:val="TableNAm"/>
            </w:pPr>
            <w:r>
              <w:t>9.0  ................</w:t>
            </w:r>
          </w:p>
        </w:tc>
        <w:tc>
          <w:tcPr>
            <w:tcW w:w="1559" w:type="dxa"/>
          </w:tcPr>
          <w:p w:rsidR="006724FB" w:rsidRDefault="006724FB">
            <w:pPr>
              <w:pStyle w:val="TableNAm"/>
            </w:pPr>
            <w:r>
              <w:t>39.0</w:t>
            </w:r>
          </w:p>
        </w:tc>
      </w:tr>
      <w:tr w:rsidR="006724FB">
        <w:trPr>
          <w:cantSplit/>
        </w:trPr>
        <w:tc>
          <w:tcPr>
            <w:tcW w:w="1701" w:type="dxa"/>
          </w:tcPr>
          <w:p w:rsidR="006724FB" w:rsidRDefault="006724FB">
            <w:pPr>
              <w:pStyle w:val="TableNAm"/>
            </w:pPr>
            <w:r>
              <w:t>9.0</w:t>
            </w:r>
            <w:r>
              <w:tab/>
              <w:t>—</w:t>
            </w:r>
          </w:p>
        </w:tc>
        <w:tc>
          <w:tcPr>
            <w:tcW w:w="1701" w:type="dxa"/>
          </w:tcPr>
          <w:p w:rsidR="006724FB" w:rsidRDefault="006724FB">
            <w:pPr>
              <w:pStyle w:val="TableNAm"/>
            </w:pPr>
            <w:r>
              <w:t>9.2  ................</w:t>
            </w:r>
          </w:p>
        </w:tc>
        <w:tc>
          <w:tcPr>
            <w:tcW w:w="1559" w:type="dxa"/>
          </w:tcPr>
          <w:p w:rsidR="006724FB" w:rsidRDefault="006724FB">
            <w:pPr>
              <w:pStyle w:val="TableNAm"/>
            </w:pPr>
            <w:r>
              <w:t>39.5</w:t>
            </w:r>
          </w:p>
        </w:tc>
      </w:tr>
      <w:tr w:rsidR="006724FB">
        <w:trPr>
          <w:cantSplit/>
        </w:trPr>
        <w:tc>
          <w:tcPr>
            <w:tcW w:w="1701" w:type="dxa"/>
          </w:tcPr>
          <w:p w:rsidR="006724FB" w:rsidRDefault="006724FB">
            <w:pPr>
              <w:pStyle w:val="TableNAm"/>
            </w:pPr>
            <w:r>
              <w:t>9.2</w:t>
            </w:r>
            <w:r>
              <w:tab/>
              <w:t>—</w:t>
            </w:r>
          </w:p>
        </w:tc>
        <w:tc>
          <w:tcPr>
            <w:tcW w:w="1701" w:type="dxa"/>
          </w:tcPr>
          <w:p w:rsidR="006724FB" w:rsidRDefault="006724FB">
            <w:pPr>
              <w:pStyle w:val="TableNAm"/>
            </w:pPr>
            <w:r>
              <w:t>9.3  ................</w:t>
            </w:r>
          </w:p>
        </w:tc>
        <w:tc>
          <w:tcPr>
            <w:tcW w:w="1559" w:type="dxa"/>
          </w:tcPr>
          <w:p w:rsidR="006724FB" w:rsidRDefault="006724FB">
            <w:pPr>
              <w:pStyle w:val="TableNAm"/>
            </w:pPr>
            <w:r>
              <w:t>40.0</w:t>
            </w:r>
          </w:p>
        </w:tc>
      </w:tr>
      <w:tr w:rsidR="006724FB">
        <w:trPr>
          <w:cantSplit/>
        </w:trPr>
        <w:tc>
          <w:tcPr>
            <w:tcW w:w="1701" w:type="dxa"/>
          </w:tcPr>
          <w:p w:rsidR="006724FB" w:rsidRDefault="006724FB">
            <w:pPr>
              <w:pStyle w:val="TableNAm"/>
            </w:pPr>
            <w:r>
              <w:t>9.3</w:t>
            </w:r>
            <w:r>
              <w:tab/>
              <w:t>—</w:t>
            </w:r>
          </w:p>
        </w:tc>
        <w:tc>
          <w:tcPr>
            <w:tcW w:w="1701" w:type="dxa"/>
          </w:tcPr>
          <w:p w:rsidR="006724FB" w:rsidRDefault="006724FB">
            <w:pPr>
              <w:pStyle w:val="TableNAm"/>
            </w:pPr>
            <w:r>
              <w:t>9.5  ................</w:t>
            </w:r>
          </w:p>
        </w:tc>
        <w:tc>
          <w:tcPr>
            <w:tcW w:w="1559" w:type="dxa"/>
          </w:tcPr>
          <w:p w:rsidR="006724FB" w:rsidRDefault="006724FB">
            <w:pPr>
              <w:pStyle w:val="TableNAm"/>
            </w:pPr>
            <w:r>
              <w:t>40.5</w:t>
            </w:r>
          </w:p>
        </w:tc>
      </w:tr>
      <w:tr w:rsidR="006724FB">
        <w:trPr>
          <w:cantSplit/>
        </w:trPr>
        <w:tc>
          <w:tcPr>
            <w:tcW w:w="1701" w:type="dxa"/>
          </w:tcPr>
          <w:p w:rsidR="006724FB" w:rsidRDefault="006724FB">
            <w:pPr>
              <w:pStyle w:val="TableNAm"/>
            </w:pPr>
            <w:r>
              <w:t>9.5</w:t>
            </w:r>
            <w:r>
              <w:tab/>
              <w:t>—</w:t>
            </w:r>
          </w:p>
        </w:tc>
        <w:tc>
          <w:tcPr>
            <w:tcW w:w="1701" w:type="dxa"/>
          </w:tcPr>
          <w:p w:rsidR="006724FB" w:rsidRDefault="006724FB">
            <w:pPr>
              <w:pStyle w:val="TableNAm"/>
            </w:pPr>
            <w:r>
              <w:t>9.7  ................</w:t>
            </w:r>
          </w:p>
        </w:tc>
        <w:tc>
          <w:tcPr>
            <w:tcW w:w="1559" w:type="dxa"/>
          </w:tcPr>
          <w:p w:rsidR="006724FB" w:rsidRDefault="006724FB">
            <w:pPr>
              <w:pStyle w:val="TableNAm"/>
            </w:pPr>
            <w:r>
              <w:t>41.0</w:t>
            </w:r>
          </w:p>
        </w:tc>
      </w:tr>
      <w:tr w:rsidR="006724FB">
        <w:trPr>
          <w:cantSplit/>
        </w:trPr>
        <w:tc>
          <w:tcPr>
            <w:tcW w:w="1701" w:type="dxa"/>
          </w:tcPr>
          <w:p w:rsidR="006724FB" w:rsidRDefault="006724FB">
            <w:pPr>
              <w:pStyle w:val="TableNAm"/>
            </w:pPr>
            <w:r>
              <w:t>9.7</w:t>
            </w:r>
            <w:r>
              <w:tab/>
              <w:t>—</w:t>
            </w:r>
          </w:p>
        </w:tc>
        <w:tc>
          <w:tcPr>
            <w:tcW w:w="1701" w:type="dxa"/>
          </w:tcPr>
          <w:p w:rsidR="006724FB" w:rsidRDefault="006724FB">
            <w:pPr>
              <w:pStyle w:val="TableNAm"/>
            </w:pPr>
            <w:r>
              <w:t>9.8  ................</w:t>
            </w:r>
          </w:p>
        </w:tc>
        <w:tc>
          <w:tcPr>
            <w:tcW w:w="1559" w:type="dxa"/>
          </w:tcPr>
          <w:p w:rsidR="006724FB" w:rsidRDefault="006724FB">
            <w:pPr>
              <w:pStyle w:val="TableNAm"/>
            </w:pPr>
            <w:r>
              <w:t>41.5</w:t>
            </w:r>
          </w:p>
        </w:tc>
      </w:tr>
      <w:tr w:rsidR="006724FB">
        <w:trPr>
          <w:cantSplit/>
        </w:trPr>
        <w:tc>
          <w:tcPr>
            <w:tcW w:w="1701" w:type="dxa"/>
          </w:tcPr>
          <w:p w:rsidR="006724FB" w:rsidRDefault="006724FB">
            <w:pPr>
              <w:pStyle w:val="TableNAm"/>
            </w:pPr>
            <w:r>
              <w:t>9.8</w:t>
            </w:r>
            <w:r>
              <w:tab/>
              <w:t>—</w:t>
            </w:r>
          </w:p>
        </w:tc>
        <w:tc>
          <w:tcPr>
            <w:tcW w:w="1701" w:type="dxa"/>
          </w:tcPr>
          <w:p w:rsidR="006724FB" w:rsidRDefault="006724FB">
            <w:pPr>
              <w:pStyle w:val="TableNAm"/>
            </w:pPr>
            <w:r>
              <w:t>10.0 ...............</w:t>
            </w:r>
          </w:p>
        </w:tc>
        <w:tc>
          <w:tcPr>
            <w:tcW w:w="1559" w:type="dxa"/>
          </w:tcPr>
          <w:p w:rsidR="006724FB" w:rsidRDefault="006724FB">
            <w:pPr>
              <w:pStyle w:val="TableNAm"/>
            </w:pPr>
            <w:r>
              <w:t>42.0</w:t>
            </w:r>
          </w:p>
        </w:tc>
      </w:tr>
      <w:tr w:rsidR="006724FB">
        <w:trPr>
          <w:cantSplit/>
        </w:trPr>
        <w:tc>
          <w:tcPr>
            <w:tcW w:w="1701" w:type="dxa"/>
            <w:tcBorders>
              <w:bottom w:val="single" w:sz="4" w:space="0" w:color="auto"/>
            </w:tcBorders>
          </w:tcPr>
          <w:p w:rsidR="006724FB" w:rsidRDefault="006724FB">
            <w:pPr>
              <w:pStyle w:val="TableNAm"/>
            </w:pPr>
            <w:r>
              <w:t>10.0</w:t>
            </w:r>
            <w:r>
              <w:tab/>
              <w:t xml:space="preserve">  —</w:t>
            </w:r>
          </w:p>
        </w:tc>
        <w:tc>
          <w:tcPr>
            <w:tcW w:w="1701" w:type="dxa"/>
            <w:tcBorders>
              <w:bottom w:val="single" w:sz="4" w:space="0" w:color="auto"/>
            </w:tcBorders>
          </w:tcPr>
          <w:p w:rsidR="006724FB" w:rsidRDefault="006724FB">
            <w:pPr>
              <w:pStyle w:val="TableNAm"/>
            </w:pPr>
            <w:r>
              <w:t xml:space="preserve">        ...............</w:t>
            </w:r>
          </w:p>
        </w:tc>
        <w:tc>
          <w:tcPr>
            <w:tcW w:w="1559" w:type="dxa"/>
            <w:tcBorders>
              <w:bottom w:val="single" w:sz="4" w:space="0" w:color="auto"/>
            </w:tcBorders>
          </w:tcPr>
          <w:p w:rsidR="006724FB" w:rsidRDefault="006724FB">
            <w:pPr>
              <w:pStyle w:val="TableNAm"/>
            </w:pPr>
            <w:r>
              <w:t>42.5</w:t>
            </w:r>
          </w:p>
        </w:tc>
      </w:tr>
    </w:tbl>
    <w:p w:rsidR="006724FB" w:rsidRDefault="006724FB">
      <w:pPr>
        <w:pStyle w:val="Heading5"/>
      </w:pPr>
      <w:bookmarkStart w:id="302" w:name="_Toc75875724"/>
      <w:r>
        <w:rPr>
          <w:rStyle w:val="CharSectno"/>
        </w:rPr>
        <w:t>166</w:t>
      </w:r>
      <w:r>
        <w:t>.</w:t>
      </w:r>
      <w:r>
        <w:tab/>
        <w:t>Mass limits for combinations</w:t>
      </w:r>
      <w:bookmarkEnd w:id="302"/>
    </w:p>
    <w:p w:rsidR="006724FB" w:rsidRDefault="006724FB">
      <w:pPr>
        <w:pStyle w:val="Subsection"/>
      </w:pPr>
      <w:r>
        <w:tab/>
        <w:t>(1)</w:t>
      </w:r>
      <w:r>
        <w:tab/>
        <w:t xml:space="preserve">In this regulation — </w:t>
      </w:r>
    </w:p>
    <w:p w:rsidR="006724FB" w:rsidRDefault="006724FB">
      <w:pPr>
        <w:pStyle w:val="Defstart"/>
      </w:pPr>
      <w:r>
        <w:tab/>
      </w:r>
      <w:r>
        <w:rPr>
          <w:rStyle w:val="CharDefText"/>
        </w:rPr>
        <w:t>combination</w:t>
      </w:r>
      <w:r>
        <w:t xml:space="preserve"> means a combination that includes a heavy vehicle.</w:t>
      </w:r>
    </w:p>
    <w:p w:rsidR="006724FB" w:rsidRDefault="006724FB">
      <w:pPr>
        <w:pStyle w:val="Subsection"/>
      </w:pPr>
      <w:r>
        <w:tab/>
        <w:t>(2)</w:t>
      </w:r>
      <w:r>
        <w:tab/>
        <w:t>The total mass of a combination, other than a road train or B</w:t>
      </w:r>
      <w:r>
        <w:noBreakHyphen/>
        <w:t>double, and its load, must not exceed 42.5 t.</w:t>
      </w:r>
    </w:p>
    <w:p w:rsidR="006724FB" w:rsidRDefault="006724FB">
      <w:pPr>
        <w:pStyle w:val="Subsection"/>
      </w:pPr>
      <w:r>
        <w:tab/>
        <w:t>(3)</w:t>
      </w:r>
      <w:r>
        <w:tab/>
        <w:t>The loaded mass of a dog trailer or pig trailer must not exceed the loaded mass of the towing vehicle.</w:t>
      </w:r>
    </w:p>
    <w:p w:rsidR="006724FB" w:rsidRDefault="006724FB">
      <w:pPr>
        <w:pStyle w:val="Subsection"/>
      </w:pPr>
      <w:r>
        <w:tab/>
        <w:t>(4)</w:t>
      </w:r>
      <w:r>
        <w:tab/>
        <w:t>The total mass of a combination and its load must not exceed the towing vehicle’s GCM.</w:t>
      </w:r>
    </w:p>
    <w:p w:rsidR="006724FB" w:rsidRDefault="006724FB">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rsidR="006724FB" w:rsidRDefault="006724FB">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rsidR="006724FB" w:rsidRDefault="006724FB">
      <w:pPr>
        <w:pStyle w:val="Subsection"/>
      </w:pPr>
      <w:r>
        <w:lastRenderedPageBreak/>
        <w:tab/>
      </w:r>
      <w:r>
        <w:tab/>
        <w:t>where —</w:t>
      </w:r>
    </w:p>
    <w:p w:rsidR="006724FB" w:rsidRDefault="006724FB">
      <w:pPr>
        <w:pStyle w:val="MiscellaneousBody"/>
        <w:tabs>
          <w:tab w:val="left" w:pos="851"/>
          <w:tab w:val="left" w:pos="1276"/>
        </w:tabs>
      </w:pPr>
      <w:r>
        <w:tab/>
        <w:t>K</w:t>
      </w:r>
      <w:r>
        <w:tab/>
        <w:t>is —</w:t>
      </w:r>
    </w:p>
    <w:p w:rsidR="006724FB" w:rsidRDefault="006724FB">
      <w:pPr>
        <w:pStyle w:val="MiscellaneousBody"/>
        <w:tabs>
          <w:tab w:val="left" w:pos="1276"/>
          <w:tab w:val="left" w:pos="1701"/>
        </w:tabs>
        <w:ind w:left="1701" w:hanging="1701"/>
      </w:pPr>
      <w:r>
        <w:tab/>
        <w:t>(a)</w:t>
      </w:r>
      <w:r>
        <w:tab/>
        <w:t>0.055 if a single drive axle is fitted to the motor vehicle; or</w:t>
      </w:r>
    </w:p>
    <w:p w:rsidR="006724FB" w:rsidRDefault="006724FB">
      <w:pPr>
        <w:pStyle w:val="MiscellaneousBody"/>
        <w:tabs>
          <w:tab w:val="left" w:pos="1134"/>
          <w:tab w:val="left" w:pos="1276"/>
          <w:tab w:val="left" w:pos="1701"/>
        </w:tabs>
        <w:ind w:left="1701" w:hanging="1701"/>
      </w:pPr>
      <w:r>
        <w:tab/>
      </w:r>
      <w:r>
        <w:tab/>
        <w:t>(b)</w:t>
      </w:r>
      <w:r>
        <w:tab/>
        <w:t>0.053 if a single drive tandem axle group is fitted to the motor vehicle; or</w:t>
      </w:r>
    </w:p>
    <w:p w:rsidR="006724FB" w:rsidRDefault="006724FB">
      <w:pPr>
        <w:pStyle w:val="MiscellaneousBody"/>
        <w:tabs>
          <w:tab w:val="left" w:pos="1134"/>
          <w:tab w:val="left" w:pos="1276"/>
          <w:tab w:val="left" w:pos="1701"/>
        </w:tabs>
        <w:ind w:left="1701" w:hanging="1701"/>
      </w:pPr>
      <w:r>
        <w:tab/>
      </w:r>
      <w:r>
        <w:tab/>
        <w:t>(c)</w:t>
      </w:r>
      <w:r>
        <w:tab/>
        <w:t>0.051 if a dual drive tandem axle group is fitted to the motor vehicle;</w:t>
      </w:r>
    </w:p>
    <w:p w:rsidR="006724FB" w:rsidRDefault="006724FB">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rsidR="006724FB" w:rsidRDefault="006724FB">
      <w:pPr>
        <w:pStyle w:val="MiscellaneousBody"/>
        <w:tabs>
          <w:tab w:val="left" w:pos="851"/>
          <w:tab w:val="left" w:pos="1276"/>
        </w:tabs>
        <w:ind w:left="1276" w:hanging="1276"/>
      </w:pPr>
      <w:r>
        <w:tab/>
        <w:t>R</w:t>
      </w:r>
      <w:r>
        <w:tab/>
        <w:t>is the overall gear reduction between engine and drive wheels;</w:t>
      </w:r>
    </w:p>
    <w:p w:rsidR="006724FB" w:rsidRDefault="006724FB">
      <w:pPr>
        <w:pStyle w:val="MiscellaneousBody"/>
        <w:tabs>
          <w:tab w:val="left" w:pos="851"/>
          <w:tab w:val="left" w:pos="1276"/>
        </w:tabs>
        <w:ind w:left="1276" w:hanging="1276"/>
        <w:rPr>
          <w:rStyle w:val="DraftersNotes"/>
        </w:rPr>
      </w:pPr>
      <w:r>
        <w:tab/>
        <w:t>T</w:t>
      </w:r>
      <w:r>
        <w:tab/>
        <w:t>is the maximum engine net torque in N m.</w:t>
      </w:r>
    </w:p>
    <w:p w:rsidR="006724FB" w:rsidRDefault="006724FB" w:rsidP="00E1452C">
      <w:pPr>
        <w:pStyle w:val="Heading4"/>
      </w:pPr>
      <w:bookmarkStart w:id="303" w:name="_Toc75419802"/>
      <w:bookmarkStart w:id="304" w:name="_Toc75427137"/>
      <w:bookmarkStart w:id="305" w:name="_Toc75872553"/>
      <w:bookmarkStart w:id="306" w:name="_Toc75875725"/>
      <w:r>
        <w:t>Subdivision 3 — Light vehicles</w:t>
      </w:r>
      <w:bookmarkEnd w:id="303"/>
      <w:bookmarkEnd w:id="304"/>
      <w:bookmarkEnd w:id="305"/>
      <w:bookmarkEnd w:id="306"/>
    </w:p>
    <w:p w:rsidR="006724FB" w:rsidRDefault="006724FB">
      <w:pPr>
        <w:pStyle w:val="Heading5"/>
      </w:pPr>
      <w:bookmarkStart w:id="307" w:name="_Toc75875726"/>
      <w:r>
        <w:rPr>
          <w:rStyle w:val="CharSectno"/>
        </w:rPr>
        <w:t>167</w:t>
      </w:r>
      <w:r>
        <w:t>.</w:t>
      </w:r>
      <w:r>
        <w:tab/>
        <w:t>Maximum loaded mass of light vehicles</w:t>
      </w:r>
      <w:bookmarkEnd w:id="307"/>
    </w:p>
    <w:p w:rsidR="006724FB" w:rsidRDefault="006724FB">
      <w:pPr>
        <w:pStyle w:val="Subsection"/>
      </w:pPr>
      <w:r>
        <w:tab/>
        <w:t>(1)</w:t>
      </w:r>
      <w:r>
        <w:tab/>
        <w:t xml:space="preserve">In this regulation — </w:t>
      </w:r>
    </w:p>
    <w:p w:rsidR="006724FB" w:rsidRDefault="006724FB">
      <w:pPr>
        <w:pStyle w:val="Defstart"/>
      </w:pPr>
      <w:r>
        <w:tab/>
      </w:r>
      <w:r>
        <w:rPr>
          <w:rStyle w:val="CharDefText"/>
        </w:rPr>
        <w:t>motor vehicle</w:t>
      </w:r>
      <w:r>
        <w:t xml:space="preserve"> means a motor vehicle that is a light vehicle;</w:t>
      </w:r>
    </w:p>
    <w:p w:rsidR="006724FB" w:rsidRDefault="006724FB">
      <w:pPr>
        <w:pStyle w:val="Defstart"/>
      </w:pPr>
      <w:r>
        <w:tab/>
      </w:r>
      <w:r>
        <w:rPr>
          <w:rStyle w:val="CharDefText"/>
        </w:rPr>
        <w:t>trailer</w:t>
      </w:r>
      <w:r>
        <w:t xml:space="preserve"> means a trailer that is a light vehicle;</w:t>
      </w:r>
    </w:p>
    <w:p w:rsidR="006724FB" w:rsidRDefault="006724FB">
      <w:pPr>
        <w:pStyle w:val="Defstart"/>
      </w:pPr>
      <w:r>
        <w:tab/>
      </w:r>
      <w:r>
        <w:rPr>
          <w:rStyle w:val="CharDefText"/>
        </w:rPr>
        <w:t>vehicle</w:t>
      </w:r>
      <w:r>
        <w:t xml:space="preserve"> means a light vehicle.</w:t>
      </w:r>
    </w:p>
    <w:p w:rsidR="006724FB" w:rsidRDefault="006724FB">
      <w:pPr>
        <w:pStyle w:val="Subsection"/>
        <w:keepNext/>
      </w:pPr>
      <w:r>
        <w:tab/>
        <w:t>(2)</w:t>
      </w:r>
      <w:r>
        <w:tab/>
        <w:t xml:space="preserve">Subject to regulation 168(2), the loaded mass of a trailer or other vehicle that is being towed by a motor vehicle must not exceed — </w:t>
      </w:r>
    </w:p>
    <w:p w:rsidR="006724FB" w:rsidRDefault="006724FB">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rsidR="006724FB" w:rsidRDefault="006724FB">
      <w:pPr>
        <w:pStyle w:val="Indenta"/>
      </w:pPr>
      <w:r>
        <w:lastRenderedPageBreak/>
        <w:tab/>
        <w:t>(b)</w:t>
      </w:r>
      <w:r>
        <w:tab/>
        <w:t>in a case to which paragraph (a) does not apply — the unloaded mass of the motor vehicle by which it is being towed.</w:t>
      </w:r>
    </w:p>
    <w:p w:rsidR="006724FB" w:rsidRDefault="006724FB">
      <w:pPr>
        <w:pStyle w:val="Heading5"/>
      </w:pPr>
      <w:bookmarkStart w:id="308" w:name="_Toc75875727"/>
      <w:r>
        <w:rPr>
          <w:rStyle w:val="CharSectno"/>
        </w:rPr>
        <w:t>168</w:t>
      </w:r>
      <w:r>
        <w:t>.</w:t>
      </w:r>
      <w:r>
        <w:tab/>
        <w:t>Loaded mass of light trailers</w:t>
      </w:r>
      <w:bookmarkEnd w:id="308"/>
    </w:p>
    <w:p w:rsidR="006724FB" w:rsidRDefault="006724FB">
      <w:pPr>
        <w:pStyle w:val="Subsection"/>
      </w:pPr>
      <w:r>
        <w:tab/>
        <w:t>(1)</w:t>
      </w:r>
      <w:r>
        <w:tab/>
        <w:t xml:space="preserve">In this regulation — </w:t>
      </w:r>
    </w:p>
    <w:p w:rsidR="006724FB" w:rsidRDefault="006724FB">
      <w:pPr>
        <w:pStyle w:val="Defstart"/>
      </w:pPr>
      <w:r>
        <w:tab/>
      </w:r>
      <w:r>
        <w:rPr>
          <w:rStyle w:val="CharDefText"/>
        </w:rPr>
        <w:t>motor vehicle</w:t>
      </w:r>
      <w:r>
        <w:t xml:space="preserve"> means a motor vehicle that is a light vehicle;</w:t>
      </w:r>
    </w:p>
    <w:p w:rsidR="006724FB" w:rsidRDefault="006724FB">
      <w:pPr>
        <w:pStyle w:val="Defstart"/>
      </w:pPr>
      <w:r>
        <w:tab/>
      </w:r>
      <w:r>
        <w:rPr>
          <w:rStyle w:val="CharDefText"/>
        </w:rPr>
        <w:t>trailer</w:t>
      </w:r>
      <w:r>
        <w:t xml:space="preserve"> means a trailer that is a light vehicle.</w:t>
      </w:r>
    </w:p>
    <w:p w:rsidR="006724FB" w:rsidRDefault="006724FB">
      <w:pPr>
        <w:pStyle w:val="Subsection"/>
      </w:pPr>
      <w:r>
        <w:tab/>
        <w:t>(2)</w:t>
      </w:r>
      <w:r>
        <w:tab/>
        <w:t>The loaded mass of a trailer that is being towed by a motor vehicle must not exceed the lesser of —</w:t>
      </w:r>
    </w:p>
    <w:p w:rsidR="006724FB" w:rsidRDefault="006724FB">
      <w:pPr>
        <w:pStyle w:val="Indenta"/>
      </w:pPr>
      <w:r>
        <w:tab/>
        <w:t>(a)</w:t>
      </w:r>
      <w:r>
        <w:tab/>
        <w:t>the towing capacity of the towing apparatus fitted to the vehicle, as specified by the manufacturer of the towing apparatus; or</w:t>
      </w:r>
    </w:p>
    <w:p w:rsidR="006724FB" w:rsidRDefault="006724FB">
      <w:pPr>
        <w:pStyle w:val="Indenta"/>
      </w:pPr>
      <w:r>
        <w:tab/>
        <w:t>(b)</w:t>
      </w:r>
      <w:r>
        <w:tab/>
        <w:t>the maximum loaded mass of a trailer that may be towed by the vehicle, as specified by the manufacturer of the vehicle.</w:t>
      </w:r>
    </w:p>
    <w:p w:rsidR="006724FB" w:rsidRDefault="006724FB">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rsidR="006724FB" w:rsidRDefault="006724FB">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rsidR="006724FB" w:rsidRDefault="006724FB">
      <w:pPr>
        <w:pStyle w:val="Indenta"/>
      </w:pPr>
      <w:r>
        <w:tab/>
        <w:t>(a)</w:t>
      </w:r>
      <w:r>
        <w:tab/>
        <w:t>if the trailer is equipped with brakes in accordance with Part 10 Division 9 — 1.5 times the unloaded mass of the vehicle; or</w:t>
      </w:r>
    </w:p>
    <w:p w:rsidR="006724FB" w:rsidRDefault="006724FB">
      <w:pPr>
        <w:pStyle w:val="Indenta"/>
      </w:pPr>
      <w:r>
        <w:tab/>
        <w:t>(b)</w:t>
      </w:r>
      <w:r>
        <w:tab/>
        <w:t>if the trailer is not so equipped — the unloaded mass of the vehicle.</w:t>
      </w:r>
    </w:p>
    <w:p w:rsidR="006724FB" w:rsidRDefault="006724FB">
      <w:pPr>
        <w:pStyle w:val="Heading3"/>
      </w:pPr>
      <w:bookmarkStart w:id="309" w:name="_Toc75419805"/>
      <w:bookmarkStart w:id="310" w:name="_Toc75427140"/>
      <w:bookmarkStart w:id="311" w:name="_Toc75872556"/>
      <w:bookmarkStart w:id="312" w:name="_Toc75875728"/>
      <w:r>
        <w:rPr>
          <w:rStyle w:val="CharDivNo"/>
        </w:rPr>
        <w:lastRenderedPageBreak/>
        <w:t>Division 2</w:t>
      </w:r>
      <w:r>
        <w:t> — </w:t>
      </w:r>
      <w:r>
        <w:rPr>
          <w:rStyle w:val="CharDivText"/>
        </w:rPr>
        <w:t>Dimension requirements</w:t>
      </w:r>
      <w:bookmarkEnd w:id="309"/>
      <w:bookmarkEnd w:id="310"/>
      <w:bookmarkEnd w:id="311"/>
      <w:bookmarkEnd w:id="312"/>
    </w:p>
    <w:p w:rsidR="006724FB" w:rsidRDefault="006724FB">
      <w:pPr>
        <w:pStyle w:val="Heading5"/>
      </w:pPr>
      <w:bookmarkStart w:id="313" w:name="_Toc75875729"/>
      <w:r>
        <w:rPr>
          <w:rStyle w:val="CharSectno"/>
        </w:rPr>
        <w:t>169</w:t>
      </w:r>
      <w:r>
        <w:t>.</w:t>
      </w:r>
      <w:r>
        <w:tab/>
        <w:t>Dimension requirements</w:t>
      </w:r>
      <w:bookmarkEnd w:id="313"/>
    </w:p>
    <w:p w:rsidR="006724FB" w:rsidRDefault="006724FB">
      <w:pPr>
        <w:pStyle w:val="Subsection"/>
      </w:pPr>
      <w:r>
        <w:tab/>
        <w:t>(1)</w:t>
      </w:r>
      <w:r>
        <w:tab/>
        <w:t xml:space="preserve">This Division sets out, for the definition of </w:t>
      </w:r>
      <w:r>
        <w:rPr>
          <w:b/>
          <w:i/>
        </w:rPr>
        <w:t>dimension requirement</w:t>
      </w:r>
      <w:r>
        <w:t xml:space="preserve"> in section 3(1), the requirements that relate to the dimensions of — </w:t>
      </w:r>
    </w:p>
    <w:p w:rsidR="006724FB" w:rsidRDefault="006724FB">
      <w:pPr>
        <w:pStyle w:val="Indenta"/>
      </w:pPr>
      <w:r>
        <w:tab/>
        <w:t>(a)</w:t>
      </w:r>
      <w:r>
        <w:tab/>
        <w:t>a vehicle; or</w:t>
      </w:r>
    </w:p>
    <w:p w:rsidR="006724FB" w:rsidRDefault="006724FB">
      <w:pPr>
        <w:pStyle w:val="Indenta"/>
      </w:pPr>
      <w:r>
        <w:tab/>
        <w:t>(b)</w:t>
      </w:r>
      <w:r>
        <w:tab/>
        <w:t>a vehicle’s load; or</w:t>
      </w:r>
    </w:p>
    <w:p w:rsidR="006724FB" w:rsidRDefault="006724FB">
      <w:pPr>
        <w:pStyle w:val="Indenta"/>
      </w:pPr>
      <w:r>
        <w:tab/>
        <w:t>(c)</w:t>
      </w:r>
      <w:r>
        <w:tab/>
        <w:t>a vehicle and its load.</w:t>
      </w:r>
    </w:p>
    <w:p w:rsidR="006724FB" w:rsidRDefault="006724FB">
      <w:pPr>
        <w:pStyle w:val="Subsection"/>
      </w:pPr>
      <w:r>
        <w:tab/>
        <w:t>(2)</w:t>
      </w:r>
      <w:r>
        <w:tab/>
        <w:t>This Division does not apply to a vehicle mentioned in regulation 228(g).</w:t>
      </w:r>
    </w:p>
    <w:p w:rsidR="006724FB" w:rsidRDefault="006724FB">
      <w:pPr>
        <w:pStyle w:val="Heading5"/>
      </w:pPr>
      <w:bookmarkStart w:id="314" w:name="_Toc75875730"/>
      <w:r>
        <w:rPr>
          <w:rStyle w:val="CharSectno"/>
        </w:rPr>
        <w:t>170</w:t>
      </w:r>
      <w:r>
        <w:t>.</w:t>
      </w:r>
      <w:r>
        <w:tab/>
        <w:t>Dimension requirements for all vehicles</w:t>
      </w:r>
      <w:bookmarkEnd w:id="314"/>
    </w:p>
    <w:p w:rsidR="006724FB" w:rsidRDefault="006724FB">
      <w:pPr>
        <w:pStyle w:val="Subsection"/>
        <w:rPr>
          <w:rStyle w:val="DraftersNotes"/>
        </w:rPr>
      </w:pPr>
      <w:r>
        <w:tab/>
      </w:r>
      <w:r>
        <w:tab/>
        <w:t>A vehicle and its load must not exceed a size limit set for the vehicle in this Division.</w:t>
      </w:r>
    </w:p>
    <w:p w:rsidR="006724FB" w:rsidRDefault="006724FB">
      <w:pPr>
        <w:pStyle w:val="Heading5"/>
      </w:pPr>
      <w:bookmarkStart w:id="315" w:name="_Toc75875731"/>
      <w:r>
        <w:rPr>
          <w:rStyle w:val="CharSectno"/>
        </w:rPr>
        <w:t>171</w:t>
      </w:r>
      <w:r>
        <w:t>.</w:t>
      </w:r>
      <w:r>
        <w:tab/>
        <w:t>Width of certain vehicles</w:t>
      </w:r>
      <w:bookmarkEnd w:id="315"/>
    </w:p>
    <w:p w:rsidR="006724FB" w:rsidRDefault="006724FB">
      <w:pPr>
        <w:pStyle w:val="Subsection"/>
      </w:pPr>
      <w:r>
        <w:tab/>
        <w:t>(1)</w:t>
      </w:r>
      <w:r>
        <w:tab/>
        <w:t>A motor vehicle, trailer or any vehicle in a combination must not be over 2.5 m wide.</w:t>
      </w:r>
    </w:p>
    <w:p w:rsidR="006724FB" w:rsidRDefault="006724FB">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rsidR="006724FB" w:rsidRDefault="006724FB">
      <w:pPr>
        <w:pStyle w:val="Heading5"/>
      </w:pPr>
      <w:bookmarkStart w:id="316" w:name="_Toc75875732"/>
      <w:r>
        <w:rPr>
          <w:rStyle w:val="CharSectno"/>
        </w:rPr>
        <w:t>172</w:t>
      </w:r>
      <w:r>
        <w:t>.</w:t>
      </w:r>
      <w:r>
        <w:tab/>
        <w:t>Length of motor vehicles</w:t>
      </w:r>
      <w:bookmarkEnd w:id="316"/>
    </w:p>
    <w:p w:rsidR="006724FB" w:rsidRDefault="006724FB">
      <w:pPr>
        <w:pStyle w:val="Subsection"/>
        <w:spacing w:before="100"/>
      </w:pPr>
      <w:r>
        <w:tab/>
        <w:t>(1)</w:t>
      </w:r>
      <w:r>
        <w:tab/>
        <w:t>A motor vehicle, except an articulated or controlled access bus, must not be over 12.5 m long.</w:t>
      </w:r>
    </w:p>
    <w:p w:rsidR="006724FB" w:rsidRDefault="006724FB">
      <w:pPr>
        <w:pStyle w:val="Subsection"/>
        <w:spacing w:before="100"/>
      </w:pPr>
      <w:r>
        <w:tab/>
        <w:t>(2)</w:t>
      </w:r>
      <w:r>
        <w:tab/>
        <w:t>A controlled access bus must not be over 14.5 m long.</w:t>
      </w:r>
    </w:p>
    <w:p w:rsidR="006724FB" w:rsidRDefault="006724FB">
      <w:pPr>
        <w:pStyle w:val="Subsection"/>
        <w:spacing w:before="100"/>
      </w:pPr>
      <w:r>
        <w:tab/>
        <w:t>(3)</w:t>
      </w:r>
      <w:r>
        <w:tab/>
        <w:t>An articulated bus must not be over 18 m long.</w:t>
      </w:r>
    </w:p>
    <w:p w:rsidR="006724FB" w:rsidRDefault="006724FB">
      <w:pPr>
        <w:pStyle w:val="Heading5"/>
      </w:pPr>
      <w:bookmarkStart w:id="317" w:name="_Toc75875733"/>
      <w:r>
        <w:rPr>
          <w:rStyle w:val="CharSectno"/>
        </w:rPr>
        <w:lastRenderedPageBreak/>
        <w:t>173</w:t>
      </w:r>
      <w:r>
        <w:t>.</w:t>
      </w:r>
      <w:r>
        <w:tab/>
        <w:t>Length of trailers</w:t>
      </w:r>
      <w:bookmarkEnd w:id="317"/>
    </w:p>
    <w:p w:rsidR="006724FB" w:rsidRDefault="006724FB" w:rsidP="00E1452C">
      <w:pPr>
        <w:pStyle w:val="Subsection"/>
        <w:keepNext/>
      </w:pPr>
      <w:r>
        <w:tab/>
        <w:t>(1)</w:t>
      </w:r>
      <w:r>
        <w:tab/>
        <w:t>On a semi</w:t>
      </w:r>
      <w:r>
        <w:noBreakHyphen/>
        <w:t>trailer or a dog trailer —</w:t>
      </w:r>
    </w:p>
    <w:p w:rsidR="006724FB" w:rsidRDefault="006724FB">
      <w:pPr>
        <w:pStyle w:val="Indenta"/>
      </w:pPr>
      <w:r>
        <w:tab/>
        <w:t>(a)</w:t>
      </w:r>
      <w:r>
        <w:tab/>
        <w:t>the distance between the point of articulation at the front of the trailer and the rear overhang line must not be over 9.5 m; and</w:t>
      </w:r>
    </w:p>
    <w:p w:rsidR="006724FB" w:rsidRDefault="006724FB">
      <w:pPr>
        <w:pStyle w:val="Indenta"/>
      </w:pPr>
      <w:r>
        <w:tab/>
        <w:t>(b)</w:t>
      </w:r>
      <w:r>
        <w:tab/>
        <w:t>the distance between the point of articulation at the front of the trailer and the rear of the trailer must not be over 12.3 m.</w:t>
      </w:r>
    </w:p>
    <w:p w:rsidR="006724FB" w:rsidRDefault="006724FB">
      <w:pPr>
        <w:pStyle w:val="Subsection"/>
      </w:pPr>
      <w:r>
        <w:tab/>
        <w:t>(2)</w:t>
      </w:r>
      <w:r>
        <w:tab/>
        <w:t>A projection forward of the point of articulation at the front of a semi</w:t>
      </w:r>
      <w:r>
        <w:noBreakHyphen/>
        <w:t>trailer must be contained within a radius of 1.9 m from the point of articulation.</w:t>
      </w:r>
    </w:p>
    <w:p w:rsidR="006724FB" w:rsidRDefault="006724FB">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rsidR="006724FB" w:rsidRDefault="006724FB">
      <w:pPr>
        <w:pStyle w:val="MiscellaneousHeading"/>
        <w:keepNext w:val="0"/>
        <w:spacing w:before="0" w:line="240" w:lineRule="auto"/>
        <w:rPr>
          <w:b/>
        </w:rPr>
      </w:pPr>
      <w:r>
        <w:rPr>
          <w:b/>
        </w:rPr>
        <w:t>Dimension limits for a semi</w:t>
      </w:r>
      <w:r>
        <w:rPr>
          <w:b/>
        </w:rPr>
        <w:noBreakHyphen/>
        <w:t>trailer</w:t>
      </w:r>
    </w:p>
    <w:p w:rsidR="006724FB" w:rsidRDefault="006724FB">
      <w:pPr>
        <w:pStyle w:val="Subsection"/>
      </w:pPr>
      <w:r>
        <w:tab/>
        <w:t>(3)</w:t>
      </w:r>
      <w:r>
        <w:tab/>
        <w:t>If a semi</w:t>
      </w:r>
      <w:r>
        <w:noBreakHyphen/>
        <w:t>trailer has 2 or more points of articulation at the front of the trailer, it must comply with subregulations (1) and (2) when measured at one of the points.</w:t>
      </w:r>
    </w:p>
    <w:p w:rsidR="006724FB" w:rsidRDefault="006724FB">
      <w:pPr>
        <w:pStyle w:val="Subsection"/>
      </w:pPr>
      <w:r>
        <w:tab/>
        <w:t>(4)</w:t>
      </w:r>
      <w:r>
        <w:tab/>
        <w:t xml:space="preserve">A trailer must not have over 12.5 m of its length available for the carriage of animals if it is — </w:t>
      </w:r>
    </w:p>
    <w:p w:rsidR="006724FB" w:rsidRDefault="006724FB">
      <w:pPr>
        <w:pStyle w:val="Indenta"/>
      </w:pPr>
      <w:r>
        <w:tab/>
        <w:t>(a)</w:t>
      </w:r>
      <w:r>
        <w:tab/>
        <w:t>built to carry cattle, sheep, pigs or horses on 2 or more partly or completely overlapping decks; and</w:t>
      </w:r>
    </w:p>
    <w:p w:rsidR="006724FB" w:rsidRDefault="006724FB">
      <w:pPr>
        <w:pStyle w:val="Indenta"/>
      </w:pPr>
      <w:r>
        <w:lastRenderedPageBreak/>
        <w:tab/>
        <w:t>(b)</w:t>
      </w:r>
      <w:r>
        <w:tab/>
        <w:t>over 4.3 m high.</w:t>
      </w:r>
    </w:p>
    <w:p w:rsidR="006724FB" w:rsidRDefault="006724FB">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rsidR="006724FB" w:rsidRDefault="006724FB">
      <w:pPr>
        <w:pStyle w:val="Subsection"/>
      </w:pPr>
      <w:r>
        <w:tab/>
        <w:t>(6)</w:t>
      </w:r>
      <w:r>
        <w:tab/>
        <w:t>However, when measuring the length of a trailer with a rounded front, the length is not to include the rounded portion.</w:t>
      </w:r>
    </w:p>
    <w:p w:rsidR="006724FB" w:rsidRDefault="006724FB">
      <w:pPr>
        <w:pStyle w:val="Heading5"/>
      </w:pPr>
      <w:bookmarkStart w:id="318" w:name="_Toc75875734"/>
      <w:r>
        <w:rPr>
          <w:rStyle w:val="CharSectno"/>
        </w:rPr>
        <w:t>174</w:t>
      </w:r>
      <w:r>
        <w:t>.</w:t>
      </w:r>
      <w:r>
        <w:tab/>
        <w:t>Length of combinations</w:t>
      </w:r>
      <w:bookmarkEnd w:id="318"/>
    </w:p>
    <w:p w:rsidR="006724FB" w:rsidRDefault="006724FB">
      <w:pPr>
        <w:pStyle w:val="Subsection"/>
      </w:pPr>
      <w:r>
        <w:tab/>
        <w:t>(1)</w:t>
      </w:r>
      <w:r>
        <w:tab/>
        <w:t>A combination must not be over —</w:t>
      </w:r>
    </w:p>
    <w:p w:rsidR="006724FB" w:rsidRDefault="006724FB">
      <w:pPr>
        <w:pStyle w:val="Indenta"/>
      </w:pPr>
      <w:r>
        <w:tab/>
        <w:t>(a)</w:t>
      </w:r>
      <w:r>
        <w:tab/>
        <w:t>for a B</w:t>
      </w:r>
      <w:r>
        <w:noBreakHyphen/>
        <w:t>double — 25 m long; and</w:t>
      </w:r>
    </w:p>
    <w:p w:rsidR="006724FB" w:rsidRDefault="006724FB">
      <w:pPr>
        <w:pStyle w:val="Indenta"/>
      </w:pPr>
      <w:r>
        <w:tab/>
        <w:t>(b)</w:t>
      </w:r>
      <w:r>
        <w:tab/>
        <w:t>for a road train — 53.5 m long; and</w:t>
      </w:r>
    </w:p>
    <w:p w:rsidR="006724FB" w:rsidRDefault="006724FB">
      <w:pPr>
        <w:pStyle w:val="Indenta"/>
      </w:pPr>
      <w:r>
        <w:tab/>
        <w:t>(c)</w:t>
      </w:r>
      <w:r>
        <w:tab/>
        <w:t>for a combination, except a road train, designed to carry vehicles on 2 or more partly or completely overlapping decks — 25 m long; and</w:t>
      </w:r>
    </w:p>
    <w:p w:rsidR="006724FB" w:rsidRDefault="006724FB">
      <w:pPr>
        <w:pStyle w:val="Indenta"/>
      </w:pPr>
      <w:r>
        <w:tab/>
        <w:t>(d)</w:t>
      </w:r>
      <w:r>
        <w:tab/>
        <w:t>for another combination — 19 m long.</w:t>
      </w:r>
    </w:p>
    <w:p w:rsidR="006724FB" w:rsidRDefault="006724FB">
      <w:pPr>
        <w:pStyle w:val="Subsection"/>
      </w:pPr>
      <w:r>
        <w:tab/>
        <w:t>(2)</w:t>
      </w:r>
      <w:r>
        <w:tab/>
        <w:t>In a B</w:t>
      </w:r>
      <w:r>
        <w:noBreakHyphen/>
        <w:t xml:space="preserve">double that — </w:t>
      </w:r>
    </w:p>
    <w:p w:rsidR="006724FB" w:rsidRDefault="006724FB">
      <w:pPr>
        <w:pStyle w:val="Indenta"/>
      </w:pPr>
      <w:r>
        <w:tab/>
        <w:t>(a)</w:t>
      </w:r>
      <w:r>
        <w:tab/>
        <w:t>consists of 2 semi</w:t>
      </w:r>
      <w:r>
        <w:noBreakHyphen/>
        <w:t>trailers built to carry cattle, sheep, pigs or horses; and</w:t>
      </w:r>
    </w:p>
    <w:p w:rsidR="006724FB" w:rsidRDefault="006724FB">
      <w:pPr>
        <w:pStyle w:val="Indenta"/>
      </w:pPr>
      <w:r>
        <w:tab/>
        <w:t>(b)</w:t>
      </w:r>
      <w:r>
        <w:tab/>
        <w:t>includes at least one semi</w:t>
      </w:r>
      <w:r>
        <w:noBreakHyphen/>
        <w:t>trailer over 4.3 m high,</w:t>
      </w:r>
    </w:p>
    <w:p w:rsidR="006724FB" w:rsidRDefault="006724FB">
      <w:pPr>
        <w:pStyle w:val="Subsection"/>
      </w:pPr>
      <w:r>
        <w:tab/>
      </w:r>
      <w:r>
        <w:tab/>
        <w:t>the 2 semi</w:t>
      </w:r>
      <w:r>
        <w:noBreakHyphen/>
        <w:t>trailers must not have over 18.8 m of their combined length available for the carriage of animals.</w:t>
      </w:r>
    </w:p>
    <w:p w:rsidR="006724FB" w:rsidRDefault="006724FB">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rsidR="006724FB" w:rsidRDefault="006724FB">
      <w:pPr>
        <w:pStyle w:val="Subsection"/>
      </w:pPr>
      <w:r>
        <w:tab/>
        <w:t>(4)</w:t>
      </w:r>
      <w:r>
        <w:tab/>
        <w:t>However, when measuring the length of a trailer with a rounded front, the length is not to include the rounded portion.</w:t>
      </w:r>
    </w:p>
    <w:p w:rsidR="006724FB" w:rsidRDefault="006724FB">
      <w:pPr>
        <w:pStyle w:val="Heading5"/>
      </w:pPr>
      <w:bookmarkStart w:id="319" w:name="_Toc75875735"/>
      <w:r>
        <w:rPr>
          <w:rStyle w:val="CharSectno"/>
        </w:rPr>
        <w:lastRenderedPageBreak/>
        <w:t>175</w:t>
      </w:r>
      <w:r>
        <w:t>.</w:t>
      </w:r>
      <w:r>
        <w:tab/>
        <w:t>Rear overhang</w:t>
      </w:r>
      <w:bookmarkEnd w:id="319"/>
    </w:p>
    <w:p w:rsidR="006724FB" w:rsidRDefault="006724FB">
      <w:pPr>
        <w:pStyle w:val="Subsection"/>
      </w:pPr>
      <w:r>
        <w:tab/>
        <w:t>(1)</w:t>
      </w:r>
      <w:r>
        <w:tab/>
        <w:t>The rear overhang of a semi</w:t>
      </w:r>
      <w:r>
        <w:noBreakHyphen/>
        <w:t>trailer, or dog trailer consisting of a semi</w:t>
      </w:r>
      <w:r>
        <w:noBreakHyphen/>
        <w:t xml:space="preserve">trailer and converter dolly, must not exceed the lesser of — </w:t>
      </w:r>
    </w:p>
    <w:p w:rsidR="006724FB" w:rsidRDefault="006724FB">
      <w:pPr>
        <w:pStyle w:val="Indenta"/>
      </w:pPr>
      <w:r>
        <w:tab/>
        <w:t>(a)</w:t>
      </w:r>
      <w:r>
        <w:tab/>
        <w:t>60% of the distance between the point of articulation at the front and the rear overhang line; and</w:t>
      </w:r>
    </w:p>
    <w:p w:rsidR="006724FB" w:rsidRDefault="006724FB">
      <w:pPr>
        <w:pStyle w:val="Indenta"/>
      </w:pPr>
      <w:r>
        <w:tab/>
        <w:t>(b)</w:t>
      </w:r>
      <w:r>
        <w:tab/>
        <w:t>3.7 m.</w:t>
      </w:r>
    </w:p>
    <w:p w:rsidR="006724FB" w:rsidRDefault="006724FB">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rsidR="006724FB" w:rsidRDefault="006724FB">
      <w:pPr>
        <w:pStyle w:val="Subsection"/>
        <w:keepNext/>
      </w:pPr>
      <w:r>
        <w:tab/>
        <w:t>(3)</w:t>
      </w:r>
      <w:r>
        <w:tab/>
        <w:t>The rear overhang of a trailer with only one axle group or single axle (except a semi</w:t>
      </w:r>
      <w:r>
        <w:noBreakHyphen/>
        <w:t xml:space="preserve">trailer) must not exceed the lesser of — </w:t>
      </w:r>
    </w:p>
    <w:p w:rsidR="006724FB" w:rsidRDefault="006724FB">
      <w:pPr>
        <w:pStyle w:val="Indenta"/>
      </w:pPr>
      <w:r>
        <w:tab/>
        <w:t>(a)</w:t>
      </w:r>
      <w:r>
        <w:tab/>
        <w:t>the length of the load</w:t>
      </w:r>
      <w:r>
        <w:noBreakHyphen/>
        <w:t>carrying area or body ahead of the rear overhang line; and</w:t>
      </w:r>
    </w:p>
    <w:p w:rsidR="006724FB" w:rsidRDefault="006724FB">
      <w:pPr>
        <w:pStyle w:val="Indenta"/>
      </w:pPr>
      <w:r>
        <w:tab/>
        <w:t>(b)</w:t>
      </w:r>
      <w:r>
        <w:tab/>
        <w:t>3.7 m.</w:t>
      </w:r>
    </w:p>
    <w:p w:rsidR="006724FB" w:rsidRDefault="006724FB">
      <w:pPr>
        <w:pStyle w:val="Subsection"/>
      </w:pPr>
      <w:r>
        <w:tab/>
        <w:t>(4)</w:t>
      </w:r>
      <w:r>
        <w:tab/>
        <w:t>The rear overhang of a vehicle not mentioned in subregulation (1) or (3) must not exceed the lesser of —</w:t>
      </w:r>
    </w:p>
    <w:p w:rsidR="006724FB" w:rsidRDefault="006724FB">
      <w:pPr>
        <w:pStyle w:val="Indenta"/>
      </w:pPr>
      <w:r>
        <w:tab/>
        <w:t>(a)</w:t>
      </w:r>
      <w:r>
        <w:tab/>
        <w:t>60% of the distance between the centre line of the front axle and the rear overhang line; and</w:t>
      </w:r>
    </w:p>
    <w:p w:rsidR="006724FB" w:rsidRDefault="006724FB">
      <w:pPr>
        <w:pStyle w:val="Indenta"/>
      </w:pPr>
      <w:r>
        <w:tab/>
        <w:t>(b)</w:t>
      </w:r>
      <w:r>
        <w:tab/>
        <w:t>3.7 m.</w:t>
      </w:r>
    </w:p>
    <w:p w:rsidR="006724FB" w:rsidRDefault="006724FB">
      <w:pPr>
        <w:pStyle w:val="Footnotesection"/>
      </w:pPr>
      <w:r>
        <w:tab/>
        <w:t>[Regulation 175 amended: Gazette 29 Mar 2019 p. 964.]</w:t>
      </w:r>
    </w:p>
    <w:p w:rsidR="006724FB" w:rsidRDefault="006724FB">
      <w:pPr>
        <w:pStyle w:val="Heading5"/>
      </w:pPr>
      <w:bookmarkStart w:id="320" w:name="_Toc75875736"/>
      <w:r>
        <w:rPr>
          <w:rStyle w:val="CharSectno"/>
        </w:rPr>
        <w:t>176</w:t>
      </w:r>
      <w:r>
        <w:t>.</w:t>
      </w:r>
      <w:r>
        <w:tab/>
        <w:t>Trailer drawbar length</w:t>
      </w:r>
      <w:bookmarkEnd w:id="320"/>
    </w:p>
    <w:p w:rsidR="006724FB" w:rsidRDefault="006724FB">
      <w:pPr>
        <w:pStyle w:val="Subsection"/>
      </w:pPr>
      <w:r>
        <w:tab/>
        <w:t>(1)</w:t>
      </w:r>
      <w:r>
        <w:tab/>
        <w:t>The distance between the coupling pivot point on the drawbar of a dog trailer, and the centre line of the front axle group or of the front single axle of the trailer, must —</w:t>
      </w:r>
    </w:p>
    <w:p w:rsidR="006724FB" w:rsidRDefault="006724FB">
      <w:pPr>
        <w:pStyle w:val="Indenta"/>
      </w:pPr>
      <w:r>
        <w:tab/>
        <w:t>(a)</w:t>
      </w:r>
      <w:r>
        <w:tab/>
        <w:t>not be over 5 m; and</w:t>
      </w:r>
    </w:p>
    <w:p w:rsidR="006724FB" w:rsidRDefault="006724FB">
      <w:pPr>
        <w:pStyle w:val="Indenta"/>
      </w:pPr>
      <w:r>
        <w:tab/>
        <w:t>(b)</w:t>
      </w:r>
      <w:r>
        <w:tab/>
        <w:t>not be under 3 m, if the trailer is used in a road train over 19 m long.</w:t>
      </w:r>
    </w:p>
    <w:p w:rsidR="006724FB" w:rsidRDefault="006724FB">
      <w:pPr>
        <w:pStyle w:val="Graphics"/>
        <w:keepNext/>
        <w:spacing w:before="240" w:after="240"/>
        <w:ind w:left="851"/>
      </w:pPr>
      <w:r>
        <w:lastRenderedPageBreak/>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rsidR="006724FB" w:rsidRDefault="006724FB">
      <w:pPr>
        <w:pStyle w:val="MiscellaneousHeading"/>
        <w:keepNext w:val="0"/>
        <w:spacing w:before="60" w:line="240" w:lineRule="auto"/>
        <w:rPr>
          <w:b/>
        </w:rPr>
      </w:pPr>
      <w:r>
        <w:rPr>
          <w:b/>
        </w:rPr>
        <w:t>Length of a drawbar on a dog trailer</w:t>
      </w:r>
    </w:p>
    <w:p w:rsidR="006724FB" w:rsidRDefault="006724FB">
      <w:pPr>
        <w:pStyle w:val="Subsection"/>
        <w:keepNext/>
      </w:pPr>
      <w:r>
        <w:tab/>
        <w:t>(2)</w:t>
      </w:r>
      <w:r>
        <w:tab/>
        <w:t>The distance between the coupling pivot point on a drawbar, and the centre line of the axle group or single axle on a trailer with only one axle group or single axle (except a semi</w:t>
      </w:r>
      <w:r>
        <w:noBreakHyphen/>
        <w:t>trailer) must not be over 8.5 m.</w:t>
      </w:r>
    </w:p>
    <w:p w:rsidR="006724FB" w:rsidRDefault="006724FB">
      <w:pPr>
        <w:pStyle w:val="Footnotesection"/>
      </w:pPr>
      <w:r>
        <w:tab/>
        <w:t>[Regulation 176 amended: Gazette 29 Mar 2019 p. 964.]</w:t>
      </w:r>
    </w:p>
    <w:p w:rsidR="006724FB" w:rsidRDefault="006724FB">
      <w:pPr>
        <w:pStyle w:val="Heading5"/>
      </w:pPr>
      <w:bookmarkStart w:id="321" w:name="_Toc75875737"/>
      <w:r>
        <w:rPr>
          <w:rStyle w:val="CharSectno"/>
        </w:rPr>
        <w:t>177</w:t>
      </w:r>
      <w:r>
        <w:t>.</w:t>
      </w:r>
      <w:r>
        <w:tab/>
        <w:t>Height of certain vehicles</w:t>
      </w:r>
      <w:bookmarkEnd w:id="321"/>
    </w:p>
    <w:p w:rsidR="006724FB" w:rsidRDefault="006724FB">
      <w:pPr>
        <w:pStyle w:val="Subsection"/>
      </w:pPr>
      <w:r>
        <w:tab/>
        <w:t>(1)</w:t>
      </w:r>
      <w:r>
        <w:tab/>
        <w:t>A motor vehicle, trailer or any vehicle in a combination must not be over 4.3 m high.</w:t>
      </w:r>
    </w:p>
    <w:p w:rsidR="006724FB" w:rsidRDefault="006724FB">
      <w:pPr>
        <w:pStyle w:val="Subsection"/>
      </w:pPr>
      <w:r>
        <w:tab/>
        <w:t>(2)</w:t>
      </w:r>
      <w:r>
        <w:tab/>
        <w:t xml:space="preserve">However — </w:t>
      </w:r>
    </w:p>
    <w:p w:rsidR="006724FB" w:rsidRDefault="006724FB">
      <w:pPr>
        <w:pStyle w:val="Indenta"/>
      </w:pPr>
      <w:r>
        <w:tab/>
        <w:t>(a)</w:t>
      </w:r>
      <w:r>
        <w:tab/>
        <w:t>a motor vehicle, trailer or any vehicle in a combination built to carry cattle, sheep, pigs or horses must not be over 4.6 m high; and</w:t>
      </w:r>
    </w:p>
    <w:p w:rsidR="006724FB" w:rsidRDefault="006724FB">
      <w:pPr>
        <w:pStyle w:val="Indenta"/>
      </w:pPr>
      <w:r>
        <w:tab/>
        <w:t>(b)</w:t>
      </w:r>
      <w:r>
        <w:tab/>
        <w:t>a double</w:t>
      </w:r>
      <w:r>
        <w:noBreakHyphen/>
        <w:t>deck bus must not be over 4.4 m high.</w:t>
      </w:r>
    </w:p>
    <w:p w:rsidR="006724FB" w:rsidRDefault="006724FB">
      <w:pPr>
        <w:pStyle w:val="Heading5"/>
        <w:spacing w:before="180"/>
      </w:pPr>
      <w:bookmarkStart w:id="322" w:name="_Toc75875738"/>
      <w:r>
        <w:rPr>
          <w:rStyle w:val="CharSectno"/>
        </w:rPr>
        <w:t>178</w:t>
      </w:r>
      <w:r>
        <w:t>.</w:t>
      </w:r>
      <w:r>
        <w:tab/>
        <w:t>Ground clearance of certain motor vehicles</w:t>
      </w:r>
      <w:bookmarkEnd w:id="322"/>
    </w:p>
    <w:p w:rsidR="006724FB" w:rsidRDefault="006724FB">
      <w:pPr>
        <w:pStyle w:val="Subsection"/>
      </w:pPr>
      <w:r>
        <w:tab/>
        <w:t>(1)</w:t>
      </w:r>
      <w:r>
        <w:tab/>
        <w:t xml:space="preserve">In this regulation — </w:t>
      </w:r>
    </w:p>
    <w:p w:rsidR="006724FB" w:rsidRDefault="006724FB">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rsidR="006724FB" w:rsidRDefault="006724FB">
      <w:pPr>
        <w:pStyle w:val="Subsection"/>
      </w:pPr>
      <w:r>
        <w:tab/>
        <w:t>(2)</w:t>
      </w:r>
      <w:r>
        <w:tab/>
        <w:t xml:space="preserve">A motor vehicle must have a ground clearance of — </w:t>
      </w:r>
    </w:p>
    <w:p w:rsidR="006724FB" w:rsidRDefault="006724FB">
      <w:pPr>
        <w:pStyle w:val="Indenta"/>
      </w:pPr>
      <w:r>
        <w:tab/>
        <w:t>(a)</w:t>
      </w:r>
      <w:r>
        <w:tab/>
        <w:t>at least 100 mm at any point within 1 m of an axle; and</w:t>
      </w:r>
    </w:p>
    <w:p w:rsidR="006724FB" w:rsidRDefault="006724FB">
      <w:pPr>
        <w:pStyle w:val="Indenta"/>
      </w:pPr>
      <w:r>
        <w:lastRenderedPageBreak/>
        <w:tab/>
        <w:t>(b)</w:t>
      </w:r>
      <w:r>
        <w:tab/>
        <w:t>at the midpoint between adjacent axles — at least one</w:t>
      </w:r>
      <w:r>
        <w:noBreakHyphen/>
        <w:t xml:space="preserve">thirtieth of the distance between the centre lines of the axles; and </w:t>
      </w:r>
    </w:p>
    <w:p w:rsidR="006724FB" w:rsidRDefault="006724FB">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rsidR="006724FB" w:rsidRDefault="006724FB">
      <w:pPr>
        <w:pStyle w:val="Subsection"/>
      </w:pPr>
      <w:r>
        <w:tab/>
        <w:t>(3)</w:t>
      </w:r>
      <w:r>
        <w:tab/>
        <w:t xml:space="preserve">This regulation does not apply to — </w:t>
      </w:r>
    </w:p>
    <w:p w:rsidR="006724FB" w:rsidRDefault="006724FB">
      <w:pPr>
        <w:pStyle w:val="Indenta"/>
      </w:pPr>
      <w:r>
        <w:tab/>
        <w:t>(a)</w:t>
      </w:r>
      <w:r>
        <w:tab/>
        <w:t>a motor vehicle with 3 wheels or fewer; or</w:t>
      </w:r>
    </w:p>
    <w:p w:rsidR="006724FB" w:rsidRDefault="006724FB">
      <w:pPr>
        <w:pStyle w:val="Indenta"/>
      </w:pPr>
      <w:r>
        <w:tab/>
        <w:t>(b)</w:t>
      </w:r>
      <w:r>
        <w:tab/>
        <w:t>a combination that includes a motor vehicle with 3 wheels or fewer.</w:t>
      </w:r>
    </w:p>
    <w:p w:rsidR="006724FB" w:rsidRDefault="006724FB">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rsidR="006724FB" w:rsidRDefault="006724FB">
      <w:pPr>
        <w:pStyle w:val="MiscellaneousHeading"/>
        <w:keepNext w:val="0"/>
        <w:spacing w:before="120" w:line="240" w:lineRule="auto"/>
        <w:rPr>
          <w:b/>
        </w:rPr>
      </w:pPr>
      <w:r>
        <w:rPr>
          <w:b/>
        </w:rPr>
        <w:t>Ground clearance at the midpoint between 2 axles</w:t>
      </w:r>
    </w:p>
    <w:p w:rsidR="006724FB" w:rsidRDefault="006724FB">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rsidR="006724FB" w:rsidRDefault="006724FB">
      <w:pPr>
        <w:pStyle w:val="MiscellaneousHeading"/>
        <w:keepNext w:val="0"/>
        <w:spacing w:before="120" w:line="240" w:lineRule="auto"/>
        <w:rPr>
          <w:b/>
        </w:rPr>
      </w:pPr>
      <w:r>
        <w:rPr>
          <w:b/>
        </w:rPr>
        <w:t>Ground clearance over a peak in the road</w:t>
      </w:r>
    </w:p>
    <w:p w:rsidR="006724FB" w:rsidRDefault="006724FB">
      <w:pPr>
        <w:pStyle w:val="Footnotesection"/>
      </w:pPr>
      <w:r>
        <w:tab/>
        <w:t>[Regulation 178 amended: Gazette 29 Mar 2019 p. 964.]</w:t>
      </w:r>
    </w:p>
    <w:p w:rsidR="006724FB" w:rsidRDefault="006724FB">
      <w:pPr>
        <w:pStyle w:val="Heading5"/>
      </w:pPr>
      <w:bookmarkStart w:id="323" w:name="_Toc75875739"/>
      <w:r>
        <w:rPr>
          <w:rStyle w:val="CharSectno"/>
        </w:rPr>
        <w:lastRenderedPageBreak/>
        <w:t>179</w:t>
      </w:r>
      <w:r>
        <w:t>.</w:t>
      </w:r>
      <w:r>
        <w:tab/>
        <w:t>Heavy vehicle size limits</w:t>
      </w:r>
      <w:bookmarkEnd w:id="323"/>
    </w:p>
    <w:p w:rsidR="006724FB" w:rsidRDefault="006724FB">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rsidR="006724FB" w:rsidRDefault="006724FB">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rsidR="006724FB" w:rsidRDefault="006724FB">
      <w:pPr>
        <w:pStyle w:val="MiscellaneousBody"/>
        <w:tabs>
          <w:tab w:val="left" w:pos="1418"/>
        </w:tabs>
        <w:ind w:left="993"/>
        <w:rPr>
          <w:b/>
          <w:bCs/>
        </w:rPr>
      </w:pPr>
      <w:r>
        <w:rPr>
          <w:b/>
          <w:bCs/>
        </w:rPr>
        <w:t>Illustration of —</w:t>
      </w:r>
    </w:p>
    <w:p w:rsidR="006724FB" w:rsidRDefault="006724FB">
      <w:pPr>
        <w:pStyle w:val="MiscellaneousBody"/>
        <w:tabs>
          <w:tab w:val="left" w:pos="1418"/>
        </w:tabs>
        <w:spacing w:before="0"/>
        <w:ind w:left="1418" w:hanging="425"/>
        <w:rPr>
          <w:b/>
          <w:bCs/>
        </w:rPr>
      </w:pPr>
      <w:r>
        <w:rPr>
          <w:b/>
          <w:bCs/>
        </w:rPr>
        <w:t>•</w:t>
      </w:r>
      <w:r>
        <w:rPr>
          <w:b/>
          <w:bCs/>
        </w:rPr>
        <w:tab/>
        <w:t>front projection limit; and</w:t>
      </w:r>
    </w:p>
    <w:p w:rsidR="006724FB" w:rsidRDefault="006724FB">
      <w:pPr>
        <w:pStyle w:val="MiscellaneousBody"/>
        <w:tabs>
          <w:tab w:val="left" w:pos="1418"/>
        </w:tabs>
        <w:spacing w:before="0"/>
        <w:ind w:left="1418" w:hanging="425"/>
        <w:rPr>
          <w:b/>
          <w:bCs/>
        </w:rPr>
      </w:pPr>
      <w:r>
        <w:rPr>
          <w:b/>
          <w:bCs/>
        </w:rPr>
        <w:t>•</w:t>
      </w:r>
      <w:r>
        <w:rPr>
          <w:b/>
          <w:bCs/>
        </w:rPr>
        <w:tab/>
        <w:t>rear overhang limit from r. 173 or 175; and</w:t>
      </w:r>
    </w:p>
    <w:p w:rsidR="006724FB" w:rsidRDefault="006724FB">
      <w:pPr>
        <w:pStyle w:val="MiscellaneousBody"/>
        <w:tabs>
          <w:tab w:val="left" w:pos="1418"/>
        </w:tabs>
        <w:spacing w:before="0"/>
        <w:ind w:left="1418" w:hanging="425"/>
        <w:rPr>
          <w:b/>
          <w:bCs/>
        </w:rPr>
      </w:pPr>
      <w:r>
        <w:rPr>
          <w:b/>
          <w:bCs/>
        </w:rPr>
        <w:t>•</w:t>
      </w:r>
      <w:r>
        <w:rPr>
          <w:b/>
          <w:bCs/>
        </w:rPr>
        <w:tab/>
        <w:t>maximum rear projection of load allowed without a warning signal.</w:t>
      </w:r>
    </w:p>
    <w:p w:rsidR="006724FB" w:rsidRDefault="006724FB">
      <w:pPr>
        <w:pStyle w:val="Subsection"/>
        <w:keepNext/>
      </w:pPr>
      <w:r>
        <w:tab/>
        <w:t>(2)</w:t>
      </w:r>
      <w:r>
        <w:tab/>
        <w:t xml:space="preserve">In subregulation (1) — </w:t>
      </w:r>
    </w:p>
    <w:p w:rsidR="006724FB" w:rsidRDefault="006724FB">
      <w:pPr>
        <w:pStyle w:val="Defstart"/>
        <w:keepNext/>
      </w:pPr>
      <w:r>
        <w:tab/>
      </w:r>
      <w:r>
        <w:rPr>
          <w:rStyle w:val="CharDefText"/>
        </w:rPr>
        <w:t>vehicle</w:t>
      </w:r>
      <w:r>
        <w:t xml:space="preserve"> means — </w:t>
      </w:r>
    </w:p>
    <w:p w:rsidR="006724FB" w:rsidRDefault="006724FB">
      <w:pPr>
        <w:pStyle w:val="Defpara"/>
      </w:pPr>
      <w:r>
        <w:tab/>
        <w:t>(a)</w:t>
      </w:r>
      <w:r>
        <w:tab/>
        <w:t>a heavy vehicle; or</w:t>
      </w:r>
    </w:p>
    <w:p w:rsidR="006724FB" w:rsidRDefault="006724FB">
      <w:pPr>
        <w:pStyle w:val="Defpara"/>
      </w:pPr>
      <w:r>
        <w:tab/>
        <w:t>(b)</w:t>
      </w:r>
      <w:r>
        <w:tab/>
        <w:t>a combination that includes a heavy vehicle.</w:t>
      </w:r>
    </w:p>
    <w:p w:rsidR="006724FB" w:rsidRDefault="006724FB">
      <w:pPr>
        <w:pStyle w:val="Subsection"/>
      </w:pPr>
      <w:r>
        <w:tab/>
        <w:t>(3)</w:t>
      </w:r>
      <w:r>
        <w:tab/>
        <w:t xml:space="preserve">Despite subregulation (1) and regulation 170 — </w:t>
      </w:r>
    </w:p>
    <w:p w:rsidR="006724FB" w:rsidRDefault="006724FB">
      <w:pPr>
        <w:pStyle w:val="Indenta"/>
      </w:pPr>
      <w:r>
        <w:tab/>
        <w:t>(a)</w:t>
      </w:r>
      <w:r>
        <w:tab/>
        <w:t>the height of a vehicle that is carrying vehicles on more than one deck, and its load, must not exceed 4.6 m; and</w:t>
      </w:r>
    </w:p>
    <w:p w:rsidR="006724FB" w:rsidRDefault="006724FB">
      <w:pPr>
        <w:pStyle w:val="Indenta"/>
      </w:pPr>
      <w:r>
        <w:tab/>
        <w:t>(b)</w:t>
      </w:r>
      <w:r>
        <w:tab/>
        <w:t xml:space="preserve">the distance measured at right angles between the rear overhang line of a trailer carrying vehicles on more than </w:t>
      </w:r>
      <w:r>
        <w:lastRenderedPageBreak/>
        <w:t>one deck and the rear of the rearmost vehicle on the trailer must not exceed 4.9 m.</w:t>
      </w:r>
    </w:p>
    <w:p w:rsidR="006724FB" w:rsidRDefault="006724FB">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rsidR="006724FB" w:rsidRDefault="006724FB">
      <w:pPr>
        <w:pStyle w:val="MiscellaneousHeading"/>
        <w:rPr>
          <w:b/>
          <w:bCs/>
        </w:rPr>
      </w:pPr>
      <w:r>
        <w:rPr>
          <w:b/>
          <w:bCs/>
        </w:rPr>
        <w:t>Maximum allowable dimensions of a loaded car carrier</w:t>
      </w:r>
    </w:p>
    <w:p w:rsidR="006724FB" w:rsidRDefault="006724FB">
      <w:pPr>
        <w:pStyle w:val="Heading5"/>
      </w:pPr>
      <w:bookmarkStart w:id="324" w:name="_Toc75875740"/>
      <w:r>
        <w:rPr>
          <w:rStyle w:val="CharSectno"/>
        </w:rPr>
        <w:t>180</w:t>
      </w:r>
      <w:r>
        <w:t>.</w:t>
      </w:r>
      <w:r>
        <w:tab/>
        <w:t>Front and side projections of heavy vehicles</w:t>
      </w:r>
      <w:bookmarkEnd w:id="324"/>
    </w:p>
    <w:p w:rsidR="006724FB" w:rsidRDefault="006724FB">
      <w:pPr>
        <w:pStyle w:val="Subsection"/>
      </w:pPr>
      <w:r>
        <w:tab/>
        <w:t>(1)</w:t>
      </w:r>
      <w:r>
        <w:tab/>
        <w:t xml:space="preserve">In this regulation — </w:t>
      </w:r>
    </w:p>
    <w:p w:rsidR="006724FB" w:rsidRDefault="006724FB">
      <w:pPr>
        <w:pStyle w:val="Defstart"/>
      </w:pPr>
      <w:r>
        <w:tab/>
      </w:r>
      <w:r>
        <w:rPr>
          <w:rStyle w:val="CharDefText"/>
        </w:rPr>
        <w:t>vehicle</w:t>
      </w:r>
      <w:r>
        <w:t xml:space="preserve"> means — </w:t>
      </w:r>
    </w:p>
    <w:p w:rsidR="006724FB" w:rsidRDefault="006724FB">
      <w:pPr>
        <w:pStyle w:val="Defpara"/>
      </w:pPr>
      <w:r>
        <w:tab/>
        <w:t>(a)</w:t>
      </w:r>
      <w:r>
        <w:tab/>
        <w:t>a heavy vehicle; or</w:t>
      </w:r>
    </w:p>
    <w:p w:rsidR="006724FB" w:rsidRDefault="006724FB">
      <w:pPr>
        <w:pStyle w:val="Defpara"/>
      </w:pPr>
      <w:r>
        <w:tab/>
        <w:t>(b)</w:t>
      </w:r>
      <w:r>
        <w:tab/>
        <w:t>a combination that includes a heavy vehicle.</w:t>
      </w:r>
    </w:p>
    <w:p w:rsidR="006724FB" w:rsidRDefault="006724FB">
      <w:pPr>
        <w:pStyle w:val="Subsection"/>
      </w:pPr>
      <w:r>
        <w:tab/>
        <w:t>(2)</w:t>
      </w:r>
      <w:r>
        <w:tab/>
        <w:t>Subject to regulation 173(2), a load on a vehicle must not project more than 1.2 m in front of the vehicle, or more than 150 mm from the outermost part of either side of it.</w:t>
      </w:r>
    </w:p>
    <w:p w:rsidR="006724FB" w:rsidRDefault="006724FB">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rsidR="006724FB" w:rsidRDefault="006724FB">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rsidR="006724FB" w:rsidRDefault="006724FB">
      <w:pPr>
        <w:pStyle w:val="Heading5"/>
      </w:pPr>
      <w:bookmarkStart w:id="325" w:name="_Toc75875741"/>
      <w:r>
        <w:rPr>
          <w:rStyle w:val="CharSectno"/>
        </w:rPr>
        <w:lastRenderedPageBreak/>
        <w:t>181</w:t>
      </w:r>
      <w:r>
        <w:t>.</w:t>
      </w:r>
      <w:r>
        <w:tab/>
        <w:t>Warning signals for loads projecting to rear of heavy vehicles</w:t>
      </w:r>
      <w:bookmarkEnd w:id="325"/>
    </w:p>
    <w:p w:rsidR="006724FB" w:rsidRDefault="006724FB">
      <w:pPr>
        <w:pStyle w:val="Subsection"/>
      </w:pPr>
      <w:r>
        <w:tab/>
        <w:t>(1)</w:t>
      </w:r>
      <w:r>
        <w:tab/>
        <w:t xml:space="preserve">In this regulation — </w:t>
      </w:r>
    </w:p>
    <w:p w:rsidR="006724FB" w:rsidRDefault="006724FB">
      <w:pPr>
        <w:pStyle w:val="Defstart"/>
      </w:pPr>
      <w:r>
        <w:tab/>
      </w:r>
      <w:r>
        <w:rPr>
          <w:rStyle w:val="CharDefText"/>
        </w:rPr>
        <w:t>vehicle</w:t>
      </w:r>
      <w:r>
        <w:t xml:space="preserve"> means — </w:t>
      </w:r>
    </w:p>
    <w:p w:rsidR="006724FB" w:rsidRDefault="006724FB">
      <w:pPr>
        <w:pStyle w:val="Defpara"/>
      </w:pPr>
      <w:r>
        <w:tab/>
        <w:t>(a)</w:t>
      </w:r>
      <w:r>
        <w:tab/>
        <w:t>a heavy vehicle; or</w:t>
      </w:r>
    </w:p>
    <w:p w:rsidR="006724FB" w:rsidRDefault="006724FB">
      <w:pPr>
        <w:pStyle w:val="Defpara"/>
      </w:pPr>
      <w:r>
        <w:tab/>
        <w:t>(b)</w:t>
      </w:r>
      <w:r>
        <w:tab/>
        <w:t>a combination that includes a heavy vehicle.</w:t>
      </w:r>
    </w:p>
    <w:p w:rsidR="006724FB" w:rsidRDefault="006724FB">
      <w:pPr>
        <w:pStyle w:val="Subsection"/>
      </w:pPr>
      <w:r>
        <w:tab/>
        <w:t>(2)</w:t>
      </w:r>
      <w:r>
        <w:tab/>
        <w:t>The rear of a load on a vehicle must carry a warning signal if the load —</w:t>
      </w:r>
    </w:p>
    <w:p w:rsidR="006724FB" w:rsidRDefault="006724FB">
      <w:pPr>
        <w:pStyle w:val="Indenta"/>
      </w:pPr>
      <w:r>
        <w:tab/>
        <w:t>(a)</w:t>
      </w:r>
      <w:r>
        <w:tab/>
        <w:t>projects more than 1.2 m behind the vehicle; or</w:t>
      </w:r>
    </w:p>
    <w:p w:rsidR="006724FB" w:rsidRDefault="006724FB">
      <w:pPr>
        <w:pStyle w:val="Indenta"/>
      </w:pPr>
      <w:r>
        <w:tab/>
        <w:t>(b)</w:t>
      </w:r>
      <w:r>
        <w:tab/>
        <w:t>projects to the rear of the vehicle so that the end of the load cannot be seen easily from behind; or</w:t>
      </w:r>
    </w:p>
    <w:p w:rsidR="006724FB" w:rsidRDefault="006724FB">
      <w:pPr>
        <w:pStyle w:val="Indenta"/>
      </w:pPr>
      <w:r>
        <w:tab/>
        <w:t>(c)</w:t>
      </w:r>
      <w:r>
        <w:tab/>
        <w:t>is on a pole</w:t>
      </w:r>
      <w:r>
        <w:noBreakHyphen/>
        <w:t>type trailer.</w:t>
      </w:r>
    </w:p>
    <w:p w:rsidR="006724FB" w:rsidRDefault="006724FB">
      <w:pPr>
        <w:pStyle w:val="Subsection"/>
      </w:pPr>
      <w:r>
        <w:tab/>
        <w:t>(3)</w:t>
      </w:r>
      <w:r>
        <w:tab/>
        <w:t>In daytime, the warning signal must be a brightly coloured flag or piece of material, with each side at least 300 mm long.</w:t>
      </w:r>
    </w:p>
    <w:p w:rsidR="006724FB" w:rsidRDefault="006724FB">
      <w:pPr>
        <w:pStyle w:val="Subsection"/>
      </w:pPr>
      <w:r>
        <w:tab/>
        <w:t>(4)</w:t>
      </w:r>
      <w:r>
        <w:tab/>
        <w:t>At night</w:t>
      </w:r>
      <w:r>
        <w:noBreakHyphen/>
        <w:t>time, the warning signal must be a light showing a clear red light visible at a distance of 200 m.</w:t>
      </w:r>
    </w:p>
    <w:p w:rsidR="006724FB" w:rsidRDefault="006724FB">
      <w:pPr>
        <w:pStyle w:val="Heading5"/>
      </w:pPr>
      <w:bookmarkStart w:id="326" w:name="_Toc75875742"/>
      <w:r>
        <w:rPr>
          <w:rStyle w:val="CharSectno"/>
        </w:rPr>
        <w:t>182</w:t>
      </w:r>
      <w:r>
        <w:t>.</w:t>
      </w:r>
      <w:r>
        <w:tab/>
        <w:t>Size and projection of loads of light vehicles</w:t>
      </w:r>
      <w:bookmarkEnd w:id="326"/>
    </w:p>
    <w:p w:rsidR="006724FB" w:rsidRDefault="006724FB">
      <w:pPr>
        <w:pStyle w:val="Subsection"/>
      </w:pPr>
      <w:r>
        <w:tab/>
        <w:t>(1)</w:t>
      </w:r>
      <w:r>
        <w:tab/>
        <w:t>In the case of a light vehicle other than a motor cycle, the load and equipment on the vehicle must not project more than —</w:t>
      </w:r>
    </w:p>
    <w:p w:rsidR="006724FB" w:rsidRDefault="006724FB">
      <w:pPr>
        <w:pStyle w:val="Indenta"/>
      </w:pPr>
      <w:r>
        <w:tab/>
        <w:t>(a)</w:t>
      </w:r>
      <w:r>
        <w:tab/>
        <w:t>1.2 m in front of the vehicle; or</w:t>
      </w:r>
    </w:p>
    <w:p w:rsidR="006724FB" w:rsidRDefault="006724FB">
      <w:pPr>
        <w:pStyle w:val="Indenta"/>
      </w:pPr>
      <w:r>
        <w:tab/>
        <w:t>(b)</w:t>
      </w:r>
      <w:r>
        <w:tab/>
        <w:t>1.2 m to the rear of the vehicle.</w:t>
      </w:r>
    </w:p>
    <w:p w:rsidR="006724FB" w:rsidRDefault="006724FB">
      <w:pPr>
        <w:pStyle w:val="Subsection"/>
      </w:pPr>
      <w:r>
        <w:tab/>
        <w:t>(2)</w:t>
      </w:r>
      <w:r>
        <w:tab/>
        <w:t>In the case of a motor cycle, the maximum longitudinal projection beyond the outer extremity of the wheels, of any part of the vehicle, or the load or equipment on the vehicle, must not exceed —</w:t>
      </w:r>
    </w:p>
    <w:p w:rsidR="006724FB" w:rsidRDefault="006724FB">
      <w:pPr>
        <w:pStyle w:val="Indenta"/>
      </w:pPr>
      <w:r>
        <w:tab/>
        <w:t>(a)</w:t>
      </w:r>
      <w:r>
        <w:tab/>
        <w:t>for a motor cycle only —</w:t>
      </w:r>
    </w:p>
    <w:p w:rsidR="006724FB" w:rsidRDefault="006724FB">
      <w:pPr>
        <w:pStyle w:val="Indenti"/>
      </w:pPr>
      <w:r>
        <w:tab/>
        <w:t>(i)</w:t>
      </w:r>
      <w:r>
        <w:tab/>
        <w:t>150 mm in the case of the front wheel; and</w:t>
      </w:r>
    </w:p>
    <w:p w:rsidR="006724FB" w:rsidRDefault="006724FB">
      <w:pPr>
        <w:pStyle w:val="Indenti"/>
      </w:pPr>
      <w:r>
        <w:tab/>
        <w:t>(ii)</w:t>
      </w:r>
      <w:r>
        <w:tab/>
        <w:t>300 mm in the case of the rear wheel;</w:t>
      </w:r>
    </w:p>
    <w:p w:rsidR="006724FB" w:rsidRDefault="006724FB">
      <w:pPr>
        <w:pStyle w:val="Indenta"/>
        <w:keepNext/>
      </w:pPr>
      <w:r>
        <w:lastRenderedPageBreak/>
        <w:tab/>
        <w:t>(b)</w:t>
      </w:r>
      <w:r>
        <w:tab/>
        <w:t xml:space="preserve">for a motor cycle with an attached sidecar — </w:t>
      </w:r>
    </w:p>
    <w:p w:rsidR="006724FB" w:rsidRDefault="006724FB">
      <w:pPr>
        <w:pStyle w:val="Indenti"/>
      </w:pPr>
      <w:r>
        <w:tab/>
        <w:t>(i)</w:t>
      </w:r>
      <w:r>
        <w:tab/>
        <w:t>600 mm in the case of the front wheel; and</w:t>
      </w:r>
    </w:p>
    <w:p w:rsidR="006724FB" w:rsidRDefault="006724FB">
      <w:pPr>
        <w:pStyle w:val="Indenti"/>
      </w:pPr>
      <w:r>
        <w:tab/>
        <w:t>(ii)</w:t>
      </w:r>
      <w:r>
        <w:tab/>
        <w:t>900 mm in the case of the rear wheel.</w:t>
      </w:r>
    </w:p>
    <w:p w:rsidR="006724FB" w:rsidRDefault="006724FB">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rsidR="006724FB" w:rsidRDefault="006724FB">
      <w:pPr>
        <w:pStyle w:val="Heading5"/>
      </w:pPr>
      <w:bookmarkStart w:id="327" w:name="_Toc75875743"/>
      <w:r>
        <w:rPr>
          <w:rStyle w:val="CharSectno"/>
        </w:rPr>
        <w:t>183</w:t>
      </w:r>
      <w:r>
        <w:t>.</w:t>
      </w:r>
      <w:r>
        <w:tab/>
        <w:t>Warning signals for loads of light vehicles</w:t>
      </w:r>
      <w:bookmarkEnd w:id="327"/>
    </w:p>
    <w:p w:rsidR="006724FB" w:rsidRDefault="006724FB">
      <w:pPr>
        <w:pStyle w:val="Subsection"/>
      </w:pPr>
      <w:r>
        <w:tab/>
        <w:t>(1)</w:t>
      </w:r>
      <w:r>
        <w:tab/>
        <w:t>If any portion of the load or equipment on a light vehicle projects in a manner that it would not be readily visible to any person following immediately behind the vehicle, the driver of the vehicle must —</w:t>
      </w:r>
    </w:p>
    <w:p w:rsidR="006724FB" w:rsidRDefault="006724FB">
      <w:pPr>
        <w:pStyle w:val="Indenta"/>
      </w:pPr>
      <w:r>
        <w:tab/>
        <w:t>(a)</w:t>
      </w:r>
      <w:r>
        <w:tab/>
        <w:t>mark the end of the load or equipment, by means of a brightly coloured flag or piece of material, with each side at least 300 mm long, so that it is clearly visible to persons in its vicinity; or</w:t>
      </w:r>
    </w:p>
    <w:p w:rsidR="006724FB" w:rsidRDefault="006724FB">
      <w:pPr>
        <w:pStyle w:val="Indenta"/>
      </w:pPr>
      <w:r>
        <w:tab/>
        <w:t>(b)</w:t>
      </w:r>
      <w:r>
        <w:tab/>
        <w:t>at night</w:t>
      </w:r>
      <w:r>
        <w:noBreakHyphen/>
        <w:t>time, fit to the extreme end of the load or equipment a light showing a clear red light to the rear, visible at a distance of 200 m.</w:t>
      </w:r>
    </w:p>
    <w:p w:rsidR="006724FB" w:rsidRDefault="006724FB">
      <w:pPr>
        <w:pStyle w:val="Subsection"/>
      </w:pPr>
      <w:r>
        <w:tab/>
        <w:t>(2)</w:t>
      </w:r>
      <w:r>
        <w:tab/>
        <w:t xml:space="preserve">Subregulation (1) is not a requirement for the definition of </w:t>
      </w:r>
      <w:r>
        <w:rPr>
          <w:b/>
          <w:i/>
        </w:rPr>
        <w:t>warning requirement</w:t>
      </w:r>
      <w:r>
        <w:t xml:space="preserve"> in section 51.</w:t>
      </w:r>
    </w:p>
    <w:p w:rsidR="006724FB" w:rsidRDefault="006724FB">
      <w:pPr>
        <w:pStyle w:val="Heading5"/>
      </w:pPr>
      <w:bookmarkStart w:id="328" w:name="_Toc75875744"/>
      <w:r>
        <w:rPr>
          <w:rStyle w:val="CharSectno"/>
        </w:rPr>
        <w:t>184</w:t>
      </w:r>
      <w:r>
        <w:t>.</w:t>
      </w:r>
      <w:r>
        <w:tab/>
        <w:t>Dangerous projection requirement for categories of breach</w:t>
      </w:r>
      <w:bookmarkEnd w:id="328"/>
    </w:p>
    <w:p w:rsidR="006724FB" w:rsidRDefault="006724FB">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rsidR="006724FB" w:rsidRDefault="006724FB">
      <w:pPr>
        <w:pStyle w:val="Heading5"/>
      </w:pPr>
      <w:bookmarkStart w:id="329" w:name="_Toc75875745"/>
      <w:r>
        <w:rPr>
          <w:rStyle w:val="CharSectno"/>
        </w:rPr>
        <w:lastRenderedPageBreak/>
        <w:t>185</w:t>
      </w:r>
      <w:r>
        <w:t>.</w:t>
      </w:r>
      <w:r>
        <w:tab/>
        <w:t>Warning requirements for categories of breach</w:t>
      </w:r>
      <w:bookmarkEnd w:id="329"/>
    </w:p>
    <w:p w:rsidR="006724FB" w:rsidRDefault="006724FB">
      <w:pPr>
        <w:pStyle w:val="Subsection"/>
        <w:keepNext/>
      </w:pPr>
      <w:r>
        <w:tab/>
      </w:r>
      <w:r>
        <w:tab/>
        <w:t xml:space="preserve">For the definition of </w:t>
      </w:r>
      <w:r>
        <w:rPr>
          <w:b/>
          <w:i/>
        </w:rPr>
        <w:t>warning requirement</w:t>
      </w:r>
      <w:r>
        <w:t xml:space="preserve"> in section 51, these are requirements — </w:t>
      </w:r>
    </w:p>
    <w:p w:rsidR="006724FB" w:rsidRDefault="006724FB">
      <w:pPr>
        <w:pStyle w:val="Indenta"/>
      </w:pPr>
      <w:r>
        <w:tab/>
        <w:t>(a)</w:t>
      </w:r>
      <w:r>
        <w:tab/>
        <w:t>a requirement specified in an order or permit, as defined in section 32, for a warning sign, light or other device;</w:t>
      </w:r>
    </w:p>
    <w:p w:rsidR="006724FB" w:rsidRDefault="006724FB">
      <w:pPr>
        <w:pStyle w:val="Indenta"/>
      </w:pPr>
      <w:r>
        <w:tab/>
        <w:t>(b)</w:t>
      </w:r>
      <w:r>
        <w:tab/>
        <w:t>a requirement specified in an order or permit, as defined in section 38, for a warning sign, light or other device.</w:t>
      </w:r>
    </w:p>
    <w:p w:rsidR="006724FB" w:rsidRDefault="006724FB">
      <w:pPr>
        <w:pStyle w:val="Heading3"/>
      </w:pPr>
      <w:bookmarkStart w:id="330" w:name="_Toc75419823"/>
      <w:bookmarkStart w:id="331" w:name="_Toc75427158"/>
      <w:bookmarkStart w:id="332" w:name="_Toc75872574"/>
      <w:bookmarkStart w:id="333" w:name="_Toc75875746"/>
      <w:r>
        <w:rPr>
          <w:rStyle w:val="CharDivNo"/>
        </w:rPr>
        <w:t>Division 3</w:t>
      </w:r>
      <w:r>
        <w:t> — </w:t>
      </w:r>
      <w:r>
        <w:rPr>
          <w:rStyle w:val="CharDivText"/>
        </w:rPr>
        <w:t>Loading requirements</w:t>
      </w:r>
      <w:bookmarkEnd w:id="330"/>
      <w:bookmarkEnd w:id="331"/>
      <w:bookmarkEnd w:id="332"/>
      <w:bookmarkEnd w:id="333"/>
    </w:p>
    <w:p w:rsidR="006724FB" w:rsidRDefault="006724FB">
      <w:pPr>
        <w:pStyle w:val="Heading5"/>
      </w:pPr>
      <w:bookmarkStart w:id="334" w:name="_Toc75875747"/>
      <w:r>
        <w:rPr>
          <w:rStyle w:val="CharSectno"/>
        </w:rPr>
        <w:t>186</w:t>
      </w:r>
      <w:r>
        <w:t>.</w:t>
      </w:r>
      <w:r>
        <w:tab/>
        <w:t>Loading requirements</w:t>
      </w:r>
      <w:bookmarkEnd w:id="334"/>
    </w:p>
    <w:p w:rsidR="006724FB" w:rsidRDefault="006724FB">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rsidR="006724FB" w:rsidRDefault="006724FB">
      <w:pPr>
        <w:pStyle w:val="Subsection"/>
      </w:pPr>
      <w:r>
        <w:tab/>
        <w:t>(2)</w:t>
      </w:r>
      <w:r>
        <w:tab/>
        <w:t>This Division does not apply to a vehicle mentioned in regulation 228(g).</w:t>
      </w:r>
    </w:p>
    <w:p w:rsidR="006724FB" w:rsidRDefault="006724FB">
      <w:pPr>
        <w:pStyle w:val="Heading5"/>
      </w:pPr>
      <w:bookmarkStart w:id="335" w:name="_Toc75875748"/>
      <w:r>
        <w:rPr>
          <w:rStyle w:val="CharSectno"/>
        </w:rPr>
        <w:t>187</w:t>
      </w:r>
      <w:r>
        <w:t>.</w:t>
      </w:r>
      <w:r>
        <w:tab/>
        <w:t>Placement and securing of loads</w:t>
      </w:r>
      <w:bookmarkEnd w:id="335"/>
    </w:p>
    <w:p w:rsidR="006724FB" w:rsidRDefault="006724FB">
      <w:pPr>
        <w:pStyle w:val="Subsection"/>
        <w:keepNext/>
      </w:pPr>
      <w:r>
        <w:tab/>
        <w:t>(1)</w:t>
      </w:r>
      <w:r>
        <w:tab/>
        <w:t xml:space="preserve">In this regulation — </w:t>
      </w:r>
    </w:p>
    <w:p w:rsidR="006724FB" w:rsidRDefault="006724FB">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rsidR="006724FB" w:rsidRDefault="006724FB">
      <w:pPr>
        <w:pStyle w:val="Subsection"/>
      </w:pPr>
      <w:r>
        <w:tab/>
        <w:t>(2)</w:t>
      </w:r>
      <w:r>
        <w:tab/>
        <w:t>A load on a vehicle must not be placed in a way that makes the vehicle unstable or unsafe.</w:t>
      </w:r>
    </w:p>
    <w:p w:rsidR="006724FB" w:rsidRDefault="006724FB">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rsidR="006724FB" w:rsidRDefault="006724FB">
      <w:pPr>
        <w:pStyle w:val="Subsection"/>
      </w:pPr>
      <w:r>
        <w:lastRenderedPageBreak/>
        <w:tab/>
        <w:t>(4)</w:t>
      </w:r>
      <w:r>
        <w:tab/>
        <w:t>A load on a vehicle must be secured in accordance with the guidelines and performance standards for the safe carriage of loads on road vehicles set out in the Load Restraint Guide.</w:t>
      </w:r>
    </w:p>
    <w:p w:rsidR="006724FB" w:rsidRDefault="006724FB">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rsidR="006724FB" w:rsidRDefault="006724FB">
      <w:pPr>
        <w:pStyle w:val="Heading3"/>
      </w:pPr>
      <w:bookmarkStart w:id="336" w:name="_Toc75419826"/>
      <w:bookmarkStart w:id="337" w:name="_Toc75427161"/>
      <w:bookmarkStart w:id="338" w:name="_Toc75872577"/>
      <w:bookmarkStart w:id="339" w:name="_Toc75875749"/>
      <w:r>
        <w:rPr>
          <w:rStyle w:val="CharDivNo"/>
        </w:rPr>
        <w:t>Division 4</w:t>
      </w:r>
      <w:r>
        <w:t> — </w:t>
      </w:r>
      <w:r>
        <w:rPr>
          <w:rStyle w:val="CharDivText"/>
        </w:rPr>
        <w:t>Exemption from mass, dimension or loading requirements in emergency areas</w:t>
      </w:r>
      <w:bookmarkEnd w:id="336"/>
      <w:bookmarkEnd w:id="337"/>
      <w:bookmarkEnd w:id="338"/>
      <w:bookmarkEnd w:id="339"/>
    </w:p>
    <w:p w:rsidR="006724FB" w:rsidRDefault="006724FB">
      <w:pPr>
        <w:pStyle w:val="Heading5"/>
      </w:pPr>
      <w:bookmarkStart w:id="340" w:name="_Toc75875750"/>
      <w:r>
        <w:rPr>
          <w:rStyle w:val="CharSectno"/>
        </w:rPr>
        <w:t>188</w:t>
      </w:r>
      <w:r>
        <w:t>.</w:t>
      </w:r>
      <w:r>
        <w:tab/>
        <w:t>Exemptions from mass, dimension or loading requirements in emergency areas</w:t>
      </w:r>
      <w:bookmarkEnd w:id="340"/>
    </w:p>
    <w:p w:rsidR="006724FB" w:rsidRDefault="006724FB">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rsidR="006724FB" w:rsidRDefault="006724FB">
      <w:pPr>
        <w:pStyle w:val="Indenta"/>
      </w:pPr>
      <w:r>
        <w:tab/>
        <w:t>(a)</w:t>
      </w:r>
      <w:r>
        <w:tab/>
        <w:t>the vehicle is being used, or is intended to be used, to protect life or property, or to restore communications or the supply of energy, water or sewerage services; and</w:t>
      </w:r>
    </w:p>
    <w:p w:rsidR="006724FB" w:rsidRDefault="006724FB">
      <w:pPr>
        <w:pStyle w:val="Indenta"/>
      </w:pPr>
      <w:r>
        <w:tab/>
        <w:t>(b)</w:t>
      </w:r>
      <w:r>
        <w:tab/>
        <w:t>the exemption does not present an unreasonable danger to other road users.</w:t>
      </w:r>
    </w:p>
    <w:p w:rsidR="006724FB" w:rsidRDefault="006724FB">
      <w:pPr>
        <w:pStyle w:val="Subsection"/>
      </w:pPr>
      <w:r>
        <w:tab/>
        <w:t>(2)</w:t>
      </w:r>
      <w:r>
        <w:tab/>
        <w:t>The Commissioner of Main Roads may impose conditions on an exemption.</w:t>
      </w:r>
    </w:p>
    <w:p w:rsidR="006724FB" w:rsidRDefault="006724FB">
      <w:pPr>
        <w:pStyle w:val="Subsection"/>
      </w:pPr>
      <w:r>
        <w:tab/>
        <w:t>(3)</w:t>
      </w:r>
      <w:r>
        <w:tab/>
        <w:t>An exemption may be communicated orally to the driver or operator of the vehicle.</w:t>
      </w:r>
    </w:p>
    <w:p w:rsidR="006724FB" w:rsidRDefault="006724FB">
      <w:pPr>
        <w:pStyle w:val="Subsection"/>
      </w:pPr>
      <w:r>
        <w:tab/>
        <w:t>(4)</w:t>
      </w:r>
      <w:r>
        <w:tab/>
        <w:t>The Commissioner of Main Roads must make a written record of each exemption and the conditions to which it is subject.</w:t>
      </w:r>
    </w:p>
    <w:p w:rsidR="006724FB" w:rsidRDefault="006724FB">
      <w:pPr>
        <w:pStyle w:val="Subsection"/>
      </w:pPr>
      <w:r>
        <w:tab/>
        <w:t>(5)</w:t>
      </w:r>
      <w:r>
        <w:tab/>
        <w:t>A person to whom an exemption applies must not contravene a condition imposed on the exemption.</w:t>
      </w:r>
    </w:p>
    <w:p w:rsidR="006724FB" w:rsidRDefault="006724FB">
      <w:pPr>
        <w:pStyle w:val="Penstart"/>
      </w:pPr>
      <w:r>
        <w:tab/>
        <w:t>Penalty for an offence under this subregulation: a fine of 16 PU.</w:t>
      </w:r>
    </w:p>
    <w:p w:rsidR="006724FB" w:rsidRDefault="006724FB">
      <w:pPr>
        <w:pStyle w:val="Heading5"/>
      </w:pPr>
      <w:bookmarkStart w:id="341" w:name="_Toc75875751"/>
      <w:r>
        <w:rPr>
          <w:rStyle w:val="CharSectno"/>
        </w:rPr>
        <w:lastRenderedPageBreak/>
        <w:t>189</w:t>
      </w:r>
      <w:r>
        <w:t>.</w:t>
      </w:r>
      <w:r>
        <w:tab/>
        <w:t>Notification and reconsideration of emergency area exemption decisions</w:t>
      </w:r>
      <w:bookmarkEnd w:id="341"/>
    </w:p>
    <w:p w:rsidR="006724FB" w:rsidRDefault="006724FB">
      <w:pPr>
        <w:pStyle w:val="Subsection"/>
      </w:pPr>
      <w:r>
        <w:tab/>
      </w:r>
      <w:r>
        <w:tab/>
        <w:t>Part 15 provides for the notification and reconsideration of certain decisions made under regulation 188.</w:t>
      </w:r>
    </w:p>
    <w:p w:rsidR="006724FB" w:rsidRDefault="006724FB">
      <w:pPr>
        <w:pStyle w:val="Heading3"/>
      </w:pPr>
      <w:bookmarkStart w:id="342" w:name="_Toc75419829"/>
      <w:bookmarkStart w:id="343" w:name="_Toc75427164"/>
      <w:bookmarkStart w:id="344" w:name="_Toc75872580"/>
      <w:bookmarkStart w:id="345" w:name="_Toc75875752"/>
      <w:r>
        <w:rPr>
          <w:rStyle w:val="CharDivNo"/>
        </w:rPr>
        <w:t>Division 5</w:t>
      </w:r>
      <w:r>
        <w:t> — </w:t>
      </w:r>
      <w:r>
        <w:rPr>
          <w:rStyle w:val="CharDivText"/>
        </w:rPr>
        <w:t>Modification of mass or dimension requirements for certain vehicles</w:t>
      </w:r>
      <w:bookmarkEnd w:id="342"/>
      <w:bookmarkEnd w:id="343"/>
      <w:bookmarkEnd w:id="344"/>
      <w:bookmarkEnd w:id="345"/>
    </w:p>
    <w:p w:rsidR="006724FB" w:rsidRDefault="006724FB">
      <w:pPr>
        <w:pStyle w:val="Heading5"/>
      </w:pPr>
      <w:bookmarkStart w:id="346" w:name="_Toc75875753"/>
      <w:r>
        <w:rPr>
          <w:rStyle w:val="CharSectno"/>
        </w:rPr>
        <w:t>190</w:t>
      </w:r>
      <w:r>
        <w:t>.</w:t>
      </w:r>
      <w:r>
        <w:tab/>
        <w:t>Terms used</w:t>
      </w:r>
      <w:bookmarkEnd w:id="346"/>
    </w:p>
    <w:p w:rsidR="006724FB" w:rsidRDefault="006724FB">
      <w:pPr>
        <w:pStyle w:val="Subsection"/>
      </w:pPr>
      <w:r>
        <w:tab/>
      </w:r>
      <w:r>
        <w:tab/>
        <w:t xml:space="preserve">In this Division — </w:t>
      </w:r>
    </w:p>
    <w:p w:rsidR="006724FB" w:rsidRDefault="006724FB">
      <w:pPr>
        <w:pStyle w:val="Defstart"/>
      </w:pPr>
      <w:r>
        <w:tab/>
      </w:r>
      <w:r>
        <w:rPr>
          <w:rStyle w:val="CharDefText"/>
        </w:rPr>
        <w:t>class 1 vehicle</w:t>
      </w:r>
      <w:r>
        <w:t xml:space="preserve"> means a vehicle — </w:t>
      </w:r>
    </w:p>
    <w:p w:rsidR="006724FB" w:rsidRDefault="006724FB">
      <w:pPr>
        <w:pStyle w:val="Defpara"/>
      </w:pPr>
      <w:r>
        <w:tab/>
        <w:t>(a)</w:t>
      </w:r>
      <w:r>
        <w:tab/>
        <w:t>in respect of which there is non</w:t>
      </w:r>
      <w:r>
        <w:noBreakHyphen/>
        <w:t>compliance with a prescribed requirement that relates to the mass or dimension of the vehicle or its load or the vehicle and its load; and</w:t>
      </w:r>
    </w:p>
    <w:p w:rsidR="006724FB" w:rsidRDefault="006724FB">
      <w:pPr>
        <w:pStyle w:val="Defpara"/>
      </w:pPr>
      <w:r>
        <w:tab/>
        <w:t>(b)</w:t>
      </w:r>
      <w:r>
        <w:tab/>
        <w:t>that is —</w:t>
      </w:r>
    </w:p>
    <w:p w:rsidR="006724FB" w:rsidRDefault="006724FB">
      <w:pPr>
        <w:pStyle w:val="Defsubpara"/>
      </w:pPr>
      <w:r>
        <w:tab/>
        <w:t>(i)</w:t>
      </w:r>
      <w:r>
        <w:tab/>
        <w:t>a special purpose vehicle; or</w:t>
      </w:r>
    </w:p>
    <w:p w:rsidR="006724FB" w:rsidRDefault="006724FB">
      <w:pPr>
        <w:pStyle w:val="Defsubpara"/>
      </w:pPr>
      <w:r>
        <w:tab/>
        <w:t>(ii)</w:t>
      </w:r>
      <w:r>
        <w:tab/>
        <w:t>an agricultural machine or agricultural implement; or</w:t>
      </w:r>
    </w:p>
    <w:p w:rsidR="006724FB" w:rsidRDefault="006724FB">
      <w:pPr>
        <w:pStyle w:val="Defsubpara"/>
      </w:pPr>
      <w:r>
        <w:tab/>
        <w:t>(iii)</w:t>
      </w:r>
      <w:r>
        <w:tab/>
        <w:t>carrying, or designed to carry, a large indivisible item;</w:t>
      </w:r>
    </w:p>
    <w:p w:rsidR="006724FB" w:rsidRDefault="006724FB">
      <w:pPr>
        <w:pStyle w:val="Defpara"/>
      </w:pPr>
      <w:r>
        <w:tab/>
      </w:r>
      <w:r>
        <w:tab/>
        <w:t>and</w:t>
      </w:r>
    </w:p>
    <w:p w:rsidR="006724FB" w:rsidRDefault="006724FB">
      <w:pPr>
        <w:pStyle w:val="Defpara"/>
      </w:pPr>
      <w:r>
        <w:tab/>
        <w:t>(c)</w:t>
      </w:r>
      <w:r>
        <w:tab/>
        <w:t>that is not —</w:t>
      </w:r>
    </w:p>
    <w:p w:rsidR="006724FB" w:rsidRDefault="006724FB">
      <w:pPr>
        <w:pStyle w:val="Defsubpara"/>
      </w:pPr>
      <w:r>
        <w:tab/>
        <w:t>(i)</w:t>
      </w:r>
      <w:r>
        <w:tab/>
        <w:t>a road train; or</w:t>
      </w:r>
    </w:p>
    <w:p w:rsidR="006724FB" w:rsidRDefault="006724FB">
      <w:pPr>
        <w:pStyle w:val="Defsubpara"/>
      </w:pPr>
      <w:r>
        <w:tab/>
        <w:t>(ii)</w:t>
      </w:r>
      <w:r>
        <w:tab/>
        <w:t>a B</w:t>
      </w:r>
      <w:r>
        <w:noBreakHyphen/>
        <w:t>double; or</w:t>
      </w:r>
    </w:p>
    <w:p w:rsidR="006724FB" w:rsidRDefault="006724FB">
      <w:pPr>
        <w:pStyle w:val="Defsubpara"/>
      </w:pPr>
      <w:r>
        <w:tab/>
        <w:t>(iii)</w:t>
      </w:r>
      <w:r>
        <w:tab/>
        <w:t>carrying a freight container designed for multi</w:t>
      </w:r>
      <w:r>
        <w:noBreakHyphen/>
        <w:t>modal transport;</w:t>
      </w:r>
    </w:p>
    <w:p w:rsidR="006724FB" w:rsidRDefault="006724FB">
      <w:pPr>
        <w:pStyle w:val="Defstart"/>
      </w:pPr>
      <w:r>
        <w:tab/>
      </w:r>
      <w:r>
        <w:rPr>
          <w:rStyle w:val="CharDefText"/>
        </w:rPr>
        <w:t>class 3 vehicle</w:t>
      </w:r>
      <w:r>
        <w:t xml:space="preserve"> means a vehicle — </w:t>
      </w:r>
    </w:p>
    <w:p w:rsidR="006724FB" w:rsidRDefault="006724FB">
      <w:pPr>
        <w:pStyle w:val="Defpara"/>
      </w:pPr>
      <w:r>
        <w:tab/>
        <w:t>(a)</w:t>
      </w:r>
      <w:r>
        <w:tab/>
        <w:t>in respect of which there is non</w:t>
      </w:r>
      <w:r>
        <w:noBreakHyphen/>
        <w:t>compliance with a prescribed requirement that relates to the mass or dimension of the vehicle or its load or the vehicle and its load; and</w:t>
      </w:r>
    </w:p>
    <w:p w:rsidR="006724FB" w:rsidRDefault="006724FB">
      <w:pPr>
        <w:pStyle w:val="Defpara"/>
      </w:pPr>
      <w:r>
        <w:lastRenderedPageBreak/>
        <w:tab/>
        <w:t>(b)</w:t>
      </w:r>
      <w:r>
        <w:tab/>
        <w:t>that is not a class 1 vehicle;</w:t>
      </w:r>
    </w:p>
    <w:p w:rsidR="006724FB" w:rsidRDefault="006724FB">
      <w:pPr>
        <w:pStyle w:val="Defstart"/>
      </w:pPr>
      <w:r>
        <w:tab/>
      </w:r>
      <w:r>
        <w:rPr>
          <w:rStyle w:val="CharDefText"/>
        </w:rPr>
        <w:t>large indivisible item</w:t>
      </w:r>
      <w:r>
        <w:t xml:space="preserve"> means an item that —</w:t>
      </w:r>
    </w:p>
    <w:p w:rsidR="006724FB" w:rsidRDefault="006724FB">
      <w:pPr>
        <w:pStyle w:val="Defpara"/>
      </w:pPr>
      <w:r>
        <w:tab/>
        <w:t>(a)</w:t>
      </w:r>
      <w:r>
        <w:tab/>
        <w:t>cannot be divided without extreme effort, expense or risk of damage to it; and</w:t>
      </w:r>
    </w:p>
    <w:p w:rsidR="006724FB" w:rsidRDefault="006724FB">
      <w:pPr>
        <w:pStyle w:val="Defpara"/>
      </w:pPr>
      <w:r>
        <w:tab/>
        <w:t>(b)</w:t>
      </w:r>
      <w:r>
        <w:tab/>
        <w:t>cannot be carried on any vehicle without exceeding a mass or dimension requirement;</w:t>
      </w:r>
    </w:p>
    <w:p w:rsidR="006724FB" w:rsidRDefault="006724FB">
      <w:pPr>
        <w:pStyle w:val="Defstart"/>
      </w:pPr>
      <w:r>
        <w:tab/>
      </w:r>
      <w:r>
        <w:rPr>
          <w:rStyle w:val="CharDefText"/>
        </w:rPr>
        <w:t>order</w:t>
      </w:r>
      <w:r>
        <w:t xml:space="preserve"> has the meaning given in section 32;</w:t>
      </w:r>
    </w:p>
    <w:p w:rsidR="006724FB" w:rsidRDefault="006724FB">
      <w:pPr>
        <w:pStyle w:val="Defstart"/>
      </w:pPr>
      <w:r>
        <w:tab/>
      </w:r>
      <w:r>
        <w:rPr>
          <w:rStyle w:val="CharDefText"/>
        </w:rPr>
        <w:t>permit</w:t>
      </w:r>
      <w:r>
        <w:t xml:space="preserve"> has the meaning given in section 32.</w:t>
      </w:r>
    </w:p>
    <w:p w:rsidR="006724FB" w:rsidRDefault="006724FB">
      <w:pPr>
        <w:pStyle w:val="Heading5"/>
      </w:pPr>
      <w:bookmarkStart w:id="347" w:name="_Toc75875754"/>
      <w:r>
        <w:rPr>
          <w:rStyle w:val="CharSectno"/>
        </w:rPr>
        <w:t>191</w:t>
      </w:r>
      <w:r>
        <w:t>.</w:t>
      </w:r>
      <w:r>
        <w:tab/>
        <w:t>Vehicles for which mass or dimension requirements may be modified</w:t>
      </w:r>
      <w:bookmarkEnd w:id="347"/>
    </w:p>
    <w:p w:rsidR="006724FB" w:rsidRDefault="006724FB">
      <w:pPr>
        <w:pStyle w:val="Subsection"/>
        <w:keepNext/>
      </w:pPr>
      <w:r>
        <w:tab/>
      </w:r>
      <w:r>
        <w:tab/>
        <w:t xml:space="preserve">For the definition of </w:t>
      </w:r>
      <w:r>
        <w:rPr>
          <w:b/>
          <w:i/>
        </w:rPr>
        <w:t>vehicle</w:t>
      </w:r>
      <w:r>
        <w:t xml:space="preserve"> in section 32 the classes of vehicle are these — </w:t>
      </w:r>
    </w:p>
    <w:p w:rsidR="006724FB" w:rsidRDefault="006724FB">
      <w:pPr>
        <w:pStyle w:val="Indenta"/>
      </w:pPr>
      <w:r>
        <w:tab/>
        <w:t>(a)</w:t>
      </w:r>
      <w:r>
        <w:tab/>
        <w:t>a class 1 vehicle;</w:t>
      </w:r>
    </w:p>
    <w:p w:rsidR="006724FB" w:rsidRDefault="006724FB">
      <w:pPr>
        <w:pStyle w:val="Indenta"/>
      </w:pPr>
      <w:r>
        <w:tab/>
        <w:t>(b)</w:t>
      </w:r>
      <w:r>
        <w:tab/>
        <w:t>a class 3 vehicle.</w:t>
      </w:r>
    </w:p>
    <w:p w:rsidR="006724FB" w:rsidRDefault="006724FB">
      <w:pPr>
        <w:pStyle w:val="Heading5"/>
      </w:pPr>
      <w:bookmarkStart w:id="348" w:name="_Toc75875755"/>
      <w:r>
        <w:rPr>
          <w:rStyle w:val="CharSectno"/>
        </w:rPr>
        <w:t>192</w:t>
      </w:r>
      <w:r>
        <w:t>.</w:t>
      </w:r>
      <w:r>
        <w:tab/>
        <w:t>Heavy vehicles that require accredited person before mass or dimension requirement can be modified</w:t>
      </w:r>
      <w:bookmarkEnd w:id="348"/>
    </w:p>
    <w:p w:rsidR="006724FB" w:rsidRDefault="006724FB">
      <w:pPr>
        <w:pStyle w:val="Subsection"/>
      </w:pPr>
      <w:r>
        <w:tab/>
      </w:r>
      <w:r>
        <w:tab/>
        <w:t xml:space="preserve">The heavy vehicles prescribed for section 33(4) are heavy vehicles used in connection with a business except a vehicle that is — </w:t>
      </w:r>
    </w:p>
    <w:p w:rsidR="006724FB" w:rsidRDefault="006724FB">
      <w:pPr>
        <w:pStyle w:val="Indenta"/>
      </w:pPr>
      <w:r>
        <w:tab/>
        <w:t>(a)</w:t>
      </w:r>
      <w:r>
        <w:tab/>
        <w:t>a bus; or</w:t>
      </w:r>
    </w:p>
    <w:p w:rsidR="006724FB" w:rsidRDefault="006724FB">
      <w:pPr>
        <w:pStyle w:val="Indenta"/>
      </w:pPr>
      <w:r>
        <w:tab/>
        <w:t>(b)</w:t>
      </w:r>
      <w:r>
        <w:tab/>
        <w:t>a vehicle with a GVM of 8 t or less; or</w:t>
      </w:r>
    </w:p>
    <w:p w:rsidR="006724FB" w:rsidRDefault="006724FB">
      <w:pPr>
        <w:pStyle w:val="Indenta"/>
      </w:pPr>
      <w:r>
        <w:tab/>
        <w:t>(c)</w:t>
      </w:r>
      <w:r>
        <w:tab/>
        <w:t>a vehicle owned by a public authority; or</w:t>
      </w:r>
    </w:p>
    <w:p w:rsidR="006724FB" w:rsidRDefault="006724FB">
      <w:pPr>
        <w:pStyle w:val="Indenta"/>
      </w:pPr>
      <w:r>
        <w:tab/>
        <w:t>(d)</w:t>
      </w:r>
      <w:r>
        <w:tab/>
        <w:t>a vehicle owned by the Commonwealth or a Commonwealth department or agency or used for Australian or visiting defence force purposes; or</w:t>
      </w:r>
    </w:p>
    <w:p w:rsidR="006724FB" w:rsidRDefault="006724FB">
      <w:pPr>
        <w:pStyle w:val="Indenta"/>
      </w:pPr>
      <w:r>
        <w:tab/>
        <w:t>(e)</w:t>
      </w:r>
      <w:r>
        <w:tab/>
        <w:t>a special purpose vehicle; or</w:t>
      </w:r>
    </w:p>
    <w:p w:rsidR="006724FB" w:rsidRDefault="006724FB">
      <w:pPr>
        <w:pStyle w:val="Indenta"/>
      </w:pPr>
      <w:r>
        <w:tab/>
        <w:t>(f)</w:t>
      </w:r>
      <w:r>
        <w:tab/>
        <w:t>an agricultural vehicle; or</w:t>
      </w:r>
    </w:p>
    <w:p w:rsidR="006724FB" w:rsidRDefault="006724FB">
      <w:pPr>
        <w:pStyle w:val="Indenta"/>
      </w:pPr>
      <w:r>
        <w:tab/>
        <w:t>(g)</w:t>
      </w:r>
      <w:r>
        <w:tab/>
        <w:t xml:space="preserve">operated by an operator who will not apply for — </w:t>
      </w:r>
    </w:p>
    <w:p w:rsidR="006724FB" w:rsidRDefault="006724FB">
      <w:pPr>
        <w:pStyle w:val="Indenti"/>
      </w:pPr>
      <w:r>
        <w:tab/>
        <w:t>(i)</w:t>
      </w:r>
      <w:r>
        <w:tab/>
        <w:t xml:space="preserve">more than 4 single trip permits for one or more vehicles to have effect in the same 12 month </w:t>
      </w:r>
      <w:r>
        <w:lastRenderedPageBreak/>
        <w:t>period commencing 1 January and ending on 31 December; or</w:t>
      </w:r>
    </w:p>
    <w:p w:rsidR="006724FB" w:rsidRDefault="006724FB">
      <w:pPr>
        <w:pStyle w:val="Indenti"/>
      </w:pPr>
      <w:r>
        <w:tab/>
        <w:t>(ii)</w:t>
      </w:r>
      <w:r>
        <w:tab/>
        <w:t>any other permit for a vehicle.</w:t>
      </w:r>
    </w:p>
    <w:p w:rsidR="006724FB" w:rsidRDefault="006724FB">
      <w:pPr>
        <w:pStyle w:val="Heading5"/>
      </w:pPr>
      <w:bookmarkStart w:id="349" w:name="_Toc75875756"/>
      <w:r>
        <w:rPr>
          <w:rStyle w:val="CharSectno"/>
        </w:rPr>
        <w:t>193</w:t>
      </w:r>
      <w:r>
        <w:t>.</w:t>
      </w:r>
      <w:r>
        <w:tab/>
        <w:t>Applications for permits to modify mass or dimension requirement</w:t>
      </w:r>
      <w:bookmarkEnd w:id="349"/>
    </w:p>
    <w:p w:rsidR="006724FB" w:rsidRDefault="006724FB">
      <w:pPr>
        <w:pStyle w:val="Subsection"/>
      </w:pPr>
      <w:r>
        <w:tab/>
        <w:t>(1)</w:t>
      </w:r>
      <w:r>
        <w:tab/>
        <w:t>An application for a permit must be in a form approved by the Commissioner of Main Roads.</w:t>
      </w:r>
    </w:p>
    <w:p w:rsidR="006724FB" w:rsidRDefault="006724FB">
      <w:pPr>
        <w:pStyle w:val="Subsection"/>
        <w:rPr>
          <w:snapToGrid w:val="0"/>
        </w:rPr>
      </w:pPr>
      <w:r>
        <w:rPr>
          <w:snapToGrid w:val="0"/>
        </w:rPr>
        <w:tab/>
        <w:t>(2)</w:t>
      </w:r>
      <w:r>
        <w:rPr>
          <w:snapToGrid w:val="0"/>
        </w:rPr>
        <w:tab/>
        <w:t>An application for a permit must be accompanied by the relevant fee under regulation 197.</w:t>
      </w:r>
    </w:p>
    <w:p w:rsidR="006724FB" w:rsidRDefault="006724FB">
      <w:pPr>
        <w:pStyle w:val="Heading5"/>
      </w:pPr>
      <w:bookmarkStart w:id="350" w:name="_Toc75875757"/>
      <w:r>
        <w:rPr>
          <w:rStyle w:val="CharSectno"/>
        </w:rPr>
        <w:t>194</w:t>
      </w:r>
      <w:r>
        <w:t>.</w:t>
      </w:r>
      <w:r>
        <w:tab/>
        <w:t>Permits for transportation of grain to bulk handler</w:t>
      </w:r>
      <w:bookmarkEnd w:id="350"/>
    </w:p>
    <w:p w:rsidR="006724FB" w:rsidRDefault="006724FB">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rsidR="006724FB" w:rsidRDefault="006724FB">
      <w:pPr>
        <w:pStyle w:val="Heading5"/>
      </w:pPr>
      <w:bookmarkStart w:id="351" w:name="_Toc75875758"/>
      <w:r>
        <w:rPr>
          <w:rStyle w:val="CharSectno"/>
        </w:rPr>
        <w:t>195</w:t>
      </w:r>
      <w:r>
        <w:t>.</w:t>
      </w:r>
      <w:r>
        <w:tab/>
        <w:t>Additional content of orders, permits</w:t>
      </w:r>
      <w:bookmarkEnd w:id="351"/>
    </w:p>
    <w:p w:rsidR="006724FB" w:rsidRDefault="006724FB">
      <w:pPr>
        <w:pStyle w:val="Subsection"/>
      </w:pPr>
      <w:r>
        <w:tab/>
        <w:t>(1)</w:t>
      </w:r>
      <w:r>
        <w:tab/>
        <w:t>In addition to the things that may be specified in an order under section 35(1), each order must also specify the term during which the modification has effect.</w:t>
      </w:r>
    </w:p>
    <w:p w:rsidR="006724FB" w:rsidRDefault="006724FB">
      <w:pPr>
        <w:pStyle w:val="Subsection"/>
        <w:keepNext/>
      </w:pPr>
      <w:r>
        <w:tab/>
        <w:t>(2)</w:t>
      </w:r>
      <w:r>
        <w:tab/>
        <w:t xml:space="preserve">In addition to the things that may be specified in a permit under section 35(1), each permit must also specify these things — </w:t>
      </w:r>
    </w:p>
    <w:p w:rsidR="006724FB" w:rsidRDefault="006724FB">
      <w:pPr>
        <w:pStyle w:val="Indenta"/>
      </w:pPr>
      <w:r>
        <w:tab/>
        <w:t>(a)</w:t>
      </w:r>
      <w:r>
        <w:tab/>
        <w:t>the name and address of the person to whom it was issued;</w:t>
      </w:r>
    </w:p>
    <w:p w:rsidR="006724FB" w:rsidRDefault="006724FB">
      <w:pPr>
        <w:pStyle w:val="Indenta"/>
      </w:pPr>
      <w:r>
        <w:tab/>
        <w:t>(b)</w:t>
      </w:r>
      <w:r>
        <w:tab/>
        <w:t>the vehicle licence number of each vehicle to which it applies;</w:t>
      </w:r>
    </w:p>
    <w:p w:rsidR="006724FB" w:rsidRDefault="006724FB">
      <w:pPr>
        <w:pStyle w:val="Indenta"/>
      </w:pPr>
      <w:r>
        <w:tab/>
        <w:t>(c)</w:t>
      </w:r>
      <w:r>
        <w:tab/>
        <w:t>the term during which the modification has effect.</w:t>
      </w:r>
    </w:p>
    <w:p w:rsidR="006724FB" w:rsidRDefault="006724FB">
      <w:pPr>
        <w:pStyle w:val="Heading5"/>
      </w:pPr>
      <w:bookmarkStart w:id="352" w:name="_Toc75875759"/>
      <w:r>
        <w:rPr>
          <w:rStyle w:val="CharSectno"/>
        </w:rPr>
        <w:lastRenderedPageBreak/>
        <w:t>196</w:t>
      </w:r>
      <w:r>
        <w:t>.</w:t>
      </w:r>
      <w:r>
        <w:tab/>
        <w:t>Applications for variation of modification of mass or dimension requirement</w:t>
      </w:r>
      <w:bookmarkEnd w:id="352"/>
    </w:p>
    <w:p w:rsidR="006724FB" w:rsidRDefault="006724FB">
      <w:pPr>
        <w:pStyle w:val="Subsection"/>
      </w:pPr>
      <w:r>
        <w:tab/>
        <w:t>(1)</w:t>
      </w:r>
      <w:r>
        <w:tab/>
        <w:t>An application for the variation of a modification of a mass or dimension requirement must be in a form approved by the Commissioner of Main Roads.</w:t>
      </w:r>
    </w:p>
    <w:p w:rsidR="006724FB" w:rsidRDefault="006724FB">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rsidR="006724FB" w:rsidRDefault="006724FB">
      <w:pPr>
        <w:pStyle w:val="Heading5"/>
      </w:pPr>
      <w:bookmarkStart w:id="353" w:name="_Toc75875760"/>
      <w:r>
        <w:rPr>
          <w:rStyle w:val="CharSectno"/>
        </w:rPr>
        <w:t>197</w:t>
      </w:r>
      <w:r>
        <w:t>.</w:t>
      </w:r>
      <w:r>
        <w:tab/>
        <w:t>Fees for application for permit, variation</w:t>
      </w:r>
      <w:bookmarkEnd w:id="353"/>
    </w:p>
    <w:p w:rsidR="006724FB" w:rsidRDefault="006724FB">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rsidR="006724FB" w:rsidRDefault="006724FB">
      <w:pPr>
        <w:pStyle w:val="Indenta"/>
      </w:pPr>
      <w:r>
        <w:tab/>
        <w:t>(a)</w:t>
      </w:r>
      <w:r>
        <w:tab/>
        <w:t xml:space="preserve">if the permit is for — </w:t>
      </w:r>
    </w:p>
    <w:p w:rsidR="006724FB" w:rsidRDefault="006724FB">
      <w:pPr>
        <w:pStyle w:val="Indenti"/>
      </w:pPr>
      <w:r>
        <w:tab/>
        <w:t>(i)</w:t>
      </w:r>
      <w:r>
        <w:tab/>
        <w:t>12 months — $25; or</w:t>
      </w:r>
    </w:p>
    <w:p w:rsidR="006724FB" w:rsidRDefault="006724FB">
      <w:pPr>
        <w:pStyle w:val="Indenti"/>
      </w:pPr>
      <w:r>
        <w:tab/>
        <w:t>(ii)</w:t>
      </w:r>
      <w:r>
        <w:tab/>
        <w:t>36 months — $50;</w:t>
      </w:r>
    </w:p>
    <w:p w:rsidR="006724FB" w:rsidRDefault="006724FB">
      <w:pPr>
        <w:pStyle w:val="Indenta"/>
      </w:pPr>
      <w:r>
        <w:tab/>
        <w:t>(b)</w:t>
      </w:r>
      <w:r>
        <w:tab/>
        <w:t>in the case of a mass requirement, $4 for each tonne or part of a tonne by which the mass requirement may be exceeded under the permit for each month or part of a month for which the permit is issued.</w:t>
      </w:r>
    </w:p>
    <w:p w:rsidR="006724FB" w:rsidRDefault="006724FB">
      <w:pPr>
        <w:pStyle w:val="Subsection"/>
        <w:keepNext/>
      </w:pPr>
      <w:r>
        <w:tab/>
        <w:t>(2)</w:t>
      </w:r>
      <w:r>
        <w:tab/>
        <w:t xml:space="preserve">The fee payable for an application for a permit for a class 1 vehicle, in the case of a single journey, is the greater of the applicable amounts set out in paragraphs (a) and (b) — </w:t>
      </w:r>
    </w:p>
    <w:p w:rsidR="006724FB" w:rsidRDefault="006724FB">
      <w:pPr>
        <w:pStyle w:val="Indenta"/>
      </w:pPr>
      <w:r>
        <w:tab/>
        <w:t>(a)</w:t>
      </w:r>
      <w:r>
        <w:tab/>
        <w:t>$25;</w:t>
      </w:r>
    </w:p>
    <w:p w:rsidR="006724FB" w:rsidRDefault="006724FB">
      <w:pPr>
        <w:pStyle w:val="Indenta"/>
      </w:pPr>
      <w:r>
        <w:tab/>
        <w:t>(b)</w:t>
      </w:r>
      <w:r>
        <w:tab/>
        <w:t>one cent per tonne per km (rounded to the nearest 5 cents) of the vehicle and its permitted load.</w:t>
      </w:r>
    </w:p>
    <w:p w:rsidR="006724FB" w:rsidRDefault="006724FB">
      <w:pPr>
        <w:pStyle w:val="Subsection"/>
        <w:keepNext/>
      </w:pPr>
      <w:r>
        <w:tab/>
        <w:t>(3)</w:t>
      </w:r>
      <w:r>
        <w:tab/>
        <w:t xml:space="preserve">The fee payable for an application for a permit or for the variation of a modification of a mass or dimension requirement for a class 3 vehicle, in the case of more than one journey, is the </w:t>
      </w:r>
      <w:r>
        <w:lastRenderedPageBreak/>
        <w:t xml:space="preserve">total of the applicable amounts set out in paragraphs (a) and (b) — </w:t>
      </w:r>
    </w:p>
    <w:p w:rsidR="006724FB" w:rsidRDefault="006724FB">
      <w:pPr>
        <w:pStyle w:val="Indenta"/>
      </w:pPr>
      <w:r>
        <w:tab/>
        <w:t>(a)</w:t>
      </w:r>
      <w:r>
        <w:tab/>
        <w:t xml:space="preserve">if the permit is for — </w:t>
      </w:r>
    </w:p>
    <w:p w:rsidR="006724FB" w:rsidRDefault="006724FB">
      <w:pPr>
        <w:pStyle w:val="Indenti"/>
      </w:pPr>
      <w:r>
        <w:tab/>
        <w:t>(i)</w:t>
      </w:r>
      <w:r>
        <w:tab/>
        <w:t>12 months — $25; or</w:t>
      </w:r>
    </w:p>
    <w:p w:rsidR="006724FB" w:rsidRDefault="006724FB">
      <w:pPr>
        <w:pStyle w:val="Indenti"/>
      </w:pPr>
      <w:r>
        <w:tab/>
        <w:t>(ii)</w:t>
      </w:r>
      <w:r>
        <w:tab/>
        <w:t>36 months — $50;</w:t>
      </w:r>
    </w:p>
    <w:p w:rsidR="006724FB" w:rsidRDefault="006724FB">
      <w:pPr>
        <w:pStyle w:val="Indenta"/>
      </w:pPr>
      <w:r>
        <w:tab/>
        <w:t>(b)</w:t>
      </w:r>
      <w:r>
        <w:tab/>
        <w:t>in the case of a mass requirement, $4 for each tonne or part of a tonne by which the mass requirement may be exceeded under the permit for each month or part of a month for which the permit is issued.</w:t>
      </w:r>
    </w:p>
    <w:p w:rsidR="006724FB" w:rsidRDefault="006724FB">
      <w:pPr>
        <w:pStyle w:val="Heading5"/>
      </w:pPr>
      <w:bookmarkStart w:id="354" w:name="_Toc75875761"/>
      <w:r>
        <w:rPr>
          <w:rStyle w:val="CharSectno"/>
        </w:rPr>
        <w:t>198</w:t>
      </w:r>
      <w:r>
        <w:t>.</w:t>
      </w:r>
      <w:r>
        <w:tab/>
        <w:t>Variation of modification of a mass or dimension requirement on volition of Commissioner</w:t>
      </w:r>
      <w:bookmarkEnd w:id="354"/>
    </w:p>
    <w:p w:rsidR="006724FB" w:rsidRDefault="006724FB">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rsidR="006724FB" w:rsidRDefault="006724FB">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rsidR="006724FB" w:rsidRDefault="006724FB">
      <w:pPr>
        <w:pStyle w:val="Heading5"/>
      </w:pPr>
      <w:bookmarkStart w:id="355" w:name="_Toc75875762"/>
      <w:r>
        <w:rPr>
          <w:rStyle w:val="CharSectno"/>
        </w:rPr>
        <w:t>199</w:t>
      </w:r>
      <w:r>
        <w:t>.</w:t>
      </w:r>
      <w:r>
        <w:tab/>
        <w:t>Suspension, cancellation of modification of a mass or dimension requirement</w:t>
      </w:r>
      <w:bookmarkEnd w:id="355"/>
    </w:p>
    <w:p w:rsidR="006724FB" w:rsidRDefault="006724FB">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rsidR="006724FB" w:rsidRDefault="006724FB">
      <w:pPr>
        <w:pStyle w:val="Indenta"/>
      </w:pPr>
      <w:r>
        <w:tab/>
        <w:t>(a)</w:t>
      </w:r>
      <w:r>
        <w:tab/>
        <w:t>the modification was made on the basis of incorrect or misleading information, whether or not fraud or misrepresentation was involved; or</w:t>
      </w:r>
    </w:p>
    <w:p w:rsidR="006724FB" w:rsidRDefault="006724FB">
      <w:pPr>
        <w:pStyle w:val="Indenta"/>
      </w:pPr>
      <w:r>
        <w:tab/>
        <w:t>(b)</w:t>
      </w:r>
      <w:r>
        <w:tab/>
        <w:t xml:space="preserve">the Commissioner has reason to suspect that there are grounds on which the Commissioner could, if then </w:t>
      </w:r>
      <w:r>
        <w:lastRenderedPageBreak/>
        <w:t>considering whether to make the modification, refuse to make it; or</w:t>
      </w:r>
    </w:p>
    <w:p w:rsidR="006724FB" w:rsidRDefault="006724FB">
      <w:pPr>
        <w:pStyle w:val="Indenta"/>
      </w:pPr>
      <w:r>
        <w:tab/>
        <w:t>(c)</w:t>
      </w:r>
      <w:r>
        <w:tab/>
        <w:t>the permit has not been complied with.</w:t>
      </w:r>
    </w:p>
    <w:p w:rsidR="006724FB" w:rsidRDefault="006724FB">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rsidR="006724FB" w:rsidRDefault="006724FB">
      <w:pPr>
        <w:pStyle w:val="Indenta"/>
      </w:pPr>
      <w:r>
        <w:tab/>
        <w:t>(a)</w:t>
      </w:r>
      <w:r>
        <w:tab/>
        <w:t>the modification was made on the basis of incorrect or misleading information, whether or not fraud or misrepresentation was involved; or</w:t>
      </w:r>
    </w:p>
    <w:p w:rsidR="006724FB" w:rsidRDefault="006724FB">
      <w:pPr>
        <w:pStyle w:val="Indenta"/>
      </w:pPr>
      <w:r>
        <w:tab/>
        <w:t>(b)</w:t>
      </w:r>
      <w:r>
        <w:tab/>
        <w:t>the Commissioner has reason to suspect that there are grounds on which the Commissioner could, if then considering whether to make the modification, refuse to make it.</w:t>
      </w:r>
    </w:p>
    <w:p w:rsidR="006724FB" w:rsidRDefault="006724FB">
      <w:pPr>
        <w:pStyle w:val="Subsection"/>
      </w:pPr>
      <w:r>
        <w:tab/>
        <w:t>(3)</w:t>
      </w:r>
      <w:r>
        <w:tab/>
        <w:t>Cancellation or suspension of a modification under subregulation (1) or (2) does not affect the liability of a person to any penalty attributable to anything mentioned in subregulation (1)(a) or (c) or (2)(a).</w:t>
      </w:r>
    </w:p>
    <w:p w:rsidR="006724FB" w:rsidRDefault="006724FB">
      <w:pPr>
        <w:pStyle w:val="Heading5"/>
      </w:pPr>
      <w:bookmarkStart w:id="356" w:name="_Toc75875763"/>
      <w:r>
        <w:rPr>
          <w:rStyle w:val="CharSectno"/>
        </w:rPr>
        <w:t>200</w:t>
      </w:r>
      <w:r>
        <w:t>.</w:t>
      </w:r>
      <w:r>
        <w:tab/>
        <w:t>Driver of pilot, escort vehicle to comply with order or permit</w:t>
      </w:r>
      <w:bookmarkEnd w:id="356"/>
    </w:p>
    <w:p w:rsidR="006724FB" w:rsidRDefault="006724FB">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rsidR="006724FB" w:rsidRDefault="006724FB">
      <w:pPr>
        <w:pStyle w:val="Penstart"/>
      </w:pPr>
      <w:r>
        <w:tab/>
        <w:t>Penalty: a fine of 10 PU.</w:t>
      </w:r>
    </w:p>
    <w:p w:rsidR="006724FB" w:rsidRDefault="006724FB">
      <w:pPr>
        <w:pStyle w:val="Penstart"/>
      </w:pPr>
      <w:r>
        <w:tab/>
        <w:t>Modified penalty: 8 PU.</w:t>
      </w:r>
    </w:p>
    <w:p w:rsidR="006724FB" w:rsidRDefault="006724FB">
      <w:pPr>
        <w:pStyle w:val="Heading5"/>
      </w:pPr>
      <w:bookmarkStart w:id="357" w:name="_Toc75875764"/>
      <w:r>
        <w:rPr>
          <w:rStyle w:val="CharSectno"/>
        </w:rPr>
        <w:t>201</w:t>
      </w:r>
      <w:r>
        <w:t>.</w:t>
      </w:r>
      <w:r>
        <w:tab/>
        <w:t>Notification and reconsideration of mass or dimension requirement decisions</w:t>
      </w:r>
      <w:bookmarkEnd w:id="357"/>
    </w:p>
    <w:p w:rsidR="006724FB" w:rsidRDefault="006724FB">
      <w:pPr>
        <w:pStyle w:val="Subsection"/>
      </w:pPr>
      <w:r>
        <w:tab/>
      </w:r>
      <w:r>
        <w:tab/>
        <w:t>Part 15 provides for the notification and reconsideration of certain decisions made under Part 4 Division 2 of the Act.</w:t>
      </w:r>
    </w:p>
    <w:p w:rsidR="006724FB" w:rsidRDefault="006724FB">
      <w:pPr>
        <w:pStyle w:val="Heading3"/>
      </w:pPr>
      <w:bookmarkStart w:id="358" w:name="_Toc75419842"/>
      <w:bookmarkStart w:id="359" w:name="_Toc75427177"/>
      <w:bookmarkStart w:id="360" w:name="_Toc75872593"/>
      <w:bookmarkStart w:id="361" w:name="_Toc75875765"/>
      <w:r>
        <w:rPr>
          <w:rStyle w:val="CharDivNo"/>
        </w:rPr>
        <w:lastRenderedPageBreak/>
        <w:t>Division 6</w:t>
      </w:r>
      <w:r>
        <w:t> — </w:t>
      </w:r>
      <w:r>
        <w:rPr>
          <w:rStyle w:val="CharDivText"/>
        </w:rPr>
        <w:t>Access restrictions on certain vehicles that comply with mass or dimension requirements</w:t>
      </w:r>
      <w:bookmarkEnd w:id="358"/>
      <w:bookmarkEnd w:id="359"/>
      <w:bookmarkEnd w:id="360"/>
      <w:bookmarkEnd w:id="361"/>
    </w:p>
    <w:p w:rsidR="006724FB" w:rsidRDefault="006724FB">
      <w:pPr>
        <w:pStyle w:val="Heading5"/>
      </w:pPr>
      <w:bookmarkStart w:id="362" w:name="_Toc75875766"/>
      <w:r>
        <w:rPr>
          <w:rStyle w:val="CharSectno"/>
        </w:rPr>
        <w:t>202</w:t>
      </w:r>
      <w:r>
        <w:t>.</w:t>
      </w:r>
      <w:r>
        <w:tab/>
        <w:t>Terms used</w:t>
      </w:r>
      <w:bookmarkEnd w:id="362"/>
    </w:p>
    <w:p w:rsidR="006724FB" w:rsidRDefault="006724FB">
      <w:pPr>
        <w:pStyle w:val="Subsection"/>
      </w:pPr>
      <w:r>
        <w:tab/>
      </w:r>
      <w:r>
        <w:tab/>
        <w:t xml:space="preserve">In this Division each of these terms has the meaning given in section 38 — </w:t>
      </w:r>
    </w:p>
    <w:p w:rsidR="006724FB" w:rsidRDefault="006724FB">
      <w:pPr>
        <w:pStyle w:val="Defstart"/>
      </w:pPr>
      <w:r>
        <w:tab/>
      </w:r>
      <w:r>
        <w:rPr>
          <w:rStyle w:val="CharDefText"/>
        </w:rPr>
        <w:t>access approval</w:t>
      </w:r>
    </w:p>
    <w:p w:rsidR="006724FB" w:rsidRDefault="006724FB">
      <w:pPr>
        <w:pStyle w:val="Defstart"/>
      </w:pPr>
      <w:r>
        <w:tab/>
      </w:r>
      <w:r>
        <w:rPr>
          <w:rStyle w:val="CharDefText"/>
        </w:rPr>
        <w:t>order</w:t>
      </w:r>
    </w:p>
    <w:p w:rsidR="006724FB" w:rsidRDefault="006724FB">
      <w:pPr>
        <w:pStyle w:val="Defstart"/>
      </w:pPr>
      <w:r>
        <w:tab/>
      </w:r>
      <w:r>
        <w:rPr>
          <w:rStyle w:val="CharDefText"/>
        </w:rPr>
        <w:t>permit</w:t>
      </w:r>
    </w:p>
    <w:p w:rsidR="006724FB" w:rsidRDefault="006724FB">
      <w:pPr>
        <w:pStyle w:val="Defstart"/>
      </w:pPr>
      <w:r>
        <w:tab/>
      </w:r>
      <w:r>
        <w:rPr>
          <w:rStyle w:val="CharDefText"/>
        </w:rPr>
        <w:t>road</w:t>
      </w:r>
    </w:p>
    <w:p w:rsidR="006724FB" w:rsidRDefault="006724FB">
      <w:pPr>
        <w:pStyle w:val="Heading5"/>
      </w:pPr>
      <w:bookmarkStart w:id="363" w:name="_Toc75875767"/>
      <w:r>
        <w:rPr>
          <w:rStyle w:val="CharSectno"/>
        </w:rPr>
        <w:t>203</w:t>
      </w:r>
      <w:r>
        <w:t>.</w:t>
      </w:r>
      <w:r>
        <w:tab/>
        <w:t>Complying restricted access vehicles</w:t>
      </w:r>
      <w:bookmarkEnd w:id="363"/>
    </w:p>
    <w:p w:rsidR="006724FB" w:rsidRDefault="006724FB">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rsidR="006724FB" w:rsidRDefault="006724FB">
      <w:pPr>
        <w:pStyle w:val="Subsection"/>
      </w:pPr>
      <w:r>
        <w:tab/>
        <w:t>(2)</w:t>
      </w:r>
      <w:r>
        <w:tab/>
        <w:t xml:space="preserve">In subregulation (1) — </w:t>
      </w:r>
    </w:p>
    <w:p w:rsidR="006724FB" w:rsidRDefault="006724FB">
      <w:pPr>
        <w:pStyle w:val="Defstart"/>
      </w:pPr>
      <w:r>
        <w:tab/>
      </w:r>
      <w:r>
        <w:rPr>
          <w:rStyle w:val="CharDefText"/>
        </w:rPr>
        <w:t>class 2 vehicle</w:t>
      </w:r>
      <w:r>
        <w:t xml:space="preserve"> means a vehicle that is — </w:t>
      </w:r>
    </w:p>
    <w:p w:rsidR="006724FB" w:rsidRDefault="006724FB">
      <w:pPr>
        <w:pStyle w:val="Defpara"/>
      </w:pPr>
      <w:r>
        <w:tab/>
        <w:t>(a)</w:t>
      </w:r>
      <w:r>
        <w:tab/>
        <w:t>a B</w:t>
      </w:r>
      <w:r>
        <w:noBreakHyphen/>
        <w:t>double; or</w:t>
      </w:r>
    </w:p>
    <w:p w:rsidR="006724FB" w:rsidRDefault="006724FB">
      <w:pPr>
        <w:pStyle w:val="Defpara"/>
      </w:pPr>
      <w:r>
        <w:tab/>
        <w:t>(b)</w:t>
      </w:r>
      <w:r>
        <w:tab/>
        <w:t>a road train; or</w:t>
      </w:r>
    </w:p>
    <w:p w:rsidR="006724FB" w:rsidRDefault="006724FB">
      <w:pPr>
        <w:pStyle w:val="Defpara"/>
      </w:pPr>
      <w:r>
        <w:tab/>
        <w:t>(c)</w:t>
      </w:r>
      <w:r>
        <w:tab/>
        <w:t>a controlled access bus not more than 14.5 m long; or</w:t>
      </w:r>
    </w:p>
    <w:p w:rsidR="006724FB" w:rsidRDefault="006724FB">
      <w:pPr>
        <w:pStyle w:val="Defpara"/>
      </w:pPr>
      <w:r>
        <w:tab/>
        <w:t>(d)</w:t>
      </w:r>
      <w:r>
        <w:tab/>
        <w:t>a combination carrying vehicles on more than one deck that, together with its load, meets one or both of the these criteria —</w:t>
      </w:r>
    </w:p>
    <w:p w:rsidR="006724FB" w:rsidRDefault="006724FB">
      <w:pPr>
        <w:pStyle w:val="Defsubpara"/>
      </w:pPr>
      <w:r>
        <w:tab/>
        <w:t>(i)</w:t>
      </w:r>
      <w:r>
        <w:tab/>
        <w:t>its height exceeds 4.3 m but does not exceed 4.6 m;</w:t>
      </w:r>
    </w:p>
    <w:p w:rsidR="006724FB" w:rsidRDefault="006724FB">
      <w:pPr>
        <w:pStyle w:val="Defsubpara"/>
      </w:pPr>
      <w:r>
        <w:tab/>
        <w:t>(ii)</w:t>
      </w:r>
      <w:r>
        <w:tab/>
        <w:t>its length exceeds 19 m;</w:t>
      </w:r>
    </w:p>
    <w:p w:rsidR="006724FB" w:rsidRDefault="006724FB">
      <w:pPr>
        <w:pStyle w:val="Defpara"/>
      </w:pPr>
      <w:r>
        <w:tab/>
      </w:r>
      <w:r>
        <w:tab/>
        <w:t>or</w:t>
      </w:r>
    </w:p>
    <w:p w:rsidR="006724FB" w:rsidRDefault="006724FB">
      <w:pPr>
        <w:pStyle w:val="Defpara"/>
      </w:pPr>
      <w:r>
        <w:tab/>
        <w:t>(e)</w:t>
      </w:r>
      <w:r>
        <w:tab/>
        <w:t>a vehicle that exceeds 4.3 m, but does not exceed 4.6 m, in height and is built to carry cattle, sheep, pigs or horses.</w:t>
      </w:r>
    </w:p>
    <w:p w:rsidR="006724FB" w:rsidRDefault="006724FB">
      <w:pPr>
        <w:pStyle w:val="Heading5"/>
      </w:pPr>
      <w:bookmarkStart w:id="364" w:name="_Toc75875768"/>
      <w:r>
        <w:rPr>
          <w:rStyle w:val="CharSectno"/>
        </w:rPr>
        <w:lastRenderedPageBreak/>
        <w:t>204</w:t>
      </w:r>
      <w:r>
        <w:t>.</w:t>
      </w:r>
      <w:r>
        <w:tab/>
        <w:t>Heavy vehicles that require accredited person before access approval can be given</w:t>
      </w:r>
      <w:bookmarkEnd w:id="364"/>
    </w:p>
    <w:p w:rsidR="006724FB" w:rsidRDefault="006724FB">
      <w:pPr>
        <w:pStyle w:val="Subsection"/>
      </w:pPr>
      <w:r>
        <w:tab/>
      </w:r>
      <w:r>
        <w:tab/>
        <w:t xml:space="preserve">The heavy vehicles prescribed for section 40(2) are heavy vehicles used in connection with a business except a vehicle that is — </w:t>
      </w:r>
    </w:p>
    <w:p w:rsidR="006724FB" w:rsidRDefault="006724FB">
      <w:pPr>
        <w:pStyle w:val="Indenta"/>
      </w:pPr>
      <w:r>
        <w:tab/>
        <w:t>(a)</w:t>
      </w:r>
      <w:r>
        <w:tab/>
        <w:t>a bus; or</w:t>
      </w:r>
    </w:p>
    <w:p w:rsidR="006724FB" w:rsidRDefault="006724FB">
      <w:pPr>
        <w:pStyle w:val="Indenta"/>
      </w:pPr>
      <w:r>
        <w:tab/>
        <w:t>(b)</w:t>
      </w:r>
      <w:r>
        <w:tab/>
        <w:t>a vehicle with a GVM of 8 t or less; or</w:t>
      </w:r>
    </w:p>
    <w:p w:rsidR="006724FB" w:rsidRDefault="006724FB">
      <w:pPr>
        <w:pStyle w:val="Indenta"/>
      </w:pPr>
      <w:r>
        <w:tab/>
        <w:t>(c)</w:t>
      </w:r>
      <w:r>
        <w:tab/>
        <w:t>a vehicle owned by a public authority; or</w:t>
      </w:r>
    </w:p>
    <w:p w:rsidR="006724FB" w:rsidRDefault="006724FB">
      <w:pPr>
        <w:pStyle w:val="Indenta"/>
      </w:pPr>
      <w:r>
        <w:tab/>
        <w:t>(d)</w:t>
      </w:r>
      <w:r>
        <w:tab/>
        <w:t>a vehicle owned by the Commonwealth or a Commonwealth department or agency or used for Australian or visiting defence force purposes; or</w:t>
      </w:r>
    </w:p>
    <w:p w:rsidR="006724FB" w:rsidRDefault="006724FB">
      <w:pPr>
        <w:pStyle w:val="Indenta"/>
      </w:pPr>
      <w:r>
        <w:tab/>
        <w:t>(e)</w:t>
      </w:r>
      <w:r>
        <w:tab/>
        <w:t>a special purpose vehicle; or</w:t>
      </w:r>
    </w:p>
    <w:p w:rsidR="006724FB" w:rsidRDefault="006724FB">
      <w:pPr>
        <w:pStyle w:val="Indenta"/>
      </w:pPr>
      <w:r>
        <w:tab/>
        <w:t>(f)</w:t>
      </w:r>
      <w:r>
        <w:tab/>
        <w:t>an agricultural vehicle; or</w:t>
      </w:r>
    </w:p>
    <w:p w:rsidR="006724FB" w:rsidRDefault="006724FB">
      <w:pPr>
        <w:pStyle w:val="Indenta"/>
      </w:pPr>
      <w:r>
        <w:tab/>
        <w:t>(g)</w:t>
      </w:r>
      <w:r>
        <w:tab/>
        <w:t xml:space="preserve">operated by an operator who will not apply for — </w:t>
      </w:r>
    </w:p>
    <w:p w:rsidR="006724FB" w:rsidRDefault="006724FB">
      <w:pPr>
        <w:pStyle w:val="Indenti"/>
      </w:pPr>
      <w:r>
        <w:tab/>
        <w:t>(i)</w:t>
      </w:r>
      <w:r>
        <w:tab/>
        <w:t>more than 4 single trip permits for one or more vehicles to have effect in the same 12 month period commencing 1 January and ending on 31 December; or</w:t>
      </w:r>
    </w:p>
    <w:p w:rsidR="006724FB" w:rsidRDefault="006724FB">
      <w:pPr>
        <w:pStyle w:val="Indenti"/>
      </w:pPr>
      <w:r>
        <w:tab/>
        <w:t>(ii)</w:t>
      </w:r>
      <w:r>
        <w:tab/>
        <w:t>any other permit for a vehicle.</w:t>
      </w:r>
    </w:p>
    <w:p w:rsidR="006724FB" w:rsidRDefault="006724FB">
      <w:pPr>
        <w:pStyle w:val="Heading5"/>
      </w:pPr>
      <w:bookmarkStart w:id="365" w:name="_Toc75875769"/>
      <w:r>
        <w:rPr>
          <w:rStyle w:val="CharSectno"/>
        </w:rPr>
        <w:t>205</w:t>
      </w:r>
      <w:r>
        <w:t>.</w:t>
      </w:r>
      <w:r>
        <w:tab/>
        <w:t>Applications for access approval by permit</w:t>
      </w:r>
      <w:bookmarkEnd w:id="365"/>
    </w:p>
    <w:p w:rsidR="006724FB" w:rsidRDefault="006724FB">
      <w:pPr>
        <w:pStyle w:val="Subsection"/>
      </w:pPr>
      <w:r>
        <w:tab/>
        <w:t>(1)</w:t>
      </w:r>
      <w:r>
        <w:tab/>
        <w:t>An application for a permit must be in a form approved by the Commissioner of Main Roads.</w:t>
      </w:r>
    </w:p>
    <w:p w:rsidR="006724FB" w:rsidRDefault="006724FB">
      <w:pPr>
        <w:pStyle w:val="Subsection"/>
        <w:rPr>
          <w:snapToGrid w:val="0"/>
        </w:rPr>
      </w:pPr>
      <w:r>
        <w:rPr>
          <w:snapToGrid w:val="0"/>
        </w:rPr>
        <w:tab/>
        <w:t>(2)</w:t>
      </w:r>
      <w:r>
        <w:rPr>
          <w:snapToGrid w:val="0"/>
        </w:rPr>
        <w:tab/>
        <w:t>An application for a permit must be accompanied by the relevant fee under regulation 208.</w:t>
      </w:r>
    </w:p>
    <w:p w:rsidR="006724FB" w:rsidRDefault="006724FB">
      <w:pPr>
        <w:pStyle w:val="Heading5"/>
      </w:pPr>
      <w:bookmarkStart w:id="366" w:name="_Toc75875770"/>
      <w:r>
        <w:rPr>
          <w:rStyle w:val="CharSectno"/>
        </w:rPr>
        <w:t>206</w:t>
      </w:r>
      <w:r>
        <w:t>.</w:t>
      </w:r>
      <w:r>
        <w:tab/>
        <w:t>Additional content of orders, permits</w:t>
      </w:r>
      <w:bookmarkEnd w:id="366"/>
    </w:p>
    <w:p w:rsidR="006724FB" w:rsidRDefault="006724FB">
      <w:pPr>
        <w:pStyle w:val="Subsection"/>
      </w:pPr>
      <w:r>
        <w:tab/>
        <w:t>(1)</w:t>
      </w:r>
      <w:r>
        <w:tab/>
        <w:t>In addition to the things that may be specified in an order under section 42(1), each order must also specify the term during which the access approval has effect.</w:t>
      </w:r>
    </w:p>
    <w:p w:rsidR="006724FB" w:rsidRDefault="006724FB">
      <w:pPr>
        <w:pStyle w:val="Subsection"/>
        <w:keepNext/>
      </w:pPr>
      <w:r>
        <w:lastRenderedPageBreak/>
        <w:tab/>
        <w:t>(2)</w:t>
      </w:r>
      <w:r>
        <w:tab/>
        <w:t xml:space="preserve">In addition to the things that may be specified in a permit under section 42(1), each permit must also specify these things — </w:t>
      </w:r>
    </w:p>
    <w:p w:rsidR="006724FB" w:rsidRDefault="006724FB">
      <w:pPr>
        <w:pStyle w:val="Indenta"/>
      </w:pPr>
      <w:r>
        <w:tab/>
        <w:t>(a)</w:t>
      </w:r>
      <w:r>
        <w:tab/>
        <w:t>the name and address of the person to whom it was issued;</w:t>
      </w:r>
    </w:p>
    <w:p w:rsidR="006724FB" w:rsidRDefault="006724FB">
      <w:pPr>
        <w:pStyle w:val="Indenta"/>
      </w:pPr>
      <w:r>
        <w:tab/>
        <w:t>(b)</w:t>
      </w:r>
      <w:r>
        <w:tab/>
        <w:t>the vehicle licence number of each vehicle to which it applies;</w:t>
      </w:r>
    </w:p>
    <w:p w:rsidR="006724FB" w:rsidRDefault="006724FB">
      <w:pPr>
        <w:pStyle w:val="Indenta"/>
      </w:pPr>
      <w:r>
        <w:tab/>
        <w:t>(c)</w:t>
      </w:r>
      <w:r>
        <w:tab/>
        <w:t>the term during which the access approval has effect.</w:t>
      </w:r>
    </w:p>
    <w:p w:rsidR="006724FB" w:rsidRDefault="006724FB">
      <w:pPr>
        <w:pStyle w:val="Heading5"/>
      </w:pPr>
      <w:bookmarkStart w:id="367" w:name="_Toc75875771"/>
      <w:r>
        <w:rPr>
          <w:rStyle w:val="CharSectno"/>
        </w:rPr>
        <w:t>207</w:t>
      </w:r>
      <w:r>
        <w:t>.</w:t>
      </w:r>
      <w:r>
        <w:tab/>
        <w:t>Applications for variation of access approvals</w:t>
      </w:r>
      <w:bookmarkEnd w:id="367"/>
    </w:p>
    <w:p w:rsidR="006724FB" w:rsidRDefault="006724FB">
      <w:pPr>
        <w:pStyle w:val="Subsection"/>
      </w:pPr>
      <w:r>
        <w:tab/>
        <w:t>(1)</w:t>
      </w:r>
      <w:r>
        <w:tab/>
        <w:t>An application for the variation of an access approval must be in a form approved by the Commissioner of Main Roads.</w:t>
      </w:r>
    </w:p>
    <w:p w:rsidR="006724FB" w:rsidRDefault="006724FB">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rsidR="006724FB" w:rsidRDefault="006724FB">
      <w:pPr>
        <w:pStyle w:val="Heading5"/>
      </w:pPr>
      <w:bookmarkStart w:id="368" w:name="_Toc75875772"/>
      <w:r>
        <w:rPr>
          <w:rStyle w:val="CharSectno"/>
        </w:rPr>
        <w:t>208</w:t>
      </w:r>
      <w:r>
        <w:t>.</w:t>
      </w:r>
      <w:r>
        <w:tab/>
        <w:t>Fees for application for permit, variation</w:t>
      </w:r>
      <w:bookmarkEnd w:id="368"/>
    </w:p>
    <w:p w:rsidR="006724FB" w:rsidRDefault="006724FB">
      <w:pPr>
        <w:pStyle w:val="Subsection"/>
      </w:pPr>
      <w:r>
        <w:tab/>
      </w:r>
      <w:r>
        <w:tab/>
        <w:t xml:space="preserve">The fee payable for an application for a permit or for the variation of an access approval is — </w:t>
      </w:r>
    </w:p>
    <w:p w:rsidR="006724FB" w:rsidRDefault="006724FB">
      <w:pPr>
        <w:pStyle w:val="Indenta"/>
      </w:pPr>
      <w:r>
        <w:tab/>
        <w:t>(a)</w:t>
      </w:r>
      <w:r>
        <w:tab/>
        <w:t>if the permit is for 12 months — $25; or</w:t>
      </w:r>
    </w:p>
    <w:p w:rsidR="006724FB" w:rsidRDefault="006724FB">
      <w:pPr>
        <w:pStyle w:val="Indenta"/>
      </w:pPr>
      <w:r>
        <w:tab/>
        <w:t>(b)</w:t>
      </w:r>
      <w:r>
        <w:tab/>
        <w:t>if the permit is for 36 months — $50.</w:t>
      </w:r>
    </w:p>
    <w:p w:rsidR="006724FB" w:rsidRDefault="006724FB">
      <w:pPr>
        <w:pStyle w:val="Heading5"/>
      </w:pPr>
      <w:bookmarkStart w:id="369" w:name="_Toc75875773"/>
      <w:r>
        <w:rPr>
          <w:rStyle w:val="CharSectno"/>
        </w:rPr>
        <w:t>209</w:t>
      </w:r>
      <w:r>
        <w:t>.</w:t>
      </w:r>
      <w:r>
        <w:tab/>
        <w:t>Variation of access approval on volition of Commissioner</w:t>
      </w:r>
      <w:bookmarkEnd w:id="369"/>
    </w:p>
    <w:p w:rsidR="006724FB" w:rsidRDefault="006724FB">
      <w:pPr>
        <w:pStyle w:val="Subsection"/>
      </w:pPr>
      <w:r>
        <w:tab/>
        <w:t>(1)</w:t>
      </w:r>
      <w:r>
        <w:tab/>
        <w:t xml:space="preserve">In this regulation — </w:t>
      </w:r>
    </w:p>
    <w:p w:rsidR="006724FB" w:rsidRDefault="006724FB">
      <w:pPr>
        <w:pStyle w:val="Defstart"/>
      </w:pPr>
      <w:r>
        <w:tab/>
      </w:r>
      <w:r>
        <w:rPr>
          <w:rStyle w:val="CharDefText"/>
        </w:rPr>
        <w:t>Main Roads WA website</w:t>
      </w:r>
      <w:r>
        <w:t xml:space="preserve"> means a website, or a part of a website, controlled and managed by the Commissioner of Main Roads.</w:t>
      </w:r>
    </w:p>
    <w:p w:rsidR="006724FB" w:rsidRDefault="006724FB">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rsidR="006724FB" w:rsidRDefault="006724FB">
      <w:pPr>
        <w:pStyle w:val="Subsection"/>
      </w:pPr>
      <w:r>
        <w:tab/>
        <w:t>(3)</w:t>
      </w:r>
      <w:r>
        <w:tab/>
        <w:t xml:space="preserve">The Commissioner of Main Roads may, by notice in writing given to the person to whom a permit was issued or published on the Main Roads WA website, vary an access approval given </w:t>
      </w:r>
      <w:r>
        <w:lastRenderedPageBreak/>
        <w:t>by the permit if circumstances have changed since the permit was issued or varied.</w:t>
      </w:r>
    </w:p>
    <w:p w:rsidR="006724FB" w:rsidRDefault="006724FB">
      <w:pPr>
        <w:pStyle w:val="Heading5"/>
      </w:pPr>
      <w:bookmarkStart w:id="370" w:name="_Toc75875774"/>
      <w:r>
        <w:rPr>
          <w:rStyle w:val="CharSectno"/>
        </w:rPr>
        <w:t>210</w:t>
      </w:r>
      <w:r>
        <w:t>.</w:t>
      </w:r>
      <w:r>
        <w:tab/>
        <w:t>Suspension, cancellation of access approvals</w:t>
      </w:r>
      <w:bookmarkEnd w:id="370"/>
    </w:p>
    <w:p w:rsidR="006724FB" w:rsidRDefault="006724FB">
      <w:pPr>
        <w:pStyle w:val="Subsection"/>
        <w:keepNext/>
      </w:pPr>
      <w:r>
        <w:tab/>
        <w:t>(1)</w:t>
      </w:r>
      <w:r>
        <w:tab/>
        <w:t xml:space="preserve">The Commissioner of Main Roads may, by notice in writing given to the person to whom a permit was issued, cancel or suspend an access approval given by the permit if — </w:t>
      </w:r>
    </w:p>
    <w:p w:rsidR="006724FB" w:rsidRDefault="006724FB">
      <w:pPr>
        <w:pStyle w:val="Indenta"/>
      </w:pPr>
      <w:r>
        <w:tab/>
        <w:t>(a)</w:t>
      </w:r>
      <w:r>
        <w:tab/>
        <w:t>the access approval was given on the basis of incorrect or misleading information, whether or not fraud or misrepresentation was involved; or</w:t>
      </w:r>
    </w:p>
    <w:p w:rsidR="006724FB" w:rsidRDefault="006724FB">
      <w:pPr>
        <w:pStyle w:val="Indenta"/>
      </w:pPr>
      <w:r>
        <w:tab/>
        <w:t>(b)</w:t>
      </w:r>
      <w:r>
        <w:tab/>
        <w:t>the Commissioner has reason to suspect that there are grounds on which the Commissioner could, if then considering whether to give the access approval, refuse to give it; or</w:t>
      </w:r>
    </w:p>
    <w:p w:rsidR="006724FB" w:rsidRDefault="006724FB">
      <w:pPr>
        <w:pStyle w:val="Indenta"/>
      </w:pPr>
      <w:r>
        <w:tab/>
        <w:t>(c)</w:t>
      </w:r>
      <w:r>
        <w:tab/>
        <w:t>the permit has not been complied with.</w:t>
      </w:r>
    </w:p>
    <w:p w:rsidR="006724FB" w:rsidRDefault="006724FB">
      <w:pPr>
        <w:pStyle w:val="Subsection"/>
      </w:pPr>
      <w:r>
        <w:tab/>
        <w:t>(2)</w:t>
      </w:r>
      <w:r>
        <w:tab/>
        <w:t xml:space="preserve">The Commissioner of Main Roads may, by order published in the </w:t>
      </w:r>
      <w:r>
        <w:rPr>
          <w:i/>
        </w:rPr>
        <w:t>Gazette</w:t>
      </w:r>
      <w:r>
        <w:t xml:space="preserve">, cancel or suspend an access approval given by order if — </w:t>
      </w:r>
    </w:p>
    <w:p w:rsidR="006724FB" w:rsidRDefault="006724FB">
      <w:pPr>
        <w:pStyle w:val="Indenta"/>
      </w:pPr>
      <w:r>
        <w:tab/>
        <w:t>(a)</w:t>
      </w:r>
      <w:r>
        <w:tab/>
        <w:t>the access approval was given on the basis of incorrect or misleading information, whether or not fraud or misrepresentation was involved; or</w:t>
      </w:r>
    </w:p>
    <w:p w:rsidR="006724FB" w:rsidRDefault="006724FB">
      <w:pPr>
        <w:pStyle w:val="Indenta"/>
      </w:pPr>
      <w:r>
        <w:tab/>
        <w:t>(b)</w:t>
      </w:r>
      <w:r>
        <w:tab/>
        <w:t>the Commissioner has reason to suspect that there are grounds on which the Commissioner could, if then considering whether to give the access approval, refuse to give it.</w:t>
      </w:r>
    </w:p>
    <w:p w:rsidR="006724FB" w:rsidRDefault="006724FB">
      <w:pPr>
        <w:pStyle w:val="Subsection"/>
      </w:pPr>
      <w:r>
        <w:tab/>
        <w:t>(3)</w:t>
      </w:r>
      <w:r>
        <w:tab/>
        <w:t>Cancellation or suspension of an access approval under subregulation (1) or (2) does not affect the liability of a person to any penalty attributable to anything mentioned in subregulation (1)(a) or (c) or (2)(a).</w:t>
      </w:r>
    </w:p>
    <w:p w:rsidR="006724FB" w:rsidRDefault="006724FB">
      <w:pPr>
        <w:pStyle w:val="Heading5"/>
      </w:pPr>
      <w:bookmarkStart w:id="371" w:name="_Toc75875775"/>
      <w:r>
        <w:rPr>
          <w:rStyle w:val="CharSectno"/>
        </w:rPr>
        <w:t>211</w:t>
      </w:r>
      <w:r>
        <w:t>.</w:t>
      </w:r>
      <w:r>
        <w:tab/>
        <w:t>Notification and reconsideration of access approval decisions</w:t>
      </w:r>
      <w:bookmarkEnd w:id="371"/>
    </w:p>
    <w:p w:rsidR="006724FB" w:rsidRDefault="006724FB">
      <w:pPr>
        <w:pStyle w:val="Subsection"/>
      </w:pPr>
      <w:r>
        <w:tab/>
      </w:r>
      <w:r>
        <w:tab/>
        <w:t>Part 15 provides for the notification and reconsideration of certain decisions made under Part 4 Division 3 of the Act.</w:t>
      </w:r>
    </w:p>
    <w:p w:rsidR="006724FB" w:rsidRDefault="006724FB">
      <w:pPr>
        <w:pStyle w:val="Heading3"/>
      </w:pPr>
      <w:bookmarkStart w:id="372" w:name="_Toc75419853"/>
      <w:bookmarkStart w:id="373" w:name="_Toc75427188"/>
      <w:bookmarkStart w:id="374" w:name="_Toc75872604"/>
      <w:bookmarkStart w:id="375" w:name="_Toc75875776"/>
      <w:r>
        <w:rPr>
          <w:rStyle w:val="CharDivNo"/>
        </w:rPr>
        <w:lastRenderedPageBreak/>
        <w:t>Division 7</w:t>
      </w:r>
      <w:r>
        <w:t> — </w:t>
      </w:r>
      <w:r>
        <w:rPr>
          <w:rStyle w:val="CharDivText"/>
        </w:rPr>
        <w:t>Accreditation</w:t>
      </w:r>
      <w:bookmarkEnd w:id="372"/>
      <w:bookmarkEnd w:id="373"/>
      <w:bookmarkEnd w:id="374"/>
      <w:bookmarkEnd w:id="375"/>
    </w:p>
    <w:p w:rsidR="006724FB" w:rsidRDefault="006724FB">
      <w:pPr>
        <w:pStyle w:val="Heading5"/>
      </w:pPr>
      <w:bookmarkStart w:id="376" w:name="_Toc75875777"/>
      <w:r>
        <w:rPr>
          <w:rStyle w:val="CharSectno"/>
        </w:rPr>
        <w:t>212</w:t>
      </w:r>
      <w:r>
        <w:t>.</w:t>
      </w:r>
      <w:r>
        <w:tab/>
        <w:t>Term used: accredited</w:t>
      </w:r>
      <w:bookmarkEnd w:id="376"/>
    </w:p>
    <w:p w:rsidR="006724FB" w:rsidRDefault="006724FB">
      <w:pPr>
        <w:pStyle w:val="Subsection"/>
      </w:pPr>
      <w:r>
        <w:tab/>
      </w:r>
      <w:r>
        <w:tab/>
        <w:t xml:space="preserve">In this Division — </w:t>
      </w:r>
    </w:p>
    <w:p w:rsidR="006724FB" w:rsidRDefault="006724FB">
      <w:pPr>
        <w:pStyle w:val="Defstart"/>
      </w:pPr>
      <w:r>
        <w:tab/>
      </w:r>
      <w:r>
        <w:rPr>
          <w:rStyle w:val="CharDefText"/>
        </w:rPr>
        <w:t>accredited</w:t>
      </w:r>
      <w:r>
        <w:t xml:space="preserve"> means accredited for the purposes of sections 33(4) and 40(2).</w:t>
      </w:r>
    </w:p>
    <w:p w:rsidR="006724FB" w:rsidRDefault="006724FB">
      <w:pPr>
        <w:pStyle w:val="Heading5"/>
      </w:pPr>
      <w:bookmarkStart w:id="377" w:name="_Toc75875778"/>
      <w:r>
        <w:rPr>
          <w:rStyle w:val="CharSectno"/>
        </w:rPr>
        <w:t>213</w:t>
      </w:r>
      <w:r>
        <w:t>.</w:t>
      </w:r>
      <w:r>
        <w:tab/>
        <w:t>Who may be accredited</w:t>
      </w:r>
      <w:bookmarkEnd w:id="377"/>
    </w:p>
    <w:p w:rsidR="006724FB" w:rsidRDefault="006724FB">
      <w:pPr>
        <w:pStyle w:val="Subsection"/>
      </w:pPr>
      <w:r>
        <w:tab/>
      </w:r>
      <w:r>
        <w:tab/>
        <w:t xml:space="preserve">For section 44(2)(b) a person may be accredited in relation to a vehicle if the person is — </w:t>
      </w:r>
    </w:p>
    <w:p w:rsidR="006724FB" w:rsidRDefault="006724FB">
      <w:pPr>
        <w:pStyle w:val="Indenta"/>
      </w:pPr>
      <w:r>
        <w:tab/>
        <w:t>(a)</w:t>
      </w:r>
      <w:r>
        <w:tab/>
        <w:t>an individual who is a responsible person for the vehicle; or</w:t>
      </w:r>
    </w:p>
    <w:p w:rsidR="006724FB" w:rsidRDefault="006724FB">
      <w:pPr>
        <w:pStyle w:val="Indenta"/>
      </w:pPr>
      <w:r>
        <w:tab/>
        <w:t>(b)</w:t>
      </w:r>
      <w:r>
        <w:tab/>
        <w:t xml:space="preserve">a company given an Australian Company Number under the </w:t>
      </w:r>
      <w:r>
        <w:rPr>
          <w:i/>
        </w:rPr>
        <w:t xml:space="preserve">Corporations Act 2001 </w:t>
      </w:r>
      <w:r>
        <w:t>(Commonwealth) who is a responsible person for the vehicle.</w:t>
      </w:r>
    </w:p>
    <w:p w:rsidR="006724FB" w:rsidRDefault="006724FB">
      <w:pPr>
        <w:pStyle w:val="Heading5"/>
      </w:pPr>
      <w:bookmarkStart w:id="378" w:name="_Toc75875779"/>
      <w:r>
        <w:rPr>
          <w:rStyle w:val="CharSectno"/>
        </w:rPr>
        <w:t>214</w:t>
      </w:r>
      <w:r>
        <w:t>.</w:t>
      </w:r>
      <w:r>
        <w:tab/>
        <w:t>Standards for ensuring, demonstrating compliance with mass, dimension or loading requirements</w:t>
      </w:r>
      <w:bookmarkEnd w:id="378"/>
    </w:p>
    <w:p w:rsidR="006724FB" w:rsidRDefault="006724FB">
      <w:pPr>
        <w:pStyle w:val="Subsection"/>
      </w:pPr>
      <w:r>
        <w:tab/>
        <w:t>(1)</w:t>
      </w:r>
      <w:r>
        <w:tab/>
        <w:t xml:space="preserve">For section 44(4)(a) the standards are — </w:t>
      </w:r>
    </w:p>
    <w:p w:rsidR="006724FB" w:rsidRDefault="006724FB">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rsidR="006724FB" w:rsidRDefault="006724FB">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rsidR="006724FB" w:rsidRDefault="006724FB">
      <w:pPr>
        <w:pStyle w:val="Subsection"/>
      </w:pPr>
      <w:r>
        <w:tab/>
        <w:t>(2)</w:t>
      </w:r>
      <w:r>
        <w:tab/>
        <w:t>If there is any inconsistency between a provision of a road law and the document mentioned in subregulation (1), the provision of the road law prevails to the extent of the inconsistency.</w:t>
      </w:r>
    </w:p>
    <w:p w:rsidR="006724FB" w:rsidRDefault="006724FB">
      <w:pPr>
        <w:pStyle w:val="Heading5"/>
      </w:pPr>
      <w:bookmarkStart w:id="379" w:name="_Toc75875780"/>
      <w:r>
        <w:rPr>
          <w:rStyle w:val="CharSectno"/>
        </w:rPr>
        <w:t>215</w:t>
      </w:r>
      <w:r>
        <w:t>.</w:t>
      </w:r>
      <w:r>
        <w:tab/>
        <w:t>Applications for accreditation</w:t>
      </w:r>
      <w:bookmarkEnd w:id="379"/>
    </w:p>
    <w:p w:rsidR="006724FB" w:rsidRDefault="006724FB">
      <w:pPr>
        <w:pStyle w:val="Subsection"/>
      </w:pPr>
      <w:r>
        <w:tab/>
        <w:t>(1)</w:t>
      </w:r>
      <w:r>
        <w:tab/>
        <w:t>An application for a person to be accredited must be in a form approved by the Commissioner of Main Roads.</w:t>
      </w:r>
    </w:p>
    <w:p w:rsidR="006724FB" w:rsidRDefault="006724FB">
      <w:pPr>
        <w:pStyle w:val="Subsection"/>
        <w:rPr>
          <w:snapToGrid w:val="0"/>
        </w:rPr>
      </w:pPr>
      <w:r>
        <w:rPr>
          <w:snapToGrid w:val="0"/>
        </w:rPr>
        <w:lastRenderedPageBreak/>
        <w:tab/>
        <w:t>(2)</w:t>
      </w:r>
      <w:r>
        <w:rPr>
          <w:snapToGrid w:val="0"/>
        </w:rPr>
        <w:tab/>
        <w:t xml:space="preserve">An application </w:t>
      </w:r>
      <w:r>
        <w:t>for a person to be accredited</w:t>
      </w:r>
      <w:r>
        <w:rPr>
          <w:snapToGrid w:val="0"/>
        </w:rPr>
        <w:t xml:space="preserve"> must be accompanied by the relevant fee under regulation 218.</w:t>
      </w:r>
    </w:p>
    <w:p w:rsidR="006724FB" w:rsidRDefault="006724FB">
      <w:pPr>
        <w:pStyle w:val="Heading5"/>
      </w:pPr>
      <w:bookmarkStart w:id="380" w:name="_Toc75875781"/>
      <w:r>
        <w:rPr>
          <w:rStyle w:val="CharSectno"/>
        </w:rPr>
        <w:t>216</w:t>
      </w:r>
      <w:r>
        <w:t>.</w:t>
      </w:r>
      <w:r>
        <w:tab/>
        <w:t>Accrediting persons on application</w:t>
      </w:r>
      <w:bookmarkEnd w:id="380"/>
    </w:p>
    <w:p w:rsidR="006724FB" w:rsidRDefault="006724FB">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rsidR="006724FB" w:rsidRDefault="006724FB">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rsidR="006724FB" w:rsidRDefault="006724FB">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rsidR="006724FB" w:rsidRDefault="006724FB">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rsidR="006724FB" w:rsidRDefault="006724FB">
      <w:pPr>
        <w:pStyle w:val="Subsection"/>
      </w:pPr>
      <w:r>
        <w:tab/>
        <w:t>(2)</w:t>
      </w:r>
      <w:r>
        <w:tab/>
        <w:t>If there is any inconsistency between a provision of a road law and a document mentioned in subregulation (1), the provision of the road law prevails to the extent of the inconsistency.</w:t>
      </w:r>
    </w:p>
    <w:p w:rsidR="006724FB" w:rsidRDefault="006724FB">
      <w:pPr>
        <w:pStyle w:val="Heading5"/>
      </w:pPr>
      <w:bookmarkStart w:id="381" w:name="_Toc75875782"/>
      <w:r>
        <w:rPr>
          <w:rStyle w:val="CharSectno"/>
        </w:rPr>
        <w:t>217</w:t>
      </w:r>
      <w:r>
        <w:t>.</w:t>
      </w:r>
      <w:r>
        <w:tab/>
        <w:t>Applications for renewal of accreditation</w:t>
      </w:r>
      <w:bookmarkEnd w:id="381"/>
    </w:p>
    <w:p w:rsidR="006724FB" w:rsidRDefault="006724FB">
      <w:pPr>
        <w:pStyle w:val="Subsection"/>
      </w:pPr>
      <w:r>
        <w:tab/>
        <w:t>(1)</w:t>
      </w:r>
      <w:r>
        <w:tab/>
        <w:t>An application for a person’s accreditation to be renewed must be in a form approved by the Commissioner of Main Roads.</w:t>
      </w:r>
    </w:p>
    <w:p w:rsidR="006724FB" w:rsidRDefault="006724FB">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rsidR="006724FB" w:rsidRDefault="006724FB">
      <w:pPr>
        <w:pStyle w:val="Subsection"/>
      </w:pPr>
      <w:r>
        <w:tab/>
        <w:t>(3)</w:t>
      </w:r>
      <w:r>
        <w:tab/>
        <w:t>The Commissioner of Main Roads may renew a person’s accreditation if satisfied that the person continues to have in place systems that accord with the requirements of section 44(4).</w:t>
      </w:r>
    </w:p>
    <w:p w:rsidR="006724FB" w:rsidRDefault="006724FB">
      <w:pPr>
        <w:pStyle w:val="Heading5"/>
      </w:pPr>
      <w:bookmarkStart w:id="382" w:name="_Toc75875783"/>
      <w:r>
        <w:rPr>
          <w:rStyle w:val="CharSectno"/>
        </w:rPr>
        <w:lastRenderedPageBreak/>
        <w:t>218</w:t>
      </w:r>
      <w:r>
        <w:t>.</w:t>
      </w:r>
      <w:r>
        <w:tab/>
        <w:t>Fees for application for accreditation, renewal</w:t>
      </w:r>
      <w:bookmarkEnd w:id="382"/>
    </w:p>
    <w:p w:rsidR="006724FB" w:rsidRDefault="006724FB">
      <w:pPr>
        <w:pStyle w:val="Subsection"/>
      </w:pPr>
      <w:r>
        <w:tab/>
      </w:r>
      <w:r>
        <w:tab/>
        <w:t>The fee payable for an application for a person to be accredited or for a person’s accreditation to be renewed is $225.</w:t>
      </w:r>
    </w:p>
    <w:p w:rsidR="006724FB" w:rsidRDefault="006724FB">
      <w:pPr>
        <w:pStyle w:val="Heading5"/>
      </w:pPr>
      <w:bookmarkStart w:id="383" w:name="_Toc75875784"/>
      <w:r>
        <w:rPr>
          <w:rStyle w:val="CharSectno"/>
        </w:rPr>
        <w:t>219</w:t>
      </w:r>
      <w:r>
        <w:t>.</w:t>
      </w:r>
      <w:r>
        <w:tab/>
        <w:t>Applications for variation of accreditation</w:t>
      </w:r>
      <w:bookmarkEnd w:id="383"/>
    </w:p>
    <w:p w:rsidR="006724FB" w:rsidRDefault="006724FB">
      <w:pPr>
        <w:pStyle w:val="Subsection"/>
      </w:pPr>
      <w:r>
        <w:tab/>
      </w:r>
      <w:r>
        <w:tab/>
        <w:t>An application for the variation of an accreditation must be in a form approved by the Commissioner of Main Roads.</w:t>
      </w:r>
    </w:p>
    <w:p w:rsidR="006724FB" w:rsidRDefault="006724FB">
      <w:pPr>
        <w:pStyle w:val="Heading5"/>
      </w:pPr>
      <w:bookmarkStart w:id="384" w:name="_Toc75875785"/>
      <w:r>
        <w:rPr>
          <w:rStyle w:val="CharSectno"/>
        </w:rPr>
        <w:t>220</w:t>
      </w:r>
      <w:r>
        <w:t>.</w:t>
      </w:r>
      <w:r>
        <w:tab/>
        <w:t>Accreditation duration, certificates</w:t>
      </w:r>
      <w:bookmarkEnd w:id="384"/>
    </w:p>
    <w:p w:rsidR="006724FB" w:rsidRDefault="006724FB">
      <w:pPr>
        <w:pStyle w:val="Subsection"/>
      </w:pPr>
      <w:r>
        <w:tab/>
        <w:t>(1)</w:t>
      </w:r>
      <w:r>
        <w:tab/>
        <w:t>An accreditation, renewal of an accreditation or a variation of an accreditation may have effect for up to 36 months from the day of the accreditation, renewal or variation, as is applicable in the case.</w:t>
      </w:r>
    </w:p>
    <w:p w:rsidR="006724FB" w:rsidRDefault="006724FB">
      <w:pPr>
        <w:pStyle w:val="Subsection"/>
        <w:spacing w:before="100"/>
        <w:rPr>
          <w:spacing w:val="-4"/>
        </w:rPr>
      </w:pPr>
      <w:r>
        <w:tab/>
        <w:t>(2)</w:t>
      </w:r>
      <w:r>
        <w:tab/>
      </w:r>
      <w:r>
        <w:rPr>
          <w:spacing w:val="-4"/>
        </w:rPr>
        <w:t>The Commissioner of Main Roads may issue a certificate to an accredited person specifying the duration of the accreditation.</w:t>
      </w:r>
    </w:p>
    <w:p w:rsidR="006724FB" w:rsidRDefault="006724FB">
      <w:pPr>
        <w:pStyle w:val="Heading5"/>
      </w:pPr>
      <w:bookmarkStart w:id="385" w:name="_Toc75875786"/>
      <w:r>
        <w:rPr>
          <w:rStyle w:val="CharSectno"/>
        </w:rPr>
        <w:t>221</w:t>
      </w:r>
      <w:r>
        <w:t>.</w:t>
      </w:r>
      <w:r>
        <w:tab/>
        <w:t>Suspension, cancellation of accreditation</w:t>
      </w:r>
      <w:bookmarkEnd w:id="385"/>
    </w:p>
    <w:p w:rsidR="006724FB" w:rsidRDefault="006724FB">
      <w:pPr>
        <w:pStyle w:val="Subsection"/>
      </w:pPr>
      <w:r>
        <w:tab/>
        <w:t>(1)</w:t>
      </w:r>
      <w:r>
        <w:tab/>
        <w:t xml:space="preserve">The Commissioner of Main Roads may, by notice in writing given to an accredited person, cancel or suspend the person’s accreditation if — </w:t>
      </w:r>
    </w:p>
    <w:p w:rsidR="006724FB" w:rsidRDefault="006724FB">
      <w:pPr>
        <w:pStyle w:val="Indenta"/>
      </w:pPr>
      <w:r>
        <w:tab/>
        <w:t>(a)</w:t>
      </w:r>
      <w:r>
        <w:tab/>
        <w:t>the person was accredited on the basis of incorrect or misleading information, whether or not fraud or misrepresentation was involved; or</w:t>
      </w:r>
    </w:p>
    <w:p w:rsidR="006724FB" w:rsidRDefault="006724FB">
      <w:pPr>
        <w:pStyle w:val="Indenta"/>
      </w:pPr>
      <w:r>
        <w:tab/>
        <w:t>(b)</w:t>
      </w:r>
      <w:r>
        <w:tab/>
        <w:t>the Commissioner is not or is no longer satisfied as to a matter mentioned in section 44(4)(a), (b) or (c) in relation to the accredited person; or</w:t>
      </w:r>
    </w:p>
    <w:p w:rsidR="006724FB" w:rsidRDefault="006724FB">
      <w:pPr>
        <w:pStyle w:val="Indenta"/>
      </w:pPr>
      <w:r>
        <w:tab/>
        <w:t>(c)</w:t>
      </w:r>
      <w:r>
        <w:tab/>
        <w:t>the Commissioner has reason to suspect that there are other grounds on which the Commissioner could, if then considering whether to accredit the person, refuse to accredit the person; or</w:t>
      </w:r>
    </w:p>
    <w:p w:rsidR="006724FB" w:rsidRDefault="006724FB">
      <w:pPr>
        <w:pStyle w:val="Indenta"/>
      </w:pPr>
      <w:r>
        <w:tab/>
        <w:t>(d)</w:t>
      </w:r>
      <w:r>
        <w:tab/>
        <w:t>action required to be taken by or on behalf of the accredited person has not been taken; or</w:t>
      </w:r>
    </w:p>
    <w:p w:rsidR="006724FB" w:rsidRDefault="006724FB">
      <w:pPr>
        <w:pStyle w:val="Indenta"/>
      </w:pPr>
      <w:r>
        <w:lastRenderedPageBreak/>
        <w:tab/>
        <w:t>(e)</w:t>
      </w:r>
      <w:r>
        <w:tab/>
        <w:t>a safety</w:t>
      </w:r>
      <w:r>
        <w:noBreakHyphen/>
        <w:t>related incident occurs in relation to a vehicle the operation of which is controlled or directed by the person.</w:t>
      </w:r>
    </w:p>
    <w:p w:rsidR="006724FB" w:rsidRDefault="006724FB">
      <w:pPr>
        <w:pStyle w:val="Subsection"/>
      </w:pPr>
      <w:r>
        <w:tab/>
        <w:t>(2)</w:t>
      </w:r>
      <w:r>
        <w:tab/>
        <w:t>Cancellation or suspension of an accreditation under subregulation (1) does not affect the liability of a person to any penalty attributable to anything mentioned in subregulation (1)(a).</w:t>
      </w:r>
    </w:p>
    <w:p w:rsidR="006724FB" w:rsidRDefault="006724FB">
      <w:pPr>
        <w:pStyle w:val="Heading5"/>
        <w:keepNext w:val="0"/>
        <w:keepLines w:val="0"/>
        <w:widowControl w:val="0"/>
      </w:pPr>
      <w:bookmarkStart w:id="386" w:name="_Toc75875787"/>
      <w:r>
        <w:rPr>
          <w:rStyle w:val="CharSectno"/>
        </w:rPr>
        <w:t>222</w:t>
      </w:r>
      <w:r>
        <w:t>.</w:t>
      </w:r>
      <w:r>
        <w:tab/>
        <w:t>Notification and reconsideration of accreditation decisions</w:t>
      </w:r>
      <w:bookmarkEnd w:id="386"/>
    </w:p>
    <w:p w:rsidR="006724FB" w:rsidRDefault="006724FB">
      <w:pPr>
        <w:pStyle w:val="Subsection"/>
      </w:pPr>
      <w:r>
        <w:tab/>
      </w:r>
      <w:r>
        <w:tab/>
        <w:t>Part 15 provides for the notification and reconsideration of certain decisions made under Part 4 Division 4 of the Act.</w:t>
      </w:r>
    </w:p>
    <w:p w:rsidR="006724FB" w:rsidRDefault="006724FB">
      <w:pPr>
        <w:pStyle w:val="Heading2"/>
      </w:pPr>
      <w:bookmarkStart w:id="387" w:name="_Toc75419865"/>
      <w:bookmarkStart w:id="388" w:name="_Toc75427200"/>
      <w:bookmarkStart w:id="389" w:name="_Toc75872616"/>
      <w:bookmarkStart w:id="390" w:name="_Toc75875788"/>
      <w:r>
        <w:rPr>
          <w:rStyle w:val="CharPartNo"/>
        </w:rPr>
        <w:lastRenderedPageBreak/>
        <w:t>Part 9</w:t>
      </w:r>
      <w:r>
        <w:rPr>
          <w:rStyle w:val="CharDivNo"/>
        </w:rPr>
        <w:t> </w:t>
      </w:r>
      <w:r>
        <w:t>—</w:t>
      </w:r>
      <w:r>
        <w:rPr>
          <w:rStyle w:val="CharDivText"/>
        </w:rPr>
        <w:t> </w:t>
      </w:r>
      <w:r>
        <w:rPr>
          <w:rStyle w:val="CharPartText"/>
        </w:rPr>
        <w:t>Miscellaneous prescribed matters</w:t>
      </w:r>
      <w:bookmarkEnd w:id="387"/>
      <w:bookmarkEnd w:id="388"/>
      <w:bookmarkEnd w:id="389"/>
      <w:bookmarkEnd w:id="390"/>
    </w:p>
    <w:p w:rsidR="006724FB" w:rsidRDefault="006724FB">
      <w:pPr>
        <w:pStyle w:val="Heading5"/>
      </w:pPr>
      <w:bookmarkStart w:id="391" w:name="_Toc75875789"/>
      <w:r>
        <w:rPr>
          <w:rStyle w:val="CharSectno"/>
        </w:rPr>
        <w:t>223</w:t>
      </w:r>
      <w:r>
        <w:t>.</w:t>
      </w:r>
      <w:r>
        <w:tab/>
        <w:t>Receivers: transport documentation</w:t>
      </w:r>
      <w:bookmarkEnd w:id="391"/>
    </w:p>
    <w:p w:rsidR="006724FB" w:rsidRDefault="006724FB">
      <w:pPr>
        <w:pStyle w:val="Subsection"/>
      </w:pPr>
      <w:r>
        <w:tab/>
      </w:r>
      <w:r>
        <w:tab/>
        <w:t xml:space="preserve">These persons are declared to be excluded from the definition of </w:t>
      </w:r>
      <w:r>
        <w:rPr>
          <w:b/>
          <w:i/>
        </w:rPr>
        <w:t>receiver</w:t>
      </w:r>
      <w:r>
        <w:t xml:space="preserve"> in section 98(1) — </w:t>
      </w:r>
    </w:p>
    <w:p w:rsidR="006724FB" w:rsidRDefault="006724FB">
      <w:pPr>
        <w:pStyle w:val="Indenta"/>
      </w:pPr>
      <w:r>
        <w:tab/>
        <w:t>(a)</w:t>
      </w:r>
      <w:r>
        <w:tab/>
        <w:t>a person who receives or unpacks goods in the performance of a function or the exercise of a power under a law of the State or the Commonwealth;</w:t>
      </w:r>
    </w:p>
    <w:p w:rsidR="006724FB" w:rsidRDefault="006724FB">
      <w:pPr>
        <w:pStyle w:val="Indenta"/>
      </w:pPr>
      <w:r>
        <w:tab/>
        <w:t>(b)</w:t>
      </w:r>
      <w:r>
        <w:tab/>
        <w:t xml:space="preserve">a person that — </w:t>
      </w:r>
    </w:p>
    <w:p w:rsidR="006724FB" w:rsidRDefault="006724FB">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rsidR="006724FB" w:rsidRDefault="006724FB">
      <w:pPr>
        <w:pStyle w:val="Indenti"/>
      </w:pPr>
      <w:r>
        <w:tab/>
        <w:t>(ii)</w:t>
      </w:r>
      <w:r>
        <w:tab/>
        <w:t>receives or unpacks goods for the purposes of the Government Business Enterprise.</w:t>
      </w:r>
    </w:p>
    <w:p w:rsidR="006724FB" w:rsidRDefault="006724FB">
      <w:pPr>
        <w:pStyle w:val="Heading5"/>
      </w:pPr>
      <w:bookmarkStart w:id="392" w:name="_Toc75875790"/>
      <w:r>
        <w:rPr>
          <w:rStyle w:val="CharSectno"/>
        </w:rPr>
        <w:t>224</w:t>
      </w:r>
      <w:r>
        <w:t>.</w:t>
      </w:r>
      <w:r>
        <w:tab/>
        <w:t>Previous convictions of MDLR offences under provisions of corresponding law</w:t>
      </w:r>
      <w:bookmarkEnd w:id="392"/>
    </w:p>
    <w:p w:rsidR="006724FB" w:rsidRDefault="006724FB">
      <w:pPr>
        <w:pStyle w:val="Subsection"/>
      </w:pPr>
      <w:r>
        <w:tab/>
        <w:t>(1)</w:t>
      </w:r>
      <w:r>
        <w:tab/>
        <w:t xml:space="preserve">In this regulation — </w:t>
      </w:r>
    </w:p>
    <w:p w:rsidR="006724FB" w:rsidRDefault="006724FB">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rsidR="006724FB" w:rsidRDefault="006724FB">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rsidR="006724FB" w:rsidRDefault="006724FB">
      <w:pPr>
        <w:pStyle w:val="Heading5"/>
      </w:pPr>
      <w:bookmarkStart w:id="393" w:name="_Toc75875791"/>
      <w:r>
        <w:rPr>
          <w:rStyle w:val="CharSectno"/>
        </w:rPr>
        <w:t>225</w:t>
      </w:r>
      <w:r>
        <w:t>.</w:t>
      </w:r>
      <w:r>
        <w:tab/>
        <w:t>Fee for substitution of vehicle for omnibus</w:t>
      </w:r>
      <w:bookmarkEnd w:id="393"/>
    </w:p>
    <w:p w:rsidR="006724FB" w:rsidRDefault="006724FB">
      <w:pPr>
        <w:pStyle w:val="Subsection"/>
        <w:rPr>
          <w:rStyle w:val="DraftersNotes"/>
        </w:rPr>
      </w:pPr>
      <w:r>
        <w:tab/>
      </w:r>
      <w:r>
        <w:tab/>
        <w:t>The fee payable before the CEO can give consent for the purposes mentioned in section 130(2) is $1.00.</w:t>
      </w:r>
    </w:p>
    <w:p w:rsidR="006724FB" w:rsidRDefault="006724FB">
      <w:pPr>
        <w:pStyle w:val="Heading2"/>
        <w:keepNext w:val="0"/>
        <w:widowControl w:val="0"/>
      </w:pPr>
      <w:bookmarkStart w:id="394" w:name="_Toc75419869"/>
      <w:bookmarkStart w:id="395" w:name="_Toc75427204"/>
      <w:bookmarkStart w:id="396" w:name="_Toc75872620"/>
      <w:bookmarkStart w:id="397" w:name="_Toc75875792"/>
      <w:r>
        <w:rPr>
          <w:rStyle w:val="CharPartNo"/>
        </w:rPr>
        <w:lastRenderedPageBreak/>
        <w:t>Part 10</w:t>
      </w:r>
      <w:r>
        <w:t> — </w:t>
      </w:r>
      <w:r>
        <w:rPr>
          <w:rStyle w:val="CharPartText"/>
        </w:rPr>
        <w:t>Standards and requirements for motor vehicles, trailers and combinations</w:t>
      </w:r>
      <w:bookmarkEnd w:id="394"/>
      <w:bookmarkEnd w:id="395"/>
      <w:bookmarkEnd w:id="396"/>
      <w:bookmarkEnd w:id="397"/>
    </w:p>
    <w:p w:rsidR="006724FB" w:rsidRDefault="006724FB">
      <w:pPr>
        <w:pStyle w:val="Heading3"/>
      </w:pPr>
      <w:bookmarkStart w:id="398" w:name="_Toc75419870"/>
      <w:bookmarkStart w:id="399" w:name="_Toc75427205"/>
      <w:bookmarkStart w:id="400" w:name="_Toc75872621"/>
      <w:bookmarkStart w:id="401" w:name="_Toc75875793"/>
      <w:r>
        <w:rPr>
          <w:rStyle w:val="CharDivNo"/>
        </w:rPr>
        <w:t>Division 1</w:t>
      </w:r>
      <w:r>
        <w:t> — </w:t>
      </w:r>
      <w:r>
        <w:rPr>
          <w:rStyle w:val="CharDivText"/>
        </w:rPr>
        <w:t>Preliminary</w:t>
      </w:r>
      <w:bookmarkEnd w:id="398"/>
      <w:bookmarkEnd w:id="399"/>
      <w:bookmarkEnd w:id="400"/>
      <w:bookmarkEnd w:id="401"/>
    </w:p>
    <w:p w:rsidR="006724FB" w:rsidRDefault="006724FB">
      <w:pPr>
        <w:pStyle w:val="Heading5"/>
      </w:pPr>
      <w:bookmarkStart w:id="402" w:name="_Toc75875794"/>
      <w:r>
        <w:rPr>
          <w:rStyle w:val="CharSectno"/>
        </w:rPr>
        <w:t>226</w:t>
      </w:r>
      <w:r>
        <w:t>.</w:t>
      </w:r>
      <w:r>
        <w:tab/>
        <w:t>Terms used</w:t>
      </w:r>
      <w:bookmarkEnd w:id="402"/>
    </w:p>
    <w:p w:rsidR="006724FB" w:rsidRDefault="006724FB">
      <w:pPr>
        <w:pStyle w:val="Subsection"/>
      </w:pPr>
      <w:r>
        <w:tab/>
      </w:r>
      <w:r>
        <w:tab/>
        <w:t xml:space="preserve">In this Part — </w:t>
      </w:r>
    </w:p>
    <w:p w:rsidR="006724FB" w:rsidRDefault="006724FB">
      <w:pPr>
        <w:pStyle w:val="Defstart"/>
      </w:pPr>
      <w:r>
        <w:tab/>
      </w:r>
      <w:r>
        <w:rPr>
          <w:rStyle w:val="CharDefText"/>
        </w:rPr>
        <w:t>adopted standard</w:t>
      </w:r>
      <w:r>
        <w:t xml:space="preserve"> means a standard, </w:t>
      </w:r>
      <w:r w:rsidR="00FF235D">
        <w:t>except an ADR,</w:t>
      </w:r>
      <w:r>
        <w:t xml:space="preserve"> that is applied, adopted or incorporated under this Part and, unless the contrary intention appears, a reference to an adopted standard in a regulation or subregulation in this Part is a reference to the standard as in force on 1 November 2002;</w:t>
      </w:r>
    </w:p>
    <w:p w:rsidR="006724FB" w:rsidRDefault="006724FB">
      <w:pPr>
        <w:pStyle w:val="Defstart"/>
      </w:pPr>
      <w:r>
        <w:tab/>
      </w:r>
      <w:r>
        <w:rPr>
          <w:rStyle w:val="CharDefText"/>
        </w:rPr>
        <w:t>air brake</w:t>
      </w:r>
      <w:r>
        <w:t xml:space="preserve"> means an air</w:t>
      </w:r>
      <w:r>
        <w:noBreakHyphen/>
        <w:t>operated or air</w:t>
      </w:r>
      <w:r>
        <w:noBreakHyphen/>
        <w:t>assisted brake;</w:t>
      </w:r>
    </w:p>
    <w:p w:rsidR="000D230E" w:rsidRDefault="000D230E" w:rsidP="000D230E">
      <w:pPr>
        <w:pStyle w:val="Defstart"/>
      </w:pPr>
      <w:r>
        <w:tab/>
      </w:r>
      <w:r w:rsidRPr="00FF235D">
        <w:rPr>
          <w:rStyle w:val="CharDefText"/>
        </w:rPr>
        <w:t>Australian Design Rules</w:t>
      </w:r>
      <w:r w:rsidRPr="00A75C28">
        <w:rPr>
          <w:rStyle w:val="CharDefText"/>
        </w:rPr>
        <w:t xml:space="preserve"> (</w:t>
      </w:r>
      <w:r w:rsidRPr="00FF235D">
        <w:rPr>
          <w:rStyle w:val="CharDefText"/>
        </w:rPr>
        <w:t>ADR</w:t>
      </w:r>
      <w:r w:rsidRPr="00A75C28">
        <w:rPr>
          <w:rStyle w:val="CharDefText"/>
        </w:rPr>
        <w:t>)</w:t>
      </w:r>
      <w:r>
        <w:t xml:space="preserve"> means — </w:t>
      </w:r>
    </w:p>
    <w:p w:rsidR="000D230E" w:rsidRDefault="000D230E" w:rsidP="000D230E">
      <w:pPr>
        <w:pStyle w:val="Defpara"/>
      </w:pPr>
      <w:r>
        <w:tab/>
        <w:t>(a)</w:t>
      </w:r>
      <w:r>
        <w:tab/>
        <w:t>a third edition ADR; or</w:t>
      </w:r>
    </w:p>
    <w:p w:rsidR="000D230E" w:rsidRDefault="000D230E" w:rsidP="000D230E">
      <w:pPr>
        <w:pStyle w:val="Defpara"/>
      </w:pPr>
      <w:r>
        <w:tab/>
        <w:t>(b)</w:t>
      </w:r>
      <w:r>
        <w:tab/>
        <w:t>a second edition ADR;</w:t>
      </w:r>
    </w:p>
    <w:p w:rsidR="006724FB" w:rsidRDefault="006724FB">
      <w:pPr>
        <w:pStyle w:val="Defstart"/>
      </w:pPr>
      <w:r>
        <w:tab/>
      </w:r>
      <w:r>
        <w:rPr>
          <w:rStyle w:val="CharDefText"/>
        </w:rPr>
        <w:t>braking system</w:t>
      </w:r>
      <w:r>
        <w:t>, of a vehicle, means all the brakes of the vehicle and all the components of the mechanisms by which they are operated;</w:t>
      </w:r>
    </w:p>
    <w:p w:rsidR="006724FB" w:rsidRDefault="006724FB">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rsidR="006724FB" w:rsidRDefault="006724FB">
      <w:pPr>
        <w:pStyle w:val="Defstart"/>
      </w:pPr>
      <w:r>
        <w:tab/>
      </w:r>
      <w:r>
        <w:rPr>
          <w:rStyle w:val="CharDefText"/>
        </w:rPr>
        <w:t>emergency brake</w:t>
      </w:r>
      <w:r>
        <w:t xml:space="preserve"> means a brake designed to be used if a service brake fails;</w:t>
      </w:r>
    </w:p>
    <w:p w:rsidR="006724FB" w:rsidRDefault="006724FB">
      <w:pPr>
        <w:pStyle w:val="Defstart"/>
      </w:pPr>
      <w:r>
        <w:tab/>
      </w:r>
      <w:r>
        <w:rPr>
          <w:rStyle w:val="CharDefText"/>
        </w:rPr>
        <w:t>emergency vehicle</w:t>
      </w:r>
      <w:r>
        <w:t xml:space="preserve"> means any of these — </w:t>
      </w:r>
    </w:p>
    <w:p w:rsidR="006724FB" w:rsidRDefault="006724FB">
      <w:pPr>
        <w:pStyle w:val="Defpara"/>
      </w:pPr>
      <w:r>
        <w:tab/>
        <w:t>(a)</w:t>
      </w:r>
      <w:r>
        <w:tab/>
        <w:t>a police vehicle ordinarily used by police officers in the course of carrying out their duties;</w:t>
      </w:r>
    </w:p>
    <w:p w:rsidR="006724FB" w:rsidRDefault="006724FB">
      <w:pPr>
        <w:pStyle w:val="Defpara"/>
      </w:pPr>
      <w:r>
        <w:tab/>
        <w:t>(b)</w:t>
      </w:r>
      <w:r>
        <w:tab/>
        <w:t xml:space="preserve">a vehicle operated by — </w:t>
      </w:r>
    </w:p>
    <w:p w:rsidR="006724FB" w:rsidRDefault="006724FB">
      <w:pPr>
        <w:pStyle w:val="Defsubpara"/>
      </w:pPr>
      <w:r>
        <w:tab/>
        <w:t>(i)</w:t>
      </w:r>
      <w:r>
        <w:tab/>
        <w:t xml:space="preserve">a fire brigade under the </w:t>
      </w:r>
      <w:r>
        <w:rPr>
          <w:i/>
        </w:rPr>
        <w:t>Fire Brigades Act 1942</w:t>
      </w:r>
      <w:r>
        <w:t>; or</w:t>
      </w:r>
    </w:p>
    <w:p w:rsidR="006724FB" w:rsidRDefault="006724FB">
      <w:pPr>
        <w:pStyle w:val="Defsubpara"/>
      </w:pPr>
      <w:r>
        <w:tab/>
        <w:t>(ii)</w:t>
      </w:r>
      <w:r>
        <w:tab/>
        <w:t xml:space="preserve">a bush fire brigade under the </w:t>
      </w:r>
      <w:r>
        <w:rPr>
          <w:i/>
        </w:rPr>
        <w:t>Bush Fires Act 1954</w:t>
      </w:r>
      <w:r>
        <w:t>; or</w:t>
      </w:r>
    </w:p>
    <w:p w:rsidR="006724FB" w:rsidRDefault="006724FB">
      <w:pPr>
        <w:pStyle w:val="Defsubpara"/>
      </w:pPr>
      <w:r>
        <w:lastRenderedPageBreak/>
        <w:tab/>
        <w:t>(iii)</w:t>
      </w:r>
      <w:r>
        <w:tab/>
        <w:t xml:space="preserve">the department of the Public Service principally assisting in the administration of the </w:t>
      </w:r>
      <w:r>
        <w:rPr>
          <w:i/>
        </w:rPr>
        <w:t>Fire and Emergency Services Act 1998</w:t>
      </w:r>
      <w:r>
        <w:t>,</w:t>
      </w:r>
    </w:p>
    <w:p w:rsidR="006724FB" w:rsidRDefault="006724FB">
      <w:pPr>
        <w:pStyle w:val="Defpara"/>
      </w:pPr>
      <w:r>
        <w:tab/>
      </w:r>
      <w:r>
        <w:tab/>
        <w:t xml:space="preserve">and ordinarily used by members of the brigade or members of staff of </w:t>
      </w:r>
      <w:r>
        <w:rPr>
          <w:szCs w:val="22"/>
        </w:rPr>
        <w:t>that department</w:t>
      </w:r>
      <w:r>
        <w:t xml:space="preserve"> in the course of carrying out their duties;</w:t>
      </w:r>
    </w:p>
    <w:p w:rsidR="006724FB" w:rsidRDefault="006724FB">
      <w:pPr>
        <w:pStyle w:val="Defpara"/>
      </w:pPr>
      <w:r>
        <w:tab/>
        <w:t>(c)</w:t>
      </w:r>
      <w:r>
        <w:tab/>
        <w:t>an ambulance;</w:t>
      </w:r>
    </w:p>
    <w:p w:rsidR="006724FB" w:rsidRDefault="006724FB">
      <w:pPr>
        <w:pStyle w:val="Defpara"/>
      </w:pPr>
      <w:r>
        <w:tab/>
        <w:t>(d)</w:t>
      </w:r>
      <w:r>
        <w:tab/>
        <w:t>an emergency vehicle within the meaning of a corresponding law;</w:t>
      </w:r>
    </w:p>
    <w:p w:rsidR="006724FB" w:rsidRDefault="006724FB">
      <w:pPr>
        <w:pStyle w:val="Defpara"/>
      </w:pPr>
      <w:r>
        <w:tab/>
        <w:t>(e)</w:t>
      </w:r>
      <w:r>
        <w:tab/>
        <w:t>a vehicle in respect of which a declaration under regulation 227(a) is in force;</w:t>
      </w:r>
    </w:p>
    <w:p w:rsidR="006724FB" w:rsidRDefault="006724FB">
      <w:pPr>
        <w:pStyle w:val="Defstart"/>
      </w:pPr>
      <w:r>
        <w:tab/>
      </w:r>
      <w:r>
        <w:rPr>
          <w:rStyle w:val="CharDefText"/>
        </w:rPr>
        <w:t>rear fog light</w:t>
      </w:r>
      <w:r>
        <w:t xml:space="preserve"> means a light used on a vehicle to make it more easily visible from the rear in dense fog;</w:t>
      </w:r>
    </w:p>
    <w:p w:rsidR="006724FB" w:rsidRDefault="006724FB">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rsidR="006724FB" w:rsidRDefault="006724FB">
      <w:pPr>
        <w:pStyle w:val="Defstart"/>
      </w:pPr>
      <w:r>
        <w:tab/>
      </w:r>
      <w:r>
        <w:rPr>
          <w:rStyle w:val="CharDefText"/>
        </w:rPr>
        <w:t>school bus</w:t>
      </w:r>
      <w:r>
        <w:t xml:space="preserve"> means a motor vehicle that — </w:t>
      </w:r>
    </w:p>
    <w:p w:rsidR="006724FB" w:rsidRDefault="006724FB">
      <w:pPr>
        <w:pStyle w:val="Defpara"/>
      </w:pPr>
      <w:r>
        <w:tab/>
        <w:t>(a)</w:t>
      </w:r>
      <w:r>
        <w:tab/>
        <w:t>is equipped to carry more than 8 adult persons; and</w:t>
      </w:r>
    </w:p>
    <w:p w:rsidR="006724FB" w:rsidRDefault="006724FB">
      <w:pPr>
        <w:pStyle w:val="Defpara"/>
      </w:pPr>
      <w:r>
        <w:tab/>
        <w:t>(b)</w:t>
      </w:r>
      <w:r>
        <w:tab/>
        <w:t>is, at the material time, being used to pick up, transport and set down school children; and</w:t>
      </w:r>
    </w:p>
    <w:p w:rsidR="006724FB" w:rsidRDefault="006724FB">
      <w:pPr>
        <w:pStyle w:val="Defpara"/>
      </w:pPr>
      <w:r>
        <w:tab/>
        <w:t>(c)</w:t>
      </w:r>
      <w:r>
        <w:tab/>
        <w:t>is solely or principally used for the purpose mentioned in paragraph (b);</w:t>
      </w:r>
    </w:p>
    <w:p w:rsidR="006724FB" w:rsidRDefault="006724FB">
      <w:pPr>
        <w:pStyle w:val="Defstart"/>
      </w:pPr>
      <w:r>
        <w:tab/>
      </w:r>
      <w:r>
        <w:rPr>
          <w:rStyle w:val="CharDefText"/>
        </w:rPr>
        <w:t>second edition ADR</w:t>
      </w:r>
      <w:r>
        <w:t xml:space="preserve"> means </w:t>
      </w:r>
      <w:r w:rsidR="00FF235D">
        <w:t>an Australian Design Rule</w:t>
      </w:r>
      <w:r>
        <w:t xml:space="preserve"> incorporated in the document described as the Australian Design Rules for Motor Vehicle Safety, Second Edition originally published by the then Commonwealth Department of Transport;</w:t>
      </w:r>
    </w:p>
    <w:p w:rsidR="000D230E" w:rsidRDefault="000D230E" w:rsidP="000D230E">
      <w:pPr>
        <w:pStyle w:val="Defstart"/>
      </w:pPr>
      <w:r>
        <w:tab/>
      </w:r>
      <w:r>
        <w:rPr>
          <w:rStyle w:val="CharDefText"/>
        </w:rPr>
        <w:t>third edition ADR</w:t>
      </w:r>
      <w:r>
        <w:t xml:space="preserve"> means — </w:t>
      </w:r>
    </w:p>
    <w:p w:rsidR="000D230E" w:rsidRDefault="000D230E" w:rsidP="000D230E">
      <w:pPr>
        <w:pStyle w:val="Defpara"/>
      </w:pPr>
      <w:r>
        <w:tab/>
        <w:t>(a)</w:t>
      </w:r>
      <w:r>
        <w:tab/>
        <w:t xml:space="preserve">a national standard under the </w:t>
      </w:r>
      <w:r w:rsidRPr="001012B2">
        <w:rPr>
          <w:i/>
        </w:rPr>
        <w:t>Motor Vehicle Standards Act 1989</w:t>
      </w:r>
      <w:r w:rsidRPr="001012B2">
        <w:t xml:space="preserve"> (</w:t>
      </w:r>
      <w:r>
        <w:t>Commonwealth) as in force immediately before the repeal of that Act; or</w:t>
      </w:r>
    </w:p>
    <w:p w:rsidR="000D230E" w:rsidRDefault="000D230E" w:rsidP="000D230E">
      <w:pPr>
        <w:pStyle w:val="Defpara"/>
      </w:pPr>
      <w:r>
        <w:tab/>
        <w:t>(b)</w:t>
      </w:r>
      <w:r>
        <w:tab/>
        <w:t xml:space="preserve">a national road vehicle standard, as amended from time to time, under the </w:t>
      </w:r>
      <w:r w:rsidRPr="001012B2">
        <w:rPr>
          <w:i/>
        </w:rPr>
        <w:t>Road Vehicle Standards Act 2018</w:t>
      </w:r>
      <w:r w:rsidRPr="001012B2">
        <w:t xml:space="preserve"> (</w:t>
      </w:r>
      <w:r>
        <w:t xml:space="preserve">Commonwealth) </w:t>
      </w:r>
      <w:r w:rsidRPr="001012B2">
        <w:t>section</w:t>
      </w:r>
      <w:r>
        <w:t> 12;</w:t>
      </w:r>
    </w:p>
    <w:p w:rsidR="006724FB" w:rsidRDefault="006724FB">
      <w:pPr>
        <w:pStyle w:val="Defstart"/>
      </w:pPr>
      <w:r>
        <w:lastRenderedPageBreak/>
        <w:tab/>
      </w:r>
      <w:r>
        <w:rPr>
          <w:rStyle w:val="CharDefText"/>
        </w:rPr>
        <w:t>transport enforcement vehicle</w:t>
      </w:r>
      <w:r>
        <w:t xml:space="preserve"> means a vehicle in respect of which a declaration under regulation 227(b) is in force;</w:t>
      </w:r>
    </w:p>
    <w:p w:rsidR="006724FB" w:rsidRDefault="006724FB">
      <w:pPr>
        <w:pStyle w:val="Defstart"/>
        <w:keepNext/>
      </w:pPr>
      <w:r>
        <w:tab/>
      </w:r>
      <w:r>
        <w:rPr>
          <w:rStyle w:val="CharDefText"/>
        </w:rPr>
        <w:t>vacuum brakes</w:t>
      </w:r>
      <w:r>
        <w:t xml:space="preserve"> means vacuum</w:t>
      </w:r>
      <w:r>
        <w:noBreakHyphen/>
        <w:t>operated or vacuum</w:t>
      </w:r>
      <w:r>
        <w:noBreakHyphen/>
        <w:t>assisted brakes.</w:t>
      </w:r>
    </w:p>
    <w:p w:rsidR="000D230E" w:rsidRDefault="006724FB" w:rsidP="000D230E">
      <w:pPr>
        <w:pStyle w:val="Footnotesection"/>
      </w:pPr>
      <w:r>
        <w:tab/>
        <w:t>[Regulation 226 amended: Gazette 20 Sep 2016 p. 3982; SL 2021/37 r. 8</w:t>
      </w:r>
      <w:r w:rsidR="000D230E">
        <w:t>; SL 2021/81 r. 8.]</w:t>
      </w:r>
    </w:p>
    <w:p w:rsidR="006724FB" w:rsidRDefault="006724FB">
      <w:pPr>
        <w:pStyle w:val="Heading5"/>
      </w:pPr>
      <w:bookmarkStart w:id="403" w:name="_Toc75875795"/>
      <w:r>
        <w:rPr>
          <w:rStyle w:val="CharSectno"/>
        </w:rPr>
        <w:t>227</w:t>
      </w:r>
      <w:r>
        <w:t>.</w:t>
      </w:r>
      <w:r>
        <w:tab/>
        <w:t>Declaration of vehicles as emergency, transport enforcement vehicles</w:t>
      </w:r>
      <w:bookmarkEnd w:id="403"/>
    </w:p>
    <w:p w:rsidR="006724FB" w:rsidRDefault="006724FB">
      <w:pPr>
        <w:pStyle w:val="Subsection"/>
      </w:pPr>
      <w:r>
        <w:tab/>
      </w:r>
      <w:r>
        <w:tab/>
        <w:t xml:space="preserve">The CEO may, for the purposes of this Part, declare a vehicle, or each vehicle in a class of vehicles, to be — </w:t>
      </w:r>
    </w:p>
    <w:p w:rsidR="006724FB" w:rsidRDefault="006724FB">
      <w:pPr>
        <w:pStyle w:val="Indenta"/>
      </w:pPr>
      <w:r>
        <w:tab/>
        <w:t>(a)</w:t>
      </w:r>
      <w:r>
        <w:tab/>
        <w:t>an emergency vehicle; or</w:t>
      </w:r>
    </w:p>
    <w:p w:rsidR="006724FB" w:rsidRDefault="006724FB">
      <w:pPr>
        <w:pStyle w:val="Indenta"/>
      </w:pPr>
      <w:r>
        <w:tab/>
        <w:t>(b)</w:t>
      </w:r>
      <w:r>
        <w:tab/>
        <w:t>a transport enforcement vehicle.</w:t>
      </w:r>
    </w:p>
    <w:p w:rsidR="006724FB" w:rsidRDefault="006724FB">
      <w:pPr>
        <w:pStyle w:val="Heading3"/>
      </w:pPr>
      <w:bookmarkStart w:id="404" w:name="_Toc75419873"/>
      <w:bookmarkStart w:id="405" w:name="_Toc75427208"/>
      <w:bookmarkStart w:id="406" w:name="_Toc75872624"/>
      <w:bookmarkStart w:id="407" w:name="_Toc75875796"/>
      <w:r>
        <w:rPr>
          <w:rStyle w:val="CharDivNo"/>
        </w:rPr>
        <w:t>Division 2</w:t>
      </w:r>
      <w:r>
        <w:t> — </w:t>
      </w:r>
      <w:r>
        <w:rPr>
          <w:rStyle w:val="CharDivText"/>
        </w:rPr>
        <w:t>Application</w:t>
      </w:r>
      <w:bookmarkEnd w:id="404"/>
      <w:bookmarkEnd w:id="405"/>
      <w:bookmarkEnd w:id="406"/>
      <w:bookmarkEnd w:id="407"/>
    </w:p>
    <w:p w:rsidR="006724FB" w:rsidRDefault="006724FB">
      <w:pPr>
        <w:pStyle w:val="Heading5"/>
      </w:pPr>
      <w:bookmarkStart w:id="408" w:name="_Toc75875797"/>
      <w:r>
        <w:rPr>
          <w:rStyle w:val="CharSectno"/>
        </w:rPr>
        <w:t>228</w:t>
      </w:r>
      <w:r>
        <w:t>.</w:t>
      </w:r>
      <w:r>
        <w:tab/>
        <w:t>Application</w:t>
      </w:r>
      <w:bookmarkEnd w:id="408"/>
    </w:p>
    <w:p w:rsidR="006724FB" w:rsidRDefault="006724FB">
      <w:pPr>
        <w:pStyle w:val="Subsection"/>
      </w:pPr>
      <w:r>
        <w:tab/>
      </w:r>
      <w:r>
        <w:tab/>
        <w:t>This Part does not apply to any of these vehicles —</w:t>
      </w:r>
    </w:p>
    <w:p w:rsidR="006724FB" w:rsidRDefault="006724FB">
      <w:pPr>
        <w:pStyle w:val="Indenta"/>
      </w:pPr>
      <w:r>
        <w:tab/>
        <w:t>(a)</w:t>
      </w:r>
      <w:r>
        <w:tab/>
        <w:t>a vehicle used only on a railway or tramway;</w:t>
      </w:r>
    </w:p>
    <w:p w:rsidR="006724FB" w:rsidRDefault="006724FB">
      <w:pPr>
        <w:pStyle w:val="Indenta"/>
      </w:pPr>
      <w:r>
        <w:tab/>
        <w:t>(b)</w:t>
      </w:r>
      <w:r>
        <w:tab/>
        <w:t>a vehicle designed to be controlled by a person walking next to it;</w:t>
      </w:r>
    </w:p>
    <w:p w:rsidR="006724FB" w:rsidRDefault="006724FB">
      <w:pPr>
        <w:pStyle w:val="Indenta"/>
      </w:pPr>
      <w:r>
        <w:tab/>
        <w:t>(c)</w:t>
      </w:r>
      <w:r>
        <w:tab/>
        <w:t>a bicycle;</w:t>
      </w:r>
    </w:p>
    <w:p w:rsidR="006724FB" w:rsidRDefault="006724FB">
      <w:pPr>
        <w:pStyle w:val="Indenta"/>
      </w:pPr>
      <w:r>
        <w:tab/>
        <w:t>(d)</w:t>
      </w:r>
      <w:r>
        <w:tab/>
        <w:t>any vehicle (other than a power assisted pedal cycle) propelled by a motor with a maximum power output of not over 200 W;</w:t>
      </w:r>
    </w:p>
    <w:p w:rsidR="006724FB" w:rsidRDefault="006724FB">
      <w:pPr>
        <w:pStyle w:val="Indenta"/>
      </w:pPr>
      <w:r>
        <w:tab/>
        <w:t>(e)</w:t>
      </w:r>
      <w:r>
        <w:tab/>
        <w:t>a motorised wheelchair that cannot travel at over 10 km/h;</w:t>
      </w:r>
    </w:p>
    <w:p w:rsidR="006724FB" w:rsidRDefault="006724FB">
      <w:pPr>
        <w:pStyle w:val="Indenta"/>
      </w:pPr>
      <w:r>
        <w:tab/>
        <w:t>(f)</w:t>
      </w:r>
      <w:r>
        <w:tab/>
        <w:t>an animal drawn vehicle as defined in regulation 390;</w:t>
      </w:r>
    </w:p>
    <w:p w:rsidR="006724FB" w:rsidRDefault="006724FB">
      <w:pPr>
        <w:pStyle w:val="Indenta"/>
        <w:keepNext/>
      </w:pPr>
      <w:r>
        <w:tab/>
        <w:t>(g)</w:t>
      </w:r>
      <w:r>
        <w:tab/>
        <w:t>a vehicle used for the purpose of road maintenance or road construction if it is —</w:t>
      </w:r>
    </w:p>
    <w:p w:rsidR="006724FB" w:rsidRDefault="006724FB">
      <w:pPr>
        <w:pStyle w:val="Indenti"/>
      </w:pPr>
      <w:r>
        <w:tab/>
        <w:t>(i)</w:t>
      </w:r>
      <w:r>
        <w:tab/>
        <w:t>situated between traffic signs on a road maintenance or road construction site; and</w:t>
      </w:r>
    </w:p>
    <w:p w:rsidR="006724FB" w:rsidRDefault="006724FB">
      <w:pPr>
        <w:pStyle w:val="Indenti"/>
      </w:pPr>
      <w:r>
        <w:lastRenderedPageBreak/>
        <w:tab/>
        <w:t>(ii)</w:t>
      </w:r>
      <w:r>
        <w:tab/>
        <w:t>operated for, by or under the control of a government department, government instrumentality, statutory authority or local government; and</w:t>
      </w:r>
    </w:p>
    <w:p w:rsidR="006724FB" w:rsidRDefault="006724FB">
      <w:pPr>
        <w:pStyle w:val="Indenti"/>
      </w:pPr>
      <w:r>
        <w:tab/>
        <w:t>(iii)</w:t>
      </w:r>
      <w:r>
        <w:tab/>
        <w:t>fitted with a light displaying intermittent yellow flashes (or flashes of another colour or colours approved by the CEO).</w:t>
      </w:r>
    </w:p>
    <w:p w:rsidR="006724FB" w:rsidRDefault="006724FB">
      <w:pPr>
        <w:pStyle w:val="Heading5"/>
      </w:pPr>
      <w:bookmarkStart w:id="409" w:name="_Toc75875798"/>
      <w:r>
        <w:rPr>
          <w:rStyle w:val="CharSectno"/>
        </w:rPr>
        <w:t>229</w:t>
      </w:r>
      <w:r>
        <w:t>.</w:t>
      </w:r>
      <w:r>
        <w:tab/>
        <w:t>Non</w:t>
      </w:r>
      <w:r>
        <w:noBreakHyphen/>
        <w:t>application of this Part: exemptions</w:t>
      </w:r>
      <w:bookmarkEnd w:id="409"/>
    </w:p>
    <w:p w:rsidR="006724FB" w:rsidRDefault="006724FB">
      <w:pPr>
        <w:pStyle w:val="Subsection"/>
        <w:keepNext/>
      </w:pPr>
      <w:r>
        <w:tab/>
        <w:t>(1)</w:t>
      </w:r>
      <w:r>
        <w:tab/>
        <w:t>A provision of this Part does not apply to a vehicle if the vehicle is exempt from —</w:t>
      </w:r>
    </w:p>
    <w:p w:rsidR="006724FB" w:rsidRDefault="006724FB">
      <w:pPr>
        <w:pStyle w:val="Indenta"/>
      </w:pPr>
      <w:r>
        <w:tab/>
        <w:t>(a)</w:t>
      </w:r>
      <w:r>
        <w:tab/>
        <w:t>the provision under another law of this State; or</w:t>
      </w:r>
    </w:p>
    <w:p w:rsidR="006724FB" w:rsidRDefault="006724FB">
      <w:pPr>
        <w:pStyle w:val="Indenta"/>
      </w:pPr>
      <w:r>
        <w:tab/>
        <w:t>(b)</w:t>
      </w:r>
      <w:r>
        <w:tab/>
        <w:t>the corresponding provision of the law of another State, a Territory or the Commonwealth.</w:t>
      </w:r>
    </w:p>
    <w:p w:rsidR="006724FB" w:rsidRDefault="006724FB">
      <w:pPr>
        <w:pStyle w:val="Subsection"/>
      </w:pPr>
      <w:r>
        <w:tab/>
        <w:t>(2)</w:t>
      </w:r>
      <w:r>
        <w:tab/>
        <w:t>However, the vehicle is exempt only if all conditions of the exemption (if any) are being complied with.</w:t>
      </w:r>
    </w:p>
    <w:p w:rsidR="006724FB" w:rsidRDefault="006724FB">
      <w:pPr>
        <w:pStyle w:val="Heading5"/>
      </w:pPr>
      <w:bookmarkStart w:id="410" w:name="_Toc75875799"/>
      <w:r>
        <w:rPr>
          <w:rStyle w:val="CharSectno"/>
        </w:rPr>
        <w:t>230</w:t>
      </w:r>
      <w:r>
        <w:t>.</w:t>
      </w:r>
      <w:r>
        <w:tab/>
        <w:t>Non</w:t>
      </w:r>
      <w:r>
        <w:noBreakHyphen/>
        <w:t>application of this Part: inconsistent ADR requirements</w:t>
      </w:r>
      <w:bookmarkEnd w:id="410"/>
    </w:p>
    <w:p w:rsidR="006724FB" w:rsidRDefault="006724FB">
      <w:pPr>
        <w:pStyle w:val="Subsection"/>
        <w:keepNext/>
      </w:pPr>
      <w:r>
        <w:tab/>
      </w:r>
      <w:r>
        <w:tab/>
        <w:t>A provision of Divisions 5 to 13 inclusive does not apply to a vehicle if —</w:t>
      </w:r>
    </w:p>
    <w:p w:rsidR="006724FB" w:rsidRDefault="006724FB">
      <w:pPr>
        <w:pStyle w:val="Indenta"/>
      </w:pPr>
      <w:r>
        <w:tab/>
        <w:t>(a)</w:t>
      </w:r>
      <w:r>
        <w:tab/>
        <w:t>the provision is inconsistent with a requirement of a second or third edition ADR applying to the vehicle; and</w:t>
      </w:r>
    </w:p>
    <w:p w:rsidR="006724FB" w:rsidRDefault="006724FB">
      <w:pPr>
        <w:pStyle w:val="Indenta"/>
      </w:pPr>
      <w:r>
        <w:tab/>
        <w:t>(b)</w:t>
      </w:r>
      <w:r>
        <w:tab/>
        <w:t>the vehicle complies with the requirement.</w:t>
      </w:r>
    </w:p>
    <w:p w:rsidR="006724FB" w:rsidRDefault="006724FB">
      <w:pPr>
        <w:pStyle w:val="Heading5"/>
      </w:pPr>
      <w:bookmarkStart w:id="411" w:name="_Toc75875800"/>
      <w:r>
        <w:rPr>
          <w:rStyle w:val="CharSectno"/>
        </w:rPr>
        <w:t>231</w:t>
      </w:r>
      <w:r>
        <w:t>.</w:t>
      </w:r>
      <w:r>
        <w:tab/>
      </w:r>
      <w:r w:rsidR="000D230E">
        <w:t>Non</w:t>
      </w:r>
      <w:r w:rsidR="000D230E">
        <w:noBreakHyphen/>
        <w:t>application</w:t>
      </w:r>
      <w:r w:rsidR="000D230E" w:rsidRPr="001012B2">
        <w:t xml:space="preserve"> of this Part</w:t>
      </w:r>
      <w:r w:rsidR="000D230E">
        <w:t>: approvals under Commonwealth legislation</w:t>
      </w:r>
      <w:bookmarkEnd w:id="411"/>
    </w:p>
    <w:p w:rsidR="006724FB" w:rsidRDefault="006724FB">
      <w:pPr>
        <w:pStyle w:val="Subsection"/>
        <w:keepNext/>
      </w:pPr>
      <w:r>
        <w:tab/>
      </w:r>
      <w:r>
        <w:tab/>
        <w:t>A provision of Divisions 5 to 13 inclusive does not apply to a vehicle if —</w:t>
      </w:r>
    </w:p>
    <w:p w:rsidR="006724FB" w:rsidRDefault="006724FB">
      <w:pPr>
        <w:pStyle w:val="Indenta"/>
      </w:pPr>
      <w:r>
        <w:tab/>
        <w:t>(a)</w:t>
      </w:r>
      <w:r>
        <w:tab/>
        <w:t>the vehicle does not comply with a requirement of an ADR applying to the vehicle; and</w:t>
      </w:r>
    </w:p>
    <w:p w:rsidR="006724FB" w:rsidRDefault="006724FB">
      <w:pPr>
        <w:pStyle w:val="Indenta"/>
      </w:pPr>
      <w:r>
        <w:tab/>
        <w:t>(b)</w:t>
      </w:r>
      <w:r>
        <w:tab/>
        <w:t>the provision of these regulations corresponds to the requirement of the ADR; and</w:t>
      </w:r>
    </w:p>
    <w:p w:rsidR="000D230E" w:rsidRDefault="000D230E" w:rsidP="000D230E">
      <w:pPr>
        <w:pStyle w:val="Indenta"/>
      </w:pPr>
      <w:r>
        <w:lastRenderedPageBreak/>
        <w:tab/>
        <w:t>(c)</w:t>
      </w:r>
      <w:r>
        <w:tab/>
        <w:t>despite the non</w:t>
      </w:r>
      <w:r>
        <w:noBreakHyphen/>
        <w:t xml:space="preserve">compliance — </w:t>
      </w:r>
    </w:p>
    <w:p w:rsidR="000D230E" w:rsidRDefault="000D230E" w:rsidP="000D230E">
      <w:pPr>
        <w:pStyle w:val="Indenti"/>
      </w:pPr>
      <w:r>
        <w:tab/>
        <w:t>(i)</w:t>
      </w:r>
      <w:r>
        <w:tab/>
        <w:t xml:space="preserve">before the repeal of the </w:t>
      </w:r>
      <w:r w:rsidRPr="001012B2">
        <w:rPr>
          <w:i/>
        </w:rPr>
        <w:t>Motor Vehicle Standards Act 1989</w:t>
      </w:r>
      <w:r w:rsidRPr="001012B2">
        <w:t xml:space="preserve"> (</w:t>
      </w:r>
      <w:r>
        <w:t xml:space="preserve">Commonwealth) an approval was given under </w:t>
      </w:r>
      <w:r w:rsidRPr="001012B2">
        <w:t>section</w:t>
      </w:r>
      <w:r>
        <w:t xml:space="preserve"> 10A(2) or (3) of that Act to place an identification plate on the vehicle; or </w:t>
      </w:r>
    </w:p>
    <w:p w:rsidR="000D230E" w:rsidRDefault="000D230E" w:rsidP="000D230E">
      <w:pPr>
        <w:pStyle w:val="Indenti"/>
      </w:pPr>
      <w:r>
        <w:tab/>
        <w:t>(ii)</w:t>
      </w:r>
      <w:r>
        <w:tab/>
        <w:t xml:space="preserve">an approval is given under the </w:t>
      </w:r>
      <w:r w:rsidRPr="001012B2">
        <w:rPr>
          <w:i/>
        </w:rPr>
        <w:t>Road Vehicle Standards (Consequential and Transitional Provisions) Act 2018</w:t>
      </w:r>
      <w:r w:rsidRPr="001012B2">
        <w:t xml:space="preserve"> (</w:t>
      </w:r>
      <w:r>
        <w:t xml:space="preserve">Commonwealth) Schedule 3 item 4(2) or 6(2); or </w:t>
      </w:r>
    </w:p>
    <w:p w:rsidR="000D230E" w:rsidRDefault="000D230E" w:rsidP="000D230E">
      <w:pPr>
        <w:pStyle w:val="Indenti"/>
      </w:pPr>
      <w:r>
        <w:tab/>
        <w:t>(iii)</w:t>
      </w:r>
      <w:r>
        <w:tab/>
        <w:t xml:space="preserve">the vehicle satisfied an entry pathway under the </w:t>
      </w:r>
      <w:r w:rsidRPr="001012B2">
        <w:rPr>
          <w:i/>
        </w:rPr>
        <w:t>Road Vehicle Standards Act 2018</w:t>
      </w:r>
      <w:r w:rsidRPr="001012B2">
        <w:t xml:space="preserve"> (</w:t>
      </w:r>
      <w:r>
        <w:t xml:space="preserve">Commonwealth) </w:t>
      </w:r>
      <w:r w:rsidRPr="001012B2">
        <w:t>section</w:t>
      </w:r>
      <w:r>
        <w:t> 15(2) and the vehicle is entered on the RAV;</w:t>
      </w:r>
    </w:p>
    <w:p w:rsidR="000D230E" w:rsidRDefault="000D230E" w:rsidP="000D230E">
      <w:pPr>
        <w:pStyle w:val="Indenta"/>
      </w:pPr>
      <w:r>
        <w:tab/>
      </w:r>
      <w:r>
        <w:tab/>
        <w:t>and</w:t>
      </w:r>
    </w:p>
    <w:p w:rsidR="006724FB" w:rsidRDefault="006724FB">
      <w:pPr>
        <w:pStyle w:val="Indenta"/>
      </w:pPr>
      <w:r>
        <w:tab/>
        <w:t>(d)</w:t>
      </w:r>
      <w:r>
        <w:tab/>
        <w:t>the vehicle complies with the approval conditions (if any).</w:t>
      </w:r>
    </w:p>
    <w:p w:rsidR="000D230E" w:rsidRDefault="000D230E" w:rsidP="000D230E">
      <w:pPr>
        <w:pStyle w:val="Footnotesection"/>
      </w:pPr>
      <w:bookmarkStart w:id="412" w:name="_Toc75419878"/>
      <w:r>
        <w:tab/>
        <w:t>[Regulation 231 amended: SL 2021/81 r. 9.]</w:t>
      </w:r>
    </w:p>
    <w:p w:rsidR="006724FB" w:rsidRDefault="006724FB">
      <w:pPr>
        <w:pStyle w:val="Heading3"/>
      </w:pPr>
      <w:bookmarkStart w:id="413" w:name="_Toc75427213"/>
      <w:bookmarkStart w:id="414" w:name="_Toc75872629"/>
      <w:bookmarkStart w:id="415" w:name="_Toc75875801"/>
      <w:r>
        <w:rPr>
          <w:rStyle w:val="CharDivNo"/>
        </w:rPr>
        <w:t>Division 3</w:t>
      </w:r>
      <w:r>
        <w:t> — </w:t>
      </w:r>
      <w:r>
        <w:rPr>
          <w:rStyle w:val="CharDivText"/>
        </w:rPr>
        <w:t>Offences and penalties</w:t>
      </w:r>
      <w:bookmarkEnd w:id="412"/>
      <w:bookmarkEnd w:id="413"/>
      <w:bookmarkEnd w:id="414"/>
      <w:bookmarkEnd w:id="415"/>
    </w:p>
    <w:p w:rsidR="006724FB" w:rsidRDefault="006724FB">
      <w:pPr>
        <w:pStyle w:val="Heading5"/>
        <w:rPr>
          <w:b w:val="0"/>
        </w:rPr>
      </w:pPr>
      <w:bookmarkStart w:id="416" w:name="_Toc75875802"/>
      <w:r>
        <w:rPr>
          <w:rStyle w:val="CharSectno"/>
        </w:rPr>
        <w:t>232</w:t>
      </w:r>
      <w:r>
        <w:t>.</w:t>
      </w:r>
      <w:r>
        <w:tab/>
        <w:t>Motor vehicles, trailers and combinations to comply with applicable standards and requirements</w:t>
      </w:r>
      <w:bookmarkEnd w:id="416"/>
    </w:p>
    <w:p w:rsidR="006724FB" w:rsidRDefault="006724FB">
      <w:pPr>
        <w:pStyle w:val="Subsection"/>
        <w:keepNext/>
      </w:pPr>
      <w:r>
        <w:tab/>
        <w:t>(1)</w:t>
      </w:r>
      <w:r>
        <w:tab/>
        <w:t>A person must not drive or use a vehicle unless there is compliance with each provision in this Part that applies to the vehicle or a combination of which the vehicle is a part.</w:t>
      </w:r>
    </w:p>
    <w:p w:rsidR="006724FB" w:rsidRDefault="006724FB">
      <w:pPr>
        <w:pStyle w:val="Penstart"/>
      </w:pPr>
      <w:r>
        <w:tab/>
        <w:t>Penalty: a fine of 16 PU.</w:t>
      </w:r>
    </w:p>
    <w:p w:rsidR="006724FB" w:rsidRDefault="006724FB">
      <w:pPr>
        <w:pStyle w:val="Penstart"/>
      </w:pPr>
      <w:r>
        <w:tab/>
        <w:t>Modified penalty: 2 PU.</w:t>
      </w:r>
    </w:p>
    <w:p w:rsidR="006724FB" w:rsidRDefault="006724FB">
      <w:pPr>
        <w:pStyle w:val="Subsection"/>
        <w:keepNext/>
      </w:pPr>
      <w:r>
        <w:tab/>
        <w:t>(2)</w:t>
      </w:r>
      <w:r>
        <w:tab/>
        <w:t>A person must not permit a vehicle to be driven or used unless there is compliance with each provision in this Part that applies to the vehicle or a combination of which the vehicle is a part.</w:t>
      </w:r>
    </w:p>
    <w:p w:rsidR="006724FB" w:rsidRDefault="006724FB">
      <w:pPr>
        <w:pStyle w:val="Penstart"/>
      </w:pPr>
      <w:r>
        <w:tab/>
        <w:t>Penalty: a fine of 16 PU.</w:t>
      </w:r>
    </w:p>
    <w:p w:rsidR="006724FB" w:rsidRDefault="006724FB">
      <w:pPr>
        <w:pStyle w:val="Penstart"/>
      </w:pPr>
      <w:r>
        <w:tab/>
        <w:t>Modified penalty: 2 PU.</w:t>
      </w:r>
    </w:p>
    <w:p w:rsidR="006724FB" w:rsidRDefault="006724FB">
      <w:pPr>
        <w:pStyle w:val="Subsection"/>
      </w:pPr>
      <w:r>
        <w:lastRenderedPageBreak/>
        <w:tab/>
        <w:t>(3)</w:t>
      </w:r>
      <w:r>
        <w:tab/>
        <w:t>A person does not commit an offence under subregulation (1) or (2) only because the person drives or uses, or permits the driving or use of, a vehicle that is the subject of an offence under regulation 234 or 235.</w:t>
      </w:r>
    </w:p>
    <w:p w:rsidR="006724FB" w:rsidRDefault="006724FB">
      <w:pPr>
        <w:pStyle w:val="Heading5"/>
        <w:keepNext w:val="0"/>
        <w:rPr>
          <w:b w:val="0"/>
        </w:rPr>
      </w:pPr>
      <w:bookmarkStart w:id="417" w:name="_Toc75875803"/>
      <w:r>
        <w:rPr>
          <w:rStyle w:val="CharSectno"/>
        </w:rPr>
        <w:t>233</w:t>
      </w:r>
      <w:r>
        <w:t>.</w:t>
      </w:r>
      <w:r>
        <w:tab/>
        <w:t>Certain movement of defective vehicles permitted</w:t>
      </w:r>
      <w:bookmarkEnd w:id="417"/>
    </w:p>
    <w:p w:rsidR="006724FB" w:rsidRDefault="006724FB">
      <w:pPr>
        <w:pStyle w:val="Subsection"/>
      </w:pPr>
      <w:r>
        <w:tab/>
      </w:r>
      <w:r>
        <w:tab/>
        <w:t xml:space="preserve">A person does not commit an offence under regulation 232(1) or (2) in relation to a vehicle if the vehicle — </w:t>
      </w:r>
    </w:p>
    <w:p w:rsidR="006724FB" w:rsidRDefault="006724FB">
      <w:pPr>
        <w:pStyle w:val="Indenta"/>
      </w:pPr>
      <w:r>
        <w:tab/>
        <w:t>(a)</w:t>
      </w:r>
      <w:r>
        <w:tab/>
        <w:t>is being driven in accordance with each defect notice that is in effect for the vehicle; or</w:t>
      </w:r>
    </w:p>
    <w:p w:rsidR="006724FB" w:rsidRDefault="006724FB">
      <w:pPr>
        <w:pStyle w:val="Indenta"/>
      </w:pPr>
      <w:r>
        <w:tab/>
        <w:t>(b)</w:t>
      </w:r>
      <w:r>
        <w:tab/>
        <w:t>cannot be moved, but arrangements for it to be removed from the road are made as soon as practicable; or</w:t>
      </w:r>
    </w:p>
    <w:p w:rsidR="006724FB" w:rsidRDefault="006724FB">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rsidR="006724FB" w:rsidRDefault="006724FB">
      <w:pPr>
        <w:pStyle w:val="Indenta"/>
      </w:pPr>
      <w:r>
        <w:tab/>
        <w:t>(d)</w:t>
      </w:r>
      <w:r>
        <w:tab/>
        <w:t>is being driven directly to a place where it is to be repaired and driving it on the road is unlikely to endanger any person or property; or</w:t>
      </w:r>
    </w:p>
    <w:p w:rsidR="006724FB" w:rsidRDefault="006724FB">
      <w:pPr>
        <w:pStyle w:val="Indenta"/>
      </w:pPr>
      <w:r>
        <w:tab/>
        <w:t>(e)</w:t>
      </w:r>
      <w:r>
        <w:tab/>
        <w:t>is being tested for the purpose of repairing it and driving it on the road is unlikely to endanger any person or property.</w:t>
      </w:r>
    </w:p>
    <w:p w:rsidR="006724FB" w:rsidRDefault="006724FB">
      <w:pPr>
        <w:pStyle w:val="Heading5"/>
      </w:pPr>
      <w:bookmarkStart w:id="418" w:name="_Toc75875804"/>
      <w:r>
        <w:rPr>
          <w:rStyle w:val="CharSectno"/>
        </w:rPr>
        <w:t>234</w:t>
      </w:r>
      <w:r>
        <w:t>.</w:t>
      </w:r>
      <w:r>
        <w:tab/>
        <w:t>Tampering with a speed limiting device</w:t>
      </w:r>
      <w:bookmarkEnd w:id="418"/>
    </w:p>
    <w:p w:rsidR="006724FB" w:rsidRDefault="006724FB">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rsidR="006724FB" w:rsidRDefault="006724FB">
      <w:pPr>
        <w:pStyle w:val="Penstart"/>
      </w:pPr>
      <w:r>
        <w:tab/>
        <w:t>Penalty: a fine of 20 PU.</w:t>
      </w:r>
    </w:p>
    <w:p w:rsidR="006724FB" w:rsidRDefault="006724FB">
      <w:pPr>
        <w:pStyle w:val="Penstart"/>
      </w:pPr>
      <w:r>
        <w:tab/>
        <w:t>Modified penalty: 5 PU.</w:t>
      </w:r>
    </w:p>
    <w:p w:rsidR="006724FB" w:rsidRDefault="006724FB">
      <w:pPr>
        <w:pStyle w:val="Heading5"/>
      </w:pPr>
      <w:bookmarkStart w:id="419" w:name="_Toc75875805"/>
      <w:r>
        <w:rPr>
          <w:rStyle w:val="CharSectno"/>
        </w:rPr>
        <w:lastRenderedPageBreak/>
        <w:t>235</w:t>
      </w:r>
      <w:r>
        <w:t>.</w:t>
      </w:r>
      <w:r>
        <w:tab/>
        <w:t>Alteration of vehicles</w:t>
      </w:r>
      <w:bookmarkEnd w:id="419"/>
    </w:p>
    <w:p w:rsidR="006724FB" w:rsidRDefault="006724FB">
      <w:pPr>
        <w:pStyle w:val="Subsection"/>
        <w:keepNext/>
        <w:keepLines/>
      </w:pPr>
      <w:r>
        <w:tab/>
        <w:t>(1)</w:t>
      </w:r>
      <w:r>
        <w:tab/>
        <w:t xml:space="preserve">In this regulation — </w:t>
      </w:r>
    </w:p>
    <w:p w:rsidR="006724FB" w:rsidRDefault="006724FB">
      <w:pPr>
        <w:pStyle w:val="Defstart"/>
      </w:pPr>
      <w:r>
        <w:tab/>
      </w:r>
      <w:r>
        <w:rPr>
          <w:rStyle w:val="CharDefText"/>
        </w:rPr>
        <w:t>alcohol interlock</w:t>
      </w:r>
      <w:r>
        <w:t xml:space="preserve"> has the meaning given in the </w:t>
      </w:r>
      <w:r>
        <w:rPr>
          <w:i/>
        </w:rPr>
        <w:t xml:space="preserve">Road Traffic (Authorisation to Drive) Act 2008 </w:t>
      </w:r>
      <w:r>
        <w:t>section 5A(1);</w:t>
      </w:r>
    </w:p>
    <w:p w:rsidR="006724FB" w:rsidRDefault="006724FB">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rsidR="006724FB" w:rsidRDefault="006724FB">
      <w:pPr>
        <w:pStyle w:val="Subsection"/>
        <w:keepNext/>
      </w:pPr>
      <w:r>
        <w:tab/>
        <w:t>(2)</w:t>
      </w:r>
      <w:r>
        <w:tab/>
        <w:t xml:space="preserve">A person must not, without the approval of the CEO, alter a car or a derivative of a car from — </w:t>
      </w:r>
    </w:p>
    <w:p w:rsidR="006724FB" w:rsidRDefault="006724FB">
      <w:pPr>
        <w:pStyle w:val="Indenta"/>
      </w:pPr>
      <w:r>
        <w:tab/>
        <w:t>(a)</w:t>
      </w:r>
      <w:r>
        <w:tab/>
        <w:t>the manufacturer’s specifications; or</w:t>
      </w:r>
    </w:p>
    <w:p w:rsidR="006724FB" w:rsidRDefault="006724FB">
      <w:pPr>
        <w:pStyle w:val="Indenta"/>
        <w:keepNext/>
      </w:pPr>
      <w:r>
        <w:tab/>
        <w:t>(b)</w:t>
      </w:r>
      <w:r>
        <w:tab/>
        <w:t>its form when it was first licensed, in regard to any part of its construction, equipment or fittings that was effected, manufactured or constructed in accordance with an ADR by making an alteration mentioned in the Table.</w:t>
      </w:r>
    </w:p>
    <w:p w:rsidR="006724FB" w:rsidRDefault="006724FB">
      <w:pPr>
        <w:pStyle w:val="Penstart"/>
      </w:pPr>
      <w:r>
        <w:tab/>
        <w:t>Penalty: a fine of 16 PU.</w:t>
      </w:r>
    </w:p>
    <w:p w:rsidR="006724FB" w:rsidRDefault="006724FB">
      <w:pPr>
        <w:pStyle w:val="Penstart"/>
        <w:rPr>
          <w:bCs/>
        </w:rPr>
      </w:pPr>
      <w:r>
        <w:tab/>
        <w:t>Modified penalty: 2 PU.</w:t>
      </w:r>
    </w:p>
    <w:p w:rsidR="006724FB" w:rsidRDefault="006724FB">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rsidR="006724FB">
        <w:trPr>
          <w:tblHeader/>
        </w:trPr>
        <w:tc>
          <w:tcPr>
            <w:tcW w:w="567" w:type="dxa"/>
            <w:tcBorders>
              <w:top w:val="single" w:sz="4" w:space="0" w:color="auto"/>
              <w:bottom w:val="single" w:sz="4" w:space="0" w:color="auto"/>
            </w:tcBorders>
          </w:tcPr>
          <w:p w:rsidR="006724FB" w:rsidRDefault="006724FB">
            <w:pPr>
              <w:pStyle w:val="TableNAm"/>
              <w:rPr>
                <w:b/>
              </w:rPr>
            </w:pPr>
          </w:p>
        </w:tc>
        <w:tc>
          <w:tcPr>
            <w:tcW w:w="5528" w:type="dxa"/>
            <w:tcBorders>
              <w:top w:val="single" w:sz="4" w:space="0" w:color="auto"/>
              <w:bottom w:val="single" w:sz="4" w:space="0" w:color="auto"/>
            </w:tcBorders>
          </w:tcPr>
          <w:p w:rsidR="006724FB" w:rsidRDefault="006724FB">
            <w:pPr>
              <w:pStyle w:val="TableNAm"/>
              <w:rPr>
                <w:b/>
              </w:rPr>
            </w:pPr>
            <w:r>
              <w:rPr>
                <w:b/>
              </w:rPr>
              <w:t>Alteration</w:t>
            </w:r>
          </w:p>
        </w:tc>
      </w:tr>
      <w:tr w:rsidR="006724FB">
        <w:tc>
          <w:tcPr>
            <w:tcW w:w="567" w:type="dxa"/>
            <w:tcBorders>
              <w:top w:val="single" w:sz="4" w:space="0" w:color="auto"/>
            </w:tcBorders>
          </w:tcPr>
          <w:p w:rsidR="006724FB" w:rsidRDefault="006724FB">
            <w:pPr>
              <w:pStyle w:val="TableNAm"/>
            </w:pPr>
            <w:r>
              <w:t>1.</w:t>
            </w:r>
          </w:p>
        </w:tc>
        <w:tc>
          <w:tcPr>
            <w:tcW w:w="5528" w:type="dxa"/>
            <w:tcBorders>
              <w:top w:val="single" w:sz="4" w:space="0" w:color="auto"/>
            </w:tcBorders>
          </w:tcPr>
          <w:p w:rsidR="006724FB" w:rsidRDefault="006724FB">
            <w:pPr>
              <w:pStyle w:val="TableNAm"/>
            </w:pPr>
            <w:r>
              <w:t>Fitting an engine of greater displacement volume than an engine that was available as an option for the vehicle with the same braking system.</w:t>
            </w:r>
          </w:p>
        </w:tc>
      </w:tr>
      <w:tr w:rsidR="006724FB">
        <w:tc>
          <w:tcPr>
            <w:tcW w:w="567" w:type="dxa"/>
          </w:tcPr>
          <w:p w:rsidR="006724FB" w:rsidRDefault="006724FB">
            <w:pPr>
              <w:pStyle w:val="TableNAm"/>
            </w:pPr>
            <w:r>
              <w:t>2.</w:t>
            </w:r>
          </w:p>
        </w:tc>
        <w:tc>
          <w:tcPr>
            <w:tcW w:w="5528" w:type="dxa"/>
          </w:tcPr>
          <w:p w:rsidR="006724FB" w:rsidRDefault="006724FB">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rsidR="006724FB">
        <w:trPr>
          <w:cantSplit/>
        </w:trPr>
        <w:tc>
          <w:tcPr>
            <w:tcW w:w="567" w:type="dxa"/>
          </w:tcPr>
          <w:p w:rsidR="006724FB" w:rsidRDefault="006724FB">
            <w:pPr>
              <w:pStyle w:val="TableNAm"/>
            </w:pPr>
            <w:r>
              <w:lastRenderedPageBreak/>
              <w:t>3.</w:t>
            </w:r>
          </w:p>
        </w:tc>
        <w:tc>
          <w:tcPr>
            <w:tcW w:w="5528" w:type="dxa"/>
          </w:tcPr>
          <w:p w:rsidR="006724FB" w:rsidRDefault="006724FB">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rsidR="006724FB">
        <w:tc>
          <w:tcPr>
            <w:tcW w:w="567" w:type="dxa"/>
          </w:tcPr>
          <w:p w:rsidR="006724FB" w:rsidRDefault="006724FB">
            <w:pPr>
              <w:pStyle w:val="TableNAm"/>
            </w:pPr>
            <w:r>
              <w:t>4.</w:t>
            </w:r>
          </w:p>
        </w:tc>
        <w:tc>
          <w:tcPr>
            <w:tcW w:w="5528" w:type="dxa"/>
          </w:tcPr>
          <w:p w:rsidR="006724FB" w:rsidRDefault="006724FB">
            <w:pPr>
              <w:pStyle w:val="TableNAm"/>
            </w:pPr>
            <w:r>
              <w:t>Widening the wheel track of front or rear wheels by more than 25 mm beyond the maximum specified by the vehicle manufacturer.</w:t>
            </w:r>
          </w:p>
        </w:tc>
      </w:tr>
      <w:tr w:rsidR="006724FB">
        <w:tc>
          <w:tcPr>
            <w:tcW w:w="567" w:type="dxa"/>
          </w:tcPr>
          <w:p w:rsidR="006724FB" w:rsidRDefault="006724FB">
            <w:pPr>
              <w:pStyle w:val="TableNAm"/>
            </w:pPr>
            <w:r>
              <w:t>5.</w:t>
            </w:r>
          </w:p>
        </w:tc>
        <w:tc>
          <w:tcPr>
            <w:tcW w:w="5528" w:type="dxa"/>
          </w:tcPr>
          <w:p w:rsidR="006724FB" w:rsidRDefault="006724FB">
            <w:pPr>
              <w:pStyle w:val="TableNAm"/>
            </w:pPr>
            <w:r>
              <w:t>Fitting spacers between wheels and hubs additional to any provided by the vehicle manufacturer.</w:t>
            </w:r>
          </w:p>
        </w:tc>
      </w:tr>
      <w:tr w:rsidR="006724FB">
        <w:tc>
          <w:tcPr>
            <w:tcW w:w="567" w:type="dxa"/>
          </w:tcPr>
          <w:p w:rsidR="006724FB" w:rsidRDefault="006724FB">
            <w:pPr>
              <w:pStyle w:val="TableNAm"/>
            </w:pPr>
            <w:r>
              <w:t>6.</w:t>
            </w:r>
          </w:p>
        </w:tc>
        <w:tc>
          <w:tcPr>
            <w:tcW w:w="5528" w:type="dxa"/>
          </w:tcPr>
          <w:p w:rsidR="006724FB" w:rsidRDefault="006724FB">
            <w:pPr>
              <w:pStyle w:val="TableNAm"/>
            </w:pPr>
            <w:r>
              <w:t>Fitting wheel nuts which do not engage the thread of the wheel studs for at least the same length as the nuts provided by the vehicle manufacturer, or wheel nuts which do not match with the taper on the wheel.</w:t>
            </w:r>
          </w:p>
        </w:tc>
      </w:tr>
      <w:tr w:rsidR="006724FB">
        <w:tc>
          <w:tcPr>
            <w:tcW w:w="567" w:type="dxa"/>
          </w:tcPr>
          <w:p w:rsidR="006724FB" w:rsidRDefault="006724FB">
            <w:pPr>
              <w:pStyle w:val="TableNAm"/>
            </w:pPr>
            <w:r>
              <w:t>7.</w:t>
            </w:r>
          </w:p>
        </w:tc>
        <w:tc>
          <w:tcPr>
            <w:tcW w:w="5528" w:type="dxa"/>
          </w:tcPr>
          <w:p w:rsidR="006724FB" w:rsidRDefault="006724FB">
            <w:pPr>
              <w:pStyle w:val="TableNAm"/>
            </w:pPr>
            <w:r>
              <w:t>Fitting tyres other than those appropriate to the wheel rim as specified in the Tyre and Rim Standards Manual issued by the Tyre and Rim Association.</w:t>
            </w:r>
          </w:p>
        </w:tc>
      </w:tr>
      <w:tr w:rsidR="006724FB">
        <w:tc>
          <w:tcPr>
            <w:tcW w:w="567" w:type="dxa"/>
          </w:tcPr>
          <w:p w:rsidR="006724FB" w:rsidRDefault="006724FB">
            <w:pPr>
              <w:pStyle w:val="TableNAm"/>
              <w:widowControl w:val="0"/>
            </w:pPr>
            <w:r>
              <w:t>8.</w:t>
            </w:r>
          </w:p>
        </w:tc>
        <w:tc>
          <w:tcPr>
            <w:tcW w:w="5528" w:type="dxa"/>
          </w:tcPr>
          <w:p w:rsidR="006724FB" w:rsidRDefault="006724FB">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rsidR="006724FB">
        <w:tc>
          <w:tcPr>
            <w:tcW w:w="567" w:type="dxa"/>
          </w:tcPr>
          <w:p w:rsidR="006724FB" w:rsidRDefault="006724FB">
            <w:pPr>
              <w:pStyle w:val="TableNAm"/>
              <w:widowControl w:val="0"/>
            </w:pPr>
            <w:r>
              <w:t>9.</w:t>
            </w:r>
          </w:p>
        </w:tc>
        <w:tc>
          <w:tcPr>
            <w:tcW w:w="5528" w:type="dxa"/>
          </w:tcPr>
          <w:p w:rsidR="006724FB" w:rsidRDefault="006724FB">
            <w:pPr>
              <w:pStyle w:val="TableNAm"/>
              <w:widowControl w:val="0"/>
            </w:pPr>
            <w:r>
              <w:t>Making modifications to an axle, axles or suspension so that any part of the vehicle other than the tyre or rim will contact a road surface in the case of the deflation of any tyre.</w:t>
            </w:r>
          </w:p>
        </w:tc>
      </w:tr>
      <w:tr w:rsidR="006724FB">
        <w:tc>
          <w:tcPr>
            <w:tcW w:w="567" w:type="dxa"/>
          </w:tcPr>
          <w:p w:rsidR="006724FB" w:rsidRDefault="006724FB">
            <w:pPr>
              <w:pStyle w:val="TableNAm"/>
            </w:pPr>
            <w:r>
              <w:t>10.</w:t>
            </w:r>
          </w:p>
        </w:tc>
        <w:tc>
          <w:tcPr>
            <w:tcW w:w="5528" w:type="dxa"/>
          </w:tcPr>
          <w:p w:rsidR="006724FB" w:rsidRDefault="006724FB">
            <w:pPr>
              <w:pStyle w:val="TableNAm"/>
            </w:pPr>
            <w:r>
              <w:t>Welding or heating any axle, stub axle, steering arm or steering knuckle support.</w:t>
            </w:r>
          </w:p>
        </w:tc>
      </w:tr>
      <w:tr w:rsidR="006724FB">
        <w:tc>
          <w:tcPr>
            <w:tcW w:w="567" w:type="dxa"/>
            <w:tcBorders>
              <w:bottom w:val="single" w:sz="4" w:space="0" w:color="auto"/>
            </w:tcBorders>
          </w:tcPr>
          <w:p w:rsidR="006724FB" w:rsidRDefault="006724FB">
            <w:pPr>
              <w:pStyle w:val="TableNAm"/>
            </w:pPr>
            <w:r>
              <w:t>11.</w:t>
            </w:r>
          </w:p>
        </w:tc>
        <w:tc>
          <w:tcPr>
            <w:tcW w:w="5528" w:type="dxa"/>
            <w:tcBorders>
              <w:bottom w:val="single" w:sz="4" w:space="0" w:color="auto"/>
            </w:tcBorders>
          </w:tcPr>
          <w:p w:rsidR="006724FB" w:rsidRDefault="006724FB">
            <w:pPr>
              <w:pStyle w:val="TableNAm"/>
            </w:pPr>
            <w:r>
              <w:t>Lengthening or shortening the chassis frame, or the body structure in the case of a vehicle of mono (chassis</w:t>
            </w:r>
            <w:r>
              <w:noBreakHyphen/>
              <w:t>less) construction.</w:t>
            </w:r>
          </w:p>
        </w:tc>
      </w:tr>
    </w:tbl>
    <w:p w:rsidR="006724FB" w:rsidRDefault="006724FB">
      <w:pPr>
        <w:pStyle w:val="Subsection"/>
        <w:keepNext/>
        <w:keepLines/>
      </w:pPr>
      <w:r>
        <w:lastRenderedPageBreak/>
        <w:tab/>
        <w:t>(3)</w:t>
      </w:r>
      <w:r>
        <w:tab/>
        <w:t xml:space="preserve">A person must not, without the approval of the CEO, alter a motor vehicle or trailer not being a car or a derivative of a car from — </w:t>
      </w:r>
    </w:p>
    <w:p w:rsidR="006724FB" w:rsidRDefault="006724FB">
      <w:pPr>
        <w:pStyle w:val="Indenta"/>
        <w:keepNext/>
        <w:keepLines/>
      </w:pPr>
      <w:r>
        <w:tab/>
        <w:t>(a)</w:t>
      </w:r>
      <w:r>
        <w:tab/>
        <w:t>the manufacturer’s specifications; or</w:t>
      </w:r>
    </w:p>
    <w:p w:rsidR="006724FB" w:rsidRDefault="006724FB">
      <w:pPr>
        <w:pStyle w:val="Indenta"/>
        <w:keepNext/>
      </w:pPr>
      <w:r>
        <w:tab/>
        <w:t>(b)</w:t>
      </w:r>
      <w:r>
        <w:tab/>
        <w:t>its form when it was first licensed, in regard to chassis, frame, wheels, suspension, steering, brakes, axles, engine, body structure or exhaust system.</w:t>
      </w:r>
    </w:p>
    <w:p w:rsidR="006724FB" w:rsidRDefault="006724FB">
      <w:pPr>
        <w:pStyle w:val="Penstart"/>
      </w:pPr>
      <w:r>
        <w:tab/>
        <w:t>Penalty: a fine of 16 PU.</w:t>
      </w:r>
    </w:p>
    <w:p w:rsidR="006724FB" w:rsidRDefault="006724FB">
      <w:pPr>
        <w:pStyle w:val="Penstart"/>
      </w:pPr>
      <w:r>
        <w:tab/>
        <w:t>Modified penalty: 2 PU.</w:t>
      </w:r>
    </w:p>
    <w:p w:rsidR="006724FB" w:rsidRDefault="006724FB">
      <w:pPr>
        <w:pStyle w:val="Subsection"/>
      </w:pPr>
      <w:r>
        <w:tab/>
        <w:t>(3A)</w:t>
      </w:r>
      <w:r>
        <w:tab/>
        <w:t>Despite subregulations (2) and (3), a person may alter a motor vehicle by installing an alcohol interlock without the approval of the CEO.</w:t>
      </w:r>
    </w:p>
    <w:p w:rsidR="006724FB" w:rsidRDefault="006724FB">
      <w:pPr>
        <w:pStyle w:val="Subsection"/>
      </w:pPr>
      <w:r>
        <w:tab/>
        <w:t>(4)</w:t>
      </w:r>
      <w:r>
        <w:tab/>
        <w:t xml:space="preserve">If the CEO approves of any modifications under subregulation (2) or (3), a vehicle modification permit must be issued by the CEO, upon receipt by the CEO of a fee of </w:t>
      </w:r>
      <w:r w:rsidR="00857959">
        <w:t>$73.80</w:t>
      </w:r>
      <w:r>
        <w:t>.</w:t>
      </w:r>
    </w:p>
    <w:p w:rsidR="006724FB" w:rsidRDefault="006724FB">
      <w:pPr>
        <w:pStyle w:val="Subsection"/>
        <w:keepNext/>
      </w:pPr>
      <w:r>
        <w:tab/>
        <w:t>(5)</w:t>
      </w:r>
      <w:r>
        <w:tab/>
        <w:t>A person must not change or alter the body or equipment of a motor vehicle in a way that adversely affects the safe operation of the vehicle.</w:t>
      </w:r>
    </w:p>
    <w:p w:rsidR="006724FB" w:rsidRDefault="006724FB">
      <w:pPr>
        <w:pStyle w:val="Penstart"/>
      </w:pPr>
      <w:r>
        <w:tab/>
        <w:t>Penalty: a fine of 16 PU.</w:t>
      </w:r>
    </w:p>
    <w:p w:rsidR="006724FB" w:rsidRDefault="006724FB">
      <w:pPr>
        <w:pStyle w:val="Penstart"/>
      </w:pPr>
      <w:r>
        <w:tab/>
        <w:t>Modified penalty: 2 PU.</w:t>
      </w:r>
    </w:p>
    <w:p w:rsidR="006724FB" w:rsidRDefault="006724FB">
      <w:pPr>
        <w:pStyle w:val="Subsection"/>
        <w:keepNext/>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rsidR="006724FB" w:rsidRDefault="006724FB">
      <w:pPr>
        <w:pStyle w:val="Penstart"/>
      </w:pPr>
      <w:r>
        <w:tab/>
        <w:t>Penalty: a fine of 16 PU.</w:t>
      </w:r>
    </w:p>
    <w:p w:rsidR="006724FB" w:rsidRDefault="006724FB">
      <w:pPr>
        <w:pStyle w:val="Penstart"/>
      </w:pPr>
      <w:r>
        <w:tab/>
        <w:t>Modified penalty: 2 PU.</w:t>
      </w:r>
    </w:p>
    <w:p w:rsidR="000D230E" w:rsidRDefault="000D230E" w:rsidP="000D230E">
      <w:pPr>
        <w:pStyle w:val="Subsection"/>
      </w:pPr>
      <w:r>
        <w:tab/>
        <w:t>(6A)</w:t>
      </w:r>
      <w:r>
        <w:tab/>
        <w:t xml:space="preserve">On receiving notification under subregulation (6), the CEO may, for the purposes of </w:t>
      </w:r>
      <w:r w:rsidRPr="001012B2">
        <w:t>section</w:t>
      </w:r>
      <w:r>
        <w:t> 9(1)(c), direct the responsible person for the vehicle to present the vehicle for inspection within 28 days.</w:t>
      </w:r>
    </w:p>
    <w:p w:rsidR="006724FB" w:rsidRDefault="006724FB">
      <w:pPr>
        <w:pStyle w:val="Subsection"/>
        <w:keepNext/>
        <w:rPr>
          <w:snapToGrid w:val="0"/>
        </w:rPr>
      </w:pPr>
      <w:r>
        <w:rPr>
          <w:snapToGrid w:val="0"/>
        </w:rPr>
        <w:lastRenderedPageBreak/>
        <w:tab/>
      </w:r>
      <w:r>
        <w:t>(7)</w:t>
      </w:r>
      <w:r>
        <w:rPr>
          <w:snapToGrid w:val="0"/>
        </w:rPr>
        <w:tab/>
        <w:t>A person must not, without the approval of the CEO, remove a compliance plate from a vehicle or deface or modify a compliance plate.</w:t>
      </w:r>
    </w:p>
    <w:p w:rsidR="006724FB" w:rsidRDefault="006724FB">
      <w:pPr>
        <w:pStyle w:val="Penstart"/>
      </w:pPr>
      <w:r>
        <w:tab/>
        <w:t>Penalty for an offence under this subregulation: a fine of 16 PU.</w:t>
      </w:r>
    </w:p>
    <w:p w:rsidR="006724FB" w:rsidRDefault="006724FB">
      <w:pPr>
        <w:pStyle w:val="Penstart"/>
      </w:pPr>
      <w:r>
        <w:tab/>
        <w:t>Modified penalty for an offence under this subregulation: 2 PU.</w:t>
      </w:r>
    </w:p>
    <w:p w:rsidR="006724FB" w:rsidRDefault="006724FB">
      <w:pPr>
        <w:pStyle w:val="Footnotesection"/>
      </w:pPr>
      <w:r>
        <w:tab/>
        <w:t>[Regulation 235 amended: Gazette 12 Jun 2015 p. 2040; 14 Jun 2016 p. 2000; 20 Sep 2016 p. 3983; 23 Jun 2017 p. 3268</w:t>
      </w:r>
      <w:r>
        <w:noBreakHyphen/>
        <w:t>9; 22 Jun 2018 p. 2192; 31 May 2019 p. 1726; SL 2020/74 r. 9</w:t>
      </w:r>
      <w:r w:rsidR="000D230E">
        <w:t>; SL 2021/81 r. 10</w:t>
      </w:r>
      <w:r w:rsidR="00857959">
        <w:t>; SL 2021/92 r. 20</w:t>
      </w:r>
      <w:r>
        <w:t>.]</w:t>
      </w:r>
    </w:p>
    <w:p w:rsidR="006724FB" w:rsidRDefault="006724FB">
      <w:pPr>
        <w:pStyle w:val="Heading3"/>
        <w:keepLines/>
        <w:widowControl w:val="0"/>
        <w:spacing w:before="260"/>
      </w:pPr>
      <w:bookmarkStart w:id="420" w:name="_Toc75419883"/>
      <w:bookmarkStart w:id="421" w:name="_Toc75427218"/>
      <w:bookmarkStart w:id="422" w:name="_Toc75872634"/>
      <w:bookmarkStart w:id="423" w:name="_Toc75875806"/>
      <w:r>
        <w:rPr>
          <w:rStyle w:val="CharDivNo"/>
        </w:rPr>
        <w:t>Division 4</w:t>
      </w:r>
      <w:r>
        <w:t> — </w:t>
      </w:r>
      <w:r>
        <w:rPr>
          <w:rStyle w:val="CharDivText"/>
        </w:rPr>
        <w:t>Compliance with Australian Design Rules and adopted standards</w:t>
      </w:r>
      <w:bookmarkEnd w:id="420"/>
      <w:bookmarkEnd w:id="421"/>
      <w:bookmarkEnd w:id="422"/>
      <w:bookmarkEnd w:id="423"/>
    </w:p>
    <w:p w:rsidR="006724FB" w:rsidRDefault="006724FB">
      <w:pPr>
        <w:pStyle w:val="Heading5"/>
        <w:rPr>
          <w:rStyle w:val="DraftersNotes"/>
          <w:b/>
          <w:bCs/>
          <w:iCs/>
        </w:rPr>
      </w:pPr>
      <w:bookmarkStart w:id="424" w:name="_Toc75875807"/>
      <w:r>
        <w:rPr>
          <w:rStyle w:val="CharSectno"/>
        </w:rPr>
        <w:t>236</w:t>
      </w:r>
      <w:r>
        <w:t>.</w:t>
      </w:r>
      <w:r>
        <w:tab/>
        <w:t>Compliance with second edition ADRs</w:t>
      </w:r>
      <w:bookmarkEnd w:id="424"/>
    </w:p>
    <w:p w:rsidR="006724FB" w:rsidRDefault="006724FB">
      <w:pPr>
        <w:pStyle w:val="Subsection"/>
        <w:keepNext/>
      </w:pPr>
      <w:r>
        <w:tab/>
        <w:t>(1)</w:t>
      </w:r>
      <w:r>
        <w:tab/>
        <w:t xml:space="preserve">In this regulation — </w:t>
      </w:r>
    </w:p>
    <w:p w:rsidR="006724FB" w:rsidRDefault="006724FB">
      <w:pPr>
        <w:pStyle w:val="Defstart"/>
      </w:pPr>
      <w:r>
        <w:tab/>
      </w:r>
      <w:r>
        <w:rPr>
          <w:rStyle w:val="CharDefText"/>
        </w:rPr>
        <w:t>vehicle</w:t>
      </w:r>
      <w:r>
        <w:t xml:space="preserve"> means a motor vehicle, trailer or combination.</w:t>
      </w:r>
    </w:p>
    <w:p w:rsidR="006724FB" w:rsidRDefault="006724FB">
      <w:pPr>
        <w:pStyle w:val="Subsection"/>
      </w:pPr>
      <w:r>
        <w:tab/>
        <w:t>(2)</w:t>
      </w:r>
      <w:r>
        <w:tab/>
        <w:t>If a second edition ADR recommends that the ADR should apply to the design and construction of a vehicle, the vehicle must comply with the ADR.</w:t>
      </w:r>
    </w:p>
    <w:p w:rsidR="006724FB" w:rsidRDefault="006724FB">
      <w:pPr>
        <w:pStyle w:val="Subsection"/>
        <w:keepNext/>
      </w:pPr>
      <w:r>
        <w:tab/>
        <w:t>(3)</w:t>
      </w:r>
      <w:r>
        <w:tab/>
        <w:t>If a second edition ADR contains a requirement for a type of equipment fitted to a vehicle built on or after a stated time, any equipment of the same type fitted to the vehicle after it is built must comply with —</w:t>
      </w:r>
    </w:p>
    <w:p w:rsidR="006724FB" w:rsidRDefault="006724FB">
      <w:pPr>
        <w:pStyle w:val="Indenta"/>
      </w:pPr>
      <w:r>
        <w:tab/>
        <w:t>(a)</w:t>
      </w:r>
      <w:r>
        <w:tab/>
        <w:t>the requirement as in force when the vehicle was built; or</w:t>
      </w:r>
    </w:p>
    <w:p w:rsidR="006724FB" w:rsidRDefault="006724FB">
      <w:pPr>
        <w:pStyle w:val="Indenta"/>
        <w:keepNext/>
      </w:pPr>
      <w:r>
        <w:tab/>
        <w:t>(b)</w:t>
      </w:r>
      <w:r>
        <w:tab/>
        <w:t>if the requirement is amended after the vehicle is built and before the equipment is fitted — the requirement as in force —</w:t>
      </w:r>
    </w:p>
    <w:p w:rsidR="006724FB" w:rsidRDefault="006724FB">
      <w:pPr>
        <w:pStyle w:val="Indenti"/>
      </w:pPr>
      <w:r>
        <w:tab/>
        <w:t>(i)</w:t>
      </w:r>
      <w:r>
        <w:tab/>
        <w:t>when the vehicle was built; or</w:t>
      </w:r>
    </w:p>
    <w:p w:rsidR="006724FB" w:rsidRDefault="006724FB">
      <w:pPr>
        <w:pStyle w:val="Indenti"/>
      </w:pPr>
      <w:r>
        <w:tab/>
        <w:t>(ii)</w:t>
      </w:r>
      <w:r>
        <w:tab/>
        <w:t>when the equipment was fitted; or</w:t>
      </w:r>
    </w:p>
    <w:p w:rsidR="006724FB" w:rsidRDefault="006724FB">
      <w:pPr>
        <w:pStyle w:val="Indenti"/>
      </w:pPr>
      <w:r>
        <w:tab/>
        <w:t>(iii)</w:t>
      </w:r>
      <w:r>
        <w:tab/>
        <w:t>at any time between when the vehicle was built and the equipment was fitted.</w:t>
      </w:r>
    </w:p>
    <w:p w:rsidR="006724FB" w:rsidRDefault="006724FB">
      <w:pPr>
        <w:pStyle w:val="Subsection"/>
        <w:keepNext/>
      </w:pPr>
      <w:r>
        <w:lastRenderedPageBreak/>
        <w:tab/>
        <w:t>(4)</w:t>
      </w:r>
      <w:r>
        <w:tab/>
        <w:t>However, a vehicle, or equipment fitted to a vehicle, need not comply with a recommendation or requirement of a second edition ADR if —</w:t>
      </w:r>
    </w:p>
    <w:p w:rsidR="006724FB" w:rsidRDefault="006724FB">
      <w:pPr>
        <w:pStyle w:val="Indenta"/>
      </w:pPr>
      <w:r>
        <w:tab/>
        <w:t>(a)</w:t>
      </w:r>
      <w:r>
        <w:tab/>
        <w:t>the recommendation or requirement is replaced by, or is inconsistent with, a requirement of a third edition ADR applying to the vehicle or equipment; and</w:t>
      </w:r>
    </w:p>
    <w:p w:rsidR="006724FB" w:rsidRDefault="006724FB">
      <w:pPr>
        <w:pStyle w:val="Indenta"/>
      </w:pPr>
      <w:r>
        <w:tab/>
        <w:t>(b)</w:t>
      </w:r>
      <w:r>
        <w:tab/>
        <w:t>the vehicle or equipment complies with the requirement of the third edition ADR.</w:t>
      </w:r>
    </w:p>
    <w:p w:rsidR="006724FB" w:rsidRDefault="006724FB">
      <w:pPr>
        <w:pStyle w:val="Subsection"/>
      </w:pPr>
      <w:r>
        <w:tab/>
        <w:t>(5)</w:t>
      </w:r>
      <w:r>
        <w:tab/>
        <w:t>If a second edition ADR allows a vehicle built on or after a stated time to be fitted with equipment, a vehicle built before the time may also be fitted with the equipment.</w:t>
      </w:r>
    </w:p>
    <w:p w:rsidR="006724FB" w:rsidRDefault="006724FB">
      <w:pPr>
        <w:pStyle w:val="Heading5"/>
      </w:pPr>
      <w:bookmarkStart w:id="425" w:name="_Toc75875808"/>
      <w:r>
        <w:rPr>
          <w:rStyle w:val="CharSectno"/>
        </w:rPr>
        <w:t>237</w:t>
      </w:r>
      <w:r>
        <w:t>.</w:t>
      </w:r>
      <w:r>
        <w:tab/>
        <w:t>Interpretation of certain second edition ADRs</w:t>
      </w:r>
      <w:bookmarkEnd w:id="425"/>
    </w:p>
    <w:p w:rsidR="006724FB" w:rsidRDefault="006724FB">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rsidR="006724FB" w:rsidRDefault="006724FB">
      <w:pPr>
        <w:pStyle w:val="Indenta"/>
      </w:pPr>
      <w:r>
        <w:tab/>
        <w:t>(a)</w:t>
      </w:r>
      <w:r>
        <w:tab/>
        <w:t>ADR 8 Safety Glass;</w:t>
      </w:r>
    </w:p>
    <w:p w:rsidR="006724FB" w:rsidRDefault="006724FB">
      <w:pPr>
        <w:pStyle w:val="Indenta"/>
      </w:pPr>
      <w:r>
        <w:tab/>
        <w:t>(b)</w:t>
      </w:r>
      <w:r>
        <w:tab/>
        <w:t>ADR 12 Glare Reduction in Field of View;</w:t>
      </w:r>
    </w:p>
    <w:p w:rsidR="006724FB" w:rsidRDefault="006724FB">
      <w:pPr>
        <w:pStyle w:val="Indenta"/>
      </w:pPr>
      <w:r>
        <w:tab/>
        <w:t>(c)</w:t>
      </w:r>
      <w:r>
        <w:tab/>
        <w:t>ADR 14 Rear Vision Mirrors;</w:t>
      </w:r>
    </w:p>
    <w:p w:rsidR="006724FB" w:rsidRDefault="006724FB">
      <w:pPr>
        <w:pStyle w:val="Indenta"/>
      </w:pPr>
      <w:r>
        <w:tab/>
        <w:t>(d)</w:t>
      </w:r>
      <w:r>
        <w:tab/>
        <w:t>ADR 16 Windscreen Wipers and Washers;</w:t>
      </w:r>
    </w:p>
    <w:p w:rsidR="006724FB" w:rsidRDefault="006724FB">
      <w:pPr>
        <w:pStyle w:val="Indenta"/>
      </w:pPr>
      <w:r>
        <w:tab/>
        <w:t>(e)</w:t>
      </w:r>
      <w:r>
        <w:tab/>
        <w:t>ADRs 18 and 18A Location and Visibility of Instruments;</w:t>
      </w:r>
    </w:p>
    <w:p w:rsidR="006724FB" w:rsidRDefault="006724FB">
      <w:pPr>
        <w:pStyle w:val="Indenta"/>
      </w:pPr>
      <w:r>
        <w:tab/>
        <w:t>(f)</w:t>
      </w:r>
      <w:r>
        <w:tab/>
        <w:t>ADRs 35 and 35A Commercial Vehicle Braking Systems.</w:t>
      </w:r>
    </w:p>
    <w:p w:rsidR="006724FB" w:rsidRDefault="006724FB">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rsidR="006724FB">
        <w:trPr>
          <w:cantSplit/>
          <w:tblHeader/>
        </w:trPr>
        <w:tc>
          <w:tcPr>
            <w:tcW w:w="3118" w:type="dxa"/>
            <w:tcBorders>
              <w:top w:val="single" w:sz="4" w:space="0" w:color="auto"/>
              <w:bottom w:val="single" w:sz="4" w:space="0" w:color="auto"/>
            </w:tcBorders>
          </w:tcPr>
          <w:p w:rsidR="006724FB" w:rsidRDefault="006724FB">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rsidR="006724FB" w:rsidRDefault="006724FB">
            <w:pPr>
              <w:pStyle w:val="TableNAm"/>
              <w:tabs>
                <w:tab w:val="clear" w:pos="567"/>
                <w:tab w:val="left" w:leader="dot" w:pos="2817"/>
              </w:tabs>
              <w:spacing w:before="60"/>
              <w:rPr>
                <w:b/>
                <w:bCs/>
                <w:sz w:val="18"/>
              </w:rPr>
            </w:pPr>
            <w:r>
              <w:rPr>
                <w:b/>
                <w:bCs/>
                <w:sz w:val="18"/>
              </w:rPr>
              <w:t>These regulations</w:t>
            </w:r>
          </w:p>
        </w:tc>
      </w:tr>
      <w:tr w:rsidR="006724FB">
        <w:trPr>
          <w:cantSplit/>
        </w:trPr>
        <w:tc>
          <w:tcPr>
            <w:tcW w:w="3118" w:type="dxa"/>
            <w:tcBorders>
              <w:top w:val="single" w:sz="4" w:space="0" w:color="auto"/>
            </w:tcBorders>
          </w:tcPr>
          <w:p w:rsidR="006724FB" w:rsidRDefault="006724FB">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rsidR="006724FB" w:rsidRDefault="006724FB">
            <w:pPr>
              <w:pStyle w:val="TableNAm"/>
              <w:tabs>
                <w:tab w:val="clear" w:pos="567"/>
                <w:tab w:val="left" w:leader="dot" w:pos="2817"/>
              </w:tabs>
              <w:spacing w:before="60"/>
              <w:rPr>
                <w:sz w:val="18"/>
              </w:rPr>
            </w:pPr>
            <w:r>
              <w:rPr>
                <w:sz w:val="18"/>
              </w:rPr>
              <w:t>low</w:t>
            </w:r>
            <w:r>
              <w:rPr>
                <w:sz w:val="18"/>
              </w:rPr>
              <w:noBreakHyphen/>
              <w:t>beam (for a headlight)</w:t>
            </w:r>
          </w:p>
        </w:tc>
      </w:tr>
      <w:tr w:rsidR="006724FB">
        <w:trPr>
          <w:cantSplit/>
        </w:trPr>
        <w:tc>
          <w:tcPr>
            <w:tcW w:w="3118" w:type="dxa"/>
          </w:tcPr>
          <w:p w:rsidR="006724FB" w:rsidRDefault="006724FB">
            <w:pPr>
              <w:pStyle w:val="TableNAm"/>
              <w:tabs>
                <w:tab w:val="clear" w:pos="567"/>
                <w:tab w:val="left" w:leader="dot" w:pos="3100"/>
              </w:tabs>
              <w:spacing w:before="60"/>
              <w:rPr>
                <w:sz w:val="18"/>
              </w:rPr>
            </w:pPr>
            <w:r>
              <w:rPr>
                <w:sz w:val="18"/>
              </w:rPr>
              <w:t>front fog lamp</w:t>
            </w:r>
            <w:r>
              <w:rPr>
                <w:sz w:val="18"/>
              </w:rPr>
              <w:tab/>
            </w:r>
          </w:p>
        </w:tc>
        <w:tc>
          <w:tcPr>
            <w:tcW w:w="2268" w:type="dxa"/>
          </w:tcPr>
          <w:p w:rsidR="006724FB" w:rsidRDefault="006724FB">
            <w:pPr>
              <w:pStyle w:val="TableNAm"/>
              <w:tabs>
                <w:tab w:val="clear" w:pos="567"/>
                <w:tab w:val="left" w:leader="dot" w:pos="2817"/>
              </w:tabs>
              <w:spacing w:before="60"/>
              <w:rPr>
                <w:sz w:val="18"/>
              </w:rPr>
            </w:pPr>
            <w:r>
              <w:rPr>
                <w:sz w:val="18"/>
              </w:rPr>
              <w:t>front fog light</w:t>
            </w:r>
          </w:p>
        </w:tc>
      </w:tr>
      <w:tr w:rsidR="006724FB">
        <w:trPr>
          <w:cantSplit/>
        </w:trPr>
        <w:tc>
          <w:tcPr>
            <w:tcW w:w="3118" w:type="dxa"/>
          </w:tcPr>
          <w:p w:rsidR="006724FB" w:rsidRDefault="006724FB">
            <w:pPr>
              <w:pStyle w:val="TableNAm"/>
              <w:tabs>
                <w:tab w:val="clear" w:pos="567"/>
                <w:tab w:val="left" w:leader="dot" w:pos="3100"/>
              </w:tabs>
              <w:spacing w:before="60"/>
              <w:rPr>
                <w:sz w:val="18"/>
              </w:rPr>
            </w:pPr>
            <w:r>
              <w:rPr>
                <w:sz w:val="18"/>
              </w:rPr>
              <w:lastRenderedPageBreak/>
              <w:t>rear fog lamp</w:t>
            </w:r>
            <w:r>
              <w:rPr>
                <w:sz w:val="18"/>
              </w:rPr>
              <w:tab/>
            </w:r>
          </w:p>
        </w:tc>
        <w:tc>
          <w:tcPr>
            <w:tcW w:w="2268" w:type="dxa"/>
          </w:tcPr>
          <w:p w:rsidR="006724FB" w:rsidRDefault="006724FB">
            <w:pPr>
              <w:pStyle w:val="TableNAm"/>
              <w:tabs>
                <w:tab w:val="clear" w:pos="567"/>
                <w:tab w:val="left" w:leader="dot" w:pos="2817"/>
              </w:tabs>
              <w:spacing w:before="60"/>
              <w:rPr>
                <w:sz w:val="18"/>
              </w:rPr>
            </w:pPr>
            <w:r>
              <w:rPr>
                <w:sz w:val="18"/>
              </w:rPr>
              <w:t>rear fog light</w:t>
            </w:r>
          </w:p>
        </w:tc>
      </w:tr>
      <w:tr w:rsidR="006724FB">
        <w:trPr>
          <w:cantSplit/>
        </w:trPr>
        <w:tc>
          <w:tcPr>
            <w:tcW w:w="3118" w:type="dxa"/>
          </w:tcPr>
          <w:p w:rsidR="006724FB" w:rsidRDefault="006724FB">
            <w:pPr>
              <w:pStyle w:val="TableNAm"/>
              <w:tabs>
                <w:tab w:val="clear" w:pos="567"/>
                <w:tab w:val="left" w:leader="dot" w:pos="3100"/>
              </w:tabs>
              <w:spacing w:before="60"/>
              <w:rPr>
                <w:sz w:val="18"/>
              </w:rPr>
            </w:pPr>
            <w:r>
              <w:rPr>
                <w:sz w:val="18"/>
              </w:rPr>
              <w:t>Wheelguard</w:t>
            </w:r>
            <w:r>
              <w:rPr>
                <w:sz w:val="18"/>
              </w:rPr>
              <w:tab/>
            </w:r>
          </w:p>
        </w:tc>
        <w:tc>
          <w:tcPr>
            <w:tcW w:w="2268" w:type="dxa"/>
          </w:tcPr>
          <w:p w:rsidR="006724FB" w:rsidRDefault="006724FB">
            <w:pPr>
              <w:pStyle w:val="TableNAm"/>
              <w:tabs>
                <w:tab w:val="clear" w:pos="567"/>
                <w:tab w:val="left" w:leader="dot" w:pos="2817"/>
              </w:tabs>
              <w:spacing w:before="60"/>
              <w:rPr>
                <w:sz w:val="18"/>
              </w:rPr>
            </w:pPr>
            <w:r>
              <w:rPr>
                <w:sz w:val="18"/>
              </w:rPr>
              <w:t>mudguard</w:t>
            </w:r>
          </w:p>
        </w:tc>
      </w:tr>
      <w:tr w:rsidR="006724FB">
        <w:trPr>
          <w:cantSplit/>
        </w:trPr>
        <w:tc>
          <w:tcPr>
            <w:tcW w:w="3118" w:type="dxa"/>
          </w:tcPr>
          <w:p w:rsidR="006724FB" w:rsidRDefault="006724FB">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rsidR="006724FB" w:rsidRDefault="006724FB">
            <w:pPr>
              <w:pStyle w:val="TableNAm"/>
              <w:tabs>
                <w:tab w:val="clear" w:pos="567"/>
                <w:tab w:val="left" w:leader="dot" w:pos="2817"/>
              </w:tabs>
              <w:spacing w:before="60"/>
              <w:rPr>
                <w:sz w:val="18"/>
              </w:rPr>
            </w:pPr>
            <w:r>
              <w:rPr>
                <w:sz w:val="18"/>
              </w:rPr>
              <w:t>high</w:t>
            </w:r>
            <w:r>
              <w:rPr>
                <w:sz w:val="18"/>
              </w:rPr>
              <w:noBreakHyphen/>
              <w:t>beam (for a headlight)</w:t>
            </w:r>
          </w:p>
        </w:tc>
      </w:tr>
      <w:tr w:rsidR="006724FB">
        <w:trPr>
          <w:cantSplit/>
        </w:trPr>
        <w:tc>
          <w:tcPr>
            <w:tcW w:w="3118" w:type="dxa"/>
          </w:tcPr>
          <w:p w:rsidR="006724FB" w:rsidRDefault="006724FB">
            <w:pPr>
              <w:pStyle w:val="TableNAm"/>
              <w:tabs>
                <w:tab w:val="clear" w:pos="567"/>
                <w:tab w:val="left" w:leader="dot" w:pos="3100"/>
              </w:tabs>
              <w:spacing w:before="60"/>
              <w:rPr>
                <w:sz w:val="18"/>
              </w:rPr>
            </w:pPr>
            <w:r>
              <w:rPr>
                <w:sz w:val="18"/>
              </w:rPr>
              <w:t>reversing lamp</w:t>
            </w:r>
            <w:r>
              <w:rPr>
                <w:sz w:val="18"/>
              </w:rPr>
              <w:tab/>
            </w:r>
          </w:p>
        </w:tc>
        <w:tc>
          <w:tcPr>
            <w:tcW w:w="2268" w:type="dxa"/>
          </w:tcPr>
          <w:p w:rsidR="006724FB" w:rsidRDefault="006724FB">
            <w:pPr>
              <w:pStyle w:val="TableNAm"/>
              <w:tabs>
                <w:tab w:val="clear" w:pos="567"/>
                <w:tab w:val="left" w:leader="dot" w:pos="2817"/>
              </w:tabs>
              <w:spacing w:before="60"/>
              <w:rPr>
                <w:sz w:val="18"/>
              </w:rPr>
            </w:pPr>
            <w:r>
              <w:rPr>
                <w:sz w:val="18"/>
              </w:rPr>
              <w:t>reversing light</w:t>
            </w:r>
          </w:p>
        </w:tc>
      </w:tr>
      <w:tr w:rsidR="006724FB">
        <w:trPr>
          <w:cantSplit/>
        </w:trPr>
        <w:tc>
          <w:tcPr>
            <w:tcW w:w="3118" w:type="dxa"/>
          </w:tcPr>
          <w:p w:rsidR="006724FB" w:rsidRDefault="006724FB">
            <w:pPr>
              <w:pStyle w:val="TableNAm"/>
              <w:tabs>
                <w:tab w:val="clear" w:pos="567"/>
                <w:tab w:val="left" w:leader="dot" w:pos="3100"/>
              </w:tabs>
              <w:spacing w:before="60"/>
              <w:rPr>
                <w:sz w:val="18"/>
              </w:rPr>
            </w:pPr>
            <w:r>
              <w:rPr>
                <w:sz w:val="18"/>
              </w:rPr>
              <w:t>direction indicator lamp</w:t>
            </w:r>
            <w:r>
              <w:rPr>
                <w:sz w:val="18"/>
              </w:rPr>
              <w:tab/>
            </w:r>
          </w:p>
        </w:tc>
        <w:tc>
          <w:tcPr>
            <w:tcW w:w="2268" w:type="dxa"/>
          </w:tcPr>
          <w:p w:rsidR="006724FB" w:rsidRDefault="006724FB">
            <w:pPr>
              <w:pStyle w:val="TableNAm"/>
              <w:tabs>
                <w:tab w:val="clear" w:pos="567"/>
                <w:tab w:val="left" w:leader="dot" w:pos="2817"/>
              </w:tabs>
              <w:spacing w:before="60"/>
              <w:rPr>
                <w:sz w:val="18"/>
              </w:rPr>
            </w:pPr>
            <w:r>
              <w:rPr>
                <w:sz w:val="18"/>
              </w:rPr>
              <w:t>direction indicator light</w:t>
            </w:r>
          </w:p>
        </w:tc>
      </w:tr>
      <w:tr w:rsidR="006724FB">
        <w:trPr>
          <w:cantSplit/>
        </w:trPr>
        <w:tc>
          <w:tcPr>
            <w:tcW w:w="3118" w:type="dxa"/>
          </w:tcPr>
          <w:p w:rsidR="006724FB" w:rsidRDefault="006724FB">
            <w:pPr>
              <w:pStyle w:val="TableNAm"/>
              <w:tabs>
                <w:tab w:val="clear" w:pos="567"/>
                <w:tab w:val="left" w:leader="dot" w:pos="3100"/>
              </w:tabs>
              <w:spacing w:before="60"/>
              <w:rPr>
                <w:sz w:val="18"/>
              </w:rPr>
            </w:pPr>
            <w:r>
              <w:rPr>
                <w:sz w:val="18"/>
              </w:rPr>
              <w:t>stop lamp</w:t>
            </w:r>
            <w:r>
              <w:rPr>
                <w:sz w:val="18"/>
              </w:rPr>
              <w:tab/>
            </w:r>
          </w:p>
        </w:tc>
        <w:tc>
          <w:tcPr>
            <w:tcW w:w="2268" w:type="dxa"/>
          </w:tcPr>
          <w:p w:rsidR="006724FB" w:rsidRDefault="006724FB">
            <w:pPr>
              <w:pStyle w:val="TableNAm"/>
              <w:tabs>
                <w:tab w:val="clear" w:pos="567"/>
                <w:tab w:val="left" w:leader="dot" w:pos="2817"/>
              </w:tabs>
              <w:spacing w:before="60"/>
              <w:rPr>
                <w:sz w:val="18"/>
              </w:rPr>
            </w:pPr>
            <w:r>
              <w:rPr>
                <w:sz w:val="18"/>
              </w:rPr>
              <w:t>brake light</w:t>
            </w:r>
          </w:p>
        </w:tc>
      </w:tr>
      <w:tr w:rsidR="006724FB">
        <w:trPr>
          <w:cantSplit/>
        </w:trPr>
        <w:tc>
          <w:tcPr>
            <w:tcW w:w="3118" w:type="dxa"/>
          </w:tcPr>
          <w:p w:rsidR="006724FB" w:rsidRDefault="006724FB">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rsidR="006724FB" w:rsidRDefault="006724FB">
            <w:pPr>
              <w:pStyle w:val="TableNAm"/>
              <w:tabs>
                <w:tab w:val="clear" w:pos="567"/>
                <w:tab w:val="left" w:leader="dot" w:pos="2817"/>
              </w:tabs>
              <w:spacing w:before="60"/>
              <w:rPr>
                <w:sz w:val="18"/>
              </w:rPr>
            </w:pPr>
            <w:r>
              <w:rPr>
                <w:sz w:val="18"/>
              </w:rPr>
              <w:t>number plate light</w:t>
            </w:r>
          </w:p>
        </w:tc>
      </w:tr>
      <w:tr w:rsidR="006724FB">
        <w:trPr>
          <w:cantSplit/>
        </w:trPr>
        <w:tc>
          <w:tcPr>
            <w:tcW w:w="3118" w:type="dxa"/>
          </w:tcPr>
          <w:p w:rsidR="006724FB" w:rsidRDefault="006724FB">
            <w:pPr>
              <w:pStyle w:val="TableNAm"/>
              <w:tabs>
                <w:tab w:val="clear" w:pos="567"/>
                <w:tab w:val="left" w:leader="dot" w:pos="3100"/>
              </w:tabs>
              <w:spacing w:before="60"/>
              <w:rPr>
                <w:sz w:val="18"/>
              </w:rPr>
            </w:pPr>
            <w:r>
              <w:rPr>
                <w:sz w:val="18"/>
              </w:rPr>
              <w:t>front position (side) lamp</w:t>
            </w:r>
            <w:r>
              <w:rPr>
                <w:sz w:val="18"/>
              </w:rPr>
              <w:tab/>
            </w:r>
          </w:p>
        </w:tc>
        <w:tc>
          <w:tcPr>
            <w:tcW w:w="2268" w:type="dxa"/>
          </w:tcPr>
          <w:p w:rsidR="006724FB" w:rsidRDefault="006724FB">
            <w:pPr>
              <w:pStyle w:val="TableNAm"/>
              <w:tabs>
                <w:tab w:val="clear" w:pos="567"/>
                <w:tab w:val="left" w:leader="dot" w:pos="2817"/>
              </w:tabs>
              <w:spacing w:before="60"/>
              <w:rPr>
                <w:sz w:val="18"/>
              </w:rPr>
            </w:pPr>
            <w:r>
              <w:rPr>
                <w:sz w:val="18"/>
              </w:rPr>
              <w:t>parking light</w:t>
            </w:r>
          </w:p>
        </w:tc>
      </w:tr>
      <w:tr w:rsidR="006724FB">
        <w:trPr>
          <w:cantSplit/>
        </w:trPr>
        <w:tc>
          <w:tcPr>
            <w:tcW w:w="3118" w:type="dxa"/>
          </w:tcPr>
          <w:p w:rsidR="006724FB" w:rsidRDefault="006724FB">
            <w:pPr>
              <w:pStyle w:val="TableNAm"/>
              <w:tabs>
                <w:tab w:val="clear" w:pos="567"/>
                <w:tab w:val="left" w:leader="dot" w:pos="3100"/>
              </w:tabs>
              <w:spacing w:before="60"/>
              <w:rPr>
                <w:sz w:val="18"/>
              </w:rPr>
            </w:pPr>
            <w:r>
              <w:rPr>
                <w:sz w:val="18"/>
              </w:rPr>
              <w:t>rear position (side) lamp</w:t>
            </w:r>
            <w:r>
              <w:rPr>
                <w:sz w:val="18"/>
              </w:rPr>
              <w:tab/>
            </w:r>
          </w:p>
        </w:tc>
        <w:tc>
          <w:tcPr>
            <w:tcW w:w="2268" w:type="dxa"/>
          </w:tcPr>
          <w:p w:rsidR="006724FB" w:rsidRDefault="006724FB">
            <w:pPr>
              <w:pStyle w:val="TableNAm"/>
              <w:tabs>
                <w:tab w:val="clear" w:pos="567"/>
                <w:tab w:val="left" w:leader="dot" w:pos="2817"/>
              </w:tabs>
              <w:spacing w:before="60"/>
              <w:rPr>
                <w:sz w:val="18"/>
              </w:rPr>
            </w:pPr>
            <w:r>
              <w:rPr>
                <w:sz w:val="18"/>
              </w:rPr>
              <w:t>tail light</w:t>
            </w:r>
          </w:p>
        </w:tc>
      </w:tr>
      <w:tr w:rsidR="006724FB">
        <w:trPr>
          <w:cantSplit/>
        </w:trPr>
        <w:tc>
          <w:tcPr>
            <w:tcW w:w="3118" w:type="dxa"/>
          </w:tcPr>
          <w:p w:rsidR="006724FB" w:rsidRDefault="006724FB">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rsidR="006724FB" w:rsidRDefault="006724FB">
            <w:pPr>
              <w:pStyle w:val="TableNAm"/>
              <w:tabs>
                <w:tab w:val="clear" w:pos="567"/>
                <w:tab w:val="left" w:leader="dot" w:pos="2817"/>
              </w:tabs>
              <w:spacing w:before="60"/>
              <w:rPr>
                <w:sz w:val="18"/>
              </w:rPr>
            </w:pPr>
            <w:r>
              <w:rPr>
                <w:sz w:val="18"/>
              </w:rPr>
              <w:t>front or rear clearance light</w:t>
            </w:r>
          </w:p>
        </w:tc>
      </w:tr>
      <w:tr w:rsidR="006724FB">
        <w:trPr>
          <w:cantSplit/>
        </w:trPr>
        <w:tc>
          <w:tcPr>
            <w:tcW w:w="3118" w:type="dxa"/>
          </w:tcPr>
          <w:p w:rsidR="006724FB" w:rsidRDefault="006724FB">
            <w:pPr>
              <w:pStyle w:val="TableNAm"/>
              <w:tabs>
                <w:tab w:val="clear" w:pos="567"/>
                <w:tab w:val="left" w:leader="dot" w:pos="3100"/>
              </w:tabs>
              <w:spacing w:before="60"/>
              <w:rPr>
                <w:sz w:val="18"/>
              </w:rPr>
            </w:pPr>
            <w:r>
              <w:rPr>
                <w:sz w:val="18"/>
              </w:rPr>
              <w:t>external cabin lamp</w:t>
            </w:r>
            <w:r>
              <w:rPr>
                <w:sz w:val="18"/>
              </w:rPr>
              <w:tab/>
            </w:r>
          </w:p>
        </w:tc>
        <w:tc>
          <w:tcPr>
            <w:tcW w:w="2268" w:type="dxa"/>
          </w:tcPr>
          <w:p w:rsidR="006724FB" w:rsidRDefault="006724FB">
            <w:pPr>
              <w:pStyle w:val="TableNAm"/>
              <w:tabs>
                <w:tab w:val="clear" w:pos="567"/>
                <w:tab w:val="left" w:leader="dot" w:pos="2817"/>
              </w:tabs>
              <w:spacing w:before="60"/>
              <w:rPr>
                <w:sz w:val="18"/>
              </w:rPr>
            </w:pPr>
            <w:r>
              <w:rPr>
                <w:sz w:val="18"/>
              </w:rPr>
              <w:t>external cabin light</w:t>
            </w:r>
          </w:p>
        </w:tc>
      </w:tr>
      <w:tr w:rsidR="006724FB">
        <w:trPr>
          <w:cantSplit/>
        </w:trPr>
        <w:tc>
          <w:tcPr>
            <w:tcW w:w="3118" w:type="dxa"/>
          </w:tcPr>
          <w:p w:rsidR="006724FB" w:rsidRDefault="006724FB">
            <w:pPr>
              <w:pStyle w:val="TableNAm"/>
              <w:tabs>
                <w:tab w:val="clear" w:pos="567"/>
                <w:tab w:val="left" w:leader="dot" w:pos="3100"/>
              </w:tabs>
              <w:spacing w:before="60"/>
              <w:rPr>
                <w:sz w:val="18"/>
              </w:rPr>
            </w:pPr>
            <w:r>
              <w:rPr>
                <w:sz w:val="18"/>
              </w:rPr>
              <w:t>internal lamp</w:t>
            </w:r>
            <w:r>
              <w:rPr>
                <w:sz w:val="18"/>
              </w:rPr>
              <w:tab/>
            </w:r>
          </w:p>
        </w:tc>
        <w:tc>
          <w:tcPr>
            <w:tcW w:w="2268" w:type="dxa"/>
          </w:tcPr>
          <w:p w:rsidR="006724FB" w:rsidRDefault="006724FB">
            <w:pPr>
              <w:pStyle w:val="TableNAm"/>
              <w:tabs>
                <w:tab w:val="clear" w:pos="567"/>
                <w:tab w:val="left" w:leader="dot" w:pos="2817"/>
              </w:tabs>
              <w:spacing w:before="60"/>
              <w:rPr>
                <w:sz w:val="18"/>
              </w:rPr>
            </w:pPr>
            <w:r>
              <w:rPr>
                <w:sz w:val="18"/>
              </w:rPr>
              <w:t>interior light</w:t>
            </w:r>
          </w:p>
        </w:tc>
      </w:tr>
      <w:tr w:rsidR="006724FB">
        <w:trPr>
          <w:cantSplit/>
        </w:trPr>
        <w:tc>
          <w:tcPr>
            <w:tcW w:w="3118" w:type="dxa"/>
          </w:tcPr>
          <w:p w:rsidR="006724FB" w:rsidRDefault="006724FB">
            <w:pPr>
              <w:pStyle w:val="TableNAm"/>
              <w:tabs>
                <w:tab w:val="clear" w:pos="567"/>
                <w:tab w:val="left" w:leader="dot" w:pos="3100"/>
              </w:tabs>
              <w:spacing w:before="60"/>
              <w:rPr>
                <w:sz w:val="18"/>
              </w:rPr>
            </w:pPr>
            <w:r>
              <w:rPr>
                <w:sz w:val="18"/>
              </w:rPr>
              <w:t>side marker lamp</w:t>
            </w:r>
            <w:r>
              <w:rPr>
                <w:sz w:val="18"/>
              </w:rPr>
              <w:tab/>
            </w:r>
          </w:p>
        </w:tc>
        <w:tc>
          <w:tcPr>
            <w:tcW w:w="2268" w:type="dxa"/>
          </w:tcPr>
          <w:p w:rsidR="006724FB" w:rsidRDefault="006724FB">
            <w:pPr>
              <w:pStyle w:val="TableNAm"/>
              <w:tabs>
                <w:tab w:val="clear" w:pos="567"/>
                <w:tab w:val="left" w:leader="dot" w:pos="2817"/>
              </w:tabs>
              <w:spacing w:before="60"/>
              <w:rPr>
                <w:sz w:val="18"/>
              </w:rPr>
            </w:pPr>
            <w:r>
              <w:rPr>
                <w:sz w:val="18"/>
              </w:rPr>
              <w:t>side marker light</w:t>
            </w:r>
          </w:p>
        </w:tc>
      </w:tr>
      <w:tr w:rsidR="006724FB">
        <w:trPr>
          <w:cantSplit/>
        </w:trPr>
        <w:tc>
          <w:tcPr>
            <w:tcW w:w="3118" w:type="dxa"/>
          </w:tcPr>
          <w:p w:rsidR="006724FB" w:rsidRDefault="006724FB">
            <w:pPr>
              <w:pStyle w:val="TableNAm"/>
              <w:tabs>
                <w:tab w:val="clear" w:pos="567"/>
                <w:tab w:val="left" w:leader="dot" w:pos="3100"/>
              </w:tabs>
              <w:spacing w:before="60"/>
              <w:rPr>
                <w:sz w:val="18"/>
              </w:rPr>
            </w:pPr>
            <w:r>
              <w:rPr>
                <w:sz w:val="18"/>
              </w:rPr>
              <w:t>daytime running lamp</w:t>
            </w:r>
            <w:r>
              <w:rPr>
                <w:sz w:val="18"/>
              </w:rPr>
              <w:tab/>
            </w:r>
          </w:p>
        </w:tc>
        <w:tc>
          <w:tcPr>
            <w:tcW w:w="2268" w:type="dxa"/>
          </w:tcPr>
          <w:p w:rsidR="006724FB" w:rsidRDefault="006724FB">
            <w:pPr>
              <w:pStyle w:val="TableNAm"/>
              <w:tabs>
                <w:tab w:val="clear" w:pos="567"/>
                <w:tab w:val="left" w:leader="dot" w:pos="2817"/>
              </w:tabs>
              <w:spacing w:before="60"/>
              <w:rPr>
                <w:sz w:val="18"/>
              </w:rPr>
            </w:pPr>
            <w:r>
              <w:rPr>
                <w:sz w:val="18"/>
              </w:rPr>
              <w:t>daytime running light</w:t>
            </w:r>
          </w:p>
        </w:tc>
      </w:tr>
      <w:tr w:rsidR="006724FB">
        <w:trPr>
          <w:cantSplit/>
        </w:trPr>
        <w:tc>
          <w:tcPr>
            <w:tcW w:w="3118" w:type="dxa"/>
          </w:tcPr>
          <w:p w:rsidR="006724FB" w:rsidRDefault="006724FB">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rsidR="006724FB" w:rsidRDefault="006724FB">
            <w:pPr>
              <w:pStyle w:val="TableNAm"/>
              <w:tabs>
                <w:tab w:val="clear" w:pos="567"/>
                <w:tab w:val="left" w:leader="dot" w:pos="2817"/>
              </w:tabs>
              <w:spacing w:before="60"/>
              <w:rPr>
                <w:sz w:val="18"/>
              </w:rPr>
            </w:pPr>
            <w:r>
              <w:rPr>
                <w:sz w:val="18"/>
              </w:rPr>
              <w:t>rear reflector</w:t>
            </w:r>
          </w:p>
        </w:tc>
      </w:tr>
      <w:tr w:rsidR="006724FB">
        <w:trPr>
          <w:cantSplit/>
        </w:trPr>
        <w:tc>
          <w:tcPr>
            <w:tcW w:w="3118" w:type="dxa"/>
          </w:tcPr>
          <w:p w:rsidR="006724FB" w:rsidRDefault="006724FB">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rsidR="006724FB" w:rsidRDefault="006724FB">
            <w:pPr>
              <w:pStyle w:val="TableNAm"/>
              <w:tabs>
                <w:tab w:val="clear" w:pos="567"/>
                <w:tab w:val="left" w:leader="dot" w:pos="2817"/>
              </w:tabs>
              <w:spacing w:before="60"/>
              <w:rPr>
                <w:sz w:val="18"/>
              </w:rPr>
            </w:pPr>
            <w:r>
              <w:rPr>
                <w:sz w:val="18"/>
              </w:rPr>
              <w:t>front reflector</w:t>
            </w:r>
          </w:p>
        </w:tc>
      </w:tr>
      <w:tr w:rsidR="006724FB">
        <w:trPr>
          <w:cantSplit/>
        </w:trPr>
        <w:tc>
          <w:tcPr>
            <w:tcW w:w="3118" w:type="dxa"/>
            <w:tcBorders>
              <w:bottom w:val="single" w:sz="2" w:space="0" w:color="auto"/>
            </w:tcBorders>
          </w:tcPr>
          <w:p w:rsidR="006724FB" w:rsidRDefault="006724FB">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rsidR="006724FB" w:rsidRDefault="006724FB">
            <w:pPr>
              <w:pStyle w:val="TableNAm"/>
              <w:tabs>
                <w:tab w:val="clear" w:pos="567"/>
                <w:tab w:val="left" w:leader="dot" w:pos="2817"/>
              </w:tabs>
              <w:spacing w:before="60"/>
              <w:rPr>
                <w:sz w:val="18"/>
              </w:rPr>
            </w:pPr>
            <w:r>
              <w:rPr>
                <w:sz w:val="18"/>
              </w:rPr>
              <w:t>side reflector</w:t>
            </w:r>
          </w:p>
        </w:tc>
      </w:tr>
    </w:tbl>
    <w:p w:rsidR="006724FB" w:rsidRDefault="006724FB">
      <w:pPr>
        <w:pStyle w:val="Heading5"/>
        <w:keepLines w:val="0"/>
        <w:rPr>
          <w:rStyle w:val="DraftersNotes"/>
          <w:b/>
          <w:bCs/>
          <w:iCs/>
        </w:rPr>
      </w:pPr>
      <w:bookmarkStart w:id="426" w:name="_Toc75875809"/>
      <w:r>
        <w:rPr>
          <w:rStyle w:val="CharSectno"/>
        </w:rPr>
        <w:t>238</w:t>
      </w:r>
      <w:r>
        <w:t>.</w:t>
      </w:r>
      <w:r>
        <w:tab/>
        <w:t>Compliance with third edition ADRs</w:t>
      </w:r>
      <w:bookmarkEnd w:id="426"/>
    </w:p>
    <w:p w:rsidR="006724FB" w:rsidRDefault="006724FB">
      <w:pPr>
        <w:pStyle w:val="Subsection"/>
        <w:keepNext/>
      </w:pPr>
      <w:r>
        <w:tab/>
        <w:t>(1)</w:t>
      </w:r>
      <w:r>
        <w:tab/>
        <w:t xml:space="preserve">In this regulation — </w:t>
      </w:r>
    </w:p>
    <w:p w:rsidR="006724FB" w:rsidRDefault="006724FB">
      <w:pPr>
        <w:pStyle w:val="Defstart"/>
      </w:pPr>
      <w:r>
        <w:tab/>
      </w:r>
      <w:r>
        <w:rPr>
          <w:rStyle w:val="CharDefText"/>
        </w:rPr>
        <w:t>vehicle</w:t>
      </w:r>
      <w:r>
        <w:t xml:space="preserve"> means a motor vehicle, trailer or combination.</w:t>
      </w:r>
    </w:p>
    <w:p w:rsidR="006724FB" w:rsidRDefault="006724FB">
      <w:pPr>
        <w:pStyle w:val="Subsection"/>
      </w:pPr>
      <w:r>
        <w:lastRenderedPageBreak/>
        <w:tab/>
        <w:t>(2)</w:t>
      </w:r>
      <w:r>
        <w:tab/>
        <w:t>If a third edition ADR applies to the design and construction of a vehicle, the vehicle must comply with the ADR.</w:t>
      </w:r>
    </w:p>
    <w:p w:rsidR="006724FB" w:rsidRDefault="006724FB">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rsidR="006724FB" w:rsidRDefault="006724FB">
      <w:pPr>
        <w:pStyle w:val="Indenta"/>
      </w:pPr>
      <w:r>
        <w:tab/>
        <w:t>(a)</w:t>
      </w:r>
      <w:r>
        <w:tab/>
        <w:t>the requirement as in force when the vehicle was built; or</w:t>
      </w:r>
    </w:p>
    <w:p w:rsidR="006724FB" w:rsidRDefault="006724FB">
      <w:pPr>
        <w:pStyle w:val="Indenta"/>
        <w:keepNext/>
      </w:pPr>
      <w:r>
        <w:tab/>
        <w:t>(b)</w:t>
      </w:r>
      <w:r>
        <w:tab/>
        <w:t xml:space="preserve">if the requirement is amended after the vehicle is built and before the equipment is fitted — the requirement as in force — </w:t>
      </w:r>
    </w:p>
    <w:p w:rsidR="006724FB" w:rsidRDefault="006724FB">
      <w:pPr>
        <w:pStyle w:val="Indenti"/>
      </w:pPr>
      <w:r>
        <w:tab/>
        <w:t>(i)</w:t>
      </w:r>
      <w:r>
        <w:tab/>
        <w:t>when the vehicle was built; or</w:t>
      </w:r>
    </w:p>
    <w:p w:rsidR="006724FB" w:rsidRDefault="006724FB">
      <w:pPr>
        <w:pStyle w:val="Indenti"/>
      </w:pPr>
      <w:r>
        <w:tab/>
        <w:t>(ii)</w:t>
      </w:r>
      <w:r>
        <w:tab/>
        <w:t>when the equipment was fitted; or</w:t>
      </w:r>
    </w:p>
    <w:p w:rsidR="006724FB" w:rsidRDefault="006724FB">
      <w:pPr>
        <w:pStyle w:val="Indenti"/>
      </w:pPr>
      <w:r>
        <w:tab/>
        <w:t>(iii)</w:t>
      </w:r>
      <w:r>
        <w:tab/>
        <w:t>at any time between when the vehicle was built and the equipment was fitted.</w:t>
      </w:r>
    </w:p>
    <w:p w:rsidR="006724FB" w:rsidRDefault="006724FB">
      <w:pPr>
        <w:pStyle w:val="Subsection"/>
        <w:keepNext/>
      </w:pPr>
      <w:r>
        <w:tab/>
        <w:t>(4)</w:t>
      </w:r>
      <w:r>
        <w:tab/>
        <w:t xml:space="preserve">However, a vehicle, or equipment fitted to a vehicle, need not comply with a requirement of a third edition ADR if — </w:t>
      </w:r>
    </w:p>
    <w:p w:rsidR="006724FB" w:rsidRDefault="006724FB">
      <w:pPr>
        <w:pStyle w:val="Indenta"/>
      </w:pPr>
      <w:r>
        <w:tab/>
        <w:t>(a)</w:t>
      </w:r>
      <w:r>
        <w:tab/>
        <w:t>the requirement is replaced by, or is inconsistent with, a requirement of a later version of the ADR applying to the vehicle or equipment; and</w:t>
      </w:r>
    </w:p>
    <w:p w:rsidR="006724FB" w:rsidRDefault="006724FB">
      <w:pPr>
        <w:pStyle w:val="Indenta"/>
      </w:pPr>
      <w:r>
        <w:tab/>
        <w:t>(b)</w:t>
      </w:r>
      <w:r>
        <w:tab/>
        <w:t>the vehicle or equipment complies with the requirement of the later version.</w:t>
      </w:r>
    </w:p>
    <w:p w:rsidR="006724FB" w:rsidRDefault="006724FB">
      <w:pPr>
        <w:pStyle w:val="Subsection"/>
      </w:pPr>
      <w:r>
        <w:tab/>
        <w:t>(5)</w:t>
      </w:r>
      <w:r>
        <w:tab/>
        <w:t>If a third edition ADR allows a vehicle built on or after a stated time to be fitted with equipment, a vehicle built before the time may also be fitted with the equipment.</w:t>
      </w:r>
    </w:p>
    <w:p w:rsidR="002058DC" w:rsidRDefault="002058DC" w:rsidP="002058DC">
      <w:pPr>
        <w:pStyle w:val="Heading5"/>
      </w:pPr>
      <w:bookmarkStart w:id="427" w:name="_Toc75875810"/>
      <w:r w:rsidRPr="00A75C28">
        <w:rPr>
          <w:rStyle w:val="CharSectno"/>
        </w:rPr>
        <w:t>239</w:t>
      </w:r>
      <w:r>
        <w:t>.</w:t>
      </w:r>
      <w:r>
        <w:tab/>
        <w:t>Exception to compliance with ADRs: vehicles that are not road vehicles</w:t>
      </w:r>
      <w:bookmarkEnd w:id="427"/>
    </w:p>
    <w:p w:rsidR="002058DC" w:rsidRDefault="002058DC" w:rsidP="002058DC">
      <w:pPr>
        <w:pStyle w:val="Subsection"/>
      </w:pPr>
      <w:r>
        <w:tab/>
      </w:r>
      <w:r>
        <w:tab/>
        <w:t>A vehicle need not comply with an ADR applied by regulation 236(2) or 238(2) if —</w:t>
      </w:r>
    </w:p>
    <w:p w:rsidR="002058DC" w:rsidRDefault="002058DC" w:rsidP="002058DC">
      <w:pPr>
        <w:pStyle w:val="Indenta"/>
      </w:pPr>
      <w:r>
        <w:tab/>
        <w:t>(a)</w:t>
      </w:r>
      <w:r>
        <w:tab/>
        <w:t xml:space="preserve">before the repeal of the </w:t>
      </w:r>
      <w:r w:rsidRPr="001012B2">
        <w:rPr>
          <w:i/>
        </w:rPr>
        <w:t>Motor Vehicle Standards Act 1989</w:t>
      </w:r>
      <w:r w:rsidRPr="001012B2">
        <w:t xml:space="preserve"> (</w:t>
      </w:r>
      <w:r>
        <w:t xml:space="preserve">Commonwealth) a determination or </w:t>
      </w:r>
      <w:r>
        <w:lastRenderedPageBreak/>
        <w:t xml:space="preserve">declaration under </w:t>
      </w:r>
      <w:r w:rsidRPr="001012B2">
        <w:t>section</w:t>
      </w:r>
      <w:r>
        <w:t> 5B of that Act provided that the vehicle is not a road vehicle for the purposes of that Act; or</w:t>
      </w:r>
    </w:p>
    <w:p w:rsidR="002058DC" w:rsidRDefault="002058DC" w:rsidP="002058DC">
      <w:pPr>
        <w:pStyle w:val="Indenta"/>
      </w:pPr>
      <w:r>
        <w:tab/>
        <w:t>(b)</w:t>
      </w:r>
      <w:r>
        <w:tab/>
        <w:t xml:space="preserve">a determination under the </w:t>
      </w:r>
      <w:r w:rsidRPr="001012B2">
        <w:rPr>
          <w:i/>
        </w:rPr>
        <w:t>Road Vehicle Standards Act 2018</w:t>
      </w:r>
      <w:r w:rsidRPr="001012B2">
        <w:t xml:space="preserve"> (</w:t>
      </w:r>
      <w:r>
        <w:t xml:space="preserve">Commonwealth) </w:t>
      </w:r>
      <w:r w:rsidRPr="001012B2">
        <w:t>section</w:t>
      </w:r>
      <w:r>
        <w:t> 6(5)(b) or (6)(b) provides that the vehicle is not a road vehicle for the purposes of that Act.</w:t>
      </w:r>
    </w:p>
    <w:p w:rsidR="002058DC" w:rsidRDefault="002058DC" w:rsidP="002058DC">
      <w:pPr>
        <w:pStyle w:val="Footnotesection"/>
      </w:pPr>
      <w:r>
        <w:tab/>
        <w:t>[Regulation 239 inserted: SL 2021/81 r. 11.]</w:t>
      </w:r>
    </w:p>
    <w:p w:rsidR="006724FB" w:rsidRDefault="006724FB">
      <w:pPr>
        <w:pStyle w:val="Heading5"/>
      </w:pPr>
      <w:bookmarkStart w:id="428" w:name="_Toc75875811"/>
      <w:r>
        <w:rPr>
          <w:rStyle w:val="CharSectno"/>
        </w:rPr>
        <w:t>240</w:t>
      </w:r>
      <w:r>
        <w:t>.</w:t>
      </w:r>
      <w:r>
        <w:tab/>
      </w:r>
      <w:r w:rsidR="002058DC">
        <w:t>Exception to compliance with ADRs: approvals under Commonwealth legislation</w:t>
      </w:r>
      <w:bookmarkEnd w:id="428"/>
    </w:p>
    <w:p w:rsidR="006724FB" w:rsidRDefault="006724FB">
      <w:pPr>
        <w:pStyle w:val="Subsection"/>
        <w:keepNext/>
      </w:pPr>
      <w:r>
        <w:tab/>
        <w:t>(1)</w:t>
      </w:r>
      <w:r>
        <w:tab/>
        <w:t>A vehicle need not comply with an ADR applied by regulation 236(2) or 238(2) if —</w:t>
      </w:r>
    </w:p>
    <w:p w:rsidR="002058DC" w:rsidRDefault="002058DC" w:rsidP="002058DC">
      <w:pPr>
        <w:pStyle w:val="Indenta"/>
      </w:pPr>
      <w:r>
        <w:tab/>
        <w:t>(a)</w:t>
      </w:r>
      <w:r>
        <w:tab/>
        <w:t>despite non</w:t>
      </w:r>
      <w:r>
        <w:noBreakHyphen/>
        <w:t>compliance with the ADR —</w:t>
      </w:r>
    </w:p>
    <w:p w:rsidR="002058DC" w:rsidRDefault="002058DC" w:rsidP="002058DC">
      <w:pPr>
        <w:pStyle w:val="Indenti"/>
      </w:pPr>
      <w:r>
        <w:tab/>
        <w:t>(i)</w:t>
      </w:r>
      <w:r>
        <w:tab/>
        <w:t xml:space="preserve">before the repeal of the </w:t>
      </w:r>
      <w:r w:rsidRPr="001012B2">
        <w:rPr>
          <w:i/>
        </w:rPr>
        <w:t>Motor Vehicle Standards Act 1989</w:t>
      </w:r>
      <w:r w:rsidRPr="001012B2">
        <w:t xml:space="preserve"> (</w:t>
      </w:r>
      <w:r>
        <w:t xml:space="preserve">Commonwealth) an approval was given under </w:t>
      </w:r>
      <w:r w:rsidRPr="001012B2">
        <w:t>section</w:t>
      </w:r>
      <w:r>
        <w:t> 10A(2) or (3) of that Act to place an identification plate on the vehicle; or</w:t>
      </w:r>
    </w:p>
    <w:p w:rsidR="002058DC" w:rsidRDefault="002058DC" w:rsidP="002058DC">
      <w:pPr>
        <w:pStyle w:val="Indenti"/>
      </w:pPr>
      <w:r>
        <w:tab/>
        <w:t>(ii)</w:t>
      </w:r>
      <w:r>
        <w:tab/>
        <w:t xml:space="preserve">an approval is given under the </w:t>
      </w:r>
      <w:r w:rsidRPr="001012B2">
        <w:rPr>
          <w:i/>
        </w:rPr>
        <w:t>Road Vehicle Standards (Consequential and Transitional Provisions) Act 2018</w:t>
      </w:r>
      <w:r w:rsidRPr="001012B2">
        <w:t xml:space="preserve"> (</w:t>
      </w:r>
      <w:r>
        <w:t>Commonwealth) Schedule 3 item 4(2) or 6(2);</w:t>
      </w:r>
    </w:p>
    <w:p w:rsidR="002058DC" w:rsidRDefault="002058DC" w:rsidP="002058DC">
      <w:pPr>
        <w:pStyle w:val="Indenta"/>
      </w:pPr>
      <w:r>
        <w:tab/>
      </w:r>
      <w:r>
        <w:tab/>
        <w:t>and</w:t>
      </w:r>
    </w:p>
    <w:p w:rsidR="006724FB" w:rsidRDefault="006724FB">
      <w:pPr>
        <w:pStyle w:val="Indenta"/>
      </w:pPr>
      <w:r>
        <w:tab/>
        <w:t>(b)</w:t>
      </w:r>
      <w:r>
        <w:tab/>
        <w:t>the vehicle complies with the approval conditions (if any).</w:t>
      </w:r>
    </w:p>
    <w:p w:rsidR="006724FB" w:rsidRDefault="006724FB">
      <w:pPr>
        <w:pStyle w:val="Subsection"/>
        <w:keepNext/>
      </w:pPr>
      <w:r>
        <w:tab/>
        <w:t>(2)</w:t>
      </w:r>
      <w:r>
        <w:tab/>
        <w:t>A vehicle need not comply with an ADR applied by regulation 236(2) or 238(2) if —</w:t>
      </w:r>
    </w:p>
    <w:p w:rsidR="002058DC" w:rsidRDefault="002058DC" w:rsidP="002058DC">
      <w:pPr>
        <w:pStyle w:val="Indenta"/>
      </w:pPr>
      <w:r>
        <w:tab/>
        <w:t>(a)</w:t>
      </w:r>
      <w:r>
        <w:tab/>
        <w:t>either —</w:t>
      </w:r>
    </w:p>
    <w:p w:rsidR="002058DC" w:rsidRDefault="002058DC" w:rsidP="002058DC">
      <w:pPr>
        <w:pStyle w:val="Indenti"/>
      </w:pPr>
      <w:r>
        <w:tab/>
        <w:t>(i)</w:t>
      </w:r>
      <w:r>
        <w:tab/>
        <w:t xml:space="preserve">before the repeal of the </w:t>
      </w:r>
      <w:r w:rsidRPr="001012B2">
        <w:rPr>
          <w:i/>
        </w:rPr>
        <w:t>Motor Vehicle Standards Act 1989</w:t>
      </w:r>
      <w:r w:rsidRPr="001012B2">
        <w:t xml:space="preserve"> (</w:t>
      </w:r>
      <w:r>
        <w:t xml:space="preserve">Commonwealth) the vehicle was permitted to be supplied to the market under </w:t>
      </w:r>
      <w:r w:rsidRPr="001012B2">
        <w:t>section</w:t>
      </w:r>
      <w:r>
        <w:t> 14A(1) of that Act; or</w:t>
      </w:r>
    </w:p>
    <w:p w:rsidR="002058DC" w:rsidRDefault="002058DC" w:rsidP="002058DC">
      <w:pPr>
        <w:pStyle w:val="Indenti"/>
      </w:pPr>
      <w:r>
        <w:lastRenderedPageBreak/>
        <w:tab/>
        <w:t>(ii)</w:t>
      </w:r>
      <w:r>
        <w:tab/>
        <w:t xml:space="preserve">an approval is given under the </w:t>
      </w:r>
      <w:r w:rsidRPr="001012B2">
        <w:rPr>
          <w:i/>
        </w:rPr>
        <w:t>Road Vehicle Standards (Consequential and Transitional Provisions) Act 2018</w:t>
      </w:r>
      <w:r w:rsidRPr="001012B2">
        <w:t xml:space="preserve"> (</w:t>
      </w:r>
      <w:r>
        <w:t>Commonwealth) Schedule 3 item 11(2);</w:t>
      </w:r>
    </w:p>
    <w:p w:rsidR="002058DC" w:rsidRDefault="002058DC" w:rsidP="002058DC">
      <w:pPr>
        <w:pStyle w:val="Indenta"/>
      </w:pPr>
      <w:r>
        <w:tab/>
      </w:r>
      <w:r>
        <w:tab/>
        <w:t>and</w:t>
      </w:r>
    </w:p>
    <w:p w:rsidR="006724FB" w:rsidRDefault="006724FB">
      <w:pPr>
        <w:pStyle w:val="Indenta"/>
      </w:pPr>
      <w:r>
        <w:tab/>
        <w:t>(b)</w:t>
      </w:r>
      <w:r>
        <w:tab/>
        <w:t xml:space="preserve">for a vehicle for which an approval has been given </w:t>
      </w:r>
      <w:r w:rsidR="002058DC">
        <w:t xml:space="preserve">as described in paragraph (a)(i) or (ii) — </w:t>
      </w:r>
      <w:r>
        <w:t>the vehicle complies with the approval conditions (if any).</w:t>
      </w:r>
    </w:p>
    <w:p w:rsidR="006724FB" w:rsidRDefault="006724FB">
      <w:pPr>
        <w:pStyle w:val="Subsection"/>
        <w:keepNext/>
      </w:pPr>
      <w:r>
        <w:tab/>
        <w:t>(3)</w:t>
      </w:r>
      <w:r>
        <w:tab/>
        <w:t xml:space="preserve">A vehicle need not comply with an ADR applied by regulation 236(2) or 238(2) if — </w:t>
      </w:r>
    </w:p>
    <w:p w:rsidR="002058DC" w:rsidRDefault="002058DC" w:rsidP="002058DC">
      <w:pPr>
        <w:pStyle w:val="Indenta"/>
      </w:pPr>
      <w:r>
        <w:tab/>
        <w:t>(a)</w:t>
      </w:r>
      <w:r>
        <w:tab/>
        <w:t xml:space="preserve">before the repeal of the </w:t>
      </w:r>
      <w:r w:rsidRPr="001012B2">
        <w:rPr>
          <w:i/>
        </w:rPr>
        <w:t>Motor Vehicle Standards Act 1989</w:t>
      </w:r>
      <w:r w:rsidRPr="001012B2">
        <w:t xml:space="preserve"> (</w:t>
      </w:r>
      <w:r>
        <w:t xml:space="preserve">Commonwealth) the vehicle was permitted to be used in transport in Australia under </w:t>
      </w:r>
      <w:r w:rsidRPr="001012B2">
        <w:t>section</w:t>
      </w:r>
      <w:r>
        <w:t> 15(2) of that Act; and</w:t>
      </w:r>
    </w:p>
    <w:p w:rsidR="006724FB" w:rsidRDefault="006724FB">
      <w:pPr>
        <w:pStyle w:val="Indenta"/>
      </w:pPr>
      <w:r>
        <w:tab/>
        <w:t>(b)</w:t>
      </w:r>
      <w:r>
        <w:tab/>
        <w:t>for a vehicle for which an approval has been given under that section — the vehicle complies with the approval conditions (if any).</w:t>
      </w:r>
    </w:p>
    <w:p w:rsidR="002058DC" w:rsidRDefault="002058DC" w:rsidP="002058DC">
      <w:pPr>
        <w:pStyle w:val="Footnotesection"/>
      </w:pPr>
      <w:r>
        <w:tab/>
        <w:t>[Regulation 240 amended: SL 2021/81 r. 12.]</w:t>
      </w:r>
    </w:p>
    <w:p w:rsidR="002058DC" w:rsidRDefault="002058DC" w:rsidP="002058DC">
      <w:pPr>
        <w:pStyle w:val="Heading5"/>
      </w:pPr>
      <w:bookmarkStart w:id="429" w:name="_Toc75875812"/>
      <w:r w:rsidRPr="00A75C28">
        <w:rPr>
          <w:rStyle w:val="CharSectno"/>
        </w:rPr>
        <w:t>240A</w:t>
      </w:r>
      <w:r>
        <w:t>.</w:t>
      </w:r>
      <w:r>
        <w:tab/>
        <w:t xml:space="preserve">Vehicles satisfying an entry pathway under </w:t>
      </w:r>
      <w:r w:rsidRPr="001012B2">
        <w:rPr>
          <w:i/>
        </w:rPr>
        <w:t>Road Vehicle Standards Act 2018</w:t>
      </w:r>
      <w:r w:rsidRPr="001012B2">
        <w:t xml:space="preserve"> (</w:t>
      </w:r>
      <w:r>
        <w:t>Commonwealth)</w:t>
      </w:r>
      <w:bookmarkEnd w:id="429"/>
    </w:p>
    <w:p w:rsidR="002058DC" w:rsidRDefault="002058DC" w:rsidP="002058DC">
      <w:pPr>
        <w:pStyle w:val="Subsection"/>
      </w:pPr>
      <w:r>
        <w:tab/>
      </w:r>
      <w:r>
        <w:tab/>
        <w:t xml:space="preserve">A vehicle need not comply with an ADR applied by regulation 236(2) or 238(2) if — </w:t>
      </w:r>
    </w:p>
    <w:p w:rsidR="002058DC" w:rsidRDefault="002058DC" w:rsidP="002058DC">
      <w:pPr>
        <w:pStyle w:val="Indenta"/>
      </w:pPr>
      <w:r>
        <w:tab/>
        <w:t>(a)</w:t>
      </w:r>
      <w:r>
        <w:tab/>
        <w:t xml:space="preserve">the vehicle satisfied an entry pathway under the </w:t>
      </w:r>
      <w:r w:rsidRPr="001012B2">
        <w:rPr>
          <w:i/>
        </w:rPr>
        <w:t>Road Vehicle Standards Act 2018</w:t>
      </w:r>
      <w:r w:rsidRPr="001012B2">
        <w:t xml:space="preserve"> (</w:t>
      </w:r>
      <w:r>
        <w:t xml:space="preserve">Commonwealth) </w:t>
      </w:r>
      <w:r w:rsidRPr="001012B2">
        <w:t>section</w:t>
      </w:r>
      <w:r>
        <w:t> 15(2); and</w:t>
      </w:r>
    </w:p>
    <w:p w:rsidR="002058DC" w:rsidRDefault="002058DC" w:rsidP="002058DC">
      <w:pPr>
        <w:pStyle w:val="Indenta"/>
      </w:pPr>
      <w:r>
        <w:tab/>
        <w:t>(b)</w:t>
      </w:r>
      <w:r>
        <w:tab/>
        <w:t>despite non</w:t>
      </w:r>
      <w:r>
        <w:noBreakHyphen/>
        <w:t>compliance with the ADR, the vehicle is entered on the RAV.</w:t>
      </w:r>
    </w:p>
    <w:p w:rsidR="002058DC" w:rsidRDefault="002058DC" w:rsidP="002058DC">
      <w:pPr>
        <w:pStyle w:val="Footnotesection"/>
      </w:pPr>
      <w:r>
        <w:tab/>
        <w:t>[Regulation 240A inserted: SL 2021/81 r. 13.]</w:t>
      </w:r>
    </w:p>
    <w:p w:rsidR="006724FB" w:rsidRDefault="006724FB">
      <w:pPr>
        <w:pStyle w:val="Heading5"/>
      </w:pPr>
      <w:bookmarkStart w:id="430" w:name="_Toc75875813"/>
      <w:r>
        <w:rPr>
          <w:rStyle w:val="CharSectno"/>
        </w:rPr>
        <w:lastRenderedPageBreak/>
        <w:t>241</w:t>
      </w:r>
      <w:r>
        <w:t>.</w:t>
      </w:r>
      <w:r>
        <w:tab/>
        <w:t>Partial exception to compliance with ADRs: personally imported vehicles</w:t>
      </w:r>
      <w:bookmarkEnd w:id="430"/>
    </w:p>
    <w:p w:rsidR="006724FB" w:rsidRDefault="006724FB">
      <w:pPr>
        <w:pStyle w:val="Subsection"/>
        <w:keepNext/>
      </w:pPr>
      <w:r>
        <w:tab/>
        <w:t>(1)</w:t>
      </w:r>
      <w:r>
        <w:tab/>
        <w:t>In this regulation —</w:t>
      </w:r>
    </w:p>
    <w:p w:rsidR="006724FB" w:rsidRDefault="006724FB">
      <w:pPr>
        <w:pStyle w:val="Defstart"/>
        <w:keepNext/>
      </w:pPr>
      <w:r>
        <w:tab/>
      </w:r>
      <w:r>
        <w:rPr>
          <w:rStyle w:val="CharDefText"/>
        </w:rPr>
        <w:t>personally imported vehicle</w:t>
      </w:r>
      <w:r>
        <w:t xml:space="preserve"> means a vehicle built after 1968 that is imported into Australia by a person who —</w:t>
      </w:r>
    </w:p>
    <w:p w:rsidR="006724FB" w:rsidRDefault="006724FB">
      <w:pPr>
        <w:pStyle w:val="Defpara"/>
      </w:pPr>
      <w:r>
        <w:tab/>
        <w:t>(a)</w:t>
      </w:r>
      <w:r>
        <w:tab/>
        <w:t>owned and used the vehicle for a continuous period of at least 12 months before it was imported into Australia; and</w:t>
      </w:r>
    </w:p>
    <w:p w:rsidR="006724FB" w:rsidRDefault="006724FB">
      <w:pPr>
        <w:pStyle w:val="Defpara"/>
        <w:keepNext/>
      </w:pPr>
      <w:r>
        <w:tab/>
        <w:t>(b)</w:t>
      </w:r>
      <w:r>
        <w:tab/>
        <w:t>when the vehicle was imported into Australia, was —</w:t>
      </w:r>
    </w:p>
    <w:p w:rsidR="006724FB" w:rsidRDefault="006724FB">
      <w:pPr>
        <w:pStyle w:val="Defsubpara"/>
      </w:pPr>
      <w:r>
        <w:tab/>
        <w:t>(i)</w:t>
      </w:r>
      <w:r>
        <w:tab/>
        <w:t>an Australian citizen or permanent resident or a person who had applied to become an Australian citizen or permanent resident; and</w:t>
      </w:r>
    </w:p>
    <w:p w:rsidR="006724FB" w:rsidRDefault="006724FB">
      <w:pPr>
        <w:pStyle w:val="Defsubpara"/>
      </w:pPr>
      <w:r>
        <w:tab/>
        <w:t>(ii)</w:t>
      </w:r>
      <w:r>
        <w:tab/>
        <w:t>old enough to hold a licence or permit to drive the vehicle;</w:t>
      </w:r>
    </w:p>
    <w:p w:rsidR="006724FB" w:rsidRDefault="006724FB">
      <w:pPr>
        <w:pStyle w:val="Defpara"/>
      </w:pPr>
      <w:r>
        <w:tab/>
      </w:r>
      <w:r>
        <w:tab/>
        <w:t>and</w:t>
      </w:r>
    </w:p>
    <w:p w:rsidR="006724FB" w:rsidRDefault="006724FB">
      <w:pPr>
        <w:pStyle w:val="Defpara"/>
      </w:pPr>
      <w:r>
        <w:tab/>
        <w:t>(c)</w:t>
      </w:r>
      <w:r>
        <w:tab/>
        <w:t xml:space="preserve">within the previous year, had not imported into Australia another vehicle owned by </w:t>
      </w:r>
      <w:r w:rsidR="002058DC">
        <w:t>the person; and</w:t>
      </w:r>
    </w:p>
    <w:p w:rsidR="002058DC" w:rsidRDefault="002058DC" w:rsidP="002058DC">
      <w:pPr>
        <w:pStyle w:val="Defpara"/>
      </w:pPr>
      <w:r>
        <w:tab/>
        <w:t>(d)</w:t>
      </w:r>
      <w:r>
        <w:tab/>
        <w:t xml:space="preserve">has — </w:t>
      </w:r>
    </w:p>
    <w:p w:rsidR="002058DC" w:rsidRDefault="002058DC" w:rsidP="002058DC">
      <w:pPr>
        <w:pStyle w:val="Defsubpara"/>
      </w:pPr>
      <w:r>
        <w:tab/>
        <w:t>(i)</w:t>
      </w:r>
      <w:r>
        <w:tab/>
        <w:t xml:space="preserve">if the vehicle was imported before the repeal of the </w:t>
      </w:r>
      <w:r w:rsidRPr="001012B2">
        <w:rPr>
          <w:i/>
        </w:rPr>
        <w:t>Motor Vehicle Standards Act 1989</w:t>
      </w:r>
      <w:r w:rsidRPr="001012B2">
        <w:t xml:space="preserve"> (</w:t>
      </w:r>
      <w:r>
        <w:t xml:space="preserve">Commonwealth) — undertaken to comply with any requirements relating to road safety imposed for the vehicle under the </w:t>
      </w:r>
      <w:r w:rsidRPr="001012B2">
        <w:rPr>
          <w:i/>
        </w:rPr>
        <w:t>Motor Vehicle Standards Regulations 1989</w:t>
      </w:r>
      <w:r w:rsidRPr="001012B2">
        <w:t xml:space="preserve"> (</w:t>
      </w:r>
      <w:r>
        <w:t>Commonwealth); or</w:t>
      </w:r>
    </w:p>
    <w:p w:rsidR="002058DC" w:rsidRDefault="002058DC" w:rsidP="002058DC">
      <w:pPr>
        <w:pStyle w:val="Defsubpara"/>
      </w:pPr>
      <w:r>
        <w:tab/>
        <w:t>(ii)</w:t>
      </w:r>
      <w:r>
        <w:tab/>
        <w:t xml:space="preserve">otherwise — complied with the rules made under the </w:t>
      </w:r>
      <w:r w:rsidRPr="001012B2">
        <w:rPr>
          <w:i/>
        </w:rPr>
        <w:t>Road Vehicle Standards Act 2018</w:t>
      </w:r>
      <w:r w:rsidRPr="001012B2">
        <w:t xml:space="preserve"> (</w:t>
      </w:r>
      <w:r>
        <w:t>Commonwealth).</w:t>
      </w:r>
    </w:p>
    <w:p w:rsidR="006724FB" w:rsidRDefault="006724FB">
      <w:pPr>
        <w:pStyle w:val="Subsection"/>
        <w:keepNext/>
      </w:pPr>
      <w:r>
        <w:tab/>
        <w:t>(2)</w:t>
      </w:r>
      <w:r>
        <w:tab/>
        <w:t xml:space="preserve">A personally imported vehicle must be fitted with — </w:t>
      </w:r>
    </w:p>
    <w:p w:rsidR="006724FB" w:rsidRDefault="006724FB">
      <w:pPr>
        <w:pStyle w:val="Indenta"/>
      </w:pPr>
      <w:r>
        <w:tab/>
        <w:t>(a)</w:t>
      </w:r>
      <w:r>
        <w:tab/>
        <w:t>seat belts that are as effective as seat belts that meet an Australian Standard or British Standard for seat belts as in force at 1 November 2002; and</w:t>
      </w:r>
    </w:p>
    <w:p w:rsidR="006724FB" w:rsidRDefault="006724FB">
      <w:pPr>
        <w:pStyle w:val="Indenta"/>
      </w:pPr>
      <w:r>
        <w:lastRenderedPageBreak/>
        <w:tab/>
        <w:t>(b)</w:t>
      </w:r>
      <w:r>
        <w:tab/>
        <w:t>seat belt anchorages that meet the number and location requirements of second or third edition ADR 5; and</w:t>
      </w:r>
    </w:p>
    <w:p w:rsidR="006724FB" w:rsidRDefault="006724FB">
      <w:pPr>
        <w:pStyle w:val="Indenta"/>
      </w:pPr>
      <w:r>
        <w:tab/>
        <w:t>(c)</w:t>
      </w:r>
      <w:r>
        <w:tab/>
        <w:t>child restraint anchorages that meet the number, location, accessibility, thread size and form requirements of second edition ADR 34 or third edition ADR 5 or 34; and</w:t>
      </w:r>
    </w:p>
    <w:p w:rsidR="006724FB" w:rsidRDefault="006724FB">
      <w:pPr>
        <w:pStyle w:val="Indenta"/>
      </w:pPr>
      <w:r>
        <w:tab/>
        <w:t>(d)</w:t>
      </w:r>
      <w:r>
        <w:tab/>
        <w:t>head restraints that meet the number, location and size requirements of second or third edition ADR 22.</w:t>
      </w:r>
    </w:p>
    <w:p w:rsidR="006724FB" w:rsidRDefault="006724FB">
      <w:pPr>
        <w:pStyle w:val="Subsection"/>
      </w:pPr>
      <w:r>
        <w:tab/>
        <w:t>(3)</w:t>
      </w:r>
      <w:r>
        <w:tab/>
        <w:t>However, a personally imported vehicle need only meet the requirements of an ADR mentioned in subregulation (2) if the ADR recommends that it applies or should apply to a vehicle of the same type.</w:t>
      </w:r>
    </w:p>
    <w:p w:rsidR="006724FB" w:rsidRDefault="006724FB">
      <w:pPr>
        <w:pStyle w:val="Subsection"/>
      </w:pPr>
      <w:r>
        <w:tab/>
        <w:t>(4)</w:t>
      </w:r>
      <w:r>
        <w:tab/>
        <w:t>A personally imported vehicle need not otherwise comply with an ADR applied by regulation 236(2) or 238(2).</w:t>
      </w:r>
    </w:p>
    <w:p w:rsidR="002058DC" w:rsidRDefault="002058DC" w:rsidP="002058DC">
      <w:pPr>
        <w:pStyle w:val="Footnotesection"/>
      </w:pPr>
      <w:r>
        <w:tab/>
        <w:t>[Regulation 241 amended: SL 2021/81 r. 14.]</w:t>
      </w:r>
    </w:p>
    <w:p w:rsidR="006724FB" w:rsidRDefault="006724FB">
      <w:pPr>
        <w:pStyle w:val="Heading5"/>
      </w:pPr>
      <w:bookmarkStart w:id="431" w:name="_Toc75875814"/>
      <w:r>
        <w:rPr>
          <w:rStyle w:val="CharSectno"/>
        </w:rPr>
        <w:t>242</w:t>
      </w:r>
      <w:r>
        <w:t>.</w:t>
      </w:r>
      <w:r>
        <w:tab/>
        <w:t>Exception to compliance with adopted standards</w:t>
      </w:r>
      <w:bookmarkEnd w:id="431"/>
    </w:p>
    <w:p w:rsidR="006724FB" w:rsidRDefault="006724FB">
      <w:pPr>
        <w:pStyle w:val="Subsection"/>
        <w:keepNext/>
      </w:pPr>
      <w:r>
        <w:tab/>
      </w:r>
      <w:r>
        <w:tab/>
        <w:t xml:space="preserve">A vehicle need not comply with an adopted standard if — </w:t>
      </w:r>
    </w:p>
    <w:p w:rsidR="006724FB" w:rsidRDefault="006724FB">
      <w:pPr>
        <w:pStyle w:val="Indenta"/>
      </w:pPr>
      <w:r>
        <w:tab/>
        <w:t>(a)</w:t>
      </w:r>
      <w:r>
        <w:tab/>
        <w:t>the standard is replaced by, or is inconsistent with, a later version of the standard; and</w:t>
      </w:r>
    </w:p>
    <w:p w:rsidR="006724FB" w:rsidRDefault="006724FB">
      <w:pPr>
        <w:pStyle w:val="Indenta"/>
      </w:pPr>
      <w:r>
        <w:tab/>
        <w:t>(b)</w:t>
      </w:r>
      <w:r>
        <w:tab/>
        <w:t>the vehicle complies with the later version of the standard.</w:t>
      </w:r>
    </w:p>
    <w:p w:rsidR="006724FB" w:rsidRDefault="006724FB">
      <w:pPr>
        <w:pStyle w:val="Heading3"/>
      </w:pPr>
      <w:bookmarkStart w:id="432" w:name="_Toc75419891"/>
      <w:bookmarkStart w:id="433" w:name="_Toc75427227"/>
      <w:bookmarkStart w:id="434" w:name="_Toc75872643"/>
      <w:bookmarkStart w:id="435" w:name="_Toc75875815"/>
      <w:r>
        <w:rPr>
          <w:rStyle w:val="CharDivNo"/>
        </w:rPr>
        <w:t>Division 5</w:t>
      </w:r>
      <w:r>
        <w:t> — </w:t>
      </w:r>
      <w:r>
        <w:rPr>
          <w:rStyle w:val="CharDivText"/>
        </w:rPr>
        <w:t>General safety requirements</w:t>
      </w:r>
      <w:bookmarkEnd w:id="432"/>
      <w:bookmarkEnd w:id="433"/>
      <w:bookmarkEnd w:id="434"/>
      <w:bookmarkEnd w:id="435"/>
    </w:p>
    <w:p w:rsidR="006724FB" w:rsidRDefault="006724FB">
      <w:pPr>
        <w:pStyle w:val="Heading5"/>
      </w:pPr>
      <w:bookmarkStart w:id="436" w:name="_Toc75875816"/>
      <w:r>
        <w:rPr>
          <w:rStyle w:val="CharSectno"/>
        </w:rPr>
        <w:t>243</w:t>
      </w:r>
      <w:r>
        <w:t>.</w:t>
      </w:r>
      <w:r>
        <w:tab/>
        <w:t>Motor vehicles and trailers to be properly maintained</w:t>
      </w:r>
      <w:bookmarkEnd w:id="436"/>
    </w:p>
    <w:p w:rsidR="006724FB" w:rsidRDefault="006724FB">
      <w:pPr>
        <w:pStyle w:val="Subsection"/>
        <w:keepNext/>
      </w:pPr>
      <w:r>
        <w:tab/>
        <w:t>(1)</w:t>
      </w:r>
      <w:r>
        <w:tab/>
        <w:t xml:space="preserve">This regulation — </w:t>
      </w:r>
    </w:p>
    <w:p w:rsidR="006724FB" w:rsidRDefault="006724FB">
      <w:pPr>
        <w:pStyle w:val="Indenta"/>
      </w:pPr>
      <w:r>
        <w:tab/>
        <w:t>(a)</w:t>
      </w:r>
      <w:r>
        <w:tab/>
        <w:t>applies to a motor vehicle or trailer whether or not it forms part of a combination; and</w:t>
      </w:r>
    </w:p>
    <w:p w:rsidR="006724FB" w:rsidRDefault="006724FB">
      <w:pPr>
        <w:pStyle w:val="Indenta"/>
      </w:pPr>
      <w:r>
        <w:tab/>
        <w:t>(b)</w:t>
      </w:r>
      <w:r>
        <w:tab/>
        <w:t>does not apply to an agricultural implement.</w:t>
      </w:r>
    </w:p>
    <w:p w:rsidR="006724FB" w:rsidRDefault="006724FB">
      <w:pPr>
        <w:pStyle w:val="Subsection"/>
        <w:keepNext/>
      </w:pPr>
      <w:r>
        <w:tab/>
        <w:t>(2)</w:t>
      </w:r>
      <w:r>
        <w:tab/>
        <w:t xml:space="preserve">A motor vehicle must — </w:t>
      </w:r>
    </w:p>
    <w:p w:rsidR="006724FB" w:rsidRDefault="006724FB">
      <w:pPr>
        <w:pStyle w:val="Indenta"/>
      </w:pPr>
      <w:r>
        <w:tab/>
        <w:t>(a)</w:t>
      </w:r>
      <w:r>
        <w:tab/>
        <w:t>be in a condition that enables it to be driven safely; and</w:t>
      </w:r>
    </w:p>
    <w:p w:rsidR="006724FB" w:rsidRDefault="006724FB">
      <w:pPr>
        <w:pStyle w:val="Indenta"/>
      </w:pPr>
      <w:r>
        <w:lastRenderedPageBreak/>
        <w:tab/>
        <w:t>(b)</w:t>
      </w:r>
      <w:r>
        <w:tab/>
        <w:t>be in a condition that is unlikely to occasion unreasonable annoyance to any person or damage to any property; and</w:t>
      </w:r>
    </w:p>
    <w:p w:rsidR="006724FB" w:rsidRDefault="006724FB">
      <w:pPr>
        <w:pStyle w:val="Indenta"/>
      </w:pPr>
      <w:r>
        <w:tab/>
        <w:t>(c)</w:t>
      </w:r>
      <w:r>
        <w:tab/>
        <w:t>have all of its parts in serviceable condition.</w:t>
      </w:r>
    </w:p>
    <w:p w:rsidR="006724FB" w:rsidRDefault="006724FB">
      <w:pPr>
        <w:pStyle w:val="Subsection"/>
        <w:keepNext/>
      </w:pPr>
      <w:r>
        <w:tab/>
        <w:t>(3)</w:t>
      </w:r>
      <w:r>
        <w:tab/>
        <w:t xml:space="preserve">Each vehicle forming part of a combination, other than the first or only motor vehicle forming part of the combination must — </w:t>
      </w:r>
    </w:p>
    <w:p w:rsidR="006724FB" w:rsidRDefault="006724FB">
      <w:pPr>
        <w:pStyle w:val="Indenta"/>
      </w:pPr>
      <w:r>
        <w:tab/>
        <w:t>(a)</w:t>
      </w:r>
      <w:r>
        <w:tab/>
        <w:t>be in a condition that enables it to be towed safely; and</w:t>
      </w:r>
    </w:p>
    <w:p w:rsidR="006724FB" w:rsidRDefault="006724FB">
      <w:pPr>
        <w:pStyle w:val="Indenta"/>
      </w:pPr>
      <w:r>
        <w:tab/>
        <w:t>(b)</w:t>
      </w:r>
      <w:r>
        <w:tab/>
        <w:t>be in a condition that is unlikely to occasion unreasonable annoyance to any person or damage to any property; and</w:t>
      </w:r>
    </w:p>
    <w:p w:rsidR="006724FB" w:rsidRDefault="006724FB">
      <w:pPr>
        <w:pStyle w:val="Indenta"/>
      </w:pPr>
      <w:r>
        <w:tab/>
        <w:t>(c)</w:t>
      </w:r>
      <w:r>
        <w:tab/>
        <w:t>have all of its parts in serviceable condition.</w:t>
      </w:r>
    </w:p>
    <w:p w:rsidR="006724FB" w:rsidRDefault="006724FB">
      <w:pPr>
        <w:pStyle w:val="Subsection"/>
        <w:keepNext/>
      </w:pPr>
      <w:r>
        <w:tab/>
        <w:t>(4)</w:t>
      </w:r>
      <w:r>
        <w:tab/>
        <w:t xml:space="preserve">A trailer must — </w:t>
      </w:r>
    </w:p>
    <w:p w:rsidR="006724FB" w:rsidRDefault="006724FB">
      <w:pPr>
        <w:pStyle w:val="Indenta"/>
      </w:pPr>
      <w:r>
        <w:tab/>
        <w:t>(a)</w:t>
      </w:r>
      <w:r>
        <w:tab/>
        <w:t>be in a condition that enables it to be towed safely; and</w:t>
      </w:r>
    </w:p>
    <w:p w:rsidR="006724FB" w:rsidRDefault="006724FB">
      <w:pPr>
        <w:pStyle w:val="Indenta"/>
      </w:pPr>
      <w:r>
        <w:tab/>
        <w:t>(b)</w:t>
      </w:r>
      <w:r>
        <w:tab/>
        <w:t>be in a condition that is unlikely to occasion unreasonable annoyance or injury to any person or damage to any property; and</w:t>
      </w:r>
    </w:p>
    <w:p w:rsidR="006724FB" w:rsidRDefault="006724FB">
      <w:pPr>
        <w:pStyle w:val="Indenta"/>
      </w:pPr>
      <w:r>
        <w:tab/>
        <w:t>(c)</w:t>
      </w:r>
      <w:r>
        <w:tab/>
        <w:t>have all of its parts in serviceable condition.</w:t>
      </w:r>
    </w:p>
    <w:p w:rsidR="006724FB" w:rsidRDefault="006724FB">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rsidR="006724FB" w:rsidRDefault="006724FB">
      <w:pPr>
        <w:pStyle w:val="Heading5"/>
        <w:keepNext w:val="0"/>
        <w:keepLines w:val="0"/>
        <w:widowControl w:val="0"/>
      </w:pPr>
      <w:bookmarkStart w:id="437" w:name="_Toc75875817"/>
      <w:r>
        <w:rPr>
          <w:rStyle w:val="CharSectno"/>
        </w:rPr>
        <w:t>244</w:t>
      </w:r>
      <w:r>
        <w:t>.</w:t>
      </w:r>
      <w:r>
        <w:tab/>
        <w:t>Motor vehicle steering</w:t>
      </w:r>
      <w:bookmarkEnd w:id="437"/>
    </w:p>
    <w:p w:rsidR="006724FB" w:rsidRDefault="006724FB">
      <w:pPr>
        <w:pStyle w:val="Subsection"/>
        <w:keepNext/>
      </w:pPr>
      <w:r>
        <w:tab/>
        <w:t>(1)</w:t>
      </w:r>
      <w:r>
        <w:tab/>
        <w:t xml:space="preserve">In this regulation — </w:t>
      </w:r>
    </w:p>
    <w:p w:rsidR="006724FB" w:rsidRDefault="006724FB">
      <w:pPr>
        <w:pStyle w:val="Defstart"/>
      </w:pPr>
      <w:r>
        <w:tab/>
      </w:r>
      <w:r>
        <w:rPr>
          <w:rStyle w:val="CharDefText"/>
        </w:rPr>
        <w:t>motor vehicle</w:t>
      </w:r>
      <w:r>
        <w:t xml:space="preserve"> means a motor vehicle built or used mainly for the transport of goods or people by road.</w:t>
      </w:r>
    </w:p>
    <w:p w:rsidR="006724FB" w:rsidRDefault="006724FB">
      <w:pPr>
        <w:pStyle w:val="Subsection"/>
      </w:pPr>
      <w:r>
        <w:tab/>
        <w:t>(2)</w:t>
      </w:r>
      <w:r>
        <w:tab/>
        <w:t>A motor vehicle that is a heavy vehicle must have a right</w:t>
      </w:r>
      <w:r>
        <w:noBreakHyphen/>
        <w:t>hand drive.</w:t>
      </w:r>
    </w:p>
    <w:p w:rsidR="006724FB" w:rsidRDefault="006724FB">
      <w:pPr>
        <w:pStyle w:val="Subsection"/>
        <w:keepNext/>
      </w:pPr>
      <w:r>
        <w:lastRenderedPageBreak/>
        <w:tab/>
        <w:t>(3)</w:t>
      </w:r>
      <w:r>
        <w:tab/>
        <w:t>A motor vehicle that is a light vehicle but not a motor cycle must have a right</w:t>
      </w:r>
      <w:r>
        <w:noBreakHyphen/>
        <w:t xml:space="preserve">hand drive unless — </w:t>
      </w:r>
    </w:p>
    <w:p w:rsidR="006724FB" w:rsidRDefault="006724FB">
      <w:pPr>
        <w:pStyle w:val="Indenta"/>
      </w:pPr>
      <w:r>
        <w:tab/>
        <w:t>(a)</w:t>
      </w:r>
      <w:r>
        <w:tab/>
        <w:t>the vehicle is more than 30 years old; or</w:t>
      </w:r>
    </w:p>
    <w:p w:rsidR="006724FB" w:rsidRDefault="006724FB">
      <w:pPr>
        <w:pStyle w:val="Indenta"/>
        <w:keepNext/>
      </w:pPr>
      <w:r>
        <w:tab/>
        <w:t>(b)</w:t>
      </w:r>
      <w:r>
        <w:tab/>
        <w:t xml:space="preserve">the vehicle — </w:t>
      </w:r>
    </w:p>
    <w:p w:rsidR="006724FB" w:rsidRDefault="006724FB">
      <w:pPr>
        <w:pStyle w:val="Indenti"/>
      </w:pPr>
      <w:r>
        <w:tab/>
        <w:t>(i)</w:t>
      </w:r>
      <w:r>
        <w:tab/>
        <w:t>is more than 15 years old, but not more than 30 years old; and</w:t>
      </w:r>
    </w:p>
    <w:p w:rsidR="006724FB" w:rsidRDefault="006724FB">
      <w:pPr>
        <w:pStyle w:val="Indenti"/>
      </w:pPr>
      <w:r>
        <w:tab/>
        <w:t>(ii)</w:t>
      </w:r>
      <w:r>
        <w:tab/>
        <w:t>is used solely for personal use.</w:t>
      </w:r>
    </w:p>
    <w:p w:rsidR="006724FB" w:rsidRDefault="006724FB">
      <w:pPr>
        <w:pStyle w:val="Subsection"/>
      </w:pPr>
      <w:r>
        <w:tab/>
        <w:t>(4)</w:t>
      </w:r>
      <w:r>
        <w:tab/>
        <w:t>A motor vehicle has a right</w:t>
      </w:r>
      <w:r>
        <w:noBreakHyphen/>
        <w:t>hand drive if the centre of at least one steering control of the vehicle is to the right of, or in line with, the centre of the vehicle.</w:t>
      </w:r>
    </w:p>
    <w:p w:rsidR="006724FB" w:rsidRDefault="006724FB">
      <w:pPr>
        <w:pStyle w:val="Subsection"/>
      </w:pPr>
      <w:r>
        <w:tab/>
        <w:t>(5)</w:t>
      </w:r>
      <w:r>
        <w:tab/>
        <w:t>A component of the steering system of a motor vehicle that is essential for effective steering of the vehicle must be built to transmit energy by mechanical means only.</w:t>
      </w:r>
    </w:p>
    <w:p w:rsidR="006724FB" w:rsidRDefault="006724FB">
      <w:pPr>
        <w:pStyle w:val="Subsection"/>
      </w:pPr>
      <w:r>
        <w:tab/>
        <w:t>(6)</w:t>
      </w:r>
      <w:r>
        <w:tab/>
        <w:t>Failure of a non</w:t>
      </w:r>
      <w:r>
        <w:noBreakHyphen/>
        <w:t>mechanical component of the steering system must not prevent effective steering of the vehicle.</w:t>
      </w:r>
    </w:p>
    <w:p w:rsidR="006724FB" w:rsidRDefault="006724FB">
      <w:pPr>
        <w:pStyle w:val="Heading5"/>
      </w:pPr>
      <w:bookmarkStart w:id="438" w:name="_Toc75875818"/>
      <w:r>
        <w:rPr>
          <w:rStyle w:val="CharSectno"/>
        </w:rPr>
        <w:t>245</w:t>
      </w:r>
      <w:r>
        <w:t>.</w:t>
      </w:r>
      <w:r>
        <w:tab/>
        <w:t>Motor vehicle turning ability</w:t>
      </w:r>
      <w:bookmarkEnd w:id="438"/>
    </w:p>
    <w:p w:rsidR="006724FB" w:rsidRDefault="006724FB">
      <w:pPr>
        <w:pStyle w:val="Subsection"/>
      </w:pPr>
      <w:r>
        <w:tab/>
        <w:t>(1)</w:t>
      </w:r>
      <w:r>
        <w:tab/>
        <w:t>A motor vehicle must be able to turn in a circle not over 25 m in diameter, measured by the outer edge of the tyre track at ground level.</w:t>
      </w:r>
    </w:p>
    <w:p w:rsidR="006724FB" w:rsidRDefault="006724FB">
      <w:pPr>
        <w:pStyle w:val="Subsection"/>
      </w:pPr>
      <w:r>
        <w:tab/>
        <w:t>(2)</w:t>
      </w:r>
      <w:r>
        <w:tab/>
        <w:t>The vehicle must be able to comply with subregulation (1) whether it turns to the left or to the right.</w:t>
      </w:r>
    </w:p>
    <w:p w:rsidR="006724FB" w:rsidRDefault="006724FB">
      <w:pPr>
        <w:pStyle w:val="Heading5"/>
      </w:pPr>
      <w:bookmarkStart w:id="439" w:name="_Toc75875819"/>
      <w:r>
        <w:rPr>
          <w:rStyle w:val="CharSectno"/>
        </w:rPr>
        <w:t>246</w:t>
      </w:r>
      <w:r>
        <w:t>.</w:t>
      </w:r>
      <w:r>
        <w:tab/>
        <w:t>Motor vehicles to travel backwards and forwards</w:t>
      </w:r>
      <w:bookmarkEnd w:id="439"/>
    </w:p>
    <w:p w:rsidR="006724FB" w:rsidRDefault="006724FB">
      <w:pPr>
        <w:pStyle w:val="Subsection"/>
      </w:pPr>
      <w:r>
        <w:tab/>
      </w:r>
      <w:r>
        <w:tab/>
        <w:t>A motor vehicle with an unloaded mass over 450 kg must be able to be driven both backwards and forwards when the driver is in the normal driving position.</w:t>
      </w:r>
    </w:p>
    <w:p w:rsidR="006724FB" w:rsidRDefault="006724FB">
      <w:pPr>
        <w:pStyle w:val="Heading5"/>
      </w:pPr>
      <w:bookmarkStart w:id="440" w:name="_Toc75875820"/>
      <w:r>
        <w:rPr>
          <w:rStyle w:val="CharSectno"/>
        </w:rPr>
        <w:t>247</w:t>
      </w:r>
      <w:r>
        <w:t>.</w:t>
      </w:r>
      <w:r>
        <w:tab/>
        <w:t>Protrusions to certain vehicles</w:t>
      </w:r>
      <w:bookmarkEnd w:id="440"/>
    </w:p>
    <w:p w:rsidR="006724FB" w:rsidRDefault="006724FB">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rsidR="006724FB" w:rsidRDefault="006724FB">
      <w:pPr>
        <w:pStyle w:val="Subsection"/>
        <w:keepNext/>
      </w:pPr>
      <w:r>
        <w:lastRenderedPageBreak/>
        <w:tab/>
        <w:t>(2)</w:t>
      </w:r>
      <w:r>
        <w:tab/>
        <w:t>However, subregulation (1) does not apply to an object fitted to a motor vehicle, trailer or any vehicle in a combination if —</w:t>
      </w:r>
    </w:p>
    <w:p w:rsidR="006724FB" w:rsidRDefault="006724FB">
      <w:pPr>
        <w:pStyle w:val="Indenta"/>
      </w:pPr>
      <w:r>
        <w:tab/>
        <w:t>(a)</w:t>
      </w:r>
      <w:r>
        <w:tab/>
        <w:t>the vehicle was designed before 1965 and the object was part of the design of the vehicle; or</w:t>
      </w:r>
    </w:p>
    <w:p w:rsidR="006724FB" w:rsidRDefault="006724FB">
      <w:pPr>
        <w:pStyle w:val="Indenta"/>
      </w:pPr>
      <w:r>
        <w:tab/>
        <w:t>(b)</w:t>
      </w:r>
      <w:r>
        <w:tab/>
        <w:t>the object was fitted to the vehicle before 1965 in accordance with the law of the place where the object was fitted.</w:t>
      </w:r>
    </w:p>
    <w:p w:rsidR="006724FB" w:rsidRDefault="006724FB">
      <w:pPr>
        <w:pStyle w:val="Heading5"/>
      </w:pPr>
      <w:bookmarkStart w:id="441" w:name="_Toc75875821"/>
      <w:r>
        <w:rPr>
          <w:rStyle w:val="CharSectno"/>
        </w:rPr>
        <w:t>248</w:t>
      </w:r>
      <w:r>
        <w:t>.</w:t>
      </w:r>
      <w:r>
        <w:tab/>
        <w:t>Motor vehicle view and controls</w:t>
      </w:r>
      <w:bookmarkEnd w:id="441"/>
    </w:p>
    <w:p w:rsidR="006724FB" w:rsidRDefault="006724FB">
      <w:pPr>
        <w:pStyle w:val="Subsection"/>
        <w:keepNext/>
      </w:pPr>
      <w:r>
        <w:tab/>
      </w:r>
      <w:r>
        <w:tab/>
        <w:t>A motor vehicle must be built —</w:t>
      </w:r>
    </w:p>
    <w:p w:rsidR="006724FB" w:rsidRDefault="006724FB">
      <w:pPr>
        <w:pStyle w:val="Indenta"/>
      </w:pPr>
      <w:r>
        <w:tab/>
        <w:t>(a)</w:t>
      </w:r>
      <w:r>
        <w:tab/>
        <w:t>to allow the driver a view of the road and of traffic to the front and sides of the vehicle so the driver can drive the vehicle safely; and</w:t>
      </w:r>
    </w:p>
    <w:p w:rsidR="006724FB" w:rsidRDefault="006724FB">
      <w:pPr>
        <w:pStyle w:val="Indenta"/>
      </w:pPr>
      <w:r>
        <w:tab/>
        <w:t>(b)</w:t>
      </w:r>
      <w:r>
        <w:tab/>
        <w:t>with its controls located so the driver can drive the vehicle safely.</w:t>
      </w:r>
    </w:p>
    <w:p w:rsidR="006724FB" w:rsidRDefault="006724FB">
      <w:pPr>
        <w:pStyle w:val="Heading5"/>
      </w:pPr>
      <w:bookmarkStart w:id="442" w:name="_Toc75875822"/>
      <w:r>
        <w:rPr>
          <w:rStyle w:val="CharSectno"/>
        </w:rPr>
        <w:t>249</w:t>
      </w:r>
      <w:r>
        <w:t>.</w:t>
      </w:r>
      <w:r>
        <w:tab/>
        <w:t>Seating</w:t>
      </w:r>
      <w:bookmarkEnd w:id="442"/>
    </w:p>
    <w:p w:rsidR="006724FB" w:rsidRDefault="006724FB">
      <w:pPr>
        <w:pStyle w:val="Subsection"/>
      </w:pPr>
      <w:r>
        <w:tab/>
      </w:r>
      <w:r>
        <w:tab/>
        <w:t>A seat for a driver or passenger in a vehicle must be securely attached to the vehicle.</w:t>
      </w:r>
    </w:p>
    <w:p w:rsidR="006724FB" w:rsidRDefault="006724FB">
      <w:pPr>
        <w:pStyle w:val="Heading5"/>
      </w:pPr>
      <w:bookmarkStart w:id="443" w:name="_Toc75875823"/>
      <w:r>
        <w:rPr>
          <w:rStyle w:val="CharSectno"/>
        </w:rPr>
        <w:t>250</w:t>
      </w:r>
      <w:r>
        <w:t>.</w:t>
      </w:r>
      <w:r>
        <w:tab/>
        <w:t>Mudguards and spray suppression for certain vehicles</w:t>
      </w:r>
      <w:bookmarkEnd w:id="443"/>
    </w:p>
    <w:p w:rsidR="006724FB" w:rsidRDefault="006724FB">
      <w:pPr>
        <w:pStyle w:val="Subsection"/>
      </w:pPr>
      <w:r>
        <w:tab/>
        <w:t>(1)</w:t>
      </w:r>
      <w:r>
        <w:tab/>
        <w:t>A motor vehicle, trailer or any vehicle in a combination must have firmly fitted a mudguard for each wheel or for adjacent wheels.</w:t>
      </w:r>
    </w:p>
    <w:p w:rsidR="006724FB" w:rsidRDefault="006724FB">
      <w:pPr>
        <w:pStyle w:val="Subsection"/>
        <w:keepNext/>
      </w:pPr>
      <w:r>
        <w:tab/>
        <w:t>(2)</w:t>
      </w:r>
      <w:r>
        <w:tab/>
        <w:t>Subregulation (1) does not apply to a vehicle if —</w:t>
      </w:r>
    </w:p>
    <w:p w:rsidR="006724FB" w:rsidRDefault="006724FB">
      <w:pPr>
        <w:pStyle w:val="Indenta"/>
      </w:pPr>
      <w:r>
        <w:tab/>
        <w:t>(a)</w:t>
      </w:r>
      <w:r>
        <w:tab/>
        <w:t>the construction or use of the vehicle makes the fitting of mudguards unnecessary or impracticable; or</w:t>
      </w:r>
    </w:p>
    <w:p w:rsidR="006724FB" w:rsidRDefault="006724FB">
      <w:pPr>
        <w:pStyle w:val="Indenta"/>
      </w:pPr>
      <w:r>
        <w:tab/>
        <w:t>(b)</w:t>
      </w:r>
      <w:r>
        <w:tab/>
        <w:t>the body or part of the body of the vehicle acts as a mudguard.</w:t>
      </w:r>
    </w:p>
    <w:p w:rsidR="006724FB" w:rsidRDefault="006724FB">
      <w:pPr>
        <w:pStyle w:val="Subsection"/>
        <w:keepNext/>
      </w:pPr>
      <w:r>
        <w:tab/>
        <w:t>(3)</w:t>
      </w:r>
      <w:r>
        <w:tab/>
        <w:t xml:space="preserve">A mudguard fitted to a heavy vehicle must, when the wheels of the vehicle are in position to move straight ahead — </w:t>
      </w:r>
    </w:p>
    <w:p w:rsidR="006724FB" w:rsidRDefault="006724FB">
      <w:pPr>
        <w:pStyle w:val="Indenta"/>
      </w:pPr>
      <w:r>
        <w:tab/>
        <w:t>(a)</w:t>
      </w:r>
      <w:r>
        <w:tab/>
        <w:t>reduce the danger of a person contacting the moving wheels; and</w:t>
      </w:r>
    </w:p>
    <w:p w:rsidR="006724FB" w:rsidRDefault="006724FB">
      <w:pPr>
        <w:pStyle w:val="Indenta"/>
        <w:keepNext/>
      </w:pPr>
      <w:r>
        <w:lastRenderedPageBreak/>
        <w:tab/>
        <w:t>(b)</w:t>
      </w:r>
      <w:r>
        <w:tab/>
        <w:t xml:space="preserve">for the rear wheels — </w:t>
      </w:r>
    </w:p>
    <w:p w:rsidR="006724FB" w:rsidRDefault="006724FB">
      <w:pPr>
        <w:pStyle w:val="Indenti"/>
      </w:pPr>
      <w:r>
        <w:tab/>
        <w:t>(i)</w:t>
      </w:r>
      <w:r>
        <w:tab/>
        <w:t>cover the overall tyre width of the wheel or wheels to which it is fitted; and</w:t>
      </w:r>
    </w:p>
    <w:p w:rsidR="006724FB" w:rsidRDefault="006724FB">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rsidR="006724FB" w:rsidRDefault="006724FB">
      <w:pPr>
        <w:pStyle w:val="Subsection"/>
        <w:keepNext/>
      </w:pPr>
      <w:r>
        <w:tab/>
        <w:t>(4)</w:t>
      </w:r>
      <w:r>
        <w:tab/>
        <w:t xml:space="preserve">However, a mudguard may be up to — </w:t>
      </w:r>
    </w:p>
    <w:p w:rsidR="006724FB" w:rsidRDefault="006724FB">
      <w:pPr>
        <w:pStyle w:val="Indenta"/>
      </w:pPr>
      <w:r>
        <w:tab/>
        <w:t>(a)</w:t>
      </w:r>
      <w:r>
        <w:tab/>
        <w:t>230 mm above ground level; or</w:t>
      </w:r>
    </w:p>
    <w:p w:rsidR="006724FB" w:rsidRDefault="006724FB">
      <w:pPr>
        <w:pStyle w:val="Indenta"/>
      </w:pPr>
      <w:r>
        <w:tab/>
        <w:t>(b)</w:t>
      </w:r>
      <w:r>
        <w:tab/>
        <w:t>on a vehicle built to be used off road — 300 mm above ground level.</w:t>
      </w:r>
    </w:p>
    <w:p w:rsidR="006724FB" w:rsidRDefault="006724FB">
      <w:pPr>
        <w:pStyle w:val="Subsection"/>
        <w:keepNext/>
      </w:pPr>
      <w:r>
        <w:tab/>
        <w:t>(5)</w:t>
      </w:r>
      <w:r>
        <w:tab/>
        <w:t xml:space="preserve">The outside of a rear mudguard, except a mudflap, of a motor vehicle, trailer or any vehicle in a combination that can be seen from the rear of the vehicle must be coloured white or silver if the vehicle — </w:t>
      </w:r>
    </w:p>
    <w:p w:rsidR="006724FB" w:rsidRDefault="006724FB">
      <w:pPr>
        <w:pStyle w:val="Indenta"/>
      </w:pPr>
      <w:r>
        <w:tab/>
        <w:t>(a)</w:t>
      </w:r>
      <w:r>
        <w:tab/>
        <w:t>is at least 2.2 m wide; and</w:t>
      </w:r>
    </w:p>
    <w:p w:rsidR="006724FB" w:rsidRDefault="006724FB">
      <w:pPr>
        <w:pStyle w:val="Indenta"/>
      </w:pPr>
      <w:r>
        <w:tab/>
        <w:t>(b)</w:t>
      </w:r>
      <w:r>
        <w:tab/>
        <w:t>has a body the vertical measurement of which is under 300 mm at the rear, measured from the lowest point of the body above ground level to the highest point; and</w:t>
      </w:r>
    </w:p>
    <w:p w:rsidR="006724FB" w:rsidRDefault="006724FB">
      <w:pPr>
        <w:pStyle w:val="Indenta"/>
      </w:pPr>
      <w:r>
        <w:tab/>
        <w:t>(c)</w:t>
      </w:r>
      <w:r>
        <w:tab/>
        <w:t>is not fitted with rear marking plates in accordance with regulation 328.</w:t>
      </w:r>
    </w:p>
    <w:p w:rsidR="006724FB" w:rsidRDefault="006724FB">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rsidR="006724FB" w:rsidRDefault="006724FB">
      <w:pPr>
        <w:pStyle w:val="Heading5"/>
      </w:pPr>
      <w:bookmarkStart w:id="444" w:name="_Toc75875824"/>
      <w:r>
        <w:rPr>
          <w:rStyle w:val="CharSectno"/>
        </w:rPr>
        <w:t>251</w:t>
      </w:r>
      <w:r>
        <w:t>.</w:t>
      </w:r>
      <w:r>
        <w:tab/>
        <w:t>Motor vehicle horns, alarms</w:t>
      </w:r>
      <w:bookmarkEnd w:id="444"/>
    </w:p>
    <w:p w:rsidR="006724FB" w:rsidRDefault="006724FB">
      <w:pPr>
        <w:pStyle w:val="Subsection"/>
      </w:pPr>
      <w:r>
        <w:tab/>
        <w:t>(1)</w:t>
      </w:r>
      <w:r>
        <w:tab/>
        <w:t>A motor vehicle must be fitted with at least one horn or other device that can give sufficient audible warning to other road users of the approach or position of the vehicle.</w:t>
      </w:r>
    </w:p>
    <w:p w:rsidR="006724FB" w:rsidRDefault="006724FB">
      <w:pPr>
        <w:pStyle w:val="Subsection"/>
        <w:keepNext/>
      </w:pPr>
      <w:r>
        <w:lastRenderedPageBreak/>
        <w:tab/>
        <w:t>(2)</w:t>
      </w:r>
      <w:r>
        <w:tab/>
        <w:t xml:space="preserve">A motor vehicle must not be fitted with a device that can make a sound — </w:t>
      </w:r>
    </w:p>
    <w:p w:rsidR="006724FB" w:rsidRDefault="006724FB">
      <w:pPr>
        <w:pStyle w:val="Indenta"/>
      </w:pPr>
      <w:r>
        <w:tab/>
        <w:t>(a)</w:t>
      </w:r>
      <w:r>
        <w:tab/>
        <w:t>like the sound of a siren, bell, exhaust whistle or compression whistle; or</w:t>
      </w:r>
    </w:p>
    <w:p w:rsidR="006724FB" w:rsidRDefault="006724FB">
      <w:pPr>
        <w:pStyle w:val="Indenta"/>
      </w:pPr>
      <w:r>
        <w:tab/>
        <w:t>(b)</w:t>
      </w:r>
      <w:r>
        <w:tab/>
        <w:t>alternating between different tones or frequencies on a regular time cycle.</w:t>
      </w:r>
    </w:p>
    <w:p w:rsidR="006724FB" w:rsidRDefault="006724FB">
      <w:pPr>
        <w:pStyle w:val="Subsection"/>
        <w:keepNext/>
      </w:pPr>
      <w:r>
        <w:tab/>
        <w:t>(3)</w:t>
      </w:r>
      <w:r>
        <w:tab/>
        <w:t>Subregulation (2) does not apply to —</w:t>
      </w:r>
    </w:p>
    <w:p w:rsidR="006724FB" w:rsidRDefault="006724FB">
      <w:pPr>
        <w:pStyle w:val="Indenta"/>
      </w:pPr>
      <w:r>
        <w:tab/>
        <w:t>(a)</w:t>
      </w:r>
      <w:r>
        <w:tab/>
        <w:t>an emergency vehicle; or</w:t>
      </w:r>
    </w:p>
    <w:p w:rsidR="006724FB" w:rsidRDefault="006724FB">
      <w:pPr>
        <w:pStyle w:val="Indenta"/>
      </w:pPr>
      <w:r>
        <w:tab/>
        <w:t>(b)</w:t>
      </w:r>
      <w:r>
        <w:tab/>
        <w:t>a transport enforcement vehicle; or</w:t>
      </w:r>
    </w:p>
    <w:p w:rsidR="006724FB" w:rsidRDefault="006724FB">
      <w:pPr>
        <w:pStyle w:val="Indenta"/>
      </w:pPr>
      <w:r>
        <w:tab/>
        <w:t>(c)</w:t>
      </w:r>
      <w:r>
        <w:tab/>
        <w:t>an Australian Protective Service vehicle; or</w:t>
      </w:r>
    </w:p>
    <w:p w:rsidR="006724FB" w:rsidRDefault="006724FB">
      <w:pPr>
        <w:pStyle w:val="Indenta"/>
      </w:pPr>
      <w:r>
        <w:tab/>
        <w:t>(d)</w:t>
      </w:r>
      <w:r>
        <w:tab/>
        <w:t>an Australian Border Force vehicle; or</w:t>
      </w:r>
    </w:p>
    <w:p w:rsidR="006724FB" w:rsidRDefault="006724FB">
      <w:pPr>
        <w:pStyle w:val="Indenta"/>
      </w:pPr>
      <w:r>
        <w:tab/>
        <w:t>(e)</w:t>
      </w:r>
      <w:r>
        <w:tab/>
        <w:t>an Airservices Australia vehicle; or</w:t>
      </w:r>
    </w:p>
    <w:p w:rsidR="006724FB" w:rsidRDefault="006724FB">
      <w:pPr>
        <w:pStyle w:val="Indenta"/>
        <w:keepNext/>
      </w:pPr>
      <w:r>
        <w:tab/>
        <w:t>(f)</w:t>
      </w:r>
      <w:r>
        <w:tab/>
        <w:t>a vehicle at least 25 years old that is fitted as an emergency vehicle if —</w:t>
      </w:r>
    </w:p>
    <w:p w:rsidR="006724FB" w:rsidRDefault="006724FB">
      <w:pPr>
        <w:pStyle w:val="Indenti"/>
      </w:pPr>
      <w:r>
        <w:tab/>
        <w:t>(i)</w:t>
      </w:r>
      <w:r>
        <w:tab/>
        <w:t>the vehicle is used for exhibition purposes; or</w:t>
      </w:r>
    </w:p>
    <w:p w:rsidR="006724FB" w:rsidRDefault="006724FB">
      <w:pPr>
        <w:pStyle w:val="Indenti"/>
      </w:pPr>
      <w:r>
        <w:tab/>
        <w:t>(ii)</w:t>
      </w:r>
      <w:r>
        <w:tab/>
        <w:t>it is part of a collection of former emergency vehicles;</w:t>
      </w:r>
    </w:p>
    <w:p w:rsidR="006724FB" w:rsidRDefault="006724FB">
      <w:pPr>
        <w:pStyle w:val="Indenta"/>
      </w:pPr>
      <w:r>
        <w:tab/>
      </w:r>
      <w:r>
        <w:tab/>
        <w:t>or</w:t>
      </w:r>
    </w:p>
    <w:p w:rsidR="006724FB" w:rsidRDefault="006724FB">
      <w:pPr>
        <w:pStyle w:val="Indenta"/>
      </w:pPr>
      <w:r>
        <w:tab/>
        <w:t>(g)</w:t>
      </w:r>
      <w:r>
        <w:tab/>
        <w:t>an anti</w:t>
      </w:r>
      <w:r>
        <w:noBreakHyphen/>
        <w:t>theft alarm if the alarm cannot be operated while the vehicle’s ignition is on.</w:t>
      </w:r>
    </w:p>
    <w:p w:rsidR="006724FB" w:rsidRDefault="006724FB">
      <w:pPr>
        <w:pStyle w:val="Subsection"/>
        <w:keepNext/>
      </w:pPr>
      <w:r>
        <w:tab/>
        <w:t>(4)</w:t>
      </w:r>
      <w:r>
        <w:tab/>
        <w:t xml:space="preserve">A motor vehicle may be fitted with a device that — </w:t>
      </w:r>
    </w:p>
    <w:p w:rsidR="006724FB" w:rsidRDefault="006724FB">
      <w:pPr>
        <w:pStyle w:val="Indenta"/>
      </w:pPr>
      <w:r>
        <w:tab/>
        <w:t>(a)</w:t>
      </w:r>
      <w:r>
        <w:tab/>
        <w:t>emits a regular, intermittent sound while the vehicle is reversing or in reverse gear; and</w:t>
      </w:r>
    </w:p>
    <w:p w:rsidR="006724FB" w:rsidRDefault="006724FB">
      <w:pPr>
        <w:pStyle w:val="Indenta"/>
      </w:pPr>
      <w:r>
        <w:tab/>
        <w:t>(b)</w:t>
      </w:r>
      <w:r>
        <w:tab/>
        <w:t>is not louder than is necessary so the driver, and a person near the vehicle, can hear the device when it is operating.</w:t>
      </w:r>
    </w:p>
    <w:p w:rsidR="006724FB" w:rsidRDefault="006724FB">
      <w:pPr>
        <w:pStyle w:val="Footnotesection"/>
      </w:pPr>
      <w:r>
        <w:tab/>
        <w:t>[Regulation 251 amended: Gazette 29 Mar 2019 p. 964.]</w:t>
      </w:r>
    </w:p>
    <w:p w:rsidR="006724FB" w:rsidRDefault="006724FB">
      <w:pPr>
        <w:pStyle w:val="Heading5"/>
      </w:pPr>
      <w:bookmarkStart w:id="445" w:name="_Toc75875825"/>
      <w:r>
        <w:rPr>
          <w:rStyle w:val="CharSectno"/>
        </w:rPr>
        <w:t>252</w:t>
      </w:r>
      <w:r>
        <w:t>.</w:t>
      </w:r>
      <w:r>
        <w:tab/>
        <w:t>Motor vehicle rear vision mirrors</w:t>
      </w:r>
      <w:bookmarkEnd w:id="445"/>
    </w:p>
    <w:p w:rsidR="006724FB" w:rsidRDefault="006724FB">
      <w:pPr>
        <w:pStyle w:val="Subsection"/>
        <w:spacing w:before="100"/>
      </w:pPr>
      <w:r>
        <w:tab/>
        <w:t>(1)</w:t>
      </w:r>
      <w:r>
        <w:tab/>
        <w:t xml:space="preserve">A rear vision mirror or mirrors must be fitted to a motor vehicle as required by this regulation so that a driver of the vehicle can </w:t>
      </w:r>
      <w:r>
        <w:lastRenderedPageBreak/>
        <w:t>clearly see by reflection the road behind the vehicle and any following or overtaking vehicle.</w:t>
      </w:r>
    </w:p>
    <w:p w:rsidR="006724FB" w:rsidRDefault="006724FB">
      <w:pPr>
        <w:pStyle w:val="Subsection"/>
        <w:keepNext/>
      </w:pPr>
      <w:r>
        <w:tab/>
        <w:t>(2)</w:t>
      </w:r>
      <w:r>
        <w:tab/>
        <w:t>At least one rear vision mirror must be fitted to these vehicles —</w:t>
      </w:r>
    </w:p>
    <w:p w:rsidR="006724FB" w:rsidRDefault="006724FB">
      <w:pPr>
        <w:pStyle w:val="Indenta"/>
      </w:pPr>
      <w:r>
        <w:tab/>
        <w:t>(a)</w:t>
      </w:r>
      <w:r>
        <w:tab/>
        <w:t>a car;</w:t>
      </w:r>
    </w:p>
    <w:p w:rsidR="006724FB" w:rsidRDefault="006724FB">
      <w:pPr>
        <w:pStyle w:val="Indenta"/>
      </w:pPr>
      <w:r>
        <w:tab/>
        <w:t>(b)</w:t>
      </w:r>
      <w:r>
        <w:tab/>
        <w:t>a motor tricycle with 2 front wheels;</w:t>
      </w:r>
    </w:p>
    <w:p w:rsidR="006724FB" w:rsidRDefault="006724FB">
      <w:pPr>
        <w:pStyle w:val="Indenta"/>
      </w:pPr>
      <w:r>
        <w:tab/>
        <w:t>(c)</w:t>
      </w:r>
      <w:r>
        <w:tab/>
        <w:t>a motor cycle, or motor tricycle with one front wheel, built before July 1975.</w:t>
      </w:r>
    </w:p>
    <w:p w:rsidR="006724FB" w:rsidRDefault="006724FB">
      <w:pPr>
        <w:pStyle w:val="Subsection"/>
        <w:keepNext/>
      </w:pPr>
      <w:r>
        <w:tab/>
        <w:t>(3)</w:t>
      </w:r>
      <w:r>
        <w:tab/>
        <w:t xml:space="preserve">At least one rear vision mirror must be fitted to each side of these vehicles — </w:t>
      </w:r>
    </w:p>
    <w:p w:rsidR="006724FB" w:rsidRDefault="006724FB">
      <w:pPr>
        <w:pStyle w:val="Indenta"/>
      </w:pPr>
      <w:r>
        <w:tab/>
        <w:t>(a)</w:t>
      </w:r>
      <w:r>
        <w:tab/>
        <w:t>a motor vehicle with a GVM of more than 3.5 t;</w:t>
      </w:r>
    </w:p>
    <w:p w:rsidR="006724FB" w:rsidRDefault="006724FB">
      <w:pPr>
        <w:pStyle w:val="Indenta"/>
      </w:pPr>
      <w:r>
        <w:tab/>
        <w:t>(b)</w:t>
      </w:r>
      <w:r>
        <w:tab/>
        <w:t>a motor cycle, or motor tricycle with one front wheel, built after June 1975.</w:t>
      </w:r>
    </w:p>
    <w:p w:rsidR="006724FB" w:rsidRDefault="006724FB">
      <w:pPr>
        <w:pStyle w:val="Subsection"/>
        <w:keepNext/>
      </w:pPr>
      <w:r>
        <w:tab/>
        <w:t>(4)</w:t>
      </w:r>
      <w:r>
        <w:tab/>
        <w:t xml:space="preserve">A motor vehicle with a GVM of 3.5 t or less (except a motor vehicle mentioned in subregulation (2) or (3)) must be fitted with — </w:t>
      </w:r>
    </w:p>
    <w:p w:rsidR="006724FB" w:rsidRDefault="006724FB">
      <w:pPr>
        <w:pStyle w:val="Indenta"/>
      </w:pPr>
      <w:r>
        <w:tab/>
        <w:t>(a)</w:t>
      </w:r>
      <w:r>
        <w:tab/>
        <w:t>at least one rear vision mirror on the right side of the vehicle; and</w:t>
      </w:r>
    </w:p>
    <w:p w:rsidR="006724FB" w:rsidRDefault="006724FB">
      <w:pPr>
        <w:pStyle w:val="Indenta"/>
      </w:pPr>
      <w:r>
        <w:tab/>
        <w:t>(b)</w:t>
      </w:r>
      <w:r>
        <w:tab/>
        <w:t>at least one rear vision mirror on the left side of the vehicle or inside the vehicle.</w:t>
      </w:r>
    </w:p>
    <w:p w:rsidR="006724FB" w:rsidRDefault="006724FB">
      <w:pPr>
        <w:pStyle w:val="Subsection"/>
        <w:keepNext/>
      </w:pPr>
      <w:r>
        <w:tab/>
        <w:t>(5)</w:t>
      </w:r>
      <w:r>
        <w:tab/>
        <w:t xml:space="preserve">A rear vision mirror fitted to a motor vehicle with a GVM of more than 3.5 t must not project beyond the widest part of the vehicle (excluding lights, signalling devices and reflectors) — </w:t>
      </w:r>
    </w:p>
    <w:p w:rsidR="006724FB" w:rsidRDefault="006724FB">
      <w:pPr>
        <w:pStyle w:val="Indenta"/>
      </w:pPr>
      <w:r>
        <w:tab/>
        <w:t>(a)</w:t>
      </w:r>
      <w:r>
        <w:tab/>
        <w:t>over 230 mm if it can fold to project not over 150 mm beyond the widest part; or</w:t>
      </w:r>
    </w:p>
    <w:p w:rsidR="006724FB" w:rsidRDefault="006724FB">
      <w:pPr>
        <w:pStyle w:val="Indenta"/>
      </w:pPr>
      <w:r>
        <w:tab/>
        <w:t>(b)</w:t>
      </w:r>
      <w:r>
        <w:tab/>
        <w:t>otherwise, over 150 mm.</w:t>
      </w:r>
    </w:p>
    <w:p w:rsidR="006724FB" w:rsidRDefault="006724FB">
      <w:pPr>
        <w:pStyle w:val="Heading5"/>
      </w:pPr>
      <w:bookmarkStart w:id="446" w:name="_Toc75875826"/>
      <w:r>
        <w:rPr>
          <w:rStyle w:val="CharSectno"/>
        </w:rPr>
        <w:t>253</w:t>
      </w:r>
      <w:r>
        <w:t>.</w:t>
      </w:r>
      <w:r>
        <w:tab/>
        <w:t>Surfaces of rear vision mirrors</w:t>
      </w:r>
      <w:bookmarkEnd w:id="446"/>
    </w:p>
    <w:p w:rsidR="006724FB" w:rsidRDefault="006724FB">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rsidR="006724FB" w:rsidRDefault="006724FB">
      <w:pPr>
        <w:pStyle w:val="Subsection"/>
        <w:keepNext/>
      </w:pPr>
      <w:r>
        <w:lastRenderedPageBreak/>
        <w:tab/>
        <w:t>(2)</w:t>
      </w:r>
      <w:r>
        <w:tab/>
        <w:t>The reflecting surface of a rear vision mirror that is required to be fitted to a motor cycle or moped must —</w:t>
      </w:r>
    </w:p>
    <w:p w:rsidR="006724FB" w:rsidRDefault="006724FB">
      <w:pPr>
        <w:pStyle w:val="Indenta"/>
      </w:pPr>
      <w:r>
        <w:tab/>
        <w:t>(a)</w:t>
      </w:r>
      <w:r>
        <w:tab/>
        <w:t>each be of the same curvature; and</w:t>
      </w:r>
    </w:p>
    <w:p w:rsidR="006724FB" w:rsidRDefault="006724FB">
      <w:pPr>
        <w:pStyle w:val="Indenta"/>
      </w:pPr>
      <w:r>
        <w:tab/>
        <w:t>(b)</w:t>
      </w:r>
      <w:r>
        <w:tab/>
        <w:t>if convex, be part of a notional sphere with a radius of at least 1.2 m.</w:t>
      </w:r>
    </w:p>
    <w:p w:rsidR="006724FB" w:rsidRDefault="006724FB">
      <w:pPr>
        <w:pStyle w:val="Subsection"/>
      </w:pPr>
      <w:r>
        <w:tab/>
        <w:t>(3)</w:t>
      </w:r>
      <w:r>
        <w:tab/>
        <w:t>A motor vehicle may be fitted with additional rear vision mirror surfaces that are flat or convex or a combination of flat and convex surfaces.</w:t>
      </w:r>
    </w:p>
    <w:p w:rsidR="006724FB" w:rsidRDefault="006724FB">
      <w:pPr>
        <w:pStyle w:val="Heading5"/>
      </w:pPr>
      <w:bookmarkStart w:id="447" w:name="_Toc75875827"/>
      <w:r>
        <w:rPr>
          <w:rStyle w:val="CharSectno"/>
        </w:rPr>
        <w:t>254</w:t>
      </w:r>
      <w:r>
        <w:t>.</w:t>
      </w:r>
      <w:r>
        <w:tab/>
        <w:t>Motor vehicle automatic transmission</w:t>
      </w:r>
      <w:bookmarkEnd w:id="447"/>
    </w:p>
    <w:p w:rsidR="006724FB" w:rsidRDefault="006724FB">
      <w:pPr>
        <w:pStyle w:val="Subsection"/>
      </w:pPr>
      <w:r>
        <w:tab/>
        <w:t>(1)</w:t>
      </w:r>
      <w:r>
        <w:tab/>
        <w:t>This regulation applies only to a motor vehicle with 4 or more wheels.</w:t>
      </w:r>
    </w:p>
    <w:p w:rsidR="006724FB" w:rsidRDefault="006724FB">
      <w:pPr>
        <w:pStyle w:val="Subsection"/>
      </w:pPr>
      <w:r>
        <w:tab/>
        <w:t>(2)</w:t>
      </w:r>
      <w:r>
        <w:tab/>
        <w:t>A motor vehicle fitted with an automatic transmission must have an engine starter mechanism that cannot operate when the transmission control is in a position to drive the vehicle.</w:t>
      </w:r>
    </w:p>
    <w:p w:rsidR="006724FB" w:rsidRDefault="006724FB">
      <w:pPr>
        <w:pStyle w:val="Subsection"/>
      </w:pPr>
      <w:r>
        <w:tab/>
        <w:t>(3)</w:t>
      </w:r>
      <w:r>
        <w:tab/>
        <w:t>A motor vehicle built after 1975 that is fitted with an automatic transmission must have an indicator in the driver’s compartment showing the transmission control position.</w:t>
      </w:r>
    </w:p>
    <w:p w:rsidR="006724FB" w:rsidRDefault="006724FB">
      <w:pPr>
        <w:pStyle w:val="Heading5"/>
      </w:pPr>
      <w:bookmarkStart w:id="448" w:name="_Toc75875828"/>
      <w:r>
        <w:rPr>
          <w:rStyle w:val="CharSectno"/>
        </w:rPr>
        <w:t>255</w:t>
      </w:r>
      <w:r>
        <w:t>.</w:t>
      </w:r>
      <w:r>
        <w:tab/>
        <w:t>Motor vehicle diesel engines</w:t>
      </w:r>
      <w:bookmarkEnd w:id="448"/>
    </w:p>
    <w:p w:rsidR="006724FB" w:rsidRDefault="006724FB">
      <w:pPr>
        <w:pStyle w:val="Subsection"/>
      </w:pPr>
      <w:r>
        <w:tab/>
      </w:r>
      <w:r>
        <w:tab/>
        <w:t>A motor vehicle propelled by a diesel engine must be fitted with a device preventing the engine from being started accidentally or inadvertently.</w:t>
      </w:r>
    </w:p>
    <w:p w:rsidR="006724FB" w:rsidRDefault="006724FB">
      <w:pPr>
        <w:pStyle w:val="Footnotesection"/>
      </w:pPr>
      <w:r>
        <w:tab/>
        <w:t>[Regulation 255 amended: Gazette 29 Mar 2019 p. 964.]</w:t>
      </w:r>
    </w:p>
    <w:p w:rsidR="006724FB" w:rsidRDefault="006724FB">
      <w:pPr>
        <w:pStyle w:val="Heading5"/>
        <w:rPr>
          <w:rStyle w:val="DraftersNotes"/>
          <w:b/>
          <w:bCs/>
          <w:iCs/>
        </w:rPr>
      </w:pPr>
      <w:bookmarkStart w:id="449" w:name="_Toc75875829"/>
      <w:r>
        <w:rPr>
          <w:rStyle w:val="CharSectno"/>
        </w:rPr>
        <w:t>256</w:t>
      </w:r>
      <w:r>
        <w:t>.</w:t>
      </w:r>
      <w:r>
        <w:tab/>
        <w:t>Motor vehicle bonnet securing devices</w:t>
      </w:r>
      <w:bookmarkEnd w:id="449"/>
    </w:p>
    <w:p w:rsidR="006724FB" w:rsidRDefault="006724FB">
      <w:pPr>
        <w:pStyle w:val="Subsection"/>
      </w:pPr>
      <w:r>
        <w:tab/>
        <w:t>(1)</w:t>
      </w:r>
      <w:r>
        <w:tab/>
        <w:t>A motor vehicle with a moveable body panel forward of the windscreen that covers an engine or luggage storage or battery compartment, must have a device to secure the panel.</w:t>
      </w:r>
    </w:p>
    <w:p w:rsidR="006724FB" w:rsidRDefault="006724FB">
      <w:pPr>
        <w:pStyle w:val="Subsection"/>
      </w:pPr>
      <w:r>
        <w:tab/>
        <w:t>(2)</w:t>
      </w:r>
      <w:r>
        <w:tab/>
        <w:t>If the panel opens from the front in a way that partly or completely obstructs the driver’s forward view through the windscreen, the panel must have primary and secondary devices to secure the panel.</w:t>
      </w:r>
    </w:p>
    <w:p w:rsidR="006724FB" w:rsidRDefault="006724FB">
      <w:pPr>
        <w:pStyle w:val="Heading5"/>
      </w:pPr>
      <w:bookmarkStart w:id="450" w:name="_Toc75875830"/>
      <w:r>
        <w:rPr>
          <w:rStyle w:val="CharSectno"/>
        </w:rPr>
        <w:lastRenderedPageBreak/>
        <w:t>257</w:t>
      </w:r>
      <w:r>
        <w:t>.</w:t>
      </w:r>
      <w:r>
        <w:tab/>
        <w:t>Electrical wiring, connections and installations in various vehicles</w:t>
      </w:r>
      <w:bookmarkEnd w:id="450"/>
    </w:p>
    <w:p w:rsidR="006724FB" w:rsidRDefault="006724FB">
      <w:pPr>
        <w:pStyle w:val="Subsection"/>
        <w:keepNext/>
      </w:pPr>
      <w:r>
        <w:tab/>
        <w:t>(1)</w:t>
      </w:r>
      <w:r>
        <w:tab/>
        <w:t xml:space="preserve">The wiring of electrical equipment of a motor vehicle, trailer or any vehicle in a combination, except the high tension ignition wiring, must — </w:t>
      </w:r>
    </w:p>
    <w:p w:rsidR="006724FB" w:rsidRDefault="006724FB">
      <w:pPr>
        <w:pStyle w:val="Indenta"/>
      </w:pPr>
      <w:r>
        <w:tab/>
        <w:t>(a)</w:t>
      </w:r>
      <w:r>
        <w:tab/>
        <w:t>be supported at intervals of not over 600 mm, unless the vehicle is a pole</w:t>
      </w:r>
      <w:r>
        <w:noBreakHyphen/>
        <w:t>type trailer with a pole with an adjustable length, or an extendible trailer; and</w:t>
      </w:r>
    </w:p>
    <w:p w:rsidR="006724FB" w:rsidRDefault="006724FB">
      <w:pPr>
        <w:pStyle w:val="Indenta"/>
      </w:pPr>
      <w:r>
        <w:tab/>
        <w:t>(b)</w:t>
      </w:r>
      <w:r>
        <w:tab/>
        <w:t>be insulated at each of its joints; and</w:t>
      </w:r>
    </w:p>
    <w:p w:rsidR="006724FB" w:rsidRDefault="006724FB">
      <w:pPr>
        <w:pStyle w:val="Indenta"/>
        <w:keepNext/>
      </w:pPr>
      <w:r>
        <w:tab/>
        <w:t>(c)</w:t>
      </w:r>
      <w:r>
        <w:tab/>
        <w:t xml:space="preserve">be located where it cannot — </w:t>
      </w:r>
    </w:p>
    <w:p w:rsidR="006724FB" w:rsidRDefault="006724FB">
      <w:pPr>
        <w:pStyle w:val="Indenti"/>
      </w:pPr>
      <w:r>
        <w:tab/>
        <w:t>(i)</w:t>
      </w:r>
      <w:r>
        <w:tab/>
        <w:t>become overheated; or</w:t>
      </w:r>
    </w:p>
    <w:p w:rsidR="006724FB" w:rsidRDefault="006724FB">
      <w:pPr>
        <w:pStyle w:val="Indenti"/>
      </w:pPr>
      <w:r>
        <w:tab/>
        <w:t>(ii)</w:t>
      </w:r>
      <w:r>
        <w:tab/>
        <w:t>contact moving parts; or</w:t>
      </w:r>
    </w:p>
    <w:p w:rsidR="006724FB" w:rsidRDefault="006724FB">
      <w:pPr>
        <w:pStyle w:val="Indenti"/>
      </w:pPr>
      <w:r>
        <w:tab/>
        <w:t>(iii)</w:t>
      </w:r>
      <w:r>
        <w:tab/>
        <w:t>come near enough to the fuel system to be a fire hazard;</w:t>
      </w:r>
    </w:p>
    <w:p w:rsidR="006724FB" w:rsidRDefault="006724FB">
      <w:pPr>
        <w:pStyle w:val="Indenta"/>
      </w:pPr>
      <w:r>
        <w:tab/>
      </w:r>
      <w:r>
        <w:tab/>
        <w:t>and</w:t>
      </w:r>
    </w:p>
    <w:p w:rsidR="006724FB" w:rsidRDefault="006724FB">
      <w:pPr>
        <w:pStyle w:val="Indenta"/>
      </w:pPr>
      <w:r>
        <w:tab/>
        <w:t>(d)</w:t>
      </w:r>
      <w:r>
        <w:tab/>
        <w:t>be protected from chafing.</w:t>
      </w:r>
    </w:p>
    <w:p w:rsidR="006724FB" w:rsidRDefault="006724FB">
      <w:pPr>
        <w:pStyle w:val="Subsection"/>
      </w:pPr>
      <w:r>
        <w:tab/>
        <w:t>(1A)</w:t>
      </w:r>
      <w:r>
        <w:tab/>
        <w:t>The electrical components of a vehicle must be securely mounted.</w:t>
      </w:r>
    </w:p>
    <w:p w:rsidR="006724FB" w:rsidRDefault="006724FB">
      <w:pPr>
        <w:pStyle w:val="Subsection"/>
        <w:keepNext/>
      </w:pPr>
      <w:r>
        <w:tab/>
        <w:t>(2)</w:t>
      </w:r>
      <w:r>
        <w:tab/>
        <w:t xml:space="preserve">The electrical connectors between motor vehicles and trailers, for the operation of the vehicle lights required by this Part, must comply with — </w:t>
      </w:r>
    </w:p>
    <w:p w:rsidR="006724FB" w:rsidRDefault="006724FB">
      <w:pPr>
        <w:pStyle w:val="Indenta"/>
      </w:pPr>
      <w:r>
        <w:tab/>
        <w:t>(a)</w:t>
      </w:r>
      <w:r>
        <w:tab/>
        <w:t>AS 2513</w:t>
      </w:r>
      <w:r>
        <w:noBreakHyphen/>
        <w:t xml:space="preserve">1982 </w:t>
      </w:r>
      <w:r>
        <w:rPr>
          <w:i/>
        </w:rPr>
        <w:t>Electrical Connections for Trailer Vehicles</w:t>
      </w:r>
      <w:r>
        <w:t>; or</w:t>
      </w:r>
    </w:p>
    <w:p w:rsidR="006724FB" w:rsidRDefault="006724FB">
      <w:pPr>
        <w:pStyle w:val="Indenta"/>
      </w:pPr>
      <w:r>
        <w:tab/>
        <w:t>(b)</w:t>
      </w:r>
      <w:r>
        <w:tab/>
        <w:t>International Standards Organisation ISO 1185 — 1997; or</w:t>
      </w:r>
    </w:p>
    <w:p w:rsidR="006724FB" w:rsidRDefault="006724FB">
      <w:pPr>
        <w:pStyle w:val="Indenta"/>
      </w:pPr>
      <w:r>
        <w:tab/>
        <w:t>(c)</w:t>
      </w:r>
      <w:r>
        <w:tab/>
        <w:t>Society of Automotive Engineers SAE J 560 — 1998; or</w:t>
      </w:r>
    </w:p>
    <w:p w:rsidR="006724FB" w:rsidRDefault="006724FB">
      <w:pPr>
        <w:pStyle w:val="Indenta"/>
      </w:pPr>
      <w:r>
        <w:tab/>
        <w:t>(d)</w:t>
      </w:r>
      <w:r>
        <w:tab/>
        <w:t>AS 4735</w:t>
      </w:r>
      <w:r>
        <w:noBreakHyphen/>
        <w:t xml:space="preserve">2003 </w:t>
      </w:r>
      <w:r>
        <w:rPr>
          <w:i/>
        </w:rPr>
        <w:t>Heavy road vehicles — Electrical connectors for articulated vehicles</w:t>
      </w:r>
      <w:r>
        <w:t>.</w:t>
      </w:r>
    </w:p>
    <w:p w:rsidR="006724FB" w:rsidRDefault="006724FB">
      <w:pPr>
        <w:pStyle w:val="Subsection"/>
      </w:pPr>
      <w:r>
        <w:tab/>
        <w:t>(3)</w:t>
      </w:r>
      <w:r>
        <w:tab/>
        <w:t>A trailer must be equipped with an electrical conductor, independent of the trailer coupling, that provides a return path between the electrical circuits of the trailer and towing vehicle.</w:t>
      </w:r>
    </w:p>
    <w:p w:rsidR="006724FB" w:rsidRDefault="006724FB">
      <w:pPr>
        <w:pStyle w:val="Subsection"/>
      </w:pPr>
      <w:r>
        <w:lastRenderedPageBreak/>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rsidR="006724FB" w:rsidRDefault="006724FB">
      <w:pPr>
        <w:pStyle w:val="Footnotesection"/>
      </w:pPr>
      <w:r>
        <w:tab/>
        <w:t>[Regulation 257 amended: Gazette 29 Mar 2019 p. 965.]</w:t>
      </w:r>
    </w:p>
    <w:p w:rsidR="006724FB" w:rsidRDefault="006724FB">
      <w:pPr>
        <w:pStyle w:val="Heading5"/>
      </w:pPr>
      <w:bookmarkStart w:id="451" w:name="_Toc75875831"/>
      <w:r>
        <w:rPr>
          <w:rStyle w:val="CharSectno"/>
        </w:rPr>
        <w:t>258</w:t>
      </w:r>
      <w:r>
        <w:t>.</w:t>
      </w:r>
      <w:r>
        <w:tab/>
        <w:t>Motor vehicle TVs, VDUs</w:t>
      </w:r>
      <w:bookmarkEnd w:id="451"/>
    </w:p>
    <w:p w:rsidR="006724FB" w:rsidRDefault="006724FB">
      <w:pPr>
        <w:pStyle w:val="Subsection"/>
      </w:pPr>
      <w:r>
        <w:tab/>
        <w:t>(1)</w:t>
      </w:r>
      <w:r>
        <w:tab/>
        <w:t>A television receiver or visual display unit must not be installed in or on a motor vehicle so any part of the image on the screen is visible to the driver from the normal driving position.</w:t>
      </w:r>
    </w:p>
    <w:p w:rsidR="006724FB" w:rsidRDefault="006724FB">
      <w:pPr>
        <w:pStyle w:val="Subsection"/>
        <w:keepNext/>
      </w:pPr>
      <w:r>
        <w:tab/>
        <w:t>(2)</w:t>
      </w:r>
      <w:r>
        <w:tab/>
        <w:t xml:space="preserve">However, subregulation (1) does not apply to — </w:t>
      </w:r>
    </w:p>
    <w:p w:rsidR="006724FB" w:rsidRDefault="006724FB">
      <w:pPr>
        <w:pStyle w:val="Indenta"/>
      </w:pPr>
      <w:r>
        <w:tab/>
        <w:t>(a)</w:t>
      </w:r>
      <w:r>
        <w:tab/>
        <w:t>a television receiver or visual display unit that cannot be operated when the vehicle is moving; or</w:t>
      </w:r>
    </w:p>
    <w:p w:rsidR="006724FB" w:rsidRDefault="006724FB">
      <w:pPr>
        <w:pStyle w:val="Indenta"/>
      </w:pPr>
      <w:r>
        <w:tab/>
        <w:t>(b)</w:t>
      </w:r>
      <w:r>
        <w:tab/>
        <w:t>a driver’s aid in any vehicle or a destination sign in a bus.</w:t>
      </w:r>
    </w:p>
    <w:p w:rsidR="006724FB" w:rsidRDefault="006724FB">
      <w:pPr>
        <w:pStyle w:val="Subsection"/>
        <w:keepNext/>
      </w:pPr>
      <w:r>
        <w:tab/>
        <w:t>(3)</w:t>
      </w:r>
      <w:r>
        <w:tab/>
        <w:t xml:space="preserve">A television receiver, or visual display unit, and its associated equipment in or on a motor vehicle must be securely mounted in a position that — </w:t>
      </w:r>
    </w:p>
    <w:p w:rsidR="006724FB" w:rsidRDefault="006724FB">
      <w:pPr>
        <w:pStyle w:val="Indenta"/>
      </w:pPr>
      <w:r>
        <w:tab/>
        <w:t>(a)</w:t>
      </w:r>
      <w:r>
        <w:tab/>
        <w:t>does not obscure the driver’s view of the road; and</w:t>
      </w:r>
    </w:p>
    <w:p w:rsidR="006724FB" w:rsidRDefault="006724FB">
      <w:pPr>
        <w:pStyle w:val="Indenta"/>
      </w:pPr>
      <w:r>
        <w:tab/>
        <w:t>(b)</w:t>
      </w:r>
      <w:r>
        <w:tab/>
        <w:t>does not impede the movement of a person in the vehicle.</w:t>
      </w:r>
    </w:p>
    <w:p w:rsidR="006724FB" w:rsidRDefault="006724FB">
      <w:pPr>
        <w:pStyle w:val="Heading5"/>
      </w:pPr>
      <w:bookmarkStart w:id="452" w:name="_Toc75875832"/>
      <w:r>
        <w:rPr>
          <w:rStyle w:val="CharSectno"/>
        </w:rPr>
        <w:t>258A</w:t>
      </w:r>
      <w:r>
        <w:t>.</w:t>
      </w:r>
      <w:r>
        <w:tab/>
        <w:t>Motor vehicle windscreen to be fitted</w:t>
      </w:r>
      <w:bookmarkEnd w:id="452"/>
    </w:p>
    <w:p w:rsidR="006724FB" w:rsidRDefault="006724FB">
      <w:pPr>
        <w:pStyle w:val="Subsection"/>
      </w:pPr>
      <w:r>
        <w:tab/>
      </w:r>
      <w:r>
        <w:tab/>
        <w:t>A motor vehicle (other than a motor cycle, a motor tricycle or a moped) must be fitted with a windscreen if it is manufactured or designed to have a windscreen.</w:t>
      </w:r>
    </w:p>
    <w:p w:rsidR="006724FB" w:rsidRDefault="006724FB">
      <w:pPr>
        <w:pStyle w:val="Footnotesection"/>
      </w:pPr>
      <w:r>
        <w:tab/>
        <w:t>[Regulation 258A inserted: Gazette 29 Mar 2019 p. 965.]</w:t>
      </w:r>
    </w:p>
    <w:p w:rsidR="006724FB" w:rsidRDefault="006724FB">
      <w:pPr>
        <w:pStyle w:val="Heading5"/>
      </w:pPr>
      <w:bookmarkStart w:id="453" w:name="_Toc75875833"/>
      <w:r>
        <w:rPr>
          <w:rStyle w:val="CharSectno"/>
        </w:rPr>
        <w:lastRenderedPageBreak/>
        <w:t>259</w:t>
      </w:r>
      <w:r>
        <w:t>.</w:t>
      </w:r>
      <w:r>
        <w:tab/>
        <w:t>Motor vehicle windscreens and windows</w:t>
      </w:r>
      <w:bookmarkEnd w:id="453"/>
    </w:p>
    <w:p w:rsidR="006724FB" w:rsidRDefault="006724FB">
      <w:pPr>
        <w:pStyle w:val="Subsection"/>
        <w:keepNext/>
        <w:spacing w:before="100"/>
      </w:pPr>
      <w:r>
        <w:tab/>
        <w:t>(1)</w:t>
      </w:r>
      <w:r>
        <w:tab/>
        <w:t xml:space="preserve">In this regulation — </w:t>
      </w:r>
    </w:p>
    <w:p w:rsidR="006724FB" w:rsidRDefault="006724FB">
      <w:pPr>
        <w:pStyle w:val="Defstart"/>
        <w:keepNext/>
      </w:pPr>
      <w:r>
        <w:tab/>
      </w:r>
      <w:r>
        <w:rPr>
          <w:rStyle w:val="CharDefText"/>
        </w:rPr>
        <w:t>approved material</w:t>
      </w:r>
      <w:r>
        <w:t xml:space="preserve"> means material with the same characteristics as material mentioned in any of these standards — </w:t>
      </w:r>
    </w:p>
    <w:p w:rsidR="006724FB" w:rsidRDefault="006724FB">
      <w:pPr>
        <w:pStyle w:val="Defpara"/>
      </w:pPr>
      <w:r>
        <w:tab/>
        <w:t>(a)</w:t>
      </w:r>
      <w:r>
        <w:tab/>
        <w:t>AS R1</w:t>
      </w:r>
      <w:r>
        <w:noBreakHyphen/>
        <w:t xml:space="preserve">1965 </w:t>
      </w:r>
      <w:r>
        <w:rPr>
          <w:i/>
        </w:rPr>
        <w:t>Safety Glass for Land Transport</w:t>
      </w:r>
      <w:r>
        <w:t>;</w:t>
      </w:r>
    </w:p>
    <w:p w:rsidR="006724FB" w:rsidRDefault="006724FB">
      <w:pPr>
        <w:pStyle w:val="Defpara"/>
      </w:pPr>
      <w:r>
        <w:tab/>
        <w:t>(b)</w:t>
      </w:r>
      <w:r>
        <w:tab/>
        <w:t>AS R1</w:t>
      </w:r>
      <w:r>
        <w:noBreakHyphen/>
        <w:t xml:space="preserve">1968 </w:t>
      </w:r>
      <w:r>
        <w:rPr>
          <w:i/>
        </w:rPr>
        <w:t>Safety Glass for Land Transport</w:t>
      </w:r>
      <w:r>
        <w:t>;</w:t>
      </w:r>
    </w:p>
    <w:p w:rsidR="006724FB" w:rsidRDefault="006724FB">
      <w:pPr>
        <w:pStyle w:val="Defpara"/>
      </w:pPr>
      <w:r>
        <w:tab/>
        <w:t>(c)</w:t>
      </w:r>
      <w:r>
        <w:tab/>
        <w:t>AS 2080</w:t>
      </w:r>
      <w:r>
        <w:noBreakHyphen/>
        <w:t xml:space="preserve">1977 </w:t>
      </w:r>
      <w:r>
        <w:rPr>
          <w:i/>
        </w:rPr>
        <w:t>Safety Glass for Vehicles</w:t>
      </w:r>
      <w:r>
        <w:t>;</w:t>
      </w:r>
    </w:p>
    <w:p w:rsidR="006724FB" w:rsidRDefault="006724FB">
      <w:pPr>
        <w:pStyle w:val="Defpara"/>
      </w:pPr>
      <w:r>
        <w:tab/>
        <w:t>(d)</w:t>
      </w:r>
      <w:r>
        <w:tab/>
        <w:t xml:space="preserve">British Standard BS 857:1967 </w:t>
      </w:r>
      <w:r>
        <w:rPr>
          <w:i/>
        </w:rPr>
        <w:t>Specification for Safety Glass for Land Transport</w:t>
      </w:r>
      <w:r>
        <w:t>;</w:t>
      </w:r>
    </w:p>
    <w:p w:rsidR="006724FB" w:rsidRDefault="006724FB">
      <w:pPr>
        <w:pStyle w:val="Defpara"/>
      </w:pPr>
      <w:r>
        <w:tab/>
        <w:t>(e)</w:t>
      </w:r>
      <w:r>
        <w:tab/>
        <w:t xml:space="preserve">British Standard BS 5282:1975 </w:t>
      </w:r>
      <w:r>
        <w:rPr>
          <w:i/>
        </w:rPr>
        <w:t>Specification for Road Vehicle Safety Glass</w:t>
      </w:r>
      <w:r>
        <w:t>;</w:t>
      </w:r>
    </w:p>
    <w:p w:rsidR="006724FB" w:rsidRDefault="006724FB">
      <w:pPr>
        <w:pStyle w:val="Defpara"/>
      </w:pPr>
      <w:r>
        <w:tab/>
        <w:t>(f)</w:t>
      </w:r>
      <w:r>
        <w:tab/>
        <w:t xml:space="preserve">British Standard BS AU178:1980 </w:t>
      </w:r>
      <w:r>
        <w:rPr>
          <w:i/>
        </w:rPr>
        <w:t>Specification for Road Vehicle Safety Glass</w:t>
      </w:r>
      <w:r>
        <w:t>;</w:t>
      </w:r>
    </w:p>
    <w:p w:rsidR="006724FB" w:rsidRDefault="006724FB">
      <w:pPr>
        <w:pStyle w:val="Defpara"/>
      </w:pPr>
      <w:r>
        <w:tab/>
        <w:t>(g)</w:t>
      </w:r>
      <w:r>
        <w:tab/>
        <w:t>Japanese Industrial Standard JIS R 3211</w:t>
      </w:r>
      <w:r>
        <w:noBreakHyphen/>
        <w:t xml:space="preserve">1979 </w:t>
      </w:r>
      <w:r>
        <w:rPr>
          <w:i/>
        </w:rPr>
        <w:t>Safety Glasses for Road Vehicles</w:t>
      </w:r>
      <w:r>
        <w:t>;</w:t>
      </w:r>
    </w:p>
    <w:p w:rsidR="006724FB" w:rsidRDefault="006724FB">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rsidR="006724FB" w:rsidRDefault="006724FB">
      <w:pPr>
        <w:pStyle w:val="Defstart"/>
      </w:pPr>
      <w:r>
        <w:tab/>
      </w:r>
      <w:r>
        <w:rPr>
          <w:rStyle w:val="CharDefText"/>
        </w:rPr>
        <w:t>transparent material</w:t>
      </w:r>
      <w:r>
        <w:t xml:space="preserve"> does not include any coating added to the windscreen, window or partition after its manufacture.</w:t>
      </w:r>
    </w:p>
    <w:p w:rsidR="006724FB" w:rsidRDefault="006724FB">
      <w:pPr>
        <w:pStyle w:val="Subsection"/>
        <w:keepNext/>
      </w:pPr>
      <w:r>
        <w:tab/>
        <w:t>(2)</w:t>
      </w:r>
      <w:r>
        <w:tab/>
        <w:t xml:space="preserve">Transparent material used in a windscreen, window or an interior partition, of a motor vehicle must be of approved material if — </w:t>
      </w:r>
    </w:p>
    <w:p w:rsidR="006724FB" w:rsidRDefault="006724FB">
      <w:pPr>
        <w:pStyle w:val="Indenta"/>
      </w:pPr>
      <w:r>
        <w:tab/>
        <w:t>(a)</w:t>
      </w:r>
      <w:r>
        <w:tab/>
        <w:t>the vehicle was built after June 1953; or</w:t>
      </w:r>
    </w:p>
    <w:p w:rsidR="006724FB" w:rsidRDefault="006724FB">
      <w:pPr>
        <w:pStyle w:val="Indenta"/>
      </w:pPr>
      <w:r>
        <w:tab/>
        <w:t>(b)</w:t>
      </w:r>
      <w:r>
        <w:tab/>
        <w:t>the material was first fitted to the vehicle after June 1953.</w:t>
      </w:r>
    </w:p>
    <w:p w:rsidR="006724FB" w:rsidRDefault="006724FB">
      <w:pPr>
        <w:pStyle w:val="Footnotesection"/>
      </w:pPr>
      <w:r>
        <w:tab/>
        <w:t>[Regulation 259 amended: Gazette 29 Mar 2019 p. 965.]</w:t>
      </w:r>
    </w:p>
    <w:p w:rsidR="006724FB" w:rsidRDefault="006724FB">
      <w:pPr>
        <w:pStyle w:val="Heading5"/>
      </w:pPr>
      <w:bookmarkStart w:id="454" w:name="_Toc75875834"/>
      <w:r>
        <w:rPr>
          <w:rStyle w:val="CharSectno"/>
        </w:rPr>
        <w:lastRenderedPageBreak/>
        <w:t>260</w:t>
      </w:r>
      <w:r>
        <w:t>.</w:t>
      </w:r>
      <w:r>
        <w:tab/>
        <w:t>Motor vehicle window tinting</w:t>
      </w:r>
      <w:bookmarkEnd w:id="454"/>
    </w:p>
    <w:p w:rsidR="006724FB" w:rsidRDefault="006724FB">
      <w:pPr>
        <w:pStyle w:val="Subsection"/>
        <w:keepNext/>
      </w:pPr>
      <w:r>
        <w:tab/>
        <w:t>(1)</w:t>
      </w:r>
      <w:r>
        <w:tab/>
        <w:t xml:space="preserve">In this regulation — </w:t>
      </w:r>
    </w:p>
    <w:p w:rsidR="006724FB" w:rsidRDefault="006724FB">
      <w:pPr>
        <w:pStyle w:val="Defstart"/>
        <w:keepNext/>
      </w:pPr>
      <w:r>
        <w:tab/>
      </w:r>
      <w:r>
        <w:rPr>
          <w:rStyle w:val="CharDefText"/>
        </w:rPr>
        <w:t>glazing</w:t>
      </w:r>
      <w:r>
        <w:t xml:space="preserve"> — </w:t>
      </w:r>
    </w:p>
    <w:p w:rsidR="006724FB" w:rsidRDefault="006724FB">
      <w:pPr>
        <w:pStyle w:val="Defpara"/>
      </w:pPr>
      <w:r>
        <w:tab/>
        <w:t>(a)</w:t>
      </w:r>
      <w:r>
        <w:tab/>
        <w:t>means material that may be used in a windscreen, window or interior partition of a motor vehicle, through which the vehicle’s driver can see the road; but</w:t>
      </w:r>
    </w:p>
    <w:p w:rsidR="006724FB" w:rsidRDefault="006724FB">
      <w:pPr>
        <w:pStyle w:val="Defpara"/>
      </w:pPr>
      <w:r>
        <w:tab/>
        <w:t>(b)</w:t>
      </w:r>
      <w:r>
        <w:tab/>
        <w:t>does not include a coating added after manufacture of the material;</w:t>
      </w:r>
    </w:p>
    <w:p w:rsidR="006724FB" w:rsidRDefault="006724FB">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rsidR="006724FB" w:rsidRDefault="006724FB">
      <w:pPr>
        <w:pStyle w:val="Defstart"/>
      </w:pPr>
      <w:r>
        <w:tab/>
      </w:r>
      <w:r>
        <w:rPr>
          <w:rStyle w:val="CharDefText"/>
        </w:rPr>
        <w:t>rear glazing</w:t>
      </w:r>
      <w:r>
        <w:t>, for a motor vehicle, means glazing used in a window or interior partition of the motor vehicle located behind the driver in the normal driving position.</w:t>
      </w:r>
    </w:p>
    <w:p w:rsidR="006724FB" w:rsidRDefault="006724FB">
      <w:pPr>
        <w:pStyle w:val="Subsection"/>
      </w:pPr>
      <w:r>
        <w:tab/>
        <w:t>(2)</w:t>
      </w:r>
      <w:r>
        <w:tab/>
        <w:t>Glazing used in a windscreen of a motor vehicle must have a luminous transmittance of at least 70%.</w:t>
      </w:r>
    </w:p>
    <w:p w:rsidR="006724FB" w:rsidRDefault="006724FB">
      <w:pPr>
        <w:pStyle w:val="Subsection"/>
      </w:pPr>
      <w:r>
        <w:tab/>
        <w:t>(3)</w:t>
      </w:r>
      <w:r>
        <w:tab/>
        <w:t>Glazing used in a windscreen of a motor vehicle must not be coated in a way that reduces its luminous transmittance.</w:t>
      </w:r>
    </w:p>
    <w:p w:rsidR="006724FB" w:rsidRDefault="006724FB">
      <w:pPr>
        <w:pStyle w:val="Subsection"/>
        <w:keepNext/>
      </w:pPr>
      <w:r>
        <w:tab/>
        <w:t>(4)</w:t>
      </w:r>
      <w:r>
        <w:tab/>
        <w:t xml:space="preserve">Subregulations (2) and (3) do not apply to the greater of the following areas of a windscreen — </w:t>
      </w:r>
    </w:p>
    <w:p w:rsidR="006724FB" w:rsidRDefault="006724FB">
      <w:pPr>
        <w:pStyle w:val="Indenta"/>
      </w:pPr>
      <w:r>
        <w:tab/>
        <w:t>(a)</w:t>
      </w:r>
      <w:r>
        <w:tab/>
        <w:t>the area above the highest point of the windscreen that is swept by a windscreen wiper;</w:t>
      </w:r>
    </w:p>
    <w:p w:rsidR="006724FB" w:rsidRDefault="006724FB">
      <w:pPr>
        <w:pStyle w:val="Indenta"/>
      </w:pPr>
      <w:r>
        <w:tab/>
        <w:t>(b)</w:t>
      </w:r>
      <w:r>
        <w:tab/>
        <w:t>the upper 10% of the windscreen.</w:t>
      </w:r>
    </w:p>
    <w:p w:rsidR="006724FB" w:rsidRDefault="006724FB">
      <w:pPr>
        <w:pStyle w:val="Subsection"/>
      </w:pPr>
      <w:r>
        <w:tab/>
        <w:t>(5)</w:t>
      </w:r>
      <w:r>
        <w:tab/>
        <w:t>Glazing used in a window or interior partition of a motor vehicle must have a luminous transmittance of at least 70%.</w:t>
      </w:r>
    </w:p>
    <w:p w:rsidR="006724FB" w:rsidRDefault="006724FB">
      <w:pPr>
        <w:pStyle w:val="Subsection"/>
      </w:pPr>
      <w:r>
        <w:tab/>
        <w:t>(6)</w:t>
      </w:r>
      <w:r>
        <w:tab/>
        <w:t>Glazing used in a window or interior partition of a motor vehicle, other than rear glazing, may be coated to achieve a luminous transmittance of not less than 35%.</w:t>
      </w:r>
    </w:p>
    <w:p w:rsidR="006724FB" w:rsidRDefault="006724FB">
      <w:pPr>
        <w:pStyle w:val="Subsection"/>
      </w:pPr>
      <w:r>
        <w:lastRenderedPageBreak/>
        <w:tab/>
        <w:t>(7)</w:t>
      </w:r>
      <w:r>
        <w:tab/>
        <w:t>If a motor vehicle is fitted with at least 1 rear vision mirror to each side of the vehicle, the motor vehicle’s rear glazing may be coated to achieve a luminous transmittance of at least 20%.</w:t>
      </w:r>
    </w:p>
    <w:p w:rsidR="006724FB" w:rsidRDefault="006724FB">
      <w:pPr>
        <w:pStyle w:val="Subsection"/>
        <w:keepNext/>
      </w:pPr>
      <w:r>
        <w:tab/>
        <w:t>(8)</w:t>
      </w:r>
      <w:r>
        <w:tab/>
        <w:t xml:space="preserve">If all of the following apply to a motor vehicle, the motor vehicle’s rear glazing may be coated to achieve a luminous transmittance of 0% or more — </w:t>
      </w:r>
    </w:p>
    <w:p w:rsidR="006724FB" w:rsidRDefault="006724FB">
      <w:pPr>
        <w:pStyle w:val="Indenta"/>
      </w:pPr>
      <w:r>
        <w:tab/>
        <w:t>(a)</w:t>
      </w:r>
      <w:r>
        <w:tab/>
        <w:t>the vehicle is fitted with at least 1 rear vision mirror to each side of the vehicle;</w:t>
      </w:r>
    </w:p>
    <w:p w:rsidR="006724FB" w:rsidRDefault="006724FB">
      <w:pPr>
        <w:pStyle w:val="Indenta"/>
      </w:pPr>
      <w:r>
        <w:tab/>
        <w:t>(b)</w:t>
      </w:r>
      <w:r>
        <w:tab/>
        <w:t>the vehicle is designed primarily for the carriage of goods;</w:t>
      </w:r>
    </w:p>
    <w:p w:rsidR="006724FB" w:rsidRDefault="006724FB">
      <w:pPr>
        <w:pStyle w:val="Indenta"/>
        <w:keepNext/>
      </w:pPr>
      <w:r>
        <w:tab/>
        <w:t>(c)</w:t>
      </w:r>
      <w:r>
        <w:tab/>
        <w:t xml:space="preserve">the vehicle has — </w:t>
      </w:r>
    </w:p>
    <w:p w:rsidR="006724FB" w:rsidRDefault="006724FB">
      <w:pPr>
        <w:pStyle w:val="Indenti"/>
      </w:pPr>
      <w:r>
        <w:tab/>
        <w:t>(i)</w:t>
      </w:r>
      <w:r>
        <w:tab/>
        <w:t>at least 4 wheels; or</w:t>
      </w:r>
    </w:p>
    <w:p w:rsidR="006724FB" w:rsidRDefault="006724FB">
      <w:pPr>
        <w:pStyle w:val="Indenti"/>
      </w:pPr>
      <w:r>
        <w:tab/>
        <w:t>(ii)</w:t>
      </w:r>
      <w:r>
        <w:tab/>
        <w:t>at least 3 wheels and a GVM of more than 1 tonne.</w:t>
      </w:r>
    </w:p>
    <w:p w:rsidR="006724FB" w:rsidRDefault="006724FB">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rsidR="006724FB" w:rsidRDefault="006724FB">
      <w:pPr>
        <w:pStyle w:val="Subsection"/>
      </w:pPr>
      <w:r>
        <w:tab/>
        <w:t>(10)</w:t>
      </w:r>
      <w:r>
        <w:tab/>
        <w:t>Glazing used in a windscreen, window or interior partition of a motor vehicle that has been coated to reduce its luminous transmittance must not have a reflectance of more than 10%.</w:t>
      </w:r>
    </w:p>
    <w:p w:rsidR="006724FB" w:rsidRDefault="006724FB">
      <w:pPr>
        <w:pStyle w:val="Footnotesection"/>
      </w:pPr>
      <w:r>
        <w:tab/>
        <w:t>[Regulation 260 inserted: Gazette 29 Mar 2019 p. 965</w:t>
      </w:r>
      <w:r>
        <w:noBreakHyphen/>
        <w:t>6.]</w:t>
      </w:r>
    </w:p>
    <w:p w:rsidR="006724FB" w:rsidRDefault="006724FB">
      <w:pPr>
        <w:pStyle w:val="Heading5"/>
        <w:spacing w:before="160"/>
      </w:pPr>
      <w:bookmarkStart w:id="455" w:name="_Toc75875835"/>
      <w:r>
        <w:rPr>
          <w:rStyle w:val="CharSectno"/>
        </w:rPr>
        <w:t>261</w:t>
      </w:r>
      <w:r>
        <w:t>.</w:t>
      </w:r>
      <w:r>
        <w:tab/>
        <w:t>Motor vehicle windscreen wipers and washers</w:t>
      </w:r>
      <w:bookmarkEnd w:id="455"/>
    </w:p>
    <w:p w:rsidR="006724FB" w:rsidRDefault="006724FB">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rsidR="006724FB" w:rsidRDefault="006724FB">
      <w:pPr>
        <w:pStyle w:val="Subsection"/>
        <w:keepNext/>
      </w:pPr>
      <w:r>
        <w:tab/>
        <w:t>(2)</w:t>
      </w:r>
      <w:r>
        <w:tab/>
        <w:t>At least one windscreen wiper fitted to the motor vehicle must —</w:t>
      </w:r>
    </w:p>
    <w:p w:rsidR="006724FB" w:rsidRDefault="006724FB">
      <w:pPr>
        <w:pStyle w:val="Indenta"/>
      </w:pPr>
      <w:r>
        <w:tab/>
        <w:t>(a)</w:t>
      </w:r>
      <w:r>
        <w:tab/>
        <w:t xml:space="preserve">be able to remove moisture from the part of the windscreen in front of the driver to allow the driver an </w:t>
      </w:r>
      <w:r>
        <w:lastRenderedPageBreak/>
        <w:t>adequate view of the road ahead of the motor vehicle when the windscreen is wet; and</w:t>
      </w:r>
    </w:p>
    <w:p w:rsidR="006724FB" w:rsidRDefault="006724FB">
      <w:pPr>
        <w:pStyle w:val="Indenta"/>
      </w:pPr>
      <w:r>
        <w:tab/>
        <w:t>(b)</w:t>
      </w:r>
      <w:r>
        <w:tab/>
        <w:t>be able to be operated from a normal driving position; and</w:t>
      </w:r>
    </w:p>
    <w:p w:rsidR="006724FB" w:rsidRDefault="006724FB">
      <w:pPr>
        <w:pStyle w:val="Indenta"/>
      </w:pPr>
      <w:r>
        <w:tab/>
        <w:t>(c)</w:t>
      </w:r>
      <w:r>
        <w:tab/>
        <w:t>for a motor vehicle built after 1934 — continue to operate until the wiper is switched off; and</w:t>
      </w:r>
    </w:p>
    <w:p w:rsidR="006724FB" w:rsidRDefault="006724FB">
      <w:pPr>
        <w:pStyle w:val="Indenta"/>
      </w:pPr>
      <w:r>
        <w:tab/>
        <w:t>(d)</w:t>
      </w:r>
      <w:r>
        <w:tab/>
        <w:t xml:space="preserve">for a motor vehicle built after 1959 the driving position of which is nearer one side of the vehicle than the other — </w:t>
      </w:r>
    </w:p>
    <w:p w:rsidR="006724FB" w:rsidRDefault="006724FB">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rsidR="006724FB" w:rsidRDefault="006724FB">
      <w:pPr>
        <w:pStyle w:val="Indenti"/>
      </w:pPr>
      <w:r>
        <w:tab/>
        <w:t>(ii)</w:t>
      </w:r>
      <w:r>
        <w:tab/>
        <w:t>if the windscreen wipers are operated by engine manifold vacuum — be provided with a vacuum reservoir or pump to maintain the efficient operation of the wiper or wipers while the vehicle is in motion.</w:t>
      </w:r>
    </w:p>
    <w:p w:rsidR="006724FB" w:rsidRDefault="006724FB">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rsidR="006724FB" w:rsidRDefault="006724FB">
      <w:pPr>
        <w:pStyle w:val="Subsection"/>
      </w:pPr>
      <w:r>
        <w:tab/>
        <w:t>(4)</w:t>
      </w:r>
      <w:r>
        <w:tab/>
        <w:t>A windscreen washer of a motor vehicle must be able to be operated from a normal driving position.</w:t>
      </w:r>
    </w:p>
    <w:p w:rsidR="006724FB" w:rsidRDefault="006724FB">
      <w:pPr>
        <w:pStyle w:val="Heading5"/>
      </w:pPr>
      <w:bookmarkStart w:id="456" w:name="_Toc75875836"/>
      <w:r>
        <w:rPr>
          <w:rStyle w:val="CharSectno"/>
        </w:rPr>
        <w:t>262</w:t>
      </w:r>
      <w:r>
        <w:t>.</w:t>
      </w:r>
      <w:r>
        <w:tab/>
        <w:t>Size and capacity of wheels and tyres of certain vehicles</w:t>
      </w:r>
      <w:bookmarkEnd w:id="456"/>
    </w:p>
    <w:p w:rsidR="006724FB" w:rsidRDefault="006724FB">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rsidR="006724FB" w:rsidRDefault="006724FB">
      <w:pPr>
        <w:pStyle w:val="Heading5"/>
      </w:pPr>
      <w:bookmarkStart w:id="457" w:name="_Toc75875837"/>
      <w:r>
        <w:rPr>
          <w:rStyle w:val="CharSectno"/>
        </w:rPr>
        <w:lastRenderedPageBreak/>
        <w:t>263</w:t>
      </w:r>
      <w:r>
        <w:t>.</w:t>
      </w:r>
      <w:r>
        <w:tab/>
        <w:t>Pneumatic tyres for certain vehicles</w:t>
      </w:r>
      <w:bookmarkEnd w:id="457"/>
    </w:p>
    <w:p w:rsidR="006724FB" w:rsidRDefault="006724FB">
      <w:pPr>
        <w:pStyle w:val="Subsection"/>
      </w:pPr>
      <w:r>
        <w:tab/>
      </w:r>
      <w:r>
        <w:tab/>
        <w:t>A motor vehicle, trailer or any vehicle in a combination that was built after 1932 must be fitted with pneumatic tyres.</w:t>
      </w:r>
    </w:p>
    <w:p w:rsidR="006724FB" w:rsidRDefault="006724FB">
      <w:pPr>
        <w:pStyle w:val="Heading5"/>
      </w:pPr>
      <w:bookmarkStart w:id="458" w:name="_Toc75875838"/>
      <w:r>
        <w:rPr>
          <w:rStyle w:val="CharSectno"/>
        </w:rPr>
        <w:t>264</w:t>
      </w:r>
      <w:r>
        <w:t>.</w:t>
      </w:r>
      <w:r>
        <w:tab/>
        <w:t>Pneumatic tyres for vehicles</w:t>
      </w:r>
      <w:bookmarkEnd w:id="458"/>
    </w:p>
    <w:p w:rsidR="006724FB" w:rsidRDefault="006724FB">
      <w:pPr>
        <w:pStyle w:val="Subsection"/>
      </w:pPr>
      <w:r>
        <w:tab/>
        <w:t>(1)</w:t>
      </w:r>
      <w:r>
        <w:tab/>
        <w:t>A vehicle must not have pneumatic tyres of different carcass construction fitted to the same axle, but the tyres may have different cord materials and a different number of plies.</w:t>
      </w:r>
    </w:p>
    <w:p w:rsidR="006724FB" w:rsidRDefault="006724FB">
      <w:pPr>
        <w:pStyle w:val="Subsection"/>
        <w:keepNext/>
      </w:pPr>
      <w:r>
        <w:tab/>
        <w:t>(2)</w:t>
      </w:r>
      <w:r>
        <w:tab/>
        <w:t>Subregulation (1) does not apply to a tyre being used in an emergency as a temporary replacement for a tyre complying with the subregulation.</w:t>
      </w:r>
    </w:p>
    <w:p w:rsidR="006724FB" w:rsidRDefault="006724FB">
      <w:pPr>
        <w:pStyle w:val="Footnotesection"/>
      </w:pPr>
      <w:r>
        <w:tab/>
        <w:t>[Regulation 264 amended: Gazette 29 Mar 2019 p. 967.]</w:t>
      </w:r>
    </w:p>
    <w:p w:rsidR="006724FB" w:rsidRDefault="006724FB">
      <w:pPr>
        <w:pStyle w:val="Heading5"/>
        <w:rPr>
          <w:b w:val="0"/>
        </w:rPr>
      </w:pPr>
      <w:bookmarkStart w:id="459" w:name="_Toc75875839"/>
      <w:r>
        <w:rPr>
          <w:rStyle w:val="CharSectno"/>
        </w:rPr>
        <w:t>265</w:t>
      </w:r>
      <w:r>
        <w:t>.</w:t>
      </w:r>
      <w:r>
        <w:tab/>
        <w:t>Tyres for use on heavy vehicles</w:t>
      </w:r>
      <w:bookmarkEnd w:id="459"/>
    </w:p>
    <w:p w:rsidR="006724FB" w:rsidRDefault="006724FB">
      <w:pPr>
        <w:pStyle w:val="Subsection"/>
      </w:pPr>
      <w:r>
        <w:tab/>
        <w:t>(1)</w:t>
      </w:r>
      <w:r>
        <w:tab/>
        <w:t>This regulation applies to a heavy vehicle instead of the tyre speed category requirements in the relevant ADR.</w:t>
      </w:r>
    </w:p>
    <w:p w:rsidR="006724FB" w:rsidRDefault="006724FB">
      <w:pPr>
        <w:pStyle w:val="Subsection"/>
        <w:keepNext/>
      </w:pPr>
      <w:r>
        <w:tab/>
        <w:t>(2)</w:t>
      </w:r>
      <w:r>
        <w:tab/>
        <w:t xml:space="preserve">A tyre fitted to a heavy vehicle must be suitable for road use at the lesser of these speeds — </w:t>
      </w:r>
    </w:p>
    <w:p w:rsidR="006724FB" w:rsidRDefault="006724FB">
      <w:pPr>
        <w:pStyle w:val="Indenta"/>
      </w:pPr>
      <w:r>
        <w:tab/>
        <w:t>(a)</w:t>
      </w:r>
      <w:r>
        <w:tab/>
        <w:t>100 km/h;</w:t>
      </w:r>
    </w:p>
    <w:p w:rsidR="006724FB" w:rsidRDefault="006724FB">
      <w:pPr>
        <w:pStyle w:val="Indenta"/>
      </w:pPr>
      <w:r>
        <w:tab/>
        <w:t>(b)</w:t>
      </w:r>
      <w:r>
        <w:tab/>
        <w:t>the vehicle’s top speed.</w:t>
      </w:r>
    </w:p>
    <w:p w:rsidR="006724FB" w:rsidRDefault="006724FB">
      <w:pPr>
        <w:pStyle w:val="Heading5"/>
      </w:pPr>
      <w:bookmarkStart w:id="460" w:name="_Toc75875840"/>
      <w:r>
        <w:rPr>
          <w:rStyle w:val="CharSectno"/>
        </w:rPr>
        <w:t>266</w:t>
      </w:r>
      <w:r>
        <w:t>.</w:t>
      </w:r>
      <w:r>
        <w:tab/>
        <w:t>Size and capacity of pneumatic tyres of certain vehicles</w:t>
      </w:r>
      <w:bookmarkEnd w:id="460"/>
    </w:p>
    <w:p w:rsidR="006724FB" w:rsidRDefault="006724FB">
      <w:pPr>
        <w:pStyle w:val="Subsection"/>
        <w:keepNext/>
      </w:pPr>
      <w:r>
        <w:tab/>
        <w:t>(1)</w:t>
      </w:r>
      <w:r>
        <w:tab/>
        <w:t xml:space="preserve">In this regulation — </w:t>
      </w:r>
    </w:p>
    <w:p w:rsidR="006724FB" w:rsidRDefault="006724FB">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rsidR="006724FB" w:rsidRDefault="006724FB">
      <w:pPr>
        <w:pStyle w:val="Subsection"/>
      </w:pPr>
      <w:r>
        <w:tab/>
        <w:t>(2)</w:t>
      </w:r>
      <w:r>
        <w:tab/>
        <w:t>The wheels and tyres fitted to an axle of a vehicle must be of sufficient size and capacity to carry the part of the vehicle’s gross mass transmitted to the ground through the axle.</w:t>
      </w:r>
    </w:p>
    <w:p w:rsidR="006724FB" w:rsidRDefault="006724FB">
      <w:pPr>
        <w:pStyle w:val="Subsection"/>
        <w:keepNext/>
      </w:pPr>
      <w:r>
        <w:lastRenderedPageBreak/>
        <w:tab/>
        <w:t>(3)</w:t>
      </w:r>
      <w:r>
        <w:tab/>
        <w:t xml:space="preserve">For the purposes of subregulation (1), the size and capacity of a pneumatic tyre to be fitted to a vehicle must be decided using a cold inflation pressure that is not more than the lesser of — </w:t>
      </w:r>
    </w:p>
    <w:p w:rsidR="006724FB" w:rsidRDefault="006724FB">
      <w:pPr>
        <w:pStyle w:val="Indenta"/>
      </w:pPr>
      <w:r>
        <w:tab/>
        <w:t>(a)</w:t>
      </w:r>
      <w:r>
        <w:tab/>
        <w:t>the pressure recommended by the tyre manufacturer; and</w:t>
      </w:r>
    </w:p>
    <w:p w:rsidR="006724FB" w:rsidRDefault="006724FB">
      <w:pPr>
        <w:pStyle w:val="Indenta"/>
      </w:pPr>
      <w:r>
        <w:tab/>
        <w:t>(b)</w:t>
      </w:r>
      <w:r>
        <w:tab/>
        <w:t xml:space="preserve">a pressure of — </w:t>
      </w:r>
    </w:p>
    <w:p w:rsidR="006724FB" w:rsidRDefault="006724FB">
      <w:pPr>
        <w:pStyle w:val="Indenti"/>
      </w:pPr>
      <w:r>
        <w:tab/>
        <w:t>(i)</w:t>
      </w:r>
      <w:r>
        <w:tab/>
        <w:t>for a radial ply tyre — 825 kPa; or</w:t>
      </w:r>
    </w:p>
    <w:p w:rsidR="006724FB" w:rsidRDefault="006724FB">
      <w:pPr>
        <w:pStyle w:val="Indenti"/>
      </w:pPr>
      <w:r>
        <w:tab/>
        <w:t>(ii)</w:t>
      </w:r>
      <w:r>
        <w:tab/>
        <w:t>for another tyre — 700 kPa.</w:t>
      </w:r>
    </w:p>
    <w:p w:rsidR="006724FB" w:rsidRDefault="006724FB">
      <w:pPr>
        <w:pStyle w:val="Footnotesection"/>
      </w:pPr>
      <w:r>
        <w:tab/>
        <w:t>[Regulation 266 inserted: Gazette 29 Mar 2019 p. 967.]</w:t>
      </w:r>
    </w:p>
    <w:p w:rsidR="006724FB" w:rsidRDefault="006724FB">
      <w:pPr>
        <w:pStyle w:val="Heading5"/>
      </w:pPr>
      <w:bookmarkStart w:id="461" w:name="_Toc75875841"/>
      <w:r>
        <w:rPr>
          <w:rStyle w:val="CharSectno"/>
        </w:rPr>
        <w:t>267</w:t>
      </w:r>
      <w:r>
        <w:t>.</w:t>
      </w:r>
      <w:r>
        <w:tab/>
        <w:t>Tyres defects of certain vehicles</w:t>
      </w:r>
      <w:bookmarkEnd w:id="461"/>
    </w:p>
    <w:p w:rsidR="006724FB" w:rsidRDefault="006724FB">
      <w:pPr>
        <w:pStyle w:val="Subsection"/>
      </w:pPr>
      <w:r>
        <w:tab/>
      </w:r>
      <w:r>
        <w:tab/>
        <w:t>A tyre fitted to a motor vehicle, trailer or any vehicle in a combination must be free of any apparent defect that could make the vehicle unsafe.</w:t>
      </w:r>
    </w:p>
    <w:p w:rsidR="006724FB" w:rsidRDefault="006724FB">
      <w:pPr>
        <w:pStyle w:val="Heading5"/>
      </w:pPr>
      <w:bookmarkStart w:id="462" w:name="_Toc75875842"/>
      <w:r>
        <w:rPr>
          <w:rStyle w:val="CharSectno"/>
        </w:rPr>
        <w:t>268</w:t>
      </w:r>
      <w:r>
        <w:t>.</w:t>
      </w:r>
      <w:r>
        <w:tab/>
        <w:t>Manufacturer’s rating for motor vehicle tyres</w:t>
      </w:r>
      <w:bookmarkEnd w:id="462"/>
    </w:p>
    <w:p w:rsidR="006724FB" w:rsidRDefault="006724FB">
      <w:pPr>
        <w:pStyle w:val="Subsection"/>
      </w:pPr>
      <w:r>
        <w:tab/>
        <w:t>(1)</w:t>
      </w:r>
      <w:r>
        <w:tab/>
        <w:t>This regulation applies to a motor vehicle instead of the tyre speed category requirements in the relevant ADR.</w:t>
      </w:r>
    </w:p>
    <w:p w:rsidR="006724FB" w:rsidRDefault="006724FB">
      <w:pPr>
        <w:pStyle w:val="Subsection"/>
        <w:keepNext/>
      </w:pPr>
      <w:r>
        <w:tab/>
        <w:t>(2)</w:t>
      </w:r>
      <w:r>
        <w:tab/>
        <w:t xml:space="preserve">This regulation applies to a motor vehicle that — </w:t>
      </w:r>
    </w:p>
    <w:p w:rsidR="006724FB" w:rsidRDefault="006724FB">
      <w:pPr>
        <w:pStyle w:val="Indenta"/>
      </w:pPr>
      <w:r>
        <w:tab/>
        <w:t>(a)</w:t>
      </w:r>
      <w:r>
        <w:tab/>
        <w:t>has 4 or more wheels; and</w:t>
      </w:r>
    </w:p>
    <w:p w:rsidR="006724FB" w:rsidRDefault="006724FB">
      <w:pPr>
        <w:pStyle w:val="Indenta"/>
      </w:pPr>
      <w:r>
        <w:tab/>
        <w:t>(b)</w:t>
      </w:r>
      <w:r>
        <w:tab/>
        <w:t>was built after 1972; and</w:t>
      </w:r>
    </w:p>
    <w:p w:rsidR="006724FB" w:rsidRDefault="006724FB">
      <w:pPr>
        <w:pStyle w:val="Indenta"/>
      </w:pPr>
      <w:r>
        <w:tab/>
        <w:t>(c)</w:t>
      </w:r>
      <w:r>
        <w:tab/>
        <w:t>is a light vehicle.</w:t>
      </w:r>
    </w:p>
    <w:p w:rsidR="006724FB" w:rsidRDefault="006724FB">
      <w:pPr>
        <w:pStyle w:val="Subsection"/>
        <w:keepNext/>
      </w:pPr>
      <w:r>
        <w:tab/>
        <w:t>(3)</w:t>
      </w:r>
      <w:r>
        <w:tab/>
        <w:t>However, this regulation does not apply to a tyre if the tyre —</w:t>
      </w:r>
    </w:p>
    <w:p w:rsidR="006724FB" w:rsidRDefault="006724FB">
      <w:pPr>
        <w:pStyle w:val="Indenta"/>
      </w:pPr>
      <w:r>
        <w:tab/>
        <w:t>(a)</w:t>
      </w:r>
      <w:r>
        <w:tab/>
        <w:t>is recommended by the vehicle builder as suitable for limited use on the vehicle in special circumstances at a speed less than the speed applying to the vehicle under subregulation (4); or</w:t>
      </w:r>
    </w:p>
    <w:p w:rsidR="006724FB" w:rsidRDefault="006724FB">
      <w:pPr>
        <w:pStyle w:val="Indenta"/>
      </w:pPr>
      <w:r>
        <w:tab/>
        <w:t>(b)</w:t>
      </w:r>
      <w:r>
        <w:tab/>
        <w:t>is being used in an emergency as a temporary replacement for a tyre complying with this regulation.</w:t>
      </w:r>
    </w:p>
    <w:p w:rsidR="006724FB" w:rsidRDefault="006724FB">
      <w:pPr>
        <w:pStyle w:val="Subsection"/>
        <w:keepNext/>
        <w:keepLines/>
      </w:pPr>
      <w:r>
        <w:lastRenderedPageBreak/>
        <w:tab/>
        <w:t>(4)</w:t>
      </w:r>
      <w:r>
        <w:tab/>
        <w:t xml:space="preserve">A tyre fitted to a motor vehicle must, when first manufactured, have been rated by the tyre manufacturer as suitable for road use at the lesser of these speeds — </w:t>
      </w:r>
    </w:p>
    <w:p w:rsidR="006724FB" w:rsidRDefault="006724FB">
      <w:pPr>
        <w:pStyle w:val="Indenta"/>
        <w:keepNext/>
        <w:keepLines/>
      </w:pPr>
      <w:r>
        <w:tab/>
        <w:t>(a)</w:t>
      </w:r>
      <w:r>
        <w:tab/>
        <w:t xml:space="preserve">a speed of at least — </w:t>
      </w:r>
    </w:p>
    <w:p w:rsidR="006724FB" w:rsidRDefault="006724FB">
      <w:pPr>
        <w:pStyle w:val="Indenti"/>
      </w:pPr>
      <w:r>
        <w:tab/>
        <w:t>(i)</w:t>
      </w:r>
      <w:r>
        <w:tab/>
        <w:t>for a car with special features for off</w:t>
      </w:r>
      <w:r>
        <w:noBreakHyphen/>
        <w:t>road use —140 km/h; or</w:t>
      </w:r>
    </w:p>
    <w:p w:rsidR="006724FB" w:rsidRDefault="006724FB">
      <w:pPr>
        <w:pStyle w:val="Indenti"/>
      </w:pPr>
      <w:r>
        <w:tab/>
        <w:t>(ii)</w:t>
      </w:r>
      <w:r>
        <w:tab/>
        <w:t>for another car — 180 km/h; or</w:t>
      </w:r>
    </w:p>
    <w:p w:rsidR="006724FB" w:rsidRDefault="006724FB">
      <w:pPr>
        <w:pStyle w:val="Indenti"/>
      </w:pPr>
      <w:r>
        <w:tab/>
        <w:t>(iii)</w:t>
      </w:r>
      <w:r>
        <w:tab/>
        <w:t>for another motor vehicle — 120 km/h;</w:t>
      </w:r>
    </w:p>
    <w:p w:rsidR="006724FB" w:rsidRDefault="006724FB">
      <w:pPr>
        <w:pStyle w:val="Indenta"/>
      </w:pPr>
      <w:r>
        <w:tab/>
        <w:t>(b)</w:t>
      </w:r>
      <w:r>
        <w:tab/>
        <w:t>the vehicle’s top speed.</w:t>
      </w:r>
    </w:p>
    <w:p w:rsidR="006724FB" w:rsidRDefault="006724FB">
      <w:pPr>
        <w:pStyle w:val="Heading5"/>
      </w:pPr>
      <w:bookmarkStart w:id="463" w:name="_Toc75875843"/>
      <w:r>
        <w:rPr>
          <w:rStyle w:val="CharSectno"/>
        </w:rPr>
        <w:t>269</w:t>
      </w:r>
      <w:r>
        <w:t>.</w:t>
      </w:r>
      <w:r>
        <w:tab/>
        <w:t>Retreads for certain vehicles</w:t>
      </w:r>
      <w:bookmarkEnd w:id="463"/>
    </w:p>
    <w:p w:rsidR="006724FB" w:rsidRDefault="006724FB">
      <w:pPr>
        <w:pStyle w:val="Subsection"/>
        <w:keepNext/>
      </w:pPr>
      <w:r>
        <w:tab/>
        <w:t>(1)</w:t>
      </w:r>
      <w:r>
        <w:tab/>
        <w:t xml:space="preserve">A tyre that is retreaded before 1 November 2002 must not be used on a motor vehicle, trailer or any vehicle in a combination if — </w:t>
      </w:r>
    </w:p>
    <w:p w:rsidR="006724FB" w:rsidRDefault="006724FB">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rsidR="006724FB" w:rsidRDefault="006724FB">
      <w:pPr>
        <w:pStyle w:val="Indenta"/>
      </w:pPr>
      <w:r>
        <w:tab/>
        <w:t>(b)</w:t>
      </w:r>
      <w:r>
        <w:tab/>
        <w:t>the tyre was retreaded after publication of the Australian Standard; and</w:t>
      </w:r>
    </w:p>
    <w:p w:rsidR="006724FB" w:rsidRDefault="006724FB">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rsidR="006724FB" w:rsidRDefault="006724FB">
      <w:pPr>
        <w:pStyle w:val="Subsection"/>
        <w:keepNext/>
      </w:pPr>
      <w:r>
        <w:tab/>
        <w:t>(2)</w:t>
      </w:r>
      <w:r>
        <w:tab/>
        <w:t>A tyre that is retreaded after 1 November 2002 must not be used on a vehicle if —</w:t>
      </w:r>
    </w:p>
    <w:p w:rsidR="006724FB" w:rsidRDefault="006724FB">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rsidR="006724FB" w:rsidRDefault="006724FB">
      <w:pPr>
        <w:pStyle w:val="Indenta"/>
      </w:pPr>
      <w:r>
        <w:tab/>
        <w:t>(b)</w:t>
      </w:r>
      <w:r>
        <w:tab/>
        <w:t>the tyre was not retreaded in accordance with the Australian Standard.</w:t>
      </w:r>
    </w:p>
    <w:p w:rsidR="006724FB" w:rsidRDefault="006724FB">
      <w:pPr>
        <w:pStyle w:val="Heading5"/>
      </w:pPr>
      <w:bookmarkStart w:id="464" w:name="_Toc75875844"/>
      <w:r>
        <w:rPr>
          <w:rStyle w:val="CharSectno"/>
        </w:rPr>
        <w:lastRenderedPageBreak/>
        <w:t>270</w:t>
      </w:r>
      <w:r>
        <w:t>.</w:t>
      </w:r>
      <w:r>
        <w:tab/>
        <w:t>Tyre treads for certain vehicles</w:t>
      </w:r>
      <w:bookmarkEnd w:id="464"/>
    </w:p>
    <w:p w:rsidR="006724FB" w:rsidRDefault="006724FB">
      <w:pPr>
        <w:pStyle w:val="Subsection"/>
      </w:pPr>
      <w:r>
        <w:tab/>
        <w:t>(1)</w:t>
      </w:r>
      <w:r>
        <w:tab/>
        <w:t>A tyre on a motor vehicle must not have cleats or other gripping devices that could damage road surfaces.</w:t>
      </w:r>
    </w:p>
    <w:p w:rsidR="006724FB" w:rsidRDefault="006724FB">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rsidR="006724FB" w:rsidRDefault="006724FB">
      <w:pPr>
        <w:pStyle w:val="Indenta"/>
        <w:keepNext/>
      </w:pPr>
      <w:r>
        <w:tab/>
        <w:t>(a)</w:t>
      </w:r>
      <w:r>
        <w:tab/>
        <w:t xml:space="preserve">across — </w:t>
      </w:r>
    </w:p>
    <w:p w:rsidR="006724FB" w:rsidRDefault="006724FB">
      <w:pPr>
        <w:pStyle w:val="Indenti"/>
      </w:pPr>
      <w:r>
        <w:tab/>
        <w:t>(i)</w:t>
      </w:r>
      <w:r>
        <w:tab/>
        <w:t>for a heavy vehicle — at least 75% of the tyre width that normally comes into contact with the road; or</w:t>
      </w:r>
    </w:p>
    <w:p w:rsidR="006724FB" w:rsidRDefault="006724FB">
      <w:pPr>
        <w:pStyle w:val="Indenti"/>
      </w:pPr>
      <w:r>
        <w:tab/>
        <w:t>(ii)</w:t>
      </w:r>
      <w:r>
        <w:tab/>
        <w:t>for light vehicle — the tyre width that normally comes into contact with the road;</w:t>
      </w:r>
    </w:p>
    <w:p w:rsidR="006724FB" w:rsidRDefault="006724FB">
      <w:pPr>
        <w:pStyle w:val="Indenta"/>
      </w:pPr>
      <w:r>
        <w:tab/>
      </w:r>
      <w:r>
        <w:tab/>
        <w:t>and</w:t>
      </w:r>
    </w:p>
    <w:p w:rsidR="006724FB" w:rsidRDefault="006724FB">
      <w:pPr>
        <w:pStyle w:val="Indenta"/>
      </w:pPr>
      <w:r>
        <w:tab/>
        <w:t>(b)</w:t>
      </w:r>
      <w:r>
        <w:tab/>
        <w:t>around the whole circumference of the tyre.</w:t>
      </w:r>
    </w:p>
    <w:p w:rsidR="006724FB" w:rsidRDefault="006724FB">
      <w:pPr>
        <w:pStyle w:val="Subsection"/>
        <w:keepNext/>
      </w:pPr>
      <w:r>
        <w:tab/>
        <w:t>(3)</w:t>
      </w:r>
      <w:r>
        <w:tab/>
        <w:t xml:space="preserve">A motor vehicle, trailer or any vehicle in a combination must not be fitted with a tyre that has been treated by recutting or regrooving the tread rubber, unless the tyre was — </w:t>
      </w:r>
    </w:p>
    <w:p w:rsidR="006724FB" w:rsidRDefault="006724FB">
      <w:pPr>
        <w:pStyle w:val="Indenta"/>
      </w:pPr>
      <w:r>
        <w:tab/>
        <w:t>(a)</w:t>
      </w:r>
      <w:r>
        <w:tab/>
        <w:t>constructed with an extra thickness of rubber designed for recutting or regrooving; and</w:t>
      </w:r>
    </w:p>
    <w:p w:rsidR="006724FB" w:rsidRDefault="006724FB">
      <w:pPr>
        <w:pStyle w:val="Indenta"/>
      </w:pPr>
      <w:r>
        <w:tab/>
        <w:t>(b)</w:t>
      </w:r>
      <w:r>
        <w:tab/>
        <w:t>labelled to indicate the construction.</w:t>
      </w:r>
    </w:p>
    <w:p w:rsidR="006724FB" w:rsidRDefault="006724FB">
      <w:pPr>
        <w:pStyle w:val="Heading5"/>
      </w:pPr>
      <w:bookmarkStart w:id="465" w:name="_Toc75875845"/>
      <w:r>
        <w:rPr>
          <w:rStyle w:val="CharSectno"/>
        </w:rPr>
        <w:t>271</w:t>
      </w:r>
      <w:r>
        <w:t>.</w:t>
      </w:r>
      <w:r>
        <w:tab/>
        <w:t>Motor cycle steering gear and handlebars</w:t>
      </w:r>
      <w:bookmarkEnd w:id="465"/>
    </w:p>
    <w:p w:rsidR="006724FB" w:rsidRDefault="006724FB">
      <w:pPr>
        <w:pStyle w:val="Subsection"/>
      </w:pPr>
      <w:r>
        <w:tab/>
        <w:t>(1)</w:t>
      </w:r>
      <w:r>
        <w:tab/>
        <w:t>The handlebars on a motor cycle must extend at least 250 mm, but not over 450 mm, on each side of the centre line of the vehicle.</w:t>
      </w:r>
    </w:p>
    <w:p w:rsidR="006724FB" w:rsidRDefault="006724FB">
      <w:pPr>
        <w:pStyle w:val="Subsection"/>
      </w:pPr>
      <w:r>
        <w:tab/>
        <w:t>(2)</w:t>
      </w:r>
      <w:r>
        <w:tab/>
        <w:t>In taking a measurement for subregulation (1), mirrors and lights mounted on the handlebars of the motor cycle are disregarded.</w:t>
      </w:r>
    </w:p>
    <w:p w:rsidR="006724FB" w:rsidRDefault="006724FB">
      <w:pPr>
        <w:pStyle w:val="Subsection"/>
      </w:pPr>
      <w:r>
        <w:tab/>
        <w:t>(3)</w:t>
      </w:r>
      <w:r>
        <w:tab/>
        <w:t>The lowest part of the hand grip on the handlebars must not be higher than 380 mm above the attachment point of the handlebars to the motor cycle.</w:t>
      </w:r>
    </w:p>
    <w:p w:rsidR="006724FB" w:rsidRDefault="006724FB">
      <w:pPr>
        <w:pStyle w:val="Subsection"/>
      </w:pPr>
      <w:r>
        <w:lastRenderedPageBreak/>
        <w:tab/>
        <w:t>(4)</w:t>
      </w:r>
      <w:r>
        <w:tab/>
        <w:t>Hand grips on the handlebars must be fitted symmetrically.</w:t>
      </w:r>
    </w:p>
    <w:p w:rsidR="006724FB" w:rsidRDefault="006724FB">
      <w:pPr>
        <w:pStyle w:val="Subsection"/>
      </w:pPr>
      <w:r>
        <w:tab/>
        <w:t>(5)</w:t>
      </w:r>
      <w:r>
        <w:tab/>
        <w:t>If a motor cycle has the head stem as the steering pivot point, the horizontal distance from the midpoint between the head stem bearings to the centre of the front wheel must not be over 550 mm.</w:t>
      </w:r>
    </w:p>
    <w:p w:rsidR="006724FB" w:rsidRDefault="006724FB">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rsidR="006724FB" w:rsidRDefault="006724FB">
      <w:pPr>
        <w:pStyle w:val="MiscellaneousHeading"/>
        <w:rPr>
          <w:b/>
        </w:rPr>
      </w:pPr>
      <w:r>
        <w:rPr>
          <w:b/>
        </w:rPr>
        <w:t xml:space="preserve">Maximum horizontal distance from midpoint between </w:t>
      </w:r>
      <w:r>
        <w:rPr>
          <w:b/>
        </w:rPr>
        <w:br/>
        <w:t>head stem bearings of motor cycle to centre of front wheel</w:t>
      </w:r>
    </w:p>
    <w:p w:rsidR="006724FB" w:rsidRDefault="006724FB">
      <w:pPr>
        <w:pStyle w:val="Heading5"/>
      </w:pPr>
      <w:bookmarkStart w:id="466" w:name="_Toc75875846"/>
      <w:r>
        <w:rPr>
          <w:rStyle w:val="CharSectno"/>
        </w:rPr>
        <w:t>272</w:t>
      </w:r>
      <w:r>
        <w:t>.</w:t>
      </w:r>
      <w:r>
        <w:tab/>
        <w:t>Motor cycle foot rests</w:t>
      </w:r>
      <w:bookmarkEnd w:id="466"/>
    </w:p>
    <w:p w:rsidR="006724FB" w:rsidRDefault="006724FB">
      <w:pPr>
        <w:pStyle w:val="Subsection"/>
      </w:pPr>
      <w:r>
        <w:tab/>
      </w:r>
      <w:r>
        <w:tab/>
        <w:t>A motor cycle must be fitted with foot rests for the driver and for any passenger for whom a seating position is provided.</w:t>
      </w:r>
    </w:p>
    <w:p w:rsidR="006724FB" w:rsidRDefault="006724FB">
      <w:pPr>
        <w:pStyle w:val="Heading5"/>
        <w:keepNext w:val="0"/>
        <w:keepLines w:val="0"/>
      </w:pPr>
      <w:bookmarkStart w:id="467" w:name="_Toc75875847"/>
      <w:r>
        <w:rPr>
          <w:rStyle w:val="CharSectno"/>
        </w:rPr>
        <w:t>273</w:t>
      </w:r>
      <w:r>
        <w:t>.</w:t>
      </w:r>
      <w:r>
        <w:tab/>
        <w:t>Motor cycle chain guards</w:t>
      </w:r>
      <w:bookmarkEnd w:id="467"/>
    </w:p>
    <w:p w:rsidR="006724FB" w:rsidRDefault="006724FB">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rsidR="006724FB" w:rsidRDefault="006724FB">
      <w:pPr>
        <w:pStyle w:val="Indenta"/>
      </w:pPr>
      <w:r>
        <w:tab/>
        <w:t>(a)</w:t>
      </w:r>
      <w:r>
        <w:tab/>
        <w:t>the frame or equipment of the motor cycle; or</w:t>
      </w:r>
    </w:p>
    <w:p w:rsidR="006724FB" w:rsidRDefault="006724FB">
      <w:pPr>
        <w:pStyle w:val="Indenta"/>
      </w:pPr>
      <w:r>
        <w:tab/>
        <w:t>(b)</w:t>
      </w:r>
      <w:r>
        <w:tab/>
        <w:t>a chain guard.</w:t>
      </w:r>
    </w:p>
    <w:p w:rsidR="006724FB" w:rsidRDefault="006724FB">
      <w:pPr>
        <w:pStyle w:val="Subsection"/>
      </w:pPr>
      <w:r>
        <w:tab/>
        <w:t>(2)</w:t>
      </w:r>
      <w:r>
        <w:tab/>
        <w:t xml:space="preserve">A chain guard must cover the chain to a point — </w:t>
      </w:r>
    </w:p>
    <w:p w:rsidR="006724FB" w:rsidRDefault="006724FB">
      <w:pPr>
        <w:pStyle w:val="Indenta"/>
      </w:pPr>
      <w:r>
        <w:tab/>
        <w:t>(a)</w:t>
      </w:r>
      <w:r>
        <w:tab/>
        <w:t>at least 300 mm to the rear of the rearmost foot rest; or</w:t>
      </w:r>
    </w:p>
    <w:p w:rsidR="006724FB" w:rsidRDefault="006724FB">
      <w:pPr>
        <w:pStyle w:val="Indenta"/>
      </w:pPr>
      <w:r>
        <w:tab/>
        <w:t>(b)</w:t>
      </w:r>
      <w:r>
        <w:tab/>
        <w:t>above the centre of the rear drive sprocket.</w:t>
      </w:r>
    </w:p>
    <w:p w:rsidR="006724FB" w:rsidRDefault="006724FB">
      <w:pPr>
        <w:pStyle w:val="Heading3"/>
      </w:pPr>
      <w:bookmarkStart w:id="468" w:name="_Toc75419924"/>
      <w:bookmarkStart w:id="469" w:name="_Toc75427260"/>
      <w:bookmarkStart w:id="470" w:name="_Toc75872676"/>
      <w:bookmarkStart w:id="471" w:name="_Toc75875848"/>
      <w:r>
        <w:rPr>
          <w:rStyle w:val="CharDivNo"/>
        </w:rPr>
        <w:lastRenderedPageBreak/>
        <w:t>Division 6</w:t>
      </w:r>
      <w:r>
        <w:t> — </w:t>
      </w:r>
      <w:r>
        <w:rPr>
          <w:rStyle w:val="CharDivText"/>
        </w:rPr>
        <w:t>Vehicle marking</w:t>
      </w:r>
      <w:bookmarkEnd w:id="468"/>
      <w:bookmarkEnd w:id="469"/>
      <w:bookmarkEnd w:id="470"/>
      <w:bookmarkEnd w:id="471"/>
    </w:p>
    <w:p w:rsidR="006724FB" w:rsidRDefault="006724FB">
      <w:pPr>
        <w:pStyle w:val="Heading5"/>
      </w:pPr>
      <w:bookmarkStart w:id="472" w:name="_Toc75875849"/>
      <w:r>
        <w:rPr>
          <w:rStyle w:val="CharSectno"/>
        </w:rPr>
        <w:t>274</w:t>
      </w:r>
      <w:r>
        <w:t>.</w:t>
      </w:r>
      <w:r>
        <w:tab/>
        <w:t>Identification numbers for vehicle and engine</w:t>
      </w:r>
      <w:bookmarkEnd w:id="472"/>
    </w:p>
    <w:p w:rsidR="006724FB" w:rsidRDefault="006724FB">
      <w:pPr>
        <w:pStyle w:val="Subsection"/>
      </w:pPr>
      <w:r>
        <w:tab/>
        <w:t>(1)</w:t>
      </w:r>
      <w:r>
        <w:tab/>
        <w:t xml:space="preserve">In this regulation — </w:t>
      </w:r>
    </w:p>
    <w:p w:rsidR="006724FB" w:rsidRDefault="006724FB">
      <w:pPr>
        <w:pStyle w:val="Defstart"/>
      </w:pPr>
      <w:r>
        <w:tab/>
      </w:r>
      <w:r>
        <w:rPr>
          <w:rStyle w:val="CharDefText"/>
        </w:rPr>
        <w:t>number</w:t>
      </w:r>
      <w:r>
        <w:t xml:space="preserve"> includes letter.</w:t>
      </w:r>
    </w:p>
    <w:p w:rsidR="006724FB" w:rsidRDefault="006724FB">
      <w:pPr>
        <w:pStyle w:val="Subsection"/>
      </w:pPr>
      <w:r>
        <w:tab/>
        <w:t>(2)</w:t>
      </w:r>
      <w:r>
        <w:tab/>
        <w:t>A motor vehicle must have an individual engine identification number clearly stamped, embossed or otherwise permanently marked on it.</w:t>
      </w:r>
    </w:p>
    <w:p w:rsidR="006724FB" w:rsidRDefault="006724FB">
      <w:pPr>
        <w:pStyle w:val="Subsection"/>
      </w:pPr>
      <w:r>
        <w:tab/>
        <w:t>(3)</w:t>
      </w:r>
      <w:r>
        <w:tab/>
        <w:t xml:space="preserve">A motor vehicle built after 1930 must have the engine identification number on its engine block or the main component of its engine. </w:t>
      </w:r>
    </w:p>
    <w:p w:rsidR="006724FB" w:rsidRDefault="006724FB">
      <w:pPr>
        <w:pStyle w:val="Subsection"/>
      </w:pPr>
      <w:r>
        <w:tab/>
        <w:t>(4)</w:t>
      </w:r>
      <w:r>
        <w:tab/>
        <w:t>A vehicle must have an individual vehicle identification number clearly stamped, embossed or otherwise permanently marked on a substantial part of its frame or chassis.</w:t>
      </w:r>
    </w:p>
    <w:p w:rsidR="006724FB" w:rsidRDefault="006724FB">
      <w:pPr>
        <w:pStyle w:val="Subsection"/>
      </w:pPr>
      <w:r>
        <w:tab/>
        <w:t>(5)</w:t>
      </w:r>
      <w:r>
        <w:tab/>
        <w:t>A VIN or engine identification number must be located where a person can read it easily without having to use tools to remove a part of the vehicle that would otherwise obstruct the person’s view.</w:t>
      </w:r>
    </w:p>
    <w:p w:rsidR="006724FB" w:rsidRDefault="006724FB">
      <w:pPr>
        <w:pStyle w:val="Heading5"/>
      </w:pPr>
      <w:bookmarkStart w:id="473" w:name="_Toc75875850"/>
      <w:r>
        <w:rPr>
          <w:rStyle w:val="CharSectno"/>
        </w:rPr>
        <w:t>275</w:t>
      </w:r>
      <w:r>
        <w:t>.</w:t>
      </w:r>
      <w:r>
        <w:tab/>
        <w:t>White or silver band on certain vehicles</w:t>
      </w:r>
      <w:bookmarkEnd w:id="473"/>
    </w:p>
    <w:p w:rsidR="006724FB" w:rsidRDefault="006724FB">
      <w:pPr>
        <w:pStyle w:val="Subsection"/>
      </w:pPr>
      <w:r>
        <w:tab/>
        <w:t>(1)</w:t>
      </w:r>
      <w:r>
        <w:tab/>
        <w:t xml:space="preserve">This regulation applies to a motor vehicle, trailer or any vehicle in a combination that — </w:t>
      </w:r>
    </w:p>
    <w:p w:rsidR="006724FB" w:rsidRDefault="006724FB">
      <w:pPr>
        <w:pStyle w:val="Indenta"/>
      </w:pPr>
      <w:r>
        <w:tab/>
        <w:t>(a)</w:t>
      </w:r>
      <w:r>
        <w:tab/>
        <w:t>is at least 2.2 m wide; and</w:t>
      </w:r>
    </w:p>
    <w:p w:rsidR="006724FB" w:rsidRDefault="006724FB">
      <w:pPr>
        <w:pStyle w:val="Indenta"/>
      </w:pPr>
      <w:r>
        <w:tab/>
        <w:t>(b)</w:t>
      </w:r>
      <w:r>
        <w:tab/>
        <w:t>has a body with a vertical measurement under 300 mm at the rear, measured from the lowest point of the body above ground level to the highest point; and</w:t>
      </w:r>
    </w:p>
    <w:p w:rsidR="006724FB" w:rsidRDefault="006724FB">
      <w:pPr>
        <w:pStyle w:val="Indenta"/>
      </w:pPr>
      <w:r>
        <w:tab/>
        <w:t>(c)</w:t>
      </w:r>
      <w:r>
        <w:tab/>
        <w:t>is not fitted with rear marking plates in accordance with regulation 328.</w:t>
      </w:r>
    </w:p>
    <w:p w:rsidR="006724FB" w:rsidRDefault="006724FB">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rsidR="006724FB" w:rsidRDefault="006724FB">
      <w:pPr>
        <w:pStyle w:val="Subsection"/>
      </w:pPr>
      <w:r>
        <w:lastRenderedPageBreak/>
        <w:tab/>
        <w:t>(3)</w:t>
      </w:r>
      <w:r>
        <w:tab/>
        <w:t>The vehicle must have a white or silver band at least 75 mm high across the full width of the rearmost part of the body of the vehicle.</w:t>
      </w:r>
    </w:p>
    <w:p w:rsidR="006724FB" w:rsidRDefault="006724FB">
      <w:pPr>
        <w:pStyle w:val="Heading5"/>
        <w:spacing w:before="180"/>
      </w:pPr>
      <w:bookmarkStart w:id="474" w:name="_Toc75875851"/>
      <w:r>
        <w:rPr>
          <w:rStyle w:val="CharSectno"/>
        </w:rPr>
        <w:t>276</w:t>
      </w:r>
      <w:r>
        <w:t>.</w:t>
      </w:r>
      <w:r>
        <w:tab/>
        <w:t>Warning signs for certain combinations</w:t>
      </w:r>
      <w:bookmarkEnd w:id="474"/>
    </w:p>
    <w:p w:rsidR="006724FB" w:rsidRDefault="006724FB">
      <w:pPr>
        <w:pStyle w:val="Subsection"/>
        <w:keepNext/>
        <w:keepLines/>
      </w:pPr>
      <w:r>
        <w:tab/>
        <w:t>(1)</w:t>
      </w:r>
      <w:r>
        <w:tab/>
        <w:t>These vehicles must display road train warning signs complying with this regulation and regulation 277 —</w:t>
      </w:r>
    </w:p>
    <w:p w:rsidR="006724FB" w:rsidRDefault="006724FB">
      <w:pPr>
        <w:pStyle w:val="Indenta"/>
      </w:pPr>
      <w:r>
        <w:tab/>
        <w:t>(a)</w:t>
      </w:r>
      <w:r>
        <w:tab/>
        <w:t>a combination over 36.5 m long;</w:t>
      </w:r>
    </w:p>
    <w:p w:rsidR="006724FB" w:rsidRDefault="006724FB">
      <w:pPr>
        <w:pStyle w:val="Indenta"/>
      </w:pPr>
      <w:r>
        <w:tab/>
        <w:t>(b)</w:t>
      </w:r>
      <w:r>
        <w:tab/>
        <w:t>a road train over 30 m, but not over 36.5 m, long that includes one or more dog trailers.</w:t>
      </w:r>
    </w:p>
    <w:p w:rsidR="006724FB" w:rsidRDefault="006724FB">
      <w:pPr>
        <w:pStyle w:val="Subsection"/>
      </w:pPr>
      <w:r>
        <w:tab/>
        <w:t>(2)</w:t>
      </w:r>
      <w:r>
        <w:tab/>
        <w:t>These vehicles must display road train warning signs, or a long vehicle warning sign, complying with this regulation and regulation 277 —</w:t>
      </w:r>
    </w:p>
    <w:p w:rsidR="006724FB" w:rsidRDefault="006724FB">
      <w:pPr>
        <w:pStyle w:val="Indenta"/>
      </w:pPr>
      <w:r>
        <w:tab/>
        <w:t>(a)</w:t>
      </w:r>
      <w:r>
        <w:tab/>
        <w:t>a road train over 22 m, but not over 30 m, long that includes one or more dog trailers;</w:t>
      </w:r>
    </w:p>
    <w:p w:rsidR="006724FB" w:rsidRDefault="006724FB">
      <w:pPr>
        <w:pStyle w:val="Indenta"/>
      </w:pPr>
      <w:r>
        <w:tab/>
        <w:t>(b)</w:t>
      </w:r>
      <w:r>
        <w:tab/>
        <w:t>a road train over 22 m, but not over 36.5 m, long that does not include a dog trailer.</w:t>
      </w:r>
    </w:p>
    <w:p w:rsidR="006724FB" w:rsidRDefault="006724FB">
      <w:pPr>
        <w:pStyle w:val="Subsection"/>
      </w:pPr>
      <w:r>
        <w:tab/>
        <w:t>(3)</w:t>
      </w:r>
      <w:r>
        <w:tab/>
        <w:t>Another combination over 22 m, but not over 36.5 m, long must display a long vehicle warning sign complying with this regulation and regulation 277.</w:t>
      </w:r>
    </w:p>
    <w:p w:rsidR="006724FB" w:rsidRDefault="006724FB">
      <w:pPr>
        <w:pStyle w:val="Subsection"/>
      </w:pPr>
      <w:r>
        <w:tab/>
        <w:t>(4)</w:t>
      </w:r>
      <w:r>
        <w:tab/>
        <w:t>Subregulations (1), (2) and (3) do not apply to the extent of any inconsistency with a notice or permit issued under another law of this State that applies to the combination.</w:t>
      </w:r>
    </w:p>
    <w:p w:rsidR="006724FB" w:rsidRDefault="006724FB">
      <w:pPr>
        <w:pStyle w:val="Subsection"/>
      </w:pPr>
      <w:r>
        <w:tab/>
        <w:t>(5)</w:t>
      </w:r>
      <w:r>
        <w:tab/>
        <w:t>Road train warning signs must be used in pairs and fitted horizontally, one at the front and the other at the rear of the combination.</w:t>
      </w:r>
    </w:p>
    <w:p w:rsidR="006724FB" w:rsidRDefault="006724FB">
      <w:pPr>
        <w:pStyle w:val="Subsection"/>
      </w:pPr>
      <w:r>
        <w:tab/>
        <w:t>(6)</w:t>
      </w:r>
      <w:r>
        <w:tab/>
        <w:t>A long vehicle warning sign must be fitted horizontally at the rear of the combination.</w:t>
      </w:r>
    </w:p>
    <w:p w:rsidR="006724FB" w:rsidRDefault="006724FB">
      <w:pPr>
        <w:pStyle w:val="Heading5"/>
      </w:pPr>
      <w:bookmarkStart w:id="475" w:name="_Toc75875852"/>
      <w:r>
        <w:rPr>
          <w:rStyle w:val="CharSectno"/>
        </w:rPr>
        <w:t>277</w:t>
      </w:r>
      <w:r>
        <w:t>.</w:t>
      </w:r>
      <w:r>
        <w:tab/>
        <w:t>Specifications for warning signs for certain combinations</w:t>
      </w:r>
      <w:bookmarkEnd w:id="475"/>
    </w:p>
    <w:p w:rsidR="006724FB" w:rsidRDefault="006724FB">
      <w:pPr>
        <w:pStyle w:val="Subsection"/>
      </w:pPr>
      <w:r>
        <w:tab/>
        <w:t>(1)</w:t>
      </w:r>
      <w:r>
        <w:tab/>
        <w:t xml:space="preserve">A road train or long vehicle warning sign must be manufactured in one or 2 parts from sheet steel 0.8 mm thick or another </w:t>
      </w:r>
      <w:r>
        <w:lastRenderedPageBreak/>
        <w:t>material of at least the same stiffness, unless it is designed to be fixed to a vehicle using an adhesive.</w:t>
      </w:r>
    </w:p>
    <w:p w:rsidR="006724FB" w:rsidRDefault="006724FB">
      <w:pPr>
        <w:pStyle w:val="Subsection"/>
      </w:pPr>
      <w:r>
        <w:tab/>
        <w:t>(2)</w:t>
      </w:r>
      <w:r>
        <w:tab/>
        <w:t>The warning sign must be at least 1.02 m wide and at least 250 mm high.</w:t>
      </w:r>
    </w:p>
    <w:p w:rsidR="006724FB" w:rsidRDefault="006724FB">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rsidR="006724FB" w:rsidRDefault="006724FB">
      <w:pPr>
        <w:pStyle w:val="Subsection"/>
      </w:pPr>
      <w:r>
        <w:tab/>
        <w:t>(4)</w:t>
      </w:r>
      <w:r>
        <w:tab/>
        <w:t>If the warning sign is in 2 parts, one word of the expression “road train” or “long vehicle” must be on one part and the other word of the expression must be on the other part.</w:t>
      </w:r>
    </w:p>
    <w:p w:rsidR="006724FB" w:rsidRDefault="006724FB">
      <w:pPr>
        <w:pStyle w:val="Subsection"/>
      </w:pPr>
      <w:r>
        <w:tab/>
        <w:t>(5)</w:t>
      </w:r>
      <w:r>
        <w:tab/>
        <w:t>The warning sign must display the sign manufacturer’s name or logo, and the brand and class of retro</w:t>
      </w:r>
      <w:r>
        <w:noBreakHyphen/>
        <w:t>reflective material used, in block letters not over 10 mm high.</w:t>
      </w:r>
    </w:p>
    <w:p w:rsidR="006724FB" w:rsidRDefault="006724FB">
      <w:pPr>
        <w:pStyle w:val="Subsection"/>
      </w:pPr>
      <w:r>
        <w:tab/>
        <w:t>(6)</w:t>
      </w:r>
      <w:r>
        <w:tab/>
        <w:t>The warning sign must have a black border.</w:t>
      </w:r>
    </w:p>
    <w:p w:rsidR="006724FB" w:rsidRDefault="006724FB">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rsidR="006724FB" w:rsidRDefault="006724FB">
      <w:pPr>
        <w:pStyle w:val="Subsection"/>
      </w:pPr>
      <w:r>
        <w:tab/>
        <w:t>(8)</w:t>
      </w:r>
      <w:r>
        <w:tab/>
        <w:t>The warning sign must be fitted so —</w:t>
      </w:r>
    </w:p>
    <w:p w:rsidR="006724FB" w:rsidRDefault="006724FB">
      <w:pPr>
        <w:pStyle w:val="Indenta"/>
      </w:pPr>
      <w:r>
        <w:tab/>
        <w:t>(a)</w:t>
      </w:r>
      <w:r>
        <w:tab/>
        <w:t>no part of the sign is —</w:t>
      </w:r>
    </w:p>
    <w:p w:rsidR="006724FB" w:rsidRDefault="006724FB">
      <w:pPr>
        <w:pStyle w:val="Indenti"/>
      </w:pPr>
      <w:r>
        <w:tab/>
        <w:t>(i)</w:t>
      </w:r>
      <w:r>
        <w:tab/>
        <w:t>over 1.8 m above ground level; or</w:t>
      </w:r>
    </w:p>
    <w:p w:rsidR="006724FB" w:rsidRDefault="006724FB">
      <w:pPr>
        <w:pStyle w:val="Indenti"/>
      </w:pPr>
      <w:r>
        <w:tab/>
        <w:t>(ii)</w:t>
      </w:r>
      <w:r>
        <w:tab/>
        <w:t>under 500 mm above ground level;</w:t>
      </w:r>
    </w:p>
    <w:p w:rsidR="006724FB" w:rsidRDefault="006724FB">
      <w:pPr>
        <w:pStyle w:val="Indenta"/>
      </w:pPr>
      <w:r>
        <w:tab/>
      </w:r>
      <w:r>
        <w:tab/>
        <w:t>and</w:t>
      </w:r>
    </w:p>
    <w:p w:rsidR="006724FB" w:rsidRDefault="006724FB">
      <w:pPr>
        <w:pStyle w:val="Indenta"/>
      </w:pPr>
      <w:r>
        <w:tab/>
        <w:t>(b)</w:t>
      </w:r>
      <w:r>
        <w:tab/>
        <w:t>if the sign is in 2 parts — the parts are fitted at the same height above ground level.</w:t>
      </w:r>
    </w:p>
    <w:p w:rsidR="006724FB" w:rsidRDefault="006724FB">
      <w:pPr>
        <w:pStyle w:val="Graphics"/>
        <w:keepNext/>
        <w:spacing w:before="240" w:after="240"/>
        <w:jc w:val="center"/>
      </w:pPr>
      <w:r>
        <w:lastRenderedPageBreak/>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rsidR="006724FB" w:rsidRDefault="006724FB">
      <w:pPr>
        <w:pStyle w:val="MiscellaneousHeading"/>
        <w:spacing w:before="0" w:line="240" w:lineRule="auto"/>
        <w:rPr>
          <w:b/>
        </w:rPr>
      </w:pPr>
      <w:r>
        <w:rPr>
          <w:b/>
        </w:rPr>
        <w:t>Positioning of a warning sign</w:t>
      </w:r>
    </w:p>
    <w:p w:rsidR="006724FB" w:rsidRDefault="006724FB">
      <w:pPr>
        <w:pStyle w:val="Heading5"/>
        <w:keepNext w:val="0"/>
        <w:keepLines w:val="0"/>
        <w:spacing w:before="180"/>
      </w:pPr>
      <w:bookmarkStart w:id="476" w:name="_Toc75875853"/>
      <w:r>
        <w:rPr>
          <w:rStyle w:val="CharSectno"/>
        </w:rPr>
        <w:t>278</w:t>
      </w:r>
      <w:r>
        <w:t>.</w:t>
      </w:r>
      <w:r>
        <w:tab/>
        <w:t>Warning signs not to be displayed on other vehicles</w:t>
      </w:r>
      <w:bookmarkEnd w:id="476"/>
    </w:p>
    <w:p w:rsidR="006724FB" w:rsidRDefault="006724FB">
      <w:pPr>
        <w:pStyle w:val="Subsection"/>
      </w:pPr>
      <w:r>
        <w:tab/>
        <w:t>(1)</w:t>
      </w:r>
      <w:r>
        <w:tab/>
        <w:t>The whole or a part of a road train warning sign must not be displayed on a vehicle unless the vehicle is in a combination or road train mentioned in regulation 276(1) or (2).</w:t>
      </w:r>
    </w:p>
    <w:p w:rsidR="006724FB" w:rsidRDefault="006724FB">
      <w:pPr>
        <w:pStyle w:val="Subsection"/>
      </w:pPr>
      <w:r>
        <w:tab/>
        <w:t>(2)</w:t>
      </w:r>
      <w:r>
        <w:tab/>
        <w:t>The whole or a part of a long vehicle warning sign must not be displayed on a vehicle unless the vehicle is in a combination or road train mentioned in regulation 276(2) or (3).</w:t>
      </w:r>
    </w:p>
    <w:p w:rsidR="006724FB" w:rsidRDefault="006724FB">
      <w:pPr>
        <w:pStyle w:val="Heading5"/>
        <w:spacing w:before="360"/>
      </w:pPr>
      <w:bookmarkStart w:id="477" w:name="_Toc75875854"/>
      <w:r>
        <w:rPr>
          <w:rStyle w:val="CharSectno"/>
        </w:rPr>
        <w:t>279</w:t>
      </w:r>
      <w:r>
        <w:t>.</w:t>
      </w:r>
      <w:r>
        <w:tab/>
        <w:t>Left</w:t>
      </w:r>
      <w:r>
        <w:noBreakHyphen/>
        <w:t>hand drive signs</w:t>
      </w:r>
      <w:bookmarkEnd w:id="477"/>
    </w:p>
    <w:p w:rsidR="006724FB" w:rsidRDefault="006724FB">
      <w:pPr>
        <w:pStyle w:val="Subsection"/>
      </w:pPr>
      <w:r>
        <w:tab/>
        <w:t>(1)</w:t>
      </w:r>
      <w:r>
        <w:tab/>
        <w:t>This regulation applies to a motor vehicle that is a heavy vehicle that has the centre of a steering control to the left of the centre of the vehicle.</w:t>
      </w:r>
    </w:p>
    <w:p w:rsidR="006724FB" w:rsidRDefault="006724FB">
      <w:pPr>
        <w:pStyle w:val="Subsection"/>
      </w:pPr>
      <w:r>
        <w:tab/>
        <w:t>(2)</w:t>
      </w:r>
      <w:r>
        <w:tab/>
        <w:t>The vehicle must display the words “left hand drive” on the rear of the vehicle.</w:t>
      </w:r>
    </w:p>
    <w:p w:rsidR="006724FB" w:rsidRDefault="006724FB">
      <w:pPr>
        <w:pStyle w:val="Subsection"/>
      </w:pPr>
      <w:r>
        <w:tab/>
        <w:t>(3)</w:t>
      </w:r>
      <w:r>
        <w:tab/>
        <w:t>The words must be in letters at least 75 mm high, and in a colour contrast with the background to the words.</w:t>
      </w:r>
    </w:p>
    <w:p w:rsidR="006724FB" w:rsidRDefault="006724FB">
      <w:pPr>
        <w:pStyle w:val="Heading3"/>
        <w:spacing w:before="120"/>
        <w:rPr>
          <w:b w:val="0"/>
        </w:rPr>
      </w:pPr>
      <w:bookmarkStart w:id="478" w:name="_Toc75419931"/>
      <w:bookmarkStart w:id="479" w:name="_Toc75427267"/>
      <w:bookmarkStart w:id="480" w:name="_Toc75872683"/>
      <w:bookmarkStart w:id="481" w:name="_Toc75875855"/>
      <w:r>
        <w:rPr>
          <w:rStyle w:val="CharDivNo"/>
        </w:rPr>
        <w:t>Division 7</w:t>
      </w:r>
      <w:r>
        <w:t> — </w:t>
      </w:r>
      <w:r>
        <w:rPr>
          <w:rStyle w:val="CharDivText"/>
        </w:rPr>
        <w:t>Vehicle configuration</w:t>
      </w:r>
      <w:bookmarkEnd w:id="478"/>
      <w:bookmarkEnd w:id="479"/>
      <w:bookmarkEnd w:id="480"/>
      <w:bookmarkEnd w:id="481"/>
    </w:p>
    <w:p w:rsidR="006724FB" w:rsidRDefault="006724FB">
      <w:pPr>
        <w:pStyle w:val="Heading5"/>
        <w:spacing w:before="120"/>
      </w:pPr>
      <w:bookmarkStart w:id="482" w:name="_Toc75875856"/>
      <w:r>
        <w:rPr>
          <w:rStyle w:val="CharSectno"/>
        </w:rPr>
        <w:t>280</w:t>
      </w:r>
      <w:r>
        <w:t>.</w:t>
      </w:r>
      <w:r>
        <w:tab/>
        <w:t>Axle configuration for various vehicles</w:t>
      </w:r>
      <w:bookmarkEnd w:id="482"/>
    </w:p>
    <w:p w:rsidR="006724FB" w:rsidRDefault="006724FB">
      <w:pPr>
        <w:pStyle w:val="Subsection"/>
        <w:keepNext/>
      </w:pPr>
      <w:r>
        <w:tab/>
        <w:t>(1)</w:t>
      </w:r>
      <w:r>
        <w:tab/>
        <w:t xml:space="preserve">A motor vehicle, except an articulated bus, must have only — </w:t>
      </w:r>
    </w:p>
    <w:p w:rsidR="006724FB" w:rsidRDefault="006724FB">
      <w:pPr>
        <w:pStyle w:val="Indenta"/>
      </w:pPr>
      <w:r>
        <w:tab/>
        <w:t>(a)</w:t>
      </w:r>
      <w:r>
        <w:tab/>
        <w:t>one axle group or single axle towards the front of the vehicle; and</w:t>
      </w:r>
    </w:p>
    <w:p w:rsidR="006724FB" w:rsidRDefault="006724FB">
      <w:pPr>
        <w:pStyle w:val="Indenta"/>
      </w:pPr>
      <w:r>
        <w:lastRenderedPageBreak/>
        <w:tab/>
        <w:t>(b)</w:t>
      </w:r>
      <w:r>
        <w:tab/>
        <w:t>one axle group or single axle towards the rear of the vehicle.</w:t>
      </w:r>
    </w:p>
    <w:p w:rsidR="006724FB" w:rsidRDefault="006724FB">
      <w:pPr>
        <w:pStyle w:val="Subsection"/>
      </w:pPr>
      <w:r>
        <w:tab/>
        <w:t>(2)</w:t>
      </w:r>
      <w:r>
        <w:tab/>
        <w:t xml:space="preserve">An articulated bus must have — </w:t>
      </w:r>
    </w:p>
    <w:p w:rsidR="006724FB" w:rsidRDefault="006724FB">
      <w:pPr>
        <w:pStyle w:val="Indenta"/>
      </w:pPr>
      <w:r>
        <w:tab/>
        <w:t>(a)</w:t>
      </w:r>
      <w:r>
        <w:tab/>
        <w:t xml:space="preserve">on its front section — </w:t>
      </w:r>
    </w:p>
    <w:p w:rsidR="006724FB" w:rsidRDefault="006724FB">
      <w:pPr>
        <w:pStyle w:val="Indenti"/>
      </w:pPr>
      <w:r>
        <w:tab/>
        <w:t>(i)</w:t>
      </w:r>
      <w:r>
        <w:tab/>
        <w:t>only one axle group or single axle towards the front of the section; and</w:t>
      </w:r>
    </w:p>
    <w:p w:rsidR="006724FB" w:rsidRDefault="006724FB">
      <w:pPr>
        <w:pStyle w:val="Indenti"/>
      </w:pPr>
      <w:r>
        <w:tab/>
        <w:t>(ii)</w:t>
      </w:r>
      <w:r>
        <w:tab/>
        <w:t>only one axle group or single axle towards the rear of the section;</w:t>
      </w:r>
    </w:p>
    <w:p w:rsidR="006724FB" w:rsidRDefault="006724FB">
      <w:pPr>
        <w:pStyle w:val="Indenta"/>
      </w:pPr>
      <w:r>
        <w:tab/>
      </w:r>
      <w:r>
        <w:tab/>
        <w:t>and</w:t>
      </w:r>
    </w:p>
    <w:p w:rsidR="006724FB" w:rsidRDefault="006724FB">
      <w:pPr>
        <w:pStyle w:val="Indenta"/>
      </w:pPr>
      <w:r>
        <w:tab/>
        <w:t>(b)</w:t>
      </w:r>
      <w:r>
        <w:tab/>
        <w:t>on another section — only one axle group or single axle.</w:t>
      </w:r>
    </w:p>
    <w:p w:rsidR="006724FB" w:rsidRDefault="006724FB">
      <w:pPr>
        <w:pStyle w:val="Subsection"/>
      </w:pPr>
      <w:r>
        <w:tab/>
        <w:t>(3)</w:t>
      </w:r>
      <w:r>
        <w:tab/>
        <w:t xml:space="preserve">A trailer must have only — </w:t>
      </w:r>
    </w:p>
    <w:p w:rsidR="006724FB" w:rsidRDefault="006724FB">
      <w:pPr>
        <w:pStyle w:val="Indenta"/>
      </w:pPr>
      <w:r>
        <w:tab/>
        <w:t>(a)</w:t>
      </w:r>
      <w:r>
        <w:tab/>
        <w:t>one axle group or single axle; or</w:t>
      </w:r>
    </w:p>
    <w:p w:rsidR="006724FB" w:rsidRDefault="006724FB">
      <w:pPr>
        <w:pStyle w:val="Indenta"/>
      </w:pPr>
      <w:r>
        <w:tab/>
        <w:t>(b)</w:t>
      </w:r>
      <w:r>
        <w:tab/>
        <w:t>2 axle groups, 2 single axles or one axle group and single axle, in this configuration —</w:t>
      </w:r>
    </w:p>
    <w:p w:rsidR="006724FB" w:rsidRDefault="006724FB">
      <w:pPr>
        <w:pStyle w:val="Indenti"/>
      </w:pPr>
      <w:r>
        <w:tab/>
        <w:t>(i)</w:t>
      </w:r>
      <w:r>
        <w:tab/>
        <w:t>one axle group or single axle towards the front of the vehicle, with all the wheels on the axle group or single axle connected to the steering mechanism for that part of the trailer; and</w:t>
      </w:r>
    </w:p>
    <w:p w:rsidR="006724FB" w:rsidRDefault="006724FB">
      <w:pPr>
        <w:pStyle w:val="Indenti"/>
      </w:pPr>
      <w:r>
        <w:tab/>
        <w:t>(ii)</w:t>
      </w:r>
      <w:r>
        <w:tab/>
        <w:t>one axle group or single axle towards the rear of the vehicle.</w:t>
      </w:r>
    </w:p>
    <w:p w:rsidR="006724FB" w:rsidRDefault="006724FB">
      <w:pPr>
        <w:pStyle w:val="Subsection"/>
      </w:pPr>
      <w:r>
        <w:tab/>
        <w:t>(4)</w:t>
      </w:r>
      <w:r>
        <w:tab/>
        <w:t>A semi</w:t>
      </w:r>
      <w:r>
        <w:noBreakHyphen/>
        <w:t xml:space="preserve">trailer that is extendible or is fitted with sliding axles must — </w:t>
      </w:r>
    </w:p>
    <w:p w:rsidR="006724FB" w:rsidRDefault="006724FB">
      <w:pPr>
        <w:pStyle w:val="Indenta"/>
      </w:pPr>
      <w:r>
        <w:tab/>
        <w:t>(a)</w:t>
      </w:r>
      <w:r>
        <w:tab/>
        <w:t xml:space="preserve">have a securing device that — </w:t>
      </w:r>
    </w:p>
    <w:p w:rsidR="006724FB" w:rsidRDefault="006724FB">
      <w:pPr>
        <w:pStyle w:val="Indenti"/>
      </w:pPr>
      <w:r>
        <w:tab/>
        <w:t>(i)</w:t>
      </w:r>
      <w:r>
        <w:tab/>
        <w:t>can securely fix the extendible part or sliding axles to the rest of the vehicle in any position of adjustment provided; and</w:t>
      </w:r>
    </w:p>
    <w:p w:rsidR="006724FB" w:rsidRDefault="006724FB">
      <w:pPr>
        <w:pStyle w:val="Indenti"/>
      </w:pPr>
      <w:r>
        <w:tab/>
        <w:t>(ii)</w:t>
      </w:r>
      <w:r>
        <w:tab/>
        <w:t>is located in a position that can prevent accidental or inadvertent release, if the device is mounted on the chassis of the vehicle; and</w:t>
      </w:r>
    </w:p>
    <w:p w:rsidR="006724FB" w:rsidRDefault="006724FB">
      <w:pPr>
        <w:pStyle w:val="Indenti"/>
      </w:pPr>
      <w:r>
        <w:tab/>
        <w:t>(iii)</w:t>
      </w:r>
      <w:r>
        <w:tab/>
        <w:t>is fitted with a visible or audible warning system to indicate to a person standing beside the vehicle that the device is not engaged; and</w:t>
      </w:r>
    </w:p>
    <w:p w:rsidR="006724FB" w:rsidRDefault="006724FB">
      <w:pPr>
        <w:pStyle w:val="Indenti"/>
      </w:pPr>
      <w:r>
        <w:lastRenderedPageBreak/>
        <w:tab/>
        <w:t>(iv)</w:t>
      </w:r>
      <w:r>
        <w:tab/>
        <w:t>is fitted with a way of preventing loss of air from the air brake supply, if the device uses air from the brake system and fails in a way allowing air to escape; and</w:t>
      </w:r>
    </w:p>
    <w:p w:rsidR="006724FB" w:rsidRDefault="006724FB">
      <w:pPr>
        <w:pStyle w:val="Indenti"/>
      </w:pPr>
      <w:r>
        <w:tab/>
        <w:t>(v)</w:t>
      </w:r>
      <w:r>
        <w:tab/>
        <w:t>is held in the applied position by direct mechanical action without the intervention of an electric, hydraulic or pneumatic device;</w:t>
      </w:r>
    </w:p>
    <w:p w:rsidR="006724FB" w:rsidRDefault="006724FB">
      <w:pPr>
        <w:pStyle w:val="Indenta"/>
      </w:pPr>
      <w:r>
        <w:tab/>
      </w:r>
      <w:r>
        <w:tab/>
        <w:t>and</w:t>
      </w:r>
    </w:p>
    <w:p w:rsidR="006724FB" w:rsidRDefault="006724FB">
      <w:pPr>
        <w:pStyle w:val="Indenta"/>
      </w:pPr>
      <w:r>
        <w:tab/>
        <w:t>(b)</w:t>
      </w:r>
      <w:r>
        <w:tab/>
        <w:t>be built so the adjustable parts of the vehicle remain connected if the securing device fails.</w:t>
      </w:r>
    </w:p>
    <w:p w:rsidR="006724FB" w:rsidRDefault="006724FB">
      <w:pPr>
        <w:pStyle w:val="Heading5"/>
        <w:keepNext w:val="0"/>
        <w:keepLines w:val="0"/>
        <w:widowControl w:val="0"/>
      </w:pPr>
      <w:bookmarkStart w:id="483" w:name="_Toc75875857"/>
      <w:r>
        <w:rPr>
          <w:rStyle w:val="CharSectno"/>
        </w:rPr>
        <w:t>281</w:t>
      </w:r>
      <w:r>
        <w:t>.</w:t>
      </w:r>
      <w:r>
        <w:tab/>
        <w:t>Relation between axles in axle group for heavy vehicles</w:t>
      </w:r>
      <w:bookmarkEnd w:id="483"/>
    </w:p>
    <w:p w:rsidR="006724FB" w:rsidRDefault="006724FB">
      <w:pPr>
        <w:pStyle w:val="Subsection"/>
      </w:pPr>
      <w:r>
        <w:tab/>
      </w:r>
      <w:r>
        <w:tab/>
        <w:t>The axles in an axle group, except a twinsteer axle group, fitted to a heavy vehicle must relate to each other through a load</w:t>
      </w:r>
      <w:r>
        <w:noBreakHyphen/>
        <w:t>sharing suspension system.</w:t>
      </w:r>
    </w:p>
    <w:p w:rsidR="006724FB" w:rsidRDefault="006724FB">
      <w:pPr>
        <w:pStyle w:val="Heading3"/>
      </w:pPr>
      <w:bookmarkStart w:id="484" w:name="_Toc75419934"/>
      <w:bookmarkStart w:id="485" w:name="_Toc75427270"/>
      <w:bookmarkStart w:id="486" w:name="_Toc75872686"/>
      <w:bookmarkStart w:id="487" w:name="_Toc75875858"/>
      <w:r>
        <w:rPr>
          <w:rStyle w:val="CharDivNo"/>
        </w:rPr>
        <w:t>Division 8</w:t>
      </w:r>
      <w:r>
        <w:t> — </w:t>
      </w:r>
      <w:r>
        <w:rPr>
          <w:rStyle w:val="CharDivText"/>
        </w:rPr>
        <w:t>Lights and reflectors</w:t>
      </w:r>
      <w:bookmarkEnd w:id="484"/>
      <w:bookmarkEnd w:id="485"/>
      <w:bookmarkEnd w:id="486"/>
      <w:bookmarkEnd w:id="487"/>
    </w:p>
    <w:p w:rsidR="006724FB" w:rsidRDefault="006724FB">
      <w:pPr>
        <w:pStyle w:val="Heading4"/>
      </w:pPr>
      <w:bookmarkStart w:id="488" w:name="_Toc75419935"/>
      <w:bookmarkStart w:id="489" w:name="_Toc75427271"/>
      <w:bookmarkStart w:id="490" w:name="_Toc75872687"/>
      <w:bookmarkStart w:id="491" w:name="_Toc75875859"/>
      <w:r>
        <w:t>Subdivision 1 — General requirements for lights and vehicles not required to have lights or reflectors</w:t>
      </w:r>
      <w:bookmarkEnd w:id="488"/>
      <w:bookmarkEnd w:id="489"/>
      <w:bookmarkEnd w:id="490"/>
      <w:bookmarkEnd w:id="491"/>
    </w:p>
    <w:p w:rsidR="006724FB" w:rsidRDefault="006724FB">
      <w:pPr>
        <w:pStyle w:val="Heading5"/>
        <w:spacing w:before="240"/>
      </w:pPr>
      <w:bookmarkStart w:id="492" w:name="_Toc75875860"/>
      <w:r>
        <w:rPr>
          <w:rStyle w:val="CharSectno"/>
        </w:rPr>
        <w:t>282</w:t>
      </w:r>
      <w:r>
        <w:t>.</w:t>
      </w:r>
      <w:r>
        <w:tab/>
        <w:t>Certain requirements apply only at night</w:t>
      </w:r>
      <w:bookmarkEnd w:id="492"/>
    </w:p>
    <w:p w:rsidR="006724FB" w:rsidRDefault="006724FB">
      <w:pPr>
        <w:pStyle w:val="Subsection"/>
        <w:spacing w:before="180"/>
      </w:pPr>
      <w:r>
        <w:tab/>
      </w:r>
      <w:r>
        <w:tab/>
        <w:t>The requirements of this Division for a light, except a brake or direction indicator light, to be visible over a stated distance apply only at night.</w:t>
      </w:r>
    </w:p>
    <w:p w:rsidR="006724FB" w:rsidRDefault="006724FB">
      <w:pPr>
        <w:pStyle w:val="Heading5"/>
        <w:spacing w:before="240"/>
      </w:pPr>
      <w:bookmarkStart w:id="493" w:name="_Toc75875861"/>
      <w:r>
        <w:rPr>
          <w:rStyle w:val="CharSectno"/>
        </w:rPr>
        <w:t>283</w:t>
      </w:r>
      <w:r>
        <w:t>.</w:t>
      </w:r>
      <w:r>
        <w:tab/>
        <w:t>Prevention of glare</w:t>
      </w:r>
      <w:bookmarkEnd w:id="493"/>
    </w:p>
    <w:p w:rsidR="006724FB" w:rsidRDefault="006724FB">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rsidR="006724FB" w:rsidRDefault="006724FB">
      <w:pPr>
        <w:pStyle w:val="Heading5"/>
        <w:spacing w:before="240"/>
      </w:pPr>
      <w:bookmarkStart w:id="494" w:name="_Toc75875862"/>
      <w:r>
        <w:rPr>
          <w:rStyle w:val="CharSectno"/>
        </w:rPr>
        <w:lastRenderedPageBreak/>
        <w:t>284</w:t>
      </w:r>
      <w:r>
        <w:t>.</w:t>
      </w:r>
      <w:r>
        <w:tab/>
        <w:t>Pairs of lights</w:t>
      </w:r>
      <w:bookmarkEnd w:id="494"/>
    </w:p>
    <w:p w:rsidR="006724FB" w:rsidRDefault="006724FB">
      <w:pPr>
        <w:pStyle w:val="Subsection"/>
      </w:pPr>
      <w:r>
        <w:tab/>
        <w:t>(1)</w:t>
      </w:r>
      <w:r>
        <w:tab/>
        <w:t xml:space="preserve">If lights are required under this Part to be fitted to a vehicle in pairs — </w:t>
      </w:r>
    </w:p>
    <w:p w:rsidR="006724FB" w:rsidRDefault="006724FB">
      <w:pPr>
        <w:pStyle w:val="Indenta"/>
      </w:pPr>
      <w:r>
        <w:tab/>
        <w:t>(a)</w:t>
      </w:r>
      <w:r>
        <w:tab/>
        <w:t>a light must be fitted on each side of the longitudinal axis of the vehicle; and</w:t>
      </w:r>
    </w:p>
    <w:p w:rsidR="006724FB" w:rsidRDefault="006724FB">
      <w:pPr>
        <w:pStyle w:val="Indenta"/>
      </w:pPr>
      <w:r>
        <w:tab/>
        <w:t>(b)</w:t>
      </w:r>
      <w:r>
        <w:tab/>
        <w:t>the centre of each light in a pair must be the same distance from the longitudinal axis of the vehicle; and</w:t>
      </w:r>
    </w:p>
    <w:p w:rsidR="006724FB" w:rsidRDefault="006724FB">
      <w:pPr>
        <w:pStyle w:val="Indenta"/>
      </w:pPr>
      <w:r>
        <w:tab/>
        <w:t>(c)</w:t>
      </w:r>
      <w:r>
        <w:tab/>
        <w:t>the centre of each light in a pair must be at the same height above ground level; and</w:t>
      </w:r>
    </w:p>
    <w:p w:rsidR="006724FB" w:rsidRDefault="006724FB">
      <w:pPr>
        <w:pStyle w:val="Indenta"/>
      </w:pPr>
      <w:r>
        <w:tab/>
        <w:t>(d)</w:t>
      </w:r>
      <w:r>
        <w:tab/>
        <w:t>each light in a pair must project approximately the same amount of light of the same colour.</w:t>
      </w:r>
    </w:p>
    <w:p w:rsidR="006724FB" w:rsidRDefault="006724FB">
      <w:pPr>
        <w:pStyle w:val="Subsection"/>
      </w:pPr>
      <w:r>
        <w:tab/>
        <w:t>(2)</w:t>
      </w:r>
      <w:r>
        <w:tab/>
        <w:t>Subregulation (1) applies to a motor cycle with an attached sidecar as if the sidecar were not attached.</w:t>
      </w:r>
    </w:p>
    <w:p w:rsidR="006724FB" w:rsidRDefault="006724FB">
      <w:pPr>
        <w:pStyle w:val="Heading5"/>
        <w:keepLines w:val="0"/>
      </w:pPr>
      <w:bookmarkStart w:id="495" w:name="_Toc75875863"/>
      <w:r>
        <w:rPr>
          <w:rStyle w:val="CharSectno"/>
        </w:rPr>
        <w:t>285</w:t>
      </w:r>
      <w:r>
        <w:t>.</w:t>
      </w:r>
      <w:r>
        <w:tab/>
        <w:t>Certain vehicles not required to have lights or reflectors</w:t>
      </w:r>
      <w:bookmarkEnd w:id="495"/>
    </w:p>
    <w:p w:rsidR="006724FB" w:rsidRDefault="006724FB">
      <w:pPr>
        <w:pStyle w:val="Subsection"/>
        <w:keepNext/>
      </w:pPr>
      <w:r>
        <w:tab/>
      </w:r>
      <w:r>
        <w:tab/>
        <w:t xml:space="preserve">This Division does not apply to a vehicle — </w:t>
      </w:r>
    </w:p>
    <w:p w:rsidR="006724FB" w:rsidRDefault="006724FB">
      <w:pPr>
        <w:pStyle w:val="Indenta"/>
      </w:pPr>
      <w:r>
        <w:tab/>
        <w:t>(a)</w:t>
      </w:r>
      <w:r>
        <w:tab/>
        <w:t>built before 1931 that is used only in the daytime; or</w:t>
      </w:r>
    </w:p>
    <w:p w:rsidR="006724FB" w:rsidRDefault="006724FB">
      <w:pPr>
        <w:pStyle w:val="Indenta"/>
      </w:pPr>
      <w:r>
        <w:tab/>
        <w:t>(b)</w:t>
      </w:r>
      <w:r>
        <w:tab/>
        <w:t>built before 1946 that is used mainly for exhibition purposes.</w:t>
      </w:r>
    </w:p>
    <w:p w:rsidR="006724FB" w:rsidRDefault="006724FB">
      <w:pPr>
        <w:pStyle w:val="Heading4"/>
      </w:pPr>
      <w:bookmarkStart w:id="496" w:name="_Toc75419940"/>
      <w:bookmarkStart w:id="497" w:name="_Toc75427276"/>
      <w:bookmarkStart w:id="498" w:name="_Toc75872692"/>
      <w:bookmarkStart w:id="499" w:name="_Toc75875864"/>
      <w:r>
        <w:t>Subdivision 2 — Headlights</w:t>
      </w:r>
      <w:bookmarkEnd w:id="496"/>
      <w:bookmarkEnd w:id="497"/>
      <w:bookmarkEnd w:id="498"/>
      <w:bookmarkEnd w:id="499"/>
    </w:p>
    <w:p w:rsidR="006724FB" w:rsidRDefault="006724FB">
      <w:pPr>
        <w:pStyle w:val="Heading5"/>
        <w:spacing w:before="240"/>
      </w:pPr>
      <w:bookmarkStart w:id="500" w:name="_Toc75875865"/>
      <w:r>
        <w:rPr>
          <w:rStyle w:val="CharSectno"/>
        </w:rPr>
        <w:t>286</w:t>
      </w:r>
      <w:r>
        <w:t>.</w:t>
      </w:r>
      <w:r>
        <w:tab/>
        <w:t>Motor vehicle headlights to be fitted</w:t>
      </w:r>
      <w:bookmarkEnd w:id="500"/>
    </w:p>
    <w:p w:rsidR="006724FB" w:rsidRDefault="006724FB">
      <w:pPr>
        <w:pStyle w:val="Subsection"/>
      </w:pPr>
      <w:r>
        <w:tab/>
        <w:t>(1)</w:t>
      </w:r>
      <w:r>
        <w:tab/>
        <w:t>A motor vehicle must be fitted with —</w:t>
      </w:r>
    </w:p>
    <w:p w:rsidR="006724FB" w:rsidRDefault="006724FB">
      <w:pPr>
        <w:pStyle w:val="Indenta"/>
      </w:pPr>
      <w:r>
        <w:tab/>
        <w:t>(a)</w:t>
      </w:r>
      <w:r>
        <w:tab/>
        <w:t>one low</w:t>
      </w:r>
      <w:r>
        <w:noBreakHyphen/>
        <w:t>beam headlight if it is a moped, motor cycle or motor tricycle with one front wheel; or</w:t>
      </w:r>
    </w:p>
    <w:p w:rsidR="006724FB" w:rsidRDefault="006724FB">
      <w:pPr>
        <w:pStyle w:val="Indenta"/>
      </w:pPr>
      <w:r>
        <w:tab/>
        <w:t>(b)</w:t>
      </w:r>
      <w:r>
        <w:tab/>
        <w:t>a pair of low</w:t>
      </w:r>
      <w:r>
        <w:noBreakHyphen/>
        <w:t>beam headlights if it has 4 or more wheels or is a motor tricycle, except a moped, with 2 front wheels.</w:t>
      </w:r>
    </w:p>
    <w:p w:rsidR="006724FB" w:rsidRDefault="006724FB">
      <w:pPr>
        <w:pStyle w:val="Subsection"/>
      </w:pPr>
      <w:r>
        <w:tab/>
        <w:t>(2)</w:t>
      </w:r>
      <w:r>
        <w:tab/>
        <w:t>If a motor vehicle built after 1934 can travel at over 60 km/h —</w:t>
      </w:r>
    </w:p>
    <w:p w:rsidR="006724FB" w:rsidRDefault="006724FB">
      <w:pPr>
        <w:pStyle w:val="Indenta"/>
      </w:pPr>
      <w:r>
        <w:tab/>
        <w:t>(a)</w:t>
      </w:r>
      <w:r>
        <w:tab/>
        <w:t>each low</w:t>
      </w:r>
      <w:r>
        <w:noBreakHyphen/>
        <w:t>beam headlight mentioned in subregulation (1) must be able to work in the high</w:t>
      </w:r>
      <w:r>
        <w:noBreakHyphen/>
        <w:t>beam position; or</w:t>
      </w:r>
    </w:p>
    <w:p w:rsidR="006724FB" w:rsidRDefault="006724FB">
      <w:pPr>
        <w:pStyle w:val="Indenta"/>
      </w:pPr>
      <w:r>
        <w:lastRenderedPageBreak/>
        <w:tab/>
        <w:t>(b)</w:t>
      </w:r>
      <w:r>
        <w:tab/>
        <w:t xml:space="preserve">the vehicle must be fitted with — </w:t>
      </w:r>
    </w:p>
    <w:p w:rsidR="006724FB" w:rsidRDefault="006724FB">
      <w:pPr>
        <w:pStyle w:val="Indenti"/>
      </w:pPr>
      <w:r>
        <w:tab/>
        <w:t>(i)</w:t>
      </w:r>
      <w:r>
        <w:tab/>
        <w:t>one headlight that can work in the high</w:t>
      </w:r>
      <w:r>
        <w:noBreakHyphen/>
        <w:t>beam position if the vehicle is required to have one low</w:t>
      </w:r>
      <w:r>
        <w:noBreakHyphen/>
        <w:t>beam headlight; or</w:t>
      </w:r>
    </w:p>
    <w:p w:rsidR="006724FB" w:rsidRDefault="006724FB">
      <w:pPr>
        <w:pStyle w:val="Indenti"/>
      </w:pPr>
      <w:r>
        <w:tab/>
        <w:t>(ii)</w:t>
      </w:r>
      <w:r>
        <w:tab/>
        <w:t>a pair of headlights that can work in the high</w:t>
      </w:r>
      <w:r>
        <w:noBreakHyphen/>
        <w:t>beam position.</w:t>
      </w:r>
    </w:p>
    <w:p w:rsidR="006724FB" w:rsidRDefault="006724FB">
      <w:pPr>
        <w:pStyle w:val="Subsection"/>
      </w:pPr>
      <w:r>
        <w:tab/>
        <w:t>(3)</w:t>
      </w:r>
      <w:r>
        <w:tab/>
        <w:t xml:space="preserve">A motor cycle may be equipped with a headlight modulation system that — </w:t>
      </w:r>
    </w:p>
    <w:p w:rsidR="006724FB" w:rsidRDefault="006724FB">
      <w:pPr>
        <w:pStyle w:val="Indenta"/>
      </w:pPr>
      <w:r>
        <w:tab/>
        <w:t>(a)</w:t>
      </w:r>
      <w:r>
        <w:tab/>
        <w:t>varies the brightness of its high</w:t>
      </w:r>
      <w:r>
        <w:noBreakHyphen/>
        <w:t>beam headlight or low</w:t>
      </w:r>
      <w:r>
        <w:noBreakHyphen/>
        <w:t>beam headlight, but not both, at a rate of at least 200 and at most 280 flashes a minute; and</w:t>
      </w:r>
    </w:p>
    <w:p w:rsidR="006724FB" w:rsidRDefault="006724FB">
      <w:pPr>
        <w:pStyle w:val="Indenta"/>
      </w:pPr>
      <w:r>
        <w:tab/>
        <w:t>(b)</w:t>
      </w:r>
      <w:r>
        <w:tab/>
        <w:t>is designed to operate only in the daytime.</w:t>
      </w:r>
    </w:p>
    <w:p w:rsidR="006724FB" w:rsidRDefault="006724FB">
      <w:pPr>
        <w:pStyle w:val="Subsection"/>
      </w:pPr>
      <w:r>
        <w:tab/>
        <w:t>(4)</w:t>
      </w:r>
      <w:r>
        <w:tab/>
        <w:t>Up to 4 additional headlights may be fitted to a motor vehicle with 4 or more wheels, a motor cycle or a motor tricycle.</w:t>
      </w:r>
    </w:p>
    <w:p w:rsidR="006724FB" w:rsidRDefault="006724FB">
      <w:pPr>
        <w:pStyle w:val="Subsection"/>
      </w:pPr>
      <w:r>
        <w:tab/>
        <w:t>(5)</w:t>
      </w:r>
      <w:r>
        <w:tab/>
        <w:t>An additional headlight fitted to a vehicle must be fitted so that it faces forward and is symmetrical in relation to the centre line of the vehicle.</w:t>
      </w:r>
    </w:p>
    <w:p w:rsidR="006724FB" w:rsidRDefault="006724FB">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6"/>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rsidR="006724FB" w:rsidRDefault="006724FB">
      <w:pPr>
        <w:pStyle w:val="MiscellaneousHeading"/>
        <w:spacing w:before="0"/>
        <w:rPr>
          <w:b/>
        </w:rPr>
      </w:pPr>
      <w:r>
        <w:rPr>
          <w:b/>
        </w:rPr>
        <w:t>Location of additional headlights on a vehicle</w:t>
      </w:r>
    </w:p>
    <w:p w:rsidR="006724FB" w:rsidRDefault="006724FB">
      <w:pPr>
        <w:pStyle w:val="Footnotesection"/>
      </w:pPr>
      <w:r>
        <w:tab/>
        <w:t>[Regulation 286 amended: Gazette 29 Mar 2019 p. 967</w:t>
      </w:r>
      <w:r>
        <w:noBreakHyphen/>
        <w:t>8.]</w:t>
      </w:r>
    </w:p>
    <w:p w:rsidR="006724FB" w:rsidRDefault="006724FB">
      <w:pPr>
        <w:pStyle w:val="Heading5"/>
      </w:pPr>
      <w:bookmarkStart w:id="501" w:name="_Toc75875866"/>
      <w:r>
        <w:rPr>
          <w:rStyle w:val="CharSectno"/>
        </w:rPr>
        <w:lastRenderedPageBreak/>
        <w:t>287</w:t>
      </w:r>
      <w:r>
        <w:t>.</w:t>
      </w:r>
      <w:r>
        <w:tab/>
        <w:t>Motor vehicle headlights — how fitted</w:t>
      </w:r>
      <w:bookmarkEnd w:id="501"/>
    </w:p>
    <w:p w:rsidR="006724FB" w:rsidRDefault="006724FB">
      <w:pPr>
        <w:pStyle w:val="Subsection"/>
      </w:pPr>
      <w:r>
        <w:tab/>
        <w:t>(1)</w:t>
      </w:r>
      <w:r>
        <w:tab/>
        <w:t>The centres of low</w:t>
      </w:r>
      <w:r>
        <w:noBreakHyphen/>
        <w:t>beam headlights fitted as a pair on a motor vehicle with 4 or more wheels must be at least 600 mm apart.</w:t>
      </w:r>
    </w:p>
    <w:p w:rsidR="006724FB" w:rsidRDefault="006724FB">
      <w:pPr>
        <w:pStyle w:val="Subsection"/>
      </w:pPr>
      <w:r>
        <w:tab/>
        <w:t>(2)</w:t>
      </w:r>
      <w:r>
        <w:tab/>
        <w:t>Subregulation (1) does not apply to a motor vehicle built before 1970 if the centres of its low</w:t>
      </w:r>
      <w:r>
        <w:noBreakHyphen/>
        <w:t xml:space="preserve">beam headlights — </w:t>
      </w:r>
    </w:p>
    <w:p w:rsidR="006724FB" w:rsidRDefault="006724FB">
      <w:pPr>
        <w:pStyle w:val="Indenta"/>
      </w:pPr>
      <w:r>
        <w:tab/>
        <w:t>(a)</w:t>
      </w:r>
      <w:r>
        <w:tab/>
        <w:t>were under 600 mm apart when the vehicle was built; and</w:t>
      </w:r>
    </w:p>
    <w:p w:rsidR="006724FB" w:rsidRDefault="006724FB">
      <w:pPr>
        <w:pStyle w:val="Indenta"/>
      </w:pPr>
      <w:r>
        <w:tab/>
        <w:t>(b)</w:t>
      </w:r>
      <w:r>
        <w:tab/>
        <w:t>are not nearer than they were when the vehicle was built.</w:t>
      </w:r>
    </w:p>
    <w:p w:rsidR="006724FB" w:rsidRDefault="006724FB">
      <w:pPr>
        <w:pStyle w:val="Subsection"/>
      </w:pPr>
      <w:r>
        <w:tab/>
        <w:t>(3)</w:t>
      </w:r>
      <w:r>
        <w:tab/>
        <w:t>Each low</w:t>
      </w:r>
      <w:r>
        <w:noBreakHyphen/>
        <w:t>beam headlight of a pair on a motor tricycle (except a moped) with 2 front wheels must not be over 400 mm from the nearer side of the vehicle.</w:t>
      </w:r>
    </w:p>
    <w:p w:rsidR="006724FB" w:rsidRDefault="006724FB">
      <w:pPr>
        <w:pStyle w:val="Subsection"/>
        <w:keepNext/>
      </w:pPr>
      <w:r>
        <w:tab/>
        <w:t>(4)</w:t>
      </w:r>
      <w:r>
        <w:tab/>
        <w:t>The centre of a low</w:t>
      </w:r>
      <w:r>
        <w:noBreakHyphen/>
        <w:t xml:space="preserve">beam headlight fitted to a motor vehicle built after June 1953 must be — </w:t>
      </w:r>
    </w:p>
    <w:p w:rsidR="006724FB" w:rsidRDefault="006724FB">
      <w:pPr>
        <w:pStyle w:val="Indenta"/>
      </w:pPr>
      <w:r>
        <w:tab/>
        <w:t>(a)</w:t>
      </w:r>
      <w:r>
        <w:tab/>
        <w:t>at least 500 mm above ground level; and</w:t>
      </w:r>
    </w:p>
    <w:p w:rsidR="006724FB" w:rsidRDefault="006724FB">
      <w:pPr>
        <w:pStyle w:val="Indenta"/>
      </w:pPr>
      <w:r>
        <w:tab/>
        <w:t>(b)</w:t>
      </w:r>
      <w:r>
        <w:tab/>
        <w:t>not over 1.4 m above ground level.</w:t>
      </w:r>
    </w:p>
    <w:p w:rsidR="006724FB" w:rsidRDefault="006724FB">
      <w:pPr>
        <w:pStyle w:val="Heading5"/>
      </w:pPr>
      <w:bookmarkStart w:id="502" w:name="_Toc75875867"/>
      <w:r>
        <w:rPr>
          <w:rStyle w:val="CharSectno"/>
        </w:rPr>
        <w:t>288</w:t>
      </w:r>
      <w:r>
        <w:t>.</w:t>
      </w:r>
      <w:r>
        <w:tab/>
        <w:t>Motor vehicle single headlights — how fitted</w:t>
      </w:r>
      <w:bookmarkEnd w:id="502"/>
    </w:p>
    <w:p w:rsidR="006724FB" w:rsidRDefault="006724FB">
      <w:pPr>
        <w:pStyle w:val="Subsection"/>
      </w:pPr>
      <w:r>
        <w:tab/>
        <w:t>(1)</w:t>
      </w:r>
      <w:r>
        <w:tab/>
        <w:t>A motor cycle or motor tricycle with a single headlight fitted must have the light fitted in the centre.</w:t>
      </w:r>
    </w:p>
    <w:p w:rsidR="006724FB" w:rsidRDefault="006724FB">
      <w:pPr>
        <w:pStyle w:val="Subsection"/>
      </w:pPr>
      <w:r>
        <w:tab/>
        <w:t>(2)</w:t>
      </w:r>
      <w:r>
        <w:tab/>
        <w:t>Subregulation (1) applies to a motor cycle with an attached sidecar as if the sidecar were not attached.</w:t>
      </w:r>
    </w:p>
    <w:p w:rsidR="006724FB" w:rsidRDefault="006724FB">
      <w:pPr>
        <w:pStyle w:val="Heading5"/>
      </w:pPr>
      <w:bookmarkStart w:id="503" w:name="_Toc75875868"/>
      <w:r>
        <w:rPr>
          <w:rStyle w:val="CharSectno"/>
        </w:rPr>
        <w:t>289</w:t>
      </w:r>
      <w:r>
        <w:t>.</w:t>
      </w:r>
      <w:r>
        <w:tab/>
        <w:t>Motor vehicle additional headlights — how fitted</w:t>
      </w:r>
      <w:bookmarkEnd w:id="503"/>
    </w:p>
    <w:p w:rsidR="006724FB" w:rsidRDefault="006724FB">
      <w:pPr>
        <w:pStyle w:val="Subsection"/>
      </w:pPr>
      <w:r>
        <w:tab/>
      </w:r>
      <w:r>
        <w:tab/>
        <w:t>If 2 or more additional headlights are fitted to a motor vehicle with 4 or more wheels, the additional headlights must as far as possible be fitted in pairs.</w:t>
      </w:r>
    </w:p>
    <w:p w:rsidR="006724FB" w:rsidRDefault="006724FB">
      <w:pPr>
        <w:pStyle w:val="Heading5"/>
        <w:keepNext w:val="0"/>
        <w:spacing w:before="120"/>
      </w:pPr>
      <w:bookmarkStart w:id="504" w:name="_Toc75875869"/>
      <w:r>
        <w:rPr>
          <w:rStyle w:val="CharSectno"/>
        </w:rPr>
        <w:t>290</w:t>
      </w:r>
      <w:r>
        <w:t>.</w:t>
      </w:r>
      <w:r>
        <w:tab/>
        <w:t>Performance of headlights</w:t>
      </w:r>
      <w:bookmarkEnd w:id="504"/>
    </w:p>
    <w:p w:rsidR="006724FB" w:rsidRDefault="006724FB">
      <w:pPr>
        <w:pStyle w:val="Subsection"/>
      </w:pPr>
      <w:r>
        <w:tab/>
        <w:t>(1)</w:t>
      </w:r>
      <w:r>
        <w:tab/>
        <w:t>When on, a headlight or additional headlight fitted to a vehicle must —</w:t>
      </w:r>
    </w:p>
    <w:p w:rsidR="006724FB" w:rsidRDefault="006724FB">
      <w:pPr>
        <w:pStyle w:val="Indenta"/>
      </w:pPr>
      <w:r>
        <w:tab/>
        <w:t>(a)</w:t>
      </w:r>
      <w:r>
        <w:tab/>
        <w:t>show only white light; and</w:t>
      </w:r>
    </w:p>
    <w:p w:rsidR="006724FB" w:rsidRDefault="006724FB">
      <w:pPr>
        <w:pStyle w:val="Indenta"/>
      </w:pPr>
      <w:r>
        <w:tab/>
        <w:t>(b)</w:t>
      </w:r>
      <w:r>
        <w:tab/>
        <w:t>project its main beam of light ahead of the vehicle.</w:t>
      </w:r>
    </w:p>
    <w:p w:rsidR="006724FB" w:rsidRDefault="006724FB">
      <w:pPr>
        <w:pStyle w:val="Subsection"/>
      </w:pPr>
      <w:r>
        <w:lastRenderedPageBreak/>
        <w:tab/>
        <w:t>(2)</w:t>
      </w:r>
      <w:r>
        <w:tab/>
        <w:t>Headlights must be fitted to a vehicle so their light does not reflect off the vehicle into the driver’s eyes.</w:t>
      </w:r>
    </w:p>
    <w:p w:rsidR="006724FB" w:rsidRDefault="006724FB">
      <w:pPr>
        <w:pStyle w:val="Heading5"/>
      </w:pPr>
      <w:bookmarkStart w:id="505" w:name="_Toc75875870"/>
      <w:r>
        <w:rPr>
          <w:rStyle w:val="CharSectno"/>
        </w:rPr>
        <w:t>291</w:t>
      </w:r>
      <w:r>
        <w:t>.</w:t>
      </w:r>
      <w:r>
        <w:tab/>
        <w:t>Effective range of headlights</w:t>
      </w:r>
      <w:bookmarkEnd w:id="505"/>
    </w:p>
    <w:p w:rsidR="006724FB" w:rsidRDefault="006724FB">
      <w:pPr>
        <w:pStyle w:val="Subsection"/>
      </w:pPr>
      <w:r>
        <w:tab/>
        <w:t>(1)</w:t>
      </w:r>
      <w:r>
        <w:tab/>
        <w:t>This regulation applies to a headlight that is on at night.</w:t>
      </w:r>
    </w:p>
    <w:p w:rsidR="006724FB" w:rsidRDefault="006724FB">
      <w:pPr>
        <w:pStyle w:val="Subsection"/>
      </w:pPr>
      <w:r>
        <w:tab/>
        <w:t>(2)</w:t>
      </w:r>
      <w:r>
        <w:tab/>
        <w:t>A low</w:t>
      </w:r>
      <w:r>
        <w:noBreakHyphen/>
        <w:t>beam headlight must illuminate the road ahead of the vehicle for at least 25 m.</w:t>
      </w:r>
    </w:p>
    <w:p w:rsidR="006724FB" w:rsidRDefault="006724FB">
      <w:pPr>
        <w:pStyle w:val="Subsection"/>
      </w:pPr>
      <w:r>
        <w:tab/>
        <w:t>(3)</w:t>
      </w:r>
      <w:r>
        <w:tab/>
        <w:t>A high</w:t>
      </w:r>
      <w:r>
        <w:noBreakHyphen/>
        <w:t>beam headlight must illuminate the road ahead of the vehicle for at least 50 m.</w:t>
      </w:r>
    </w:p>
    <w:p w:rsidR="006724FB" w:rsidRDefault="006724FB">
      <w:pPr>
        <w:pStyle w:val="Subsection"/>
      </w:pPr>
      <w:r>
        <w:tab/>
        <w:t>(4)</w:t>
      </w:r>
      <w:r>
        <w:tab/>
        <w:t>However, a low</w:t>
      </w:r>
      <w:r>
        <w:noBreakHyphen/>
        <w:t>beam headlight fitted to a motor vehicle built before 1931, or a moped, need only illuminate the road ahead of the vehicle for 12 m.</w:t>
      </w:r>
    </w:p>
    <w:p w:rsidR="006724FB" w:rsidRDefault="006724FB">
      <w:pPr>
        <w:pStyle w:val="Heading5"/>
      </w:pPr>
      <w:bookmarkStart w:id="506" w:name="_Toc75875871"/>
      <w:r>
        <w:rPr>
          <w:rStyle w:val="CharSectno"/>
        </w:rPr>
        <w:t>292</w:t>
      </w:r>
      <w:r>
        <w:t>.</w:t>
      </w:r>
      <w:r>
        <w:tab/>
        <w:t>Changing headlights from high</w:t>
      </w:r>
      <w:r>
        <w:noBreakHyphen/>
        <w:t>beam to low</w:t>
      </w:r>
      <w:r>
        <w:noBreakHyphen/>
        <w:t>beam position for motor vehicles</w:t>
      </w:r>
      <w:bookmarkEnd w:id="506"/>
    </w:p>
    <w:p w:rsidR="006724FB" w:rsidRDefault="006724FB">
      <w:pPr>
        <w:pStyle w:val="Subsection"/>
      </w:pPr>
      <w:r>
        <w:tab/>
        <w:t>(1)</w:t>
      </w:r>
      <w:r>
        <w:tab/>
        <w:t xml:space="preserve">A motor vehicle built after 1934 that can travel at over 60 km/h must be fitted with — </w:t>
      </w:r>
    </w:p>
    <w:p w:rsidR="006724FB" w:rsidRDefault="006724FB">
      <w:pPr>
        <w:pStyle w:val="Indenta"/>
      </w:pPr>
      <w:r>
        <w:tab/>
        <w:t>(a)</w:t>
      </w:r>
      <w:r>
        <w:tab/>
        <w:t xml:space="preserve">a dipping device enabling the driver in the normal driving position — </w:t>
      </w:r>
    </w:p>
    <w:p w:rsidR="006724FB" w:rsidRDefault="006724FB">
      <w:pPr>
        <w:pStyle w:val="Indenti"/>
      </w:pPr>
      <w:r>
        <w:tab/>
        <w:t>(i)</w:t>
      </w:r>
      <w:r>
        <w:tab/>
        <w:t>to change the headlights from the high</w:t>
      </w:r>
      <w:r>
        <w:noBreakHyphen/>
        <w:t>beam position to the low</w:t>
      </w:r>
      <w:r>
        <w:noBreakHyphen/>
        <w:t>beam position; or</w:t>
      </w:r>
    </w:p>
    <w:p w:rsidR="006724FB" w:rsidRDefault="006724FB">
      <w:pPr>
        <w:pStyle w:val="Indenti"/>
      </w:pPr>
      <w:r>
        <w:tab/>
        <w:t>(ii)</w:t>
      </w:r>
      <w:r>
        <w:tab/>
        <w:t>simultaneously to switch off a high</w:t>
      </w:r>
      <w:r>
        <w:noBreakHyphen/>
        <w:t>beam headlight and switch on a low</w:t>
      </w:r>
      <w:r>
        <w:noBreakHyphen/>
        <w:t>beam headlight;</w:t>
      </w:r>
    </w:p>
    <w:p w:rsidR="006724FB" w:rsidRDefault="006724FB">
      <w:pPr>
        <w:pStyle w:val="Indenta"/>
      </w:pPr>
      <w:r>
        <w:tab/>
      </w:r>
      <w:r>
        <w:tab/>
        <w:t>and</w:t>
      </w:r>
    </w:p>
    <w:p w:rsidR="006724FB" w:rsidRDefault="006724FB">
      <w:pPr>
        <w:pStyle w:val="Indenta"/>
      </w:pPr>
      <w:r>
        <w:tab/>
        <w:t>(b)</w:t>
      </w:r>
      <w:r>
        <w:tab/>
        <w:t>for a vehicle built after June 1953 — a device to indicate to the driver that the headlights are in the high</w:t>
      </w:r>
      <w:r>
        <w:noBreakHyphen/>
        <w:t>beam position.</w:t>
      </w:r>
    </w:p>
    <w:p w:rsidR="006724FB" w:rsidRDefault="006724FB">
      <w:pPr>
        <w:pStyle w:val="Subsection"/>
      </w:pPr>
      <w:r>
        <w:tab/>
        <w:t>(2)</w:t>
      </w:r>
      <w:r>
        <w:tab/>
        <w:t>A headlight fitted to a motor vehicle not fitted with a dipping device mentioned in subregulation (1)(a) must operate in the low</w:t>
      </w:r>
      <w:r>
        <w:noBreakHyphen/>
        <w:t>beam position.</w:t>
      </w:r>
    </w:p>
    <w:p w:rsidR="006724FB" w:rsidRDefault="006724FB">
      <w:pPr>
        <w:pStyle w:val="Subsection"/>
      </w:pPr>
      <w:r>
        <w:lastRenderedPageBreak/>
        <w:tab/>
        <w:t>(3)</w:t>
      </w:r>
      <w:r>
        <w:tab/>
        <w:t>When a headlight fitted to a motor vehicle is switched to the low</w:t>
      </w:r>
      <w:r>
        <w:noBreakHyphen/>
        <w:t>beam position, any other headlight on the vehicle must operate only in the low</w:t>
      </w:r>
      <w:r>
        <w:noBreakHyphen/>
        <w:t>beam position or be off.</w:t>
      </w:r>
    </w:p>
    <w:p w:rsidR="006724FB" w:rsidRDefault="006724FB">
      <w:pPr>
        <w:pStyle w:val="Heading4"/>
      </w:pPr>
      <w:bookmarkStart w:id="507" w:name="_Toc75419948"/>
      <w:bookmarkStart w:id="508" w:name="_Toc75427284"/>
      <w:bookmarkStart w:id="509" w:name="_Toc75872700"/>
      <w:bookmarkStart w:id="510" w:name="_Toc75875872"/>
      <w:r>
        <w:t>Subdivision 3 — Parking lights</w:t>
      </w:r>
      <w:bookmarkEnd w:id="507"/>
      <w:bookmarkEnd w:id="508"/>
      <w:bookmarkEnd w:id="509"/>
      <w:bookmarkEnd w:id="510"/>
    </w:p>
    <w:p w:rsidR="006724FB" w:rsidRDefault="006724FB">
      <w:pPr>
        <w:pStyle w:val="Heading5"/>
        <w:spacing w:before="120"/>
      </w:pPr>
      <w:bookmarkStart w:id="511" w:name="_Toc75875873"/>
      <w:r>
        <w:rPr>
          <w:rStyle w:val="CharSectno"/>
        </w:rPr>
        <w:t>293</w:t>
      </w:r>
      <w:r>
        <w:t>.</w:t>
      </w:r>
      <w:r>
        <w:tab/>
        <w:t>Motor vehicle parking lights</w:t>
      </w:r>
      <w:bookmarkEnd w:id="511"/>
    </w:p>
    <w:p w:rsidR="006724FB" w:rsidRDefault="006724FB">
      <w:pPr>
        <w:pStyle w:val="Subsection"/>
        <w:keepNext/>
        <w:spacing w:before="100"/>
      </w:pPr>
      <w:r>
        <w:tab/>
        <w:t>(1)</w:t>
      </w:r>
      <w:r>
        <w:tab/>
        <w:t xml:space="preserve">A motor vehicle built after June 1953 must be fitted with — </w:t>
      </w:r>
    </w:p>
    <w:p w:rsidR="006724FB" w:rsidRDefault="006724FB">
      <w:pPr>
        <w:pStyle w:val="Indenta"/>
      </w:pPr>
      <w:r>
        <w:tab/>
        <w:t>(a)</w:t>
      </w:r>
      <w:r>
        <w:tab/>
        <w:t>a pair of parking lights if it is a motor tricycle with 2 front wheels (except a moped) or a motor vehicle with 4 or more wheels; or</w:t>
      </w:r>
    </w:p>
    <w:p w:rsidR="006724FB" w:rsidRDefault="006724FB">
      <w:pPr>
        <w:pStyle w:val="Indenta"/>
      </w:pPr>
      <w:r>
        <w:tab/>
        <w:t>(b)</w:t>
      </w:r>
      <w:r>
        <w:tab/>
        <w:t>at least one parking light if it is a motor cycle with an attached sidecar, or a motor tricycle with one front wheel, (except a moped).</w:t>
      </w:r>
    </w:p>
    <w:p w:rsidR="006724FB" w:rsidRDefault="006724FB">
      <w:pPr>
        <w:pStyle w:val="Subsection"/>
        <w:keepNext/>
        <w:spacing w:before="100"/>
      </w:pPr>
      <w:r>
        <w:tab/>
        <w:t>(2)</w:t>
      </w:r>
      <w:r>
        <w:tab/>
        <w:t xml:space="preserve">A pair of parking lights fitted to a motor vehicle with 4 or more wheels must be fitted with the centre of each light — </w:t>
      </w:r>
    </w:p>
    <w:p w:rsidR="006724FB" w:rsidRDefault="006724FB">
      <w:pPr>
        <w:pStyle w:val="Indenta"/>
      </w:pPr>
      <w:r>
        <w:tab/>
        <w:t>(a)</w:t>
      </w:r>
      <w:r>
        <w:tab/>
        <w:t>at least 600 mm from the centre of the other light; and</w:t>
      </w:r>
    </w:p>
    <w:p w:rsidR="006724FB" w:rsidRDefault="006724FB">
      <w:pPr>
        <w:pStyle w:val="Indenta"/>
      </w:pPr>
      <w:r>
        <w:tab/>
        <w:t>(b)</w:t>
      </w:r>
      <w:r>
        <w:tab/>
        <w:t>not over 510 mm from the nearer side of the vehicle.</w:t>
      </w:r>
    </w:p>
    <w:p w:rsidR="006724FB" w:rsidRDefault="006724FB">
      <w:pPr>
        <w:pStyle w:val="Subsection"/>
      </w:pPr>
      <w:r>
        <w:tab/>
        <w:t>(3)</w:t>
      </w:r>
      <w:r>
        <w:tab/>
        <w:t>However, a pair of parking lights fitted to a motor vehicle under 1 300 mm wide may be fitted with the centre of each light not under 400 mm from the centre of the other light.</w:t>
      </w:r>
    </w:p>
    <w:p w:rsidR="006724FB" w:rsidRDefault="006724FB">
      <w:pPr>
        <w:pStyle w:val="Subsection"/>
      </w:pPr>
      <w:r>
        <w:tab/>
        <w:t>(4)</w:t>
      </w:r>
      <w:r>
        <w:tab/>
        <w:t>A parking light fitted to a motor tricycle with 2 front wheels must not be over 400 mm from the nearer side of the vehicle.</w:t>
      </w:r>
    </w:p>
    <w:p w:rsidR="006724FB" w:rsidRDefault="006724FB">
      <w:pPr>
        <w:pStyle w:val="Subsection"/>
      </w:pPr>
      <w:r>
        <w:tab/>
        <w:t>(5)</w:t>
      </w:r>
      <w:r>
        <w:tab/>
        <w:t>A parking light fitted to a motor cycle with a sidecar must be fitted not over 150 mm from the side of the sidecar furthest from the motor cycle.</w:t>
      </w:r>
    </w:p>
    <w:p w:rsidR="006724FB" w:rsidRDefault="006724FB">
      <w:pPr>
        <w:pStyle w:val="Graphics"/>
        <w:spacing w:before="240" w:after="240"/>
        <w:jc w:val="center"/>
      </w:pPr>
      <w:r>
        <w:lastRenderedPageBreak/>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rsidR="006724FB" w:rsidRDefault="006724FB">
      <w:pPr>
        <w:pStyle w:val="MiscellaneousHeading"/>
        <w:keepNext w:val="0"/>
        <w:spacing w:before="80" w:line="240" w:lineRule="auto"/>
        <w:rPr>
          <w:b/>
        </w:rPr>
      </w:pPr>
      <w:r>
        <w:rPr>
          <w:b/>
        </w:rPr>
        <w:t>Location of parking lights on a vehicle</w:t>
      </w:r>
    </w:p>
    <w:p w:rsidR="006724FB" w:rsidRDefault="006724FB">
      <w:pPr>
        <w:pStyle w:val="Subsection"/>
      </w:pPr>
      <w:r>
        <w:tab/>
        <w:t>(6)</w:t>
      </w:r>
      <w:r>
        <w:tab/>
        <w:t xml:space="preserve">When on, a parking light required by this regulation must — </w:t>
      </w:r>
    </w:p>
    <w:p w:rsidR="006724FB" w:rsidRDefault="006724FB">
      <w:pPr>
        <w:pStyle w:val="Indenta"/>
      </w:pPr>
      <w:r>
        <w:tab/>
        <w:t>(a)</w:t>
      </w:r>
      <w:r>
        <w:tab/>
        <w:t>show a white or yellow light visible 200 m from the front of the vehicle; and</w:t>
      </w:r>
    </w:p>
    <w:p w:rsidR="006724FB" w:rsidRDefault="006724FB">
      <w:pPr>
        <w:pStyle w:val="Indenta"/>
      </w:pPr>
      <w:r>
        <w:tab/>
        <w:t>(b)</w:t>
      </w:r>
      <w:r>
        <w:tab/>
        <w:t>not use over 7 W power.</w:t>
      </w:r>
    </w:p>
    <w:p w:rsidR="006724FB" w:rsidRDefault="006724FB">
      <w:pPr>
        <w:pStyle w:val="Subsection"/>
      </w:pPr>
      <w:r>
        <w:tab/>
        <w:t>(7)</w:t>
      </w:r>
      <w:r>
        <w:tab/>
        <w:t>A parking light fitted to a motor vehicle built after 1969 must be wired so the parking light is on when a headlight on the vehicle is on.</w:t>
      </w:r>
    </w:p>
    <w:p w:rsidR="006724FB" w:rsidRDefault="006724FB">
      <w:pPr>
        <w:pStyle w:val="Subsection"/>
      </w:pPr>
      <w:r>
        <w:tab/>
        <w:t>(8)</w:t>
      </w:r>
      <w:r>
        <w:tab/>
        <w:t>A parking light fitted to a sidecar attached to a motor cycle must be wired to operate when a headlight, tail light or parking light on the motor cycle is on.</w:t>
      </w:r>
    </w:p>
    <w:p w:rsidR="006724FB" w:rsidRDefault="006724FB">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rsidR="006724FB" w:rsidRDefault="006724FB">
      <w:pPr>
        <w:pStyle w:val="Heading4"/>
      </w:pPr>
      <w:bookmarkStart w:id="512" w:name="_Toc75419950"/>
      <w:bookmarkStart w:id="513" w:name="_Toc75427286"/>
      <w:bookmarkStart w:id="514" w:name="_Toc75872702"/>
      <w:bookmarkStart w:id="515" w:name="_Toc75875874"/>
      <w:r>
        <w:t>Subdivision 4 — Daytime running lights</w:t>
      </w:r>
      <w:bookmarkEnd w:id="512"/>
      <w:bookmarkEnd w:id="513"/>
      <w:bookmarkEnd w:id="514"/>
      <w:bookmarkEnd w:id="515"/>
    </w:p>
    <w:p w:rsidR="006724FB" w:rsidRDefault="006724FB">
      <w:pPr>
        <w:pStyle w:val="Heading5"/>
      </w:pPr>
      <w:bookmarkStart w:id="516" w:name="_Toc75875875"/>
      <w:r>
        <w:rPr>
          <w:rStyle w:val="CharSectno"/>
        </w:rPr>
        <w:t>294</w:t>
      </w:r>
      <w:r>
        <w:t>.</w:t>
      </w:r>
      <w:r>
        <w:tab/>
        <w:t>Daytime running lights for certain vehicles</w:t>
      </w:r>
      <w:bookmarkEnd w:id="516"/>
    </w:p>
    <w:p w:rsidR="006724FB" w:rsidRDefault="006724FB">
      <w:pPr>
        <w:pStyle w:val="Subsection"/>
      </w:pPr>
      <w:r>
        <w:tab/>
        <w:t>(1)</w:t>
      </w:r>
      <w:r>
        <w:tab/>
        <w:t>A pair of daytime running lights may be fitted to a motor vehicle.</w:t>
      </w:r>
    </w:p>
    <w:p w:rsidR="006724FB" w:rsidRDefault="006724FB">
      <w:pPr>
        <w:pStyle w:val="Subsection"/>
        <w:keepNext/>
      </w:pPr>
      <w:r>
        <w:lastRenderedPageBreak/>
        <w:tab/>
        <w:t>(2)</w:t>
      </w:r>
      <w:r>
        <w:tab/>
        <w:t>A pair of daytime running lights fitted to a vehicle with 4 or more wheels must be fitted with the centre of each light —</w:t>
      </w:r>
    </w:p>
    <w:p w:rsidR="006724FB" w:rsidRDefault="006724FB">
      <w:pPr>
        <w:pStyle w:val="Indenta"/>
      </w:pPr>
      <w:r>
        <w:tab/>
        <w:t>(a)</w:t>
      </w:r>
      <w:r>
        <w:tab/>
        <w:t>at least 600 mm from the centre of the other light; and</w:t>
      </w:r>
    </w:p>
    <w:p w:rsidR="006724FB" w:rsidRDefault="006724FB">
      <w:pPr>
        <w:pStyle w:val="Indenta"/>
      </w:pPr>
      <w:r>
        <w:tab/>
        <w:t>(b)</w:t>
      </w:r>
      <w:r>
        <w:tab/>
        <w:t>not over 510 mm from the nearer side of the vehicle.</w:t>
      </w:r>
    </w:p>
    <w:p w:rsidR="006724FB" w:rsidRDefault="006724FB">
      <w:pPr>
        <w:pStyle w:val="Subsection"/>
      </w:pPr>
      <w:r>
        <w:tab/>
        <w:t>(3)</w:t>
      </w:r>
      <w:r>
        <w:tab/>
        <w:t>However, a pair of daytime running lights fitted to a motor vehicle under 1 300 mm wide may be fitted with the centre of each light not under 400 mm from the centre of the other light.</w:t>
      </w:r>
    </w:p>
    <w:p w:rsidR="006724FB" w:rsidRDefault="006724FB">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rsidR="006724FB" w:rsidRDefault="006724FB">
      <w:pPr>
        <w:pStyle w:val="MiscellaneousHeading"/>
        <w:keepNext w:val="0"/>
        <w:spacing w:before="80" w:line="240" w:lineRule="auto"/>
        <w:rPr>
          <w:b/>
        </w:rPr>
      </w:pPr>
      <w:r>
        <w:rPr>
          <w:b/>
        </w:rPr>
        <w:t>Location of daytime running lights on a vehicle</w:t>
      </w:r>
    </w:p>
    <w:p w:rsidR="006724FB" w:rsidRDefault="006724FB">
      <w:pPr>
        <w:pStyle w:val="Subsection"/>
        <w:keepNext/>
      </w:pPr>
      <w:r>
        <w:tab/>
        <w:t>(4)</w:t>
      </w:r>
      <w:r>
        <w:tab/>
        <w:t>When on, a daytime running light required by this regulation must —</w:t>
      </w:r>
    </w:p>
    <w:p w:rsidR="006724FB" w:rsidRDefault="006724FB">
      <w:pPr>
        <w:pStyle w:val="Indenta"/>
      </w:pPr>
      <w:r>
        <w:tab/>
        <w:t>(a)</w:t>
      </w:r>
      <w:r>
        <w:tab/>
        <w:t>show a white or yellow light visible from the front of the vehicle; and</w:t>
      </w:r>
    </w:p>
    <w:p w:rsidR="006724FB" w:rsidRDefault="006724FB">
      <w:pPr>
        <w:pStyle w:val="Indenta"/>
      </w:pPr>
      <w:r>
        <w:tab/>
        <w:t>(b)</w:t>
      </w:r>
      <w:r>
        <w:tab/>
        <w:t>not use over 25 W power.</w:t>
      </w:r>
    </w:p>
    <w:p w:rsidR="006724FB" w:rsidRDefault="006724FB">
      <w:pPr>
        <w:pStyle w:val="Subsection"/>
      </w:pPr>
      <w:r>
        <w:tab/>
        <w:t>(5)</w:t>
      </w:r>
      <w:r>
        <w:tab/>
        <w:t>Daytime running lights required by this regulation must be wired so they are off when a headlight, except a headlight being used as a flashing signal, is on.</w:t>
      </w:r>
    </w:p>
    <w:p w:rsidR="006724FB" w:rsidRDefault="006724FB">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rsidR="006724FB" w:rsidRDefault="006724FB">
      <w:pPr>
        <w:pStyle w:val="Heading4"/>
      </w:pPr>
      <w:bookmarkStart w:id="517" w:name="_Toc75419952"/>
      <w:bookmarkStart w:id="518" w:name="_Toc75427288"/>
      <w:bookmarkStart w:id="519" w:name="_Toc75872704"/>
      <w:bookmarkStart w:id="520" w:name="_Toc75875876"/>
      <w:r>
        <w:lastRenderedPageBreak/>
        <w:t>Subdivision 5 — Tail lights</w:t>
      </w:r>
      <w:bookmarkEnd w:id="517"/>
      <w:bookmarkEnd w:id="518"/>
      <w:bookmarkEnd w:id="519"/>
      <w:bookmarkEnd w:id="520"/>
    </w:p>
    <w:p w:rsidR="006724FB" w:rsidRDefault="006724FB">
      <w:pPr>
        <w:pStyle w:val="Heading5"/>
      </w:pPr>
      <w:bookmarkStart w:id="521" w:name="_Toc75875877"/>
      <w:r>
        <w:rPr>
          <w:rStyle w:val="CharSectno"/>
        </w:rPr>
        <w:t>295</w:t>
      </w:r>
      <w:r>
        <w:t>.</w:t>
      </w:r>
      <w:r>
        <w:tab/>
        <w:t>Tail lights for various vehicles</w:t>
      </w:r>
      <w:bookmarkEnd w:id="521"/>
    </w:p>
    <w:p w:rsidR="006724FB" w:rsidRDefault="006724FB">
      <w:pPr>
        <w:pStyle w:val="Subsection"/>
      </w:pPr>
      <w:r>
        <w:tab/>
        <w:t>(1)</w:t>
      </w:r>
      <w:r>
        <w:tab/>
        <w:t>A motor vehicle, trailer or any vehicle in a combination must have at least one tail light fitted on or towards the rear of the vehicle.</w:t>
      </w:r>
    </w:p>
    <w:p w:rsidR="006724FB" w:rsidRDefault="006724FB">
      <w:pPr>
        <w:pStyle w:val="Subsection"/>
      </w:pPr>
      <w:r>
        <w:tab/>
        <w:t>(2)</w:t>
      </w:r>
      <w:r>
        <w:tab/>
        <w:t>A motor tricycle with 2 rear wheels, or a motor vehicle with 4 or more wheels, built after 1959 must have at least one tail light fitted on or towards each side of the rear of the vehicle.</w:t>
      </w:r>
    </w:p>
    <w:p w:rsidR="006724FB" w:rsidRDefault="006724FB">
      <w:pPr>
        <w:pStyle w:val="Subsection"/>
      </w:pPr>
      <w:r>
        <w:tab/>
        <w:t>(3)</w:t>
      </w:r>
      <w:r>
        <w:tab/>
        <w:t>A trailer built after June 1973 must have at least one tail light fitted on or towards each side of the rear of the vehicle.</w:t>
      </w:r>
    </w:p>
    <w:p w:rsidR="006724FB" w:rsidRDefault="006724FB">
      <w:pPr>
        <w:pStyle w:val="Subsection"/>
      </w:pPr>
      <w:r>
        <w:tab/>
        <w:t>(4)</w:t>
      </w:r>
      <w:r>
        <w:tab/>
        <w:t xml:space="preserve">The centre of a tail light mentioned in subregulation (1), (2) or (3) must not be over — </w:t>
      </w:r>
    </w:p>
    <w:p w:rsidR="006724FB" w:rsidRDefault="006724FB">
      <w:pPr>
        <w:pStyle w:val="Indenta"/>
      </w:pPr>
      <w:r>
        <w:tab/>
        <w:t>(a)</w:t>
      </w:r>
      <w:r>
        <w:tab/>
        <w:t>1.5 m above ground level; or</w:t>
      </w:r>
    </w:p>
    <w:p w:rsidR="006724FB" w:rsidRDefault="006724FB">
      <w:pPr>
        <w:pStyle w:val="Indenta"/>
      </w:pPr>
      <w:r>
        <w:tab/>
        <w:t>(b)</w:t>
      </w:r>
      <w:r>
        <w:tab/>
        <w:t>if it is not practicable to fit the light lower — 2.1 m above ground level.</w:t>
      </w:r>
    </w:p>
    <w:p w:rsidR="006724FB" w:rsidRDefault="006724FB">
      <w:pPr>
        <w:pStyle w:val="Subsection"/>
      </w:pPr>
      <w:r>
        <w:tab/>
        <w:t>(5)</w:t>
      </w:r>
      <w:r>
        <w:tab/>
        <w:t>A motor vehicle, trailer or any vehicle in a combination may have one or more additional tail lights at any height above ground level.</w:t>
      </w:r>
    </w:p>
    <w:p w:rsidR="006724FB" w:rsidRDefault="006724FB">
      <w:pPr>
        <w:pStyle w:val="Heading5"/>
      </w:pPr>
      <w:bookmarkStart w:id="522" w:name="_Toc75875878"/>
      <w:r>
        <w:rPr>
          <w:rStyle w:val="CharSectno"/>
        </w:rPr>
        <w:t>296</w:t>
      </w:r>
      <w:r>
        <w:t>.</w:t>
      </w:r>
      <w:r>
        <w:tab/>
        <w:t>Pattern of fitting tail lights to certain vehicles</w:t>
      </w:r>
      <w:bookmarkEnd w:id="522"/>
    </w:p>
    <w:p w:rsidR="006724FB" w:rsidRDefault="006724FB">
      <w:pPr>
        <w:pStyle w:val="Subsection"/>
      </w:pPr>
      <w:r>
        <w:tab/>
        <w:t>(1)</w:t>
      </w:r>
      <w:r>
        <w:tab/>
        <w:t>If only one tail light is fitted to a motor vehicle, trailer or any vehicle in a combination, it must be fitted in the centre or to the right of the centre of the vehicle’s rear.</w:t>
      </w:r>
    </w:p>
    <w:p w:rsidR="006724FB" w:rsidRDefault="006724FB">
      <w:pPr>
        <w:pStyle w:val="Subsection"/>
      </w:pPr>
      <w:r>
        <w:tab/>
        <w:t>(2)</w:t>
      </w:r>
      <w:r>
        <w:tab/>
        <w:t>Subregulation (1) applies to a motor cycle with an attached sidecar as if the sidecar were not attached.</w:t>
      </w:r>
    </w:p>
    <w:p w:rsidR="006724FB" w:rsidRDefault="006724FB">
      <w:pPr>
        <w:pStyle w:val="Subsection"/>
      </w:pPr>
      <w:r>
        <w:tab/>
        <w:t>(3)</w:t>
      </w:r>
      <w:r>
        <w:tab/>
        <w:t>If 2 or more tail lights are fitted to a motor vehicle, trailer or any vehicle in a combination, at least 2 tail lights must be fitted as a pair.</w:t>
      </w:r>
    </w:p>
    <w:p w:rsidR="006724FB" w:rsidRDefault="006724FB">
      <w:pPr>
        <w:pStyle w:val="Graphics"/>
        <w:keepNext/>
        <w:spacing w:before="240" w:after="240"/>
        <w:jc w:val="center"/>
      </w:pPr>
      <w:r>
        <w:lastRenderedPageBreak/>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rsidR="006724FB" w:rsidRDefault="006724FB">
      <w:pPr>
        <w:pStyle w:val="MiscellaneousHeading"/>
        <w:keepNext w:val="0"/>
        <w:spacing w:before="120" w:line="240" w:lineRule="auto"/>
        <w:rPr>
          <w:b/>
        </w:rPr>
      </w:pPr>
      <w:r>
        <w:rPr>
          <w:b/>
        </w:rPr>
        <w:t>Location of tail lights on a vehicle</w:t>
      </w:r>
    </w:p>
    <w:p w:rsidR="006724FB" w:rsidRDefault="006724FB">
      <w:pPr>
        <w:pStyle w:val="Subsection"/>
      </w:pPr>
      <w:r>
        <w:tab/>
        <w:t>(4)</w:t>
      </w:r>
      <w:r>
        <w:tab/>
        <w:t>Tail lights fitted in accordance with this Subdivision may also serve as rear clearance lights if they are fitted to a vehicle in accordance with regulation 302(3).</w:t>
      </w:r>
    </w:p>
    <w:p w:rsidR="006724FB" w:rsidRDefault="006724FB">
      <w:pPr>
        <w:pStyle w:val="Heading5"/>
        <w:keepLines w:val="0"/>
      </w:pPr>
      <w:bookmarkStart w:id="523" w:name="_Toc75875879"/>
      <w:r>
        <w:rPr>
          <w:rStyle w:val="CharSectno"/>
        </w:rPr>
        <w:t>297</w:t>
      </w:r>
      <w:r>
        <w:t>.</w:t>
      </w:r>
      <w:r>
        <w:tab/>
        <w:t>Performance of tail lights of various vehicles</w:t>
      </w:r>
      <w:bookmarkEnd w:id="523"/>
    </w:p>
    <w:p w:rsidR="006724FB" w:rsidRDefault="006724FB">
      <w:pPr>
        <w:pStyle w:val="Subsection"/>
        <w:keepNext/>
      </w:pPr>
      <w:r>
        <w:tab/>
        <w:t>(1)</w:t>
      </w:r>
      <w:r>
        <w:tab/>
        <w:t xml:space="preserve">When on, a tail light of a motor vehicle, trailer or any vehicle in a combination must — </w:t>
      </w:r>
    </w:p>
    <w:p w:rsidR="006724FB" w:rsidRDefault="006724FB">
      <w:pPr>
        <w:pStyle w:val="Indenta"/>
      </w:pPr>
      <w:r>
        <w:tab/>
        <w:t>(a)</w:t>
      </w:r>
      <w:r>
        <w:tab/>
        <w:t>show a red light visible 200 m from the rear of the vehicle; and</w:t>
      </w:r>
    </w:p>
    <w:p w:rsidR="006724FB" w:rsidRDefault="006724FB">
      <w:pPr>
        <w:pStyle w:val="Indenta"/>
      </w:pPr>
      <w:r>
        <w:tab/>
        <w:t>(b)</w:t>
      </w:r>
      <w:r>
        <w:tab/>
        <w:t>not use over 7 W power.</w:t>
      </w:r>
    </w:p>
    <w:p w:rsidR="006724FB" w:rsidRDefault="006724FB">
      <w:pPr>
        <w:pStyle w:val="Subsection"/>
      </w:pPr>
      <w:r>
        <w:tab/>
        <w:t>(2)</w:t>
      </w:r>
      <w:r>
        <w:tab/>
        <w:t>A tail light fitted to a street rod vehicle may incorporate a blue lens not over 20 mm in diameter.</w:t>
      </w:r>
    </w:p>
    <w:p w:rsidR="006724FB" w:rsidRDefault="006724FB">
      <w:pPr>
        <w:pStyle w:val="Heading5"/>
      </w:pPr>
      <w:bookmarkStart w:id="524" w:name="_Toc75875880"/>
      <w:r>
        <w:rPr>
          <w:rStyle w:val="CharSectno"/>
        </w:rPr>
        <w:t>298</w:t>
      </w:r>
      <w:r>
        <w:t>.</w:t>
      </w:r>
      <w:r>
        <w:tab/>
        <w:t>Motor vehicle tail light wiring</w:t>
      </w:r>
      <w:bookmarkEnd w:id="524"/>
    </w:p>
    <w:p w:rsidR="006724FB" w:rsidRDefault="006724FB">
      <w:pPr>
        <w:pStyle w:val="Subsection"/>
      </w:pPr>
      <w:r>
        <w:tab/>
      </w:r>
      <w:r>
        <w:tab/>
        <w:t>A tail light of a motor vehicle must be wired to come on, and stay on, when a parking light or headlight fitted to the vehicle is on, unless an external switch is fitted to operate the tail light.</w:t>
      </w:r>
    </w:p>
    <w:p w:rsidR="006724FB" w:rsidRDefault="006724FB">
      <w:pPr>
        <w:pStyle w:val="Heading4"/>
      </w:pPr>
      <w:bookmarkStart w:id="525" w:name="_Toc75419957"/>
      <w:bookmarkStart w:id="526" w:name="_Toc75427293"/>
      <w:bookmarkStart w:id="527" w:name="_Toc75872709"/>
      <w:bookmarkStart w:id="528" w:name="_Toc75875881"/>
      <w:r>
        <w:lastRenderedPageBreak/>
        <w:t>Subdivision 6 — Number plate lights</w:t>
      </w:r>
      <w:bookmarkEnd w:id="525"/>
      <w:bookmarkEnd w:id="526"/>
      <w:bookmarkEnd w:id="527"/>
      <w:bookmarkEnd w:id="528"/>
    </w:p>
    <w:p w:rsidR="006724FB" w:rsidRDefault="006724FB">
      <w:pPr>
        <w:pStyle w:val="Heading5"/>
        <w:keepNext w:val="0"/>
        <w:keepLines w:val="0"/>
      </w:pPr>
      <w:bookmarkStart w:id="529" w:name="_Toc75875882"/>
      <w:r>
        <w:rPr>
          <w:rStyle w:val="CharSectno"/>
        </w:rPr>
        <w:t>299</w:t>
      </w:r>
      <w:r>
        <w:t>.</w:t>
      </w:r>
      <w:r>
        <w:tab/>
        <w:t>Number plate lights for certain vehicles</w:t>
      </w:r>
      <w:bookmarkEnd w:id="529"/>
    </w:p>
    <w:p w:rsidR="006724FB" w:rsidRDefault="006724FB">
      <w:pPr>
        <w:pStyle w:val="Subsection"/>
      </w:pPr>
      <w:r>
        <w:tab/>
        <w:t>(1)</w:t>
      </w:r>
      <w:r>
        <w:tab/>
        <w:t>At least one number plate light must be fitted to the rear of a motor vehicle, trailer or any vehicle in a combination.</w:t>
      </w:r>
    </w:p>
    <w:p w:rsidR="006724FB" w:rsidRDefault="006724FB">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rsidR="006724FB" w:rsidRDefault="006724FB">
      <w:pPr>
        <w:pStyle w:val="Subsection"/>
      </w:pPr>
      <w:r>
        <w:tab/>
        <w:t>(3)</w:t>
      </w:r>
      <w:r>
        <w:tab/>
        <w:t xml:space="preserve">A number plate light required by this regulation — </w:t>
      </w:r>
    </w:p>
    <w:p w:rsidR="006724FB" w:rsidRDefault="006724FB">
      <w:pPr>
        <w:pStyle w:val="Indenta"/>
      </w:pPr>
      <w:r>
        <w:tab/>
        <w:t>(a)</w:t>
      </w:r>
      <w:r>
        <w:tab/>
        <w:t>may be combined with another light; and</w:t>
      </w:r>
    </w:p>
    <w:p w:rsidR="006724FB" w:rsidRDefault="006724FB">
      <w:pPr>
        <w:pStyle w:val="Indenta"/>
      </w:pPr>
      <w:r>
        <w:tab/>
        <w:t>(b)</w:t>
      </w:r>
      <w:r>
        <w:tab/>
        <w:t>must not project white light to the rear of the vehicle except by reflection; and</w:t>
      </w:r>
    </w:p>
    <w:p w:rsidR="006724FB" w:rsidRDefault="006724FB">
      <w:pPr>
        <w:pStyle w:val="Indenta"/>
      </w:pPr>
      <w:r>
        <w:tab/>
        <w:t>(c)</w:t>
      </w:r>
      <w:r>
        <w:tab/>
        <w:t>must not obscure the characters on the number plate; and</w:t>
      </w:r>
    </w:p>
    <w:p w:rsidR="006724FB" w:rsidRDefault="006724FB">
      <w:pPr>
        <w:pStyle w:val="Indenta"/>
      </w:pPr>
      <w:r>
        <w:tab/>
        <w:t>(d)</w:t>
      </w:r>
      <w:r>
        <w:tab/>
        <w:t>must be wired to come on, and stay on, when a parking light, headlight or tail light fitted to the vehicle is on.</w:t>
      </w:r>
    </w:p>
    <w:p w:rsidR="006724FB" w:rsidRDefault="006724FB">
      <w:pPr>
        <w:pStyle w:val="Heading4"/>
      </w:pPr>
      <w:bookmarkStart w:id="530" w:name="_Toc75419959"/>
      <w:bookmarkStart w:id="531" w:name="_Toc75427295"/>
      <w:bookmarkStart w:id="532" w:name="_Toc75872711"/>
      <w:bookmarkStart w:id="533" w:name="_Toc75875883"/>
      <w:r>
        <w:t>Subdivision 7 — Clearance lights</w:t>
      </w:r>
      <w:bookmarkEnd w:id="530"/>
      <w:bookmarkEnd w:id="531"/>
      <w:bookmarkEnd w:id="532"/>
      <w:bookmarkEnd w:id="533"/>
    </w:p>
    <w:p w:rsidR="006724FB" w:rsidRDefault="006724FB">
      <w:pPr>
        <w:pStyle w:val="Heading5"/>
      </w:pPr>
      <w:bookmarkStart w:id="534" w:name="_Toc75875884"/>
      <w:r>
        <w:rPr>
          <w:rStyle w:val="CharSectno"/>
        </w:rPr>
        <w:t>300</w:t>
      </w:r>
      <w:r>
        <w:t>.</w:t>
      </w:r>
      <w:r>
        <w:tab/>
        <w:t>Front clearance lights for various vehicles</w:t>
      </w:r>
      <w:bookmarkEnd w:id="534"/>
    </w:p>
    <w:p w:rsidR="006724FB" w:rsidRDefault="006724FB">
      <w:pPr>
        <w:pStyle w:val="Subsection"/>
      </w:pPr>
      <w:r>
        <w:tab/>
        <w:t>(1)</w:t>
      </w:r>
      <w:r>
        <w:tab/>
        <w:t>Front clearance lights may be fitted only to a motor vehicle, trailer or a vehicle in a combination that is at least 1.8 m wide.</w:t>
      </w:r>
    </w:p>
    <w:p w:rsidR="006724FB" w:rsidRDefault="006724FB">
      <w:pPr>
        <w:pStyle w:val="Subsection"/>
      </w:pPr>
      <w:r>
        <w:tab/>
        <w:t>(2)</w:t>
      </w:r>
      <w:r>
        <w:tab/>
        <w:t>A pair of front clearance lights must be fitted to a motor vehicle that is at least 2.2 m wide or is a prime mover.</w:t>
      </w:r>
    </w:p>
    <w:p w:rsidR="006724FB" w:rsidRDefault="006724FB">
      <w:pPr>
        <w:pStyle w:val="Subsection"/>
      </w:pPr>
      <w:r>
        <w:tab/>
        <w:t>(3)</w:t>
      </w:r>
      <w:r>
        <w:tab/>
        <w:t xml:space="preserve">The centre of a front clearance light required or permitted by this regulation must be — </w:t>
      </w:r>
    </w:p>
    <w:p w:rsidR="006724FB" w:rsidRDefault="006724FB">
      <w:pPr>
        <w:pStyle w:val="Indenta"/>
      </w:pPr>
      <w:r>
        <w:tab/>
        <w:t>(a)</w:t>
      </w:r>
      <w:r>
        <w:tab/>
        <w:t>not over 400 mm from the nearer side of the vehicle; and</w:t>
      </w:r>
    </w:p>
    <w:p w:rsidR="006724FB" w:rsidRDefault="006724FB">
      <w:pPr>
        <w:pStyle w:val="Indenta"/>
        <w:keepNext/>
      </w:pPr>
      <w:r>
        <w:tab/>
        <w:t>(b)</w:t>
      </w:r>
      <w:r>
        <w:tab/>
        <w:t xml:space="preserve">if the vehicle was built after June 1953 — </w:t>
      </w:r>
    </w:p>
    <w:p w:rsidR="006724FB" w:rsidRDefault="006724FB">
      <w:pPr>
        <w:pStyle w:val="Indenti"/>
      </w:pPr>
      <w:r>
        <w:tab/>
        <w:t>(i)</w:t>
      </w:r>
      <w:r>
        <w:tab/>
        <w:t>at least 750 mm higher than the centre of any low</w:t>
      </w:r>
      <w:r>
        <w:noBreakHyphen/>
        <w:t>beam headlight fitted to the vehicle; or</w:t>
      </w:r>
    </w:p>
    <w:p w:rsidR="006724FB" w:rsidRDefault="006724FB">
      <w:pPr>
        <w:pStyle w:val="Indenti"/>
      </w:pPr>
      <w:r>
        <w:tab/>
        <w:t>(ii)</w:t>
      </w:r>
      <w:r>
        <w:tab/>
        <w:t>not lower than the top of the windscreen.</w:t>
      </w:r>
    </w:p>
    <w:p w:rsidR="006724FB" w:rsidRDefault="006724FB">
      <w:pPr>
        <w:pStyle w:val="Subsection"/>
      </w:pPr>
      <w:r>
        <w:lastRenderedPageBreak/>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rsidR="006724FB" w:rsidRDefault="006724FB">
      <w:pPr>
        <w:pStyle w:val="Subsection"/>
      </w:pPr>
      <w:r>
        <w:tab/>
        <w:t>(5)</w:t>
      </w:r>
      <w:r>
        <w:tab/>
        <w:t xml:space="preserve">When on, a front clearance light required or permitted by this regulation must — </w:t>
      </w:r>
    </w:p>
    <w:p w:rsidR="006724FB" w:rsidRDefault="006724FB">
      <w:pPr>
        <w:pStyle w:val="Indenta"/>
      </w:pPr>
      <w:r>
        <w:tab/>
        <w:t>(a)</w:t>
      </w:r>
      <w:r>
        <w:tab/>
        <w:t>show a yellow or white light visible 200 m from the front of the vehicle; and</w:t>
      </w:r>
    </w:p>
    <w:p w:rsidR="006724FB" w:rsidRDefault="006724FB">
      <w:pPr>
        <w:pStyle w:val="Indenta"/>
      </w:pPr>
      <w:r>
        <w:tab/>
        <w:t>(b)</w:t>
      </w:r>
      <w:r>
        <w:tab/>
        <w:t>not use over 7 W power.</w:t>
      </w:r>
    </w:p>
    <w:p w:rsidR="006724FB" w:rsidRDefault="006724FB">
      <w:pPr>
        <w:pStyle w:val="Heading5"/>
      </w:pPr>
      <w:bookmarkStart w:id="535" w:name="_Toc75875885"/>
      <w:r>
        <w:rPr>
          <w:rStyle w:val="CharSectno"/>
        </w:rPr>
        <w:t>301</w:t>
      </w:r>
      <w:r>
        <w:t>.</w:t>
      </w:r>
      <w:r>
        <w:tab/>
        <w:t>External cabin lights</w:t>
      </w:r>
      <w:bookmarkEnd w:id="535"/>
    </w:p>
    <w:p w:rsidR="006724FB" w:rsidRDefault="006724FB">
      <w:pPr>
        <w:pStyle w:val="Subsection"/>
      </w:pPr>
      <w:r>
        <w:tab/>
        <w:t>(1)</w:t>
      </w:r>
      <w:r>
        <w:tab/>
        <w:t>A motor vehicle fitted with front clearance lights may also have additional forward</w:t>
      </w:r>
      <w:r>
        <w:noBreakHyphen/>
        <w:t>facing lights on or above the roof of its cabin.</w:t>
      </w:r>
    </w:p>
    <w:p w:rsidR="006724FB" w:rsidRDefault="006724FB">
      <w:pPr>
        <w:pStyle w:val="Subsection"/>
      </w:pPr>
      <w:r>
        <w:tab/>
        <w:t>(2)</w:t>
      </w:r>
      <w:r>
        <w:tab/>
        <w:t>The additional forward</w:t>
      </w:r>
      <w:r>
        <w:noBreakHyphen/>
        <w:t>facing lights permitted by this regulation must be spaced evenly between the front clearance lights, with their centres at least 120 mm apart.</w:t>
      </w:r>
    </w:p>
    <w:p w:rsidR="006724FB" w:rsidRDefault="006724FB">
      <w:pPr>
        <w:pStyle w:val="Subsection"/>
      </w:pPr>
      <w:r>
        <w:tab/>
        <w:t>(3)</w:t>
      </w:r>
      <w:r>
        <w:tab/>
        <w:t>When on, an additional forward</w:t>
      </w:r>
      <w:r>
        <w:noBreakHyphen/>
        <w:t xml:space="preserve">facing light permitted by this regulation must — </w:t>
      </w:r>
    </w:p>
    <w:p w:rsidR="006724FB" w:rsidRDefault="006724FB">
      <w:pPr>
        <w:pStyle w:val="Indenta"/>
      </w:pPr>
      <w:r>
        <w:tab/>
        <w:t>(a)</w:t>
      </w:r>
      <w:r>
        <w:tab/>
        <w:t>show a yellow or white light; and</w:t>
      </w:r>
    </w:p>
    <w:p w:rsidR="006724FB" w:rsidRDefault="006724FB">
      <w:pPr>
        <w:pStyle w:val="Indenta"/>
      </w:pPr>
      <w:r>
        <w:tab/>
        <w:t>(b)</w:t>
      </w:r>
      <w:r>
        <w:tab/>
        <w:t>not use over 7 W power.</w:t>
      </w:r>
    </w:p>
    <w:p w:rsidR="006724FB" w:rsidRDefault="006724FB">
      <w:pPr>
        <w:pStyle w:val="Heading5"/>
      </w:pPr>
      <w:bookmarkStart w:id="536" w:name="_Toc75875886"/>
      <w:r>
        <w:rPr>
          <w:rStyle w:val="CharSectno"/>
        </w:rPr>
        <w:t>302</w:t>
      </w:r>
      <w:r>
        <w:t>.</w:t>
      </w:r>
      <w:r>
        <w:tab/>
        <w:t>Rear clearance lights for certain vehicles at least 1.8 m wide</w:t>
      </w:r>
      <w:bookmarkEnd w:id="536"/>
    </w:p>
    <w:p w:rsidR="006724FB" w:rsidRDefault="006724FB">
      <w:pPr>
        <w:pStyle w:val="Subsection"/>
      </w:pPr>
      <w:r>
        <w:tab/>
        <w:t>(1)</w:t>
      </w:r>
      <w:r>
        <w:tab/>
        <w:t>Rear clearance lights may be fitted only to a motor vehicle, trailer or any vehicle in a combination that is at least 1.8 m wide.</w:t>
      </w:r>
    </w:p>
    <w:p w:rsidR="006724FB" w:rsidRDefault="006724FB">
      <w:pPr>
        <w:pStyle w:val="Subsection"/>
      </w:pPr>
      <w:r>
        <w:tab/>
        <w:t>(2)</w:t>
      </w:r>
      <w:r>
        <w:tab/>
        <w:t>A pair of rear clearance lights permitted by this regulation must be fitted to the rear of a vehicle that is at least 2.2 m wide.</w:t>
      </w:r>
    </w:p>
    <w:p w:rsidR="006724FB" w:rsidRDefault="006724FB">
      <w:pPr>
        <w:pStyle w:val="Subsection"/>
      </w:pPr>
      <w:r>
        <w:tab/>
        <w:t>(3)</w:t>
      </w:r>
      <w:r>
        <w:tab/>
        <w:t>The centre of a rear clearance light permitted by this regulation must be —</w:t>
      </w:r>
    </w:p>
    <w:p w:rsidR="006724FB" w:rsidRDefault="006724FB">
      <w:pPr>
        <w:pStyle w:val="Indenta"/>
      </w:pPr>
      <w:r>
        <w:tab/>
        <w:t>(a)</w:t>
      </w:r>
      <w:r>
        <w:tab/>
        <w:t>not over 400 mm from the nearer side of the vehicle; and</w:t>
      </w:r>
    </w:p>
    <w:p w:rsidR="006724FB" w:rsidRDefault="006724FB">
      <w:pPr>
        <w:pStyle w:val="Indenta"/>
      </w:pPr>
      <w:r>
        <w:lastRenderedPageBreak/>
        <w:tab/>
        <w:t>(b)</w:t>
      </w:r>
      <w:r>
        <w:tab/>
        <w:t>if practicable, at least 600 mm above ground level.</w:t>
      </w:r>
    </w:p>
    <w:p w:rsidR="006724FB" w:rsidRDefault="006724FB">
      <w:pPr>
        <w:pStyle w:val="Subsection"/>
      </w:pPr>
      <w:r>
        <w:tab/>
        <w:t>(4)</w:t>
      </w:r>
      <w:r>
        <w:tab/>
        <w:t xml:space="preserve">When on, a rear clearance light permitted by this regulation must — </w:t>
      </w:r>
    </w:p>
    <w:p w:rsidR="006724FB" w:rsidRDefault="006724FB">
      <w:pPr>
        <w:pStyle w:val="Indenta"/>
      </w:pPr>
      <w:r>
        <w:tab/>
        <w:t>(a)</w:t>
      </w:r>
      <w:r>
        <w:tab/>
        <w:t>show a red light visible 200 m from the rear of the vehicle; and</w:t>
      </w:r>
    </w:p>
    <w:p w:rsidR="006724FB" w:rsidRDefault="006724FB">
      <w:pPr>
        <w:pStyle w:val="Indenta"/>
      </w:pPr>
      <w:r>
        <w:tab/>
        <w:t>(b)</w:t>
      </w:r>
      <w:r>
        <w:tab/>
        <w:t>not use over 7 W power.</w:t>
      </w:r>
    </w:p>
    <w:p w:rsidR="006724FB" w:rsidRDefault="006724FB">
      <w:pPr>
        <w:pStyle w:val="Heading4"/>
      </w:pPr>
      <w:bookmarkStart w:id="537" w:name="_Toc75419963"/>
      <w:bookmarkStart w:id="538" w:name="_Toc75427299"/>
      <w:bookmarkStart w:id="539" w:name="_Toc75872715"/>
      <w:bookmarkStart w:id="540" w:name="_Toc75875887"/>
      <w:r>
        <w:t>Subdivision 8 — Side marker lights</w:t>
      </w:r>
      <w:bookmarkEnd w:id="537"/>
      <w:bookmarkEnd w:id="538"/>
      <w:bookmarkEnd w:id="539"/>
      <w:bookmarkEnd w:id="540"/>
    </w:p>
    <w:p w:rsidR="006724FB" w:rsidRDefault="006724FB">
      <w:pPr>
        <w:pStyle w:val="Heading5"/>
        <w:keepNext w:val="0"/>
        <w:keepLines w:val="0"/>
      </w:pPr>
      <w:bookmarkStart w:id="541" w:name="_Toc75875888"/>
      <w:r>
        <w:rPr>
          <w:rStyle w:val="CharSectno"/>
        </w:rPr>
        <w:t>303</w:t>
      </w:r>
      <w:r>
        <w:t>.</w:t>
      </w:r>
      <w:r>
        <w:tab/>
        <w:t>Side marker lights for various vehicles</w:t>
      </w:r>
      <w:bookmarkEnd w:id="541"/>
    </w:p>
    <w:p w:rsidR="006724FB" w:rsidRDefault="006724FB">
      <w:pPr>
        <w:pStyle w:val="Subsection"/>
      </w:pPr>
      <w:r>
        <w:tab/>
        <w:t>(1)</w:t>
      </w:r>
      <w:r>
        <w:tab/>
        <w:t>A pair of side marker lights must be fitted towards the rear of the sides of a motor vehicle that is over 7.5 m long and at least 2.2 m wide.</w:t>
      </w:r>
    </w:p>
    <w:p w:rsidR="006724FB" w:rsidRDefault="006724FB">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rsidR="006724FB" w:rsidRDefault="006724FB">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rsidR="006724FB" w:rsidRDefault="006724FB">
      <w:pPr>
        <w:pStyle w:val="Subsection"/>
        <w:keepNext/>
      </w:pPr>
      <w:r>
        <w:tab/>
        <w:t>(4)</w:t>
      </w:r>
      <w:r>
        <w:tab/>
        <w:t xml:space="preserve">At least 2 side marker lights must be fitted to each side of — </w:t>
      </w:r>
    </w:p>
    <w:p w:rsidR="006724FB" w:rsidRDefault="006724FB">
      <w:pPr>
        <w:pStyle w:val="Indenta"/>
      </w:pPr>
      <w:r>
        <w:tab/>
        <w:t>(a)</w:t>
      </w:r>
      <w:r>
        <w:tab/>
        <w:t>a trailer, except a pole</w:t>
      </w:r>
      <w:r>
        <w:noBreakHyphen/>
        <w:t>type trailer, that is at least 2.2 m wide and not over 7.5 m long; and</w:t>
      </w:r>
    </w:p>
    <w:p w:rsidR="006724FB" w:rsidRDefault="006724FB">
      <w:pPr>
        <w:pStyle w:val="Indenta"/>
      </w:pPr>
      <w:r>
        <w:tab/>
        <w:t>(b)</w:t>
      </w:r>
      <w:r>
        <w:tab/>
        <w:t>a semi</w:t>
      </w:r>
      <w:r>
        <w:noBreakHyphen/>
        <w:t>trailer that is not over 7.5 m long.</w:t>
      </w:r>
    </w:p>
    <w:p w:rsidR="006724FB" w:rsidRDefault="006724FB">
      <w:pPr>
        <w:pStyle w:val="Subsection"/>
        <w:keepNext/>
      </w:pPr>
      <w:r>
        <w:tab/>
        <w:t>(5)</w:t>
      </w:r>
      <w:r>
        <w:tab/>
        <w:t xml:space="preserve">At least 3 side marker lights must be fitted to each side of — </w:t>
      </w:r>
    </w:p>
    <w:p w:rsidR="006724FB" w:rsidRDefault="006724FB">
      <w:pPr>
        <w:pStyle w:val="Indenta"/>
      </w:pPr>
      <w:r>
        <w:tab/>
        <w:t>(a)</w:t>
      </w:r>
      <w:r>
        <w:tab/>
        <w:t>a trailer, except a pole</w:t>
      </w:r>
      <w:r>
        <w:noBreakHyphen/>
        <w:t>type trailer, that is at least 2.2 m wide and over 7.5 m long; and</w:t>
      </w:r>
    </w:p>
    <w:p w:rsidR="006724FB" w:rsidRDefault="006724FB">
      <w:pPr>
        <w:pStyle w:val="Indenta"/>
      </w:pPr>
      <w:r>
        <w:tab/>
        <w:t>(b)</w:t>
      </w:r>
      <w:r>
        <w:tab/>
        <w:t>a semi</w:t>
      </w:r>
      <w:r>
        <w:noBreakHyphen/>
        <w:t>trailer that is over 7.5 m long.</w:t>
      </w:r>
    </w:p>
    <w:p w:rsidR="006724FB" w:rsidRDefault="006724FB">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rsidR="006724FB" w:rsidRDefault="006724FB">
      <w:pPr>
        <w:pStyle w:val="Heading5"/>
        <w:keepNext w:val="0"/>
        <w:keepLines w:val="0"/>
      </w:pPr>
      <w:bookmarkStart w:id="542" w:name="_Toc75875889"/>
      <w:r>
        <w:rPr>
          <w:rStyle w:val="CharSectno"/>
        </w:rPr>
        <w:lastRenderedPageBreak/>
        <w:t>304</w:t>
      </w:r>
      <w:r>
        <w:t>.</w:t>
      </w:r>
      <w:r>
        <w:tab/>
        <w:t>Location of side marker lights for various vehicles</w:t>
      </w:r>
      <w:bookmarkEnd w:id="542"/>
    </w:p>
    <w:p w:rsidR="006724FB" w:rsidRDefault="006724FB">
      <w:pPr>
        <w:pStyle w:val="Subsection"/>
      </w:pPr>
      <w:r>
        <w:tab/>
        <w:t>(1)</w:t>
      </w:r>
      <w:r>
        <w:tab/>
        <w:t>The centre of a side marker light must not be over 150 mm from the nearer side of a vehicle required or permitted under regulation 303 to have a side marker light.</w:t>
      </w:r>
    </w:p>
    <w:p w:rsidR="006724FB" w:rsidRDefault="006724FB">
      <w:pPr>
        <w:pStyle w:val="Subsection"/>
      </w:pPr>
      <w:r>
        <w:tab/>
        <w:t>(2)</w:t>
      </w:r>
      <w:r>
        <w:tab/>
        <w:t>A front side marker light required under regulation 303 to be fitted to a motor vehicle must be towards the front of the side of the vehicle with no part of the lens visible to the driver.</w:t>
      </w:r>
    </w:p>
    <w:p w:rsidR="006724FB" w:rsidRDefault="006724FB">
      <w:pPr>
        <w:pStyle w:val="Subsection"/>
      </w:pPr>
      <w:r>
        <w:tab/>
        <w:t>(3)</w:t>
      </w:r>
      <w:r>
        <w:tab/>
        <w:t xml:space="preserve">The centre of a front side marker light required under regulation 303 to be fitted to a trailer must be — </w:t>
      </w:r>
    </w:p>
    <w:p w:rsidR="006724FB" w:rsidRDefault="006724FB">
      <w:pPr>
        <w:pStyle w:val="Indenta"/>
      </w:pPr>
      <w:r>
        <w:tab/>
        <w:t>(a)</w:t>
      </w:r>
      <w:r>
        <w:tab/>
        <w:t>within 300 mm of the front of the side of the trailer; or</w:t>
      </w:r>
    </w:p>
    <w:p w:rsidR="006724FB" w:rsidRDefault="006724FB">
      <w:pPr>
        <w:pStyle w:val="Indenta"/>
      </w:pPr>
      <w:r>
        <w:tab/>
        <w:t>(b)</w:t>
      </w:r>
      <w:r>
        <w:tab/>
        <w:t>if the construction of the trailer makes it impracticable to comply with paragraph (a) — as near as practicable to the front of the trailer.</w:t>
      </w:r>
    </w:p>
    <w:p w:rsidR="006724FB" w:rsidRDefault="006724FB">
      <w:pPr>
        <w:pStyle w:val="Subsection"/>
        <w:keepNext/>
      </w:pPr>
      <w:r>
        <w:tab/>
        <w:t>(4)</w:t>
      </w:r>
      <w:r>
        <w:tab/>
        <w:t xml:space="preserve">The centre of a rear side marker light fitted to a vehicle required under regulation 303 to have a side marker light must be — </w:t>
      </w:r>
    </w:p>
    <w:p w:rsidR="006724FB" w:rsidRDefault="006724FB">
      <w:pPr>
        <w:pStyle w:val="Indenta"/>
      </w:pPr>
      <w:r>
        <w:tab/>
        <w:t>(a)</w:t>
      </w:r>
      <w:r>
        <w:tab/>
        <w:t>within 300 mm of the rear of the side of the vehicle; or</w:t>
      </w:r>
    </w:p>
    <w:p w:rsidR="006724FB" w:rsidRDefault="006724FB">
      <w:pPr>
        <w:pStyle w:val="Indenta"/>
      </w:pPr>
      <w:r>
        <w:tab/>
        <w:t>(b)</w:t>
      </w:r>
      <w:r>
        <w:tab/>
        <w:t>if the construction of the vehicle makes it impracticable to comply with paragraph (a) — as near as practicable to the rear of the vehicle.</w:t>
      </w:r>
    </w:p>
    <w:p w:rsidR="006724FB" w:rsidRDefault="006724FB">
      <w:pPr>
        <w:pStyle w:val="Subsection"/>
      </w:pPr>
      <w:r>
        <w:tab/>
        <w:t>(5)</w:t>
      </w:r>
      <w:r>
        <w:tab/>
        <w:t>Side marker lights fitted to a vehicle required under regulation 303 to have a side marker light must, as far as practicable, be evenly spaced along the side of the vehicle.</w:t>
      </w:r>
    </w:p>
    <w:p w:rsidR="006724FB" w:rsidRDefault="006724FB">
      <w:pPr>
        <w:pStyle w:val="Subsection"/>
      </w:pPr>
      <w:r>
        <w:tab/>
        <w:t>(6)</w:t>
      </w:r>
      <w:r>
        <w:tab/>
        <w:t>Subregulations (2) to (5) do not apply to side marker lights fitted to a cross</w:t>
      </w:r>
      <w:r>
        <w:noBreakHyphen/>
        <w:t>bar or bolster of a pole</w:t>
      </w:r>
      <w:r>
        <w:noBreakHyphen/>
        <w:t>type trailer.</w:t>
      </w:r>
    </w:p>
    <w:p w:rsidR="006724FB" w:rsidRDefault="006724FB">
      <w:pPr>
        <w:pStyle w:val="Subsection"/>
      </w:pPr>
      <w:r>
        <w:tab/>
        <w:t>(7)</w:t>
      </w:r>
      <w:r>
        <w:tab/>
        <w:t>Only the side marker lights nearest to the rear need be fitted if complying with subregulations (3) and (4) would result in the front and rear side marker lights being under 2.5 m apart.</w:t>
      </w:r>
    </w:p>
    <w:p w:rsidR="006724FB" w:rsidRDefault="006724FB">
      <w:pPr>
        <w:pStyle w:val="Subsection"/>
      </w:pPr>
      <w:r>
        <w:tab/>
        <w:t>(8)</w:t>
      </w:r>
      <w:r>
        <w:tab/>
        <w:t xml:space="preserve">A side marker light fitted to a vehicle required under regulation 303 to have a side marker light must be fitted so — </w:t>
      </w:r>
    </w:p>
    <w:p w:rsidR="006724FB" w:rsidRDefault="006724FB">
      <w:pPr>
        <w:pStyle w:val="Indenta"/>
      </w:pPr>
      <w:r>
        <w:tab/>
        <w:t>(a)</w:t>
      </w:r>
      <w:r>
        <w:tab/>
        <w:t xml:space="preserve">its centre is not over — </w:t>
      </w:r>
    </w:p>
    <w:p w:rsidR="006724FB" w:rsidRDefault="006724FB">
      <w:pPr>
        <w:pStyle w:val="Indenti"/>
      </w:pPr>
      <w:r>
        <w:tab/>
        <w:t>(i)</w:t>
      </w:r>
      <w:r>
        <w:tab/>
        <w:t>1.5 m above ground level; or</w:t>
      </w:r>
    </w:p>
    <w:p w:rsidR="006724FB" w:rsidRDefault="006724FB">
      <w:pPr>
        <w:pStyle w:val="Indenti"/>
      </w:pPr>
      <w:r>
        <w:lastRenderedPageBreak/>
        <w:tab/>
        <w:t>(ii)</w:t>
      </w:r>
      <w:r>
        <w:tab/>
        <w:t>if it is not practicable to fit it lower — 2.1 m above ground level;</w:t>
      </w:r>
    </w:p>
    <w:p w:rsidR="006724FB" w:rsidRDefault="006724FB">
      <w:pPr>
        <w:pStyle w:val="Indenta"/>
      </w:pPr>
      <w:r>
        <w:tab/>
      </w:r>
      <w:r>
        <w:tab/>
        <w:t>and</w:t>
      </w:r>
    </w:p>
    <w:p w:rsidR="006724FB" w:rsidRDefault="006724FB">
      <w:pPr>
        <w:pStyle w:val="Indenta"/>
      </w:pPr>
      <w:r>
        <w:tab/>
        <w:t>(b)</w:t>
      </w:r>
      <w:r>
        <w:tab/>
        <w:t>its centre is at least 600 mm above ground level; and</w:t>
      </w:r>
    </w:p>
    <w:p w:rsidR="006724FB" w:rsidRDefault="006724FB">
      <w:pPr>
        <w:pStyle w:val="Indenta"/>
      </w:pPr>
      <w:r>
        <w:tab/>
        <w:t>(c)</w:t>
      </w:r>
      <w:r>
        <w:tab/>
        <w:t>it is, as far as practicable, in a row of side marker lights along the side of the vehicle.</w:t>
      </w:r>
    </w:p>
    <w:p w:rsidR="006724FB" w:rsidRDefault="006724FB">
      <w:pPr>
        <w:pStyle w:val="Subsection"/>
      </w:pPr>
      <w:r>
        <w:tab/>
        <w:t>(9)</w:t>
      </w:r>
      <w:r>
        <w:tab/>
        <w:t>Subregulation (8)(a) does not apply to a side marker light that is not required to be fitted to the vehicle by regulation 303.</w:t>
      </w:r>
    </w:p>
    <w:p w:rsidR="006724FB" w:rsidRDefault="006724FB">
      <w:pPr>
        <w:pStyle w:val="Heading5"/>
        <w:keepNext w:val="0"/>
        <w:keepLines w:val="0"/>
      </w:pPr>
      <w:bookmarkStart w:id="543" w:name="_Toc75875890"/>
      <w:r>
        <w:rPr>
          <w:rStyle w:val="CharSectno"/>
        </w:rPr>
        <w:t>305</w:t>
      </w:r>
      <w:r>
        <w:t>.</w:t>
      </w:r>
      <w:r>
        <w:tab/>
        <w:t>Performance of side marker lights for various vehicles</w:t>
      </w:r>
      <w:bookmarkEnd w:id="543"/>
    </w:p>
    <w:p w:rsidR="006724FB" w:rsidRDefault="006724FB">
      <w:pPr>
        <w:pStyle w:val="Subsection"/>
      </w:pPr>
      <w:r>
        <w:tab/>
        <w:t>(1)</w:t>
      </w:r>
      <w:r>
        <w:tab/>
        <w:t xml:space="preserve">When on, a side marker light fitted to a vehicle required under regulation 303 to have a side marker light must — </w:t>
      </w:r>
    </w:p>
    <w:p w:rsidR="006724FB" w:rsidRDefault="006724FB">
      <w:pPr>
        <w:pStyle w:val="Indenta"/>
      </w:pPr>
      <w:r>
        <w:tab/>
        <w:t>(a)</w:t>
      </w:r>
      <w:r>
        <w:tab/>
        <w:t>show a light visible 200 m from the vehicle; and</w:t>
      </w:r>
    </w:p>
    <w:p w:rsidR="006724FB" w:rsidRDefault="006724FB">
      <w:pPr>
        <w:pStyle w:val="Indenta"/>
      </w:pPr>
      <w:r>
        <w:tab/>
        <w:t>(b)</w:t>
      </w:r>
      <w:r>
        <w:tab/>
        <w:t>not use over 7 W power.</w:t>
      </w:r>
    </w:p>
    <w:p w:rsidR="006724FB" w:rsidRDefault="006724FB">
      <w:pPr>
        <w:pStyle w:val="Subsection"/>
      </w:pPr>
      <w:r>
        <w:tab/>
        <w:t>(2)</w:t>
      </w:r>
      <w:r>
        <w:tab/>
        <w:t xml:space="preserve">When on, a side marker light fitted to a vehicle required under regulation 303 to have a side marker light must show — </w:t>
      </w:r>
    </w:p>
    <w:p w:rsidR="006724FB" w:rsidRDefault="006724FB">
      <w:pPr>
        <w:pStyle w:val="Indenta"/>
      </w:pPr>
      <w:r>
        <w:tab/>
        <w:t>(a)</w:t>
      </w:r>
      <w:r>
        <w:tab/>
        <w:t>to the front of the vehicle — a yellow light; and</w:t>
      </w:r>
    </w:p>
    <w:p w:rsidR="006724FB" w:rsidRDefault="006724FB">
      <w:pPr>
        <w:pStyle w:val="Indenta"/>
        <w:keepNext/>
      </w:pPr>
      <w:r>
        <w:tab/>
        <w:t>(b)</w:t>
      </w:r>
      <w:r>
        <w:tab/>
        <w:t xml:space="preserve">to the rear of the vehicle — </w:t>
      </w:r>
    </w:p>
    <w:p w:rsidR="006724FB" w:rsidRDefault="006724FB">
      <w:pPr>
        <w:pStyle w:val="Indenti"/>
      </w:pPr>
      <w:r>
        <w:tab/>
        <w:t>(i)</w:t>
      </w:r>
      <w:r>
        <w:tab/>
        <w:t>if the light also operates as a rear light or reflector — a red light; and</w:t>
      </w:r>
    </w:p>
    <w:p w:rsidR="006724FB" w:rsidRDefault="006724FB">
      <w:pPr>
        <w:pStyle w:val="Indenti"/>
      </w:pPr>
      <w:r>
        <w:tab/>
        <w:t>(ii)</w:t>
      </w:r>
      <w:r>
        <w:tab/>
        <w:t>in any other case — a red or yellow light.</w:t>
      </w:r>
    </w:p>
    <w:p w:rsidR="006724FB" w:rsidRDefault="006724FB">
      <w:pPr>
        <w:pStyle w:val="Subsection"/>
      </w:pPr>
      <w:r>
        <w:tab/>
        <w:t>(3)</w:t>
      </w:r>
      <w:r>
        <w:tab/>
        <w:t>If a pole</w:t>
      </w:r>
      <w:r>
        <w:noBreakHyphen/>
        <w:t>type trailer with 2 or more cross</w:t>
      </w:r>
      <w:r>
        <w:noBreakHyphen/>
        <w:t xml:space="preserve">bars or bolsters has the side marker lights permitted by regulation 303(3) — </w:t>
      </w:r>
    </w:p>
    <w:p w:rsidR="006724FB" w:rsidRDefault="006724FB">
      <w:pPr>
        <w:pStyle w:val="Indenta"/>
      </w:pPr>
      <w:r>
        <w:tab/>
        <w:t>(a)</w:t>
      </w:r>
      <w:r>
        <w:tab/>
        <w:t>the side marker lights fitted to the front cross</w:t>
      </w:r>
      <w:r>
        <w:noBreakHyphen/>
        <w:t>bar must show to the front of the vehicle a yellow light; and</w:t>
      </w:r>
    </w:p>
    <w:p w:rsidR="006724FB" w:rsidRDefault="006724FB">
      <w:pPr>
        <w:pStyle w:val="Indenta"/>
      </w:pPr>
      <w:r>
        <w:tab/>
        <w:t>(b)</w:t>
      </w:r>
      <w:r>
        <w:tab/>
        <w:t>the side marker lights fitted to the back cross</w:t>
      </w:r>
      <w:r>
        <w:noBreakHyphen/>
        <w:t>bar must show to the rear of the vehicle a light in accordance with subregulation (2)(b)(i) or (ii).</w:t>
      </w:r>
    </w:p>
    <w:p w:rsidR="006724FB" w:rsidRDefault="006724FB">
      <w:pPr>
        <w:pStyle w:val="Heading5"/>
      </w:pPr>
      <w:bookmarkStart w:id="544" w:name="_Toc75875891"/>
      <w:r>
        <w:rPr>
          <w:rStyle w:val="CharSectno"/>
        </w:rPr>
        <w:lastRenderedPageBreak/>
        <w:t>306</w:t>
      </w:r>
      <w:r>
        <w:t>.</w:t>
      </w:r>
      <w:r>
        <w:tab/>
        <w:t>Side marker lights may be rear clearance light in certain cases</w:t>
      </w:r>
      <w:bookmarkEnd w:id="544"/>
    </w:p>
    <w:p w:rsidR="006724FB" w:rsidRDefault="006724FB">
      <w:pPr>
        <w:pStyle w:val="Subsection"/>
      </w:pPr>
      <w:r>
        <w:tab/>
      </w:r>
      <w:r>
        <w:tab/>
        <w:t>The side marker light required or permitted by regulation 303 that is nearest to the rear of a vehicle may also be a rear clearance light for regulation 302.</w:t>
      </w:r>
    </w:p>
    <w:p w:rsidR="006724FB" w:rsidRDefault="006724FB">
      <w:pPr>
        <w:pStyle w:val="Heading4"/>
      </w:pPr>
      <w:bookmarkStart w:id="545" w:name="_Toc75419968"/>
      <w:bookmarkStart w:id="546" w:name="_Toc75427304"/>
      <w:bookmarkStart w:id="547" w:name="_Toc75872720"/>
      <w:bookmarkStart w:id="548" w:name="_Toc75875892"/>
      <w:r>
        <w:t>Subdivision 9 — Brake lights</w:t>
      </w:r>
      <w:bookmarkEnd w:id="545"/>
      <w:bookmarkEnd w:id="546"/>
      <w:bookmarkEnd w:id="547"/>
      <w:bookmarkEnd w:id="548"/>
    </w:p>
    <w:p w:rsidR="006724FB" w:rsidRDefault="006724FB">
      <w:pPr>
        <w:pStyle w:val="Heading5"/>
        <w:keepNext w:val="0"/>
        <w:keepLines w:val="0"/>
      </w:pPr>
      <w:bookmarkStart w:id="549" w:name="_Toc75875893"/>
      <w:r>
        <w:rPr>
          <w:rStyle w:val="CharSectno"/>
        </w:rPr>
        <w:t>307</w:t>
      </w:r>
      <w:r>
        <w:t>.</w:t>
      </w:r>
      <w:r>
        <w:tab/>
        <w:t>Brake lights for various vehicles</w:t>
      </w:r>
      <w:bookmarkEnd w:id="549"/>
    </w:p>
    <w:p w:rsidR="006724FB" w:rsidRDefault="006724FB">
      <w:pPr>
        <w:pStyle w:val="Subsection"/>
      </w:pPr>
      <w:r>
        <w:tab/>
        <w:t>(1)</w:t>
      </w:r>
      <w:r>
        <w:tab/>
        <w:t>A brake light must be fitted to the rear of a motor vehicle, trailer or any vehicle in a combination built after 1934.</w:t>
      </w:r>
    </w:p>
    <w:p w:rsidR="006724FB" w:rsidRDefault="006724FB">
      <w:pPr>
        <w:pStyle w:val="Subsection"/>
      </w:pPr>
      <w:r>
        <w:tab/>
        <w:t>(2)</w:t>
      </w:r>
      <w:r>
        <w:tab/>
        <w:t xml:space="preserve">A pair of brake lights must be fitted to the rear of — </w:t>
      </w:r>
    </w:p>
    <w:p w:rsidR="006724FB" w:rsidRDefault="006724FB">
      <w:pPr>
        <w:pStyle w:val="Indenta"/>
      </w:pPr>
      <w:r>
        <w:tab/>
        <w:t>(a)</w:t>
      </w:r>
      <w:r>
        <w:tab/>
        <w:t>a motor vehicle built after 1959 that has 4 or more wheels; and</w:t>
      </w:r>
    </w:p>
    <w:p w:rsidR="006724FB" w:rsidRDefault="006724FB">
      <w:pPr>
        <w:pStyle w:val="Indenta"/>
      </w:pPr>
      <w:r>
        <w:tab/>
        <w:t>(b)</w:t>
      </w:r>
      <w:r>
        <w:tab/>
        <w:t>a motor tricycle built after 1959 that has 2 rear wheels; and</w:t>
      </w:r>
    </w:p>
    <w:p w:rsidR="006724FB" w:rsidRDefault="006724FB">
      <w:pPr>
        <w:pStyle w:val="Indenta"/>
      </w:pPr>
      <w:r>
        <w:tab/>
        <w:t>(c)</w:t>
      </w:r>
      <w:r>
        <w:tab/>
        <w:t>a trailer built after June 1973.</w:t>
      </w:r>
    </w:p>
    <w:p w:rsidR="006724FB" w:rsidRDefault="006724FB">
      <w:pPr>
        <w:pStyle w:val="Subsection"/>
      </w:pPr>
      <w:r>
        <w:tab/>
        <w:t>(3)</w:t>
      </w:r>
      <w:r>
        <w:tab/>
        <w:t xml:space="preserve">The centre of a brake light required by this regulation must be — </w:t>
      </w:r>
    </w:p>
    <w:p w:rsidR="006724FB" w:rsidRDefault="006724FB">
      <w:pPr>
        <w:pStyle w:val="Indenta"/>
      </w:pPr>
      <w:r>
        <w:tab/>
        <w:t>(a)</w:t>
      </w:r>
      <w:r>
        <w:tab/>
        <w:t>at least 350 mm above ground level; and</w:t>
      </w:r>
    </w:p>
    <w:p w:rsidR="006724FB" w:rsidRDefault="006724FB">
      <w:pPr>
        <w:pStyle w:val="Indenta"/>
      </w:pPr>
      <w:r>
        <w:tab/>
        <w:t>(b)</w:t>
      </w:r>
      <w:r>
        <w:tab/>
        <w:t xml:space="preserve">not over — </w:t>
      </w:r>
    </w:p>
    <w:p w:rsidR="006724FB" w:rsidRDefault="006724FB">
      <w:pPr>
        <w:pStyle w:val="Indenti"/>
      </w:pPr>
      <w:r>
        <w:tab/>
        <w:t>(i)</w:t>
      </w:r>
      <w:r>
        <w:tab/>
        <w:t>1.5 m above ground level; or</w:t>
      </w:r>
    </w:p>
    <w:p w:rsidR="006724FB" w:rsidRDefault="006724FB">
      <w:pPr>
        <w:pStyle w:val="Indenti"/>
      </w:pPr>
      <w:r>
        <w:tab/>
        <w:t>(ii)</w:t>
      </w:r>
      <w:r>
        <w:tab/>
        <w:t>if it is not practicable to fit the light lower — 2.1 m above ground level.</w:t>
      </w:r>
    </w:p>
    <w:p w:rsidR="006724FB" w:rsidRDefault="006724FB">
      <w:pPr>
        <w:pStyle w:val="Subsection"/>
        <w:spacing w:before="120"/>
      </w:pPr>
      <w:r>
        <w:tab/>
        <w:t>(4)</w:t>
      </w:r>
      <w:r>
        <w:tab/>
        <w:t>A motor vehicle, trailer or any vehicle in a combination may be fitted with one or more additional brake lights.</w:t>
      </w:r>
    </w:p>
    <w:p w:rsidR="006724FB" w:rsidRDefault="006724FB">
      <w:pPr>
        <w:pStyle w:val="Subsection"/>
      </w:pPr>
      <w:r>
        <w:tab/>
        <w:t>(5)</w:t>
      </w:r>
      <w:r>
        <w:tab/>
        <w:t>The centre of an additional brake light must be at least 350 mm above ground level.</w:t>
      </w:r>
    </w:p>
    <w:p w:rsidR="006724FB" w:rsidRDefault="006724FB">
      <w:pPr>
        <w:pStyle w:val="Subsection"/>
      </w:pPr>
      <w:r>
        <w:tab/>
        <w:t>(6)</w:t>
      </w:r>
      <w:r>
        <w:tab/>
        <w:t>If only one brake light is fitted to a motor vehicle, trailer or any vehicle in a combination, it must be fitted in the centre or to the right of the centre of the vehicle’s rear.</w:t>
      </w:r>
    </w:p>
    <w:p w:rsidR="006724FB" w:rsidRDefault="006724FB">
      <w:pPr>
        <w:pStyle w:val="Subsection"/>
      </w:pPr>
      <w:r>
        <w:lastRenderedPageBreak/>
        <w:tab/>
        <w:t>(7)</w:t>
      </w:r>
      <w:r>
        <w:tab/>
        <w:t>Subregulation (6) applies to a motor cycle with an attached sidecar as if the sidecar were not attached.</w:t>
      </w:r>
    </w:p>
    <w:p w:rsidR="006724FB" w:rsidRDefault="006724FB">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rsidR="006724FB" w:rsidRDefault="006724FB">
      <w:pPr>
        <w:pStyle w:val="MiscellaneousHeading"/>
        <w:keepNext w:val="0"/>
        <w:spacing w:before="120" w:line="240" w:lineRule="auto"/>
        <w:rPr>
          <w:b/>
        </w:rPr>
      </w:pPr>
      <w:r>
        <w:rPr>
          <w:b/>
        </w:rPr>
        <w:t>Location of brake lights on a vehicle</w:t>
      </w:r>
    </w:p>
    <w:p w:rsidR="006724FB" w:rsidRDefault="006724FB">
      <w:pPr>
        <w:pStyle w:val="Subsection"/>
      </w:pPr>
      <w:r>
        <w:tab/>
        <w:t>(8)</w:t>
      </w:r>
      <w:r>
        <w:tab/>
        <w:t>For the purposes of this regulation, a light fitted to a vehicle that functions as a brake light and a direction indicator light is taken to be a brake light if the vehicle was built before 1 January 1973.</w:t>
      </w:r>
    </w:p>
    <w:p w:rsidR="006724FB" w:rsidRDefault="006724FB">
      <w:pPr>
        <w:pStyle w:val="Footnotesection"/>
      </w:pPr>
      <w:r>
        <w:tab/>
        <w:t>[Regulation 307 amended: Gazette 29 Mar 2019 p. 968.]</w:t>
      </w:r>
    </w:p>
    <w:p w:rsidR="006724FB" w:rsidRDefault="006724FB">
      <w:pPr>
        <w:pStyle w:val="Heading5"/>
        <w:keepNext w:val="0"/>
        <w:keepLines w:val="0"/>
        <w:spacing w:before="120"/>
        <w:rPr>
          <w:rStyle w:val="DraftersNotes"/>
          <w:b/>
          <w:bCs/>
          <w:iCs/>
        </w:rPr>
      </w:pPr>
      <w:bookmarkStart w:id="550" w:name="_Toc75875894"/>
      <w:r>
        <w:rPr>
          <w:rStyle w:val="CharSectno"/>
        </w:rPr>
        <w:t>308</w:t>
      </w:r>
      <w:r>
        <w:t>.</w:t>
      </w:r>
      <w:r>
        <w:tab/>
        <w:t>Performance and operation of brake lights of various vehicles</w:t>
      </w:r>
      <w:bookmarkEnd w:id="550"/>
    </w:p>
    <w:p w:rsidR="006724FB" w:rsidRDefault="006724FB">
      <w:pPr>
        <w:pStyle w:val="Subsection"/>
      </w:pPr>
      <w:r>
        <w:tab/>
        <w:t>(1)</w:t>
      </w:r>
      <w:r>
        <w:tab/>
        <w:t xml:space="preserve">In this regulation — </w:t>
      </w:r>
    </w:p>
    <w:p w:rsidR="006724FB" w:rsidRDefault="006724FB">
      <w:pPr>
        <w:pStyle w:val="Defstart"/>
      </w:pPr>
      <w:r>
        <w:tab/>
      </w:r>
      <w:r>
        <w:rPr>
          <w:rStyle w:val="CharDefText"/>
        </w:rPr>
        <w:t>brake light</w:t>
      </w:r>
      <w:r>
        <w:t xml:space="preserve"> means a brake light required or permitted by regulation 307.</w:t>
      </w:r>
    </w:p>
    <w:p w:rsidR="006724FB" w:rsidRDefault="006724FB">
      <w:pPr>
        <w:pStyle w:val="Subsection"/>
      </w:pPr>
      <w:r>
        <w:tab/>
        <w:t>(2)</w:t>
      </w:r>
      <w:r>
        <w:tab/>
        <w:t>When on, a brake light must show a red light visible 30 m from the rear of the vehicle.</w:t>
      </w:r>
    </w:p>
    <w:p w:rsidR="006724FB" w:rsidRDefault="006724FB">
      <w:pPr>
        <w:pStyle w:val="Subsection"/>
      </w:pPr>
      <w:r>
        <w:tab/>
        <w:t>(3)</w:t>
      </w:r>
      <w:r>
        <w:tab/>
        <w:t>A brake light fitted to a street rod vehicle may incorporate a blue lens not over 20 mm in diameter.</w:t>
      </w:r>
    </w:p>
    <w:p w:rsidR="006724FB" w:rsidRDefault="006724FB">
      <w:pPr>
        <w:pStyle w:val="Subsection"/>
        <w:keepNext/>
      </w:pPr>
      <w:r>
        <w:tab/>
        <w:t>(4)</w:t>
      </w:r>
      <w:r>
        <w:tab/>
        <w:t xml:space="preserve">A brake light fitted to a motor vehicle must come on, if it is not already on, when — </w:t>
      </w:r>
    </w:p>
    <w:p w:rsidR="006724FB" w:rsidRDefault="006724FB">
      <w:pPr>
        <w:pStyle w:val="Indenta"/>
      </w:pPr>
      <w:r>
        <w:tab/>
        <w:t>(a)</w:t>
      </w:r>
      <w:r>
        <w:tab/>
        <w:t>for a vehicle with 4 or more wheels or built after 1974 — a service brake is applied; or</w:t>
      </w:r>
    </w:p>
    <w:p w:rsidR="006724FB" w:rsidRDefault="006724FB">
      <w:pPr>
        <w:pStyle w:val="Indenta"/>
      </w:pPr>
      <w:r>
        <w:tab/>
        <w:t>(b)</w:t>
      </w:r>
      <w:r>
        <w:tab/>
        <w:t>for another vehicle — the rear wheel brake is applied.</w:t>
      </w:r>
    </w:p>
    <w:p w:rsidR="006724FB" w:rsidRDefault="006724FB">
      <w:pPr>
        <w:pStyle w:val="Subsection"/>
      </w:pPr>
      <w:r>
        <w:lastRenderedPageBreak/>
        <w:tab/>
        <w:t>(5)</w:t>
      </w:r>
      <w:r>
        <w:tab/>
        <w:t>Subregulation (4) does not apply if the controls in the vehicle that start the engine are in a position that makes it impossible for the engine to operate.</w:t>
      </w:r>
    </w:p>
    <w:p w:rsidR="006724FB" w:rsidRDefault="006724FB">
      <w:pPr>
        <w:pStyle w:val="Subsection"/>
      </w:pPr>
      <w:r>
        <w:tab/>
        <w:t>(6)</w:t>
      </w:r>
      <w:r>
        <w:tab/>
        <w:t xml:space="preserve">A brake light on a trailer must come on when — </w:t>
      </w:r>
    </w:p>
    <w:p w:rsidR="006724FB" w:rsidRDefault="006724FB">
      <w:pPr>
        <w:pStyle w:val="Indenta"/>
      </w:pPr>
      <w:r>
        <w:tab/>
        <w:t>(a)</w:t>
      </w:r>
      <w:r>
        <w:tab/>
        <w:t>the brake light of the towing vehicle comes on; or</w:t>
      </w:r>
    </w:p>
    <w:p w:rsidR="006724FB" w:rsidRDefault="006724FB">
      <w:pPr>
        <w:pStyle w:val="Indenta"/>
      </w:pPr>
      <w:r>
        <w:tab/>
        <w:t>(b)</w:t>
      </w:r>
      <w:r>
        <w:tab/>
        <w:t>a brake control on the towing vehicle, which independently activates the service brake on the trailer, is operated.</w:t>
      </w:r>
    </w:p>
    <w:p w:rsidR="006724FB" w:rsidRDefault="006724FB">
      <w:pPr>
        <w:pStyle w:val="Subsection"/>
      </w:pPr>
      <w:r>
        <w:tab/>
        <w:t>(7)</w:t>
      </w:r>
      <w:r>
        <w:tab/>
        <w:t>A brake light may be operated by an engine brake, retarder or similar device if the device does not interfere with the proper operation of the brake light.</w:t>
      </w:r>
    </w:p>
    <w:p w:rsidR="006724FB" w:rsidRDefault="006724FB">
      <w:pPr>
        <w:pStyle w:val="Heading4"/>
      </w:pPr>
      <w:bookmarkStart w:id="551" w:name="_Toc75419971"/>
      <w:bookmarkStart w:id="552" w:name="_Toc75427307"/>
      <w:bookmarkStart w:id="553" w:name="_Toc75872723"/>
      <w:bookmarkStart w:id="554" w:name="_Toc75875895"/>
      <w:r>
        <w:t>Subdivision 10 — Reversing lights</w:t>
      </w:r>
      <w:bookmarkEnd w:id="551"/>
      <w:bookmarkEnd w:id="552"/>
      <w:bookmarkEnd w:id="553"/>
      <w:bookmarkEnd w:id="554"/>
    </w:p>
    <w:p w:rsidR="006724FB" w:rsidRDefault="006724FB">
      <w:pPr>
        <w:pStyle w:val="Heading5"/>
        <w:widowControl w:val="0"/>
      </w:pPr>
      <w:bookmarkStart w:id="555" w:name="_Toc75875896"/>
      <w:r>
        <w:rPr>
          <w:rStyle w:val="CharSectno"/>
        </w:rPr>
        <w:t>309</w:t>
      </w:r>
      <w:r>
        <w:t>.</w:t>
      </w:r>
      <w:r>
        <w:tab/>
        <w:t>Reversing lights</w:t>
      </w:r>
      <w:bookmarkEnd w:id="555"/>
    </w:p>
    <w:p w:rsidR="006724FB" w:rsidRDefault="006724FB">
      <w:pPr>
        <w:pStyle w:val="Subsection"/>
        <w:keepNext/>
        <w:keepLines/>
        <w:widowControl w:val="0"/>
      </w:pPr>
      <w:r>
        <w:tab/>
        <w:t>(1)</w:t>
      </w:r>
      <w:r>
        <w:tab/>
        <w:t>One or more reversing lights may be fitted to the rear of a motor vehicle, trailer or any vehicle in a combination and on each side towards the rear of the vehicle.</w:t>
      </w:r>
    </w:p>
    <w:p w:rsidR="006724FB" w:rsidRDefault="006724FB">
      <w:pPr>
        <w:pStyle w:val="Subsection"/>
      </w:pPr>
      <w:r>
        <w:tab/>
        <w:t>(2)</w:t>
      </w:r>
      <w:r>
        <w:tab/>
        <w:t>A reversing light must have its centre not over 1.2 m above ground level.</w:t>
      </w:r>
    </w:p>
    <w:p w:rsidR="006724FB" w:rsidRDefault="006724FB">
      <w:pPr>
        <w:pStyle w:val="Subsection"/>
      </w:pPr>
      <w:r>
        <w:tab/>
        <w:t>(3)</w:t>
      </w:r>
      <w:r>
        <w:tab/>
        <w:t>When on, a reversing light must show a white or yellow light to the rear or to the side and rear of the vehicle.</w:t>
      </w:r>
    </w:p>
    <w:p w:rsidR="006724FB" w:rsidRDefault="006724FB">
      <w:pPr>
        <w:pStyle w:val="Subsection"/>
      </w:pPr>
      <w:r>
        <w:tab/>
        <w:t>(4)</w:t>
      </w:r>
      <w:r>
        <w:tab/>
        <w:t>A reversing light fitted to a motor vehicle must be wired so it operates only when the vehicle is reversing or in reverse gear.</w:t>
      </w:r>
    </w:p>
    <w:p w:rsidR="006724FB" w:rsidRDefault="006724FB">
      <w:pPr>
        <w:pStyle w:val="Subsection"/>
      </w:pPr>
      <w:r>
        <w:tab/>
        <w:t>(5)</w:t>
      </w:r>
      <w:r>
        <w:tab/>
        <w:t>A reversing light fitted to a trailer must be wired so it operates only when a motor vehicle towing the trailer is reversing or in reverse gear.</w:t>
      </w:r>
    </w:p>
    <w:p w:rsidR="006724FB" w:rsidRDefault="006724FB">
      <w:pPr>
        <w:pStyle w:val="Subsection"/>
      </w:pPr>
      <w:r>
        <w:tab/>
        <w:t>(6)</w:t>
      </w:r>
      <w:r>
        <w:tab/>
        <w:t>A yellow reversing light may also operate as a direction indicator light.</w:t>
      </w:r>
    </w:p>
    <w:p w:rsidR="006724FB" w:rsidRDefault="006724FB">
      <w:pPr>
        <w:pStyle w:val="Heading4"/>
      </w:pPr>
      <w:bookmarkStart w:id="556" w:name="_Toc75419973"/>
      <w:bookmarkStart w:id="557" w:name="_Toc75427309"/>
      <w:bookmarkStart w:id="558" w:name="_Toc75872725"/>
      <w:bookmarkStart w:id="559" w:name="_Toc75875897"/>
      <w:r>
        <w:lastRenderedPageBreak/>
        <w:t>Subdivision 11 — Direction indicator lights</w:t>
      </w:r>
      <w:bookmarkEnd w:id="556"/>
      <w:bookmarkEnd w:id="557"/>
      <w:bookmarkEnd w:id="558"/>
      <w:bookmarkEnd w:id="559"/>
    </w:p>
    <w:p w:rsidR="006724FB" w:rsidRDefault="006724FB">
      <w:pPr>
        <w:pStyle w:val="Heading5"/>
      </w:pPr>
      <w:bookmarkStart w:id="560" w:name="_Toc75875898"/>
      <w:r>
        <w:rPr>
          <w:rStyle w:val="CharSectno"/>
        </w:rPr>
        <w:t>310</w:t>
      </w:r>
      <w:r>
        <w:t>.</w:t>
      </w:r>
      <w:r>
        <w:tab/>
        <w:t>Motor vehicle direction indicator lights</w:t>
      </w:r>
      <w:bookmarkEnd w:id="560"/>
    </w:p>
    <w:p w:rsidR="006724FB" w:rsidRDefault="006724FB">
      <w:pPr>
        <w:pStyle w:val="Subsection"/>
      </w:pPr>
      <w:r>
        <w:tab/>
        <w:t>(1)</w:t>
      </w:r>
      <w:r>
        <w:tab/>
        <w:t xml:space="preserve">A motor vehicle with 4 or more wheels that was built after August 1966 must have — </w:t>
      </w:r>
    </w:p>
    <w:p w:rsidR="006724FB" w:rsidRDefault="006724FB">
      <w:pPr>
        <w:pStyle w:val="Indenta"/>
      </w:pPr>
      <w:r>
        <w:tab/>
        <w:t>(a)</w:t>
      </w:r>
      <w:r>
        <w:tab/>
        <w:t>a pair of direction indicator lights fitted on or towards its front that face forwards; and</w:t>
      </w:r>
    </w:p>
    <w:p w:rsidR="006724FB" w:rsidRDefault="006724FB">
      <w:pPr>
        <w:pStyle w:val="Indenta"/>
      </w:pPr>
      <w:r>
        <w:tab/>
        <w:t>(b)</w:t>
      </w:r>
      <w:r>
        <w:tab/>
        <w:t>a pair of direction indicator lights fitted on or towards its rear that face backwards.</w:t>
      </w:r>
    </w:p>
    <w:p w:rsidR="006724FB" w:rsidRDefault="006724FB">
      <w:pPr>
        <w:pStyle w:val="Subsection"/>
      </w:pPr>
      <w:r>
        <w:tab/>
        <w:t>(2)</w:t>
      </w:r>
      <w:r>
        <w:tab/>
        <w:t xml:space="preserve">A motor vehicle with 3 wheels or fewer that was built after June 1975 must have — </w:t>
      </w:r>
    </w:p>
    <w:p w:rsidR="006724FB" w:rsidRDefault="006724FB">
      <w:pPr>
        <w:pStyle w:val="Indenta"/>
      </w:pPr>
      <w:r>
        <w:tab/>
        <w:t>(a)</w:t>
      </w:r>
      <w:r>
        <w:tab/>
        <w:t>a pair of direction indicator lights fitted on or towards its front that face forwards; and</w:t>
      </w:r>
    </w:p>
    <w:p w:rsidR="006724FB" w:rsidRDefault="006724FB">
      <w:pPr>
        <w:pStyle w:val="Indenta"/>
      </w:pPr>
      <w:r>
        <w:tab/>
        <w:t>(b)</w:t>
      </w:r>
      <w:r>
        <w:tab/>
        <w:t>a pair of direction indicator lights fitted on or towards its rear that face backwards.</w:t>
      </w:r>
    </w:p>
    <w:p w:rsidR="006724FB" w:rsidRDefault="006724FB">
      <w:pPr>
        <w:pStyle w:val="Subsection"/>
      </w:pPr>
      <w:r>
        <w:tab/>
        <w:t>(3)</w:t>
      </w:r>
      <w:r>
        <w:tab/>
        <w:t xml:space="preserve">A motor vehicle that is not required to have direction indicator lights may have — </w:t>
      </w:r>
    </w:p>
    <w:p w:rsidR="006724FB" w:rsidRDefault="006724FB">
      <w:pPr>
        <w:pStyle w:val="Indenta"/>
      </w:pPr>
      <w:r>
        <w:tab/>
        <w:t>(a)</w:t>
      </w:r>
      <w:r>
        <w:tab/>
        <w:t>one or more pairs of direction indicator lights that are visible from both the front and rear of the vehicle; or</w:t>
      </w:r>
    </w:p>
    <w:p w:rsidR="006724FB" w:rsidRDefault="006724FB">
      <w:pPr>
        <w:pStyle w:val="Indenta"/>
      </w:pPr>
      <w:r>
        <w:tab/>
        <w:t>(b)</w:t>
      </w:r>
      <w:r>
        <w:tab/>
        <w:t xml:space="preserve">both — </w:t>
      </w:r>
    </w:p>
    <w:p w:rsidR="006724FB" w:rsidRDefault="006724FB">
      <w:pPr>
        <w:pStyle w:val="Indenti"/>
      </w:pPr>
      <w:r>
        <w:tab/>
        <w:t>(i)</w:t>
      </w:r>
      <w:r>
        <w:tab/>
        <w:t>a pair of direction indicator lights fitted on or towards its front that face forwards; and</w:t>
      </w:r>
    </w:p>
    <w:p w:rsidR="006724FB" w:rsidRDefault="006724FB">
      <w:pPr>
        <w:pStyle w:val="Indenti"/>
      </w:pPr>
      <w:r>
        <w:tab/>
        <w:t>(ii)</w:t>
      </w:r>
      <w:r>
        <w:tab/>
        <w:t>a pair of direction indicator lights fitted on or towards its rear that face backwards.</w:t>
      </w:r>
    </w:p>
    <w:p w:rsidR="006724FB" w:rsidRDefault="006724FB">
      <w:pPr>
        <w:pStyle w:val="Heading5"/>
      </w:pPr>
      <w:bookmarkStart w:id="561" w:name="_Toc75875899"/>
      <w:r>
        <w:rPr>
          <w:rStyle w:val="CharSectno"/>
        </w:rPr>
        <w:t>311</w:t>
      </w:r>
      <w:r>
        <w:t>.</w:t>
      </w:r>
      <w:r>
        <w:tab/>
        <w:t>Trailer direction indicator lights</w:t>
      </w:r>
      <w:bookmarkEnd w:id="561"/>
    </w:p>
    <w:p w:rsidR="006724FB" w:rsidRDefault="006724FB">
      <w:pPr>
        <w:pStyle w:val="Subsection"/>
      </w:pPr>
      <w:r>
        <w:tab/>
        <w:t>(1)</w:t>
      </w:r>
      <w:r>
        <w:tab/>
        <w:t>A trailer built after June 1973 must have a pair of direction indicator lights fitted on or towards its rear that face backwards.</w:t>
      </w:r>
    </w:p>
    <w:p w:rsidR="006724FB" w:rsidRDefault="006724FB">
      <w:pPr>
        <w:pStyle w:val="Subsection"/>
      </w:pPr>
      <w:r>
        <w:tab/>
        <w:t>(2)</w:t>
      </w:r>
      <w:r>
        <w:tab/>
        <w:t>A trailer that is not required to have direction indicator lights may have one or more pairs of direction indicator lights fitted on or towards its rear that face backwards.</w:t>
      </w:r>
    </w:p>
    <w:p w:rsidR="006724FB" w:rsidRDefault="006724FB">
      <w:pPr>
        <w:pStyle w:val="Heading5"/>
        <w:keepLines w:val="0"/>
        <w:rPr>
          <w:rStyle w:val="DraftersNotes"/>
          <w:b/>
          <w:bCs/>
          <w:iCs/>
        </w:rPr>
      </w:pPr>
      <w:bookmarkStart w:id="562" w:name="_Toc75875900"/>
      <w:r>
        <w:rPr>
          <w:rStyle w:val="CharSectno"/>
        </w:rPr>
        <w:lastRenderedPageBreak/>
        <w:t>312</w:t>
      </w:r>
      <w:r>
        <w:t>.</w:t>
      </w:r>
      <w:r>
        <w:tab/>
        <w:t>Location of direction indicator lights for various vehicles</w:t>
      </w:r>
      <w:bookmarkEnd w:id="562"/>
    </w:p>
    <w:p w:rsidR="006724FB" w:rsidRDefault="006724FB">
      <w:pPr>
        <w:pStyle w:val="Subsection"/>
      </w:pPr>
      <w:r>
        <w:tab/>
        <w:t>(1)</w:t>
      </w:r>
      <w:r>
        <w:tab/>
        <w:t xml:space="preserve">In this regulation — </w:t>
      </w:r>
    </w:p>
    <w:p w:rsidR="006724FB" w:rsidRDefault="006724FB">
      <w:pPr>
        <w:pStyle w:val="Defstart"/>
      </w:pPr>
      <w:r>
        <w:tab/>
      </w:r>
      <w:r>
        <w:rPr>
          <w:rStyle w:val="CharDefText"/>
        </w:rPr>
        <w:t>direction indicator light</w:t>
      </w:r>
      <w:r>
        <w:t xml:space="preserve"> means a direction indicator light required or permitted by this Subdivision.</w:t>
      </w:r>
    </w:p>
    <w:p w:rsidR="006724FB" w:rsidRDefault="006724FB">
      <w:pPr>
        <w:pStyle w:val="Subsection"/>
      </w:pPr>
      <w:r>
        <w:tab/>
        <w:t>(2)</w:t>
      </w:r>
      <w:r>
        <w:tab/>
        <w:t xml:space="preserve">A pair of direction indicator lights fitted to a vehicle must have the centre of each light at least — </w:t>
      </w:r>
    </w:p>
    <w:p w:rsidR="006724FB" w:rsidRDefault="006724FB">
      <w:pPr>
        <w:pStyle w:val="Indenta"/>
      </w:pPr>
      <w:r>
        <w:tab/>
        <w:t>(a)</w:t>
      </w:r>
      <w:r>
        <w:tab/>
        <w:t>for a motor cycle or the single wheel end of a motor tricycle — 300 mm from the centre of the other light; and</w:t>
      </w:r>
    </w:p>
    <w:p w:rsidR="006724FB" w:rsidRDefault="006724FB">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rsidR="006724FB" w:rsidRDefault="006724FB">
      <w:pPr>
        <w:pStyle w:val="Indenta"/>
      </w:pPr>
      <w:r>
        <w:tab/>
        <w:t>(c)</w:t>
      </w:r>
      <w:r>
        <w:tab/>
        <w:t>for another motor vehicle or a trailer or vehicle in a combination with a width of not over 1 300 mm — 400 mm from the centre of the other light; and</w:t>
      </w:r>
    </w:p>
    <w:p w:rsidR="006724FB" w:rsidRDefault="006724FB">
      <w:pPr>
        <w:pStyle w:val="Indenta"/>
      </w:pPr>
      <w:r>
        <w:tab/>
        <w:t>(d)</w:t>
      </w:r>
      <w:r>
        <w:tab/>
        <w:t>for another motor vehicle or a trailer or vehicle in a combination with a width of over 1 300 mm — 600 mm from the centre of the other light.</w:t>
      </w:r>
    </w:p>
    <w:p w:rsidR="006724FB" w:rsidRDefault="006724FB">
      <w:pPr>
        <w:pStyle w:val="Subsection"/>
      </w:pPr>
      <w:r>
        <w:tab/>
        <w:t>(3)</w:t>
      </w:r>
      <w:r>
        <w:tab/>
        <w:t>The centre of each direction indicator light must be at least 350 mm above ground level.</w:t>
      </w:r>
    </w:p>
    <w:p w:rsidR="006724FB" w:rsidRDefault="006724FB">
      <w:pPr>
        <w:pStyle w:val="Subsection"/>
      </w:pPr>
      <w:r>
        <w:tab/>
        <w:t>(4)</w:t>
      </w:r>
      <w:r>
        <w:tab/>
        <w:t xml:space="preserve">The centre of each light in a pair of direction indicator lights to be fitted to a vehicle must not be over — </w:t>
      </w:r>
    </w:p>
    <w:p w:rsidR="006724FB" w:rsidRDefault="006724FB">
      <w:pPr>
        <w:pStyle w:val="Indenta"/>
      </w:pPr>
      <w:r>
        <w:tab/>
        <w:t>(a)</w:t>
      </w:r>
      <w:r>
        <w:tab/>
        <w:t>1.5 m above ground level; or</w:t>
      </w:r>
    </w:p>
    <w:p w:rsidR="006724FB" w:rsidRDefault="006724FB">
      <w:pPr>
        <w:pStyle w:val="Indenta"/>
      </w:pPr>
      <w:r>
        <w:tab/>
        <w:t>(b)</w:t>
      </w:r>
      <w:r>
        <w:tab/>
        <w:t>if it is not practicable for the light to be fitted lower — 2.1 m above ground level.</w:t>
      </w:r>
    </w:p>
    <w:p w:rsidR="006724FB" w:rsidRDefault="006724FB">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rsidR="006724FB" w:rsidRDefault="006724FB">
      <w:pPr>
        <w:pStyle w:val="Heading5"/>
        <w:keepNext w:val="0"/>
        <w:keepLines w:val="0"/>
        <w:rPr>
          <w:rStyle w:val="DraftersNotes"/>
          <w:b/>
          <w:bCs/>
          <w:iCs/>
        </w:rPr>
      </w:pPr>
      <w:bookmarkStart w:id="563" w:name="_Toc75875901"/>
      <w:r>
        <w:rPr>
          <w:rStyle w:val="CharSectno"/>
        </w:rPr>
        <w:lastRenderedPageBreak/>
        <w:t>313</w:t>
      </w:r>
      <w:r>
        <w:t>.</w:t>
      </w:r>
      <w:r>
        <w:tab/>
        <w:t>Operation and visibility of direction indicator lights for various vehicles</w:t>
      </w:r>
      <w:bookmarkEnd w:id="563"/>
    </w:p>
    <w:p w:rsidR="006724FB" w:rsidRDefault="006724FB">
      <w:pPr>
        <w:pStyle w:val="Subsection"/>
      </w:pPr>
      <w:r>
        <w:tab/>
        <w:t>(1)</w:t>
      </w:r>
      <w:r>
        <w:tab/>
        <w:t xml:space="preserve">In this regulation — </w:t>
      </w:r>
    </w:p>
    <w:p w:rsidR="006724FB" w:rsidRDefault="006724FB">
      <w:pPr>
        <w:pStyle w:val="Defstart"/>
      </w:pPr>
      <w:r>
        <w:tab/>
      </w:r>
      <w:r>
        <w:rPr>
          <w:rStyle w:val="CharDefText"/>
        </w:rPr>
        <w:t>direction indicator light</w:t>
      </w:r>
      <w:r>
        <w:t xml:space="preserve"> means a direction indicator light required or permitted by this Subdivision.</w:t>
      </w:r>
    </w:p>
    <w:p w:rsidR="006724FB" w:rsidRDefault="006724FB">
      <w:pPr>
        <w:pStyle w:val="Subsection"/>
      </w:pPr>
      <w:r>
        <w:tab/>
        <w:t>(2)</w:t>
      </w:r>
      <w:r>
        <w:tab/>
        <w:t xml:space="preserve">A direction indicator light fitted to a motor vehicle must — </w:t>
      </w:r>
    </w:p>
    <w:p w:rsidR="006724FB" w:rsidRDefault="006724FB">
      <w:pPr>
        <w:pStyle w:val="Indenta"/>
      </w:pPr>
      <w:r>
        <w:tab/>
        <w:t>(a)</w:t>
      </w:r>
      <w:r>
        <w:tab/>
        <w:t xml:space="preserve">when operating, display regular flashes of light at a rate of not over 120 flashes a minute and — </w:t>
      </w:r>
    </w:p>
    <w:p w:rsidR="006724FB" w:rsidRDefault="006724FB">
      <w:pPr>
        <w:pStyle w:val="Indenti"/>
      </w:pPr>
      <w:r>
        <w:tab/>
        <w:t>(i)</w:t>
      </w:r>
      <w:r>
        <w:tab/>
        <w:t>for a motor vehicle with 4 or more wheels — at least 60 flashes a minute; and</w:t>
      </w:r>
    </w:p>
    <w:p w:rsidR="006724FB" w:rsidRDefault="006724FB">
      <w:pPr>
        <w:pStyle w:val="Indenti"/>
      </w:pPr>
      <w:r>
        <w:tab/>
        <w:t>(ii)</w:t>
      </w:r>
      <w:r>
        <w:tab/>
        <w:t>for another motor vehicle — at least 45 flashes a minute;</w:t>
      </w:r>
    </w:p>
    <w:p w:rsidR="006724FB" w:rsidRDefault="006724FB">
      <w:pPr>
        <w:pStyle w:val="Indenta"/>
      </w:pPr>
      <w:r>
        <w:tab/>
      </w:r>
      <w:r>
        <w:tab/>
        <w:t>and</w:t>
      </w:r>
    </w:p>
    <w:p w:rsidR="006724FB" w:rsidRDefault="006724FB">
      <w:pPr>
        <w:pStyle w:val="Indenta"/>
      </w:pPr>
      <w:r>
        <w:tab/>
        <w:t>(b)</w:t>
      </w:r>
      <w:r>
        <w:tab/>
        <w:t>be able to be operated by a person in the normal driving position; and</w:t>
      </w:r>
    </w:p>
    <w:p w:rsidR="006724FB" w:rsidRDefault="006724FB">
      <w:pPr>
        <w:pStyle w:val="Indenta"/>
      </w:pPr>
      <w:r>
        <w:tab/>
        <w:t>(c)</w:t>
      </w:r>
      <w:r>
        <w:tab/>
        <w:t>be wired to an audible or visible device in the vehicle that tells the driver that the direction indicator light is operating; and</w:t>
      </w:r>
    </w:p>
    <w:p w:rsidR="006724FB" w:rsidRDefault="006724FB">
      <w:pPr>
        <w:pStyle w:val="Indenta"/>
      </w:pPr>
      <w:r>
        <w:tab/>
        <w:t>(d)</w:t>
      </w:r>
      <w:r>
        <w:tab/>
        <w:t>flash at the same time and rate as any other direction indicator lights fitted on the same side of the vehicle.</w:t>
      </w:r>
    </w:p>
    <w:p w:rsidR="006724FB" w:rsidRDefault="006724FB">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rsidR="006724FB" w:rsidRDefault="006724FB">
      <w:pPr>
        <w:pStyle w:val="Subsection"/>
      </w:pPr>
      <w:r>
        <w:tab/>
        <w:t>(4)</w:t>
      </w:r>
      <w:r>
        <w:tab/>
        <w:t xml:space="preserve">The flashes of light displayed by a direction indicator light must be — </w:t>
      </w:r>
    </w:p>
    <w:p w:rsidR="006724FB" w:rsidRDefault="006724FB">
      <w:pPr>
        <w:pStyle w:val="Indenta"/>
      </w:pPr>
      <w:r>
        <w:tab/>
        <w:t>(a)</w:t>
      </w:r>
      <w:r>
        <w:tab/>
        <w:t>if the light faces forwards — white or yellow; and</w:t>
      </w:r>
    </w:p>
    <w:p w:rsidR="006724FB" w:rsidRDefault="006724FB">
      <w:pPr>
        <w:pStyle w:val="Indenta"/>
      </w:pPr>
      <w:r>
        <w:tab/>
        <w:t>(b)</w:t>
      </w:r>
      <w:r>
        <w:tab/>
        <w:t xml:space="preserve">if the light faces backwards — </w:t>
      </w:r>
    </w:p>
    <w:p w:rsidR="006724FB" w:rsidRDefault="006724FB">
      <w:pPr>
        <w:pStyle w:val="Indenti"/>
      </w:pPr>
      <w:r>
        <w:tab/>
        <w:t>(i)</w:t>
      </w:r>
      <w:r>
        <w:tab/>
        <w:t>yellow; or</w:t>
      </w:r>
    </w:p>
    <w:p w:rsidR="006724FB" w:rsidRDefault="006724FB">
      <w:pPr>
        <w:pStyle w:val="Indenti"/>
        <w:keepNext/>
      </w:pPr>
      <w:r>
        <w:lastRenderedPageBreak/>
        <w:tab/>
        <w:t>(ii)</w:t>
      </w:r>
      <w:r>
        <w:tab/>
        <w:t>for a vehicle built before July 1973 — yellow or red;</w:t>
      </w:r>
    </w:p>
    <w:p w:rsidR="006724FB" w:rsidRDefault="006724FB">
      <w:pPr>
        <w:pStyle w:val="Indenta"/>
      </w:pPr>
      <w:r>
        <w:tab/>
      </w:r>
      <w:r>
        <w:tab/>
        <w:t>and</w:t>
      </w:r>
    </w:p>
    <w:p w:rsidR="006724FB" w:rsidRDefault="006724FB">
      <w:pPr>
        <w:pStyle w:val="Indenta"/>
      </w:pPr>
      <w:r>
        <w:tab/>
        <w:t>(c)</w:t>
      </w:r>
      <w:r>
        <w:tab/>
        <w:t xml:space="preserve">if the light faces out from the side of the vehicle — </w:t>
      </w:r>
    </w:p>
    <w:p w:rsidR="006724FB" w:rsidRDefault="006724FB">
      <w:pPr>
        <w:pStyle w:val="Indenti"/>
      </w:pPr>
      <w:r>
        <w:tab/>
        <w:t>(i)</w:t>
      </w:r>
      <w:r>
        <w:tab/>
        <w:t>white or yellow towards the front and side; and</w:t>
      </w:r>
    </w:p>
    <w:p w:rsidR="006724FB" w:rsidRDefault="006724FB">
      <w:pPr>
        <w:pStyle w:val="Indenti"/>
      </w:pPr>
      <w:r>
        <w:tab/>
        <w:t>(ii)</w:t>
      </w:r>
      <w:r>
        <w:tab/>
        <w:t>for a vehicle built before July 1973 — yellow or red towards the rear and side; and</w:t>
      </w:r>
    </w:p>
    <w:p w:rsidR="006724FB" w:rsidRDefault="006724FB">
      <w:pPr>
        <w:pStyle w:val="Indenti"/>
      </w:pPr>
      <w:r>
        <w:tab/>
        <w:t>(iii)</w:t>
      </w:r>
      <w:r>
        <w:tab/>
        <w:t>for a vehicle built after June 1973 — yellow towards the rear and side.</w:t>
      </w:r>
    </w:p>
    <w:p w:rsidR="006724FB" w:rsidRDefault="006724FB">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rsidR="006724FB" w:rsidRDefault="006724FB">
      <w:pPr>
        <w:pStyle w:val="Subsection"/>
      </w:pPr>
      <w:r>
        <w:tab/>
        <w:t>(6)</w:t>
      </w:r>
      <w:r>
        <w:tab/>
        <w:t xml:space="preserve">When on, a direction indicator light must be visible 30 m from — </w:t>
      </w:r>
    </w:p>
    <w:p w:rsidR="006724FB" w:rsidRDefault="006724FB">
      <w:pPr>
        <w:pStyle w:val="Indenta"/>
      </w:pPr>
      <w:r>
        <w:tab/>
        <w:t>(a)</w:t>
      </w:r>
      <w:r>
        <w:tab/>
        <w:t>if the light faces forwards — the front of the vehicle; or</w:t>
      </w:r>
    </w:p>
    <w:p w:rsidR="006724FB" w:rsidRDefault="006724FB">
      <w:pPr>
        <w:pStyle w:val="Indenta"/>
      </w:pPr>
      <w:r>
        <w:tab/>
        <w:t>(b)</w:t>
      </w:r>
      <w:r>
        <w:tab/>
        <w:t>if the light faces backwards — the rear of the vehicle; or</w:t>
      </w:r>
    </w:p>
    <w:p w:rsidR="006724FB" w:rsidRDefault="006724FB">
      <w:pPr>
        <w:pStyle w:val="Indenta"/>
      </w:pPr>
      <w:r>
        <w:tab/>
        <w:t>(c)</w:t>
      </w:r>
      <w:r>
        <w:tab/>
        <w:t>if the light faces out from the side of the vehicle — that side of the vehicle.</w:t>
      </w:r>
    </w:p>
    <w:p w:rsidR="006724FB" w:rsidRDefault="006724FB">
      <w:pPr>
        <w:pStyle w:val="Subsection"/>
      </w:pPr>
      <w:r>
        <w:tab/>
        <w:t>(7)</w:t>
      </w:r>
      <w:r>
        <w:tab/>
        <w:t xml:space="preserve">When on, each direction indicator light in at least one pair of lights fitted on or towards the front of a prime mover, or a motor vehicle over 7.5 m long, must be visible at a point — </w:t>
      </w:r>
    </w:p>
    <w:p w:rsidR="006724FB" w:rsidRDefault="006724FB">
      <w:pPr>
        <w:pStyle w:val="Indenta"/>
      </w:pPr>
      <w:r>
        <w:tab/>
        <w:t>(a)</w:t>
      </w:r>
      <w:r>
        <w:tab/>
        <w:t>1.5 m at right angles from the side of the vehicle where the light is fitted; and</w:t>
      </w:r>
    </w:p>
    <w:p w:rsidR="006724FB" w:rsidRDefault="006724FB">
      <w:pPr>
        <w:pStyle w:val="Indenta"/>
      </w:pPr>
      <w:r>
        <w:tab/>
        <w:t>(b)</w:t>
      </w:r>
      <w:r>
        <w:tab/>
        <w:t>in line with the rear of the vehicle.</w:t>
      </w:r>
    </w:p>
    <w:p w:rsidR="006724FB" w:rsidRDefault="006724FB">
      <w:pPr>
        <w:pStyle w:val="Heading4"/>
      </w:pPr>
      <w:bookmarkStart w:id="564" w:name="_Toc75419978"/>
      <w:bookmarkStart w:id="565" w:name="_Toc75427314"/>
      <w:bookmarkStart w:id="566" w:name="_Toc75872730"/>
      <w:bookmarkStart w:id="567" w:name="_Toc75875902"/>
      <w:r>
        <w:t>Subdivision 12 — Fog lights</w:t>
      </w:r>
      <w:bookmarkEnd w:id="564"/>
      <w:bookmarkEnd w:id="565"/>
      <w:bookmarkEnd w:id="566"/>
      <w:bookmarkEnd w:id="567"/>
    </w:p>
    <w:p w:rsidR="006724FB" w:rsidRDefault="006724FB">
      <w:pPr>
        <w:pStyle w:val="Heading5"/>
        <w:keepNext w:val="0"/>
        <w:keepLines w:val="0"/>
      </w:pPr>
      <w:bookmarkStart w:id="568" w:name="_Toc75875903"/>
      <w:r>
        <w:rPr>
          <w:rStyle w:val="CharSectno"/>
        </w:rPr>
        <w:t>314</w:t>
      </w:r>
      <w:r>
        <w:t>.</w:t>
      </w:r>
      <w:r>
        <w:tab/>
        <w:t>Front fog lights for certain motor vehicles</w:t>
      </w:r>
      <w:bookmarkEnd w:id="568"/>
    </w:p>
    <w:p w:rsidR="006724FB" w:rsidRDefault="006724FB">
      <w:pPr>
        <w:pStyle w:val="Subsection"/>
      </w:pPr>
      <w:r>
        <w:tab/>
        <w:t>(1)</w:t>
      </w:r>
      <w:r>
        <w:tab/>
        <w:t>A pair of front fog lights may be fitted to a motor vehicle with 4 or more wheels.</w:t>
      </w:r>
    </w:p>
    <w:p w:rsidR="006724FB" w:rsidRDefault="006724FB">
      <w:pPr>
        <w:pStyle w:val="Subsection"/>
      </w:pPr>
      <w:r>
        <w:lastRenderedPageBreak/>
        <w:tab/>
        <w:t>(2)</w:t>
      </w:r>
      <w:r>
        <w:tab/>
        <w:t>A pair of front fog lights or a single front fog light may be fitted to a motor cycle or motor tricycle.</w:t>
      </w:r>
    </w:p>
    <w:p w:rsidR="006724FB" w:rsidRDefault="006724FB">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rsidR="006724FB" w:rsidRDefault="006724FB">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rsidR="006724FB" w:rsidRDefault="006724FB">
      <w:pPr>
        <w:pStyle w:val="Subsection"/>
      </w:pPr>
      <w:r>
        <w:tab/>
        <w:t>(5)</w:t>
      </w:r>
      <w:r>
        <w:tab/>
        <w:t xml:space="preserve">A front fog light must — </w:t>
      </w:r>
    </w:p>
    <w:p w:rsidR="006724FB" w:rsidRDefault="006724FB">
      <w:pPr>
        <w:pStyle w:val="Indenta"/>
      </w:pPr>
      <w:r>
        <w:tab/>
        <w:t>(a)</w:t>
      </w:r>
      <w:r>
        <w:tab/>
        <w:t xml:space="preserve">when on — </w:t>
      </w:r>
    </w:p>
    <w:p w:rsidR="006724FB" w:rsidRDefault="006724FB">
      <w:pPr>
        <w:pStyle w:val="Indenti"/>
      </w:pPr>
      <w:r>
        <w:tab/>
        <w:t>(i)</w:t>
      </w:r>
      <w:r>
        <w:tab/>
        <w:t>project white or yellow light in front of the vehicle; and</w:t>
      </w:r>
    </w:p>
    <w:p w:rsidR="006724FB" w:rsidRDefault="006724FB">
      <w:pPr>
        <w:pStyle w:val="Indenti"/>
      </w:pPr>
      <w:r>
        <w:tab/>
        <w:t>(ii)</w:t>
      </w:r>
      <w:r>
        <w:tab/>
        <w:t>be a low</w:t>
      </w:r>
      <w:r>
        <w:noBreakHyphen/>
        <w:t>beam light;</w:t>
      </w:r>
    </w:p>
    <w:p w:rsidR="006724FB" w:rsidRDefault="006724FB">
      <w:pPr>
        <w:pStyle w:val="Indenta"/>
      </w:pPr>
      <w:r>
        <w:tab/>
      </w:r>
      <w:r>
        <w:tab/>
        <w:t>and</w:t>
      </w:r>
    </w:p>
    <w:p w:rsidR="006724FB" w:rsidRDefault="006724FB">
      <w:pPr>
        <w:pStyle w:val="Indenta"/>
      </w:pPr>
      <w:r>
        <w:tab/>
        <w:t>(b)</w:t>
      </w:r>
      <w:r>
        <w:tab/>
        <w:t>be able to be operated independently of any headlight; and</w:t>
      </w:r>
    </w:p>
    <w:p w:rsidR="006724FB" w:rsidRDefault="006724FB">
      <w:pPr>
        <w:pStyle w:val="Indenta"/>
      </w:pPr>
      <w:r>
        <w:tab/>
        <w:t>(c)</w:t>
      </w:r>
      <w:r>
        <w:tab/>
        <w:t>be fitted so the light from it does not reflect off the vehicle into the driver’s eyes.</w:t>
      </w:r>
    </w:p>
    <w:p w:rsidR="006724FB" w:rsidRDefault="006724FB">
      <w:pPr>
        <w:pStyle w:val="Heading5"/>
        <w:keepNext w:val="0"/>
        <w:keepLines w:val="0"/>
      </w:pPr>
      <w:bookmarkStart w:id="569" w:name="_Toc75875904"/>
      <w:r>
        <w:rPr>
          <w:rStyle w:val="CharSectno"/>
        </w:rPr>
        <w:t>315</w:t>
      </w:r>
      <w:r>
        <w:t>.</w:t>
      </w:r>
      <w:r>
        <w:tab/>
        <w:t>Rear fog lights for certain vehicles</w:t>
      </w:r>
      <w:bookmarkEnd w:id="569"/>
    </w:p>
    <w:p w:rsidR="006724FB" w:rsidRDefault="006724FB">
      <w:pPr>
        <w:pStyle w:val="Subsection"/>
      </w:pPr>
      <w:r>
        <w:tab/>
        <w:t>(1A)</w:t>
      </w:r>
      <w:r>
        <w:tab/>
        <w:t xml:space="preserve">In this regulation — </w:t>
      </w:r>
    </w:p>
    <w:p w:rsidR="006724FB" w:rsidRDefault="006724FB">
      <w:pPr>
        <w:pStyle w:val="Defstart"/>
      </w:pPr>
      <w:r>
        <w:tab/>
      </w:r>
      <w:r>
        <w:rPr>
          <w:rStyle w:val="CharDefText"/>
        </w:rPr>
        <w:t>rear fog light</w:t>
      </w:r>
      <w:r>
        <w:t xml:space="preserve"> means a light used on a vehicle to make the vehicle more easily visible from the rear in dense fog.</w:t>
      </w:r>
    </w:p>
    <w:p w:rsidR="006724FB" w:rsidRDefault="006724FB">
      <w:pPr>
        <w:pStyle w:val="Subsection"/>
        <w:spacing w:before="100"/>
      </w:pPr>
      <w:r>
        <w:tab/>
        <w:t>(1)</w:t>
      </w:r>
      <w:r>
        <w:tab/>
        <w:t xml:space="preserve">A motor vehicle, trailer or any vehicle in a combination may have fitted to its rear — </w:t>
      </w:r>
    </w:p>
    <w:p w:rsidR="006724FB" w:rsidRDefault="006724FB">
      <w:pPr>
        <w:pStyle w:val="Indenta"/>
      </w:pPr>
      <w:r>
        <w:tab/>
        <w:t>(a)</w:t>
      </w:r>
      <w:r>
        <w:tab/>
        <w:t>a pair of rear fog lights; or</w:t>
      </w:r>
    </w:p>
    <w:p w:rsidR="006724FB" w:rsidRDefault="006724FB">
      <w:pPr>
        <w:pStyle w:val="Indenta"/>
      </w:pPr>
      <w:r>
        <w:tab/>
        <w:t>(b)</w:t>
      </w:r>
      <w:r>
        <w:tab/>
        <w:t>one rear fog light fitted on or to the right of the centre of the vehicle.</w:t>
      </w:r>
    </w:p>
    <w:p w:rsidR="006724FB" w:rsidRDefault="006724FB">
      <w:pPr>
        <w:pStyle w:val="Subsection"/>
      </w:pPr>
      <w:r>
        <w:tab/>
        <w:t>(2)</w:t>
      </w:r>
      <w:r>
        <w:tab/>
        <w:t>Subregulation (1)(b) applies to a motor cycle with an attached sidecar as if the sidecar were not attached.</w:t>
      </w:r>
    </w:p>
    <w:p w:rsidR="006724FB" w:rsidRDefault="006724FB">
      <w:pPr>
        <w:pStyle w:val="Subsection"/>
        <w:keepNext/>
      </w:pPr>
      <w:r>
        <w:lastRenderedPageBreak/>
        <w:tab/>
        <w:t>(3)</w:t>
      </w:r>
      <w:r>
        <w:tab/>
        <w:t xml:space="preserve">A rear fog light must — </w:t>
      </w:r>
    </w:p>
    <w:p w:rsidR="006724FB" w:rsidRDefault="006724FB">
      <w:pPr>
        <w:pStyle w:val="Indenta"/>
        <w:keepNext/>
      </w:pPr>
      <w:r>
        <w:tab/>
        <w:t>(a)</w:t>
      </w:r>
      <w:r>
        <w:tab/>
        <w:t xml:space="preserve">have its centre — </w:t>
      </w:r>
    </w:p>
    <w:p w:rsidR="006724FB" w:rsidRDefault="006724FB">
      <w:pPr>
        <w:pStyle w:val="Indenti"/>
      </w:pPr>
      <w:r>
        <w:tab/>
        <w:t>(i)</w:t>
      </w:r>
      <w:r>
        <w:tab/>
        <w:t>not over 1.5 m above ground level; and</w:t>
      </w:r>
    </w:p>
    <w:p w:rsidR="006724FB" w:rsidRDefault="006724FB">
      <w:pPr>
        <w:pStyle w:val="Indenti"/>
      </w:pPr>
      <w:r>
        <w:tab/>
        <w:t>(ii)</w:t>
      </w:r>
      <w:r>
        <w:tab/>
        <w:t>at least 100 mm from the centre of a brake light;</w:t>
      </w:r>
    </w:p>
    <w:p w:rsidR="006724FB" w:rsidRDefault="006724FB">
      <w:pPr>
        <w:pStyle w:val="Indenta"/>
      </w:pPr>
      <w:r>
        <w:tab/>
      </w:r>
      <w:r>
        <w:tab/>
        <w:t>and</w:t>
      </w:r>
    </w:p>
    <w:p w:rsidR="006724FB" w:rsidRDefault="006724FB">
      <w:pPr>
        <w:pStyle w:val="Indenta"/>
      </w:pPr>
      <w:r>
        <w:tab/>
        <w:t>(b)</w:t>
      </w:r>
      <w:r>
        <w:tab/>
        <w:t>when on, project red light behind the vehicle; and</w:t>
      </w:r>
    </w:p>
    <w:p w:rsidR="006724FB" w:rsidRDefault="006724FB">
      <w:pPr>
        <w:pStyle w:val="Indenta"/>
      </w:pPr>
      <w:r>
        <w:tab/>
        <w:t>(c)</w:t>
      </w:r>
      <w:r>
        <w:tab/>
        <w:t>not use over 27 W power; and</w:t>
      </w:r>
    </w:p>
    <w:p w:rsidR="006724FB" w:rsidRDefault="006724FB">
      <w:pPr>
        <w:pStyle w:val="Indenta"/>
      </w:pPr>
      <w:r>
        <w:tab/>
        <w:t>(d)</w:t>
      </w:r>
      <w:r>
        <w:tab/>
        <w:t>be wired to a visible device in the vehicle that tells the driver that the rear fog light is operating.</w:t>
      </w:r>
    </w:p>
    <w:p w:rsidR="006724FB" w:rsidRDefault="006724FB">
      <w:pPr>
        <w:pStyle w:val="Footnotesection"/>
      </w:pPr>
      <w:r>
        <w:tab/>
        <w:t>[Regulation 315 amended: Gazette 29 Mar 2019 p. 968.]</w:t>
      </w:r>
    </w:p>
    <w:p w:rsidR="006724FB" w:rsidRDefault="006724FB">
      <w:pPr>
        <w:pStyle w:val="Heading4"/>
        <w:spacing w:before="120"/>
      </w:pPr>
      <w:bookmarkStart w:id="570" w:name="_Toc75419981"/>
      <w:bookmarkStart w:id="571" w:name="_Toc75427317"/>
      <w:bookmarkStart w:id="572" w:name="_Toc75872733"/>
      <w:bookmarkStart w:id="573" w:name="_Toc75875905"/>
      <w:r>
        <w:t>Subdivision 13 — Interior lights</w:t>
      </w:r>
      <w:bookmarkEnd w:id="570"/>
      <w:bookmarkEnd w:id="571"/>
      <w:bookmarkEnd w:id="572"/>
      <w:bookmarkEnd w:id="573"/>
    </w:p>
    <w:p w:rsidR="006724FB" w:rsidRDefault="006724FB">
      <w:pPr>
        <w:pStyle w:val="Heading5"/>
        <w:keepNext w:val="0"/>
        <w:keepLines w:val="0"/>
        <w:spacing w:before="120"/>
      </w:pPr>
      <w:bookmarkStart w:id="574" w:name="_Toc75875906"/>
      <w:r>
        <w:rPr>
          <w:rStyle w:val="CharSectno"/>
        </w:rPr>
        <w:t>316</w:t>
      </w:r>
      <w:r>
        <w:t>.</w:t>
      </w:r>
      <w:r>
        <w:tab/>
        <w:t>Interior lights for certain vehicles</w:t>
      </w:r>
      <w:bookmarkEnd w:id="574"/>
    </w:p>
    <w:p w:rsidR="006724FB" w:rsidRDefault="006724FB">
      <w:pPr>
        <w:pStyle w:val="Subsection"/>
      </w:pPr>
      <w:r>
        <w:tab/>
      </w:r>
      <w:r>
        <w:tab/>
        <w:t>A motor vehicle, trailer or any vehicle in a combination may be fitted with interior lights that illuminate any interior part of the vehicle.</w:t>
      </w:r>
    </w:p>
    <w:p w:rsidR="006724FB" w:rsidRDefault="006724FB">
      <w:pPr>
        <w:pStyle w:val="Heading4"/>
        <w:spacing w:before="120"/>
      </w:pPr>
      <w:bookmarkStart w:id="575" w:name="_Toc75419983"/>
      <w:bookmarkStart w:id="576" w:name="_Toc75427319"/>
      <w:bookmarkStart w:id="577" w:name="_Toc75872735"/>
      <w:bookmarkStart w:id="578" w:name="_Toc75875907"/>
      <w:r>
        <w:t>Subdivision 14 — Reflectors generally</w:t>
      </w:r>
      <w:bookmarkEnd w:id="575"/>
      <w:bookmarkEnd w:id="576"/>
      <w:bookmarkEnd w:id="577"/>
      <w:bookmarkEnd w:id="578"/>
    </w:p>
    <w:p w:rsidR="006724FB" w:rsidRDefault="006724FB">
      <w:pPr>
        <w:pStyle w:val="Heading5"/>
        <w:spacing w:before="120"/>
      </w:pPr>
      <w:bookmarkStart w:id="579" w:name="_Toc75875908"/>
      <w:r>
        <w:rPr>
          <w:rStyle w:val="CharSectno"/>
        </w:rPr>
        <w:t>317</w:t>
      </w:r>
      <w:r>
        <w:t>.</w:t>
      </w:r>
      <w:r>
        <w:tab/>
        <w:t>General requirements for reflectors for certain vehicles</w:t>
      </w:r>
      <w:bookmarkEnd w:id="579"/>
    </w:p>
    <w:p w:rsidR="006724FB" w:rsidRDefault="006724FB">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rsidR="006724FB" w:rsidRDefault="006724FB">
      <w:pPr>
        <w:pStyle w:val="Indenta"/>
      </w:pPr>
      <w:r>
        <w:tab/>
        <w:t>(a)</w:t>
      </w:r>
      <w:r>
        <w:tab/>
        <w:t>is 45 m from the reflector; and</w:t>
      </w:r>
    </w:p>
    <w:p w:rsidR="006724FB" w:rsidRDefault="006724FB">
      <w:pPr>
        <w:pStyle w:val="Indenta"/>
      </w:pPr>
      <w:r>
        <w:tab/>
        <w:t>(b)</w:t>
      </w:r>
      <w:r>
        <w:tab/>
        <w:t>complies with each regulation in this Part that applies to the vehicle.</w:t>
      </w:r>
    </w:p>
    <w:p w:rsidR="006724FB" w:rsidRDefault="006724FB">
      <w:pPr>
        <w:pStyle w:val="Subsection"/>
      </w:pPr>
      <w:r>
        <w:tab/>
        <w:t>(2)</w:t>
      </w:r>
      <w:r>
        <w:tab/>
        <w:t>The reflection must be clearly visible from the position of the headlight.</w:t>
      </w:r>
    </w:p>
    <w:p w:rsidR="006724FB" w:rsidRDefault="006724FB">
      <w:pPr>
        <w:pStyle w:val="Heading4"/>
      </w:pPr>
      <w:bookmarkStart w:id="580" w:name="_Toc75419985"/>
      <w:bookmarkStart w:id="581" w:name="_Toc75427321"/>
      <w:bookmarkStart w:id="582" w:name="_Toc75872737"/>
      <w:bookmarkStart w:id="583" w:name="_Toc75875909"/>
      <w:r>
        <w:lastRenderedPageBreak/>
        <w:t>Subdivision 15 — Rear reflectors</w:t>
      </w:r>
      <w:bookmarkEnd w:id="580"/>
      <w:bookmarkEnd w:id="581"/>
      <w:bookmarkEnd w:id="582"/>
      <w:bookmarkEnd w:id="583"/>
    </w:p>
    <w:p w:rsidR="006724FB" w:rsidRDefault="006724FB">
      <w:pPr>
        <w:pStyle w:val="Heading5"/>
        <w:keepLines w:val="0"/>
      </w:pPr>
      <w:bookmarkStart w:id="584" w:name="_Toc75875910"/>
      <w:r>
        <w:rPr>
          <w:rStyle w:val="CharSectno"/>
        </w:rPr>
        <w:t>318</w:t>
      </w:r>
      <w:r>
        <w:t>.</w:t>
      </w:r>
      <w:r>
        <w:tab/>
        <w:t>Rear reflectors for certain vehicles</w:t>
      </w:r>
      <w:bookmarkEnd w:id="584"/>
    </w:p>
    <w:p w:rsidR="006724FB" w:rsidRDefault="006724FB">
      <w:pPr>
        <w:pStyle w:val="Subsection"/>
      </w:pPr>
      <w:r>
        <w:tab/>
        <w:t>(1)</w:t>
      </w:r>
      <w:r>
        <w:tab/>
        <w:t>A motor vehicle with 4 or more wheels and a trailer must have a rear</w:t>
      </w:r>
      <w:r>
        <w:noBreakHyphen/>
        <w:t>facing red reflector towards each side of its rear.</w:t>
      </w:r>
    </w:p>
    <w:p w:rsidR="006724FB" w:rsidRDefault="006724FB">
      <w:pPr>
        <w:pStyle w:val="Subsection"/>
      </w:pPr>
      <w:r>
        <w:tab/>
        <w:t>(2)</w:t>
      </w:r>
      <w:r>
        <w:tab/>
        <w:t>A motor cycle, a sidecar attached to a motor cycle, and a motor tricycle, must have a rear</w:t>
      </w:r>
      <w:r>
        <w:noBreakHyphen/>
        <w:t>facing red reflector.</w:t>
      </w:r>
    </w:p>
    <w:p w:rsidR="006724FB" w:rsidRDefault="006724FB">
      <w:pPr>
        <w:pStyle w:val="Subsection"/>
      </w:pPr>
      <w:r>
        <w:tab/>
        <w:t>(3)</w:t>
      </w:r>
      <w:r>
        <w:tab/>
        <w:t xml:space="preserve">The centre of each reflector required by this regulation, except a reflector fitted to a sidecar attached to a motor cycle, must be — </w:t>
      </w:r>
    </w:p>
    <w:p w:rsidR="006724FB" w:rsidRDefault="006724FB">
      <w:pPr>
        <w:pStyle w:val="Indenta"/>
      </w:pPr>
      <w:r>
        <w:tab/>
        <w:t>(a)</w:t>
      </w:r>
      <w:r>
        <w:tab/>
        <w:t>at the same height above ground level; and</w:t>
      </w:r>
    </w:p>
    <w:p w:rsidR="006724FB" w:rsidRDefault="006724FB">
      <w:pPr>
        <w:pStyle w:val="Indenta"/>
      </w:pPr>
      <w:r>
        <w:tab/>
        <w:t>(b)</w:t>
      </w:r>
      <w:r>
        <w:tab/>
        <w:t>not over 1.5 m above ground level.</w:t>
      </w:r>
    </w:p>
    <w:p w:rsidR="006724FB" w:rsidRDefault="006724FB">
      <w:pPr>
        <w:pStyle w:val="Subsection"/>
      </w:pPr>
      <w:r>
        <w:tab/>
        <w:t>(4)</w:t>
      </w:r>
      <w:r>
        <w:tab/>
        <w:t>A reflector fitted to a motor vehicle with 4 or more wheels or to a trailer must not be over 400 mm from the nearer side of the vehicle.</w:t>
      </w:r>
    </w:p>
    <w:p w:rsidR="006724FB" w:rsidRDefault="006724FB">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rsidR="006724FB" w:rsidRDefault="006724FB">
      <w:pPr>
        <w:pStyle w:val="Heading4"/>
      </w:pPr>
      <w:bookmarkStart w:id="585" w:name="_Toc75419987"/>
      <w:bookmarkStart w:id="586" w:name="_Toc75427323"/>
      <w:bookmarkStart w:id="587" w:name="_Toc75872739"/>
      <w:bookmarkStart w:id="588" w:name="_Toc75875911"/>
      <w:r>
        <w:t>Subdivision 16 — Side reflectors</w:t>
      </w:r>
      <w:bookmarkEnd w:id="585"/>
      <w:bookmarkEnd w:id="586"/>
      <w:bookmarkEnd w:id="587"/>
      <w:bookmarkEnd w:id="588"/>
    </w:p>
    <w:p w:rsidR="006724FB" w:rsidRDefault="006724FB">
      <w:pPr>
        <w:pStyle w:val="Heading5"/>
        <w:keepNext w:val="0"/>
        <w:keepLines w:val="0"/>
        <w:spacing w:before="120"/>
      </w:pPr>
      <w:bookmarkStart w:id="589" w:name="_Toc75875912"/>
      <w:r>
        <w:rPr>
          <w:rStyle w:val="CharSectno"/>
        </w:rPr>
        <w:t>319</w:t>
      </w:r>
      <w:r>
        <w:t>.</w:t>
      </w:r>
      <w:r>
        <w:tab/>
        <w:t>Compulsory and optional side reflectors on pole</w:t>
      </w:r>
      <w:r>
        <w:noBreakHyphen/>
        <w:t>type trailers</w:t>
      </w:r>
      <w:bookmarkEnd w:id="589"/>
    </w:p>
    <w:p w:rsidR="006724FB" w:rsidRDefault="006724FB">
      <w:pPr>
        <w:pStyle w:val="Subsection"/>
      </w:pPr>
      <w:r>
        <w:tab/>
        <w:t>(1)</w:t>
      </w:r>
      <w:r>
        <w:tab/>
        <w:t>Yellow or red side</w:t>
      </w:r>
      <w:r>
        <w:noBreakHyphen/>
        <w:t>facing reflectors must be fitted to the pole of a pole</w:t>
      </w:r>
      <w:r>
        <w:noBreakHyphen/>
        <w:t xml:space="preserve">type trailer so — </w:t>
      </w:r>
    </w:p>
    <w:p w:rsidR="006724FB" w:rsidRDefault="006724FB">
      <w:pPr>
        <w:pStyle w:val="Indenta"/>
      </w:pPr>
      <w:r>
        <w:tab/>
        <w:t>(a)</w:t>
      </w:r>
      <w:r>
        <w:tab/>
        <w:t>one reflector is fitted to the middle third of the left and right faces of the pole; and</w:t>
      </w:r>
    </w:p>
    <w:p w:rsidR="006724FB" w:rsidRDefault="006724FB">
      <w:pPr>
        <w:pStyle w:val="Indenta"/>
      </w:pPr>
      <w:r>
        <w:tab/>
        <w:t>(b)</w:t>
      </w:r>
      <w:r>
        <w:tab/>
        <w:t>the front reflector is not over 3 m from the front of the trailer; and</w:t>
      </w:r>
    </w:p>
    <w:p w:rsidR="006724FB" w:rsidRDefault="006724FB">
      <w:pPr>
        <w:pStyle w:val="Indenta"/>
      </w:pPr>
      <w:r>
        <w:tab/>
        <w:t>(c)</w:t>
      </w:r>
      <w:r>
        <w:tab/>
        <w:t>the other reflectors are not over 3 m apart.</w:t>
      </w:r>
    </w:p>
    <w:p w:rsidR="006724FB" w:rsidRDefault="006724FB">
      <w:pPr>
        <w:pStyle w:val="Subsection"/>
      </w:pPr>
      <w:r>
        <w:tab/>
        <w:t>(2)</w:t>
      </w:r>
      <w:r>
        <w:tab/>
        <w:t>Additional side</w:t>
      </w:r>
      <w:r>
        <w:noBreakHyphen/>
        <w:t>facing reflectors may be fitted to a pole</w:t>
      </w:r>
      <w:r>
        <w:noBreakHyphen/>
        <w:t>type trailer in accordance with regulation 320.</w:t>
      </w:r>
    </w:p>
    <w:p w:rsidR="006724FB" w:rsidRDefault="006724FB">
      <w:pPr>
        <w:pStyle w:val="Heading5"/>
        <w:keepNext w:val="0"/>
        <w:keepLines w:val="0"/>
      </w:pPr>
      <w:bookmarkStart w:id="590" w:name="_Toc75875913"/>
      <w:r>
        <w:rPr>
          <w:rStyle w:val="CharSectno"/>
        </w:rPr>
        <w:lastRenderedPageBreak/>
        <w:t>320</w:t>
      </w:r>
      <w:r>
        <w:t>.</w:t>
      </w:r>
      <w:r>
        <w:tab/>
        <w:t>Optional side reflectors</w:t>
      </w:r>
      <w:bookmarkEnd w:id="590"/>
    </w:p>
    <w:p w:rsidR="006724FB" w:rsidRDefault="006724FB">
      <w:pPr>
        <w:pStyle w:val="Subsection"/>
      </w:pPr>
      <w:r>
        <w:tab/>
        <w:t>(1)</w:t>
      </w:r>
      <w:r>
        <w:tab/>
        <w:t>A motor vehicle, trailer or any vehicle in a combination may be fitted with side</w:t>
      </w:r>
      <w:r>
        <w:noBreakHyphen/>
        <w:t>facing reflectors.</w:t>
      </w:r>
    </w:p>
    <w:p w:rsidR="006724FB" w:rsidRDefault="006724FB">
      <w:pPr>
        <w:pStyle w:val="Subsection"/>
      </w:pPr>
      <w:r>
        <w:tab/>
        <w:t>(2)</w:t>
      </w:r>
      <w:r>
        <w:tab/>
        <w:t>A side</w:t>
      </w:r>
      <w:r>
        <w:noBreakHyphen/>
        <w:t xml:space="preserve">facing reflector — </w:t>
      </w:r>
    </w:p>
    <w:p w:rsidR="006724FB" w:rsidRDefault="006724FB">
      <w:pPr>
        <w:pStyle w:val="Indenta"/>
      </w:pPr>
      <w:r>
        <w:tab/>
        <w:t>(a)</w:t>
      </w:r>
      <w:r>
        <w:tab/>
        <w:t>towards the front of the vehicle must be yellow or white; and</w:t>
      </w:r>
    </w:p>
    <w:p w:rsidR="006724FB" w:rsidRDefault="006724FB">
      <w:pPr>
        <w:pStyle w:val="Indenta"/>
      </w:pPr>
      <w:r>
        <w:tab/>
        <w:t>(b)</w:t>
      </w:r>
      <w:r>
        <w:tab/>
        <w:t>towards the rear of the vehicle must be yellow or red; and</w:t>
      </w:r>
    </w:p>
    <w:p w:rsidR="006724FB" w:rsidRDefault="006724FB">
      <w:pPr>
        <w:pStyle w:val="Indenta"/>
      </w:pPr>
      <w:r>
        <w:tab/>
        <w:t>(c)</w:t>
      </w:r>
      <w:r>
        <w:tab/>
        <w:t>on the central part of the vehicle must be yellow.</w:t>
      </w:r>
    </w:p>
    <w:p w:rsidR="006724FB" w:rsidRDefault="006724FB">
      <w:pPr>
        <w:pStyle w:val="Heading4"/>
        <w:keepNext w:val="0"/>
        <w:widowControl w:val="0"/>
      </w:pPr>
      <w:bookmarkStart w:id="591" w:name="_Toc75419990"/>
      <w:bookmarkStart w:id="592" w:name="_Toc75427326"/>
      <w:bookmarkStart w:id="593" w:name="_Toc75872742"/>
      <w:bookmarkStart w:id="594" w:name="_Toc75875914"/>
      <w:r>
        <w:t>Subdivision 17 — Front reflectors</w:t>
      </w:r>
      <w:bookmarkEnd w:id="591"/>
      <w:bookmarkEnd w:id="592"/>
      <w:bookmarkEnd w:id="593"/>
      <w:bookmarkEnd w:id="594"/>
    </w:p>
    <w:p w:rsidR="006724FB" w:rsidRDefault="006724FB">
      <w:pPr>
        <w:pStyle w:val="Heading5"/>
        <w:keepNext w:val="0"/>
        <w:keepLines w:val="0"/>
      </w:pPr>
      <w:bookmarkStart w:id="595" w:name="_Toc75875915"/>
      <w:r>
        <w:rPr>
          <w:rStyle w:val="CharSectno"/>
        </w:rPr>
        <w:t>321</w:t>
      </w:r>
      <w:r>
        <w:t>.</w:t>
      </w:r>
      <w:r>
        <w:tab/>
        <w:t>Compulsory and optional front reflectors on trailers</w:t>
      </w:r>
      <w:bookmarkEnd w:id="595"/>
    </w:p>
    <w:p w:rsidR="006724FB" w:rsidRDefault="006724FB">
      <w:pPr>
        <w:pStyle w:val="Subsection"/>
      </w:pPr>
      <w:r>
        <w:tab/>
        <w:t>(1)</w:t>
      </w:r>
      <w:r>
        <w:tab/>
        <w:t>A front</w:t>
      </w:r>
      <w:r>
        <w:noBreakHyphen/>
        <w:t xml:space="preserve">facing white or yellow reflector must be fitted towards each side of the front of — </w:t>
      </w:r>
    </w:p>
    <w:p w:rsidR="006724FB" w:rsidRDefault="006724FB">
      <w:pPr>
        <w:pStyle w:val="Indenta"/>
      </w:pPr>
      <w:r>
        <w:tab/>
        <w:t>(a)</w:t>
      </w:r>
      <w:r>
        <w:tab/>
        <w:t>a semi</w:t>
      </w:r>
      <w:r>
        <w:noBreakHyphen/>
        <w:t>trailer, except a pole</w:t>
      </w:r>
      <w:r>
        <w:noBreakHyphen/>
        <w:t>type trailer; and</w:t>
      </w:r>
    </w:p>
    <w:p w:rsidR="006724FB" w:rsidRDefault="006724FB">
      <w:pPr>
        <w:pStyle w:val="Indenta"/>
      </w:pPr>
      <w:r>
        <w:tab/>
        <w:t>(b)</w:t>
      </w:r>
      <w:r>
        <w:tab/>
        <w:t>the front cross</w:t>
      </w:r>
      <w:r>
        <w:noBreakHyphen/>
        <w:t>bar or bolster of a pole</w:t>
      </w:r>
      <w:r>
        <w:noBreakHyphen/>
        <w:t>type trailer; and</w:t>
      </w:r>
    </w:p>
    <w:p w:rsidR="006724FB" w:rsidRDefault="006724FB">
      <w:pPr>
        <w:pStyle w:val="Indenta"/>
      </w:pPr>
      <w:r>
        <w:tab/>
        <w:t>(c)</w:t>
      </w:r>
      <w:r>
        <w:tab/>
        <w:t>a trailer that is at least 2.2 m wide.</w:t>
      </w:r>
    </w:p>
    <w:p w:rsidR="006724FB" w:rsidRDefault="006724FB">
      <w:pPr>
        <w:pStyle w:val="Subsection"/>
      </w:pPr>
      <w:r>
        <w:tab/>
        <w:t>(2)</w:t>
      </w:r>
      <w:r>
        <w:tab/>
        <w:t xml:space="preserve">Each reflector required by subregulation (1) must have its centre — </w:t>
      </w:r>
    </w:p>
    <w:p w:rsidR="006724FB" w:rsidRDefault="006724FB">
      <w:pPr>
        <w:pStyle w:val="Indenta"/>
      </w:pPr>
      <w:r>
        <w:tab/>
        <w:t>(a)</w:t>
      </w:r>
      <w:r>
        <w:tab/>
        <w:t>at the same height above ground level; and</w:t>
      </w:r>
    </w:p>
    <w:p w:rsidR="006724FB" w:rsidRDefault="006724FB">
      <w:pPr>
        <w:pStyle w:val="Indenta"/>
      </w:pPr>
      <w:r>
        <w:tab/>
        <w:t>(b)</w:t>
      </w:r>
      <w:r>
        <w:tab/>
        <w:t>not over 1.5 m above ground level; and</w:t>
      </w:r>
    </w:p>
    <w:p w:rsidR="006724FB" w:rsidRDefault="006724FB">
      <w:pPr>
        <w:pStyle w:val="Indenta"/>
      </w:pPr>
      <w:r>
        <w:tab/>
        <w:t>(c)</w:t>
      </w:r>
      <w:r>
        <w:tab/>
        <w:t>not over 400 mm from the nearer side of the vehicle.</w:t>
      </w:r>
    </w:p>
    <w:p w:rsidR="006724FB" w:rsidRDefault="006724FB">
      <w:pPr>
        <w:pStyle w:val="Subsection"/>
      </w:pPr>
      <w:r>
        <w:tab/>
        <w:t>(3)</w:t>
      </w:r>
      <w:r>
        <w:tab/>
        <w:t>Additional front</w:t>
      </w:r>
      <w:r>
        <w:noBreakHyphen/>
        <w:t>facing reflectors may be fitted to a trailer mentioned in subregulation (1) in accordance with regulation 322.</w:t>
      </w:r>
    </w:p>
    <w:p w:rsidR="006724FB" w:rsidRDefault="006724FB">
      <w:pPr>
        <w:pStyle w:val="Heading5"/>
        <w:keepNext w:val="0"/>
        <w:keepLines w:val="0"/>
      </w:pPr>
      <w:bookmarkStart w:id="596" w:name="_Toc75875916"/>
      <w:r>
        <w:rPr>
          <w:rStyle w:val="CharSectno"/>
        </w:rPr>
        <w:t>322</w:t>
      </w:r>
      <w:r>
        <w:t>.</w:t>
      </w:r>
      <w:r>
        <w:tab/>
        <w:t>Optional front reflectors for various vehicles</w:t>
      </w:r>
      <w:bookmarkEnd w:id="596"/>
    </w:p>
    <w:p w:rsidR="006724FB" w:rsidRDefault="006724FB">
      <w:pPr>
        <w:pStyle w:val="Subsection"/>
      </w:pPr>
      <w:r>
        <w:tab/>
        <w:t>(1)</w:t>
      </w:r>
      <w:r>
        <w:tab/>
        <w:t>A motor vehicle with 4 or more wheels or a trailer may have one or more front</w:t>
      </w:r>
      <w:r>
        <w:noBreakHyphen/>
        <w:t>facing white or yellow reflectors fitted towards each side of its front.</w:t>
      </w:r>
    </w:p>
    <w:p w:rsidR="006724FB" w:rsidRDefault="006724FB">
      <w:pPr>
        <w:pStyle w:val="Subsection"/>
      </w:pPr>
      <w:r>
        <w:lastRenderedPageBreak/>
        <w:tab/>
        <w:t>(2)</w:t>
      </w:r>
      <w:r>
        <w:tab/>
        <w:t>A motor vehicle with 3 wheels or fewer may have one or more front</w:t>
      </w:r>
      <w:r>
        <w:noBreakHyphen/>
        <w:t>facing white or yellow reflectors.</w:t>
      </w:r>
    </w:p>
    <w:p w:rsidR="006724FB" w:rsidRDefault="006724FB">
      <w:pPr>
        <w:pStyle w:val="Subsection"/>
      </w:pPr>
      <w:r>
        <w:tab/>
        <w:t>(3)</w:t>
      </w:r>
      <w:r>
        <w:tab/>
        <w:t xml:space="preserve">The centre of at least one reflector permitted by this regulation on each side of the front of the vehicle must be — </w:t>
      </w:r>
    </w:p>
    <w:p w:rsidR="006724FB" w:rsidRDefault="006724FB">
      <w:pPr>
        <w:pStyle w:val="Indenta"/>
      </w:pPr>
      <w:r>
        <w:tab/>
        <w:t>(a)</w:t>
      </w:r>
      <w:r>
        <w:tab/>
        <w:t>at the same height above ground level as the centre of the other reflector; and</w:t>
      </w:r>
    </w:p>
    <w:p w:rsidR="006724FB" w:rsidRDefault="006724FB">
      <w:pPr>
        <w:pStyle w:val="Indenta"/>
      </w:pPr>
      <w:r>
        <w:tab/>
        <w:t>(b)</w:t>
      </w:r>
      <w:r>
        <w:tab/>
        <w:t>the same distance from the longitudinal axis of the vehicle as the centre of the other reflector; and</w:t>
      </w:r>
    </w:p>
    <w:p w:rsidR="006724FB" w:rsidRDefault="006724FB">
      <w:pPr>
        <w:pStyle w:val="Indenta"/>
      </w:pPr>
      <w:r>
        <w:tab/>
        <w:t>(c)</w:t>
      </w:r>
      <w:r>
        <w:tab/>
        <w:t xml:space="preserve">at least — </w:t>
      </w:r>
    </w:p>
    <w:p w:rsidR="006724FB" w:rsidRDefault="006724FB">
      <w:pPr>
        <w:pStyle w:val="Indenti"/>
      </w:pPr>
      <w:r>
        <w:tab/>
        <w:t>(i)</w:t>
      </w:r>
      <w:r>
        <w:tab/>
        <w:t>for a vehicle with a width under 1 300 mm — 400 mm from the centre of the other reflector; and</w:t>
      </w:r>
    </w:p>
    <w:p w:rsidR="006724FB" w:rsidRDefault="006724FB">
      <w:pPr>
        <w:pStyle w:val="Indenti"/>
      </w:pPr>
      <w:r>
        <w:tab/>
        <w:t>(ii)</w:t>
      </w:r>
      <w:r>
        <w:tab/>
        <w:t>for another vehicle — 600 mm from the centre of the other reflector.</w:t>
      </w:r>
    </w:p>
    <w:p w:rsidR="006724FB" w:rsidRDefault="006724FB">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rsidR="006724FB" w:rsidRDefault="006724FB">
      <w:pPr>
        <w:pStyle w:val="Heading4"/>
      </w:pPr>
      <w:bookmarkStart w:id="597" w:name="_Toc75419993"/>
      <w:bookmarkStart w:id="598" w:name="_Toc75427329"/>
      <w:bookmarkStart w:id="599" w:name="_Toc75872745"/>
      <w:bookmarkStart w:id="600" w:name="_Toc75875917"/>
      <w:r>
        <w:t>Subdivision 18 — Warning lights and signs on buses carrying children</w:t>
      </w:r>
      <w:bookmarkEnd w:id="597"/>
      <w:bookmarkEnd w:id="598"/>
      <w:bookmarkEnd w:id="599"/>
      <w:bookmarkEnd w:id="600"/>
    </w:p>
    <w:p w:rsidR="006724FB" w:rsidRDefault="006724FB">
      <w:pPr>
        <w:pStyle w:val="Heading5"/>
        <w:keepLines w:val="0"/>
        <w:spacing w:before="180"/>
      </w:pPr>
      <w:bookmarkStart w:id="601" w:name="_Toc75875918"/>
      <w:r>
        <w:rPr>
          <w:rStyle w:val="CharSectno"/>
        </w:rPr>
        <w:t>323</w:t>
      </w:r>
      <w:r>
        <w:t>.</w:t>
      </w:r>
      <w:r>
        <w:tab/>
        <w:t>Term used: bus</w:t>
      </w:r>
      <w:bookmarkEnd w:id="601"/>
    </w:p>
    <w:p w:rsidR="006724FB" w:rsidRDefault="006724FB">
      <w:pPr>
        <w:pStyle w:val="Subsection"/>
        <w:keepNext/>
      </w:pPr>
      <w:r>
        <w:tab/>
      </w:r>
      <w:r>
        <w:tab/>
        <w:t xml:space="preserve">In this Subdivision — </w:t>
      </w:r>
    </w:p>
    <w:p w:rsidR="006724FB" w:rsidRDefault="006724FB">
      <w:pPr>
        <w:pStyle w:val="Defstart"/>
      </w:pPr>
      <w:r>
        <w:tab/>
      </w:r>
      <w:r>
        <w:rPr>
          <w:rStyle w:val="CharDefText"/>
        </w:rPr>
        <w:t>bus</w:t>
      </w:r>
      <w:r>
        <w:t xml:space="preserve"> means a bus that — </w:t>
      </w:r>
    </w:p>
    <w:p w:rsidR="006724FB" w:rsidRDefault="006724FB">
      <w:pPr>
        <w:pStyle w:val="Defpara"/>
      </w:pPr>
      <w:r>
        <w:tab/>
        <w:t>(a)</w:t>
      </w:r>
      <w:r>
        <w:tab/>
        <w:t>is used mainly for carrying children; and</w:t>
      </w:r>
    </w:p>
    <w:p w:rsidR="006724FB" w:rsidRDefault="006724FB">
      <w:pPr>
        <w:pStyle w:val="Defpara"/>
      </w:pPr>
      <w:r>
        <w:tab/>
        <w:t>(b)</w:t>
      </w:r>
      <w:r>
        <w:tab/>
        <w:t>was fitted with warning lights after June 1999.</w:t>
      </w:r>
    </w:p>
    <w:p w:rsidR="006724FB" w:rsidRDefault="006724FB">
      <w:pPr>
        <w:pStyle w:val="Heading5"/>
        <w:keepNext w:val="0"/>
        <w:keepLines w:val="0"/>
        <w:spacing w:before="180"/>
      </w:pPr>
      <w:bookmarkStart w:id="602" w:name="_Toc75875919"/>
      <w:r>
        <w:rPr>
          <w:rStyle w:val="CharSectno"/>
        </w:rPr>
        <w:t>324</w:t>
      </w:r>
      <w:r>
        <w:t>.</w:t>
      </w:r>
      <w:r>
        <w:tab/>
        <w:t>Fitting of warning lights and signs</w:t>
      </w:r>
      <w:bookmarkEnd w:id="602"/>
    </w:p>
    <w:p w:rsidR="006724FB" w:rsidRDefault="006724FB">
      <w:pPr>
        <w:pStyle w:val="Subsection"/>
      </w:pPr>
      <w:r>
        <w:tab/>
        <w:t>(1)</w:t>
      </w:r>
      <w:r>
        <w:tab/>
        <w:t>Two warning lights and a warning sign must be fitted to the front and rear of a bus.</w:t>
      </w:r>
    </w:p>
    <w:p w:rsidR="006724FB" w:rsidRDefault="006724FB">
      <w:pPr>
        <w:pStyle w:val="Subsection"/>
        <w:keepNext/>
      </w:pPr>
      <w:r>
        <w:lastRenderedPageBreak/>
        <w:tab/>
        <w:t>(2)</w:t>
      </w:r>
      <w:r>
        <w:tab/>
        <w:t xml:space="preserve">The warning lights must be fitted — </w:t>
      </w:r>
    </w:p>
    <w:p w:rsidR="006724FB" w:rsidRDefault="006724FB">
      <w:pPr>
        <w:pStyle w:val="Indenta"/>
      </w:pPr>
      <w:r>
        <w:tab/>
        <w:t>(a)</w:t>
      </w:r>
      <w:r>
        <w:tab/>
        <w:t>on each side of, and the same distance from, the centre of the warning sign; and</w:t>
      </w:r>
    </w:p>
    <w:p w:rsidR="006724FB" w:rsidRDefault="006724FB">
      <w:pPr>
        <w:pStyle w:val="Indenta"/>
      </w:pPr>
      <w:r>
        <w:tab/>
        <w:t>(b)</w:t>
      </w:r>
      <w:r>
        <w:tab/>
        <w:t>with the edge of the warning sign not over 100 mm from the nearest point on the lens of the warning lights; and</w:t>
      </w:r>
    </w:p>
    <w:p w:rsidR="006724FB" w:rsidRDefault="006724FB">
      <w:pPr>
        <w:pStyle w:val="Indenta"/>
      </w:pPr>
      <w:r>
        <w:tab/>
        <w:t>(c)</w:t>
      </w:r>
      <w:r>
        <w:tab/>
        <w:t>with the distance between the warning lights at least 300 mm at the nearest point; and</w:t>
      </w:r>
    </w:p>
    <w:p w:rsidR="006724FB" w:rsidRDefault="006724FB">
      <w:pPr>
        <w:pStyle w:val="Indenta"/>
        <w:keepNext/>
      </w:pPr>
      <w:r>
        <w:tab/>
        <w:t>(d)</w:t>
      </w:r>
      <w:r>
        <w:tab/>
        <w:t xml:space="preserve">so no part of the bus obstructs the light displayed — </w:t>
      </w:r>
    </w:p>
    <w:p w:rsidR="006724FB" w:rsidRDefault="006724FB">
      <w:pPr>
        <w:pStyle w:val="Indenti"/>
      </w:pPr>
      <w:r>
        <w:tab/>
        <w:t>(i)</w:t>
      </w:r>
      <w:r>
        <w:tab/>
        <w:t>30º to the left and right of the centre of each light; and</w:t>
      </w:r>
    </w:p>
    <w:p w:rsidR="006724FB" w:rsidRDefault="006724FB">
      <w:pPr>
        <w:pStyle w:val="Indenti"/>
      </w:pPr>
      <w:r>
        <w:tab/>
        <w:t>(ii)</w:t>
      </w:r>
      <w:r>
        <w:tab/>
        <w:t>10º above and below the centre of each light.</w:t>
      </w:r>
    </w:p>
    <w:p w:rsidR="006724FB" w:rsidRDefault="006724FB">
      <w:pPr>
        <w:pStyle w:val="Subsection"/>
      </w:pPr>
      <w:r>
        <w:tab/>
        <w:t>(3)</w:t>
      </w:r>
      <w:r>
        <w:tab/>
        <w:t>The warning lights may be on the warning sign if the words or image on the sign are not obscured.</w:t>
      </w:r>
    </w:p>
    <w:p w:rsidR="006724FB" w:rsidRDefault="006724FB">
      <w:pPr>
        <w:pStyle w:val="Subsection"/>
      </w:pPr>
      <w:r>
        <w:tab/>
        <w:t>(4)</w:t>
      </w:r>
      <w:r>
        <w:tab/>
        <w:t xml:space="preserve">The warning lights at the same end of the bus must be fitted — </w:t>
      </w:r>
    </w:p>
    <w:p w:rsidR="006724FB" w:rsidRDefault="006724FB">
      <w:pPr>
        <w:pStyle w:val="Indenta"/>
      </w:pPr>
      <w:r>
        <w:tab/>
        <w:t>(a)</w:t>
      </w:r>
      <w:r>
        <w:tab/>
        <w:t>at the same height; and</w:t>
      </w:r>
    </w:p>
    <w:p w:rsidR="006724FB" w:rsidRDefault="006724FB">
      <w:pPr>
        <w:pStyle w:val="Indenta"/>
      </w:pPr>
      <w:r>
        <w:tab/>
        <w:t>(b)</w:t>
      </w:r>
      <w:r>
        <w:tab/>
        <w:t>as high as practicable; and</w:t>
      </w:r>
    </w:p>
    <w:p w:rsidR="006724FB" w:rsidRDefault="006724FB">
      <w:pPr>
        <w:pStyle w:val="Indenta"/>
      </w:pPr>
      <w:r>
        <w:tab/>
        <w:t>(c)</w:t>
      </w:r>
      <w:r>
        <w:tab/>
        <w:t>with the lowest point on the lens of each light not lower than midway between the highest and lowest points on the bus body.</w:t>
      </w:r>
    </w:p>
    <w:p w:rsidR="006724FB" w:rsidRDefault="006724FB">
      <w:pPr>
        <w:pStyle w:val="Subsection"/>
      </w:pPr>
      <w:r>
        <w:tab/>
        <w:t>(5)</w:t>
      </w:r>
      <w:r>
        <w:tab/>
        <w:t>If the centres of the warning lights are under 1.8 m above ground level, no part of the warning lights or warning sign may be on the left of the bus.</w:t>
      </w:r>
    </w:p>
    <w:p w:rsidR="006724FB" w:rsidRDefault="006724FB">
      <w:pPr>
        <w:pStyle w:val="Subsection"/>
      </w:pPr>
      <w:r>
        <w:tab/>
        <w:t>(6)</w:t>
      </w:r>
      <w:r>
        <w:tab/>
        <w:t>This regulation applies to a bus despite any requirement of a third edition ADR.</w:t>
      </w:r>
    </w:p>
    <w:p w:rsidR="006724FB" w:rsidRDefault="006724FB">
      <w:pPr>
        <w:pStyle w:val="Heading5"/>
      </w:pPr>
      <w:bookmarkStart w:id="603" w:name="_Toc75875920"/>
      <w:r>
        <w:rPr>
          <w:rStyle w:val="CharSectno"/>
        </w:rPr>
        <w:t>325</w:t>
      </w:r>
      <w:r>
        <w:t>.</w:t>
      </w:r>
      <w:r>
        <w:tab/>
        <w:t>Operation and performance of warning lights</w:t>
      </w:r>
      <w:bookmarkEnd w:id="603"/>
    </w:p>
    <w:p w:rsidR="006724FB" w:rsidRDefault="006724FB">
      <w:pPr>
        <w:pStyle w:val="Subsection"/>
      </w:pPr>
      <w:r>
        <w:tab/>
        <w:t>(1)</w:t>
      </w:r>
      <w:r>
        <w:tab/>
        <w:t>When operating, a bus’s warning light must display regular flashes of yellow light at a rate of at least 90, and not over 180, flashes a minute.</w:t>
      </w:r>
    </w:p>
    <w:p w:rsidR="006724FB" w:rsidRDefault="006724FB">
      <w:pPr>
        <w:pStyle w:val="Subsection"/>
      </w:pPr>
      <w:r>
        <w:tab/>
        <w:t>(2)</w:t>
      </w:r>
      <w:r>
        <w:tab/>
        <w:t>The warning lights at the same end of a bus must flash alternately.</w:t>
      </w:r>
    </w:p>
    <w:p w:rsidR="006724FB" w:rsidRDefault="006724FB">
      <w:pPr>
        <w:pStyle w:val="Subsection"/>
      </w:pPr>
      <w:r>
        <w:lastRenderedPageBreak/>
        <w:tab/>
        <w:t>(3)</w:t>
      </w:r>
      <w:r>
        <w:tab/>
        <w:t>A bus’s warning lights must operate automatically when a door on the bus opens and for at least 10, and not over 20, seconds after all the doors on the bus have closed, unless the driver has turned the warning lights off.</w:t>
      </w:r>
    </w:p>
    <w:p w:rsidR="006724FB" w:rsidRDefault="006724FB">
      <w:pPr>
        <w:pStyle w:val="Subsection"/>
      </w:pPr>
      <w:r>
        <w:tab/>
        <w:t>(4)</w:t>
      </w:r>
      <w:r>
        <w:tab/>
        <w:t>A bus must have a visible or audible signal that tells the driver when the warning lights are operating.</w:t>
      </w:r>
    </w:p>
    <w:p w:rsidR="006724FB" w:rsidRDefault="006724FB">
      <w:pPr>
        <w:pStyle w:val="Subsection"/>
      </w:pPr>
      <w:r>
        <w:tab/>
        <w:t>(5)</w:t>
      </w:r>
      <w:r>
        <w:tab/>
        <w:t>A bus must be fitted with a switch that allows the driver to turn the warning lights off.</w:t>
      </w:r>
    </w:p>
    <w:p w:rsidR="006724FB" w:rsidRDefault="006724FB">
      <w:pPr>
        <w:pStyle w:val="Subsection"/>
      </w:pPr>
      <w:r>
        <w:tab/>
        <w:t>(6)</w:t>
      </w:r>
      <w:r>
        <w:tab/>
        <w:t xml:space="preserve">A warning light must have — </w:t>
      </w:r>
    </w:p>
    <w:p w:rsidR="006724FB" w:rsidRDefault="006724FB">
      <w:pPr>
        <w:pStyle w:val="Indenta"/>
      </w:pPr>
      <w:r>
        <w:tab/>
        <w:t>(a)</w:t>
      </w:r>
      <w:r>
        <w:tab/>
        <w:t>an effective lit lens area of at least 60 cm</w:t>
      </w:r>
      <w:r>
        <w:rPr>
          <w:vertAlign w:val="superscript"/>
        </w:rPr>
        <w:t>2</w:t>
      </w:r>
      <w:r>
        <w:t>; and</w:t>
      </w:r>
    </w:p>
    <w:p w:rsidR="006724FB" w:rsidRDefault="006724FB">
      <w:pPr>
        <w:pStyle w:val="Indenta"/>
      </w:pPr>
      <w:r>
        <w:tab/>
        <w:t>(b)</w:t>
      </w:r>
      <w:r>
        <w:tab/>
        <w:t>a luminous intensity (in candela) of at least the values mentioned in the Table when measured at the angles mentioned in the Table.</w:t>
      </w:r>
    </w:p>
    <w:p w:rsidR="006724FB" w:rsidRDefault="006724FB">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rsidR="006724FB">
        <w:trPr>
          <w:cantSplit/>
          <w:tblHeader/>
        </w:trPr>
        <w:tc>
          <w:tcPr>
            <w:tcW w:w="1126" w:type="dxa"/>
            <w:gridSpan w:val="2"/>
            <w:tcBorders>
              <w:top w:val="single" w:sz="4" w:space="0" w:color="auto"/>
              <w:bottom w:val="single" w:sz="4" w:space="0" w:color="auto"/>
            </w:tcBorders>
          </w:tcPr>
          <w:p w:rsidR="006724FB" w:rsidRDefault="006724FB">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rsidR="006724FB" w:rsidRDefault="006724FB">
            <w:pPr>
              <w:pStyle w:val="TableNAm"/>
              <w:jc w:val="center"/>
              <w:rPr>
                <w:b/>
              </w:rPr>
            </w:pPr>
            <w:r>
              <w:rPr>
                <w:b/>
              </w:rPr>
              <w:t>Horizontal angle from centre of light</w:t>
            </w:r>
          </w:p>
        </w:tc>
      </w:tr>
      <w:tr w:rsidR="006724FB">
        <w:trPr>
          <w:cantSplit/>
        </w:trPr>
        <w:tc>
          <w:tcPr>
            <w:tcW w:w="984" w:type="dxa"/>
          </w:tcPr>
          <w:p w:rsidR="006724FB" w:rsidRDefault="006724FB">
            <w:pPr>
              <w:pStyle w:val="TableNAm"/>
              <w:jc w:val="right"/>
              <w:rPr>
                <w:b/>
              </w:rPr>
            </w:pPr>
          </w:p>
        </w:tc>
        <w:tc>
          <w:tcPr>
            <w:tcW w:w="567" w:type="dxa"/>
            <w:gridSpan w:val="2"/>
          </w:tcPr>
          <w:p w:rsidR="006724FB" w:rsidRDefault="006724FB">
            <w:pPr>
              <w:pStyle w:val="TableNAm"/>
              <w:jc w:val="right"/>
              <w:rPr>
                <w:b/>
              </w:rPr>
            </w:pPr>
            <w:r>
              <w:rPr>
                <w:b/>
              </w:rPr>
              <w:noBreakHyphen/>
              <w:t>30</w:t>
            </w:r>
            <w:r>
              <w:rPr>
                <w:b/>
              </w:rPr>
              <w:sym w:font="Symbol" w:char="F0B0"/>
            </w:r>
          </w:p>
        </w:tc>
        <w:tc>
          <w:tcPr>
            <w:tcW w:w="567" w:type="dxa"/>
          </w:tcPr>
          <w:p w:rsidR="006724FB" w:rsidRDefault="006724FB">
            <w:pPr>
              <w:pStyle w:val="TableNAm"/>
              <w:jc w:val="right"/>
              <w:rPr>
                <w:b/>
              </w:rPr>
            </w:pPr>
            <w:r>
              <w:rPr>
                <w:b/>
              </w:rPr>
              <w:noBreakHyphen/>
              <w:t>20</w:t>
            </w:r>
            <w:r>
              <w:rPr>
                <w:b/>
              </w:rPr>
              <w:sym w:font="Symbol" w:char="F0B0"/>
            </w:r>
          </w:p>
        </w:tc>
        <w:tc>
          <w:tcPr>
            <w:tcW w:w="567" w:type="dxa"/>
          </w:tcPr>
          <w:p w:rsidR="006724FB" w:rsidRDefault="006724FB">
            <w:pPr>
              <w:pStyle w:val="TableNAm"/>
              <w:jc w:val="right"/>
              <w:rPr>
                <w:b/>
              </w:rPr>
            </w:pPr>
            <w:r>
              <w:rPr>
                <w:b/>
              </w:rPr>
              <w:noBreakHyphen/>
              <w:t>10</w:t>
            </w:r>
            <w:r>
              <w:rPr>
                <w:b/>
              </w:rPr>
              <w:sym w:font="Symbol" w:char="F0B0"/>
            </w:r>
          </w:p>
        </w:tc>
        <w:tc>
          <w:tcPr>
            <w:tcW w:w="567" w:type="dxa"/>
          </w:tcPr>
          <w:p w:rsidR="006724FB" w:rsidRDefault="006724FB">
            <w:pPr>
              <w:pStyle w:val="TableNAm"/>
              <w:jc w:val="right"/>
              <w:rPr>
                <w:b/>
              </w:rPr>
            </w:pPr>
            <w:r>
              <w:rPr>
                <w:b/>
              </w:rPr>
              <w:noBreakHyphen/>
              <w:t>5</w:t>
            </w:r>
            <w:r>
              <w:rPr>
                <w:b/>
              </w:rPr>
              <w:sym w:font="Symbol" w:char="F0B0"/>
            </w:r>
          </w:p>
        </w:tc>
        <w:tc>
          <w:tcPr>
            <w:tcW w:w="567" w:type="dxa"/>
          </w:tcPr>
          <w:p w:rsidR="006724FB" w:rsidRDefault="006724FB">
            <w:pPr>
              <w:pStyle w:val="TableNAm"/>
              <w:jc w:val="right"/>
              <w:rPr>
                <w:b/>
              </w:rPr>
            </w:pPr>
            <w:r>
              <w:rPr>
                <w:b/>
              </w:rPr>
              <w:t>0</w:t>
            </w:r>
            <w:r>
              <w:rPr>
                <w:b/>
              </w:rPr>
              <w:sym w:font="Symbol" w:char="F0B0"/>
            </w:r>
          </w:p>
        </w:tc>
        <w:tc>
          <w:tcPr>
            <w:tcW w:w="567" w:type="dxa"/>
          </w:tcPr>
          <w:p w:rsidR="006724FB" w:rsidRDefault="006724FB">
            <w:pPr>
              <w:pStyle w:val="TableNAm"/>
              <w:jc w:val="right"/>
              <w:rPr>
                <w:b/>
              </w:rPr>
            </w:pPr>
            <w:r>
              <w:rPr>
                <w:b/>
              </w:rPr>
              <w:t>5</w:t>
            </w:r>
            <w:r>
              <w:rPr>
                <w:b/>
              </w:rPr>
              <w:sym w:font="Symbol" w:char="F0B0"/>
            </w:r>
          </w:p>
        </w:tc>
        <w:tc>
          <w:tcPr>
            <w:tcW w:w="567" w:type="dxa"/>
          </w:tcPr>
          <w:p w:rsidR="006724FB" w:rsidRDefault="006724FB">
            <w:pPr>
              <w:pStyle w:val="TableNAm"/>
              <w:jc w:val="right"/>
              <w:rPr>
                <w:b/>
              </w:rPr>
            </w:pPr>
            <w:r>
              <w:rPr>
                <w:b/>
              </w:rPr>
              <w:t>10</w:t>
            </w:r>
            <w:r>
              <w:rPr>
                <w:b/>
              </w:rPr>
              <w:sym w:font="Symbol" w:char="F0B0"/>
            </w:r>
          </w:p>
        </w:tc>
        <w:tc>
          <w:tcPr>
            <w:tcW w:w="567" w:type="dxa"/>
          </w:tcPr>
          <w:p w:rsidR="006724FB" w:rsidRDefault="006724FB">
            <w:pPr>
              <w:pStyle w:val="TableNAm"/>
              <w:jc w:val="right"/>
              <w:rPr>
                <w:b/>
              </w:rPr>
            </w:pPr>
            <w:r>
              <w:rPr>
                <w:b/>
              </w:rPr>
              <w:t>20</w:t>
            </w:r>
            <w:r>
              <w:rPr>
                <w:b/>
              </w:rPr>
              <w:sym w:font="Symbol" w:char="F0B0"/>
            </w:r>
          </w:p>
        </w:tc>
        <w:tc>
          <w:tcPr>
            <w:tcW w:w="548" w:type="dxa"/>
          </w:tcPr>
          <w:p w:rsidR="006724FB" w:rsidRDefault="006724FB">
            <w:pPr>
              <w:pStyle w:val="TableNAm"/>
              <w:jc w:val="right"/>
              <w:rPr>
                <w:b/>
              </w:rPr>
            </w:pPr>
            <w:r>
              <w:rPr>
                <w:b/>
              </w:rPr>
              <w:t>30</w:t>
            </w:r>
            <w:r>
              <w:rPr>
                <w:b/>
              </w:rPr>
              <w:sym w:font="Symbol" w:char="F0B0"/>
            </w:r>
          </w:p>
        </w:tc>
      </w:tr>
      <w:tr w:rsidR="006724FB">
        <w:trPr>
          <w:cantSplit/>
        </w:trPr>
        <w:tc>
          <w:tcPr>
            <w:tcW w:w="984" w:type="dxa"/>
            <w:tcBorders>
              <w:top w:val="dotted" w:sz="4" w:space="0" w:color="C0C0C0"/>
              <w:bottom w:val="dotted" w:sz="4" w:space="0" w:color="C0C0C0"/>
            </w:tcBorders>
          </w:tcPr>
          <w:p w:rsidR="006724FB" w:rsidRDefault="006724FB">
            <w:pPr>
              <w:pStyle w:val="TableNAm"/>
              <w:jc w:val="right"/>
              <w:rPr>
                <w:b/>
              </w:rPr>
            </w:pPr>
            <w:r>
              <w:rPr>
                <w:b/>
              </w:rPr>
              <w:t>10º</w:t>
            </w:r>
          </w:p>
        </w:tc>
        <w:tc>
          <w:tcPr>
            <w:tcW w:w="567" w:type="dxa"/>
            <w:gridSpan w:val="2"/>
            <w:tcBorders>
              <w:top w:val="dotted" w:sz="4" w:space="0" w:color="C0C0C0"/>
              <w:bottom w:val="dotted" w:sz="4" w:space="0" w:color="C0C0C0"/>
            </w:tcBorders>
          </w:tcPr>
          <w:p w:rsidR="006724FB" w:rsidRDefault="006724FB">
            <w:pPr>
              <w:pStyle w:val="TableNAm"/>
              <w:jc w:val="right"/>
            </w:pPr>
          </w:p>
        </w:tc>
        <w:tc>
          <w:tcPr>
            <w:tcW w:w="567" w:type="dxa"/>
            <w:tcBorders>
              <w:top w:val="dotted" w:sz="4" w:space="0" w:color="C0C0C0"/>
              <w:bottom w:val="dotted" w:sz="4" w:space="0" w:color="C0C0C0"/>
            </w:tcBorders>
          </w:tcPr>
          <w:p w:rsidR="006724FB" w:rsidRDefault="006724FB">
            <w:pPr>
              <w:pStyle w:val="TableNAm"/>
              <w:jc w:val="right"/>
            </w:pPr>
          </w:p>
        </w:tc>
        <w:tc>
          <w:tcPr>
            <w:tcW w:w="567" w:type="dxa"/>
            <w:tcBorders>
              <w:top w:val="dotted" w:sz="4" w:space="0" w:color="C0C0C0"/>
              <w:bottom w:val="dotted" w:sz="4" w:space="0" w:color="C0C0C0"/>
            </w:tcBorders>
          </w:tcPr>
          <w:p w:rsidR="006724FB" w:rsidRDefault="006724FB">
            <w:pPr>
              <w:pStyle w:val="TableNAm"/>
              <w:jc w:val="right"/>
            </w:pPr>
          </w:p>
        </w:tc>
        <w:tc>
          <w:tcPr>
            <w:tcW w:w="567" w:type="dxa"/>
            <w:tcBorders>
              <w:top w:val="dotted" w:sz="4" w:space="0" w:color="C0C0C0"/>
              <w:bottom w:val="dotted" w:sz="4" w:space="0" w:color="C0C0C0"/>
            </w:tcBorders>
          </w:tcPr>
          <w:p w:rsidR="006724FB" w:rsidRDefault="006724FB">
            <w:pPr>
              <w:pStyle w:val="TableNAm"/>
              <w:jc w:val="right"/>
            </w:pPr>
            <w:r>
              <w:t>50</w:t>
            </w:r>
          </w:p>
        </w:tc>
        <w:tc>
          <w:tcPr>
            <w:tcW w:w="567" w:type="dxa"/>
            <w:tcBorders>
              <w:top w:val="dotted" w:sz="4" w:space="0" w:color="C0C0C0"/>
              <w:bottom w:val="dotted" w:sz="4" w:space="0" w:color="C0C0C0"/>
            </w:tcBorders>
          </w:tcPr>
          <w:p w:rsidR="006724FB" w:rsidRDefault="006724FB">
            <w:pPr>
              <w:pStyle w:val="TableNAm"/>
              <w:jc w:val="right"/>
            </w:pPr>
            <w:r>
              <w:t>80</w:t>
            </w:r>
          </w:p>
        </w:tc>
        <w:tc>
          <w:tcPr>
            <w:tcW w:w="567" w:type="dxa"/>
            <w:tcBorders>
              <w:top w:val="dotted" w:sz="4" w:space="0" w:color="C0C0C0"/>
              <w:bottom w:val="dotted" w:sz="4" w:space="0" w:color="C0C0C0"/>
            </w:tcBorders>
          </w:tcPr>
          <w:p w:rsidR="006724FB" w:rsidRDefault="006724FB">
            <w:pPr>
              <w:pStyle w:val="TableNAm"/>
              <w:jc w:val="right"/>
            </w:pPr>
            <w:r>
              <w:t>50</w:t>
            </w:r>
          </w:p>
        </w:tc>
        <w:tc>
          <w:tcPr>
            <w:tcW w:w="567" w:type="dxa"/>
            <w:tcBorders>
              <w:top w:val="dotted" w:sz="4" w:space="0" w:color="C0C0C0"/>
              <w:bottom w:val="dotted" w:sz="4" w:space="0" w:color="C0C0C0"/>
            </w:tcBorders>
          </w:tcPr>
          <w:p w:rsidR="006724FB" w:rsidRDefault="006724FB">
            <w:pPr>
              <w:pStyle w:val="TableNAm"/>
              <w:jc w:val="right"/>
            </w:pPr>
          </w:p>
        </w:tc>
        <w:tc>
          <w:tcPr>
            <w:tcW w:w="567" w:type="dxa"/>
            <w:tcBorders>
              <w:top w:val="dotted" w:sz="4" w:space="0" w:color="C0C0C0"/>
              <w:bottom w:val="dotted" w:sz="4" w:space="0" w:color="C0C0C0"/>
            </w:tcBorders>
          </w:tcPr>
          <w:p w:rsidR="006724FB" w:rsidRDefault="006724FB">
            <w:pPr>
              <w:pStyle w:val="TableNAm"/>
              <w:jc w:val="right"/>
            </w:pPr>
          </w:p>
        </w:tc>
        <w:tc>
          <w:tcPr>
            <w:tcW w:w="548" w:type="dxa"/>
            <w:tcBorders>
              <w:top w:val="dotted" w:sz="4" w:space="0" w:color="C0C0C0"/>
              <w:bottom w:val="dotted" w:sz="4" w:space="0" w:color="C0C0C0"/>
            </w:tcBorders>
          </w:tcPr>
          <w:p w:rsidR="006724FB" w:rsidRDefault="006724FB">
            <w:pPr>
              <w:pStyle w:val="TableNAm"/>
              <w:jc w:val="right"/>
            </w:pPr>
          </w:p>
        </w:tc>
      </w:tr>
      <w:tr w:rsidR="006724FB">
        <w:trPr>
          <w:cantSplit/>
        </w:trPr>
        <w:tc>
          <w:tcPr>
            <w:tcW w:w="984" w:type="dxa"/>
            <w:tcBorders>
              <w:top w:val="dotted" w:sz="4" w:space="0" w:color="C0C0C0"/>
              <w:bottom w:val="dotted" w:sz="4" w:space="0" w:color="C0C0C0"/>
            </w:tcBorders>
          </w:tcPr>
          <w:p w:rsidR="006724FB" w:rsidRDefault="006724FB">
            <w:pPr>
              <w:pStyle w:val="TableNAm"/>
              <w:jc w:val="right"/>
              <w:rPr>
                <w:b/>
              </w:rPr>
            </w:pPr>
            <w:r>
              <w:rPr>
                <w:b/>
              </w:rPr>
              <w:t>5º</w:t>
            </w:r>
          </w:p>
        </w:tc>
        <w:tc>
          <w:tcPr>
            <w:tcW w:w="567" w:type="dxa"/>
            <w:gridSpan w:val="2"/>
            <w:tcBorders>
              <w:top w:val="dotted" w:sz="4" w:space="0" w:color="C0C0C0"/>
              <w:bottom w:val="dotted" w:sz="4" w:space="0" w:color="C0C0C0"/>
            </w:tcBorders>
          </w:tcPr>
          <w:p w:rsidR="006724FB" w:rsidRDefault="006724FB">
            <w:pPr>
              <w:pStyle w:val="TableNAm"/>
              <w:jc w:val="right"/>
            </w:pPr>
          </w:p>
        </w:tc>
        <w:tc>
          <w:tcPr>
            <w:tcW w:w="567" w:type="dxa"/>
            <w:tcBorders>
              <w:top w:val="dotted" w:sz="4" w:space="0" w:color="C0C0C0"/>
              <w:bottom w:val="dotted" w:sz="4" w:space="0" w:color="C0C0C0"/>
            </w:tcBorders>
          </w:tcPr>
          <w:p w:rsidR="006724FB" w:rsidRDefault="006724FB">
            <w:pPr>
              <w:pStyle w:val="TableNAm"/>
              <w:jc w:val="right"/>
            </w:pPr>
            <w:r>
              <w:t>180</w:t>
            </w:r>
          </w:p>
        </w:tc>
        <w:tc>
          <w:tcPr>
            <w:tcW w:w="567" w:type="dxa"/>
            <w:tcBorders>
              <w:top w:val="dotted" w:sz="4" w:space="0" w:color="C0C0C0"/>
              <w:bottom w:val="dotted" w:sz="4" w:space="0" w:color="C0C0C0"/>
            </w:tcBorders>
          </w:tcPr>
          <w:p w:rsidR="006724FB" w:rsidRDefault="006724FB">
            <w:pPr>
              <w:pStyle w:val="TableNAm"/>
              <w:jc w:val="right"/>
            </w:pPr>
            <w:r>
              <w:t>320</w:t>
            </w:r>
          </w:p>
        </w:tc>
        <w:tc>
          <w:tcPr>
            <w:tcW w:w="567" w:type="dxa"/>
            <w:tcBorders>
              <w:top w:val="dotted" w:sz="4" w:space="0" w:color="C0C0C0"/>
              <w:bottom w:val="dotted" w:sz="4" w:space="0" w:color="C0C0C0"/>
            </w:tcBorders>
          </w:tcPr>
          <w:p w:rsidR="006724FB" w:rsidRDefault="006724FB">
            <w:pPr>
              <w:pStyle w:val="TableNAm"/>
              <w:jc w:val="right"/>
            </w:pPr>
            <w:r>
              <w:t>350</w:t>
            </w:r>
          </w:p>
        </w:tc>
        <w:tc>
          <w:tcPr>
            <w:tcW w:w="567" w:type="dxa"/>
            <w:tcBorders>
              <w:top w:val="dotted" w:sz="4" w:space="0" w:color="C0C0C0"/>
              <w:bottom w:val="dotted" w:sz="4" w:space="0" w:color="C0C0C0"/>
            </w:tcBorders>
          </w:tcPr>
          <w:p w:rsidR="006724FB" w:rsidRDefault="006724FB">
            <w:pPr>
              <w:pStyle w:val="TableNAm"/>
              <w:jc w:val="right"/>
            </w:pPr>
            <w:r>
              <w:t>450</w:t>
            </w:r>
          </w:p>
        </w:tc>
        <w:tc>
          <w:tcPr>
            <w:tcW w:w="567" w:type="dxa"/>
            <w:tcBorders>
              <w:top w:val="dotted" w:sz="4" w:space="0" w:color="C0C0C0"/>
              <w:bottom w:val="dotted" w:sz="4" w:space="0" w:color="C0C0C0"/>
            </w:tcBorders>
          </w:tcPr>
          <w:p w:rsidR="006724FB" w:rsidRDefault="006724FB">
            <w:pPr>
              <w:pStyle w:val="TableNAm"/>
              <w:jc w:val="right"/>
            </w:pPr>
            <w:r>
              <w:t>350</w:t>
            </w:r>
          </w:p>
        </w:tc>
        <w:tc>
          <w:tcPr>
            <w:tcW w:w="567" w:type="dxa"/>
            <w:tcBorders>
              <w:top w:val="dotted" w:sz="4" w:space="0" w:color="C0C0C0"/>
              <w:bottom w:val="dotted" w:sz="4" w:space="0" w:color="C0C0C0"/>
            </w:tcBorders>
          </w:tcPr>
          <w:p w:rsidR="006724FB" w:rsidRDefault="006724FB">
            <w:pPr>
              <w:pStyle w:val="TableNAm"/>
              <w:jc w:val="right"/>
            </w:pPr>
            <w:r>
              <w:t>320</w:t>
            </w:r>
          </w:p>
        </w:tc>
        <w:tc>
          <w:tcPr>
            <w:tcW w:w="567" w:type="dxa"/>
            <w:tcBorders>
              <w:top w:val="dotted" w:sz="4" w:space="0" w:color="C0C0C0"/>
              <w:bottom w:val="dotted" w:sz="4" w:space="0" w:color="C0C0C0"/>
            </w:tcBorders>
          </w:tcPr>
          <w:p w:rsidR="006724FB" w:rsidRDefault="006724FB">
            <w:pPr>
              <w:pStyle w:val="TableNAm"/>
              <w:jc w:val="right"/>
            </w:pPr>
            <w:r>
              <w:t>180</w:t>
            </w:r>
          </w:p>
        </w:tc>
        <w:tc>
          <w:tcPr>
            <w:tcW w:w="548" w:type="dxa"/>
            <w:tcBorders>
              <w:top w:val="dotted" w:sz="4" w:space="0" w:color="C0C0C0"/>
              <w:bottom w:val="dotted" w:sz="4" w:space="0" w:color="C0C0C0"/>
            </w:tcBorders>
          </w:tcPr>
          <w:p w:rsidR="006724FB" w:rsidRDefault="006724FB">
            <w:pPr>
              <w:pStyle w:val="TableNAm"/>
              <w:jc w:val="right"/>
            </w:pPr>
          </w:p>
        </w:tc>
      </w:tr>
      <w:tr w:rsidR="006724FB">
        <w:trPr>
          <w:cantSplit/>
        </w:trPr>
        <w:tc>
          <w:tcPr>
            <w:tcW w:w="984" w:type="dxa"/>
            <w:tcBorders>
              <w:top w:val="dotted" w:sz="4" w:space="0" w:color="C0C0C0"/>
              <w:bottom w:val="dotted" w:sz="4" w:space="0" w:color="C0C0C0"/>
            </w:tcBorders>
          </w:tcPr>
          <w:p w:rsidR="006724FB" w:rsidRDefault="006724FB">
            <w:pPr>
              <w:pStyle w:val="TableNAm"/>
              <w:jc w:val="right"/>
              <w:rPr>
                <w:b/>
              </w:rPr>
            </w:pPr>
            <w:r>
              <w:rPr>
                <w:b/>
              </w:rPr>
              <w:t>0º</w:t>
            </w:r>
          </w:p>
        </w:tc>
        <w:tc>
          <w:tcPr>
            <w:tcW w:w="567" w:type="dxa"/>
            <w:gridSpan w:val="2"/>
            <w:tcBorders>
              <w:top w:val="dotted" w:sz="4" w:space="0" w:color="C0C0C0"/>
              <w:bottom w:val="dotted" w:sz="4" w:space="0" w:color="C0C0C0"/>
            </w:tcBorders>
          </w:tcPr>
          <w:p w:rsidR="006724FB" w:rsidRDefault="006724FB">
            <w:pPr>
              <w:pStyle w:val="TableNAm"/>
              <w:jc w:val="right"/>
            </w:pPr>
            <w:r>
              <w:t>75</w:t>
            </w:r>
          </w:p>
        </w:tc>
        <w:tc>
          <w:tcPr>
            <w:tcW w:w="567" w:type="dxa"/>
            <w:tcBorders>
              <w:top w:val="dotted" w:sz="4" w:space="0" w:color="C0C0C0"/>
              <w:bottom w:val="dotted" w:sz="4" w:space="0" w:color="C0C0C0"/>
            </w:tcBorders>
          </w:tcPr>
          <w:p w:rsidR="006724FB" w:rsidRDefault="006724FB">
            <w:pPr>
              <w:pStyle w:val="TableNAm"/>
              <w:jc w:val="right"/>
            </w:pPr>
            <w:r>
              <w:t>450</w:t>
            </w:r>
          </w:p>
        </w:tc>
        <w:tc>
          <w:tcPr>
            <w:tcW w:w="567" w:type="dxa"/>
            <w:tcBorders>
              <w:top w:val="dotted" w:sz="4" w:space="0" w:color="C0C0C0"/>
              <w:bottom w:val="dotted" w:sz="4" w:space="0" w:color="C0C0C0"/>
            </w:tcBorders>
          </w:tcPr>
          <w:p w:rsidR="006724FB" w:rsidRDefault="006724FB">
            <w:pPr>
              <w:pStyle w:val="TableNAm"/>
              <w:jc w:val="right"/>
            </w:pPr>
            <w:r>
              <w:t>1000</w:t>
            </w:r>
          </w:p>
        </w:tc>
        <w:tc>
          <w:tcPr>
            <w:tcW w:w="567" w:type="dxa"/>
            <w:tcBorders>
              <w:top w:val="dotted" w:sz="4" w:space="0" w:color="C0C0C0"/>
              <w:bottom w:val="dotted" w:sz="4" w:space="0" w:color="C0C0C0"/>
            </w:tcBorders>
          </w:tcPr>
          <w:p w:rsidR="006724FB" w:rsidRDefault="006724FB">
            <w:pPr>
              <w:pStyle w:val="TableNAm"/>
              <w:jc w:val="right"/>
            </w:pPr>
            <w:r>
              <w:t>1250</w:t>
            </w:r>
          </w:p>
        </w:tc>
        <w:tc>
          <w:tcPr>
            <w:tcW w:w="567" w:type="dxa"/>
            <w:tcBorders>
              <w:top w:val="dotted" w:sz="4" w:space="0" w:color="C0C0C0"/>
              <w:bottom w:val="dotted" w:sz="4" w:space="0" w:color="C0C0C0"/>
            </w:tcBorders>
          </w:tcPr>
          <w:p w:rsidR="006724FB" w:rsidRDefault="006724FB">
            <w:pPr>
              <w:pStyle w:val="TableNAm"/>
              <w:jc w:val="right"/>
            </w:pPr>
            <w:r>
              <w:t>1500</w:t>
            </w:r>
          </w:p>
        </w:tc>
        <w:tc>
          <w:tcPr>
            <w:tcW w:w="567" w:type="dxa"/>
            <w:tcBorders>
              <w:top w:val="dotted" w:sz="4" w:space="0" w:color="C0C0C0"/>
              <w:bottom w:val="dotted" w:sz="4" w:space="0" w:color="C0C0C0"/>
            </w:tcBorders>
          </w:tcPr>
          <w:p w:rsidR="006724FB" w:rsidRDefault="006724FB">
            <w:pPr>
              <w:pStyle w:val="TableNAm"/>
              <w:jc w:val="right"/>
            </w:pPr>
            <w:r>
              <w:t>1250</w:t>
            </w:r>
          </w:p>
        </w:tc>
        <w:tc>
          <w:tcPr>
            <w:tcW w:w="567" w:type="dxa"/>
            <w:tcBorders>
              <w:top w:val="dotted" w:sz="4" w:space="0" w:color="C0C0C0"/>
              <w:bottom w:val="dotted" w:sz="4" w:space="0" w:color="C0C0C0"/>
            </w:tcBorders>
          </w:tcPr>
          <w:p w:rsidR="006724FB" w:rsidRDefault="006724FB">
            <w:pPr>
              <w:pStyle w:val="TableNAm"/>
              <w:jc w:val="right"/>
            </w:pPr>
            <w:r>
              <w:t>1000</w:t>
            </w:r>
          </w:p>
        </w:tc>
        <w:tc>
          <w:tcPr>
            <w:tcW w:w="567" w:type="dxa"/>
            <w:tcBorders>
              <w:top w:val="dotted" w:sz="4" w:space="0" w:color="C0C0C0"/>
              <w:bottom w:val="dotted" w:sz="4" w:space="0" w:color="C0C0C0"/>
            </w:tcBorders>
          </w:tcPr>
          <w:p w:rsidR="006724FB" w:rsidRDefault="006724FB">
            <w:pPr>
              <w:pStyle w:val="TableNAm"/>
              <w:jc w:val="right"/>
            </w:pPr>
            <w:r>
              <w:t>450</w:t>
            </w:r>
          </w:p>
        </w:tc>
        <w:tc>
          <w:tcPr>
            <w:tcW w:w="548" w:type="dxa"/>
            <w:tcBorders>
              <w:top w:val="dotted" w:sz="4" w:space="0" w:color="C0C0C0"/>
              <w:bottom w:val="dotted" w:sz="4" w:space="0" w:color="C0C0C0"/>
            </w:tcBorders>
          </w:tcPr>
          <w:p w:rsidR="006724FB" w:rsidRDefault="006724FB">
            <w:pPr>
              <w:pStyle w:val="TableNAm"/>
              <w:jc w:val="right"/>
            </w:pPr>
            <w:r>
              <w:t>75</w:t>
            </w:r>
          </w:p>
        </w:tc>
      </w:tr>
      <w:tr w:rsidR="006724FB">
        <w:trPr>
          <w:cantSplit/>
        </w:trPr>
        <w:tc>
          <w:tcPr>
            <w:tcW w:w="984" w:type="dxa"/>
            <w:tcBorders>
              <w:top w:val="dotted" w:sz="4" w:space="0" w:color="C0C0C0"/>
              <w:bottom w:val="dotted" w:sz="4" w:space="0" w:color="C0C0C0"/>
            </w:tcBorders>
          </w:tcPr>
          <w:p w:rsidR="006724FB" w:rsidRDefault="006724FB">
            <w:pPr>
              <w:pStyle w:val="TableNAm"/>
              <w:jc w:val="right"/>
              <w:rPr>
                <w:b/>
              </w:rPr>
            </w:pPr>
            <w:r>
              <w:rPr>
                <w:b/>
              </w:rPr>
              <w:noBreakHyphen/>
              <w:t>5º</w:t>
            </w:r>
          </w:p>
        </w:tc>
        <w:tc>
          <w:tcPr>
            <w:tcW w:w="567" w:type="dxa"/>
            <w:gridSpan w:val="2"/>
            <w:tcBorders>
              <w:top w:val="dotted" w:sz="4" w:space="0" w:color="C0C0C0"/>
              <w:bottom w:val="dotted" w:sz="4" w:space="0" w:color="C0C0C0"/>
            </w:tcBorders>
          </w:tcPr>
          <w:p w:rsidR="006724FB" w:rsidRDefault="006724FB">
            <w:pPr>
              <w:pStyle w:val="TableNAm"/>
              <w:jc w:val="right"/>
            </w:pPr>
            <w:r>
              <w:t>40</w:t>
            </w:r>
          </w:p>
        </w:tc>
        <w:tc>
          <w:tcPr>
            <w:tcW w:w="567" w:type="dxa"/>
            <w:tcBorders>
              <w:top w:val="dotted" w:sz="4" w:space="0" w:color="C0C0C0"/>
              <w:bottom w:val="dotted" w:sz="4" w:space="0" w:color="C0C0C0"/>
            </w:tcBorders>
          </w:tcPr>
          <w:p w:rsidR="006724FB" w:rsidRDefault="006724FB">
            <w:pPr>
              <w:pStyle w:val="TableNAm"/>
              <w:jc w:val="right"/>
            </w:pPr>
            <w:r>
              <w:t>270</w:t>
            </w:r>
          </w:p>
        </w:tc>
        <w:tc>
          <w:tcPr>
            <w:tcW w:w="567" w:type="dxa"/>
            <w:tcBorders>
              <w:top w:val="dotted" w:sz="4" w:space="0" w:color="C0C0C0"/>
              <w:bottom w:val="dotted" w:sz="4" w:space="0" w:color="C0C0C0"/>
            </w:tcBorders>
          </w:tcPr>
          <w:p w:rsidR="006724FB" w:rsidRDefault="006724FB">
            <w:pPr>
              <w:pStyle w:val="TableNAm"/>
              <w:jc w:val="right"/>
            </w:pPr>
            <w:r>
              <w:t>450</w:t>
            </w:r>
          </w:p>
        </w:tc>
        <w:tc>
          <w:tcPr>
            <w:tcW w:w="567" w:type="dxa"/>
            <w:tcBorders>
              <w:top w:val="dotted" w:sz="4" w:space="0" w:color="C0C0C0"/>
              <w:bottom w:val="dotted" w:sz="4" w:space="0" w:color="C0C0C0"/>
            </w:tcBorders>
          </w:tcPr>
          <w:p w:rsidR="006724FB" w:rsidRDefault="006724FB">
            <w:pPr>
              <w:pStyle w:val="TableNAm"/>
              <w:jc w:val="right"/>
            </w:pPr>
            <w:r>
              <w:t>570</w:t>
            </w:r>
          </w:p>
        </w:tc>
        <w:tc>
          <w:tcPr>
            <w:tcW w:w="567" w:type="dxa"/>
            <w:tcBorders>
              <w:top w:val="dotted" w:sz="4" w:space="0" w:color="C0C0C0"/>
              <w:bottom w:val="dotted" w:sz="4" w:space="0" w:color="C0C0C0"/>
            </w:tcBorders>
          </w:tcPr>
          <w:p w:rsidR="006724FB" w:rsidRDefault="006724FB">
            <w:pPr>
              <w:pStyle w:val="TableNAm"/>
              <w:jc w:val="right"/>
            </w:pPr>
            <w:r>
              <w:t>600</w:t>
            </w:r>
          </w:p>
        </w:tc>
        <w:tc>
          <w:tcPr>
            <w:tcW w:w="567" w:type="dxa"/>
            <w:tcBorders>
              <w:top w:val="dotted" w:sz="4" w:space="0" w:color="C0C0C0"/>
              <w:bottom w:val="dotted" w:sz="4" w:space="0" w:color="C0C0C0"/>
            </w:tcBorders>
          </w:tcPr>
          <w:p w:rsidR="006724FB" w:rsidRDefault="006724FB">
            <w:pPr>
              <w:pStyle w:val="TableNAm"/>
              <w:jc w:val="right"/>
            </w:pPr>
            <w:r>
              <w:t>570</w:t>
            </w:r>
          </w:p>
        </w:tc>
        <w:tc>
          <w:tcPr>
            <w:tcW w:w="567" w:type="dxa"/>
            <w:tcBorders>
              <w:top w:val="dotted" w:sz="4" w:space="0" w:color="C0C0C0"/>
              <w:bottom w:val="dotted" w:sz="4" w:space="0" w:color="C0C0C0"/>
            </w:tcBorders>
          </w:tcPr>
          <w:p w:rsidR="006724FB" w:rsidRDefault="006724FB">
            <w:pPr>
              <w:pStyle w:val="TableNAm"/>
              <w:jc w:val="right"/>
            </w:pPr>
            <w:r>
              <w:t>450</w:t>
            </w:r>
          </w:p>
        </w:tc>
        <w:tc>
          <w:tcPr>
            <w:tcW w:w="567" w:type="dxa"/>
            <w:tcBorders>
              <w:top w:val="dotted" w:sz="4" w:space="0" w:color="C0C0C0"/>
              <w:bottom w:val="dotted" w:sz="4" w:space="0" w:color="C0C0C0"/>
            </w:tcBorders>
          </w:tcPr>
          <w:p w:rsidR="006724FB" w:rsidRDefault="006724FB">
            <w:pPr>
              <w:pStyle w:val="TableNAm"/>
              <w:jc w:val="right"/>
            </w:pPr>
            <w:r>
              <w:t>270</w:t>
            </w:r>
          </w:p>
        </w:tc>
        <w:tc>
          <w:tcPr>
            <w:tcW w:w="548" w:type="dxa"/>
            <w:tcBorders>
              <w:top w:val="dotted" w:sz="4" w:space="0" w:color="C0C0C0"/>
              <w:bottom w:val="dotted" w:sz="4" w:space="0" w:color="C0C0C0"/>
            </w:tcBorders>
          </w:tcPr>
          <w:p w:rsidR="006724FB" w:rsidRDefault="006724FB">
            <w:pPr>
              <w:pStyle w:val="TableNAm"/>
              <w:jc w:val="right"/>
            </w:pPr>
            <w:r>
              <w:t>40</w:t>
            </w:r>
          </w:p>
        </w:tc>
      </w:tr>
      <w:tr w:rsidR="006724FB">
        <w:trPr>
          <w:cantSplit/>
        </w:trPr>
        <w:tc>
          <w:tcPr>
            <w:tcW w:w="984" w:type="dxa"/>
            <w:tcBorders>
              <w:top w:val="dotted" w:sz="4" w:space="0" w:color="C0C0C0"/>
              <w:bottom w:val="single" w:sz="4" w:space="0" w:color="auto"/>
            </w:tcBorders>
          </w:tcPr>
          <w:p w:rsidR="006724FB" w:rsidRDefault="006724FB">
            <w:pPr>
              <w:pStyle w:val="TableNAm"/>
              <w:jc w:val="right"/>
              <w:rPr>
                <w:b/>
              </w:rPr>
            </w:pPr>
            <w:r>
              <w:rPr>
                <w:b/>
              </w:rPr>
              <w:noBreakHyphen/>
              <w:t>10º</w:t>
            </w:r>
          </w:p>
        </w:tc>
        <w:tc>
          <w:tcPr>
            <w:tcW w:w="567" w:type="dxa"/>
            <w:gridSpan w:val="2"/>
            <w:tcBorders>
              <w:top w:val="dotted" w:sz="4" w:space="0" w:color="C0C0C0"/>
              <w:bottom w:val="single" w:sz="4" w:space="0" w:color="auto"/>
            </w:tcBorders>
          </w:tcPr>
          <w:p w:rsidR="006724FB" w:rsidRDefault="006724FB">
            <w:pPr>
              <w:pStyle w:val="TableNAm"/>
              <w:jc w:val="right"/>
            </w:pPr>
          </w:p>
        </w:tc>
        <w:tc>
          <w:tcPr>
            <w:tcW w:w="567" w:type="dxa"/>
            <w:tcBorders>
              <w:top w:val="dotted" w:sz="4" w:space="0" w:color="C0C0C0"/>
              <w:bottom w:val="single" w:sz="4" w:space="0" w:color="auto"/>
            </w:tcBorders>
          </w:tcPr>
          <w:p w:rsidR="006724FB" w:rsidRDefault="006724FB">
            <w:pPr>
              <w:pStyle w:val="TableNAm"/>
              <w:jc w:val="right"/>
            </w:pPr>
          </w:p>
        </w:tc>
        <w:tc>
          <w:tcPr>
            <w:tcW w:w="567" w:type="dxa"/>
            <w:tcBorders>
              <w:top w:val="dotted" w:sz="4" w:space="0" w:color="C0C0C0"/>
              <w:bottom w:val="single" w:sz="4" w:space="0" w:color="auto"/>
            </w:tcBorders>
          </w:tcPr>
          <w:p w:rsidR="006724FB" w:rsidRDefault="006724FB">
            <w:pPr>
              <w:pStyle w:val="TableNAm"/>
              <w:jc w:val="right"/>
            </w:pPr>
          </w:p>
        </w:tc>
        <w:tc>
          <w:tcPr>
            <w:tcW w:w="567" w:type="dxa"/>
            <w:tcBorders>
              <w:top w:val="dotted" w:sz="4" w:space="0" w:color="C0C0C0"/>
              <w:bottom w:val="single" w:sz="4" w:space="0" w:color="auto"/>
            </w:tcBorders>
          </w:tcPr>
          <w:p w:rsidR="006724FB" w:rsidRDefault="006724FB">
            <w:pPr>
              <w:pStyle w:val="TableNAm"/>
              <w:jc w:val="right"/>
            </w:pPr>
            <w:r>
              <w:t>75</w:t>
            </w:r>
          </w:p>
        </w:tc>
        <w:tc>
          <w:tcPr>
            <w:tcW w:w="567" w:type="dxa"/>
            <w:tcBorders>
              <w:top w:val="dotted" w:sz="4" w:space="0" w:color="C0C0C0"/>
              <w:bottom w:val="single" w:sz="4" w:space="0" w:color="auto"/>
            </w:tcBorders>
          </w:tcPr>
          <w:p w:rsidR="006724FB" w:rsidRDefault="006724FB">
            <w:pPr>
              <w:pStyle w:val="TableNAm"/>
              <w:jc w:val="right"/>
            </w:pPr>
            <w:r>
              <w:t>75</w:t>
            </w:r>
          </w:p>
        </w:tc>
        <w:tc>
          <w:tcPr>
            <w:tcW w:w="567" w:type="dxa"/>
            <w:tcBorders>
              <w:top w:val="dotted" w:sz="4" w:space="0" w:color="C0C0C0"/>
              <w:bottom w:val="single" w:sz="4" w:space="0" w:color="auto"/>
            </w:tcBorders>
          </w:tcPr>
          <w:p w:rsidR="006724FB" w:rsidRDefault="006724FB">
            <w:pPr>
              <w:pStyle w:val="TableNAm"/>
              <w:jc w:val="right"/>
            </w:pPr>
            <w:r>
              <w:t>75</w:t>
            </w:r>
          </w:p>
        </w:tc>
        <w:tc>
          <w:tcPr>
            <w:tcW w:w="567" w:type="dxa"/>
            <w:tcBorders>
              <w:top w:val="dotted" w:sz="4" w:space="0" w:color="C0C0C0"/>
              <w:bottom w:val="single" w:sz="4" w:space="0" w:color="auto"/>
            </w:tcBorders>
          </w:tcPr>
          <w:p w:rsidR="006724FB" w:rsidRDefault="006724FB">
            <w:pPr>
              <w:pStyle w:val="TableNAm"/>
              <w:jc w:val="right"/>
            </w:pPr>
          </w:p>
        </w:tc>
        <w:tc>
          <w:tcPr>
            <w:tcW w:w="567" w:type="dxa"/>
            <w:tcBorders>
              <w:top w:val="dotted" w:sz="4" w:space="0" w:color="C0C0C0"/>
              <w:bottom w:val="single" w:sz="4" w:space="0" w:color="auto"/>
            </w:tcBorders>
          </w:tcPr>
          <w:p w:rsidR="006724FB" w:rsidRDefault="006724FB">
            <w:pPr>
              <w:pStyle w:val="TableNAm"/>
              <w:jc w:val="right"/>
            </w:pPr>
          </w:p>
        </w:tc>
        <w:tc>
          <w:tcPr>
            <w:tcW w:w="548" w:type="dxa"/>
            <w:tcBorders>
              <w:top w:val="dotted" w:sz="4" w:space="0" w:color="C0C0C0"/>
              <w:bottom w:val="single" w:sz="4" w:space="0" w:color="auto"/>
            </w:tcBorders>
          </w:tcPr>
          <w:p w:rsidR="006724FB" w:rsidRDefault="006724FB">
            <w:pPr>
              <w:pStyle w:val="TableNAm"/>
              <w:jc w:val="right"/>
            </w:pPr>
          </w:p>
        </w:tc>
      </w:tr>
    </w:tbl>
    <w:p w:rsidR="006724FB" w:rsidRDefault="006724FB">
      <w:pPr>
        <w:pStyle w:val="Subsection"/>
      </w:pPr>
      <w:r>
        <w:tab/>
        <w:t>(7)</w:t>
      </w:r>
      <w:r>
        <w:tab/>
        <w:t>For subregulation (6)(b), the luminous intensity of a light must be measured in accordance with the test method mentioned in the third edition ADR 6.</w:t>
      </w:r>
    </w:p>
    <w:p w:rsidR="006724FB" w:rsidRDefault="006724FB" w:rsidP="00E1452C">
      <w:pPr>
        <w:pStyle w:val="Heading5"/>
        <w:keepLines w:val="0"/>
      </w:pPr>
      <w:bookmarkStart w:id="604" w:name="_Toc75875921"/>
      <w:r>
        <w:rPr>
          <w:rStyle w:val="CharSectno"/>
        </w:rPr>
        <w:lastRenderedPageBreak/>
        <w:t>326</w:t>
      </w:r>
      <w:r>
        <w:t>.</w:t>
      </w:r>
      <w:r>
        <w:tab/>
        <w:t>Specifications for warning signs</w:t>
      </w:r>
      <w:bookmarkEnd w:id="604"/>
    </w:p>
    <w:p w:rsidR="006724FB" w:rsidRDefault="006724FB">
      <w:pPr>
        <w:pStyle w:val="Subsection"/>
      </w:pPr>
      <w:r>
        <w:tab/>
        <w:t>(1)</w:t>
      </w:r>
      <w:r>
        <w:tab/>
        <w:t xml:space="preserve">A warning sign at the front of a bus must — </w:t>
      </w:r>
    </w:p>
    <w:p w:rsidR="006724FB" w:rsidRDefault="006724FB">
      <w:pPr>
        <w:pStyle w:val="Indenta"/>
      </w:pPr>
      <w:r>
        <w:tab/>
        <w:t>(a)</w:t>
      </w:r>
      <w:r>
        <w:tab/>
        <w:t>display the words ‘school bus’ in capital letters at least 100 mm high; or</w:t>
      </w:r>
    </w:p>
    <w:p w:rsidR="006724FB" w:rsidRDefault="006724FB">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rsidR="006724FB" w:rsidRDefault="006724FB">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rsidR="006724FB" w:rsidRDefault="006724FB">
      <w:pPr>
        <w:pStyle w:val="Subsection"/>
        <w:keepNext/>
      </w:pPr>
      <w:r>
        <w:tab/>
        <w:t>(3)</w:t>
      </w:r>
      <w:r>
        <w:tab/>
        <w:t xml:space="preserve">The warning sign mentioned in subregulations (1)(b) and (2) must — </w:t>
      </w:r>
    </w:p>
    <w:p w:rsidR="006724FB" w:rsidRDefault="006724FB">
      <w:pPr>
        <w:pStyle w:val="Indenta"/>
      </w:pPr>
      <w:r>
        <w:tab/>
        <w:t>(a)</w:t>
      </w:r>
      <w:r>
        <w:tab/>
        <w:t xml:space="preserve">be a rectangular shape at least — </w:t>
      </w:r>
    </w:p>
    <w:p w:rsidR="006724FB" w:rsidRDefault="006724FB">
      <w:pPr>
        <w:pStyle w:val="Indenti"/>
      </w:pPr>
      <w:r>
        <w:tab/>
        <w:t>(i)</w:t>
      </w:r>
      <w:r>
        <w:tab/>
        <w:t>if warning lights are on the warning sign — 550 mm wide and 400 mm high; and</w:t>
      </w:r>
    </w:p>
    <w:p w:rsidR="006724FB" w:rsidRDefault="006724FB">
      <w:pPr>
        <w:pStyle w:val="Indenti"/>
      </w:pPr>
      <w:r>
        <w:tab/>
        <w:t>(ii)</w:t>
      </w:r>
      <w:r>
        <w:tab/>
        <w:t>in any other case — 400 mm wide and 250 mm high;</w:t>
      </w:r>
    </w:p>
    <w:p w:rsidR="006724FB" w:rsidRDefault="006724FB">
      <w:pPr>
        <w:pStyle w:val="Indenta"/>
      </w:pPr>
      <w:r>
        <w:tab/>
      </w:r>
      <w:r>
        <w:tab/>
        <w:t>and</w:t>
      </w:r>
    </w:p>
    <w:p w:rsidR="006724FB" w:rsidRDefault="006724FB">
      <w:pPr>
        <w:pStyle w:val="Indenta"/>
      </w:pPr>
      <w:r>
        <w:tab/>
        <w:t>(b)</w:t>
      </w:r>
      <w:r>
        <w:tab/>
        <w:t>have a black border; and</w:t>
      </w:r>
    </w:p>
    <w:p w:rsidR="006724FB" w:rsidRDefault="006724FB">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rsidR="006724FB" w:rsidRDefault="006724FB">
      <w:pPr>
        <w:pStyle w:val="Footnotesection"/>
      </w:pPr>
      <w:r>
        <w:tab/>
        <w:t>[Regulation 326 amended: Gazette 29 Mar 2019 p. 968.]</w:t>
      </w:r>
    </w:p>
    <w:p w:rsidR="006724FB" w:rsidRDefault="006724FB">
      <w:pPr>
        <w:pStyle w:val="Heading4"/>
      </w:pPr>
      <w:bookmarkStart w:id="605" w:name="_Toc75419998"/>
      <w:bookmarkStart w:id="606" w:name="_Toc75427334"/>
      <w:bookmarkStart w:id="607" w:name="_Toc75872750"/>
      <w:bookmarkStart w:id="608" w:name="_Toc75875922"/>
      <w:r>
        <w:lastRenderedPageBreak/>
        <w:t>Subdivision 19 — Other lights, reflectors, rear marking plates or signals</w:t>
      </w:r>
      <w:bookmarkEnd w:id="605"/>
      <w:bookmarkEnd w:id="606"/>
      <w:bookmarkEnd w:id="607"/>
      <w:bookmarkEnd w:id="608"/>
    </w:p>
    <w:p w:rsidR="006724FB" w:rsidRDefault="006724FB">
      <w:pPr>
        <w:pStyle w:val="Heading5"/>
      </w:pPr>
      <w:bookmarkStart w:id="609" w:name="_Toc75875923"/>
      <w:r>
        <w:rPr>
          <w:rStyle w:val="CharSectno"/>
        </w:rPr>
        <w:t>327</w:t>
      </w:r>
      <w:r>
        <w:t>.</w:t>
      </w:r>
      <w:r>
        <w:tab/>
        <w:t>Other lights and reflectors</w:t>
      </w:r>
      <w:bookmarkEnd w:id="609"/>
    </w:p>
    <w:p w:rsidR="006724FB" w:rsidRDefault="006724FB">
      <w:pPr>
        <w:pStyle w:val="Subsection"/>
      </w:pPr>
      <w:r>
        <w:tab/>
        <w:t>(1)</w:t>
      </w:r>
      <w:r>
        <w:tab/>
        <w:t>A vehicle may be fitted with any light or reflector not mentioned in this Part.</w:t>
      </w:r>
    </w:p>
    <w:p w:rsidR="006724FB" w:rsidRDefault="006724FB">
      <w:pPr>
        <w:pStyle w:val="Subsection"/>
      </w:pPr>
      <w:r>
        <w:tab/>
        <w:t>(2)</w:t>
      </w:r>
      <w:r>
        <w:tab/>
        <w:t xml:space="preserve">However, unless subregulation (3) applies, a vehicle must not display — </w:t>
      </w:r>
    </w:p>
    <w:p w:rsidR="006724FB" w:rsidRDefault="006724FB">
      <w:pPr>
        <w:pStyle w:val="Indenta"/>
      </w:pPr>
      <w:r>
        <w:tab/>
        <w:t>(a)</w:t>
      </w:r>
      <w:r>
        <w:tab/>
        <w:t>a light that flashes; or</w:t>
      </w:r>
    </w:p>
    <w:p w:rsidR="006724FB" w:rsidRDefault="006724FB">
      <w:pPr>
        <w:pStyle w:val="Indenta"/>
      </w:pPr>
      <w:r>
        <w:tab/>
        <w:t>(b)</w:t>
      </w:r>
      <w:r>
        <w:tab/>
        <w:t xml:space="preserve">a light or reflector that — </w:t>
      </w:r>
    </w:p>
    <w:p w:rsidR="006724FB" w:rsidRDefault="006724FB">
      <w:pPr>
        <w:pStyle w:val="Indenti"/>
      </w:pPr>
      <w:r>
        <w:tab/>
        <w:t>(i)</w:t>
      </w:r>
      <w:r>
        <w:tab/>
        <w:t>shows a red light to the front; or</w:t>
      </w:r>
    </w:p>
    <w:p w:rsidR="006724FB" w:rsidRDefault="006724FB">
      <w:pPr>
        <w:pStyle w:val="Indenti"/>
      </w:pPr>
      <w:r>
        <w:tab/>
        <w:t>(ii)</w:t>
      </w:r>
      <w:r>
        <w:tab/>
        <w:t>shows a white light to the rear; or</w:t>
      </w:r>
    </w:p>
    <w:p w:rsidR="006724FB" w:rsidRDefault="006724FB">
      <w:pPr>
        <w:pStyle w:val="Indenti"/>
      </w:pPr>
      <w:r>
        <w:tab/>
        <w:t>(iii)</w:t>
      </w:r>
      <w:r>
        <w:tab/>
        <w:t>is shaped or located in a way that reduces the effectiveness of a light or reflector that is required to be fitted to the vehicle under this Part.</w:t>
      </w:r>
    </w:p>
    <w:p w:rsidR="006724FB" w:rsidRDefault="006724FB">
      <w:pPr>
        <w:pStyle w:val="Subsection"/>
      </w:pPr>
      <w:r>
        <w:tab/>
        <w:t>(3)</w:t>
      </w:r>
      <w:r>
        <w:tab/>
        <w:t xml:space="preserve">Despite any requirement of a third edition ADR — </w:t>
      </w:r>
    </w:p>
    <w:p w:rsidR="006724FB" w:rsidRDefault="006724FB">
      <w:pPr>
        <w:pStyle w:val="Indenta"/>
      </w:pPr>
      <w:r>
        <w:tab/>
        <w:t>(a)</w:t>
      </w:r>
      <w:r>
        <w:tab/>
        <w:t>an exempt vehicle may be fitted with any light or reflector approved by the CEO; and</w:t>
      </w:r>
    </w:p>
    <w:p w:rsidR="006724FB" w:rsidRDefault="006724FB">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rsidR="006724FB" w:rsidRDefault="006724FB">
      <w:pPr>
        <w:pStyle w:val="Subsection"/>
      </w:pPr>
      <w:r>
        <w:tab/>
        <w:t>(4)</w:t>
      </w:r>
      <w:r>
        <w:tab/>
        <w:t xml:space="preserve">In subregulation (3) — </w:t>
      </w:r>
    </w:p>
    <w:p w:rsidR="006724FB" w:rsidRDefault="006724FB">
      <w:pPr>
        <w:pStyle w:val="Defstart"/>
      </w:pPr>
      <w:r>
        <w:tab/>
      </w:r>
      <w:r>
        <w:rPr>
          <w:rStyle w:val="CharDefText"/>
        </w:rPr>
        <w:t>exempt vehicle</w:t>
      </w:r>
      <w:r>
        <w:t xml:space="preserve"> means any of these — </w:t>
      </w:r>
    </w:p>
    <w:p w:rsidR="006724FB" w:rsidRDefault="006724FB">
      <w:pPr>
        <w:pStyle w:val="Defpara"/>
      </w:pPr>
      <w:r>
        <w:tab/>
        <w:t>(a)</w:t>
      </w:r>
      <w:r>
        <w:tab/>
        <w:t>an emergency vehicle;</w:t>
      </w:r>
    </w:p>
    <w:p w:rsidR="006724FB" w:rsidRDefault="006724FB">
      <w:pPr>
        <w:pStyle w:val="Defpara"/>
      </w:pPr>
      <w:r>
        <w:tab/>
        <w:t>(b)</w:t>
      </w:r>
      <w:r>
        <w:tab/>
        <w:t>an Australian Protective Service vehicle;</w:t>
      </w:r>
    </w:p>
    <w:p w:rsidR="006724FB" w:rsidRDefault="006724FB">
      <w:pPr>
        <w:pStyle w:val="Defpara"/>
      </w:pPr>
      <w:r>
        <w:tab/>
        <w:t>(c)</w:t>
      </w:r>
      <w:r>
        <w:tab/>
        <w:t>an Australian Border Force vehicle;</w:t>
      </w:r>
    </w:p>
    <w:p w:rsidR="006724FB" w:rsidRDefault="006724FB">
      <w:pPr>
        <w:pStyle w:val="Defpara"/>
      </w:pPr>
      <w:r>
        <w:tab/>
        <w:t>(d)</w:t>
      </w:r>
      <w:r>
        <w:tab/>
        <w:t>an Airservices Australia vehicle;</w:t>
      </w:r>
    </w:p>
    <w:p w:rsidR="006724FB" w:rsidRDefault="006724FB">
      <w:pPr>
        <w:pStyle w:val="Defpara"/>
      </w:pPr>
      <w:r>
        <w:tab/>
        <w:t>(e)</w:t>
      </w:r>
      <w:r>
        <w:tab/>
        <w:t>any other type of vehicle approved by the CEO and used in conformity with any conditions that may be imposed by the CEO;</w:t>
      </w:r>
    </w:p>
    <w:p w:rsidR="006724FB" w:rsidRDefault="006724FB">
      <w:pPr>
        <w:pStyle w:val="Defstart"/>
        <w:keepNext/>
      </w:pPr>
      <w:r>
        <w:lastRenderedPageBreak/>
        <w:tab/>
      </w:r>
      <w:r>
        <w:rPr>
          <w:rStyle w:val="CharDefText"/>
        </w:rPr>
        <w:t>special use vehicle</w:t>
      </w:r>
      <w:r>
        <w:t xml:space="preserve"> means any of these — </w:t>
      </w:r>
    </w:p>
    <w:p w:rsidR="006724FB" w:rsidRDefault="006724FB">
      <w:pPr>
        <w:pStyle w:val="Defpara"/>
      </w:pPr>
      <w:r>
        <w:tab/>
        <w:t>(a)</w:t>
      </w:r>
      <w:r>
        <w:tab/>
        <w:t>a vehicle built or fitted for use in hazardous situations on a road;</w:t>
      </w:r>
    </w:p>
    <w:p w:rsidR="006724FB" w:rsidRDefault="006724FB">
      <w:pPr>
        <w:pStyle w:val="Defpara"/>
        <w:keepNext/>
      </w:pPr>
      <w:r>
        <w:tab/>
        <w:t>(b)</w:t>
      </w:r>
      <w:r>
        <w:tab/>
        <w:t xml:space="preserve">a vehicle that because of its dimensions is permitted to be driven only in accordance with — </w:t>
      </w:r>
    </w:p>
    <w:p w:rsidR="006724FB" w:rsidRDefault="006724FB">
      <w:pPr>
        <w:pStyle w:val="Defsubpara"/>
      </w:pPr>
      <w:r>
        <w:tab/>
        <w:t>(i)</w:t>
      </w:r>
      <w:r>
        <w:tab/>
        <w:t>an order or permit as defined in section 32 or 38; or</w:t>
      </w:r>
    </w:p>
    <w:p w:rsidR="006724FB" w:rsidRDefault="006724FB">
      <w:pPr>
        <w:pStyle w:val="Defsubpara"/>
      </w:pPr>
      <w:r>
        <w:tab/>
        <w:t>(ii)</w:t>
      </w:r>
      <w:r>
        <w:tab/>
        <w:t>a permit issued under regulation 453 or 454;</w:t>
      </w:r>
    </w:p>
    <w:p w:rsidR="006724FB" w:rsidRDefault="006724FB">
      <w:pPr>
        <w:pStyle w:val="Defpara"/>
      </w:pPr>
      <w:r>
        <w:tab/>
        <w:t>(c)</w:t>
      </w:r>
      <w:r>
        <w:tab/>
        <w:t>a vehicle built or fitted to accompany a vehicle mentioned in paragraph (b);</w:t>
      </w:r>
    </w:p>
    <w:p w:rsidR="006724FB" w:rsidRDefault="006724FB">
      <w:pPr>
        <w:pStyle w:val="Defpara"/>
      </w:pPr>
      <w:r>
        <w:tab/>
        <w:t>(d)</w:t>
      </w:r>
      <w:r>
        <w:tab/>
        <w:t>a bus fitted, before July 1999, with a sign telling road users that the bus carries children;</w:t>
      </w:r>
    </w:p>
    <w:p w:rsidR="006724FB" w:rsidRDefault="006724FB">
      <w:pPr>
        <w:pStyle w:val="Defpara"/>
      </w:pPr>
      <w:r>
        <w:tab/>
        <w:t>(e)</w:t>
      </w:r>
      <w:r>
        <w:tab/>
        <w:t>a transport enforcement vehicle;</w:t>
      </w:r>
    </w:p>
    <w:p w:rsidR="006724FB" w:rsidRDefault="006724FB">
      <w:pPr>
        <w:pStyle w:val="Defpara"/>
      </w:pPr>
      <w:r>
        <w:tab/>
        <w:t>(f)</w:t>
      </w:r>
      <w:r>
        <w:tab/>
        <w:t>any other type of vehicle approved by the CEO and used in conformity with any conditions that may be imposed by the CEO.</w:t>
      </w:r>
    </w:p>
    <w:p w:rsidR="006724FB" w:rsidRDefault="006724FB">
      <w:pPr>
        <w:pStyle w:val="Footnotesection"/>
      </w:pPr>
      <w:r>
        <w:tab/>
        <w:t>[Regulation 327 amended: Gazette 29 Mar 2019 p. 968.]</w:t>
      </w:r>
    </w:p>
    <w:p w:rsidR="006724FB" w:rsidRDefault="006724FB">
      <w:pPr>
        <w:pStyle w:val="Heading5"/>
        <w:keepNext w:val="0"/>
        <w:keepLines w:val="0"/>
      </w:pPr>
      <w:bookmarkStart w:id="610" w:name="_Toc75875924"/>
      <w:r>
        <w:rPr>
          <w:rStyle w:val="CharSectno"/>
        </w:rPr>
        <w:t>328</w:t>
      </w:r>
      <w:r>
        <w:t>.</w:t>
      </w:r>
      <w:r>
        <w:tab/>
        <w:t>Rear marking plates for certain vehicles</w:t>
      </w:r>
      <w:bookmarkEnd w:id="610"/>
    </w:p>
    <w:p w:rsidR="006724FB" w:rsidRDefault="006724FB">
      <w:pPr>
        <w:pStyle w:val="Subsection"/>
      </w:pPr>
      <w:r>
        <w:tab/>
        <w:t>(1)</w:t>
      </w:r>
      <w:r>
        <w:tab/>
        <w:t>In this regulation —</w:t>
      </w:r>
    </w:p>
    <w:p w:rsidR="006724FB" w:rsidRDefault="006724FB">
      <w:pPr>
        <w:pStyle w:val="Defstart"/>
      </w:pPr>
      <w:r>
        <w:tab/>
      </w:r>
      <w:r>
        <w:rPr>
          <w:rStyle w:val="CharDefText"/>
        </w:rPr>
        <w:t>rear marking plate</w:t>
      </w:r>
      <w:r>
        <w:t xml:space="preserve"> means a rear marking plate complying with </w:t>
      </w:r>
      <w:r>
        <w:rPr>
          <w:i/>
        </w:rPr>
        <w:t>Vehicle Standards Bulletin</w:t>
      </w:r>
      <w:r>
        <w:t xml:space="preserve"> VSB 12. </w:t>
      </w:r>
    </w:p>
    <w:p w:rsidR="006724FB" w:rsidRDefault="006724FB">
      <w:pPr>
        <w:pStyle w:val="Subsection"/>
      </w:pPr>
      <w:r>
        <w:tab/>
        <w:t>(2)</w:t>
      </w:r>
      <w:r>
        <w:tab/>
        <w:t xml:space="preserve">Rear marking plates must be fitted to — </w:t>
      </w:r>
    </w:p>
    <w:p w:rsidR="006724FB" w:rsidRDefault="006724FB">
      <w:pPr>
        <w:pStyle w:val="Indenta"/>
      </w:pPr>
      <w:r>
        <w:tab/>
        <w:t>(a)</w:t>
      </w:r>
      <w:r>
        <w:tab/>
        <w:t>a motor vehicle with a GVM of more than 12 t, except a bus fitted with hand grips or similar equipment for standing passengers to hold; and</w:t>
      </w:r>
    </w:p>
    <w:p w:rsidR="006724FB" w:rsidRDefault="006724FB">
      <w:pPr>
        <w:pStyle w:val="Indenta"/>
      </w:pPr>
      <w:r>
        <w:tab/>
        <w:t>(b)</w:t>
      </w:r>
      <w:r>
        <w:tab/>
        <w:t>a trailer with a GTM of more than 10 t.</w:t>
      </w:r>
    </w:p>
    <w:p w:rsidR="006724FB" w:rsidRDefault="006724FB">
      <w:pPr>
        <w:pStyle w:val="Subsection"/>
      </w:pPr>
      <w:r>
        <w:tab/>
        <w:t>(3)</w:t>
      </w:r>
      <w:r>
        <w:tab/>
        <w:t>Subregulation (2) applies to a vehicle even if it was built before the date stated in VSB 12.</w:t>
      </w:r>
    </w:p>
    <w:p w:rsidR="006724FB" w:rsidRDefault="006724FB">
      <w:pPr>
        <w:pStyle w:val="Subsection"/>
      </w:pPr>
      <w:r>
        <w:tab/>
        <w:t>(4)</w:t>
      </w:r>
      <w:r>
        <w:tab/>
        <w:t>Rear marking plates may be fitted to a motor vehicle with a GVM of 12 t or less or a trailer with a GTM of 10 t or less.</w:t>
      </w:r>
    </w:p>
    <w:p w:rsidR="006724FB" w:rsidRDefault="006724FB">
      <w:pPr>
        <w:pStyle w:val="Graphics"/>
        <w:keepNext/>
        <w:spacing w:before="240" w:after="240"/>
        <w:jc w:val="center"/>
      </w:pPr>
      <w:r>
        <w:lastRenderedPageBreak/>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rsidR="006724FB" w:rsidRDefault="006724FB">
      <w:pPr>
        <w:pStyle w:val="MiscellaneousHeading"/>
        <w:keepNext w:val="0"/>
        <w:spacing w:before="120" w:after="240" w:line="240" w:lineRule="auto"/>
        <w:rPr>
          <w:b/>
        </w:rPr>
      </w:pPr>
      <w:r>
        <w:rPr>
          <w:b/>
        </w:rPr>
        <w:t>Rear marking plates</w:t>
      </w:r>
    </w:p>
    <w:p w:rsidR="006724FB" w:rsidRDefault="006724FB">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rsidR="006724FB" w:rsidRDefault="006724FB">
      <w:pPr>
        <w:pStyle w:val="MiscellaneousHeading"/>
        <w:keepNext w:val="0"/>
        <w:spacing w:before="120" w:line="240" w:lineRule="auto"/>
        <w:rPr>
          <w:b/>
        </w:rPr>
      </w:pPr>
      <w:r>
        <w:rPr>
          <w:b/>
        </w:rPr>
        <w:t>Alternative pattern for rear marking plates</w:t>
      </w:r>
    </w:p>
    <w:p w:rsidR="006724FB" w:rsidRDefault="006724FB">
      <w:pPr>
        <w:pStyle w:val="Footnotesection"/>
      </w:pPr>
      <w:r>
        <w:tab/>
        <w:t>[Regulation 328 amended: Gazette 29 Mar 2019 p. 969.]</w:t>
      </w:r>
    </w:p>
    <w:p w:rsidR="006724FB" w:rsidRDefault="006724FB">
      <w:pPr>
        <w:pStyle w:val="Heading5"/>
        <w:keepNext w:val="0"/>
        <w:keepLines w:val="0"/>
      </w:pPr>
      <w:bookmarkStart w:id="611" w:name="_Toc75875925"/>
      <w:r>
        <w:rPr>
          <w:rStyle w:val="CharSectno"/>
        </w:rPr>
        <w:t>329</w:t>
      </w:r>
      <w:r>
        <w:t>.</w:t>
      </w:r>
      <w:r>
        <w:tab/>
        <w:t>Signalling devices for certain motor vehicles</w:t>
      </w:r>
      <w:bookmarkEnd w:id="611"/>
    </w:p>
    <w:p w:rsidR="006724FB" w:rsidRDefault="006724FB">
      <w:pPr>
        <w:pStyle w:val="Subsection"/>
      </w:pPr>
      <w:r>
        <w:tab/>
      </w:r>
      <w:r>
        <w:tab/>
        <w:t xml:space="preserve">A motor vehicle must be fitted with a mechanical signalling device or a pair of turn signals if — </w:t>
      </w:r>
    </w:p>
    <w:p w:rsidR="006724FB" w:rsidRDefault="006724FB">
      <w:pPr>
        <w:pStyle w:val="Indenta"/>
      </w:pPr>
      <w:r>
        <w:tab/>
        <w:t>(a)</w:t>
      </w:r>
      <w:r>
        <w:tab/>
        <w:t>the vehicle is not fitted with a brake light or direction indicator light mentioned in Subdivision 9 or 11; and</w:t>
      </w:r>
    </w:p>
    <w:p w:rsidR="006724FB" w:rsidRDefault="006724FB">
      <w:pPr>
        <w:pStyle w:val="Indenta"/>
      </w:pPr>
      <w:r>
        <w:tab/>
        <w:t>(b)</w:t>
      </w:r>
      <w:r>
        <w:tab/>
        <w:t xml:space="preserve">the construction of the vehicle would otherwise prevent the driver from hand signalling an intention — </w:t>
      </w:r>
    </w:p>
    <w:p w:rsidR="006724FB" w:rsidRDefault="006724FB">
      <w:pPr>
        <w:pStyle w:val="Indenti"/>
      </w:pPr>
      <w:r>
        <w:tab/>
        <w:t>(i)</w:t>
      </w:r>
      <w:r>
        <w:tab/>
        <w:t>to turn or move the vehicle to the right; or</w:t>
      </w:r>
    </w:p>
    <w:p w:rsidR="006724FB" w:rsidRDefault="006724FB">
      <w:pPr>
        <w:pStyle w:val="Indenti"/>
      </w:pPr>
      <w:r>
        <w:tab/>
        <w:t>(ii)</w:t>
      </w:r>
      <w:r>
        <w:tab/>
        <w:t>to stop or suddenly reduce the speed of the vehicle.</w:t>
      </w:r>
    </w:p>
    <w:p w:rsidR="006724FB" w:rsidRDefault="006724FB">
      <w:pPr>
        <w:pStyle w:val="Heading5"/>
      </w:pPr>
      <w:bookmarkStart w:id="612" w:name="_Toc75875926"/>
      <w:r>
        <w:rPr>
          <w:rStyle w:val="CharSectno"/>
        </w:rPr>
        <w:t>330</w:t>
      </w:r>
      <w:r>
        <w:t>.</w:t>
      </w:r>
      <w:r>
        <w:tab/>
        <w:t>Mechanical signalling devices</w:t>
      </w:r>
      <w:bookmarkEnd w:id="612"/>
    </w:p>
    <w:p w:rsidR="006724FB" w:rsidRDefault="006724FB">
      <w:pPr>
        <w:pStyle w:val="Subsection"/>
      </w:pPr>
      <w:r>
        <w:tab/>
        <w:t>(1)</w:t>
      </w:r>
      <w:r>
        <w:tab/>
        <w:t xml:space="preserve">A mechanical signalling device required by regulation 329 must — </w:t>
      </w:r>
    </w:p>
    <w:p w:rsidR="006724FB" w:rsidRDefault="006724FB">
      <w:pPr>
        <w:pStyle w:val="Indenta"/>
      </w:pPr>
      <w:r>
        <w:tab/>
        <w:t>(a)</w:t>
      </w:r>
      <w:r>
        <w:tab/>
        <w:t>be fitted to the right side of the motor vehicle; and</w:t>
      </w:r>
    </w:p>
    <w:p w:rsidR="006724FB" w:rsidRDefault="006724FB">
      <w:pPr>
        <w:pStyle w:val="Indenta"/>
      </w:pPr>
      <w:r>
        <w:lastRenderedPageBreak/>
        <w:tab/>
        <w:t>(b)</w:t>
      </w:r>
      <w:r>
        <w:tab/>
        <w:t>be able to be operated by the driver from a normal driving position; and</w:t>
      </w:r>
    </w:p>
    <w:p w:rsidR="006724FB" w:rsidRDefault="006724FB">
      <w:pPr>
        <w:pStyle w:val="Indenta"/>
      </w:pPr>
      <w:r>
        <w:tab/>
        <w:t>(c)</w:t>
      </w:r>
      <w:r>
        <w:tab/>
        <w:t>consist of a white or yellow representation of an open human hand at least 150 mm long; and</w:t>
      </w:r>
    </w:p>
    <w:p w:rsidR="006724FB" w:rsidRDefault="006724FB">
      <w:pPr>
        <w:pStyle w:val="Indenta"/>
      </w:pPr>
      <w:r>
        <w:tab/>
        <w:t>(d)</w:t>
      </w:r>
      <w:r>
        <w:tab/>
        <w:t xml:space="preserve">be constructed so that the driver of the motor vehicle can keep the device — </w:t>
      </w:r>
    </w:p>
    <w:p w:rsidR="006724FB" w:rsidRDefault="006724FB">
      <w:pPr>
        <w:pStyle w:val="Indenti"/>
      </w:pPr>
      <w:r>
        <w:tab/>
        <w:t>(i)</w:t>
      </w:r>
      <w:r>
        <w:tab/>
        <w:t>in a neutral position so it is unlikely that the driver of another vehicle or anyone else would regard it as a signal; and</w:t>
      </w:r>
    </w:p>
    <w:p w:rsidR="006724FB" w:rsidRDefault="006724FB">
      <w:pPr>
        <w:pStyle w:val="Indenti"/>
      </w:pPr>
      <w:r>
        <w:tab/>
        <w:t>(ii)</w:t>
      </w:r>
      <w:r>
        <w:tab/>
        <w:t>in a horizontal position with the palm of the hand facing forwards and the fingers pointing out at a right angle to the vehicle to signal an intention to turn or move right; and</w:t>
      </w:r>
    </w:p>
    <w:p w:rsidR="006724FB" w:rsidRDefault="006724FB">
      <w:pPr>
        <w:pStyle w:val="Indenti"/>
      </w:pPr>
      <w:r>
        <w:tab/>
        <w:t>(iii)</w:t>
      </w:r>
      <w:r>
        <w:tab/>
        <w:t>with the palm of the hand facing forwards and the fingers pointing upwards to signal an intention to stop or reduce speed suddenly.</w:t>
      </w:r>
    </w:p>
    <w:p w:rsidR="006724FB" w:rsidRDefault="006724FB">
      <w:pPr>
        <w:pStyle w:val="Subsection"/>
      </w:pPr>
      <w:r>
        <w:tab/>
        <w:t>(2)</w:t>
      </w:r>
      <w:r>
        <w:tab/>
        <w:t>When the mechanical signalling device is in a position mentioned in subregulation (1)(d)(ii) or (iii), the complete hand must be clearly visible from both the front and the rear of the vehicle, at a distance of 30 m.</w:t>
      </w:r>
    </w:p>
    <w:p w:rsidR="006724FB" w:rsidRDefault="006724FB">
      <w:pPr>
        <w:pStyle w:val="Heading5"/>
        <w:keepNext w:val="0"/>
        <w:keepLines w:val="0"/>
      </w:pPr>
      <w:bookmarkStart w:id="613" w:name="_Toc75875927"/>
      <w:r>
        <w:rPr>
          <w:rStyle w:val="CharSectno"/>
        </w:rPr>
        <w:t>331</w:t>
      </w:r>
      <w:r>
        <w:t>.</w:t>
      </w:r>
      <w:r>
        <w:tab/>
        <w:t>Turn signals</w:t>
      </w:r>
      <w:bookmarkEnd w:id="613"/>
    </w:p>
    <w:p w:rsidR="006724FB" w:rsidRDefault="006724FB">
      <w:pPr>
        <w:pStyle w:val="Subsection"/>
      </w:pPr>
      <w:r>
        <w:tab/>
      </w:r>
      <w:r>
        <w:tab/>
        <w:t xml:space="preserve">A turn signal required by regulation 329 must — </w:t>
      </w:r>
    </w:p>
    <w:p w:rsidR="006724FB" w:rsidRDefault="006724FB">
      <w:pPr>
        <w:pStyle w:val="Indenta"/>
      </w:pPr>
      <w:r>
        <w:tab/>
        <w:t>(a)</w:t>
      </w:r>
      <w:r>
        <w:tab/>
        <w:t xml:space="preserve">consist of a steady or flashing illuminated yellow sign at least 150 mm long and 25 mm wide that — </w:t>
      </w:r>
    </w:p>
    <w:p w:rsidR="006724FB" w:rsidRDefault="006724FB">
      <w:pPr>
        <w:pStyle w:val="Indenti"/>
      </w:pPr>
      <w:r>
        <w:tab/>
        <w:t>(i)</w:t>
      </w:r>
      <w:r>
        <w:tab/>
        <w:t>when in operation — is kept horizontal; and</w:t>
      </w:r>
    </w:p>
    <w:p w:rsidR="006724FB" w:rsidRDefault="006724FB">
      <w:pPr>
        <w:pStyle w:val="Indenti"/>
      </w:pPr>
      <w:r>
        <w:tab/>
        <w:t>(ii)</w:t>
      </w:r>
      <w:r>
        <w:tab/>
        <w:t>when not in operation — is kept in a position so it is unlikely that the driver of another vehicle or anyone else would regard it as a signal;</w:t>
      </w:r>
    </w:p>
    <w:p w:rsidR="006724FB" w:rsidRDefault="006724FB">
      <w:pPr>
        <w:pStyle w:val="Indenta"/>
      </w:pPr>
      <w:r>
        <w:tab/>
      </w:r>
      <w:r>
        <w:tab/>
        <w:t>and</w:t>
      </w:r>
    </w:p>
    <w:p w:rsidR="006724FB" w:rsidRDefault="006724FB">
      <w:pPr>
        <w:pStyle w:val="Indenta"/>
      </w:pPr>
      <w:r>
        <w:tab/>
        <w:t>(b)</w:t>
      </w:r>
      <w:r>
        <w:tab/>
        <w:t xml:space="preserve">be fitted to the side of the motor vehicle at least 500 mm and not over 2.1 m above ground level, in a position so </w:t>
      </w:r>
      <w:r>
        <w:lastRenderedPageBreak/>
        <w:t>the driver of the vehicle, from the normal driving position, can see whether the signal is in operation; and</w:t>
      </w:r>
    </w:p>
    <w:p w:rsidR="006724FB" w:rsidRDefault="006724FB">
      <w:pPr>
        <w:pStyle w:val="Indenta"/>
      </w:pPr>
      <w:r>
        <w:tab/>
        <w:t>(c)</w:t>
      </w:r>
      <w:r>
        <w:tab/>
        <w:t>be able to be operated by the driver from the normal driving position; and</w:t>
      </w:r>
    </w:p>
    <w:p w:rsidR="006724FB" w:rsidRDefault="006724FB">
      <w:pPr>
        <w:pStyle w:val="Indenta"/>
      </w:pPr>
      <w:r>
        <w:tab/>
        <w:t>(d)</w:t>
      </w:r>
      <w:r>
        <w:tab/>
        <w:t>when in operation, be visible from both the front and rear of the vehicle at a distance of 30 m.</w:t>
      </w:r>
    </w:p>
    <w:p w:rsidR="006724FB" w:rsidRDefault="006724FB">
      <w:pPr>
        <w:pStyle w:val="Heading3"/>
      </w:pPr>
      <w:bookmarkStart w:id="614" w:name="_Toc75420004"/>
      <w:bookmarkStart w:id="615" w:name="_Toc75427340"/>
      <w:bookmarkStart w:id="616" w:name="_Toc75872756"/>
      <w:bookmarkStart w:id="617" w:name="_Toc75875928"/>
      <w:r>
        <w:rPr>
          <w:rStyle w:val="CharDivNo"/>
        </w:rPr>
        <w:t>Division 9</w:t>
      </w:r>
      <w:r>
        <w:t> — </w:t>
      </w:r>
      <w:r>
        <w:rPr>
          <w:rStyle w:val="CharDivText"/>
        </w:rPr>
        <w:t>Braking systems</w:t>
      </w:r>
      <w:bookmarkEnd w:id="614"/>
      <w:bookmarkEnd w:id="615"/>
      <w:bookmarkEnd w:id="616"/>
      <w:bookmarkEnd w:id="617"/>
    </w:p>
    <w:p w:rsidR="006724FB" w:rsidRDefault="006724FB">
      <w:pPr>
        <w:pStyle w:val="Heading4"/>
      </w:pPr>
      <w:bookmarkStart w:id="618" w:name="_Toc75420005"/>
      <w:bookmarkStart w:id="619" w:name="_Toc75427341"/>
      <w:bookmarkStart w:id="620" w:name="_Toc75872757"/>
      <w:bookmarkStart w:id="621" w:name="_Toc75875929"/>
      <w:r>
        <w:t>Subdivision 1 — Brake requirements for motor vehicles, trailers, combinations</w:t>
      </w:r>
      <w:bookmarkEnd w:id="618"/>
      <w:bookmarkEnd w:id="619"/>
      <w:bookmarkEnd w:id="620"/>
      <w:bookmarkEnd w:id="621"/>
    </w:p>
    <w:p w:rsidR="006724FB" w:rsidRDefault="006724FB">
      <w:pPr>
        <w:pStyle w:val="Heading5"/>
      </w:pPr>
      <w:bookmarkStart w:id="622" w:name="_Toc75875930"/>
      <w:r>
        <w:rPr>
          <w:rStyle w:val="CharSectno"/>
        </w:rPr>
        <w:t>332</w:t>
      </w:r>
      <w:r>
        <w:t>.</w:t>
      </w:r>
      <w:r>
        <w:tab/>
        <w:t>Braking system materials, components for certain vehicles</w:t>
      </w:r>
      <w:bookmarkEnd w:id="622"/>
    </w:p>
    <w:p w:rsidR="006724FB" w:rsidRDefault="006724FB">
      <w:pPr>
        <w:pStyle w:val="Subsection"/>
      </w:pPr>
      <w:r>
        <w:tab/>
        <w:t>(1)</w:t>
      </w:r>
      <w:r>
        <w:tab/>
        <w:t>A brake tube or hose fitted to a motor vehicle, trailer or any vehicle in a combination must —</w:t>
      </w:r>
    </w:p>
    <w:p w:rsidR="006724FB" w:rsidRDefault="006724FB">
      <w:pPr>
        <w:pStyle w:val="Indenta"/>
      </w:pPr>
      <w:r>
        <w:tab/>
        <w:t>(a)</w:t>
      </w:r>
      <w:r>
        <w:tab/>
        <w:t>be manufactured from a material appropriate to its intended use in the vehicle; and</w:t>
      </w:r>
    </w:p>
    <w:p w:rsidR="006724FB" w:rsidRDefault="006724FB">
      <w:pPr>
        <w:pStyle w:val="Indenta"/>
      </w:pPr>
      <w:r>
        <w:tab/>
        <w:t>(b)</w:t>
      </w:r>
      <w:r>
        <w:tab/>
        <w:t>be long enough to allow for the full range of steering and suspension movements of the vehicle; and</w:t>
      </w:r>
    </w:p>
    <w:p w:rsidR="006724FB" w:rsidRDefault="006724FB">
      <w:pPr>
        <w:pStyle w:val="Indenta"/>
      </w:pPr>
      <w:r>
        <w:tab/>
        <w:t>(c)</w:t>
      </w:r>
      <w:r>
        <w:tab/>
        <w:t xml:space="preserve">be fitted to prevent it being damaged during the operation of the vehicle by — </w:t>
      </w:r>
    </w:p>
    <w:p w:rsidR="006724FB" w:rsidRDefault="006724FB">
      <w:pPr>
        <w:pStyle w:val="Indenti"/>
      </w:pPr>
      <w:r>
        <w:tab/>
        <w:t>(i)</w:t>
      </w:r>
      <w:r>
        <w:tab/>
        <w:t>a source of heat; or</w:t>
      </w:r>
    </w:p>
    <w:p w:rsidR="006724FB" w:rsidRDefault="006724FB">
      <w:pPr>
        <w:pStyle w:val="Indenti"/>
      </w:pPr>
      <w:r>
        <w:tab/>
        <w:t>(ii)</w:t>
      </w:r>
      <w:r>
        <w:tab/>
        <w:t>any movement of the parts to which it is attached or near.</w:t>
      </w:r>
    </w:p>
    <w:p w:rsidR="006724FB" w:rsidRDefault="006724FB">
      <w:pPr>
        <w:pStyle w:val="Subsection"/>
      </w:pPr>
      <w:r>
        <w:tab/>
        <w:t>(2)</w:t>
      </w:r>
      <w:r>
        <w:tab/>
        <w:t xml:space="preserve">Each component of the braking system of a heavy vehicle must comply with the design and performance requirements of — </w:t>
      </w:r>
    </w:p>
    <w:p w:rsidR="006724FB" w:rsidRDefault="006724FB">
      <w:pPr>
        <w:pStyle w:val="Indenta"/>
      </w:pPr>
      <w:r>
        <w:tab/>
        <w:t>(a)</w:t>
      </w:r>
      <w:r>
        <w:tab/>
        <w:t xml:space="preserve">a relevant standard made on or before 29 January 1999 approved by any of these bodies and as in force on 29 January 1999 — </w:t>
      </w:r>
    </w:p>
    <w:p w:rsidR="006724FB" w:rsidRDefault="006724FB">
      <w:pPr>
        <w:pStyle w:val="Indenti"/>
      </w:pPr>
      <w:r>
        <w:tab/>
        <w:t>(i)</w:t>
      </w:r>
      <w:r>
        <w:tab/>
        <w:t>Standards Australia;</w:t>
      </w:r>
    </w:p>
    <w:p w:rsidR="006724FB" w:rsidRDefault="006724FB">
      <w:pPr>
        <w:pStyle w:val="Indenti"/>
      </w:pPr>
      <w:r>
        <w:tab/>
        <w:t>(ii)</w:t>
      </w:r>
      <w:r>
        <w:tab/>
        <w:t>British Standards Institution;</w:t>
      </w:r>
    </w:p>
    <w:p w:rsidR="006724FB" w:rsidRDefault="006724FB">
      <w:pPr>
        <w:pStyle w:val="Indenti"/>
      </w:pPr>
      <w:r>
        <w:tab/>
        <w:t>(iii)</w:t>
      </w:r>
      <w:r>
        <w:tab/>
        <w:t>American Society of Automotive Engineers;</w:t>
      </w:r>
    </w:p>
    <w:p w:rsidR="006724FB" w:rsidRDefault="006724FB">
      <w:pPr>
        <w:pStyle w:val="Indenti"/>
      </w:pPr>
      <w:r>
        <w:tab/>
        <w:t>(iv)</w:t>
      </w:r>
      <w:r>
        <w:tab/>
        <w:t>American National Standards Institute;</w:t>
      </w:r>
    </w:p>
    <w:p w:rsidR="006724FB" w:rsidRDefault="006724FB">
      <w:pPr>
        <w:pStyle w:val="Indenti"/>
      </w:pPr>
      <w:r>
        <w:lastRenderedPageBreak/>
        <w:tab/>
        <w:t>(v)</w:t>
      </w:r>
      <w:r>
        <w:tab/>
        <w:t>Japanese Standards Association;</w:t>
      </w:r>
    </w:p>
    <w:p w:rsidR="006724FB" w:rsidRDefault="006724FB">
      <w:pPr>
        <w:pStyle w:val="Indenti"/>
      </w:pPr>
      <w:r>
        <w:tab/>
        <w:t>(vi)</w:t>
      </w:r>
      <w:r>
        <w:tab/>
        <w:t>Deutsches Institut für Normung;</w:t>
      </w:r>
    </w:p>
    <w:p w:rsidR="006724FB" w:rsidRDefault="006724FB">
      <w:pPr>
        <w:pStyle w:val="Indenti"/>
      </w:pPr>
      <w:r>
        <w:tab/>
        <w:t>(vii)</w:t>
      </w:r>
      <w:r>
        <w:tab/>
        <w:t>International Organisation for Standardisation;</w:t>
      </w:r>
    </w:p>
    <w:p w:rsidR="006724FB" w:rsidRDefault="006724FB">
      <w:pPr>
        <w:pStyle w:val="Indenti"/>
      </w:pPr>
      <w:r>
        <w:tab/>
        <w:t>(viii)</w:t>
      </w:r>
      <w:r>
        <w:tab/>
        <w:t>European Committee for Standardization (CEN);</w:t>
      </w:r>
    </w:p>
    <w:p w:rsidR="006724FB" w:rsidRDefault="006724FB">
      <w:pPr>
        <w:pStyle w:val="Indenta"/>
      </w:pPr>
      <w:r>
        <w:tab/>
      </w:r>
      <w:r>
        <w:tab/>
        <w:t>or</w:t>
      </w:r>
    </w:p>
    <w:p w:rsidR="006724FB" w:rsidRDefault="006724FB">
      <w:pPr>
        <w:pStyle w:val="Indenta"/>
      </w:pPr>
      <w:r>
        <w:tab/>
        <w:t>(b)</w:t>
      </w:r>
      <w:r>
        <w:tab/>
        <w:t>a relevant standard made after 29 January 1999 approved by any of the bodies mentioned in paragraph (a) and as in force on the day on which the standard was approved.</w:t>
      </w:r>
    </w:p>
    <w:p w:rsidR="006724FB" w:rsidRDefault="006724FB">
      <w:pPr>
        <w:pStyle w:val="Heading5"/>
      </w:pPr>
      <w:bookmarkStart w:id="623" w:name="_Toc75875931"/>
      <w:r>
        <w:rPr>
          <w:rStyle w:val="CharSectno"/>
        </w:rPr>
        <w:t>333</w:t>
      </w:r>
      <w:r>
        <w:t>.</w:t>
      </w:r>
      <w:r>
        <w:tab/>
        <w:t>Provision for wear</w:t>
      </w:r>
      <w:bookmarkEnd w:id="623"/>
    </w:p>
    <w:p w:rsidR="006724FB" w:rsidRDefault="006724FB">
      <w:pPr>
        <w:pStyle w:val="Subsection"/>
      </w:pPr>
      <w:r>
        <w:tab/>
      </w:r>
      <w:r>
        <w:tab/>
        <w:t>The braking system of a motor vehicle, trailer or any vehicle in a combination must allow for adjustment to take account of normal wear.</w:t>
      </w:r>
    </w:p>
    <w:p w:rsidR="006724FB" w:rsidRDefault="006724FB">
      <w:pPr>
        <w:pStyle w:val="Heading5"/>
        <w:spacing w:before="160"/>
      </w:pPr>
      <w:bookmarkStart w:id="624" w:name="_Toc75875932"/>
      <w:r>
        <w:rPr>
          <w:rStyle w:val="CharSectno"/>
        </w:rPr>
        <w:t>334</w:t>
      </w:r>
      <w:r>
        <w:t>.</w:t>
      </w:r>
      <w:r>
        <w:tab/>
        <w:t>Supply of air or vacuum to brakes of certain vehicles</w:t>
      </w:r>
      <w:bookmarkEnd w:id="624"/>
    </w:p>
    <w:p w:rsidR="006724FB" w:rsidRDefault="006724FB">
      <w:pPr>
        <w:pStyle w:val="Subsection"/>
      </w:pPr>
      <w:r>
        <w:tab/>
        <w:t>(1A)</w:t>
      </w:r>
      <w:r>
        <w:tab/>
        <w:t xml:space="preserve">In this regulation — </w:t>
      </w:r>
    </w:p>
    <w:p w:rsidR="006724FB" w:rsidRDefault="006724FB">
      <w:pPr>
        <w:pStyle w:val="Defstart"/>
      </w:pPr>
      <w:r>
        <w:tab/>
      </w:r>
      <w:r>
        <w:rPr>
          <w:rStyle w:val="CharDefText"/>
        </w:rPr>
        <w:t>compressed air reserve</w:t>
      </w:r>
      <w:r>
        <w:t>, for a vehicle, means compressed air stored on the vehicle for supplying the vehicle’s braking system;</w:t>
      </w:r>
    </w:p>
    <w:p w:rsidR="006724FB" w:rsidRDefault="006724FB">
      <w:pPr>
        <w:pStyle w:val="Defstart"/>
      </w:pPr>
      <w:r>
        <w:tab/>
      </w:r>
      <w:r>
        <w:rPr>
          <w:rStyle w:val="CharDefText"/>
        </w:rPr>
        <w:t>condensate drain valve</w:t>
      </w:r>
      <w:r>
        <w:t xml:space="preserve"> means a device used to remove water from the compressed air reserve for a vehicle fitted with air brakes;</w:t>
      </w:r>
    </w:p>
    <w:p w:rsidR="006724FB" w:rsidRDefault="006724FB">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rsidR="006724FB" w:rsidRDefault="006724FB">
      <w:pPr>
        <w:pStyle w:val="Defstart"/>
      </w:pPr>
      <w:r>
        <w:tab/>
      </w:r>
      <w:r>
        <w:rPr>
          <w:rStyle w:val="CharDefText"/>
        </w:rPr>
        <w:t>spring brake</w:t>
      </w:r>
      <w:r>
        <w:t xml:space="preserve"> means a brake using one or more springs to store the energy needed to operate the brake;</w:t>
      </w:r>
    </w:p>
    <w:p w:rsidR="006724FB" w:rsidRDefault="006724FB">
      <w:pPr>
        <w:pStyle w:val="Defstart"/>
      </w:pPr>
      <w:r>
        <w:tab/>
      </w:r>
      <w:r>
        <w:rPr>
          <w:rStyle w:val="CharDefText"/>
        </w:rPr>
        <w:t>vacuum reserve</w:t>
      </w:r>
      <w:r>
        <w:t>, in relation to a vehicle, means air at a low pressure stored on the vehicle for supplying the vehicle’s braking system.</w:t>
      </w:r>
    </w:p>
    <w:p w:rsidR="006724FB" w:rsidRDefault="006724FB">
      <w:pPr>
        <w:pStyle w:val="Subsection"/>
        <w:keepNext/>
      </w:pPr>
      <w:r>
        <w:lastRenderedPageBreak/>
        <w:tab/>
        <w:t>(1)</w:t>
      </w:r>
      <w:r>
        <w:tab/>
        <w:t xml:space="preserve">If air brakes are fitted to a motor vehicle, trailer or any vehicle in a combination — </w:t>
      </w:r>
    </w:p>
    <w:p w:rsidR="006724FB" w:rsidRDefault="006724FB">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rsidR="006724FB" w:rsidRDefault="006724FB">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rsidR="006724FB" w:rsidRDefault="006724FB">
      <w:pPr>
        <w:pStyle w:val="Indenta"/>
      </w:pPr>
      <w:r>
        <w:tab/>
        <w:t>(c)</w:t>
      </w:r>
      <w:r>
        <w:tab/>
        <w:t>there must be an automatic or manual condensate drain valve at the lowest point of each air brake reservoir in the vehicle’s braking system; and</w:t>
      </w:r>
    </w:p>
    <w:p w:rsidR="006724FB" w:rsidRDefault="006724FB">
      <w:pPr>
        <w:pStyle w:val="Indenta"/>
      </w:pPr>
      <w:r>
        <w:tab/>
        <w:t>(d)</w:t>
      </w:r>
      <w:r>
        <w:tab/>
        <w:t>any spring brake fitted to the vehicle must not operate before the warning mentioned in regulation 338(4)(a) or 341(4)(a) has been given.</w:t>
      </w:r>
    </w:p>
    <w:p w:rsidR="006724FB" w:rsidRDefault="006724FB">
      <w:pPr>
        <w:pStyle w:val="Ednotesubsection"/>
      </w:pPr>
      <w:r>
        <w:tab/>
        <w:t>[(2)</w:t>
      </w:r>
      <w:r>
        <w:tab/>
        <w:t>deleted]</w:t>
      </w:r>
    </w:p>
    <w:p w:rsidR="006724FB" w:rsidRDefault="006724FB">
      <w:pPr>
        <w:pStyle w:val="Subsection"/>
      </w:pPr>
      <w:r>
        <w:tab/>
        <w:t>(3)</w:t>
      </w:r>
      <w:r>
        <w:tab/>
        <w:t xml:space="preserve">If vacuum brakes are fitted to a motor vehicle, trailer or any vehicle in a combination, the vacuum supply must be able to build up a vacuum — </w:t>
      </w:r>
    </w:p>
    <w:p w:rsidR="006724FB" w:rsidRDefault="006724FB">
      <w:pPr>
        <w:pStyle w:val="Indenta"/>
      </w:pPr>
      <w:r>
        <w:tab/>
        <w:t>(a)</w:t>
      </w:r>
      <w:r>
        <w:tab/>
        <w:t>to the level when the warning signal mentioned in regulation 338(4)(a) or 341(4)(a) no longer operates within 30 seconds after the vacuum reserve is fully used up; and</w:t>
      </w:r>
    </w:p>
    <w:p w:rsidR="006724FB" w:rsidRDefault="006724FB">
      <w:pPr>
        <w:pStyle w:val="Indenta"/>
      </w:pPr>
      <w:r>
        <w:tab/>
        <w:t>(b)</w:t>
      </w:r>
      <w:r>
        <w:tab/>
        <w:t>to the normal working level within 60 seconds after the vacuum reserve is fully used up.</w:t>
      </w:r>
    </w:p>
    <w:p w:rsidR="006724FB" w:rsidRDefault="006724FB">
      <w:pPr>
        <w:pStyle w:val="Footnotesection"/>
      </w:pPr>
      <w:r>
        <w:tab/>
        <w:t>[Regulation 334 amended: Gazette 29 Mar 2019 p. 969.]</w:t>
      </w:r>
    </w:p>
    <w:p w:rsidR="006724FB" w:rsidRDefault="006724FB">
      <w:pPr>
        <w:pStyle w:val="Heading5"/>
        <w:spacing w:before="240"/>
      </w:pPr>
      <w:bookmarkStart w:id="625" w:name="_Toc75875933"/>
      <w:r>
        <w:rPr>
          <w:rStyle w:val="CharSectno"/>
        </w:rPr>
        <w:t>335</w:t>
      </w:r>
      <w:r>
        <w:t>.</w:t>
      </w:r>
      <w:r>
        <w:tab/>
        <w:t>Performance of braking systems of certain vehicles</w:t>
      </w:r>
      <w:bookmarkEnd w:id="625"/>
    </w:p>
    <w:p w:rsidR="006724FB" w:rsidRDefault="006724FB">
      <w:pPr>
        <w:pStyle w:val="Subsection"/>
        <w:keepNext/>
      </w:pPr>
      <w:r>
        <w:tab/>
        <w:t>(1)</w:t>
      </w:r>
      <w:r>
        <w:tab/>
        <w:t xml:space="preserve">One sustained application of the brake of a motor vehicle built after 1930, or a combination that includes a motor vehicle built </w:t>
      </w:r>
      <w:r>
        <w:lastRenderedPageBreak/>
        <w:t xml:space="preserve">after 1930, must be able to produce the performance mentioned in subregulations (2) to (7) — </w:t>
      </w:r>
    </w:p>
    <w:p w:rsidR="006724FB" w:rsidRDefault="006724FB">
      <w:pPr>
        <w:pStyle w:val="Indenta"/>
      </w:pPr>
      <w:r>
        <w:tab/>
        <w:t>(a)</w:t>
      </w:r>
      <w:r>
        <w:tab/>
        <w:t>when the vehicle or combination is on a dry, smooth, level road surface, free from loose material; and</w:t>
      </w:r>
    </w:p>
    <w:p w:rsidR="006724FB" w:rsidRDefault="006724FB">
      <w:pPr>
        <w:pStyle w:val="Indenta"/>
      </w:pPr>
      <w:r>
        <w:tab/>
        <w:t>(b)</w:t>
      </w:r>
      <w:r>
        <w:tab/>
        <w:t>whether or not the vehicle or combination is loaded; and</w:t>
      </w:r>
    </w:p>
    <w:p w:rsidR="006724FB" w:rsidRDefault="006724FB">
      <w:pPr>
        <w:pStyle w:val="Indenta"/>
      </w:pPr>
      <w:r>
        <w:tab/>
        <w:t>(c)</w:t>
      </w:r>
      <w:r>
        <w:tab/>
        <w:t xml:space="preserve">without part of the vehicle or combination moving outside a straight path — </w:t>
      </w:r>
    </w:p>
    <w:p w:rsidR="006724FB" w:rsidRDefault="006724FB">
      <w:pPr>
        <w:pStyle w:val="Indenti"/>
      </w:pPr>
      <w:r>
        <w:tab/>
        <w:t>(i)</w:t>
      </w:r>
      <w:r>
        <w:tab/>
        <w:t>centred on the longitudinal axis of the vehicle or combination before the brake was applied; and</w:t>
      </w:r>
    </w:p>
    <w:p w:rsidR="006724FB" w:rsidRDefault="006724FB">
      <w:pPr>
        <w:pStyle w:val="Indenti"/>
      </w:pPr>
      <w:r>
        <w:tab/>
        <w:t>(ii)</w:t>
      </w:r>
      <w:r>
        <w:tab/>
        <w:t>3.7 m wide.</w:t>
      </w:r>
    </w:p>
    <w:p w:rsidR="006724FB" w:rsidRDefault="006724FB">
      <w:pPr>
        <w:pStyle w:val="Subsection"/>
      </w:pPr>
      <w:r>
        <w:tab/>
        <w:t>(2)</w:t>
      </w:r>
      <w:r>
        <w:tab/>
        <w:t>The braking system of a motor vehicle with a gross mass of less than 2.5 t must bring the vehicle from a speed of 35 km/h to a stop within —</w:t>
      </w:r>
    </w:p>
    <w:p w:rsidR="006724FB" w:rsidRDefault="006724FB">
      <w:pPr>
        <w:pStyle w:val="Indenta"/>
      </w:pPr>
      <w:r>
        <w:tab/>
        <w:t>(a)</w:t>
      </w:r>
      <w:r>
        <w:tab/>
        <w:t>12.5 m when the service brake is applied; and</w:t>
      </w:r>
    </w:p>
    <w:p w:rsidR="006724FB" w:rsidRDefault="006724FB">
      <w:pPr>
        <w:pStyle w:val="Indenta"/>
      </w:pPr>
      <w:r>
        <w:tab/>
        <w:t>(b)</w:t>
      </w:r>
      <w:r>
        <w:tab/>
        <w:t>30 m when the emergency brake is applied.</w:t>
      </w:r>
    </w:p>
    <w:p w:rsidR="006724FB" w:rsidRDefault="006724FB">
      <w:pPr>
        <w:pStyle w:val="Subsection"/>
      </w:pPr>
      <w:r>
        <w:tab/>
        <w:t>(3)</w:t>
      </w:r>
      <w:r>
        <w:tab/>
        <w:t xml:space="preserve">The braking system of a motor vehicle with a gross mass of 2.5 t or more must bring the vehicle from a speed of 35 km/h to a stop within — </w:t>
      </w:r>
    </w:p>
    <w:p w:rsidR="006724FB" w:rsidRDefault="006724FB">
      <w:pPr>
        <w:pStyle w:val="Indenta"/>
      </w:pPr>
      <w:r>
        <w:tab/>
        <w:t>(a)</w:t>
      </w:r>
      <w:r>
        <w:tab/>
        <w:t>16.5 m when the service brake is applied; and</w:t>
      </w:r>
    </w:p>
    <w:p w:rsidR="006724FB" w:rsidRDefault="006724FB">
      <w:pPr>
        <w:pStyle w:val="Indenta"/>
      </w:pPr>
      <w:r>
        <w:tab/>
        <w:t>(b)</w:t>
      </w:r>
      <w:r>
        <w:tab/>
        <w:t>40.5 m when the emergency brake is applied.</w:t>
      </w:r>
    </w:p>
    <w:p w:rsidR="006724FB" w:rsidRDefault="006724FB">
      <w:pPr>
        <w:pStyle w:val="Subsection"/>
      </w:pPr>
      <w:r>
        <w:tab/>
        <w:t>(4)</w:t>
      </w:r>
      <w:r>
        <w:tab/>
        <w:t>The braking system of a motor vehicle with a gross mass of less than 2.5 t must decelerate the vehicle from any speed at which the vehicle can travel, by an average of at least —</w:t>
      </w:r>
    </w:p>
    <w:p w:rsidR="006724FB" w:rsidRDefault="006724FB">
      <w:pPr>
        <w:pStyle w:val="Indenta"/>
      </w:pPr>
      <w:r>
        <w:tab/>
        <w:t>(a)</w:t>
      </w:r>
      <w:r>
        <w:tab/>
        <w:t>3.8 m a second a second when the service brake is applied; and</w:t>
      </w:r>
    </w:p>
    <w:p w:rsidR="006724FB" w:rsidRDefault="006724FB">
      <w:pPr>
        <w:pStyle w:val="Indenta"/>
      </w:pPr>
      <w:r>
        <w:tab/>
        <w:t>(b)</w:t>
      </w:r>
      <w:r>
        <w:tab/>
        <w:t>1.6 m a second a second when the emergency brake is applied.</w:t>
      </w:r>
    </w:p>
    <w:p w:rsidR="006724FB" w:rsidRDefault="006724FB">
      <w:pPr>
        <w:pStyle w:val="Subsection"/>
        <w:keepNext/>
      </w:pPr>
      <w:r>
        <w:lastRenderedPageBreak/>
        <w:tab/>
        <w:t>(5)</w:t>
      </w:r>
      <w:r>
        <w:tab/>
        <w:t xml:space="preserve">The braking system of a motor vehicle with a gross mass of 2.5 t or more must decelerate the vehicle from any speed at which the vehicle can travel, by an average of at least — </w:t>
      </w:r>
    </w:p>
    <w:p w:rsidR="006724FB" w:rsidRDefault="006724FB">
      <w:pPr>
        <w:pStyle w:val="Indenta"/>
      </w:pPr>
      <w:r>
        <w:tab/>
        <w:t>(a)</w:t>
      </w:r>
      <w:r>
        <w:tab/>
        <w:t>2.8 m a second a second when the service brake is applied; and</w:t>
      </w:r>
    </w:p>
    <w:p w:rsidR="006724FB" w:rsidRDefault="006724FB">
      <w:pPr>
        <w:pStyle w:val="Indenta"/>
      </w:pPr>
      <w:r>
        <w:tab/>
        <w:t>(b)</w:t>
      </w:r>
      <w:r>
        <w:tab/>
        <w:t>1.1 m a second a second when the emergency brake is applied.</w:t>
      </w:r>
    </w:p>
    <w:p w:rsidR="006724FB" w:rsidRDefault="006724FB">
      <w:pPr>
        <w:pStyle w:val="Subsection"/>
      </w:pPr>
      <w:r>
        <w:tab/>
        <w:t>(6)</w:t>
      </w:r>
      <w:r>
        <w:tab/>
        <w:t xml:space="preserve">The braking system of a motor vehicle with a gross mass of less than 2.5 t must achieve a peak deceleration of the vehicle from any speed at which the vehicle can travel, of at least — </w:t>
      </w:r>
    </w:p>
    <w:p w:rsidR="006724FB" w:rsidRDefault="006724FB">
      <w:pPr>
        <w:pStyle w:val="Indenta"/>
      </w:pPr>
      <w:r>
        <w:tab/>
        <w:t>(a)</w:t>
      </w:r>
      <w:r>
        <w:tab/>
        <w:t>5.8 m a second a second when the service brake is applied; and</w:t>
      </w:r>
    </w:p>
    <w:p w:rsidR="006724FB" w:rsidRDefault="006724FB">
      <w:pPr>
        <w:pStyle w:val="Indenta"/>
      </w:pPr>
      <w:r>
        <w:tab/>
        <w:t>(b)</w:t>
      </w:r>
      <w:r>
        <w:tab/>
        <w:t>1.9 m a second a second when the emergency brake is applied.</w:t>
      </w:r>
    </w:p>
    <w:p w:rsidR="006724FB" w:rsidRDefault="006724FB">
      <w:pPr>
        <w:pStyle w:val="Subsection"/>
      </w:pPr>
      <w:r>
        <w:tab/>
        <w:t>(7)</w:t>
      </w:r>
      <w:r>
        <w:tab/>
        <w:t xml:space="preserve">The braking system of a motor vehicle with a gross mass of 2.5 t or more must achieve a peak deceleration of the vehicle from any speed at which the vehicle can travel, of at least — </w:t>
      </w:r>
    </w:p>
    <w:p w:rsidR="006724FB" w:rsidRDefault="006724FB">
      <w:pPr>
        <w:pStyle w:val="Indenta"/>
      </w:pPr>
      <w:r>
        <w:tab/>
        <w:t>(a)</w:t>
      </w:r>
      <w:r>
        <w:tab/>
        <w:t>4.4 m a second a second when the service brake is applied; and</w:t>
      </w:r>
    </w:p>
    <w:p w:rsidR="006724FB" w:rsidRDefault="006724FB">
      <w:pPr>
        <w:pStyle w:val="Indenta"/>
      </w:pPr>
      <w:r>
        <w:tab/>
        <w:t>(b)</w:t>
      </w:r>
      <w:r>
        <w:tab/>
        <w:t>1.5 m a second a second when the emergency brake is applied.</w:t>
      </w:r>
    </w:p>
    <w:p w:rsidR="006724FB" w:rsidRDefault="006724FB">
      <w:pPr>
        <w:pStyle w:val="Subsection"/>
      </w:pPr>
      <w:r>
        <w:tab/>
        <w:t>(8)</w:t>
      </w:r>
      <w:r>
        <w:tab/>
        <w:t xml:space="preserve">The parking brake of a vehicle or combination must be able to hold the vehicle or combination stationary on a 12% gradient — </w:t>
      </w:r>
    </w:p>
    <w:p w:rsidR="006724FB" w:rsidRDefault="006724FB">
      <w:pPr>
        <w:pStyle w:val="Indenta"/>
      </w:pPr>
      <w:r>
        <w:tab/>
        <w:t>(a)</w:t>
      </w:r>
      <w:r>
        <w:tab/>
        <w:t>when the vehicle or combination is on a dry, smooth road surface, free from loose material; and</w:t>
      </w:r>
    </w:p>
    <w:p w:rsidR="006724FB" w:rsidRDefault="006724FB">
      <w:pPr>
        <w:pStyle w:val="Indenta"/>
      </w:pPr>
      <w:r>
        <w:tab/>
        <w:t>(b)</w:t>
      </w:r>
      <w:r>
        <w:tab/>
        <w:t>whether or not the vehicle or combination is loaded.</w:t>
      </w:r>
    </w:p>
    <w:p w:rsidR="006724FB" w:rsidRDefault="006724FB">
      <w:pPr>
        <w:pStyle w:val="Footnotesection"/>
      </w:pPr>
      <w:r>
        <w:tab/>
        <w:t>[Regulation 335 amended: Gazette 29 Mar 2019 p. 969</w:t>
      </w:r>
      <w:r>
        <w:noBreakHyphen/>
        <w:t>70.]</w:t>
      </w:r>
    </w:p>
    <w:p w:rsidR="006724FB" w:rsidRDefault="006724FB">
      <w:pPr>
        <w:pStyle w:val="Heading4"/>
      </w:pPr>
      <w:bookmarkStart w:id="626" w:name="_Toc75420010"/>
      <w:bookmarkStart w:id="627" w:name="_Toc75427346"/>
      <w:bookmarkStart w:id="628" w:name="_Toc75872762"/>
      <w:bookmarkStart w:id="629" w:name="_Toc75875934"/>
      <w:r>
        <w:lastRenderedPageBreak/>
        <w:t>Subdivision 2 — Motor vehicle braking systems</w:t>
      </w:r>
      <w:bookmarkEnd w:id="626"/>
      <w:bookmarkEnd w:id="627"/>
      <w:bookmarkEnd w:id="628"/>
      <w:bookmarkEnd w:id="629"/>
    </w:p>
    <w:p w:rsidR="006724FB" w:rsidRDefault="006724FB">
      <w:pPr>
        <w:pStyle w:val="Heading5"/>
      </w:pPr>
      <w:bookmarkStart w:id="630" w:name="_Toc75875935"/>
      <w:r>
        <w:rPr>
          <w:rStyle w:val="CharSectno"/>
        </w:rPr>
        <w:t>336</w:t>
      </w:r>
      <w:r>
        <w:t>.</w:t>
      </w:r>
      <w:r>
        <w:tab/>
        <w:t>Motor vehicle braking system requirements</w:t>
      </w:r>
      <w:bookmarkEnd w:id="630"/>
    </w:p>
    <w:p w:rsidR="006724FB" w:rsidRDefault="006724FB">
      <w:pPr>
        <w:pStyle w:val="Subsection"/>
        <w:keepNext/>
      </w:pPr>
      <w:r>
        <w:tab/>
        <w:t>(1)</w:t>
      </w:r>
      <w:r>
        <w:tab/>
        <w:t xml:space="preserve">In this regulation — </w:t>
      </w:r>
    </w:p>
    <w:p w:rsidR="006724FB" w:rsidRDefault="006724FB">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rsidR="006724FB" w:rsidRDefault="006724FB">
      <w:pPr>
        <w:pStyle w:val="Subsection"/>
      </w:pPr>
      <w:r>
        <w:tab/>
        <w:t>(2)</w:t>
      </w:r>
      <w:r>
        <w:tab/>
        <w:t xml:space="preserve">A motor vehicle with 4 or more wheels built or used mainly for transporting goods or people by road must be fitted with — </w:t>
      </w:r>
    </w:p>
    <w:p w:rsidR="006724FB" w:rsidRDefault="006724FB">
      <w:pPr>
        <w:pStyle w:val="Indenta"/>
      </w:pPr>
      <w:r>
        <w:tab/>
        <w:t>(a)</w:t>
      </w:r>
      <w:r>
        <w:tab/>
        <w:t xml:space="preserve">a braking system that — </w:t>
      </w:r>
    </w:p>
    <w:p w:rsidR="006724FB" w:rsidRDefault="006724FB">
      <w:pPr>
        <w:pStyle w:val="Indenti"/>
      </w:pPr>
      <w:r>
        <w:tab/>
        <w:t>(i)</w:t>
      </w:r>
      <w:r>
        <w:tab/>
        <w:t>consists of brakes fitted to all wheels of the vehicle; and</w:t>
      </w:r>
    </w:p>
    <w:p w:rsidR="006724FB" w:rsidRDefault="006724FB">
      <w:pPr>
        <w:pStyle w:val="Indenti"/>
      </w:pPr>
      <w:r>
        <w:tab/>
        <w:t>(ii)</w:t>
      </w:r>
      <w:r>
        <w:tab/>
        <w:t>has at least 2 separate methods of activation, arranged so effective braking remains on at least 2 wheels if a method fails;</w:t>
      </w:r>
    </w:p>
    <w:p w:rsidR="006724FB" w:rsidRDefault="006724FB">
      <w:pPr>
        <w:pStyle w:val="Indenta"/>
      </w:pPr>
      <w:r>
        <w:tab/>
      </w:r>
      <w:r>
        <w:tab/>
        <w:t>or</w:t>
      </w:r>
    </w:p>
    <w:p w:rsidR="006724FB" w:rsidRDefault="006724FB">
      <w:pPr>
        <w:pStyle w:val="Indenta"/>
      </w:pPr>
      <w:r>
        <w:tab/>
        <w:t>(b)</w:t>
      </w:r>
      <w:r>
        <w:tab/>
        <w:t>2 independent brakes, each of which, when in operation, acts directly on at least half the number of wheels of the vehicle.</w:t>
      </w:r>
    </w:p>
    <w:p w:rsidR="006724FB" w:rsidRDefault="006724FB">
      <w:pPr>
        <w:pStyle w:val="Subsection"/>
      </w:pPr>
      <w:r>
        <w:tab/>
        <w:t>(3)</w:t>
      </w:r>
      <w:r>
        <w:tab/>
        <w:t xml:space="preserve">The braking system of a motor vehicle mentioned in subregulation (2) that was built after 1945 must have a service brake operating on all wheels that, when applied — </w:t>
      </w:r>
    </w:p>
    <w:p w:rsidR="006724FB" w:rsidRDefault="006724FB">
      <w:pPr>
        <w:pStyle w:val="Indenta"/>
      </w:pPr>
      <w:r>
        <w:tab/>
        <w:t>(a)</w:t>
      </w:r>
      <w:r>
        <w:tab/>
        <w:t>acts directly on the wheels and not through the vehicle’s transmission; or</w:t>
      </w:r>
    </w:p>
    <w:p w:rsidR="006724FB" w:rsidRDefault="006724FB">
      <w:pPr>
        <w:pStyle w:val="Indenta"/>
      </w:pPr>
      <w:r>
        <w:tab/>
        <w:t>(b)</w:t>
      </w:r>
      <w:r>
        <w:tab/>
        <w:t>acts on a shaft between a differential of the vehicle and a wheel.</w:t>
      </w:r>
    </w:p>
    <w:p w:rsidR="006724FB" w:rsidRDefault="006724FB">
      <w:pPr>
        <w:pStyle w:val="Subsection"/>
      </w:pPr>
      <w:r>
        <w:tab/>
        <w:t>(4)</w:t>
      </w:r>
      <w:r>
        <w:tab/>
        <w:t xml:space="preserve">The braking system of a motor vehicle with 4 or more wheels must have a parking brake that — </w:t>
      </w:r>
    </w:p>
    <w:p w:rsidR="006724FB" w:rsidRDefault="006724FB">
      <w:pPr>
        <w:pStyle w:val="Indenta"/>
      </w:pPr>
      <w:r>
        <w:tab/>
        <w:t>(a)</w:t>
      </w:r>
      <w:r>
        <w:tab/>
        <w:t>is held in the applied position by direct mechanical action without the intervention of an electrical, hydraulic or pneumatic device; and</w:t>
      </w:r>
    </w:p>
    <w:p w:rsidR="006724FB" w:rsidRDefault="006724FB">
      <w:pPr>
        <w:pStyle w:val="Indenta"/>
      </w:pPr>
      <w:r>
        <w:lastRenderedPageBreak/>
        <w:tab/>
        <w:t>(b)</w:t>
      </w:r>
      <w:r>
        <w:tab/>
        <w:t>is fitted with a locking device that can hold the brake in the applied position; and</w:t>
      </w:r>
    </w:p>
    <w:p w:rsidR="006724FB" w:rsidRDefault="006724FB">
      <w:pPr>
        <w:pStyle w:val="Indenta"/>
      </w:pPr>
      <w:r>
        <w:tab/>
        <w:t>(c)</w:t>
      </w:r>
      <w:r>
        <w:tab/>
        <w:t>has its own separate control.</w:t>
      </w:r>
    </w:p>
    <w:p w:rsidR="006724FB" w:rsidRDefault="006724FB">
      <w:pPr>
        <w:pStyle w:val="Subsection"/>
      </w:pPr>
      <w:r>
        <w:tab/>
        <w:t>(5)</w:t>
      </w:r>
      <w:r>
        <w:tab/>
        <w:t>A motor vehicle’s parking brake may also be its emergency brake.</w:t>
      </w:r>
    </w:p>
    <w:p w:rsidR="006724FB" w:rsidRDefault="006724FB">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rsidR="006724FB" w:rsidRDefault="006724FB">
      <w:pPr>
        <w:pStyle w:val="Subsection"/>
      </w:pPr>
      <w:r>
        <w:tab/>
        <w:t>(7)</w:t>
      </w:r>
      <w:r>
        <w:tab/>
        <w:t xml:space="preserve">A motor cycle or motor tricycle must be fitted with — </w:t>
      </w:r>
    </w:p>
    <w:p w:rsidR="006724FB" w:rsidRDefault="006724FB">
      <w:pPr>
        <w:pStyle w:val="Indenta"/>
      </w:pPr>
      <w:r>
        <w:tab/>
        <w:t>(a)</w:t>
      </w:r>
      <w:r>
        <w:tab/>
        <w:t>2 independent brakes; or</w:t>
      </w:r>
    </w:p>
    <w:p w:rsidR="006724FB" w:rsidRDefault="006724FB">
      <w:pPr>
        <w:pStyle w:val="Indenta"/>
      </w:pPr>
      <w:r>
        <w:tab/>
        <w:t>(b)</w:t>
      </w:r>
      <w:r>
        <w:tab/>
        <w:t>a single brake that acts directly on all wheels of the vehicle and is arranged so effective braking remains on at least one wheel if a part of the system fails.</w:t>
      </w:r>
    </w:p>
    <w:p w:rsidR="006724FB" w:rsidRDefault="006724FB">
      <w:pPr>
        <w:pStyle w:val="Subsection"/>
      </w:pPr>
      <w:r>
        <w:tab/>
        <w:t>(8)</w:t>
      </w:r>
      <w:r>
        <w:tab/>
        <w:t>Subregulation (7) applies to a motor cycle with a sidecar attached as if the sidecar were not attached.</w:t>
      </w:r>
    </w:p>
    <w:p w:rsidR="006724FB" w:rsidRDefault="006724FB">
      <w:pPr>
        <w:pStyle w:val="Subsection"/>
      </w:pPr>
      <w:r>
        <w:tab/>
        <w:t>(9)</w:t>
      </w:r>
      <w:r>
        <w:tab/>
        <w:t>A motor tricycle must have a parking brake that is held in the applied position by mechanical means.</w:t>
      </w:r>
    </w:p>
    <w:p w:rsidR="006724FB" w:rsidRDefault="006724FB">
      <w:pPr>
        <w:pStyle w:val="Heading5"/>
        <w:keepNext w:val="0"/>
        <w:keepLines w:val="0"/>
      </w:pPr>
      <w:bookmarkStart w:id="631" w:name="_Toc75875936"/>
      <w:r>
        <w:rPr>
          <w:rStyle w:val="CharSectno"/>
        </w:rPr>
        <w:t>337</w:t>
      </w:r>
      <w:r>
        <w:t>.</w:t>
      </w:r>
      <w:r>
        <w:tab/>
        <w:t>Operation of brakes on motor vehicles</w:t>
      </w:r>
      <w:bookmarkEnd w:id="631"/>
    </w:p>
    <w:p w:rsidR="006724FB" w:rsidRDefault="006724FB">
      <w:pPr>
        <w:pStyle w:val="Subsection"/>
      </w:pPr>
      <w:r>
        <w:tab/>
      </w:r>
      <w:r>
        <w:tab/>
        <w:t>The braking system on a motor vehicle must be arranged to allow the driver of the motor vehicle to apply the brakes from a normal driving position.</w:t>
      </w:r>
    </w:p>
    <w:p w:rsidR="006724FB" w:rsidRDefault="006724FB">
      <w:pPr>
        <w:pStyle w:val="Heading5"/>
        <w:keepNext w:val="0"/>
        <w:keepLines w:val="0"/>
      </w:pPr>
      <w:bookmarkStart w:id="632" w:name="_Toc75875937"/>
      <w:r>
        <w:rPr>
          <w:rStyle w:val="CharSectno"/>
        </w:rPr>
        <w:t>338</w:t>
      </w:r>
      <w:r>
        <w:t>.</w:t>
      </w:r>
      <w:r>
        <w:tab/>
        <w:t>Air or vacuum brakes on motor vehicles</w:t>
      </w:r>
      <w:bookmarkEnd w:id="632"/>
    </w:p>
    <w:p w:rsidR="006724FB" w:rsidRDefault="006724FB">
      <w:pPr>
        <w:pStyle w:val="Subsection"/>
      </w:pPr>
      <w:r>
        <w:tab/>
        <w:t>(1)</w:t>
      </w:r>
      <w:r>
        <w:tab/>
        <w:t>If a motor vehicle has air brakes, the braking system of the vehicle must include at least one air storage tank.</w:t>
      </w:r>
    </w:p>
    <w:p w:rsidR="006724FB" w:rsidRDefault="006724FB">
      <w:pPr>
        <w:pStyle w:val="Subsection"/>
      </w:pPr>
      <w:r>
        <w:tab/>
        <w:t>(2)</w:t>
      </w:r>
      <w:r>
        <w:tab/>
        <w:t>If a motor vehicle has vacuum brakes, the braking system of the vehicle must include at least one vacuum storage tank.</w:t>
      </w:r>
    </w:p>
    <w:p w:rsidR="006724FB" w:rsidRDefault="006724FB">
      <w:pPr>
        <w:pStyle w:val="Subsection"/>
      </w:pPr>
      <w:r>
        <w:tab/>
        <w:t>(3)</w:t>
      </w:r>
      <w:r>
        <w:tab/>
        <w:t xml:space="preserve">An air or vacuum storage tank must be built so the service brake can be applied to meet the performance standards of </w:t>
      </w:r>
      <w:r>
        <w:lastRenderedPageBreak/>
        <w:t>regulation 335 at least twice if the engine of the vehicle stops or the source of air or vacuum fails.</w:t>
      </w:r>
    </w:p>
    <w:p w:rsidR="006724FB" w:rsidRDefault="006724FB">
      <w:pPr>
        <w:pStyle w:val="Subsection"/>
        <w:keepNext/>
      </w:pPr>
      <w:r>
        <w:tab/>
        <w:t>(4)</w:t>
      </w:r>
      <w:r>
        <w:tab/>
        <w:t xml:space="preserve">An air or vacuum storage system must — </w:t>
      </w:r>
    </w:p>
    <w:p w:rsidR="006724FB" w:rsidRDefault="006724FB">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rsidR="006724FB" w:rsidRDefault="006724FB">
      <w:pPr>
        <w:pStyle w:val="Indenta"/>
      </w:pPr>
      <w:r>
        <w:tab/>
        <w:t>(b)</w:t>
      </w:r>
      <w:r>
        <w:tab/>
        <w:t>be safeguarded by a check valve or other device against loss of air or vacuum if the supply fails or leaks.</w:t>
      </w:r>
    </w:p>
    <w:p w:rsidR="006724FB" w:rsidRDefault="006724FB">
      <w:pPr>
        <w:pStyle w:val="Subsection"/>
      </w:pPr>
      <w:r>
        <w:tab/>
        <w:t>(5)</w:t>
      </w:r>
      <w:r>
        <w:tab/>
        <w:t>However, subregulation (4)(a) does not apply to a light vehicle that is fitted with an air or vacuum assisted braking system.</w:t>
      </w:r>
    </w:p>
    <w:p w:rsidR="006724FB" w:rsidRDefault="006724FB">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rsidR="006724FB" w:rsidRDefault="006724FB">
      <w:pPr>
        <w:pStyle w:val="Subsection"/>
      </w:pPr>
      <w:r>
        <w:tab/>
        <w:t>(7)</w:t>
      </w:r>
      <w:r>
        <w:tab/>
        <w:t>The braking system of a heavy vehicle equipped to tow a trailer fitted with air brakes must include protection against loss of supply line air or brake control signal air.</w:t>
      </w:r>
    </w:p>
    <w:p w:rsidR="006724FB" w:rsidRDefault="006724FB">
      <w:pPr>
        <w:pStyle w:val="Subsection"/>
      </w:pPr>
      <w:r>
        <w:tab/>
        <w:t>(8)</w:t>
      </w:r>
      <w:r>
        <w:tab/>
        <w:t xml:space="preserve">The protection mentioned in subregulation (7) must — </w:t>
      </w:r>
    </w:p>
    <w:p w:rsidR="006724FB" w:rsidRDefault="006724FB">
      <w:pPr>
        <w:pStyle w:val="Indenta"/>
      </w:pPr>
      <w:r>
        <w:tab/>
        <w:t>(a)</w:t>
      </w:r>
      <w:r>
        <w:tab/>
        <w:t>operate automatically if a brake supply line hose connecting the motor vehicle and a trailer fails; and</w:t>
      </w:r>
    </w:p>
    <w:p w:rsidR="006724FB" w:rsidRDefault="006724FB">
      <w:pPr>
        <w:pStyle w:val="Indenta"/>
      </w:pPr>
      <w:r>
        <w:tab/>
        <w:t>(b)</w:t>
      </w:r>
      <w:r>
        <w:tab/>
        <w:t>maintain enough air pressure to allow the brakes to be applied to meet performance standards for emergency brakes under regulation 335; and</w:t>
      </w:r>
    </w:p>
    <w:p w:rsidR="006724FB" w:rsidRDefault="006724FB">
      <w:pPr>
        <w:pStyle w:val="Indenta"/>
      </w:pPr>
      <w:r>
        <w:tab/>
        <w:t>(c)</w:t>
      </w:r>
      <w:r>
        <w:tab/>
        <w:t>include a visible or audible warning to the driver.</w:t>
      </w:r>
    </w:p>
    <w:p w:rsidR="006724FB" w:rsidRDefault="006724FB">
      <w:pPr>
        <w:pStyle w:val="Heading4"/>
      </w:pPr>
      <w:bookmarkStart w:id="633" w:name="_Toc75420014"/>
      <w:bookmarkStart w:id="634" w:name="_Toc75427350"/>
      <w:bookmarkStart w:id="635" w:name="_Toc75872766"/>
      <w:bookmarkStart w:id="636" w:name="_Toc75875938"/>
      <w:r>
        <w:t>Subdivision 3 — Trailer braking systems</w:t>
      </w:r>
      <w:bookmarkEnd w:id="633"/>
      <w:bookmarkEnd w:id="634"/>
      <w:bookmarkEnd w:id="635"/>
      <w:bookmarkEnd w:id="636"/>
    </w:p>
    <w:p w:rsidR="006724FB" w:rsidRDefault="006724FB">
      <w:pPr>
        <w:pStyle w:val="Heading5"/>
        <w:keepNext w:val="0"/>
        <w:keepLines w:val="0"/>
      </w:pPr>
      <w:bookmarkStart w:id="637" w:name="_Toc75875939"/>
      <w:r>
        <w:rPr>
          <w:rStyle w:val="CharSectno"/>
        </w:rPr>
        <w:t>339</w:t>
      </w:r>
      <w:r>
        <w:t>.</w:t>
      </w:r>
      <w:r>
        <w:tab/>
        <w:t>Trailer braking system requirements</w:t>
      </w:r>
      <w:bookmarkEnd w:id="637"/>
    </w:p>
    <w:p w:rsidR="006724FB" w:rsidRDefault="006724FB">
      <w:pPr>
        <w:pStyle w:val="Subsection"/>
      </w:pPr>
      <w:r>
        <w:tab/>
        <w:t>(1)</w:t>
      </w:r>
      <w:r>
        <w:tab/>
        <w:t>A trailer with a GTM of more than 750 kg must have brakes that operate on at least one wheel at each end of one or more axles of the trailer.</w:t>
      </w:r>
    </w:p>
    <w:p w:rsidR="006724FB" w:rsidRDefault="006724FB">
      <w:pPr>
        <w:pStyle w:val="Subsection"/>
      </w:pPr>
      <w:r>
        <w:lastRenderedPageBreak/>
        <w:tab/>
        <w:t>(2)</w:t>
      </w:r>
      <w:r>
        <w:tab/>
        <w:t>A semi</w:t>
      </w:r>
      <w:r>
        <w:noBreakHyphen/>
        <w:t>trailer or converter dolly with a GTM of more than 2 t must have brakes that operate on all its wheels.</w:t>
      </w:r>
    </w:p>
    <w:p w:rsidR="006724FB" w:rsidRDefault="006724FB">
      <w:pPr>
        <w:pStyle w:val="Heading5"/>
      </w:pPr>
      <w:bookmarkStart w:id="638" w:name="_Toc75875940"/>
      <w:r>
        <w:rPr>
          <w:rStyle w:val="CharSectno"/>
        </w:rPr>
        <w:t>340</w:t>
      </w:r>
      <w:r>
        <w:t>.</w:t>
      </w:r>
      <w:r>
        <w:tab/>
        <w:t>Operation of brakes on trailers</w:t>
      </w:r>
      <w:bookmarkEnd w:id="638"/>
    </w:p>
    <w:p w:rsidR="006724FB" w:rsidRDefault="006724FB">
      <w:pPr>
        <w:pStyle w:val="Subsection"/>
      </w:pPr>
      <w:r>
        <w:tab/>
        <w:t>(1)</w:t>
      </w:r>
      <w:r>
        <w:tab/>
        <w:t>The braking system of a trailer with a GTM of more than 2 t must allow the driver of a motor vehicle towing the trailer to operate the brakes from a normal driving position.</w:t>
      </w:r>
    </w:p>
    <w:p w:rsidR="006724FB" w:rsidRDefault="006724FB">
      <w:pPr>
        <w:pStyle w:val="Subsection"/>
      </w:pPr>
      <w:r>
        <w:tab/>
        <w:t>(2)</w:t>
      </w:r>
      <w:r>
        <w:tab/>
        <w:t>However, subregulation (1) does not apply to an unloaded converter dolly that weighs less than 3 t if the motor vehicle towing the converter dolly has a GVM of more than 12 t.</w:t>
      </w:r>
    </w:p>
    <w:p w:rsidR="006724FB" w:rsidRDefault="006724FB">
      <w:pPr>
        <w:pStyle w:val="Subsection"/>
      </w:pPr>
      <w:r>
        <w:tab/>
        <w:t>(3)</w:t>
      </w:r>
      <w:r>
        <w:tab/>
        <w:t xml:space="preserve">The brakes on a trailer with a GTM of more than 2 t must — </w:t>
      </w:r>
    </w:p>
    <w:p w:rsidR="006724FB" w:rsidRDefault="006724FB">
      <w:pPr>
        <w:pStyle w:val="Indenta"/>
      </w:pPr>
      <w:r>
        <w:tab/>
        <w:t>(a)</w:t>
      </w:r>
      <w:r>
        <w:tab/>
        <w:t>operate automatically and quickly if the trailer breaks away from the towing vehicle; and</w:t>
      </w:r>
    </w:p>
    <w:p w:rsidR="006724FB" w:rsidRDefault="006724FB">
      <w:pPr>
        <w:pStyle w:val="Indenta"/>
      </w:pPr>
      <w:r>
        <w:tab/>
        <w:t>(b)</w:t>
      </w:r>
      <w:r>
        <w:tab/>
        <w:t>remain in operation for at least 15 minutes after a break</w:t>
      </w:r>
      <w:r>
        <w:noBreakHyphen/>
        <w:t>away; and</w:t>
      </w:r>
    </w:p>
    <w:p w:rsidR="006724FB" w:rsidRDefault="006724FB">
      <w:pPr>
        <w:pStyle w:val="Indenta"/>
      </w:pPr>
      <w:r>
        <w:tab/>
        <w:t>(c)</w:t>
      </w:r>
      <w:r>
        <w:tab/>
        <w:t>be able to hold the trailer on a 12% gradient while in operation after a break</w:t>
      </w:r>
      <w:r>
        <w:noBreakHyphen/>
        <w:t>away.</w:t>
      </w:r>
    </w:p>
    <w:p w:rsidR="006724FB" w:rsidRDefault="006724FB">
      <w:pPr>
        <w:pStyle w:val="Heading5"/>
      </w:pPr>
      <w:bookmarkStart w:id="639" w:name="_Toc75875941"/>
      <w:r>
        <w:rPr>
          <w:rStyle w:val="CharSectno"/>
        </w:rPr>
        <w:t>341</w:t>
      </w:r>
      <w:r>
        <w:t>.</w:t>
      </w:r>
      <w:r>
        <w:tab/>
        <w:t>Air brakes or vacuum brakes on trailers</w:t>
      </w:r>
      <w:bookmarkEnd w:id="639"/>
    </w:p>
    <w:p w:rsidR="006724FB" w:rsidRDefault="006724FB">
      <w:pPr>
        <w:pStyle w:val="Subsection"/>
      </w:pPr>
      <w:r>
        <w:tab/>
        <w:t>(1)</w:t>
      </w:r>
      <w:r>
        <w:tab/>
        <w:t>This regulation does not apply to a trailer with a GTM of 2 t or less.</w:t>
      </w:r>
    </w:p>
    <w:p w:rsidR="006724FB" w:rsidRDefault="006724FB">
      <w:pPr>
        <w:pStyle w:val="Subsection"/>
      </w:pPr>
      <w:r>
        <w:tab/>
        <w:t>(2)</w:t>
      </w:r>
      <w:r>
        <w:tab/>
        <w:t>If a trailer has air brakes, its braking system must include at least one air storage tank.</w:t>
      </w:r>
    </w:p>
    <w:p w:rsidR="006724FB" w:rsidRDefault="006724FB">
      <w:pPr>
        <w:pStyle w:val="Subsection"/>
      </w:pPr>
      <w:r>
        <w:tab/>
        <w:t>(3)</w:t>
      </w:r>
      <w:r>
        <w:tab/>
        <w:t>If a trailer has vacuum brakes, its braking system must include at least one vacuum storage tank.</w:t>
      </w:r>
    </w:p>
    <w:p w:rsidR="006724FB" w:rsidRDefault="006724FB">
      <w:pPr>
        <w:pStyle w:val="Subsection"/>
      </w:pPr>
      <w:r>
        <w:tab/>
        <w:t>(4)</w:t>
      </w:r>
      <w:r>
        <w:tab/>
        <w:t xml:space="preserve">An air or vacuum storage system required by this regulation must — </w:t>
      </w:r>
    </w:p>
    <w:p w:rsidR="006724FB" w:rsidRDefault="006724FB">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rsidR="006724FB" w:rsidRDefault="006724FB">
      <w:pPr>
        <w:pStyle w:val="Indenta"/>
      </w:pPr>
      <w:r>
        <w:lastRenderedPageBreak/>
        <w:tab/>
        <w:t>(b)</w:t>
      </w:r>
      <w:r>
        <w:tab/>
        <w:t>be safeguarded by a check valve or other device against loss of air or vacuum if the supply fails or leaks.</w:t>
      </w:r>
    </w:p>
    <w:p w:rsidR="006724FB" w:rsidRDefault="006724FB">
      <w:pPr>
        <w:pStyle w:val="Heading4"/>
      </w:pPr>
      <w:bookmarkStart w:id="640" w:name="_Toc75420018"/>
      <w:bookmarkStart w:id="641" w:name="_Toc75427354"/>
      <w:bookmarkStart w:id="642" w:name="_Toc75872770"/>
      <w:bookmarkStart w:id="643" w:name="_Toc75875942"/>
      <w:r>
        <w:t>Subdivision 4 — Additional brake requirements for B</w:t>
      </w:r>
      <w:r>
        <w:noBreakHyphen/>
        <w:t>doubles and long road trains</w:t>
      </w:r>
      <w:bookmarkEnd w:id="640"/>
      <w:bookmarkEnd w:id="641"/>
      <w:bookmarkEnd w:id="642"/>
      <w:bookmarkEnd w:id="643"/>
    </w:p>
    <w:p w:rsidR="006724FB" w:rsidRDefault="006724FB">
      <w:pPr>
        <w:pStyle w:val="Heading5"/>
      </w:pPr>
      <w:bookmarkStart w:id="644" w:name="_Toc75875943"/>
      <w:r>
        <w:rPr>
          <w:rStyle w:val="CharSectno"/>
        </w:rPr>
        <w:t>342</w:t>
      </w:r>
      <w:r>
        <w:t>.</w:t>
      </w:r>
      <w:r>
        <w:tab/>
        <w:t>Subdivision does not apply to certain road trains</w:t>
      </w:r>
      <w:bookmarkEnd w:id="644"/>
    </w:p>
    <w:p w:rsidR="006724FB" w:rsidRDefault="006724FB">
      <w:pPr>
        <w:pStyle w:val="Subsection"/>
      </w:pPr>
      <w:r>
        <w:tab/>
      </w:r>
      <w:r>
        <w:tab/>
        <w:t>This Subdivision does not apply to a road train or to a vehicle used in a road train, if the road train has a length of 19 m or less.</w:t>
      </w:r>
    </w:p>
    <w:p w:rsidR="006724FB" w:rsidRDefault="006724FB">
      <w:pPr>
        <w:pStyle w:val="Heading5"/>
        <w:keepLines w:val="0"/>
      </w:pPr>
      <w:bookmarkStart w:id="645" w:name="_Toc75875944"/>
      <w:r>
        <w:rPr>
          <w:rStyle w:val="CharSectno"/>
        </w:rPr>
        <w:t>343</w:t>
      </w:r>
      <w:r>
        <w:t>.</w:t>
      </w:r>
      <w:r>
        <w:tab/>
        <w:t>Braking system design for a prime mover in a B</w:t>
      </w:r>
      <w:r>
        <w:noBreakHyphen/>
        <w:t>double</w:t>
      </w:r>
      <w:bookmarkEnd w:id="645"/>
    </w:p>
    <w:p w:rsidR="006724FB" w:rsidRDefault="006724FB">
      <w:pPr>
        <w:pStyle w:val="Subsection"/>
      </w:pPr>
      <w:r>
        <w:tab/>
        <w:t>(1)</w:t>
      </w:r>
      <w:r>
        <w:tab/>
        <w:t>A prime mover used in a B</w:t>
      </w:r>
      <w:r>
        <w:noBreakHyphen/>
        <w:t>double must comply with second edition ADR 35A or third edition ADR 35.</w:t>
      </w:r>
    </w:p>
    <w:p w:rsidR="006724FB" w:rsidRDefault="006724FB">
      <w:pPr>
        <w:pStyle w:val="Subsection"/>
      </w:pPr>
      <w:r>
        <w:tab/>
        <w:t>(2)</w:t>
      </w:r>
      <w:r>
        <w:tab/>
        <w:t>A prime mover used in a B</w:t>
      </w:r>
      <w:r>
        <w:noBreakHyphen/>
        <w:t>double must also have an anti</w:t>
      </w:r>
      <w:r>
        <w:noBreakHyphen/>
        <w:t xml:space="preserve">lock braking system complying with third edition ADR 64, if the prime mover — </w:t>
      </w:r>
    </w:p>
    <w:p w:rsidR="006724FB" w:rsidRDefault="006724FB">
      <w:pPr>
        <w:pStyle w:val="Indenta"/>
      </w:pPr>
      <w:r>
        <w:tab/>
        <w:t>(a)</w:t>
      </w:r>
      <w:r>
        <w:tab/>
        <w:t>was built after 1989; and</w:t>
      </w:r>
    </w:p>
    <w:p w:rsidR="006724FB" w:rsidRDefault="006724FB">
      <w:pPr>
        <w:pStyle w:val="Indenta"/>
      </w:pPr>
      <w:r>
        <w:tab/>
        <w:t>(b)</w:t>
      </w:r>
      <w:r>
        <w:tab/>
        <w:t>is used in a B</w:t>
      </w:r>
      <w:r>
        <w:noBreakHyphen/>
        <w:t>double that includes a road tank vehicle carrying dangerous goods.</w:t>
      </w:r>
    </w:p>
    <w:p w:rsidR="006724FB" w:rsidRDefault="006724FB">
      <w:pPr>
        <w:pStyle w:val="Heading5"/>
      </w:pPr>
      <w:bookmarkStart w:id="646" w:name="_Toc75875945"/>
      <w:r>
        <w:rPr>
          <w:rStyle w:val="CharSectno"/>
        </w:rPr>
        <w:t>344</w:t>
      </w:r>
      <w:r>
        <w:t>.</w:t>
      </w:r>
      <w:r>
        <w:tab/>
        <w:t>Braking system design for motor vehicles in road trains</w:t>
      </w:r>
      <w:bookmarkEnd w:id="646"/>
    </w:p>
    <w:p w:rsidR="006724FB" w:rsidRDefault="006724FB">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rsidR="006724FB" w:rsidRDefault="006724FB">
      <w:pPr>
        <w:pStyle w:val="Heading5"/>
        <w:spacing w:before="180"/>
      </w:pPr>
      <w:bookmarkStart w:id="647" w:name="_Toc75875946"/>
      <w:r>
        <w:rPr>
          <w:rStyle w:val="CharSectno"/>
        </w:rPr>
        <w:t>345</w:t>
      </w:r>
      <w:r>
        <w:t>.</w:t>
      </w:r>
      <w:r>
        <w:tab/>
        <w:t>Braking system design for trailers in B</w:t>
      </w:r>
      <w:r>
        <w:noBreakHyphen/>
        <w:t>doubles or road trains</w:t>
      </w:r>
      <w:bookmarkEnd w:id="647"/>
    </w:p>
    <w:p w:rsidR="006724FB" w:rsidRDefault="006724FB">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rsidR="006724FB" w:rsidRDefault="006724FB">
      <w:pPr>
        <w:pStyle w:val="Subsection"/>
      </w:pPr>
      <w:r>
        <w:lastRenderedPageBreak/>
        <w:tab/>
        <w:t>(2)</w:t>
      </w:r>
      <w:r>
        <w:tab/>
        <w:t>A road train trailer to which subregulation (1) applies need not be fitted with a mechanical parking brake if it carries wheel chocks that provide a performance equal to the performance standard required for a parking brake system.</w:t>
      </w:r>
    </w:p>
    <w:p w:rsidR="006724FB" w:rsidRDefault="006724FB">
      <w:pPr>
        <w:pStyle w:val="Subsection"/>
      </w:pPr>
      <w:r>
        <w:tab/>
        <w:t>(3)</w:t>
      </w:r>
      <w:r>
        <w:tab/>
        <w:t>A semi</w:t>
      </w:r>
      <w:r>
        <w:noBreakHyphen/>
        <w:t>trailer, regardless of when it was built, must have an anti</w:t>
      </w:r>
      <w:r>
        <w:noBreakHyphen/>
        <w:t xml:space="preserve">lock braking system that complies with third edition ADR 38/01, if — </w:t>
      </w:r>
    </w:p>
    <w:p w:rsidR="006724FB" w:rsidRDefault="006724FB">
      <w:pPr>
        <w:pStyle w:val="Indenta"/>
      </w:pPr>
      <w:r>
        <w:tab/>
        <w:t>(a)</w:t>
      </w:r>
      <w:r>
        <w:tab/>
        <w:t>it is being used in a B</w:t>
      </w:r>
      <w:r>
        <w:noBreakHyphen/>
        <w:t>double that includes a road tank vehicle, whether or not the semi</w:t>
      </w:r>
      <w:r>
        <w:noBreakHyphen/>
        <w:t>trailer is itself a road tank vehicle; and</w:t>
      </w:r>
    </w:p>
    <w:p w:rsidR="006724FB" w:rsidRDefault="006724FB">
      <w:pPr>
        <w:pStyle w:val="Indenta"/>
      </w:pPr>
      <w:r>
        <w:tab/>
        <w:t>(b)</w:t>
      </w:r>
      <w:r>
        <w:tab/>
        <w:t>the road tank vehicle is carrying dangerous goods.</w:t>
      </w:r>
    </w:p>
    <w:p w:rsidR="006724FB" w:rsidRDefault="006724FB">
      <w:pPr>
        <w:pStyle w:val="Heading5"/>
        <w:spacing w:before="240"/>
      </w:pPr>
      <w:bookmarkStart w:id="648" w:name="_Toc75875947"/>
      <w:r>
        <w:rPr>
          <w:rStyle w:val="CharSectno"/>
        </w:rPr>
        <w:t>346</w:t>
      </w:r>
      <w:r>
        <w:t>.</w:t>
      </w:r>
      <w:r>
        <w:tab/>
        <w:t>Air brakes of motor vehicles in B</w:t>
      </w:r>
      <w:r>
        <w:noBreakHyphen/>
        <w:t>doubles or road trains</w:t>
      </w:r>
      <w:bookmarkEnd w:id="648"/>
    </w:p>
    <w:p w:rsidR="006724FB" w:rsidRDefault="006724FB">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rsidR="006724FB" w:rsidRDefault="006724FB">
      <w:pPr>
        <w:pStyle w:val="Indenta"/>
      </w:pPr>
      <w:r>
        <w:tab/>
        <w:t>(a)</w:t>
      </w:r>
      <w:r>
        <w:tab/>
        <w:t>the pressure is measured in an 800 mL vessel connected by a 2 m pipe with a bore of approximately 13 mm to the coupling head of the braking system; and</w:t>
      </w:r>
    </w:p>
    <w:p w:rsidR="006724FB" w:rsidRDefault="006724FB">
      <w:pPr>
        <w:pStyle w:val="Indenta"/>
      </w:pPr>
      <w:r>
        <w:tab/>
        <w:t>(b)</w:t>
      </w:r>
      <w:r>
        <w:tab/>
        <w:t xml:space="preserve">the air pressure before the brakes are applied is not under — </w:t>
      </w:r>
    </w:p>
    <w:p w:rsidR="006724FB" w:rsidRDefault="006724FB">
      <w:pPr>
        <w:pStyle w:val="Indenti"/>
      </w:pPr>
      <w:r>
        <w:tab/>
        <w:t>(i)</w:t>
      </w:r>
      <w:r>
        <w:tab/>
        <w:t>the average of the maximum and minimum pressures in the operating pressure range specified by the vehicle’s manufacturer; or</w:t>
      </w:r>
    </w:p>
    <w:p w:rsidR="006724FB" w:rsidRDefault="006724FB">
      <w:pPr>
        <w:pStyle w:val="Indenti"/>
      </w:pPr>
      <w:r>
        <w:tab/>
        <w:t>(ii)</w:t>
      </w:r>
      <w:r>
        <w:tab/>
        <w:t>if there is no manufacturer’s specification — 650 kPa.</w:t>
      </w:r>
    </w:p>
    <w:p w:rsidR="006724FB" w:rsidRDefault="006724FB">
      <w:pPr>
        <w:pStyle w:val="Subsection"/>
      </w:pPr>
      <w:r>
        <w:tab/>
        <w:t>(2)</w:t>
      </w:r>
      <w:r>
        <w:tab/>
        <w:t>The pressure must reach at least 420 kPa within 400 milliseconds after the rapid and complete application of the foot</w:t>
      </w:r>
      <w:r>
        <w:noBreakHyphen/>
        <w:t>operated brake control.</w:t>
      </w:r>
    </w:p>
    <w:p w:rsidR="006724FB" w:rsidRDefault="006724FB">
      <w:pPr>
        <w:pStyle w:val="Subsection"/>
      </w:pPr>
      <w:r>
        <w:tab/>
        <w:t>(3)</w:t>
      </w:r>
      <w:r>
        <w:tab/>
        <w:t>After the brakes have been fully applied, the pressure must fall within half a second after the release of the foot</w:t>
      </w:r>
      <w:r>
        <w:noBreakHyphen/>
        <w:t>operated brake control to 35 kPa.</w:t>
      </w:r>
    </w:p>
    <w:p w:rsidR="006724FB" w:rsidRDefault="006724FB">
      <w:pPr>
        <w:pStyle w:val="Heading5"/>
        <w:keepLines w:val="0"/>
        <w:spacing w:before="240"/>
      </w:pPr>
      <w:bookmarkStart w:id="649" w:name="_Toc75875948"/>
      <w:r>
        <w:rPr>
          <w:rStyle w:val="CharSectno"/>
        </w:rPr>
        <w:lastRenderedPageBreak/>
        <w:t>347</w:t>
      </w:r>
      <w:r>
        <w:t>.</w:t>
      </w:r>
      <w:r>
        <w:tab/>
        <w:t>Air brakes in a B</w:t>
      </w:r>
      <w:r>
        <w:noBreakHyphen/>
        <w:t>double or road train — least favoured chamber</w:t>
      </w:r>
      <w:bookmarkEnd w:id="649"/>
    </w:p>
    <w:p w:rsidR="006724FB" w:rsidRDefault="006724FB">
      <w:pPr>
        <w:pStyle w:val="Subsection"/>
      </w:pPr>
      <w:r>
        <w:tab/>
        <w:t>(1)</w:t>
      </w:r>
      <w:r>
        <w:tab/>
        <w:t xml:space="preserve">In this regulation — </w:t>
      </w:r>
    </w:p>
    <w:p w:rsidR="006724FB" w:rsidRDefault="006724FB">
      <w:pPr>
        <w:pStyle w:val="Defstart"/>
      </w:pPr>
      <w:r>
        <w:tab/>
      </w:r>
      <w:r>
        <w:rPr>
          <w:rStyle w:val="CharDefText"/>
        </w:rPr>
        <w:t>least favoured chamber</w:t>
      </w:r>
      <w:r>
        <w:t xml:space="preserve"> means the brake chamber with the longest line to the treadle valve in the prime mover.</w:t>
      </w:r>
    </w:p>
    <w:p w:rsidR="006724FB" w:rsidRDefault="006724FB">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rsidR="006724FB" w:rsidRDefault="006724FB">
      <w:pPr>
        <w:pStyle w:val="Indenta"/>
      </w:pPr>
      <w:r>
        <w:tab/>
        <w:t>(a)</w:t>
      </w:r>
      <w:r>
        <w:tab/>
        <w:t>the average of the maximum and minimum pressures in the operating pressure range specified by the vehicle’s manufacturer; or</w:t>
      </w:r>
    </w:p>
    <w:p w:rsidR="006724FB" w:rsidRDefault="006724FB">
      <w:pPr>
        <w:pStyle w:val="Indenta"/>
      </w:pPr>
      <w:r>
        <w:tab/>
        <w:t>(b)</w:t>
      </w:r>
      <w:r>
        <w:tab/>
        <w:t>if there is no manufacturer’s specification — 650 kPa.</w:t>
      </w:r>
    </w:p>
    <w:p w:rsidR="006724FB" w:rsidRDefault="006724FB">
      <w:pPr>
        <w:pStyle w:val="Subsection"/>
      </w:pPr>
      <w:r>
        <w:tab/>
        <w:t>(3)</w:t>
      </w:r>
      <w:r>
        <w:tab/>
        <w:t xml:space="preserve">The pressure must reach at least 420 kPa within — </w:t>
      </w:r>
    </w:p>
    <w:p w:rsidR="006724FB" w:rsidRDefault="006724FB">
      <w:pPr>
        <w:pStyle w:val="Indenta"/>
      </w:pPr>
      <w:r>
        <w:tab/>
        <w:t>(a)</w:t>
      </w:r>
      <w:r>
        <w:tab/>
        <w:t>for a B</w:t>
      </w:r>
      <w:r>
        <w:noBreakHyphen/>
        <w:t>double — one second after the rapid and complete application of the foot</w:t>
      </w:r>
      <w:r>
        <w:noBreakHyphen/>
        <w:t>operated brake control; or</w:t>
      </w:r>
    </w:p>
    <w:p w:rsidR="006724FB" w:rsidRDefault="006724FB">
      <w:pPr>
        <w:pStyle w:val="Indenta"/>
      </w:pPr>
      <w:r>
        <w:tab/>
        <w:t>(b)</w:t>
      </w:r>
      <w:r>
        <w:tab/>
        <w:t>for a road train — 1.5 seconds after the rapid and complete application of the foot</w:t>
      </w:r>
      <w:r>
        <w:noBreakHyphen/>
        <w:t>operated brake control.</w:t>
      </w:r>
    </w:p>
    <w:p w:rsidR="006724FB" w:rsidRDefault="006724FB">
      <w:pPr>
        <w:pStyle w:val="Subsection"/>
      </w:pPr>
      <w:r>
        <w:tab/>
        <w:t>(4)</w:t>
      </w:r>
      <w:r>
        <w:tab/>
        <w:t xml:space="preserve">After the brakes have been fully applied, the pressure must fall to 35 kPa, or the pressure at which the friction surfaces cease to contact each other, within — </w:t>
      </w:r>
    </w:p>
    <w:p w:rsidR="006724FB" w:rsidRDefault="006724FB">
      <w:pPr>
        <w:pStyle w:val="Indenta"/>
      </w:pPr>
      <w:r>
        <w:tab/>
        <w:t>(a)</w:t>
      </w:r>
      <w:r>
        <w:tab/>
        <w:t>for a B</w:t>
      </w:r>
      <w:r>
        <w:noBreakHyphen/>
        <w:t>double — one second after the release of the foot</w:t>
      </w:r>
      <w:r>
        <w:noBreakHyphen/>
        <w:t>operated brake control; or</w:t>
      </w:r>
    </w:p>
    <w:p w:rsidR="006724FB" w:rsidRDefault="006724FB">
      <w:pPr>
        <w:pStyle w:val="Indenta"/>
      </w:pPr>
      <w:r>
        <w:tab/>
        <w:t>(b)</w:t>
      </w:r>
      <w:r>
        <w:tab/>
        <w:t>for a road train — 1.5 seconds after the release of the foot</w:t>
      </w:r>
      <w:r>
        <w:noBreakHyphen/>
        <w:t>operated brake control.</w:t>
      </w:r>
    </w:p>
    <w:p w:rsidR="006724FB" w:rsidRDefault="006724FB">
      <w:pPr>
        <w:pStyle w:val="Heading5"/>
        <w:keepLines w:val="0"/>
      </w:pPr>
      <w:bookmarkStart w:id="650" w:name="_Toc75875949"/>
      <w:r>
        <w:rPr>
          <w:rStyle w:val="CharSectno"/>
        </w:rPr>
        <w:t>348</w:t>
      </w:r>
      <w:r>
        <w:t>.</w:t>
      </w:r>
      <w:r>
        <w:tab/>
        <w:t>Recovery of air pressure for brakes in B</w:t>
      </w:r>
      <w:r>
        <w:noBreakHyphen/>
        <w:t>doubles and road trains</w:t>
      </w:r>
      <w:bookmarkEnd w:id="650"/>
    </w:p>
    <w:p w:rsidR="006724FB" w:rsidRDefault="006724FB">
      <w:pPr>
        <w:pStyle w:val="Subsection"/>
      </w:pPr>
      <w:r>
        <w:tab/>
      </w:r>
      <w:r>
        <w:tab/>
        <w:t>The air pressure in each air brake reservoir in a B</w:t>
      </w:r>
      <w:r>
        <w:noBreakHyphen/>
        <w:t xml:space="preserve">double or road train must recover to at least 420 kPa within one minute </w:t>
      </w:r>
      <w:r>
        <w:lastRenderedPageBreak/>
        <w:t xml:space="preserve">after 3 full brake applications have been made within a 10 second period if, before the 3 brake applications have been made — </w:t>
      </w:r>
    </w:p>
    <w:p w:rsidR="006724FB" w:rsidRDefault="006724FB">
      <w:pPr>
        <w:pStyle w:val="Indenta"/>
      </w:pPr>
      <w:r>
        <w:tab/>
        <w:t>(a)</w:t>
      </w:r>
      <w:r>
        <w:tab/>
        <w:t>the engine is running at maximum speed; and</w:t>
      </w:r>
    </w:p>
    <w:p w:rsidR="006724FB" w:rsidRDefault="006724FB">
      <w:pPr>
        <w:pStyle w:val="Indenta"/>
      </w:pPr>
      <w:r>
        <w:tab/>
        <w:t>(b)</w:t>
      </w:r>
      <w:r>
        <w:tab/>
        <w:t>the governor cut</w:t>
      </w:r>
      <w:r>
        <w:noBreakHyphen/>
        <w:t xml:space="preserve">in pressure is no higher than — </w:t>
      </w:r>
    </w:p>
    <w:p w:rsidR="006724FB" w:rsidRDefault="006724FB">
      <w:pPr>
        <w:pStyle w:val="Indenti"/>
      </w:pPr>
      <w:r>
        <w:tab/>
        <w:t>(i)</w:t>
      </w:r>
      <w:r>
        <w:tab/>
        <w:t>the pressure specified by the vehicle’s manufacturer; or</w:t>
      </w:r>
    </w:p>
    <w:p w:rsidR="006724FB" w:rsidRDefault="006724FB">
      <w:pPr>
        <w:pStyle w:val="Indenti"/>
      </w:pPr>
      <w:r>
        <w:tab/>
        <w:t>(ii)</w:t>
      </w:r>
      <w:r>
        <w:tab/>
        <w:t>if there is no manufacturer’s specification — 550 kPa;</w:t>
      </w:r>
    </w:p>
    <w:p w:rsidR="006724FB" w:rsidRDefault="006724FB">
      <w:pPr>
        <w:pStyle w:val="Indenta"/>
      </w:pPr>
      <w:r>
        <w:tab/>
      </w:r>
      <w:r>
        <w:tab/>
        <w:t>and</w:t>
      </w:r>
    </w:p>
    <w:p w:rsidR="006724FB" w:rsidRDefault="006724FB">
      <w:pPr>
        <w:pStyle w:val="Indenta"/>
      </w:pPr>
      <w:r>
        <w:tab/>
        <w:t>(c)</w:t>
      </w:r>
      <w:r>
        <w:tab/>
        <w:t xml:space="preserve">the air pressure in the storage tanks of the vehicle is not under — </w:t>
      </w:r>
    </w:p>
    <w:p w:rsidR="006724FB" w:rsidRDefault="006724FB">
      <w:pPr>
        <w:pStyle w:val="Indenti"/>
      </w:pPr>
      <w:r>
        <w:tab/>
        <w:t>(i)</w:t>
      </w:r>
      <w:r>
        <w:tab/>
        <w:t>the average of the maximum and minimum pressures in the operating pressure range specified by the vehicle’s manufacturer; or</w:t>
      </w:r>
    </w:p>
    <w:p w:rsidR="006724FB" w:rsidRDefault="006724FB">
      <w:pPr>
        <w:pStyle w:val="Indenti"/>
      </w:pPr>
      <w:r>
        <w:tab/>
        <w:t>(ii)</w:t>
      </w:r>
      <w:r>
        <w:tab/>
        <w:t>if there is no manufacturer’s specification — 650 kPa.</w:t>
      </w:r>
    </w:p>
    <w:p w:rsidR="006724FB" w:rsidRDefault="006724FB">
      <w:pPr>
        <w:pStyle w:val="Heading5"/>
      </w:pPr>
      <w:bookmarkStart w:id="651" w:name="_Toc75875950"/>
      <w:r>
        <w:rPr>
          <w:rStyle w:val="CharSectno"/>
        </w:rPr>
        <w:t>349</w:t>
      </w:r>
      <w:r>
        <w:t>.</w:t>
      </w:r>
      <w:r>
        <w:tab/>
        <w:t>Air supply for brakes in B</w:t>
      </w:r>
      <w:r>
        <w:noBreakHyphen/>
        <w:t>doubles and road trains</w:t>
      </w:r>
      <w:bookmarkEnd w:id="651"/>
    </w:p>
    <w:p w:rsidR="006724FB" w:rsidRDefault="006724FB">
      <w:pPr>
        <w:pStyle w:val="Subsection"/>
      </w:pPr>
      <w:r>
        <w:tab/>
      </w:r>
      <w:r>
        <w:tab/>
        <w:t>A B</w:t>
      </w:r>
      <w:r>
        <w:noBreakHyphen/>
        <w:t xml:space="preserve">double or road train that uses compressed air to operate accessories must have — </w:t>
      </w:r>
    </w:p>
    <w:p w:rsidR="006724FB" w:rsidRDefault="006724FB">
      <w:pPr>
        <w:pStyle w:val="Indenta"/>
      </w:pPr>
      <w:r>
        <w:tab/>
        <w:t>(a)</w:t>
      </w:r>
      <w:r>
        <w:tab/>
        <w:t>sufficient air compressor capacity and air receiver volume to ensure that the operation of the accessories does not adversely affect brake performance; and</w:t>
      </w:r>
    </w:p>
    <w:p w:rsidR="006724FB" w:rsidRDefault="006724FB">
      <w:pPr>
        <w:pStyle w:val="Indenta"/>
      </w:pPr>
      <w:r>
        <w:tab/>
        <w:t>(b)</w:t>
      </w:r>
      <w:r>
        <w:tab/>
        <w:t>a compressed air system built to ensure that the brake system is preferentially charged.</w:t>
      </w:r>
    </w:p>
    <w:p w:rsidR="006724FB" w:rsidRDefault="006724FB">
      <w:pPr>
        <w:pStyle w:val="Heading5"/>
      </w:pPr>
      <w:bookmarkStart w:id="652" w:name="_Toc75875951"/>
      <w:r>
        <w:rPr>
          <w:rStyle w:val="CharSectno"/>
        </w:rPr>
        <w:t>350</w:t>
      </w:r>
      <w:r>
        <w:t>.</w:t>
      </w:r>
      <w:r>
        <w:tab/>
        <w:t>Brake line couplings</w:t>
      </w:r>
      <w:bookmarkEnd w:id="652"/>
    </w:p>
    <w:p w:rsidR="006724FB" w:rsidRDefault="006724FB">
      <w:pPr>
        <w:pStyle w:val="Subsection"/>
      </w:pPr>
      <w:r>
        <w:tab/>
        <w:t>(1)</w:t>
      </w:r>
      <w:r>
        <w:tab/>
        <w:t>Brake line couplings on the same part of a vehicle in a B</w:t>
      </w:r>
      <w:r>
        <w:noBreakHyphen/>
        <w:t>double or road train must not be interchangeable.</w:t>
      </w:r>
    </w:p>
    <w:p w:rsidR="006724FB" w:rsidRDefault="006724FB">
      <w:pPr>
        <w:pStyle w:val="Subsection"/>
      </w:pPr>
      <w:r>
        <w:tab/>
        <w:t>(2)</w:t>
      </w:r>
      <w:r>
        <w:tab/>
        <w:t>The couplings must be polarised in accordance with AS D8</w:t>
      </w:r>
      <w:r>
        <w:noBreakHyphen/>
        <w:t>1971 </w:t>
      </w:r>
      <w:r>
        <w:rPr>
          <w:i/>
        </w:rPr>
        <w:t>Hose Couplings for Use with Vacuum and Air</w:t>
      </w:r>
      <w:r>
        <w:rPr>
          <w:i/>
        </w:rPr>
        <w:noBreakHyphen/>
        <w:t xml:space="preserve">Pressure Braking Systems on Prime Movers, Trailers and </w:t>
      </w:r>
      <w:r>
        <w:rPr>
          <w:i/>
        </w:rPr>
        <w:lastRenderedPageBreak/>
        <w:t>Semi</w:t>
      </w:r>
      <w:r>
        <w:rPr>
          <w:i/>
        </w:rPr>
        <w:noBreakHyphen/>
        <w:t>trailers</w:t>
      </w:r>
      <w:r>
        <w:t xml:space="preserve"> if the hoses used with the brake couplings are used for the same purpose as the hoses mentioned in the standard.</w:t>
      </w:r>
    </w:p>
    <w:p w:rsidR="006724FB" w:rsidRDefault="006724FB">
      <w:pPr>
        <w:pStyle w:val="Heading5"/>
      </w:pPr>
      <w:bookmarkStart w:id="653" w:name="_Toc75875952"/>
      <w:r>
        <w:rPr>
          <w:rStyle w:val="CharSectno"/>
        </w:rPr>
        <w:t>351</w:t>
      </w:r>
      <w:r>
        <w:t>.</w:t>
      </w:r>
      <w:r>
        <w:tab/>
        <w:t>Simultaneous parking brake application</w:t>
      </w:r>
      <w:bookmarkEnd w:id="653"/>
    </w:p>
    <w:p w:rsidR="006724FB" w:rsidRDefault="006724FB">
      <w:pPr>
        <w:pStyle w:val="Subsection"/>
      </w:pPr>
      <w:r>
        <w:tab/>
        <w:t>(1)</w:t>
      </w:r>
      <w:r>
        <w:tab/>
        <w:t>If the parking brake of a motor vehicle in a B</w:t>
      </w:r>
      <w:r>
        <w:noBreakHyphen/>
        <w:t>double or road train is applied, the parking brakes of any attached trailer must be applied automatically.</w:t>
      </w:r>
    </w:p>
    <w:p w:rsidR="006724FB" w:rsidRDefault="006724FB">
      <w:pPr>
        <w:pStyle w:val="Subsection"/>
      </w:pPr>
      <w:r>
        <w:tab/>
        <w:t>(2)</w:t>
      </w:r>
      <w:r>
        <w:tab/>
        <w:t>This regulation does not apply to a trailer carrying wheel chocks complying with regulation 345(2).</w:t>
      </w:r>
    </w:p>
    <w:p w:rsidR="006724FB" w:rsidRDefault="006724FB">
      <w:pPr>
        <w:pStyle w:val="Heading5"/>
      </w:pPr>
      <w:bookmarkStart w:id="654" w:name="_Toc75875953"/>
      <w:r>
        <w:rPr>
          <w:rStyle w:val="CharSectno"/>
        </w:rPr>
        <w:t>352</w:t>
      </w:r>
      <w:r>
        <w:t>.</w:t>
      </w:r>
      <w:r>
        <w:tab/>
        <w:t>Capacity of air reservoirs</w:t>
      </w:r>
      <w:bookmarkEnd w:id="654"/>
    </w:p>
    <w:p w:rsidR="006724FB" w:rsidRDefault="006724FB">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rsidR="006724FB" w:rsidRDefault="006724FB">
      <w:pPr>
        <w:pStyle w:val="Subsection"/>
      </w:pPr>
      <w:r>
        <w:tab/>
        <w:t>(2)</w:t>
      </w:r>
      <w:r>
        <w:tab/>
        <w:t>The capacity of the air storage tanks of a trailer used in a B</w:t>
      </w:r>
      <w:r>
        <w:noBreakHyphen/>
        <w:t>double or road train must be at least 8 times the volume of all the brake activation chambers on the trailer.</w:t>
      </w:r>
    </w:p>
    <w:p w:rsidR="006724FB" w:rsidRDefault="006724FB">
      <w:pPr>
        <w:pStyle w:val="Heading3"/>
        <w:rPr>
          <w:b w:val="0"/>
        </w:rPr>
      </w:pPr>
      <w:bookmarkStart w:id="655" w:name="_Toc75420030"/>
      <w:bookmarkStart w:id="656" w:name="_Toc75427366"/>
      <w:bookmarkStart w:id="657" w:name="_Toc75872782"/>
      <w:bookmarkStart w:id="658" w:name="_Toc75875954"/>
      <w:r>
        <w:rPr>
          <w:rStyle w:val="CharDivNo"/>
        </w:rPr>
        <w:t>Division 10</w:t>
      </w:r>
      <w:r>
        <w:t> — </w:t>
      </w:r>
      <w:r>
        <w:rPr>
          <w:rStyle w:val="CharDivText"/>
        </w:rPr>
        <w:t>Vehicle emissions</w:t>
      </w:r>
      <w:bookmarkEnd w:id="655"/>
      <w:bookmarkEnd w:id="656"/>
      <w:bookmarkEnd w:id="657"/>
      <w:bookmarkEnd w:id="658"/>
    </w:p>
    <w:p w:rsidR="006724FB" w:rsidRDefault="006724FB">
      <w:pPr>
        <w:pStyle w:val="Heading4"/>
      </w:pPr>
      <w:bookmarkStart w:id="659" w:name="_Toc75420031"/>
      <w:bookmarkStart w:id="660" w:name="_Toc75427367"/>
      <w:bookmarkStart w:id="661" w:name="_Toc75872783"/>
      <w:bookmarkStart w:id="662" w:name="_Toc75875955"/>
      <w:r>
        <w:t>Subdivision 1 — Crank case gases and visible emissions</w:t>
      </w:r>
      <w:bookmarkEnd w:id="659"/>
      <w:bookmarkEnd w:id="660"/>
      <w:bookmarkEnd w:id="661"/>
      <w:bookmarkEnd w:id="662"/>
    </w:p>
    <w:p w:rsidR="006724FB" w:rsidRDefault="006724FB">
      <w:pPr>
        <w:pStyle w:val="Heading5"/>
      </w:pPr>
      <w:bookmarkStart w:id="663" w:name="_Toc75875956"/>
      <w:r>
        <w:rPr>
          <w:rStyle w:val="CharSectno"/>
        </w:rPr>
        <w:t>353</w:t>
      </w:r>
      <w:r>
        <w:t>.</w:t>
      </w:r>
      <w:r>
        <w:tab/>
        <w:t>Crank case gases of various motor vehicles</w:t>
      </w:r>
      <w:bookmarkEnd w:id="663"/>
    </w:p>
    <w:p w:rsidR="006724FB" w:rsidRDefault="006724FB">
      <w:pPr>
        <w:pStyle w:val="Subsection"/>
      </w:pPr>
      <w:r>
        <w:tab/>
        <w:t>(1)</w:t>
      </w:r>
      <w:r>
        <w:tab/>
        <w:t>This regulation applies to a motor vehicle with 4 or more wheels that is powered by a petrol engine and was built after 1971.</w:t>
      </w:r>
    </w:p>
    <w:p w:rsidR="006724FB" w:rsidRDefault="006724FB">
      <w:pPr>
        <w:pStyle w:val="Subsection"/>
      </w:pPr>
      <w:r>
        <w:tab/>
        <w:t>(2)</w:t>
      </w:r>
      <w:r>
        <w:tab/>
        <w:t>A motor vehicle mentioned in subregulation (1) must be built to prevent, or fitted with equipment that prevents, crank case gases from escaping to the atmosphere.</w:t>
      </w:r>
    </w:p>
    <w:p w:rsidR="006724FB" w:rsidRDefault="006724FB">
      <w:pPr>
        <w:pStyle w:val="Heading5"/>
      </w:pPr>
      <w:bookmarkStart w:id="664" w:name="_Toc75875957"/>
      <w:r>
        <w:rPr>
          <w:rStyle w:val="CharSectno"/>
        </w:rPr>
        <w:t>354</w:t>
      </w:r>
      <w:r>
        <w:t>.</w:t>
      </w:r>
      <w:r>
        <w:tab/>
        <w:t>Visible emissions of certain motor vehicles</w:t>
      </w:r>
      <w:bookmarkEnd w:id="664"/>
    </w:p>
    <w:p w:rsidR="006724FB" w:rsidRDefault="006724FB">
      <w:pPr>
        <w:pStyle w:val="Subsection"/>
      </w:pPr>
      <w:r>
        <w:tab/>
        <w:t>(1)</w:t>
      </w:r>
      <w:r>
        <w:tab/>
        <w:t>This regulation applies to a motor vehicle that is propelled by an internal combustion engine and was built after 1930.</w:t>
      </w:r>
    </w:p>
    <w:p w:rsidR="006724FB" w:rsidRDefault="006724FB">
      <w:pPr>
        <w:pStyle w:val="Subsection"/>
      </w:pPr>
      <w:r>
        <w:tab/>
        <w:t>(2)</w:t>
      </w:r>
      <w:r>
        <w:tab/>
        <w:t>A motor vehicle mentioned in subregulation (1) must not emit visible emissions for a continuous period of at least 10 seconds.</w:t>
      </w:r>
    </w:p>
    <w:p w:rsidR="006724FB" w:rsidRDefault="006724FB">
      <w:pPr>
        <w:pStyle w:val="Subsection"/>
      </w:pPr>
      <w:r>
        <w:lastRenderedPageBreak/>
        <w:tab/>
        <w:t>(3)</w:t>
      </w:r>
      <w:r>
        <w:tab/>
        <w:t>This regulation does not apply to emissions that are visible only because of heat or the condensation of water vapour.</w:t>
      </w:r>
    </w:p>
    <w:p w:rsidR="006724FB" w:rsidRDefault="006724FB">
      <w:pPr>
        <w:pStyle w:val="Heading4"/>
      </w:pPr>
      <w:bookmarkStart w:id="665" w:name="_Toc75420034"/>
      <w:bookmarkStart w:id="666" w:name="_Toc75427370"/>
      <w:bookmarkStart w:id="667" w:name="_Toc75872786"/>
      <w:bookmarkStart w:id="668" w:name="_Toc75875958"/>
      <w:r>
        <w:t>Subdivision 2 — Exhaust systems</w:t>
      </w:r>
      <w:bookmarkEnd w:id="665"/>
      <w:bookmarkEnd w:id="666"/>
      <w:bookmarkEnd w:id="667"/>
      <w:bookmarkEnd w:id="668"/>
    </w:p>
    <w:p w:rsidR="006724FB" w:rsidRDefault="006724FB">
      <w:pPr>
        <w:pStyle w:val="Heading5"/>
      </w:pPr>
      <w:bookmarkStart w:id="669" w:name="_Toc75875959"/>
      <w:r>
        <w:rPr>
          <w:rStyle w:val="CharSectno"/>
        </w:rPr>
        <w:t>355</w:t>
      </w:r>
      <w:r>
        <w:t>.</w:t>
      </w:r>
      <w:r>
        <w:tab/>
        <w:t>Exhaust systems for various motor vehicles</w:t>
      </w:r>
      <w:bookmarkEnd w:id="669"/>
    </w:p>
    <w:p w:rsidR="006724FB" w:rsidRDefault="006724FB">
      <w:pPr>
        <w:pStyle w:val="Subsection"/>
      </w:pPr>
      <w:r>
        <w:tab/>
        <w:t>(1)</w:t>
      </w:r>
      <w:r>
        <w:tab/>
        <w:t xml:space="preserve">The outlet of the exhaust system fitted to a motor vehicle (except a bus) must extend — </w:t>
      </w:r>
    </w:p>
    <w:p w:rsidR="006724FB" w:rsidRDefault="006724FB">
      <w:pPr>
        <w:pStyle w:val="Indenta"/>
      </w:pPr>
      <w:r>
        <w:tab/>
        <w:t>(a)</w:t>
      </w:r>
      <w:r>
        <w:tab/>
        <w:t>behind the back seat; and</w:t>
      </w:r>
    </w:p>
    <w:p w:rsidR="006724FB" w:rsidRDefault="006724FB">
      <w:pPr>
        <w:pStyle w:val="Indenta"/>
      </w:pPr>
      <w:r>
        <w:tab/>
        <w:t>(b)</w:t>
      </w:r>
      <w:r>
        <w:tab/>
        <w:t>at least 40 mm beyond the outermost joint of the floorpan that is not continuously welded or permanently sealed; and</w:t>
      </w:r>
    </w:p>
    <w:p w:rsidR="006724FB" w:rsidRDefault="006724FB">
      <w:pPr>
        <w:pStyle w:val="Indenta"/>
      </w:pPr>
      <w:r>
        <w:tab/>
        <w:t>(c)</w:t>
      </w:r>
      <w:r>
        <w:tab/>
        <w:t xml:space="preserve">to the edge of the vehicle, if — </w:t>
      </w:r>
    </w:p>
    <w:p w:rsidR="006724FB" w:rsidRDefault="006724FB">
      <w:pPr>
        <w:pStyle w:val="Indenti"/>
      </w:pPr>
      <w:r>
        <w:tab/>
        <w:t>(i)</w:t>
      </w:r>
      <w:r>
        <w:tab/>
        <w:t>the body of the vehicle is permanently enclosed; and</w:t>
      </w:r>
    </w:p>
    <w:p w:rsidR="006724FB" w:rsidRDefault="006724FB">
      <w:pPr>
        <w:pStyle w:val="Indenti"/>
      </w:pPr>
      <w:r>
        <w:tab/>
        <w:t>(ii)</w:t>
      </w:r>
      <w:r>
        <w:tab/>
        <w:t>the vehicle is not fitted with a vertical exhaust system;</w:t>
      </w:r>
    </w:p>
    <w:p w:rsidR="006724FB" w:rsidRDefault="006724FB">
      <w:pPr>
        <w:pStyle w:val="Indenta"/>
      </w:pPr>
      <w:r>
        <w:tab/>
      </w:r>
      <w:r>
        <w:tab/>
        <w:t>and</w:t>
      </w:r>
    </w:p>
    <w:p w:rsidR="006724FB" w:rsidRDefault="006724FB">
      <w:pPr>
        <w:pStyle w:val="Indenta"/>
      </w:pPr>
      <w:r>
        <w:tab/>
        <w:t>(d)</w:t>
      </w:r>
      <w:r>
        <w:tab/>
        <w:t>no further than the edge of the vehicle at its widest point.</w:t>
      </w:r>
    </w:p>
    <w:p w:rsidR="006724FB" w:rsidRDefault="006724FB">
      <w:pPr>
        <w:pStyle w:val="Subsection"/>
        <w:keepNext/>
      </w:pPr>
      <w:r>
        <w:tab/>
        <w:t>(2)</w:t>
      </w:r>
      <w:r>
        <w:tab/>
        <w:t xml:space="preserve">The outlet required by subregulation (1) must discharge the main exhaust flow to the air — </w:t>
      </w:r>
    </w:p>
    <w:p w:rsidR="006724FB" w:rsidRDefault="006724FB">
      <w:pPr>
        <w:pStyle w:val="Indenta"/>
        <w:keepNext/>
      </w:pPr>
      <w:r>
        <w:tab/>
        <w:t>(a)</w:t>
      </w:r>
      <w:r>
        <w:tab/>
        <w:t xml:space="preserve">if the vehicle is fitted, or required to be fitted, with an exhaust system with a vertical outlet pipe — </w:t>
      </w:r>
    </w:p>
    <w:p w:rsidR="006724FB" w:rsidRDefault="006724FB">
      <w:pPr>
        <w:pStyle w:val="Indenti"/>
      </w:pPr>
      <w:r>
        <w:tab/>
        <w:t>(i)</w:t>
      </w:r>
      <w:r>
        <w:tab/>
        <w:t>at an angle above the horizontal; and</w:t>
      </w:r>
    </w:p>
    <w:p w:rsidR="006724FB" w:rsidRDefault="006724FB">
      <w:pPr>
        <w:pStyle w:val="Indenti"/>
      </w:pPr>
      <w:r>
        <w:tab/>
        <w:t>(ii)</w:t>
      </w:r>
      <w:r>
        <w:tab/>
        <w:t>at least 150 mm above the cab of the vehicle; and</w:t>
      </w:r>
    </w:p>
    <w:p w:rsidR="006724FB" w:rsidRDefault="006724FB">
      <w:pPr>
        <w:pStyle w:val="Indenti"/>
      </w:pPr>
      <w:r>
        <w:tab/>
        <w:t>(iii)</w:t>
      </w:r>
      <w:r>
        <w:tab/>
        <w:t>rearwards or to the right of the vehicle;</w:t>
      </w:r>
    </w:p>
    <w:p w:rsidR="006724FB" w:rsidRDefault="006724FB">
      <w:pPr>
        <w:pStyle w:val="Indenta"/>
      </w:pPr>
      <w:r>
        <w:tab/>
      </w:r>
      <w:r>
        <w:tab/>
        <w:t>and</w:t>
      </w:r>
    </w:p>
    <w:p w:rsidR="006724FB" w:rsidRDefault="006724FB">
      <w:pPr>
        <w:pStyle w:val="Indenta"/>
      </w:pPr>
      <w:r>
        <w:tab/>
        <w:t>(b)</w:t>
      </w:r>
      <w:r>
        <w:tab/>
        <w:t xml:space="preserve">in any other case — </w:t>
      </w:r>
    </w:p>
    <w:p w:rsidR="006724FB" w:rsidRDefault="006724FB">
      <w:pPr>
        <w:pStyle w:val="Indenti"/>
      </w:pPr>
      <w:r>
        <w:tab/>
        <w:t>(i)</w:t>
      </w:r>
      <w:r>
        <w:tab/>
        <w:t>horizontally or at an angle of not over 45° downwards; and</w:t>
      </w:r>
    </w:p>
    <w:p w:rsidR="006724FB" w:rsidRDefault="006724FB">
      <w:pPr>
        <w:pStyle w:val="Indenti"/>
      </w:pPr>
      <w:r>
        <w:tab/>
        <w:t>(ii)</w:t>
      </w:r>
      <w:r>
        <w:tab/>
        <w:t>under 750 mm above ground level; and</w:t>
      </w:r>
    </w:p>
    <w:p w:rsidR="006724FB" w:rsidRDefault="006724FB">
      <w:pPr>
        <w:pStyle w:val="Indenti"/>
      </w:pPr>
      <w:r>
        <w:tab/>
        <w:t>(iii)</w:t>
      </w:r>
      <w:r>
        <w:tab/>
        <w:t>rearwards or to the right of the vehicle.</w:t>
      </w:r>
    </w:p>
    <w:p w:rsidR="006724FB" w:rsidRDefault="006724FB">
      <w:pPr>
        <w:pStyle w:val="Subsection"/>
      </w:pPr>
      <w:r>
        <w:lastRenderedPageBreak/>
        <w:tab/>
        <w:t>(3)</w:t>
      </w:r>
      <w:r>
        <w:tab/>
        <w:t>An exposed section of a vertical exhaust system fitted to a motor vehicle that is a heavy vehicle (except a bus) must be positioned or shielded to prevent injury.</w:t>
      </w:r>
    </w:p>
    <w:p w:rsidR="006724FB" w:rsidRDefault="006724FB">
      <w:pPr>
        <w:pStyle w:val="Subsection"/>
      </w:pPr>
      <w:r>
        <w:tab/>
        <w:t>(4)</w:t>
      </w:r>
      <w:r>
        <w:tab/>
        <w:t xml:space="preserve">The outlet of the exhaust system fitted to a bus that is a heavy vehicle must — </w:t>
      </w:r>
    </w:p>
    <w:p w:rsidR="006724FB" w:rsidRDefault="006724FB">
      <w:pPr>
        <w:pStyle w:val="Indenta"/>
      </w:pPr>
      <w:r>
        <w:tab/>
        <w:t>(a)</w:t>
      </w:r>
      <w:r>
        <w:tab/>
        <w:t>be as near as practicable to the rear of the vehicle; and</w:t>
      </w:r>
    </w:p>
    <w:p w:rsidR="006724FB" w:rsidRDefault="006724FB">
      <w:pPr>
        <w:pStyle w:val="Indenta"/>
      </w:pPr>
      <w:r>
        <w:tab/>
        <w:t>(b)</w:t>
      </w:r>
      <w:r>
        <w:tab/>
        <w:t>extend no further than the edge of the bus at its widest point.</w:t>
      </w:r>
    </w:p>
    <w:p w:rsidR="006724FB" w:rsidRDefault="006724FB">
      <w:pPr>
        <w:pStyle w:val="Subsection"/>
        <w:keepNext/>
      </w:pPr>
      <w:r>
        <w:tab/>
        <w:t>(5)</w:t>
      </w:r>
      <w:r>
        <w:tab/>
        <w:t xml:space="preserve">The outlet required by subregulation (4) must discharge the main exhaust flow to the air — </w:t>
      </w:r>
    </w:p>
    <w:p w:rsidR="006724FB" w:rsidRDefault="006724FB">
      <w:pPr>
        <w:pStyle w:val="Indenta"/>
        <w:keepNext/>
      </w:pPr>
      <w:r>
        <w:tab/>
        <w:t>(a)</w:t>
      </w:r>
      <w:r>
        <w:tab/>
        <w:t xml:space="preserve">if the bus is fitted, or required to be fitted, with an exhaust system with a vertical outlet pipe — </w:t>
      </w:r>
    </w:p>
    <w:p w:rsidR="006724FB" w:rsidRDefault="006724FB">
      <w:pPr>
        <w:pStyle w:val="Indenti"/>
      </w:pPr>
      <w:r>
        <w:tab/>
        <w:t>(i)</w:t>
      </w:r>
      <w:r>
        <w:tab/>
        <w:t>behind the passenger compartment; and</w:t>
      </w:r>
    </w:p>
    <w:p w:rsidR="006724FB" w:rsidRDefault="006724FB">
      <w:pPr>
        <w:pStyle w:val="Indenti"/>
      </w:pPr>
      <w:r>
        <w:tab/>
        <w:t>(ii)</w:t>
      </w:r>
      <w:r>
        <w:tab/>
        <w:t>at an angle above the horizontal; and</w:t>
      </w:r>
    </w:p>
    <w:p w:rsidR="006724FB" w:rsidRDefault="006724FB">
      <w:pPr>
        <w:pStyle w:val="Indenti"/>
      </w:pPr>
      <w:r>
        <w:tab/>
        <w:t>(iii)</w:t>
      </w:r>
      <w:r>
        <w:tab/>
        <w:t>upwards or rearwards;</w:t>
      </w:r>
    </w:p>
    <w:p w:rsidR="006724FB" w:rsidRDefault="006724FB">
      <w:pPr>
        <w:pStyle w:val="Indenta"/>
      </w:pPr>
      <w:r>
        <w:tab/>
      </w:r>
      <w:r>
        <w:tab/>
        <w:t>and</w:t>
      </w:r>
    </w:p>
    <w:p w:rsidR="006724FB" w:rsidRDefault="006724FB">
      <w:pPr>
        <w:pStyle w:val="Indenta"/>
        <w:keepNext/>
      </w:pPr>
      <w:r>
        <w:tab/>
        <w:t>(b)</w:t>
      </w:r>
      <w:r>
        <w:tab/>
        <w:t xml:space="preserve">in any other case — </w:t>
      </w:r>
    </w:p>
    <w:p w:rsidR="006724FB" w:rsidRDefault="006724FB">
      <w:pPr>
        <w:pStyle w:val="Indenti"/>
      </w:pPr>
      <w:r>
        <w:tab/>
        <w:t>(i)</w:t>
      </w:r>
      <w:r>
        <w:tab/>
        <w:t>horizontally or at an angle of not over 45° downwards; and</w:t>
      </w:r>
    </w:p>
    <w:p w:rsidR="006724FB" w:rsidRDefault="006724FB">
      <w:pPr>
        <w:pStyle w:val="Indenti"/>
      </w:pPr>
      <w:r>
        <w:tab/>
        <w:t>(ii)</w:t>
      </w:r>
      <w:r>
        <w:tab/>
        <w:t>rearwards or to the right of the vehicle.</w:t>
      </w:r>
    </w:p>
    <w:p w:rsidR="006724FB" w:rsidRDefault="006724FB">
      <w:pPr>
        <w:pStyle w:val="Subsection"/>
      </w:pPr>
      <w:r>
        <w:tab/>
        <w:t>(6)</w:t>
      </w:r>
      <w:r>
        <w:tab/>
        <w:t xml:space="preserve">A vertical exhaust system fitted to a motor vehicle that is a heavy vehicle must — </w:t>
      </w:r>
    </w:p>
    <w:p w:rsidR="006724FB" w:rsidRDefault="006724FB">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rsidR="006724FB" w:rsidRDefault="006724FB">
      <w:pPr>
        <w:pStyle w:val="Indenta"/>
      </w:pPr>
      <w:r>
        <w:tab/>
        <w:t>(b)</w:t>
      </w:r>
      <w:r>
        <w:tab/>
        <w:t>if a rain cap is fitted to the outlet pipe — be installed so the hinge of the cap is at an angle of 90° (plus or minus 10°) to the longitudinal centre line of the vehicle when viewed from above.</w:t>
      </w:r>
    </w:p>
    <w:p w:rsidR="006724FB" w:rsidRDefault="006724FB">
      <w:pPr>
        <w:pStyle w:val="Graphics"/>
        <w:keepNext/>
        <w:spacing w:before="240" w:after="240"/>
        <w:ind w:left="851"/>
        <w:jc w:val="center"/>
      </w:pPr>
      <w:r>
        <w:lastRenderedPageBreak/>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rsidR="006724FB" w:rsidRDefault="006724FB">
      <w:pPr>
        <w:pStyle w:val="MiscellaneousHeading"/>
        <w:keepNext w:val="0"/>
        <w:spacing w:before="60" w:line="240" w:lineRule="auto"/>
        <w:rPr>
          <w:b/>
        </w:rPr>
      </w:pPr>
      <w:r>
        <w:rPr>
          <w:b/>
        </w:rPr>
        <w:t>Bus exhaust outlet pipe</w:t>
      </w:r>
    </w:p>
    <w:p w:rsidR="006724FB" w:rsidRDefault="006724FB">
      <w:pPr>
        <w:pStyle w:val="Heading4"/>
      </w:pPr>
      <w:bookmarkStart w:id="670" w:name="_Toc75420036"/>
      <w:bookmarkStart w:id="671" w:name="_Toc75427372"/>
      <w:bookmarkStart w:id="672" w:name="_Toc75872788"/>
      <w:bookmarkStart w:id="673" w:name="_Toc75875960"/>
      <w:r>
        <w:t>Subdivision 3 — Emission control systems</w:t>
      </w:r>
      <w:bookmarkEnd w:id="670"/>
      <w:bookmarkEnd w:id="671"/>
      <w:bookmarkEnd w:id="672"/>
      <w:bookmarkEnd w:id="673"/>
    </w:p>
    <w:p w:rsidR="006724FB" w:rsidRDefault="006724FB">
      <w:pPr>
        <w:pStyle w:val="Heading5"/>
        <w:spacing w:before="240"/>
        <w:rPr>
          <w:b w:val="0"/>
        </w:rPr>
      </w:pPr>
      <w:bookmarkStart w:id="674" w:name="_Toc75875961"/>
      <w:r>
        <w:rPr>
          <w:rStyle w:val="CharSectno"/>
        </w:rPr>
        <w:t>356</w:t>
      </w:r>
      <w:r>
        <w:t>.</w:t>
      </w:r>
      <w:r>
        <w:tab/>
        <w:t>Emission control systems to be fitted and properly maintained</w:t>
      </w:r>
      <w:bookmarkEnd w:id="674"/>
    </w:p>
    <w:p w:rsidR="006724FB" w:rsidRDefault="006724FB">
      <w:pPr>
        <w:pStyle w:val="Subsection"/>
      </w:pPr>
      <w:r>
        <w:tab/>
        <w:t>(1)</w:t>
      </w:r>
      <w:r>
        <w:tab/>
        <w:t xml:space="preserve">In this regulation — </w:t>
      </w:r>
    </w:p>
    <w:p w:rsidR="006724FB" w:rsidRDefault="006724FB">
      <w:pPr>
        <w:pStyle w:val="Defstart"/>
      </w:pPr>
      <w:r>
        <w:tab/>
      </w:r>
      <w:r>
        <w:rPr>
          <w:rStyle w:val="CharDefText"/>
        </w:rPr>
        <w:t>emission control system</w:t>
      </w:r>
      <w:r>
        <w:t xml:space="preserve">, for a vehicle, means an emission control system — </w:t>
      </w:r>
    </w:p>
    <w:p w:rsidR="006724FB" w:rsidRDefault="006724FB">
      <w:pPr>
        <w:pStyle w:val="Defpara"/>
      </w:pPr>
      <w:r>
        <w:tab/>
        <w:t>(a)</w:t>
      </w:r>
      <w:r>
        <w:tab/>
        <w:t>fitted to the vehicle when it was built; or</w:t>
      </w:r>
    </w:p>
    <w:p w:rsidR="006724FB" w:rsidRDefault="006724FB">
      <w:pPr>
        <w:pStyle w:val="Defpara"/>
      </w:pPr>
      <w:r>
        <w:tab/>
        <w:t>(b)</w:t>
      </w:r>
      <w:r>
        <w:tab/>
        <w:t>better than, or equivalent to, an emission control system fitted to the vehicle when it was built.</w:t>
      </w:r>
    </w:p>
    <w:p w:rsidR="006724FB" w:rsidRDefault="006724FB">
      <w:pPr>
        <w:pStyle w:val="Subsection"/>
        <w:spacing w:before="180"/>
      </w:pPr>
      <w:r>
        <w:tab/>
        <w:t>(2)</w:t>
      </w:r>
      <w:r>
        <w:tab/>
        <w:t xml:space="preserve">This regulation — </w:t>
      </w:r>
    </w:p>
    <w:p w:rsidR="006724FB" w:rsidRDefault="006724FB">
      <w:pPr>
        <w:pStyle w:val="Indenta"/>
        <w:spacing w:before="100"/>
      </w:pPr>
      <w:r>
        <w:tab/>
        <w:t>(a)</w:t>
      </w:r>
      <w:r>
        <w:tab/>
        <w:t>applies to a motor vehicle or trailer whether or not it forms part of a combination; and</w:t>
      </w:r>
    </w:p>
    <w:p w:rsidR="006724FB" w:rsidRDefault="006724FB">
      <w:pPr>
        <w:pStyle w:val="Indenta"/>
        <w:spacing w:before="100"/>
      </w:pPr>
      <w:r>
        <w:tab/>
        <w:t>(b)</w:t>
      </w:r>
      <w:r>
        <w:tab/>
        <w:t>does not apply to an agricultural implement.</w:t>
      </w:r>
    </w:p>
    <w:p w:rsidR="006724FB" w:rsidRDefault="006724FB">
      <w:pPr>
        <w:pStyle w:val="Subsection"/>
        <w:keepNext/>
        <w:spacing w:before="180"/>
      </w:pPr>
      <w:r>
        <w:tab/>
        <w:t>(3)</w:t>
      </w:r>
      <w:r>
        <w:tab/>
        <w:t>Each emission control system of a vehicle must remain fitted to the vehicle.</w:t>
      </w:r>
    </w:p>
    <w:p w:rsidR="006724FB" w:rsidRDefault="006724FB">
      <w:pPr>
        <w:pStyle w:val="Subsection"/>
      </w:pPr>
      <w:r>
        <w:tab/>
        <w:t>(4)</w:t>
      </w:r>
      <w:r>
        <w:tab/>
        <w:t>Each emission control system fitted to a vehicle must be in a condition that ensures that the system continues operating essentially in accordance with the system’s original design.</w:t>
      </w:r>
    </w:p>
    <w:p w:rsidR="006724FB" w:rsidRDefault="006724FB">
      <w:pPr>
        <w:pStyle w:val="Heading4"/>
      </w:pPr>
      <w:bookmarkStart w:id="675" w:name="_Toc75420038"/>
      <w:bookmarkStart w:id="676" w:name="_Toc75427374"/>
      <w:bookmarkStart w:id="677" w:name="_Toc75872790"/>
      <w:bookmarkStart w:id="678" w:name="_Toc75875962"/>
      <w:r>
        <w:lastRenderedPageBreak/>
        <w:t>Subdivision 4 — Noise emissions</w:t>
      </w:r>
      <w:bookmarkEnd w:id="675"/>
      <w:bookmarkEnd w:id="676"/>
      <w:bookmarkEnd w:id="677"/>
      <w:bookmarkEnd w:id="678"/>
    </w:p>
    <w:p w:rsidR="006724FB" w:rsidRDefault="006724FB">
      <w:pPr>
        <w:pStyle w:val="Heading5"/>
      </w:pPr>
      <w:bookmarkStart w:id="679" w:name="_Toc75875963"/>
      <w:r>
        <w:rPr>
          <w:rStyle w:val="CharSectno"/>
        </w:rPr>
        <w:t>357</w:t>
      </w:r>
      <w:r>
        <w:t>.</w:t>
      </w:r>
      <w:r>
        <w:tab/>
        <w:t>Measurement of stationary noise levels</w:t>
      </w:r>
      <w:bookmarkEnd w:id="679"/>
    </w:p>
    <w:p w:rsidR="006724FB" w:rsidRDefault="006724FB">
      <w:pPr>
        <w:pStyle w:val="Subsection"/>
      </w:pPr>
      <w:r>
        <w:tab/>
        <w:t>(1)</w:t>
      </w:r>
      <w:r>
        <w:tab/>
        <w:t xml:space="preserve">In this regulation — </w:t>
      </w:r>
    </w:p>
    <w:p w:rsidR="006724FB" w:rsidRDefault="006724FB">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rsidR="006724FB" w:rsidRDefault="006724FB">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rsidR="006724FB" w:rsidRDefault="006724FB">
      <w:pPr>
        <w:pStyle w:val="Footnotesection"/>
      </w:pPr>
      <w:r>
        <w:tab/>
        <w:t>[Regulation 357 inserted: Gazette 29 Mar 2019 p. 969</w:t>
      </w:r>
      <w:r>
        <w:noBreakHyphen/>
        <w:t>70.]</w:t>
      </w:r>
    </w:p>
    <w:p w:rsidR="002058DC" w:rsidRDefault="002058DC" w:rsidP="002058DC">
      <w:pPr>
        <w:pStyle w:val="Heading5"/>
      </w:pPr>
      <w:bookmarkStart w:id="680" w:name="_Toc75875964"/>
      <w:r w:rsidRPr="00A75C28">
        <w:rPr>
          <w:rStyle w:val="CharSectno"/>
        </w:rPr>
        <w:t>357A</w:t>
      </w:r>
      <w:r>
        <w:t>.</w:t>
      </w:r>
      <w:r>
        <w:tab/>
        <w:t xml:space="preserve">Meaning of </w:t>
      </w:r>
      <w:r w:rsidRPr="001012B2">
        <w:rPr>
          <w:i/>
        </w:rPr>
        <w:t>certified to ADR</w:t>
      </w:r>
      <w:r>
        <w:rPr>
          <w:i/>
        </w:rPr>
        <w:t> </w:t>
      </w:r>
      <w:r w:rsidRPr="001012B2">
        <w:rPr>
          <w:i/>
        </w:rPr>
        <w:t>83/00</w:t>
      </w:r>
      <w:bookmarkEnd w:id="680"/>
    </w:p>
    <w:p w:rsidR="002058DC" w:rsidRDefault="002058DC" w:rsidP="002058DC">
      <w:pPr>
        <w:pStyle w:val="Subsection"/>
      </w:pPr>
      <w:r>
        <w:tab/>
      </w:r>
      <w:r>
        <w:tab/>
        <w:t xml:space="preserve">For this Subdivision, a vehicle is </w:t>
      </w:r>
      <w:r w:rsidRPr="00981885">
        <w:rPr>
          <w:rStyle w:val="CharDefText"/>
        </w:rPr>
        <w:t>certified to ADR 83/00</w:t>
      </w:r>
      <w:r>
        <w:t xml:space="preserve"> if — </w:t>
      </w:r>
    </w:p>
    <w:p w:rsidR="002058DC" w:rsidRDefault="002058DC" w:rsidP="002058DC">
      <w:pPr>
        <w:pStyle w:val="Indenta"/>
      </w:pPr>
      <w:r>
        <w:tab/>
        <w:t>(a)</w:t>
      </w:r>
      <w:r>
        <w:tab/>
        <w:t xml:space="preserve">immediately before the repeal of the </w:t>
      </w:r>
      <w:r w:rsidRPr="001012B2">
        <w:rPr>
          <w:i/>
        </w:rPr>
        <w:t>Motor Vehicle Standards Act 1989</w:t>
      </w:r>
      <w:r w:rsidRPr="001012B2">
        <w:t xml:space="preserve"> (</w:t>
      </w:r>
      <w:r>
        <w:t xml:space="preserve">Commonwealth), approval has been given under </w:t>
      </w:r>
      <w:r w:rsidRPr="001012B2">
        <w:t>section</w:t>
      </w:r>
      <w:r>
        <w:t> 10A of that Act to place an identification plate showing compliance with ADR 83/00 on the vehicle; or</w:t>
      </w:r>
    </w:p>
    <w:p w:rsidR="002058DC" w:rsidRDefault="002058DC" w:rsidP="002058DC">
      <w:pPr>
        <w:pStyle w:val="Indenta"/>
      </w:pPr>
      <w:r>
        <w:tab/>
        <w:t>(b)</w:t>
      </w:r>
      <w:r>
        <w:tab/>
        <w:t xml:space="preserve">an approval is given under the </w:t>
      </w:r>
      <w:r w:rsidRPr="001012B2">
        <w:rPr>
          <w:i/>
        </w:rPr>
        <w:t>Road Vehicle Standards (Consequential and Transitional Provisions) Act 2018</w:t>
      </w:r>
      <w:r w:rsidRPr="001012B2">
        <w:t xml:space="preserve"> (</w:t>
      </w:r>
      <w:r>
        <w:t>Commonwealth) Schedule 3 item 4(2) or 6(2); or</w:t>
      </w:r>
    </w:p>
    <w:p w:rsidR="002058DC" w:rsidRDefault="002058DC" w:rsidP="002058DC">
      <w:pPr>
        <w:pStyle w:val="Indenta"/>
      </w:pPr>
      <w:r>
        <w:tab/>
        <w:t>(c)</w:t>
      </w:r>
      <w:r>
        <w:tab/>
        <w:t xml:space="preserve">the vehicle has satisfied an entry pathway under the </w:t>
      </w:r>
      <w:r w:rsidRPr="001012B2">
        <w:rPr>
          <w:i/>
        </w:rPr>
        <w:t>Road Vehicle Standards Act 2018</w:t>
      </w:r>
      <w:r w:rsidRPr="001012B2">
        <w:t xml:space="preserve"> (</w:t>
      </w:r>
      <w:r>
        <w:t xml:space="preserve">Commonwealth) </w:t>
      </w:r>
      <w:r w:rsidRPr="001012B2">
        <w:t>section</w:t>
      </w:r>
      <w:r>
        <w:t> 15(2), including compliance with ADR 83/00, and the vehicle is entered on the RAV.</w:t>
      </w:r>
    </w:p>
    <w:p w:rsidR="002058DC" w:rsidRDefault="002058DC" w:rsidP="002058DC">
      <w:pPr>
        <w:pStyle w:val="Footnotesection"/>
      </w:pPr>
      <w:r>
        <w:tab/>
        <w:t>[Regulation 357A inserted: SL 2021/81 r. 15.]</w:t>
      </w:r>
    </w:p>
    <w:p w:rsidR="006724FB" w:rsidRDefault="006724FB">
      <w:pPr>
        <w:pStyle w:val="Heading5"/>
      </w:pPr>
      <w:bookmarkStart w:id="681" w:name="_Toc75875965"/>
      <w:r>
        <w:rPr>
          <w:rStyle w:val="CharSectno"/>
        </w:rPr>
        <w:lastRenderedPageBreak/>
        <w:t>358</w:t>
      </w:r>
      <w:r>
        <w:t>.</w:t>
      </w:r>
      <w:r>
        <w:tab/>
        <w:t>Silencing device for exhaust systems</w:t>
      </w:r>
      <w:bookmarkEnd w:id="681"/>
    </w:p>
    <w:p w:rsidR="006724FB" w:rsidRDefault="006724FB">
      <w:pPr>
        <w:pStyle w:val="Subsection"/>
      </w:pPr>
      <w:r>
        <w:tab/>
        <w:t>(1)</w:t>
      </w:r>
      <w:r>
        <w:tab/>
        <w:t>A motor vehicle propelled by an internal combustion engine must be fitted with a silencing device through which all the exhaust from the engine passes.</w:t>
      </w:r>
    </w:p>
    <w:p w:rsidR="006724FB" w:rsidRDefault="006724FB">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rsidR="006724FB" w:rsidRDefault="006724FB">
      <w:pPr>
        <w:pStyle w:val="Footnotesection"/>
      </w:pPr>
      <w:r>
        <w:tab/>
        <w:t>[Regulation 358 inserted: Gazette 29 Mar 2019 p. 970.]</w:t>
      </w:r>
    </w:p>
    <w:p w:rsidR="006724FB" w:rsidRDefault="006724FB">
      <w:pPr>
        <w:pStyle w:val="Heading5"/>
      </w:pPr>
      <w:bookmarkStart w:id="682" w:name="_Toc75875966"/>
      <w:r>
        <w:rPr>
          <w:rStyle w:val="CharSectno"/>
        </w:rPr>
        <w:t>358A</w:t>
      </w:r>
      <w:r>
        <w:t>.</w:t>
      </w:r>
      <w:r>
        <w:tab/>
        <w:t>Application of regulations 359 to 361</w:t>
      </w:r>
      <w:bookmarkEnd w:id="682"/>
    </w:p>
    <w:p w:rsidR="006724FB" w:rsidRDefault="006724FB">
      <w:pPr>
        <w:pStyle w:val="Subsection"/>
      </w:pPr>
      <w:r>
        <w:tab/>
      </w:r>
      <w:r>
        <w:tab/>
        <w:t>Regulations 359 to 361 apply to a motor vehicle other than a vehicle certified to ADR 83/00.</w:t>
      </w:r>
    </w:p>
    <w:p w:rsidR="006724FB" w:rsidRDefault="006724FB">
      <w:pPr>
        <w:pStyle w:val="Footnotesection"/>
      </w:pPr>
      <w:r>
        <w:tab/>
        <w:t>[Regulation 358A inserted: Gazette 29 Mar 2019 p. 971.]</w:t>
      </w:r>
    </w:p>
    <w:p w:rsidR="006724FB" w:rsidRDefault="006724FB">
      <w:pPr>
        <w:pStyle w:val="Heading5"/>
      </w:pPr>
      <w:bookmarkStart w:id="683" w:name="_Toc75875967"/>
      <w:r>
        <w:rPr>
          <w:rStyle w:val="CharSectno"/>
        </w:rPr>
        <w:t>359</w:t>
      </w:r>
      <w:r>
        <w:t>.</w:t>
      </w:r>
      <w:r>
        <w:tab/>
        <w:t>Stationary noise levels: car</w:t>
      </w:r>
      <w:r>
        <w:noBreakHyphen/>
        <w:t>type vehicles and motor cycles and motor tricycles</w:t>
      </w:r>
      <w:bookmarkEnd w:id="683"/>
    </w:p>
    <w:p w:rsidR="006724FB" w:rsidRDefault="006724FB">
      <w:pPr>
        <w:pStyle w:val="Subsection"/>
      </w:pPr>
      <w:r>
        <w:tab/>
        <w:t>(1)</w:t>
      </w:r>
      <w:r>
        <w:tab/>
        <w:t xml:space="preserve">In this regulation — </w:t>
      </w:r>
    </w:p>
    <w:p w:rsidR="006724FB" w:rsidRDefault="006724FB">
      <w:pPr>
        <w:pStyle w:val="Defstart"/>
      </w:pPr>
      <w:r>
        <w:tab/>
      </w:r>
      <w:r>
        <w:rPr>
          <w:rStyle w:val="CharDefText"/>
        </w:rPr>
        <w:t>car</w:t>
      </w:r>
      <w:r>
        <w:rPr>
          <w:rStyle w:val="CharDefText"/>
        </w:rPr>
        <w:noBreakHyphen/>
        <w:t>type vehicle</w:t>
      </w:r>
      <w:r>
        <w:t xml:space="preserve"> means — </w:t>
      </w:r>
    </w:p>
    <w:p w:rsidR="006724FB" w:rsidRDefault="006724FB">
      <w:pPr>
        <w:pStyle w:val="Defpara"/>
      </w:pPr>
      <w:r>
        <w:tab/>
        <w:t>(a)</w:t>
      </w:r>
      <w:r>
        <w:tab/>
        <w:t>a car; or</w:t>
      </w:r>
    </w:p>
    <w:p w:rsidR="006724FB" w:rsidRDefault="006724FB">
      <w:pPr>
        <w:pStyle w:val="Defpara"/>
      </w:pPr>
      <w:r>
        <w:tab/>
        <w:t>(b)</w:t>
      </w:r>
      <w:r>
        <w:tab/>
        <w:t>a utility truck, panel van or another motor vehicle derived from a car design; or</w:t>
      </w:r>
    </w:p>
    <w:p w:rsidR="006724FB" w:rsidRDefault="006724FB">
      <w:pPr>
        <w:pStyle w:val="Defpara"/>
      </w:pPr>
      <w:r>
        <w:tab/>
        <w:t>(c)</w:t>
      </w:r>
      <w:r>
        <w:tab/>
        <w:t>another motor vehicle with 4 or more wheels that is built mainly to carry not over 9 people including the driver.</w:t>
      </w:r>
    </w:p>
    <w:p w:rsidR="006724FB" w:rsidRDefault="006724FB">
      <w:pPr>
        <w:pStyle w:val="Subsection"/>
      </w:pPr>
      <w:r>
        <w:tab/>
        <w:t>(2)</w:t>
      </w:r>
      <w:r>
        <w:tab/>
        <w:t>The stationary noise level of a car</w:t>
      </w:r>
      <w:r>
        <w:noBreakHyphen/>
        <w:t xml:space="preserve">type vehicle or motor cycle or motor tricycle, must not exceed — </w:t>
      </w:r>
    </w:p>
    <w:p w:rsidR="006724FB" w:rsidRDefault="006724FB">
      <w:pPr>
        <w:pStyle w:val="Indenta"/>
      </w:pPr>
      <w:r>
        <w:tab/>
        <w:t>(a)</w:t>
      </w:r>
      <w:r>
        <w:tab/>
        <w:t>for a car</w:t>
      </w:r>
      <w:r>
        <w:noBreakHyphen/>
        <w:t>type vehicle built after 1982 — 90 dB(A); or</w:t>
      </w:r>
    </w:p>
    <w:p w:rsidR="006724FB" w:rsidRDefault="006724FB">
      <w:pPr>
        <w:pStyle w:val="Indenta"/>
      </w:pPr>
      <w:r>
        <w:tab/>
        <w:t>(b)</w:t>
      </w:r>
      <w:r>
        <w:tab/>
        <w:t>for another car</w:t>
      </w:r>
      <w:r>
        <w:noBreakHyphen/>
        <w:t>type vehicle — 96 dB(A); or</w:t>
      </w:r>
    </w:p>
    <w:p w:rsidR="006724FB" w:rsidRDefault="006724FB">
      <w:pPr>
        <w:pStyle w:val="Indenta"/>
      </w:pPr>
      <w:r>
        <w:tab/>
        <w:t>(c)</w:t>
      </w:r>
      <w:r>
        <w:tab/>
        <w:t>for a motor cycle or motor tricycle built after February 1985 — 94 dB(A); or</w:t>
      </w:r>
    </w:p>
    <w:p w:rsidR="006724FB" w:rsidRDefault="006724FB">
      <w:pPr>
        <w:pStyle w:val="Indenta"/>
      </w:pPr>
      <w:r>
        <w:tab/>
        <w:t>(d)</w:t>
      </w:r>
      <w:r>
        <w:tab/>
        <w:t>for another motor cycle or motor tricycle — 100 dB(A).</w:t>
      </w:r>
    </w:p>
    <w:p w:rsidR="006724FB" w:rsidRDefault="006724FB">
      <w:pPr>
        <w:pStyle w:val="Heading5"/>
        <w:keepNext w:val="0"/>
        <w:keepLines w:val="0"/>
      </w:pPr>
      <w:bookmarkStart w:id="684" w:name="_Toc75875968"/>
      <w:r>
        <w:rPr>
          <w:rStyle w:val="CharSectno"/>
        </w:rPr>
        <w:lastRenderedPageBreak/>
        <w:t>360</w:t>
      </w:r>
      <w:r>
        <w:t>.</w:t>
      </w:r>
      <w:r>
        <w:tab/>
        <w:t>Stationary noise levels: other vehicles with spark ignition engines</w:t>
      </w:r>
      <w:bookmarkEnd w:id="684"/>
    </w:p>
    <w:p w:rsidR="006724FB" w:rsidRDefault="006724FB">
      <w:pPr>
        <w:pStyle w:val="Subsection"/>
      </w:pPr>
      <w:r>
        <w:tab/>
        <w:t>(1)</w:t>
      </w:r>
      <w:r>
        <w:tab/>
        <w:t>This regulation applies to a motor vehicle (except a motor vehicle to which regulation 359 applies) with a spark ignition engine.</w:t>
      </w:r>
    </w:p>
    <w:p w:rsidR="006724FB" w:rsidRDefault="006724FB">
      <w:pPr>
        <w:pStyle w:val="Subsection"/>
      </w:pPr>
      <w:r>
        <w:tab/>
        <w:t>(2)</w:t>
      </w:r>
      <w:r>
        <w:tab/>
        <w:t>The stationary noise level of the motor vehicle must not exceed the noise level applying to the vehicle under the Table.</w:t>
      </w:r>
    </w:p>
    <w:p w:rsidR="006724FB" w:rsidRDefault="006724FB">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rsidR="006724FB">
        <w:trPr>
          <w:tblHeader/>
        </w:trPr>
        <w:tc>
          <w:tcPr>
            <w:tcW w:w="1134" w:type="dxa"/>
            <w:tcBorders>
              <w:top w:val="single" w:sz="4" w:space="0" w:color="auto"/>
              <w:bottom w:val="single" w:sz="4" w:space="0" w:color="auto"/>
            </w:tcBorders>
          </w:tcPr>
          <w:p w:rsidR="006724FB" w:rsidRDefault="006724FB">
            <w:pPr>
              <w:pStyle w:val="TableNAm"/>
              <w:spacing w:before="0"/>
              <w:jc w:val="center"/>
            </w:pPr>
            <w:r>
              <w:rPr>
                <w:b/>
                <w:bCs/>
                <w:szCs w:val="24"/>
              </w:rPr>
              <w:t>GVM</w:t>
            </w:r>
          </w:p>
          <w:p w:rsidR="006724FB" w:rsidRDefault="006724FB">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rsidR="006724FB" w:rsidRDefault="006724FB">
            <w:pPr>
              <w:pStyle w:val="TableNAm"/>
              <w:spacing w:before="0"/>
              <w:jc w:val="center"/>
              <w:rPr>
                <w:b/>
                <w:bCs/>
                <w:szCs w:val="24"/>
              </w:rPr>
            </w:pPr>
            <w:r>
              <w:rPr>
                <w:b/>
                <w:bCs/>
                <w:szCs w:val="24"/>
              </w:rPr>
              <w:t>Exhaust height</w:t>
            </w:r>
          </w:p>
          <w:p w:rsidR="006724FB" w:rsidRDefault="006724FB">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rsidR="006724FB" w:rsidRDefault="006724FB">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rsidR="006724FB" w:rsidRDefault="006724FB">
            <w:pPr>
              <w:pStyle w:val="TableNAm"/>
              <w:spacing w:before="0"/>
              <w:jc w:val="center"/>
              <w:rPr>
                <w:b/>
                <w:bCs/>
                <w:szCs w:val="24"/>
              </w:rPr>
            </w:pPr>
            <w:r>
              <w:rPr>
                <w:b/>
                <w:bCs/>
                <w:szCs w:val="24"/>
              </w:rPr>
              <w:t>Noise level</w:t>
            </w:r>
          </w:p>
          <w:p w:rsidR="006724FB" w:rsidRDefault="006724FB">
            <w:pPr>
              <w:pStyle w:val="TableNAm"/>
              <w:spacing w:before="0"/>
              <w:jc w:val="center"/>
              <w:rPr>
                <w:b/>
                <w:bCs/>
                <w:szCs w:val="24"/>
              </w:rPr>
            </w:pPr>
            <w:r>
              <w:rPr>
                <w:b/>
                <w:bCs/>
                <w:szCs w:val="24"/>
              </w:rPr>
              <w:t>(dB(A))</w:t>
            </w:r>
          </w:p>
        </w:tc>
      </w:tr>
      <w:tr w:rsidR="006724FB">
        <w:tc>
          <w:tcPr>
            <w:tcW w:w="1134" w:type="dxa"/>
            <w:tcBorders>
              <w:top w:val="single" w:sz="4" w:space="0" w:color="auto"/>
            </w:tcBorders>
          </w:tcPr>
          <w:p w:rsidR="006724FB" w:rsidRDefault="006724FB">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rsidR="006724FB" w:rsidRDefault="006724FB">
            <w:pPr>
              <w:pStyle w:val="TableNAm"/>
              <w:spacing w:before="60"/>
              <w:rPr>
                <w:szCs w:val="24"/>
              </w:rPr>
            </w:pPr>
            <w:r>
              <w:rPr>
                <w:szCs w:val="24"/>
              </w:rPr>
              <w:t>&lt; 1 500 ......</w:t>
            </w:r>
          </w:p>
        </w:tc>
        <w:tc>
          <w:tcPr>
            <w:tcW w:w="2410" w:type="dxa"/>
            <w:tcBorders>
              <w:top w:val="single" w:sz="4" w:space="0" w:color="auto"/>
            </w:tcBorders>
          </w:tcPr>
          <w:p w:rsidR="006724FB" w:rsidRDefault="006724FB">
            <w:pPr>
              <w:pStyle w:val="TableNAm"/>
              <w:spacing w:before="60"/>
              <w:rPr>
                <w:szCs w:val="24"/>
              </w:rPr>
            </w:pPr>
            <w:r>
              <w:rPr>
                <w:szCs w:val="24"/>
              </w:rPr>
              <w:t>before July 1983 ........</w:t>
            </w:r>
          </w:p>
        </w:tc>
        <w:tc>
          <w:tcPr>
            <w:tcW w:w="1031" w:type="dxa"/>
            <w:tcBorders>
              <w:top w:val="single" w:sz="4" w:space="0" w:color="auto"/>
            </w:tcBorders>
          </w:tcPr>
          <w:p w:rsidR="006724FB" w:rsidRDefault="006724FB">
            <w:pPr>
              <w:pStyle w:val="TableNAm"/>
              <w:spacing w:before="60"/>
              <w:jc w:val="center"/>
              <w:rPr>
                <w:szCs w:val="24"/>
              </w:rPr>
            </w:pPr>
            <w:r>
              <w:rPr>
                <w:szCs w:val="24"/>
              </w:rPr>
              <w:t>92</w:t>
            </w:r>
          </w:p>
        </w:tc>
      </w:tr>
      <w:tr w:rsidR="006724FB">
        <w:tc>
          <w:tcPr>
            <w:tcW w:w="1134" w:type="dxa"/>
          </w:tcPr>
          <w:p w:rsidR="006724FB" w:rsidRDefault="006724FB">
            <w:pPr>
              <w:pStyle w:val="TableNAm"/>
              <w:spacing w:before="60"/>
              <w:rPr>
                <w:szCs w:val="24"/>
              </w:rPr>
            </w:pPr>
          </w:p>
        </w:tc>
        <w:tc>
          <w:tcPr>
            <w:tcW w:w="1417" w:type="dxa"/>
          </w:tcPr>
          <w:p w:rsidR="006724FB" w:rsidRDefault="006724FB">
            <w:pPr>
              <w:pStyle w:val="TableNAm"/>
              <w:spacing w:before="60"/>
              <w:rPr>
                <w:szCs w:val="24"/>
              </w:rPr>
            </w:pPr>
          </w:p>
        </w:tc>
        <w:tc>
          <w:tcPr>
            <w:tcW w:w="2410" w:type="dxa"/>
          </w:tcPr>
          <w:p w:rsidR="006724FB" w:rsidRDefault="006724FB">
            <w:pPr>
              <w:pStyle w:val="TableNAm"/>
              <w:spacing w:before="60"/>
              <w:rPr>
                <w:szCs w:val="24"/>
              </w:rPr>
            </w:pPr>
            <w:r>
              <w:rPr>
                <w:szCs w:val="24"/>
              </w:rPr>
              <w:t>after June 1983 ..........</w:t>
            </w:r>
          </w:p>
        </w:tc>
        <w:tc>
          <w:tcPr>
            <w:tcW w:w="1031" w:type="dxa"/>
          </w:tcPr>
          <w:p w:rsidR="006724FB" w:rsidRDefault="006724FB">
            <w:pPr>
              <w:pStyle w:val="TableNAm"/>
              <w:spacing w:before="60"/>
              <w:jc w:val="center"/>
              <w:rPr>
                <w:szCs w:val="24"/>
              </w:rPr>
            </w:pPr>
            <w:r>
              <w:rPr>
                <w:szCs w:val="24"/>
              </w:rPr>
              <w:t>89</w:t>
            </w:r>
          </w:p>
        </w:tc>
      </w:tr>
      <w:tr w:rsidR="006724FB">
        <w:tc>
          <w:tcPr>
            <w:tcW w:w="1134" w:type="dxa"/>
          </w:tcPr>
          <w:p w:rsidR="006724FB" w:rsidRDefault="006724FB">
            <w:pPr>
              <w:pStyle w:val="TableNAm"/>
              <w:spacing w:before="60"/>
              <w:rPr>
                <w:szCs w:val="24"/>
              </w:rPr>
            </w:pPr>
            <w:r>
              <w:rPr>
                <w:szCs w:val="24"/>
              </w:rPr>
              <w:t>&gt; 3.5 ....</w:t>
            </w:r>
          </w:p>
        </w:tc>
        <w:tc>
          <w:tcPr>
            <w:tcW w:w="1417" w:type="dxa"/>
          </w:tcPr>
          <w:p w:rsidR="006724FB" w:rsidRDefault="006724FB">
            <w:pPr>
              <w:pStyle w:val="TableNAm"/>
              <w:spacing w:before="60"/>
              <w:rPr>
                <w:szCs w:val="24"/>
              </w:rPr>
            </w:pPr>
            <w:r>
              <w:rPr>
                <w:szCs w:val="24"/>
              </w:rPr>
              <w:t>&lt; 1 500 ......</w:t>
            </w:r>
          </w:p>
        </w:tc>
        <w:tc>
          <w:tcPr>
            <w:tcW w:w="2410" w:type="dxa"/>
          </w:tcPr>
          <w:p w:rsidR="006724FB" w:rsidRDefault="006724FB">
            <w:pPr>
              <w:pStyle w:val="TableNAm"/>
              <w:spacing w:before="60"/>
              <w:rPr>
                <w:szCs w:val="24"/>
              </w:rPr>
            </w:pPr>
            <w:r>
              <w:rPr>
                <w:szCs w:val="24"/>
              </w:rPr>
              <w:t>before July 1983 ........</w:t>
            </w:r>
          </w:p>
        </w:tc>
        <w:tc>
          <w:tcPr>
            <w:tcW w:w="1031" w:type="dxa"/>
          </w:tcPr>
          <w:p w:rsidR="006724FB" w:rsidRDefault="006724FB">
            <w:pPr>
              <w:pStyle w:val="TableNAm"/>
              <w:spacing w:before="60"/>
              <w:jc w:val="center"/>
              <w:rPr>
                <w:szCs w:val="24"/>
              </w:rPr>
            </w:pPr>
            <w:r>
              <w:rPr>
                <w:szCs w:val="24"/>
              </w:rPr>
              <w:t>98</w:t>
            </w:r>
          </w:p>
        </w:tc>
      </w:tr>
      <w:tr w:rsidR="006724FB">
        <w:tc>
          <w:tcPr>
            <w:tcW w:w="1134" w:type="dxa"/>
          </w:tcPr>
          <w:p w:rsidR="006724FB" w:rsidRDefault="006724FB">
            <w:pPr>
              <w:pStyle w:val="TableNAm"/>
              <w:spacing w:before="60"/>
              <w:rPr>
                <w:szCs w:val="24"/>
              </w:rPr>
            </w:pPr>
          </w:p>
        </w:tc>
        <w:tc>
          <w:tcPr>
            <w:tcW w:w="1417" w:type="dxa"/>
          </w:tcPr>
          <w:p w:rsidR="006724FB" w:rsidRDefault="006724FB">
            <w:pPr>
              <w:pStyle w:val="TableNAm"/>
              <w:spacing w:before="60"/>
              <w:rPr>
                <w:szCs w:val="24"/>
              </w:rPr>
            </w:pPr>
          </w:p>
        </w:tc>
        <w:tc>
          <w:tcPr>
            <w:tcW w:w="2410" w:type="dxa"/>
          </w:tcPr>
          <w:p w:rsidR="006724FB" w:rsidRDefault="006724FB">
            <w:pPr>
              <w:pStyle w:val="TableNAm"/>
              <w:spacing w:before="60"/>
              <w:rPr>
                <w:szCs w:val="24"/>
              </w:rPr>
            </w:pPr>
            <w:r>
              <w:rPr>
                <w:szCs w:val="24"/>
              </w:rPr>
              <w:t>after June 1983 ..........</w:t>
            </w:r>
          </w:p>
        </w:tc>
        <w:tc>
          <w:tcPr>
            <w:tcW w:w="1031" w:type="dxa"/>
          </w:tcPr>
          <w:p w:rsidR="006724FB" w:rsidRDefault="006724FB">
            <w:pPr>
              <w:pStyle w:val="TableNAm"/>
              <w:spacing w:before="60"/>
              <w:jc w:val="center"/>
              <w:rPr>
                <w:szCs w:val="24"/>
              </w:rPr>
            </w:pPr>
            <w:r>
              <w:rPr>
                <w:szCs w:val="24"/>
              </w:rPr>
              <w:t>95</w:t>
            </w:r>
          </w:p>
        </w:tc>
      </w:tr>
      <w:tr w:rsidR="006724FB">
        <w:tc>
          <w:tcPr>
            <w:tcW w:w="1134" w:type="dxa"/>
          </w:tcPr>
          <w:p w:rsidR="006724FB" w:rsidRDefault="006724FB">
            <w:pPr>
              <w:pStyle w:val="TableNAm"/>
              <w:spacing w:before="60"/>
              <w:rPr>
                <w:szCs w:val="24"/>
              </w:rPr>
            </w:pPr>
            <w:r>
              <w:rPr>
                <w:szCs w:val="24"/>
              </w:rPr>
              <w:sym w:font="Symbol" w:char="F0A3"/>
            </w:r>
            <w:r>
              <w:rPr>
                <w:szCs w:val="24"/>
              </w:rPr>
              <w:t xml:space="preserve"> 3.5 ....</w:t>
            </w:r>
          </w:p>
        </w:tc>
        <w:tc>
          <w:tcPr>
            <w:tcW w:w="1417" w:type="dxa"/>
          </w:tcPr>
          <w:p w:rsidR="006724FB" w:rsidRDefault="006724FB">
            <w:pPr>
              <w:pStyle w:val="TableNAm"/>
              <w:spacing w:before="60"/>
              <w:rPr>
                <w:szCs w:val="24"/>
              </w:rPr>
            </w:pPr>
            <w:r>
              <w:rPr>
                <w:szCs w:val="24"/>
              </w:rPr>
              <w:sym w:font="Symbol" w:char="F0B3"/>
            </w:r>
            <w:r>
              <w:rPr>
                <w:szCs w:val="24"/>
              </w:rPr>
              <w:t xml:space="preserve"> 1 500 ......</w:t>
            </w:r>
          </w:p>
        </w:tc>
        <w:tc>
          <w:tcPr>
            <w:tcW w:w="2410" w:type="dxa"/>
          </w:tcPr>
          <w:p w:rsidR="006724FB" w:rsidRDefault="006724FB">
            <w:pPr>
              <w:pStyle w:val="TableNAm"/>
              <w:spacing w:before="60"/>
              <w:rPr>
                <w:szCs w:val="24"/>
              </w:rPr>
            </w:pPr>
            <w:r>
              <w:rPr>
                <w:szCs w:val="24"/>
              </w:rPr>
              <w:t>before July 1983 ........</w:t>
            </w:r>
          </w:p>
        </w:tc>
        <w:tc>
          <w:tcPr>
            <w:tcW w:w="1031" w:type="dxa"/>
          </w:tcPr>
          <w:p w:rsidR="006724FB" w:rsidRDefault="006724FB">
            <w:pPr>
              <w:pStyle w:val="TableNAm"/>
              <w:spacing w:before="60"/>
              <w:jc w:val="center"/>
              <w:rPr>
                <w:szCs w:val="24"/>
              </w:rPr>
            </w:pPr>
            <w:r>
              <w:rPr>
                <w:szCs w:val="24"/>
              </w:rPr>
              <w:t>88</w:t>
            </w:r>
          </w:p>
        </w:tc>
      </w:tr>
      <w:tr w:rsidR="006724FB">
        <w:tc>
          <w:tcPr>
            <w:tcW w:w="1134" w:type="dxa"/>
          </w:tcPr>
          <w:p w:rsidR="006724FB" w:rsidRDefault="006724FB">
            <w:pPr>
              <w:pStyle w:val="TableNAm"/>
              <w:spacing w:before="60"/>
              <w:rPr>
                <w:szCs w:val="24"/>
              </w:rPr>
            </w:pPr>
          </w:p>
        </w:tc>
        <w:tc>
          <w:tcPr>
            <w:tcW w:w="1417" w:type="dxa"/>
          </w:tcPr>
          <w:p w:rsidR="006724FB" w:rsidRDefault="006724FB">
            <w:pPr>
              <w:pStyle w:val="TableNAm"/>
              <w:spacing w:before="60"/>
              <w:rPr>
                <w:szCs w:val="24"/>
              </w:rPr>
            </w:pPr>
          </w:p>
        </w:tc>
        <w:tc>
          <w:tcPr>
            <w:tcW w:w="2410" w:type="dxa"/>
          </w:tcPr>
          <w:p w:rsidR="006724FB" w:rsidRDefault="006724FB">
            <w:pPr>
              <w:pStyle w:val="TableNAm"/>
              <w:spacing w:before="60"/>
              <w:rPr>
                <w:szCs w:val="24"/>
              </w:rPr>
            </w:pPr>
            <w:r>
              <w:rPr>
                <w:szCs w:val="24"/>
              </w:rPr>
              <w:t>after June 1983 ..........</w:t>
            </w:r>
          </w:p>
        </w:tc>
        <w:tc>
          <w:tcPr>
            <w:tcW w:w="1031" w:type="dxa"/>
          </w:tcPr>
          <w:p w:rsidR="006724FB" w:rsidRDefault="006724FB">
            <w:pPr>
              <w:pStyle w:val="TableNAm"/>
              <w:spacing w:before="60"/>
              <w:jc w:val="center"/>
              <w:rPr>
                <w:szCs w:val="24"/>
              </w:rPr>
            </w:pPr>
            <w:r>
              <w:rPr>
                <w:szCs w:val="24"/>
              </w:rPr>
              <w:t>85</w:t>
            </w:r>
          </w:p>
        </w:tc>
      </w:tr>
      <w:tr w:rsidR="006724FB">
        <w:tc>
          <w:tcPr>
            <w:tcW w:w="1134" w:type="dxa"/>
          </w:tcPr>
          <w:p w:rsidR="006724FB" w:rsidRDefault="006724FB">
            <w:pPr>
              <w:pStyle w:val="TableNAm"/>
              <w:spacing w:before="60"/>
              <w:rPr>
                <w:szCs w:val="24"/>
              </w:rPr>
            </w:pPr>
            <w:r>
              <w:rPr>
                <w:szCs w:val="24"/>
              </w:rPr>
              <w:t>&gt; 3.5 ....</w:t>
            </w:r>
          </w:p>
        </w:tc>
        <w:tc>
          <w:tcPr>
            <w:tcW w:w="1417" w:type="dxa"/>
          </w:tcPr>
          <w:p w:rsidR="006724FB" w:rsidRDefault="006724FB">
            <w:pPr>
              <w:pStyle w:val="TableNAm"/>
              <w:spacing w:before="60"/>
              <w:rPr>
                <w:szCs w:val="24"/>
              </w:rPr>
            </w:pPr>
            <w:r>
              <w:rPr>
                <w:szCs w:val="24"/>
              </w:rPr>
              <w:sym w:font="Symbol" w:char="F0B3"/>
            </w:r>
            <w:r>
              <w:rPr>
                <w:szCs w:val="24"/>
              </w:rPr>
              <w:t xml:space="preserve"> 1 500 ......</w:t>
            </w:r>
          </w:p>
        </w:tc>
        <w:tc>
          <w:tcPr>
            <w:tcW w:w="2410" w:type="dxa"/>
          </w:tcPr>
          <w:p w:rsidR="006724FB" w:rsidRDefault="006724FB">
            <w:pPr>
              <w:pStyle w:val="TableNAm"/>
              <w:spacing w:before="60"/>
              <w:rPr>
                <w:szCs w:val="24"/>
              </w:rPr>
            </w:pPr>
            <w:r>
              <w:rPr>
                <w:szCs w:val="24"/>
              </w:rPr>
              <w:t>before July 1983 ........</w:t>
            </w:r>
          </w:p>
        </w:tc>
        <w:tc>
          <w:tcPr>
            <w:tcW w:w="1031" w:type="dxa"/>
          </w:tcPr>
          <w:p w:rsidR="006724FB" w:rsidRDefault="006724FB">
            <w:pPr>
              <w:pStyle w:val="TableNAm"/>
              <w:spacing w:before="60"/>
              <w:jc w:val="center"/>
              <w:rPr>
                <w:szCs w:val="24"/>
              </w:rPr>
            </w:pPr>
            <w:r>
              <w:rPr>
                <w:szCs w:val="24"/>
              </w:rPr>
              <w:t>94</w:t>
            </w:r>
          </w:p>
        </w:tc>
      </w:tr>
      <w:tr w:rsidR="006724FB">
        <w:tc>
          <w:tcPr>
            <w:tcW w:w="1134" w:type="dxa"/>
            <w:tcBorders>
              <w:bottom w:val="single" w:sz="4" w:space="0" w:color="auto"/>
            </w:tcBorders>
          </w:tcPr>
          <w:p w:rsidR="006724FB" w:rsidRDefault="006724FB">
            <w:pPr>
              <w:pStyle w:val="TableNAm"/>
              <w:spacing w:before="60"/>
              <w:rPr>
                <w:szCs w:val="24"/>
              </w:rPr>
            </w:pPr>
          </w:p>
        </w:tc>
        <w:tc>
          <w:tcPr>
            <w:tcW w:w="1417" w:type="dxa"/>
            <w:tcBorders>
              <w:bottom w:val="single" w:sz="4" w:space="0" w:color="auto"/>
            </w:tcBorders>
          </w:tcPr>
          <w:p w:rsidR="006724FB" w:rsidRDefault="006724FB">
            <w:pPr>
              <w:pStyle w:val="TableNAm"/>
              <w:spacing w:before="60"/>
              <w:rPr>
                <w:szCs w:val="24"/>
              </w:rPr>
            </w:pPr>
          </w:p>
        </w:tc>
        <w:tc>
          <w:tcPr>
            <w:tcW w:w="2410" w:type="dxa"/>
            <w:tcBorders>
              <w:bottom w:val="single" w:sz="4" w:space="0" w:color="auto"/>
            </w:tcBorders>
          </w:tcPr>
          <w:p w:rsidR="006724FB" w:rsidRDefault="006724FB">
            <w:pPr>
              <w:pStyle w:val="TableNAm"/>
              <w:spacing w:before="60"/>
              <w:rPr>
                <w:szCs w:val="24"/>
              </w:rPr>
            </w:pPr>
            <w:r>
              <w:rPr>
                <w:szCs w:val="24"/>
              </w:rPr>
              <w:t>after June 1983 ..........</w:t>
            </w:r>
          </w:p>
        </w:tc>
        <w:tc>
          <w:tcPr>
            <w:tcW w:w="1031" w:type="dxa"/>
            <w:tcBorders>
              <w:bottom w:val="single" w:sz="4" w:space="0" w:color="auto"/>
            </w:tcBorders>
          </w:tcPr>
          <w:p w:rsidR="006724FB" w:rsidRDefault="006724FB">
            <w:pPr>
              <w:pStyle w:val="TableNAm"/>
              <w:spacing w:before="60"/>
              <w:jc w:val="center"/>
              <w:rPr>
                <w:szCs w:val="24"/>
              </w:rPr>
            </w:pPr>
            <w:r>
              <w:rPr>
                <w:szCs w:val="24"/>
              </w:rPr>
              <w:t>91</w:t>
            </w:r>
          </w:p>
        </w:tc>
      </w:tr>
    </w:tbl>
    <w:p w:rsidR="006724FB" w:rsidRDefault="006724FB">
      <w:pPr>
        <w:pStyle w:val="Heading5"/>
        <w:keepNext w:val="0"/>
        <w:keepLines w:val="0"/>
      </w:pPr>
      <w:bookmarkStart w:id="685" w:name="_Toc75875969"/>
      <w:r>
        <w:rPr>
          <w:rStyle w:val="CharSectno"/>
        </w:rPr>
        <w:t>361</w:t>
      </w:r>
      <w:r>
        <w:t>.</w:t>
      </w:r>
      <w:r>
        <w:tab/>
        <w:t>Stationary noise levels: other vehicles with diesel engines</w:t>
      </w:r>
      <w:bookmarkEnd w:id="685"/>
    </w:p>
    <w:p w:rsidR="006724FB" w:rsidRDefault="006724FB">
      <w:pPr>
        <w:pStyle w:val="Subsection"/>
      </w:pPr>
      <w:r>
        <w:tab/>
        <w:t>(1)</w:t>
      </w:r>
      <w:r>
        <w:tab/>
        <w:t>This regulation applies to a motor vehicle (except a motor vehicle to which regulation 359 applies) with a diesel engine.</w:t>
      </w:r>
    </w:p>
    <w:p w:rsidR="006724FB" w:rsidRDefault="006724FB">
      <w:pPr>
        <w:pStyle w:val="Subsection"/>
      </w:pPr>
      <w:r>
        <w:tab/>
        <w:t>(2)</w:t>
      </w:r>
      <w:r>
        <w:tab/>
        <w:t>The stationary noise level of the motor vehicle must not exceed the noise level applying to the vehicle under the Table.</w:t>
      </w:r>
    </w:p>
    <w:p w:rsidR="006724FB" w:rsidRDefault="006724FB">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rsidR="006724FB">
        <w:trPr>
          <w:tblHeader/>
        </w:trPr>
        <w:tc>
          <w:tcPr>
            <w:tcW w:w="1134" w:type="dxa"/>
            <w:tcBorders>
              <w:top w:val="single" w:sz="4" w:space="0" w:color="auto"/>
              <w:bottom w:val="single" w:sz="4" w:space="0" w:color="auto"/>
            </w:tcBorders>
          </w:tcPr>
          <w:p w:rsidR="006724FB" w:rsidRDefault="006724FB">
            <w:pPr>
              <w:pStyle w:val="TableNAm"/>
              <w:spacing w:before="0"/>
              <w:jc w:val="center"/>
              <w:rPr>
                <w:b/>
                <w:bCs/>
                <w:szCs w:val="24"/>
              </w:rPr>
            </w:pPr>
            <w:r>
              <w:rPr>
                <w:b/>
                <w:bCs/>
                <w:szCs w:val="24"/>
              </w:rPr>
              <w:t>GVM</w:t>
            </w:r>
          </w:p>
          <w:p w:rsidR="006724FB" w:rsidRDefault="006724FB">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rsidR="006724FB" w:rsidRDefault="006724FB">
            <w:pPr>
              <w:pStyle w:val="TableNAm"/>
              <w:spacing w:before="0"/>
              <w:jc w:val="center"/>
              <w:rPr>
                <w:b/>
                <w:bCs/>
                <w:szCs w:val="24"/>
              </w:rPr>
            </w:pPr>
            <w:r>
              <w:rPr>
                <w:b/>
                <w:bCs/>
                <w:szCs w:val="24"/>
              </w:rPr>
              <w:t>Exhaust height</w:t>
            </w:r>
          </w:p>
          <w:p w:rsidR="006724FB" w:rsidRDefault="006724FB">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rsidR="006724FB" w:rsidRDefault="006724FB">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rsidR="006724FB" w:rsidRDefault="006724FB">
            <w:pPr>
              <w:pStyle w:val="TableNAm"/>
              <w:spacing w:before="0"/>
              <w:jc w:val="center"/>
              <w:rPr>
                <w:b/>
                <w:bCs/>
                <w:szCs w:val="24"/>
              </w:rPr>
            </w:pPr>
            <w:r>
              <w:rPr>
                <w:b/>
                <w:bCs/>
                <w:szCs w:val="24"/>
              </w:rPr>
              <w:t>Noise level</w:t>
            </w:r>
          </w:p>
          <w:p w:rsidR="006724FB" w:rsidRDefault="006724FB">
            <w:pPr>
              <w:pStyle w:val="TableNAm"/>
              <w:spacing w:before="0"/>
              <w:jc w:val="center"/>
              <w:rPr>
                <w:b/>
                <w:bCs/>
                <w:szCs w:val="24"/>
              </w:rPr>
            </w:pPr>
            <w:r>
              <w:rPr>
                <w:b/>
                <w:bCs/>
                <w:szCs w:val="24"/>
              </w:rPr>
              <w:t>(dB(A))</w:t>
            </w:r>
          </w:p>
        </w:tc>
      </w:tr>
      <w:tr w:rsidR="006724FB">
        <w:trPr>
          <w:cantSplit/>
        </w:trPr>
        <w:tc>
          <w:tcPr>
            <w:tcW w:w="1134" w:type="dxa"/>
            <w:tcBorders>
              <w:top w:val="single" w:sz="4" w:space="0" w:color="auto"/>
            </w:tcBorders>
          </w:tcPr>
          <w:p w:rsidR="006724FB" w:rsidRDefault="006724FB">
            <w:pPr>
              <w:pStyle w:val="TableNAm"/>
              <w:spacing w:before="60"/>
              <w:rPr>
                <w:szCs w:val="24"/>
              </w:rPr>
            </w:pPr>
            <w:r>
              <w:rPr>
                <w:szCs w:val="24"/>
              </w:rPr>
              <w:t>≤ 3.5 .....</w:t>
            </w:r>
          </w:p>
        </w:tc>
        <w:tc>
          <w:tcPr>
            <w:tcW w:w="1417" w:type="dxa"/>
            <w:tcBorders>
              <w:top w:val="single" w:sz="4" w:space="0" w:color="auto"/>
            </w:tcBorders>
          </w:tcPr>
          <w:p w:rsidR="006724FB" w:rsidRDefault="006724FB">
            <w:pPr>
              <w:pStyle w:val="TableNAm"/>
              <w:spacing w:before="60"/>
              <w:rPr>
                <w:szCs w:val="24"/>
              </w:rPr>
            </w:pPr>
            <w:r>
              <w:rPr>
                <w:szCs w:val="24"/>
              </w:rPr>
              <w:t>&lt; 1 500 ......</w:t>
            </w:r>
          </w:p>
        </w:tc>
        <w:tc>
          <w:tcPr>
            <w:tcW w:w="2410" w:type="dxa"/>
            <w:tcBorders>
              <w:top w:val="single" w:sz="4" w:space="0" w:color="auto"/>
            </w:tcBorders>
          </w:tcPr>
          <w:p w:rsidR="006724FB" w:rsidRDefault="006724FB">
            <w:pPr>
              <w:pStyle w:val="TableNAm"/>
              <w:spacing w:before="60"/>
              <w:rPr>
                <w:szCs w:val="24"/>
              </w:rPr>
            </w:pPr>
            <w:r>
              <w:rPr>
                <w:szCs w:val="24"/>
              </w:rPr>
              <w:t>before July 1980 ........</w:t>
            </w:r>
          </w:p>
        </w:tc>
        <w:tc>
          <w:tcPr>
            <w:tcW w:w="1031" w:type="dxa"/>
            <w:tcBorders>
              <w:top w:val="single" w:sz="4" w:space="0" w:color="auto"/>
            </w:tcBorders>
          </w:tcPr>
          <w:p w:rsidR="006724FB" w:rsidRDefault="006724FB">
            <w:pPr>
              <w:pStyle w:val="TableNAm"/>
              <w:spacing w:before="60"/>
              <w:jc w:val="center"/>
              <w:rPr>
                <w:szCs w:val="24"/>
              </w:rPr>
            </w:pPr>
            <w:r>
              <w:rPr>
                <w:szCs w:val="24"/>
              </w:rPr>
              <w:t>105</w:t>
            </w:r>
          </w:p>
        </w:tc>
      </w:tr>
      <w:tr w:rsidR="006724FB">
        <w:trPr>
          <w:cantSplit/>
        </w:trPr>
        <w:tc>
          <w:tcPr>
            <w:tcW w:w="1134" w:type="dxa"/>
          </w:tcPr>
          <w:p w:rsidR="006724FB" w:rsidRDefault="006724FB">
            <w:pPr>
              <w:pStyle w:val="TableNAm"/>
              <w:spacing w:before="60"/>
              <w:rPr>
                <w:szCs w:val="24"/>
              </w:rPr>
            </w:pPr>
          </w:p>
        </w:tc>
        <w:tc>
          <w:tcPr>
            <w:tcW w:w="1417" w:type="dxa"/>
          </w:tcPr>
          <w:p w:rsidR="006724FB" w:rsidRDefault="006724FB">
            <w:pPr>
              <w:pStyle w:val="TableNAm"/>
              <w:spacing w:before="60"/>
              <w:rPr>
                <w:szCs w:val="24"/>
              </w:rPr>
            </w:pPr>
          </w:p>
        </w:tc>
        <w:tc>
          <w:tcPr>
            <w:tcW w:w="2410" w:type="dxa"/>
          </w:tcPr>
          <w:p w:rsidR="006724FB" w:rsidRDefault="006724FB">
            <w:pPr>
              <w:pStyle w:val="TableNAm"/>
              <w:keepLines/>
              <w:spacing w:before="60"/>
              <w:rPr>
                <w:szCs w:val="24"/>
              </w:rPr>
            </w:pPr>
            <w:r>
              <w:rPr>
                <w:szCs w:val="24"/>
              </w:rPr>
              <w:t>after June 1980 but before July 1983 ........</w:t>
            </w:r>
          </w:p>
        </w:tc>
        <w:tc>
          <w:tcPr>
            <w:tcW w:w="1031" w:type="dxa"/>
          </w:tcPr>
          <w:p w:rsidR="006724FB" w:rsidRDefault="006724FB">
            <w:pPr>
              <w:pStyle w:val="TableNAm"/>
              <w:spacing w:before="60"/>
              <w:jc w:val="center"/>
              <w:rPr>
                <w:szCs w:val="24"/>
              </w:rPr>
            </w:pPr>
            <w:r>
              <w:rPr>
                <w:szCs w:val="24"/>
              </w:rPr>
              <w:br/>
              <w:t>102</w:t>
            </w:r>
          </w:p>
        </w:tc>
      </w:tr>
      <w:tr w:rsidR="006724FB">
        <w:trPr>
          <w:cantSplit/>
        </w:trPr>
        <w:tc>
          <w:tcPr>
            <w:tcW w:w="1134" w:type="dxa"/>
          </w:tcPr>
          <w:p w:rsidR="006724FB" w:rsidRDefault="006724FB">
            <w:pPr>
              <w:pStyle w:val="TableNAm"/>
              <w:spacing w:before="60"/>
              <w:rPr>
                <w:szCs w:val="24"/>
              </w:rPr>
            </w:pPr>
          </w:p>
        </w:tc>
        <w:tc>
          <w:tcPr>
            <w:tcW w:w="1417" w:type="dxa"/>
          </w:tcPr>
          <w:p w:rsidR="006724FB" w:rsidRDefault="006724FB">
            <w:pPr>
              <w:pStyle w:val="TableNAm"/>
              <w:spacing w:before="60"/>
              <w:rPr>
                <w:szCs w:val="24"/>
              </w:rPr>
            </w:pPr>
          </w:p>
        </w:tc>
        <w:tc>
          <w:tcPr>
            <w:tcW w:w="2410" w:type="dxa"/>
          </w:tcPr>
          <w:p w:rsidR="006724FB" w:rsidRDefault="006724FB">
            <w:pPr>
              <w:pStyle w:val="TableNAm"/>
              <w:keepLines/>
              <w:spacing w:before="60"/>
              <w:rPr>
                <w:szCs w:val="24"/>
              </w:rPr>
            </w:pPr>
            <w:r>
              <w:rPr>
                <w:szCs w:val="24"/>
              </w:rPr>
              <w:t>after June 1983 ..........</w:t>
            </w:r>
          </w:p>
        </w:tc>
        <w:tc>
          <w:tcPr>
            <w:tcW w:w="1031" w:type="dxa"/>
          </w:tcPr>
          <w:p w:rsidR="006724FB" w:rsidRDefault="006724FB">
            <w:pPr>
              <w:pStyle w:val="TableNAm"/>
              <w:spacing w:before="60"/>
              <w:jc w:val="center"/>
              <w:rPr>
                <w:szCs w:val="24"/>
              </w:rPr>
            </w:pPr>
            <w:r>
              <w:rPr>
                <w:szCs w:val="24"/>
              </w:rPr>
              <w:t>99</w:t>
            </w:r>
          </w:p>
        </w:tc>
      </w:tr>
      <w:tr w:rsidR="006724FB">
        <w:trPr>
          <w:cantSplit/>
        </w:trPr>
        <w:tc>
          <w:tcPr>
            <w:tcW w:w="1134" w:type="dxa"/>
          </w:tcPr>
          <w:p w:rsidR="006724FB" w:rsidRDefault="006724FB">
            <w:pPr>
              <w:pStyle w:val="TableNAm"/>
              <w:tabs>
                <w:tab w:val="clear" w:pos="567"/>
              </w:tabs>
              <w:spacing w:before="60"/>
              <w:rPr>
                <w:szCs w:val="24"/>
              </w:rPr>
            </w:pPr>
            <w:r>
              <w:rPr>
                <w:szCs w:val="24"/>
              </w:rPr>
              <w:t xml:space="preserve">&gt; 3.5 but ≤ 12 </w:t>
            </w:r>
          </w:p>
        </w:tc>
        <w:tc>
          <w:tcPr>
            <w:tcW w:w="1417" w:type="dxa"/>
          </w:tcPr>
          <w:p w:rsidR="006724FB" w:rsidRDefault="006724FB">
            <w:pPr>
              <w:pStyle w:val="TableNAm"/>
              <w:keepNext/>
              <w:spacing w:before="60"/>
              <w:rPr>
                <w:szCs w:val="24"/>
              </w:rPr>
            </w:pPr>
            <w:r>
              <w:rPr>
                <w:szCs w:val="24"/>
              </w:rPr>
              <w:t>&lt; 1 500 ......</w:t>
            </w:r>
          </w:p>
        </w:tc>
        <w:tc>
          <w:tcPr>
            <w:tcW w:w="2410" w:type="dxa"/>
          </w:tcPr>
          <w:p w:rsidR="006724FB" w:rsidRDefault="006724FB">
            <w:pPr>
              <w:pStyle w:val="TableNAm"/>
              <w:keepNext/>
              <w:spacing w:before="60"/>
              <w:rPr>
                <w:szCs w:val="24"/>
              </w:rPr>
            </w:pPr>
            <w:r>
              <w:rPr>
                <w:szCs w:val="24"/>
              </w:rPr>
              <w:t>before July 1980 .......</w:t>
            </w:r>
          </w:p>
        </w:tc>
        <w:tc>
          <w:tcPr>
            <w:tcW w:w="1031" w:type="dxa"/>
          </w:tcPr>
          <w:p w:rsidR="006724FB" w:rsidRDefault="006724FB">
            <w:pPr>
              <w:pStyle w:val="TableNAm"/>
              <w:keepNext/>
              <w:spacing w:before="60"/>
              <w:jc w:val="center"/>
              <w:rPr>
                <w:szCs w:val="24"/>
              </w:rPr>
            </w:pPr>
            <w:r>
              <w:rPr>
                <w:szCs w:val="24"/>
              </w:rPr>
              <w:t>107</w:t>
            </w:r>
          </w:p>
        </w:tc>
      </w:tr>
      <w:tr w:rsidR="006724FB">
        <w:trPr>
          <w:cantSplit/>
        </w:trPr>
        <w:tc>
          <w:tcPr>
            <w:tcW w:w="1134" w:type="dxa"/>
          </w:tcPr>
          <w:p w:rsidR="006724FB" w:rsidRDefault="006724FB">
            <w:pPr>
              <w:pStyle w:val="TableNAm"/>
              <w:spacing w:before="60"/>
              <w:rPr>
                <w:szCs w:val="24"/>
              </w:rPr>
            </w:pPr>
          </w:p>
        </w:tc>
        <w:tc>
          <w:tcPr>
            <w:tcW w:w="1417" w:type="dxa"/>
          </w:tcPr>
          <w:p w:rsidR="006724FB" w:rsidRDefault="006724FB">
            <w:pPr>
              <w:pStyle w:val="TableNAm"/>
              <w:spacing w:before="60"/>
              <w:rPr>
                <w:szCs w:val="24"/>
              </w:rPr>
            </w:pPr>
          </w:p>
        </w:tc>
        <w:tc>
          <w:tcPr>
            <w:tcW w:w="2410" w:type="dxa"/>
          </w:tcPr>
          <w:p w:rsidR="006724FB" w:rsidRDefault="006724FB">
            <w:pPr>
              <w:pStyle w:val="TableNAm"/>
              <w:spacing w:before="60"/>
              <w:rPr>
                <w:szCs w:val="24"/>
              </w:rPr>
            </w:pPr>
            <w:r>
              <w:rPr>
                <w:szCs w:val="24"/>
              </w:rPr>
              <w:t>after June 1980 but before July 1983 ........</w:t>
            </w:r>
          </w:p>
        </w:tc>
        <w:tc>
          <w:tcPr>
            <w:tcW w:w="1031" w:type="dxa"/>
          </w:tcPr>
          <w:p w:rsidR="006724FB" w:rsidRDefault="006724FB">
            <w:pPr>
              <w:pStyle w:val="TableNAm"/>
              <w:spacing w:before="60"/>
              <w:jc w:val="center"/>
              <w:rPr>
                <w:szCs w:val="24"/>
              </w:rPr>
            </w:pPr>
            <w:r>
              <w:rPr>
                <w:szCs w:val="24"/>
              </w:rPr>
              <w:br/>
              <w:t>104</w:t>
            </w:r>
          </w:p>
        </w:tc>
      </w:tr>
      <w:tr w:rsidR="006724FB">
        <w:trPr>
          <w:cantSplit/>
        </w:trPr>
        <w:tc>
          <w:tcPr>
            <w:tcW w:w="1134" w:type="dxa"/>
          </w:tcPr>
          <w:p w:rsidR="006724FB" w:rsidRDefault="006724FB">
            <w:pPr>
              <w:pStyle w:val="TableNAm"/>
              <w:spacing w:before="60"/>
              <w:rPr>
                <w:szCs w:val="24"/>
              </w:rPr>
            </w:pPr>
          </w:p>
        </w:tc>
        <w:tc>
          <w:tcPr>
            <w:tcW w:w="1417" w:type="dxa"/>
          </w:tcPr>
          <w:p w:rsidR="006724FB" w:rsidRDefault="006724FB">
            <w:pPr>
              <w:pStyle w:val="TableNAm"/>
              <w:spacing w:before="60"/>
              <w:rPr>
                <w:szCs w:val="24"/>
              </w:rPr>
            </w:pPr>
          </w:p>
        </w:tc>
        <w:tc>
          <w:tcPr>
            <w:tcW w:w="2410" w:type="dxa"/>
          </w:tcPr>
          <w:p w:rsidR="006724FB" w:rsidRDefault="006724FB">
            <w:pPr>
              <w:pStyle w:val="TableNAm"/>
              <w:spacing w:before="60"/>
              <w:rPr>
                <w:szCs w:val="24"/>
              </w:rPr>
            </w:pPr>
            <w:r>
              <w:rPr>
                <w:szCs w:val="24"/>
              </w:rPr>
              <w:t>after June 1983 ..........</w:t>
            </w:r>
          </w:p>
        </w:tc>
        <w:tc>
          <w:tcPr>
            <w:tcW w:w="1031" w:type="dxa"/>
          </w:tcPr>
          <w:p w:rsidR="006724FB" w:rsidRDefault="006724FB">
            <w:pPr>
              <w:pStyle w:val="TableNAm"/>
              <w:spacing w:before="60"/>
              <w:jc w:val="center"/>
              <w:rPr>
                <w:szCs w:val="24"/>
              </w:rPr>
            </w:pPr>
            <w:r>
              <w:rPr>
                <w:szCs w:val="24"/>
              </w:rPr>
              <w:t>101</w:t>
            </w:r>
          </w:p>
        </w:tc>
      </w:tr>
      <w:tr w:rsidR="006724FB">
        <w:trPr>
          <w:cantSplit/>
        </w:trPr>
        <w:tc>
          <w:tcPr>
            <w:tcW w:w="1134" w:type="dxa"/>
          </w:tcPr>
          <w:p w:rsidR="006724FB" w:rsidRDefault="006724FB">
            <w:pPr>
              <w:pStyle w:val="TableNAm"/>
              <w:keepNext/>
              <w:spacing w:before="60"/>
              <w:rPr>
                <w:szCs w:val="24"/>
              </w:rPr>
            </w:pPr>
            <w:r>
              <w:rPr>
                <w:szCs w:val="24"/>
              </w:rPr>
              <w:t>&gt; 12 ......</w:t>
            </w:r>
          </w:p>
        </w:tc>
        <w:tc>
          <w:tcPr>
            <w:tcW w:w="1417" w:type="dxa"/>
          </w:tcPr>
          <w:p w:rsidR="006724FB" w:rsidRDefault="006724FB">
            <w:pPr>
              <w:pStyle w:val="TableNAm"/>
              <w:keepNext/>
              <w:spacing w:before="60"/>
              <w:rPr>
                <w:szCs w:val="24"/>
              </w:rPr>
            </w:pPr>
            <w:r>
              <w:rPr>
                <w:szCs w:val="24"/>
              </w:rPr>
              <w:t>&lt; 1 500 ......</w:t>
            </w:r>
          </w:p>
        </w:tc>
        <w:tc>
          <w:tcPr>
            <w:tcW w:w="2410" w:type="dxa"/>
          </w:tcPr>
          <w:p w:rsidR="006724FB" w:rsidRDefault="006724FB">
            <w:pPr>
              <w:pStyle w:val="TableNAm"/>
              <w:keepNext/>
              <w:spacing w:before="60"/>
              <w:rPr>
                <w:szCs w:val="24"/>
              </w:rPr>
            </w:pPr>
            <w:r>
              <w:rPr>
                <w:szCs w:val="24"/>
              </w:rPr>
              <w:t>before July 1980 ........</w:t>
            </w:r>
          </w:p>
        </w:tc>
        <w:tc>
          <w:tcPr>
            <w:tcW w:w="1031" w:type="dxa"/>
          </w:tcPr>
          <w:p w:rsidR="006724FB" w:rsidRDefault="006724FB">
            <w:pPr>
              <w:pStyle w:val="TableNAm"/>
              <w:keepNext/>
              <w:spacing w:before="60"/>
              <w:jc w:val="center"/>
              <w:rPr>
                <w:szCs w:val="24"/>
              </w:rPr>
            </w:pPr>
            <w:r>
              <w:rPr>
                <w:szCs w:val="24"/>
              </w:rPr>
              <w:t>109</w:t>
            </w:r>
          </w:p>
        </w:tc>
      </w:tr>
      <w:tr w:rsidR="006724FB">
        <w:trPr>
          <w:cantSplit/>
        </w:trPr>
        <w:tc>
          <w:tcPr>
            <w:tcW w:w="1134" w:type="dxa"/>
          </w:tcPr>
          <w:p w:rsidR="006724FB" w:rsidRDefault="006724FB">
            <w:pPr>
              <w:pStyle w:val="TableNAm"/>
              <w:spacing w:before="60"/>
              <w:rPr>
                <w:szCs w:val="24"/>
              </w:rPr>
            </w:pPr>
          </w:p>
        </w:tc>
        <w:tc>
          <w:tcPr>
            <w:tcW w:w="1417" w:type="dxa"/>
          </w:tcPr>
          <w:p w:rsidR="006724FB" w:rsidRDefault="006724FB">
            <w:pPr>
              <w:pStyle w:val="TableNAm"/>
              <w:spacing w:before="60"/>
              <w:rPr>
                <w:szCs w:val="24"/>
              </w:rPr>
            </w:pPr>
          </w:p>
        </w:tc>
        <w:tc>
          <w:tcPr>
            <w:tcW w:w="2410" w:type="dxa"/>
          </w:tcPr>
          <w:p w:rsidR="006724FB" w:rsidRDefault="006724FB">
            <w:pPr>
              <w:pStyle w:val="TableNAm"/>
              <w:spacing w:before="60"/>
              <w:rPr>
                <w:szCs w:val="24"/>
              </w:rPr>
            </w:pPr>
            <w:r>
              <w:rPr>
                <w:szCs w:val="24"/>
              </w:rPr>
              <w:t>after June 1980 but before July 1983 ........</w:t>
            </w:r>
          </w:p>
        </w:tc>
        <w:tc>
          <w:tcPr>
            <w:tcW w:w="1031" w:type="dxa"/>
          </w:tcPr>
          <w:p w:rsidR="006724FB" w:rsidRDefault="006724FB">
            <w:pPr>
              <w:pStyle w:val="TableNAm"/>
              <w:spacing w:before="60"/>
              <w:jc w:val="center"/>
              <w:rPr>
                <w:szCs w:val="24"/>
              </w:rPr>
            </w:pPr>
            <w:r>
              <w:rPr>
                <w:szCs w:val="24"/>
              </w:rPr>
              <w:br/>
              <w:t>106</w:t>
            </w:r>
          </w:p>
        </w:tc>
      </w:tr>
      <w:tr w:rsidR="006724FB">
        <w:trPr>
          <w:cantSplit/>
        </w:trPr>
        <w:tc>
          <w:tcPr>
            <w:tcW w:w="1134" w:type="dxa"/>
          </w:tcPr>
          <w:p w:rsidR="006724FB" w:rsidRDefault="006724FB">
            <w:pPr>
              <w:pStyle w:val="TableNAm"/>
              <w:spacing w:before="60"/>
              <w:rPr>
                <w:szCs w:val="24"/>
              </w:rPr>
            </w:pPr>
          </w:p>
        </w:tc>
        <w:tc>
          <w:tcPr>
            <w:tcW w:w="1417" w:type="dxa"/>
          </w:tcPr>
          <w:p w:rsidR="006724FB" w:rsidRDefault="006724FB">
            <w:pPr>
              <w:pStyle w:val="TableNAm"/>
              <w:spacing w:before="60"/>
              <w:rPr>
                <w:szCs w:val="24"/>
              </w:rPr>
            </w:pPr>
          </w:p>
        </w:tc>
        <w:tc>
          <w:tcPr>
            <w:tcW w:w="2410" w:type="dxa"/>
          </w:tcPr>
          <w:p w:rsidR="006724FB" w:rsidRDefault="006724FB">
            <w:pPr>
              <w:pStyle w:val="TableNAm"/>
              <w:spacing w:before="60"/>
              <w:rPr>
                <w:szCs w:val="24"/>
              </w:rPr>
            </w:pPr>
            <w:r>
              <w:rPr>
                <w:szCs w:val="24"/>
              </w:rPr>
              <w:t>after June 1983 ..........</w:t>
            </w:r>
          </w:p>
        </w:tc>
        <w:tc>
          <w:tcPr>
            <w:tcW w:w="1031" w:type="dxa"/>
          </w:tcPr>
          <w:p w:rsidR="006724FB" w:rsidRDefault="006724FB">
            <w:pPr>
              <w:pStyle w:val="TableNAm"/>
              <w:spacing w:before="60"/>
              <w:jc w:val="center"/>
              <w:rPr>
                <w:szCs w:val="24"/>
              </w:rPr>
            </w:pPr>
            <w:r>
              <w:rPr>
                <w:szCs w:val="24"/>
              </w:rPr>
              <w:t>103</w:t>
            </w:r>
          </w:p>
        </w:tc>
      </w:tr>
      <w:tr w:rsidR="006724FB">
        <w:trPr>
          <w:cantSplit/>
        </w:trPr>
        <w:tc>
          <w:tcPr>
            <w:tcW w:w="1134" w:type="dxa"/>
          </w:tcPr>
          <w:p w:rsidR="006724FB" w:rsidRDefault="006724FB">
            <w:pPr>
              <w:pStyle w:val="TableNAm"/>
              <w:spacing w:before="60"/>
              <w:rPr>
                <w:szCs w:val="24"/>
              </w:rPr>
            </w:pPr>
            <w:r>
              <w:rPr>
                <w:szCs w:val="24"/>
              </w:rPr>
              <w:t>≤ 3.5 .....</w:t>
            </w:r>
          </w:p>
        </w:tc>
        <w:tc>
          <w:tcPr>
            <w:tcW w:w="1417" w:type="dxa"/>
          </w:tcPr>
          <w:p w:rsidR="006724FB" w:rsidRDefault="006724FB">
            <w:pPr>
              <w:pStyle w:val="TableNAm"/>
              <w:spacing w:before="60"/>
              <w:rPr>
                <w:szCs w:val="24"/>
              </w:rPr>
            </w:pPr>
            <w:r>
              <w:rPr>
                <w:szCs w:val="24"/>
              </w:rPr>
              <w:sym w:font="Symbol" w:char="F0B3"/>
            </w:r>
            <w:r>
              <w:rPr>
                <w:szCs w:val="24"/>
              </w:rPr>
              <w:t xml:space="preserve"> 1 500 ......</w:t>
            </w:r>
          </w:p>
        </w:tc>
        <w:tc>
          <w:tcPr>
            <w:tcW w:w="2410" w:type="dxa"/>
          </w:tcPr>
          <w:p w:rsidR="006724FB" w:rsidRDefault="006724FB">
            <w:pPr>
              <w:pStyle w:val="TableNAm"/>
              <w:spacing w:before="60"/>
              <w:rPr>
                <w:szCs w:val="24"/>
              </w:rPr>
            </w:pPr>
            <w:r>
              <w:rPr>
                <w:szCs w:val="24"/>
              </w:rPr>
              <w:t>before July 1980 ........</w:t>
            </w:r>
          </w:p>
        </w:tc>
        <w:tc>
          <w:tcPr>
            <w:tcW w:w="1031" w:type="dxa"/>
          </w:tcPr>
          <w:p w:rsidR="006724FB" w:rsidRDefault="006724FB">
            <w:pPr>
              <w:pStyle w:val="TableNAm"/>
              <w:spacing w:before="60"/>
              <w:jc w:val="center"/>
              <w:rPr>
                <w:szCs w:val="24"/>
              </w:rPr>
            </w:pPr>
            <w:r>
              <w:rPr>
                <w:szCs w:val="24"/>
              </w:rPr>
              <w:t>101</w:t>
            </w:r>
          </w:p>
        </w:tc>
      </w:tr>
      <w:tr w:rsidR="006724FB">
        <w:trPr>
          <w:cantSplit/>
        </w:trPr>
        <w:tc>
          <w:tcPr>
            <w:tcW w:w="1134" w:type="dxa"/>
          </w:tcPr>
          <w:p w:rsidR="006724FB" w:rsidRDefault="006724FB">
            <w:pPr>
              <w:pStyle w:val="TableNAm"/>
              <w:spacing w:before="60"/>
              <w:rPr>
                <w:szCs w:val="24"/>
              </w:rPr>
            </w:pPr>
          </w:p>
        </w:tc>
        <w:tc>
          <w:tcPr>
            <w:tcW w:w="1417" w:type="dxa"/>
          </w:tcPr>
          <w:p w:rsidR="006724FB" w:rsidRDefault="006724FB">
            <w:pPr>
              <w:pStyle w:val="TableNAm"/>
              <w:spacing w:before="60"/>
              <w:rPr>
                <w:szCs w:val="24"/>
              </w:rPr>
            </w:pPr>
          </w:p>
        </w:tc>
        <w:tc>
          <w:tcPr>
            <w:tcW w:w="2410" w:type="dxa"/>
          </w:tcPr>
          <w:p w:rsidR="006724FB" w:rsidRDefault="006724FB">
            <w:pPr>
              <w:pStyle w:val="TableNAm"/>
              <w:spacing w:before="60"/>
              <w:rPr>
                <w:szCs w:val="24"/>
              </w:rPr>
            </w:pPr>
            <w:r>
              <w:rPr>
                <w:szCs w:val="24"/>
              </w:rPr>
              <w:t>after June 1980 but before July 1983 ........</w:t>
            </w:r>
          </w:p>
        </w:tc>
        <w:tc>
          <w:tcPr>
            <w:tcW w:w="1031" w:type="dxa"/>
          </w:tcPr>
          <w:p w:rsidR="006724FB" w:rsidRDefault="006724FB">
            <w:pPr>
              <w:pStyle w:val="TableNAm"/>
              <w:spacing w:before="60"/>
              <w:jc w:val="center"/>
              <w:rPr>
                <w:szCs w:val="24"/>
              </w:rPr>
            </w:pPr>
            <w:r>
              <w:rPr>
                <w:szCs w:val="24"/>
              </w:rPr>
              <w:br/>
              <w:t>98</w:t>
            </w:r>
          </w:p>
        </w:tc>
      </w:tr>
      <w:tr w:rsidR="006724FB">
        <w:trPr>
          <w:cantSplit/>
        </w:trPr>
        <w:tc>
          <w:tcPr>
            <w:tcW w:w="1134" w:type="dxa"/>
          </w:tcPr>
          <w:p w:rsidR="006724FB" w:rsidRDefault="006724FB">
            <w:pPr>
              <w:pStyle w:val="TableNAm"/>
              <w:spacing w:before="60"/>
              <w:rPr>
                <w:szCs w:val="24"/>
              </w:rPr>
            </w:pPr>
          </w:p>
        </w:tc>
        <w:tc>
          <w:tcPr>
            <w:tcW w:w="1417" w:type="dxa"/>
          </w:tcPr>
          <w:p w:rsidR="006724FB" w:rsidRDefault="006724FB">
            <w:pPr>
              <w:pStyle w:val="TableNAm"/>
              <w:spacing w:before="60"/>
              <w:rPr>
                <w:szCs w:val="24"/>
              </w:rPr>
            </w:pPr>
          </w:p>
        </w:tc>
        <w:tc>
          <w:tcPr>
            <w:tcW w:w="2410" w:type="dxa"/>
          </w:tcPr>
          <w:p w:rsidR="006724FB" w:rsidRDefault="006724FB">
            <w:pPr>
              <w:pStyle w:val="TableNAm"/>
              <w:spacing w:before="60"/>
              <w:rPr>
                <w:szCs w:val="24"/>
              </w:rPr>
            </w:pPr>
            <w:r>
              <w:rPr>
                <w:szCs w:val="24"/>
              </w:rPr>
              <w:t>after June 1983 ..........</w:t>
            </w:r>
          </w:p>
        </w:tc>
        <w:tc>
          <w:tcPr>
            <w:tcW w:w="1031" w:type="dxa"/>
          </w:tcPr>
          <w:p w:rsidR="006724FB" w:rsidRDefault="006724FB">
            <w:pPr>
              <w:pStyle w:val="TableNAm"/>
              <w:spacing w:before="60"/>
              <w:jc w:val="center"/>
              <w:rPr>
                <w:szCs w:val="24"/>
              </w:rPr>
            </w:pPr>
            <w:r>
              <w:rPr>
                <w:szCs w:val="24"/>
              </w:rPr>
              <w:t>95</w:t>
            </w:r>
          </w:p>
        </w:tc>
      </w:tr>
      <w:tr w:rsidR="006724FB">
        <w:tblPrEx>
          <w:tblCellMar>
            <w:left w:w="108" w:type="dxa"/>
            <w:right w:w="108" w:type="dxa"/>
          </w:tblCellMar>
        </w:tblPrEx>
        <w:trPr>
          <w:cantSplit/>
        </w:trPr>
        <w:tc>
          <w:tcPr>
            <w:tcW w:w="1134" w:type="dxa"/>
          </w:tcPr>
          <w:p w:rsidR="006724FB" w:rsidRDefault="006724FB">
            <w:pPr>
              <w:pStyle w:val="TableNAm"/>
              <w:spacing w:before="60"/>
              <w:rPr>
                <w:szCs w:val="24"/>
              </w:rPr>
            </w:pPr>
            <w:r>
              <w:rPr>
                <w:szCs w:val="24"/>
              </w:rPr>
              <w:t xml:space="preserve">&gt; 3.5 but ≤12 </w:t>
            </w:r>
          </w:p>
        </w:tc>
        <w:tc>
          <w:tcPr>
            <w:tcW w:w="1417" w:type="dxa"/>
          </w:tcPr>
          <w:p w:rsidR="006724FB" w:rsidRDefault="006724FB">
            <w:pPr>
              <w:pStyle w:val="TableNAm"/>
              <w:spacing w:before="60"/>
              <w:rPr>
                <w:szCs w:val="24"/>
              </w:rPr>
            </w:pPr>
            <w:r>
              <w:rPr>
                <w:szCs w:val="24"/>
              </w:rPr>
              <w:sym w:font="Symbol" w:char="F0B3"/>
            </w:r>
            <w:r>
              <w:rPr>
                <w:szCs w:val="24"/>
              </w:rPr>
              <w:t xml:space="preserve"> 1 500 ......</w:t>
            </w:r>
          </w:p>
        </w:tc>
        <w:tc>
          <w:tcPr>
            <w:tcW w:w="2410" w:type="dxa"/>
          </w:tcPr>
          <w:p w:rsidR="006724FB" w:rsidRDefault="006724FB">
            <w:pPr>
              <w:pStyle w:val="TableNAm"/>
              <w:spacing w:before="60"/>
              <w:rPr>
                <w:szCs w:val="24"/>
              </w:rPr>
            </w:pPr>
            <w:r>
              <w:rPr>
                <w:szCs w:val="24"/>
              </w:rPr>
              <w:t>before July 1980 .......</w:t>
            </w:r>
          </w:p>
        </w:tc>
        <w:tc>
          <w:tcPr>
            <w:tcW w:w="1031" w:type="dxa"/>
          </w:tcPr>
          <w:p w:rsidR="006724FB" w:rsidRDefault="006724FB">
            <w:pPr>
              <w:pStyle w:val="TableNAm"/>
              <w:spacing w:before="60"/>
              <w:jc w:val="center"/>
              <w:rPr>
                <w:szCs w:val="24"/>
              </w:rPr>
            </w:pPr>
            <w:r>
              <w:rPr>
                <w:szCs w:val="24"/>
              </w:rPr>
              <w:t>103</w:t>
            </w:r>
          </w:p>
        </w:tc>
      </w:tr>
      <w:tr w:rsidR="006724FB">
        <w:tblPrEx>
          <w:tblCellMar>
            <w:left w:w="108" w:type="dxa"/>
            <w:right w:w="108" w:type="dxa"/>
          </w:tblCellMar>
        </w:tblPrEx>
        <w:trPr>
          <w:cantSplit/>
        </w:trPr>
        <w:tc>
          <w:tcPr>
            <w:tcW w:w="1134" w:type="dxa"/>
          </w:tcPr>
          <w:p w:rsidR="006724FB" w:rsidRDefault="006724FB">
            <w:pPr>
              <w:pStyle w:val="TableNAm"/>
              <w:spacing w:before="60"/>
              <w:rPr>
                <w:szCs w:val="24"/>
              </w:rPr>
            </w:pPr>
          </w:p>
        </w:tc>
        <w:tc>
          <w:tcPr>
            <w:tcW w:w="1417" w:type="dxa"/>
          </w:tcPr>
          <w:p w:rsidR="006724FB" w:rsidRDefault="006724FB">
            <w:pPr>
              <w:pStyle w:val="TableNAm"/>
              <w:spacing w:before="60"/>
              <w:rPr>
                <w:szCs w:val="24"/>
              </w:rPr>
            </w:pPr>
          </w:p>
        </w:tc>
        <w:tc>
          <w:tcPr>
            <w:tcW w:w="2410" w:type="dxa"/>
          </w:tcPr>
          <w:p w:rsidR="006724FB" w:rsidRDefault="006724FB">
            <w:pPr>
              <w:pStyle w:val="TableNAm"/>
              <w:spacing w:before="60"/>
              <w:rPr>
                <w:szCs w:val="24"/>
              </w:rPr>
            </w:pPr>
            <w:r>
              <w:rPr>
                <w:szCs w:val="24"/>
              </w:rPr>
              <w:t>after June 1980 but before July 1983 .......</w:t>
            </w:r>
          </w:p>
        </w:tc>
        <w:tc>
          <w:tcPr>
            <w:tcW w:w="1031" w:type="dxa"/>
          </w:tcPr>
          <w:p w:rsidR="006724FB" w:rsidRDefault="006724FB">
            <w:pPr>
              <w:pStyle w:val="TableNAm"/>
              <w:spacing w:before="60"/>
              <w:jc w:val="center"/>
              <w:rPr>
                <w:szCs w:val="24"/>
              </w:rPr>
            </w:pPr>
            <w:r>
              <w:rPr>
                <w:szCs w:val="24"/>
              </w:rPr>
              <w:br/>
              <w:t>100</w:t>
            </w:r>
          </w:p>
        </w:tc>
      </w:tr>
      <w:tr w:rsidR="006724FB">
        <w:tblPrEx>
          <w:tblCellMar>
            <w:left w:w="108" w:type="dxa"/>
            <w:right w:w="108" w:type="dxa"/>
          </w:tblCellMar>
        </w:tblPrEx>
        <w:trPr>
          <w:cantSplit/>
        </w:trPr>
        <w:tc>
          <w:tcPr>
            <w:tcW w:w="1134" w:type="dxa"/>
          </w:tcPr>
          <w:p w:rsidR="006724FB" w:rsidRDefault="006724FB">
            <w:pPr>
              <w:pStyle w:val="TableNAm"/>
              <w:spacing w:before="60"/>
              <w:rPr>
                <w:szCs w:val="24"/>
              </w:rPr>
            </w:pPr>
          </w:p>
        </w:tc>
        <w:tc>
          <w:tcPr>
            <w:tcW w:w="1417" w:type="dxa"/>
          </w:tcPr>
          <w:p w:rsidR="006724FB" w:rsidRDefault="006724FB">
            <w:pPr>
              <w:pStyle w:val="TableNAm"/>
              <w:spacing w:before="60"/>
              <w:rPr>
                <w:szCs w:val="24"/>
              </w:rPr>
            </w:pPr>
          </w:p>
        </w:tc>
        <w:tc>
          <w:tcPr>
            <w:tcW w:w="2410" w:type="dxa"/>
          </w:tcPr>
          <w:p w:rsidR="006724FB" w:rsidRDefault="006724FB">
            <w:pPr>
              <w:pStyle w:val="TableNAm"/>
              <w:spacing w:before="60"/>
              <w:rPr>
                <w:szCs w:val="24"/>
              </w:rPr>
            </w:pPr>
            <w:r>
              <w:rPr>
                <w:szCs w:val="24"/>
              </w:rPr>
              <w:t>after June 1983 ..........</w:t>
            </w:r>
          </w:p>
        </w:tc>
        <w:tc>
          <w:tcPr>
            <w:tcW w:w="1031" w:type="dxa"/>
          </w:tcPr>
          <w:p w:rsidR="006724FB" w:rsidRDefault="006724FB">
            <w:pPr>
              <w:pStyle w:val="TableNAm"/>
              <w:spacing w:before="60"/>
              <w:jc w:val="center"/>
              <w:rPr>
                <w:szCs w:val="24"/>
              </w:rPr>
            </w:pPr>
            <w:r>
              <w:rPr>
                <w:szCs w:val="24"/>
              </w:rPr>
              <w:t>97</w:t>
            </w:r>
          </w:p>
        </w:tc>
      </w:tr>
      <w:tr w:rsidR="006724FB">
        <w:tblPrEx>
          <w:tblCellMar>
            <w:left w:w="108" w:type="dxa"/>
            <w:right w:w="108" w:type="dxa"/>
          </w:tblCellMar>
        </w:tblPrEx>
        <w:trPr>
          <w:cantSplit/>
        </w:trPr>
        <w:tc>
          <w:tcPr>
            <w:tcW w:w="1134" w:type="dxa"/>
          </w:tcPr>
          <w:p w:rsidR="006724FB" w:rsidRDefault="006724FB">
            <w:pPr>
              <w:pStyle w:val="TableNAm"/>
              <w:keepNext/>
              <w:spacing w:before="60"/>
              <w:rPr>
                <w:szCs w:val="24"/>
              </w:rPr>
            </w:pPr>
            <w:r>
              <w:rPr>
                <w:szCs w:val="24"/>
              </w:rPr>
              <w:t>&gt; 12 ......</w:t>
            </w:r>
          </w:p>
        </w:tc>
        <w:tc>
          <w:tcPr>
            <w:tcW w:w="1417" w:type="dxa"/>
          </w:tcPr>
          <w:p w:rsidR="006724FB" w:rsidRDefault="006724FB">
            <w:pPr>
              <w:pStyle w:val="TableNAm"/>
              <w:keepNext/>
              <w:spacing w:before="60"/>
              <w:rPr>
                <w:szCs w:val="24"/>
              </w:rPr>
            </w:pPr>
            <w:r>
              <w:rPr>
                <w:szCs w:val="24"/>
              </w:rPr>
              <w:sym w:font="Symbol" w:char="F0B3"/>
            </w:r>
            <w:r>
              <w:rPr>
                <w:szCs w:val="24"/>
              </w:rPr>
              <w:t xml:space="preserve"> 1 500 ......</w:t>
            </w:r>
          </w:p>
        </w:tc>
        <w:tc>
          <w:tcPr>
            <w:tcW w:w="2410" w:type="dxa"/>
          </w:tcPr>
          <w:p w:rsidR="006724FB" w:rsidRDefault="006724FB">
            <w:pPr>
              <w:pStyle w:val="TableNAm"/>
              <w:keepNext/>
              <w:spacing w:before="60"/>
              <w:rPr>
                <w:szCs w:val="24"/>
              </w:rPr>
            </w:pPr>
            <w:r>
              <w:rPr>
                <w:szCs w:val="24"/>
              </w:rPr>
              <w:t>before July 1980 .......</w:t>
            </w:r>
          </w:p>
        </w:tc>
        <w:tc>
          <w:tcPr>
            <w:tcW w:w="1031" w:type="dxa"/>
          </w:tcPr>
          <w:p w:rsidR="006724FB" w:rsidRDefault="006724FB">
            <w:pPr>
              <w:pStyle w:val="TableNAm"/>
              <w:keepNext/>
              <w:spacing w:before="60"/>
              <w:jc w:val="center"/>
              <w:rPr>
                <w:szCs w:val="24"/>
              </w:rPr>
            </w:pPr>
            <w:r>
              <w:rPr>
                <w:szCs w:val="24"/>
              </w:rPr>
              <w:t>105</w:t>
            </w:r>
          </w:p>
        </w:tc>
      </w:tr>
      <w:tr w:rsidR="006724FB">
        <w:tblPrEx>
          <w:tblCellMar>
            <w:left w:w="108" w:type="dxa"/>
            <w:right w:w="108" w:type="dxa"/>
          </w:tblCellMar>
        </w:tblPrEx>
        <w:trPr>
          <w:cantSplit/>
        </w:trPr>
        <w:tc>
          <w:tcPr>
            <w:tcW w:w="1134" w:type="dxa"/>
          </w:tcPr>
          <w:p w:rsidR="006724FB" w:rsidRDefault="006724FB">
            <w:pPr>
              <w:pStyle w:val="TableNAm"/>
              <w:spacing w:before="60"/>
              <w:rPr>
                <w:szCs w:val="24"/>
              </w:rPr>
            </w:pPr>
          </w:p>
        </w:tc>
        <w:tc>
          <w:tcPr>
            <w:tcW w:w="1417" w:type="dxa"/>
          </w:tcPr>
          <w:p w:rsidR="006724FB" w:rsidRDefault="006724FB">
            <w:pPr>
              <w:pStyle w:val="TableNAm"/>
              <w:spacing w:before="60"/>
              <w:rPr>
                <w:szCs w:val="24"/>
                <w:u w:val="single"/>
              </w:rPr>
            </w:pPr>
          </w:p>
        </w:tc>
        <w:tc>
          <w:tcPr>
            <w:tcW w:w="2410" w:type="dxa"/>
          </w:tcPr>
          <w:p w:rsidR="006724FB" w:rsidRDefault="006724FB">
            <w:pPr>
              <w:pStyle w:val="TableNAm"/>
              <w:spacing w:before="60"/>
              <w:rPr>
                <w:szCs w:val="24"/>
              </w:rPr>
            </w:pPr>
            <w:r>
              <w:rPr>
                <w:szCs w:val="24"/>
              </w:rPr>
              <w:t>after June 1980 but before July 1983 ........</w:t>
            </w:r>
          </w:p>
        </w:tc>
        <w:tc>
          <w:tcPr>
            <w:tcW w:w="1031" w:type="dxa"/>
          </w:tcPr>
          <w:p w:rsidR="006724FB" w:rsidRDefault="006724FB">
            <w:pPr>
              <w:pStyle w:val="TableNAm"/>
              <w:spacing w:before="60"/>
              <w:jc w:val="center"/>
              <w:rPr>
                <w:szCs w:val="24"/>
              </w:rPr>
            </w:pPr>
            <w:r>
              <w:rPr>
                <w:szCs w:val="24"/>
              </w:rPr>
              <w:br/>
              <w:t>102</w:t>
            </w:r>
          </w:p>
        </w:tc>
      </w:tr>
      <w:tr w:rsidR="006724FB">
        <w:tblPrEx>
          <w:tblCellMar>
            <w:left w:w="108" w:type="dxa"/>
            <w:right w:w="108" w:type="dxa"/>
          </w:tblCellMar>
        </w:tblPrEx>
        <w:trPr>
          <w:cantSplit/>
        </w:trPr>
        <w:tc>
          <w:tcPr>
            <w:tcW w:w="1134" w:type="dxa"/>
            <w:tcBorders>
              <w:bottom w:val="single" w:sz="4" w:space="0" w:color="auto"/>
            </w:tcBorders>
          </w:tcPr>
          <w:p w:rsidR="006724FB" w:rsidRDefault="006724FB">
            <w:pPr>
              <w:pStyle w:val="TableNAm"/>
              <w:spacing w:before="60"/>
              <w:rPr>
                <w:szCs w:val="24"/>
              </w:rPr>
            </w:pPr>
          </w:p>
        </w:tc>
        <w:tc>
          <w:tcPr>
            <w:tcW w:w="1417" w:type="dxa"/>
            <w:tcBorders>
              <w:bottom w:val="single" w:sz="4" w:space="0" w:color="auto"/>
            </w:tcBorders>
          </w:tcPr>
          <w:p w:rsidR="006724FB" w:rsidRDefault="006724FB">
            <w:pPr>
              <w:pStyle w:val="TableNAm"/>
              <w:spacing w:before="60"/>
              <w:rPr>
                <w:szCs w:val="24"/>
                <w:u w:val="single"/>
              </w:rPr>
            </w:pPr>
          </w:p>
        </w:tc>
        <w:tc>
          <w:tcPr>
            <w:tcW w:w="2410" w:type="dxa"/>
            <w:tcBorders>
              <w:bottom w:val="single" w:sz="4" w:space="0" w:color="auto"/>
            </w:tcBorders>
          </w:tcPr>
          <w:p w:rsidR="006724FB" w:rsidRDefault="006724FB">
            <w:pPr>
              <w:pStyle w:val="TableNAm"/>
              <w:spacing w:before="60"/>
              <w:rPr>
                <w:szCs w:val="24"/>
              </w:rPr>
            </w:pPr>
            <w:r>
              <w:rPr>
                <w:szCs w:val="24"/>
              </w:rPr>
              <w:t>after June 1983 ..........</w:t>
            </w:r>
          </w:p>
        </w:tc>
        <w:tc>
          <w:tcPr>
            <w:tcW w:w="1031" w:type="dxa"/>
            <w:tcBorders>
              <w:bottom w:val="single" w:sz="4" w:space="0" w:color="auto"/>
            </w:tcBorders>
          </w:tcPr>
          <w:p w:rsidR="006724FB" w:rsidRDefault="006724FB">
            <w:pPr>
              <w:pStyle w:val="TableNAm"/>
              <w:spacing w:before="60"/>
              <w:jc w:val="center"/>
              <w:rPr>
                <w:szCs w:val="24"/>
              </w:rPr>
            </w:pPr>
            <w:r>
              <w:rPr>
                <w:szCs w:val="24"/>
              </w:rPr>
              <w:t>99</w:t>
            </w:r>
          </w:p>
        </w:tc>
      </w:tr>
    </w:tbl>
    <w:p w:rsidR="006724FB" w:rsidRDefault="006724FB">
      <w:pPr>
        <w:pStyle w:val="Heading5"/>
      </w:pPr>
      <w:bookmarkStart w:id="686" w:name="_Toc75875970"/>
      <w:r>
        <w:rPr>
          <w:rStyle w:val="CharSectno"/>
        </w:rPr>
        <w:t>361A</w:t>
      </w:r>
      <w:r>
        <w:t>.</w:t>
      </w:r>
      <w:r>
        <w:tab/>
        <w:t>Stationary noise levels: vehicles certified to ADR 83/00</w:t>
      </w:r>
      <w:bookmarkEnd w:id="686"/>
    </w:p>
    <w:p w:rsidR="006724FB" w:rsidRDefault="006724FB">
      <w:pPr>
        <w:pStyle w:val="Subsection"/>
      </w:pPr>
      <w:r>
        <w:tab/>
      </w:r>
      <w:r>
        <w:tab/>
        <w:t xml:space="preserve">The stationary noise level of a motor vehicle that is certified to ADR 83/00 must not exceed, by more than 5 dB(A), the noise </w:t>
      </w:r>
      <w:r>
        <w:lastRenderedPageBreak/>
        <w:t>level that is established for the motor vehicle when it is certified.</w:t>
      </w:r>
    </w:p>
    <w:p w:rsidR="006724FB" w:rsidRDefault="006724FB">
      <w:pPr>
        <w:pStyle w:val="Footnotesection"/>
      </w:pPr>
      <w:r>
        <w:tab/>
        <w:t>[Regulation 361A inserted: Gazette 29 Mar 2019 p. 971.]</w:t>
      </w:r>
    </w:p>
    <w:p w:rsidR="006724FB" w:rsidRDefault="006724FB">
      <w:pPr>
        <w:pStyle w:val="Heading3"/>
      </w:pPr>
      <w:bookmarkStart w:id="687" w:name="_Toc75420047"/>
      <w:bookmarkStart w:id="688" w:name="_Toc75427383"/>
      <w:bookmarkStart w:id="689" w:name="_Toc75872799"/>
      <w:bookmarkStart w:id="690" w:name="_Toc75875971"/>
      <w:r>
        <w:rPr>
          <w:rStyle w:val="CharDivNo"/>
        </w:rPr>
        <w:t>Division 11</w:t>
      </w:r>
      <w:r>
        <w:t> — </w:t>
      </w:r>
      <w:r>
        <w:rPr>
          <w:rStyle w:val="CharDivText"/>
        </w:rPr>
        <w:t>LPG fuel systems</w:t>
      </w:r>
      <w:bookmarkEnd w:id="687"/>
      <w:bookmarkEnd w:id="688"/>
      <w:bookmarkEnd w:id="689"/>
      <w:bookmarkEnd w:id="690"/>
    </w:p>
    <w:p w:rsidR="006724FB" w:rsidRDefault="006724FB">
      <w:pPr>
        <w:pStyle w:val="Heading5"/>
      </w:pPr>
      <w:bookmarkStart w:id="691" w:name="_Toc75875972"/>
      <w:r>
        <w:rPr>
          <w:rStyle w:val="CharSectno"/>
        </w:rPr>
        <w:t>362</w:t>
      </w:r>
      <w:r>
        <w:t>.</w:t>
      </w:r>
      <w:r>
        <w:tab/>
        <w:t>LPG</w:t>
      </w:r>
      <w:r>
        <w:noBreakHyphen/>
        <w:t>powered vehicles</w:t>
      </w:r>
      <w:bookmarkEnd w:id="691"/>
    </w:p>
    <w:p w:rsidR="006724FB" w:rsidRDefault="006724FB">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rsidR="006724FB" w:rsidRDefault="006724FB">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rsidR="006724FB" w:rsidRDefault="006724FB">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rsidR="006724FB" w:rsidRDefault="006724FB">
      <w:pPr>
        <w:pStyle w:val="Indenta"/>
      </w:pPr>
      <w:r>
        <w:tab/>
        <w:t>(a)</w:t>
      </w:r>
      <w:r>
        <w:tab/>
        <w:t>that is made of durable material; and</w:t>
      </w:r>
    </w:p>
    <w:p w:rsidR="006724FB" w:rsidRDefault="006724FB">
      <w:pPr>
        <w:pStyle w:val="Indenta"/>
      </w:pPr>
      <w:r>
        <w:tab/>
        <w:t>(b)</w:t>
      </w:r>
      <w:r>
        <w:tab/>
        <w:t>that is at least 25 mm wide and 25 mm high; and</w:t>
      </w:r>
    </w:p>
    <w:p w:rsidR="006724FB" w:rsidRDefault="006724FB">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rsidR="006724FB" w:rsidRDefault="006724FB">
      <w:pPr>
        <w:pStyle w:val="Indenta"/>
      </w:pPr>
      <w:r>
        <w:tab/>
        <w:t>(d)</w:t>
      </w:r>
      <w:r>
        <w:tab/>
        <w:t>that states “LPGAS” or “LPG”, or similar words or acronyms that have the same meaning, in capital letters at least 6 mm high.</w:t>
      </w:r>
    </w:p>
    <w:p w:rsidR="006724FB" w:rsidRDefault="006724FB">
      <w:pPr>
        <w:pStyle w:val="Footnotesection"/>
      </w:pPr>
      <w:r>
        <w:tab/>
        <w:t>[Regulation 362 inserted: Gazette 29 Mar 2019 p. 971</w:t>
      </w:r>
      <w:r>
        <w:noBreakHyphen/>
        <w:t>2.]</w:t>
      </w:r>
    </w:p>
    <w:p w:rsidR="006724FB" w:rsidRDefault="006724FB">
      <w:pPr>
        <w:pStyle w:val="Heading5"/>
      </w:pPr>
      <w:bookmarkStart w:id="692" w:name="_Toc75875973"/>
      <w:r>
        <w:rPr>
          <w:rStyle w:val="CharSectno"/>
        </w:rPr>
        <w:lastRenderedPageBreak/>
        <w:t>362A</w:t>
      </w:r>
      <w:r>
        <w:t>.</w:t>
      </w:r>
      <w:r>
        <w:tab/>
        <w:t>Vehicles powered by natural gas</w:t>
      </w:r>
      <w:bookmarkEnd w:id="692"/>
    </w:p>
    <w:p w:rsidR="006724FB" w:rsidRDefault="006724FB">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rsidR="006724FB" w:rsidRDefault="006724FB">
      <w:pPr>
        <w:pStyle w:val="Footnotesection"/>
      </w:pPr>
      <w:r>
        <w:tab/>
        <w:t>[Regulation 362A inserted: Gazette 29 Mar 2019 p. 972.]</w:t>
      </w:r>
    </w:p>
    <w:p w:rsidR="006724FB" w:rsidRDefault="006724FB">
      <w:pPr>
        <w:pStyle w:val="Heading3"/>
      </w:pPr>
      <w:bookmarkStart w:id="693" w:name="_Toc75420050"/>
      <w:bookmarkStart w:id="694" w:name="_Toc75427386"/>
      <w:bookmarkStart w:id="695" w:name="_Toc75872802"/>
      <w:bookmarkStart w:id="696" w:name="_Toc75875974"/>
      <w:r>
        <w:rPr>
          <w:rStyle w:val="CharDivNo"/>
        </w:rPr>
        <w:t>Division 12</w:t>
      </w:r>
      <w:r>
        <w:t> — </w:t>
      </w:r>
      <w:r>
        <w:rPr>
          <w:rStyle w:val="CharDivText"/>
        </w:rPr>
        <w:t>Maximum road speed limiting</w:t>
      </w:r>
      <w:bookmarkEnd w:id="693"/>
      <w:bookmarkEnd w:id="694"/>
      <w:bookmarkEnd w:id="695"/>
      <w:bookmarkEnd w:id="696"/>
    </w:p>
    <w:p w:rsidR="006724FB" w:rsidRDefault="006724FB">
      <w:pPr>
        <w:pStyle w:val="Heading5"/>
      </w:pPr>
      <w:bookmarkStart w:id="697" w:name="_Toc75875975"/>
      <w:r>
        <w:rPr>
          <w:rStyle w:val="CharSectno"/>
        </w:rPr>
        <w:t>363</w:t>
      </w:r>
      <w:r>
        <w:t>.</w:t>
      </w:r>
      <w:r>
        <w:tab/>
        <w:t>Speed limiting for certain heavy vehicles</w:t>
      </w:r>
      <w:bookmarkEnd w:id="697"/>
    </w:p>
    <w:p w:rsidR="006724FB" w:rsidRDefault="006724FB">
      <w:pPr>
        <w:pStyle w:val="Subsection"/>
      </w:pPr>
      <w:r>
        <w:tab/>
        <w:t>(1)</w:t>
      </w:r>
      <w:r>
        <w:tab/>
        <w:t>A bus that with a GVM of more than 14.5 t that was built after 1987 must comply with third edition ADR 65.</w:t>
      </w:r>
    </w:p>
    <w:p w:rsidR="006724FB" w:rsidRDefault="006724FB">
      <w:pPr>
        <w:pStyle w:val="Subsection"/>
      </w:pPr>
      <w:r>
        <w:tab/>
        <w:t>(2)</w:t>
      </w:r>
      <w:r>
        <w:tab/>
        <w:t>A prime mover with a GVM of more than 15 t that was built after 1987 must comply with third edition ADR 65.</w:t>
      </w:r>
    </w:p>
    <w:p w:rsidR="006724FB" w:rsidRDefault="006724FB">
      <w:pPr>
        <w:pStyle w:val="Subsection"/>
      </w:pPr>
      <w:r>
        <w:tab/>
        <w:t>(3)</w:t>
      </w:r>
      <w:r>
        <w:tab/>
        <w:t>For third edition ADR 65, the maximum road speed capability of a motor vehicle used in a road train is 100 km/h.</w:t>
      </w:r>
    </w:p>
    <w:p w:rsidR="006724FB" w:rsidRDefault="006724FB">
      <w:pPr>
        <w:pStyle w:val="Subsection"/>
      </w:pPr>
      <w:r>
        <w:tab/>
        <w:t>(4)</w:t>
      </w:r>
      <w:r>
        <w:tab/>
        <w:t xml:space="preserve">Subregulations (1), (2) and (3) do not apply to these — </w:t>
      </w:r>
    </w:p>
    <w:p w:rsidR="006724FB" w:rsidRDefault="006724FB">
      <w:pPr>
        <w:pStyle w:val="Indenta"/>
      </w:pPr>
      <w:r>
        <w:tab/>
        <w:t>(a)</w:t>
      </w:r>
      <w:r>
        <w:tab/>
        <w:t>an emergency vehicle;</w:t>
      </w:r>
    </w:p>
    <w:p w:rsidR="006724FB" w:rsidRDefault="006724FB">
      <w:pPr>
        <w:pStyle w:val="Indenta"/>
      </w:pPr>
      <w:r>
        <w:tab/>
        <w:t>(b)</w:t>
      </w:r>
      <w:r>
        <w:tab/>
        <w:t>a bus fitted with hand grips or similar equipment for standing passengers to hold;</w:t>
      </w:r>
    </w:p>
    <w:p w:rsidR="006724FB" w:rsidRDefault="006724FB">
      <w:pPr>
        <w:pStyle w:val="Indenta"/>
      </w:pPr>
      <w:r>
        <w:tab/>
        <w:t>(c)</w:t>
      </w:r>
      <w:r>
        <w:tab/>
        <w:t>a 2</w:t>
      </w:r>
      <w:r>
        <w:noBreakHyphen/>
        <w:t xml:space="preserve">axle prime mover if — </w:t>
      </w:r>
    </w:p>
    <w:p w:rsidR="006724FB" w:rsidRDefault="006724FB">
      <w:pPr>
        <w:pStyle w:val="Indenti"/>
      </w:pPr>
      <w:r>
        <w:tab/>
        <w:t>(i)</w:t>
      </w:r>
      <w:r>
        <w:tab/>
        <w:t>it was built after 1987 but before July 1991; and</w:t>
      </w:r>
    </w:p>
    <w:p w:rsidR="006724FB" w:rsidRDefault="006724FB">
      <w:pPr>
        <w:pStyle w:val="Indenti"/>
      </w:pPr>
      <w:r>
        <w:tab/>
        <w:t>(ii)</w:t>
      </w:r>
      <w:r>
        <w:tab/>
        <w:t>the responsible person for it is a person who uses it for agriculture, horticulture or other primary production activities (except forestry, fishing and mining).</w:t>
      </w:r>
    </w:p>
    <w:p w:rsidR="006724FB" w:rsidRDefault="006724FB">
      <w:pPr>
        <w:pStyle w:val="Heading3"/>
      </w:pPr>
      <w:bookmarkStart w:id="698" w:name="_Toc75420052"/>
      <w:bookmarkStart w:id="699" w:name="_Toc75427388"/>
      <w:bookmarkStart w:id="700" w:name="_Toc75872804"/>
      <w:bookmarkStart w:id="701" w:name="_Toc75875976"/>
      <w:r>
        <w:rPr>
          <w:rStyle w:val="CharDivNo"/>
        </w:rPr>
        <w:lastRenderedPageBreak/>
        <w:t>Division 13</w:t>
      </w:r>
      <w:r>
        <w:t> — </w:t>
      </w:r>
      <w:r>
        <w:rPr>
          <w:rStyle w:val="CharDivText"/>
        </w:rPr>
        <w:t>Mechanical connections between vehicles</w:t>
      </w:r>
      <w:bookmarkEnd w:id="698"/>
      <w:bookmarkEnd w:id="699"/>
      <w:bookmarkEnd w:id="700"/>
      <w:bookmarkEnd w:id="701"/>
    </w:p>
    <w:p w:rsidR="006724FB" w:rsidRDefault="006724FB">
      <w:pPr>
        <w:pStyle w:val="Heading4"/>
      </w:pPr>
      <w:bookmarkStart w:id="702" w:name="_Toc75420053"/>
      <w:bookmarkStart w:id="703" w:name="_Toc75427389"/>
      <w:bookmarkStart w:id="704" w:name="_Toc75872805"/>
      <w:bookmarkStart w:id="705" w:name="_Toc75875977"/>
      <w:r>
        <w:t>Subdivision 1 — Coupling requirements for all motor vehicles, trailers and combinations</w:t>
      </w:r>
      <w:bookmarkEnd w:id="702"/>
      <w:bookmarkEnd w:id="703"/>
      <w:bookmarkEnd w:id="704"/>
      <w:bookmarkEnd w:id="705"/>
    </w:p>
    <w:p w:rsidR="006724FB" w:rsidRDefault="006724FB">
      <w:pPr>
        <w:pStyle w:val="Heading5"/>
      </w:pPr>
      <w:bookmarkStart w:id="706" w:name="_Toc75875978"/>
      <w:r>
        <w:rPr>
          <w:rStyle w:val="CharSectno"/>
        </w:rPr>
        <w:t>364</w:t>
      </w:r>
      <w:r>
        <w:t>.</w:t>
      </w:r>
      <w:r>
        <w:tab/>
        <w:t>General coupling requirements</w:t>
      </w:r>
      <w:bookmarkEnd w:id="706"/>
    </w:p>
    <w:p w:rsidR="006724FB" w:rsidRDefault="006724FB">
      <w:pPr>
        <w:pStyle w:val="Subsection"/>
      </w:pPr>
      <w:r>
        <w:tab/>
        <w:t>(1)</w:t>
      </w:r>
      <w:r>
        <w:tab/>
        <w:t>A fifth wheel coupling, the mating parts of a coupling, a kingpin or a towbar must not be used for a load more than the manufacturer’s load rating.</w:t>
      </w:r>
    </w:p>
    <w:p w:rsidR="006724FB" w:rsidRDefault="006724FB">
      <w:pPr>
        <w:pStyle w:val="Subsection"/>
      </w:pPr>
      <w:r>
        <w:tab/>
        <w:t>(2)</w:t>
      </w:r>
      <w:r>
        <w:tab/>
        <w:t>A kingpin must be used only with a fifth wheel coupling that has a corresponding jaw size.</w:t>
      </w:r>
    </w:p>
    <w:p w:rsidR="006724FB" w:rsidRDefault="006724FB">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rsidR="006724FB" w:rsidRDefault="006724FB">
      <w:pPr>
        <w:pStyle w:val="Heading5"/>
      </w:pPr>
      <w:bookmarkStart w:id="707" w:name="_Toc75875979"/>
      <w:r>
        <w:rPr>
          <w:rStyle w:val="CharSectno"/>
        </w:rPr>
        <w:t>365</w:t>
      </w:r>
      <w:r>
        <w:t>.</w:t>
      </w:r>
      <w:r>
        <w:tab/>
        <w:t>Trailer connections</w:t>
      </w:r>
      <w:bookmarkEnd w:id="707"/>
    </w:p>
    <w:p w:rsidR="006724FB" w:rsidRDefault="006724FB">
      <w:pPr>
        <w:pStyle w:val="Subsection"/>
      </w:pPr>
      <w:r>
        <w:tab/>
        <w:t>(1)</w:t>
      </w:r>
      <w:r>
        <w:tab/>
        <w:t>A trailer must be securely coupled to the vehicle in front of it.</w:t>
      </w:r>
    </w:p>
    <w:p w:rsidR="006724FB" w:rsidRDefault="006724FB">
      <w:pPr>
        <w:pStyle w:val="Subsection"/>
      </w:pPr>
      <w:r>
        <w:tab/>
        <w:t>(2)</w:t>
      </w:r>
      <w:r>
        <w:tab/>
        <w:t>The components of a coupling used between vehicles must be compatible and properly connected to each other.</w:t>
      </w:r>
    </w:p>
    <w:p w:rsidR="006724FB" w:rsidRDefault="006724FB">
      <w:pPr>
        <w:pStyle w:val="Heading5"/>
      </w:pPr>
      <w:bookmarkStart w:id="708" w:name="_Toc75875980"/>
      <w:r>
        <w:rPr>
          <w:rStyle w:val="CharSectno"/>
        </w:rPr>
        <w:t>366</w:t>
      </w:r>
      <w:r>
        <w:t>.</w:t>
      </w:r>
      <w:r>
        <w:tab/>
        <w:t>Drawbar couplings</w:t>
      </w:r>
      <w:bookmarkEnd w:id="708"/>
    </w:p>
    <w:p w:rsidR="006724FB" w:rsidRDefault="006724FB">
      <w:pPr>
        <w:pStyle w:val="Subsection"/>
      </w:pPr>
      <w:r>
        <w:tab/>
        <w:t>(1)</w:t>
      </w:r>
      <w:r>
        <w:tab/>
        <w:t>A coupling for attaching a trailer, except a semi</w:t>
      </w:r>
      <w:r>
        <w:noBreakHyphen/>
        <w:t>trailer or pole</w:t>
      </w:r>
      <w:r>
        <w:noBreakHyphen/>
        <w:t xml:space="preserve">type trailer, to a towing vehicle must be built and fitted so — </w:t>
      </w:r>
    </w:p>
    <w:p w:rsidR="006724FB" w:rsidRDefault="006724FB">
      <w:pPr>
        <w:pStyle w:val="Indenta"/>
      </w:pPr>
      <w:r>
        <w:tab/>
        <w:t>(a)</w:t>
      </w:r>
      <w:r>
        <w:tab/>
        <w:t>the coupling is equipped with a positive locking mechanism; and</w:t>
      </w:r>
    </w:p>
    <w:p w:rsidR="006724FB" w:rsidRDefault="006724FB">
      <w:pPr>
        <w:pStyle w:val="Indenta"/>
      </w:pPr>
      <w:r>
        <w:tab/>
        <w:t>(b)</w:t>
      </w:r>
      <w:r>
        <w:tab/>
        <w:t>the positive locking mechanism can be released regardless of the angle of the trailer to the towing vehicle.</w:t>
      </w:r>
    </w:p>
    <w:p w:rsidR="006724FB" w:rsidRDefault="006724FB">
      <w:pPr>
        <w:pStyle w:val="Subsection"/>
      </w:pPr>
      <w:r>
        <w:tab/>
        <w:t>(2)</w:t>
      </w:r>
      <w:r>
        <w:tab/>
        <w:t xml:space="preserve">If the trailer is in a combination and is not fitted with breakaway brakes in accordance with regulation 340(3), it must be connected to the towing vehicle by at least one chain, cable or </w:t>
      </w:r>
      <w:r>
        <w:lastRenderedPageBreak/>
        <w:t>other flexible device, as well as the coupling required by subregulation (1).</w:t>
      </w:r>
    </w:p>
    <w:p w:rsidR="006724FB" w:rsidRDefault="006724FB">
      <w:pPr>
        <w:pStyle w:val="Subsection"/>
      </w:pPr>
      <w:r>
        <w:tab/>
        <w:t>(3)</w:t>
      </w:r>
      <w:r>
        <w:tab/>
        <w:t xml:space="preserve">A connector must be built and fitted so — </w:t>
      </w:r>
    </w:p>
    <w:p w:rsidR="006724FB" w:rsidRDefault="006724FB">
      <w:pPr>
        <w:pStyle w:val="Indenta"/>
      </w:pPr>
      <w:r>
        <w:tab/>
        <w:t>(a)</w:t>
      </w:r>
      <w:r>
        <w:tab/>
        <w:t>the trailer is kept in tow if the coupling breaks or accidentally detaches; and</w:t>
      </w:r>
    </w:p>
    <w:p w:rsidR="006724FB" w:rsidRDefault="006724FB">
      <w:pPr>
        <w:pStyle w:val="Indenta"/>
      </w:pPr>
      <w:r>
        <w:tab/>
        <w:t>(b)</w:t>
      </w:r>
      <w:r>
        <w:tab/>
        <w:t>normal angular movement of the coupling is permitted without unnecessary slack.</w:t>
      </w:r>
    </w:p>
    <w:p w:rsidR="006724FB" w:rsidRDefault="006724FB">
      <w:pPr>
        <w:pStyle w:val="Subsection"/>
      </w:pPr>
      <w:r>
        <w:tab/>
        <w:t>(4)</w:t>
      </w:r>
      <w:r>
        <w:tab/>
        <w:t>If practicable, a connector must be built and fitted so the drawbar of the trailer is prevented from hitting the ground if the coupling accidentally detaches.</w:t>
      </w:r>
    </w:p>
    <w:p w:rsidR="006724FB" w:rsidRDefault="006724FB">
      <w:pPr>
        <w:pStyle w:val="Subsection"/>
        <w:keepNext/>
      </w:pPr>
      <w:r>
        <w:tab/>
        <w:t>(5)</w:t>
      </w:r>
      <w:r>
        <w:tab/>
        <w:t xml:space="preserve">In subregulations (3) and (4) — </w:t>
      </w:r>
    </w:p>
    <w:p w:rsidR="006724FB" w:rsidRDefault="006724FB">
      <w:pPr>
        <w:pStyle w:val="Defstart"/>
      </w:pPr>
      <w:r>
        <w:tab/>
      </w:r>
      <w:r>
        <w:rPr>
          <w:rStyle w:val="CharDefText"/>
        </w:rPr>
        <w:t>connector</w:t>
      </w:r>
      <w:r>
        <w:t xml:space="preserve"> means any thing that connects a trailer and a towing vehicle and includes any of these — </w:t>
      </w:r>
    </w:p>
    <w:p w:rsidR="006724FB" w:rsidRDefault="006724FB">
      <w:pPr>
        <w:pStyle w:val="Defpara"/>
      </w:pPr>
      <w:r>
        <w:tab/>
        <w:t>(a)</w:t>
      </w:r>
      <w:r>
        <w:tab/>
        <w:t>a chain;</w:t>
      </w:r>
    </w:p>
    <w:p w:rsidR="006724FB" w:rsidRDefault="006724FB">
      <w:pPr>
        <w:pStyle w:val="Defpara"/>
      </w:pPr>
      <w:r>
        <w:tab/>
        <w:t>(b)</w:t>
      </w:r>
      <w:r>
        <w:tab/>
        <w:t>a cable;</w:t>
      </w:r>
    </w:p>
    <w:p w:rsidR="006724FB" w:rsidRDefault="006724FB">
      <w:pPr>
        <w:pStyle w:val="Defpara"/>
      </w:pPr>
      <w:r>
        <w:tab/>
        <w:t>(c)</w:t>
      </w:r>
      <w:r>
        <w:tab/>
        <w:t>a thing fixed to a trailer or a towing vehicle to which a chain is attached;</w:t>
      </w:r>
    </w:p>
    <w:p w:rsidR="006724FB" w:rsidRDefault="006724FB">
      <w:pPr>
        <w:pStyle w:val="Defpara"/>
      </w:pPr>
      <w:r>
        <w:tab/>
        <w:t>(d)</w:t>
      </w:r>
      <w:r>
        <w:tab/>
        <w:t>a shackle.</w:t>
      </w:r>
    </w:p>
    <w:p w:rsidR="006724FB" w:rsidRDefault="006724FB">
      <w:pPr>
        <w:pStyle w:val="Heading4"/>
      </w:pPr>
      <w:bookmarkStart w:id="709" w:name="_Toc75420057"/>
      <w:bookmarkStart w:id="710" w:name="_Toc75427393"/>
      <w:bookmarkStart w:id="711" w:name="_Toc75872809"/>
      <w:bookmarkStart w:id="712" w:name="_Toc75875981"/>
      <w:r>
        <w:t>Subdivision 2 — Additional coupling requirements for B</w:t>
      </w:r>
      <w:r>
        <w:noBreakHyphen/>
        <w:t>doubles and long road trains</w:t>
      </w:r>
      <w:bookmarkEnd w:id="709"/>
      <w:bookmarkEnd w:id="710"/>
      <w:bookmarkEnd w:id="711"/>
      <w:bookmarkEnd w:id="712"/>
    </w:p>
    <w:p w:rsidR="006724FB" w:rsidRDefault="006724FB">
      <w:pPr>
        <w:pStyle w:val="Heading5"/>
      </w:pPr>
      <w:bookmarkStart w:id="713" w:name="_Toc75875982"/>
      <w:r>
        <w:rPr>
          <w:rStyle w:val="CharSectno"/>
        </w:rPr>
        <w:t>367</w:t>
      </w:r>
      <w:r>
        <w:t>.</w:t>
      </w:r>
      <w:r>
        <w:tab/>
        <w:t>Various kingpins</w:t>
      </w:r>
      <w:bookmarkEnd w:id="713"/>
    </w:p>
    <w:p w:rsidR="006724FB" w:rsidRDefault="006724FB">
      <w:pPr>
        <w:pStyle w:val="Subsection"/>
      </w:pPr>
      <w:r>
        <w:tab/>
      </w:r>
      <w:r>
        <w:tab/>
        <w:t xml:space="preserve">In this Subdivision — </w:t>
      </w:r>
    </w:p>
    <w:p w:rsidR="006724FB" w:rsidRDefault="006724FB">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rsidR="006724FB" w:rsidRDefault="006724FB">
      <w:pPr>
        <w:pStyle w:val="Defstart"/>
      </w:pPr>
      <w:r>
        <w:tab/>
      </w:r>
      <w:r>
        <w:rPr>
          <w:rStyle w:val="CharDefText"/>
        </w:rPr>
        <w:t>75 mm kingpin</w:t>
      </w:r>
      <w:r>
        <w:t xml:space="preserve"> means a kingpin with the dimensions mentioned in regulation 373(3);</w:t>
      </w:r>
    </w:p>
    <w:p w:rsidR="006724FB" w:rsidRDefault="006724FB">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rsidR="006724FB" w:rsidRDefault="006724FB">
      <w:pPr>
        <w:pStyle w:val="Defstart"/>
      </w:pPr>
      <w:r>
        <w:lastRenderedPageBreak/>
        <w:tab/>
      </w:r>
      <w:r>
        <w:rPr>
          <w:rStyle w:val="CharDefText"/>
        </w:rPr>
        <w:t>road train</w:t>
      </w:r>
      <w:r>
        <w:t xml:space="preserve"> means a road train that exceeds 19 m in length.</w:t>
      </w:r>
    </w:p>
    <w:p w:rsidR="006724FB" w:rsidRDefault="006724FB">
      <w:pPr>
        <w:pStyle w:val="Heading5"/>
      </w:pPr>
      <w:bookmarkStart w:id="714" w:name="_Toc75875983"/>
      <w:r>
        <w:rPr>
          <w:rStyle w:val="CharSectno"/>
        </w:rPr>
        <w:t>368</w:t>
      </w:r>
      <w:r>
        <w:t>.</w:t>
      </w:r>
      <w:r>
        <w:tab/>
        <w:t>Couplings for B</w:t>
      </w:r>
      <w:r>
        <w:noBreakHyphen/>
        <w:t>doubles and road trains</w:t>
      </w:r>
      <w:bookmarkEnd w:id="714"/>
    </w:p>
    <w:p w:rsidR="006724FB" w:rsidRDefault="006724FB">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rsidR="006724FB" w:rsidRDefault="006724FB">
      <w:pPr>
        <w:pStyle w:val="Subsection"/>
      </w:pPr>
      <w:r>
        <w:tab/>
        <w:t>(2)</w:t>
      </w:r>
      <w:r>
        <w:tab/>
        <w:t xml:space="preserve">However, subregulation (1) does not apply to a fifth wheel coupling if — </w:t>
      </w:r>
    </w:p>
    <w:p w:rsidR="006724FB" w:rsidRDefault="006724FB">
      <w:pPr>
        <w:pStyle w:val="Indenta"/>
      </w:pPr>
      <w:r>
        <w:tab/>
        <w:t>(a)</w:t>
      </w:r>
      <w:r>
        <w:tab/>
        <w:t>the semi</w:t>
      </w:r>
      <w:r>
        <w:noBreakHyphen/>
        <w:t>trailer design requires torsional stresses to be minimised; and</w:t>
      </w:r>
    </w:p>
    <w:p w:rsidR="006724FB" w:rsidRDefault="006724FB">
      <w:pPr>
        <w:pStyle w:val="Indenta"/>
      </w:pPr>
      <w:r>
        <w:tab/>
        <w:t>(b)</w:t>
      </w:r>
      <w:r>
        <w:tab/>
        <w:t>the roll axis of the fifth wheel coupling is above the surface of the coupler plate; and</w:t>
      </w:r>
    </w:p>
    <w:p w:rsidR="006724FB" w:rsidRDefault="006724FB">
      <w:pPr>
        <w:pStyle w:val="Indenta"/>
      </w:pPr>
      <w:r>
        <w:tab/>
        <w:t>(c)</w:t>
      </w:r>
      <w:r>
        <w:tab/>
        <w:t>the degree of rotation allowed around the roll axis of the fifth wheel coupling is restricted to prevent roll instability.</w:t>
      </w:r>
    </w:p>
    <w:p w:rsidR="006724FB" w:rsidRDefault="006724FB">
      <w:pPr>
        <w:pStyle w:val="Subsection"/>
      </w:pPr>
      <w:r>
        <w:tab/>
        <w:t>(3)</w:t>
      </w:r>
      <w:r>
        <w:tab/>
        <w:t>A trailer with only one axle group or a single axle (except a semi</w:t>
      </w:r>
      <w:r>
        <w:noBreakHyphen/>
        <w:t>trailer or a converter dolly) that is used in a road train must not have a coupling fitted at its rear.</w:t>
      </w:r>
    </w:p>
    <w:p w:rsidR="006724FB" w:rsidRDefault="006724FB">
      <w:pPr>
        <w:pStyle w:val="Heading5"/>
      </w:pPr>
      <w:bookmarkStart w:id="715" w:name="_Toc75875984"/>
      <w:r>
        <w:rPr>
          <w:rStyle w:val="CharSectno"/>
        </w:rPr>
        <w:t>369</w:t>
      </w:r>
      <w:r>
        <w:t>.</w:t>
      </w:r>
      <w:r>
        <w:tab/>
        <w:t>Selection of fifth wheel couplings for B</w:t>
      </w:r>
      <w:r>
        <w:noBreakHyphen/>
        <w:t>doubles and road trains</w:t>
      </w:r>
      <w:bookmarkEnd w:id="715"/>
    </w:p>
    <w:p w:rsidR="006724FB" w:rsidRDefault="006724FB">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rsidR="006724FB" w:rsidRDefault="006724FB">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rsidR="006724FB" w:rsidRDefault="006724FB">
      <w:pPr>
        <w:pStyle w:val="Subsection"/>
      </w:pPr>
      <w:r>
        <w:tab/>
        <w:t>(3)</w:t>
      </w:r>
      <w:r>
        <w:tab/>
        <w:t>If a fifth wheel coupling used in a B</w:t>
      </w:r>
      <w:r>
        <w:noBreakHyphen/>
        <w:t>double or road train is built for a 50 mm kingpin or 90 mm kingpin, the coupling must —</w:t>
      </w:r>
    </w:p>
    <w:p w:rsidR="006724FB" w:rsidRDefault="006724FB">
      <w:pPr>
        <w:pStyle w:val="Indenta"/>
      </w:pPr>
      <w:r>
        <w:tab/>
        <w:t>(a)</w:t>
      </w:r>
      <w:r>
        <w:tab/>
        <w:t>meet the dimension requirements in AS 1773</w:t>
      </w:r>
      <w:r>
        <w:noBreakHyphen/>
        <w:t xml:space="preserve">1990 </w:t>
      </w:r>
      <w:r>
        <w:rPr>
          <w:i/>
        </w:rPr>
        <w:t>Articulated Vehicles — Fifth Wheel Assemblies</w:t>
      </w:r>
      <w:r>
        <w:t>; and</w:t>
      </w:r>
    </w:p>
    <w:p w:rsidR="006724FB" w:rsidRDefault="006724FB">
      <w:pPr>
        <w:pStyle w:val="Indenta"/>
      </w:pPr>
      <w:r>
        <w:lastRenderedPageBreak/>
        <w:tab/>
        <w:t>(b)</w:t>
      </w:r>
      <w:r>
        <w:tab/>
        <w:t>not be worn away more than recommended by the standard.</w:t>
      </w:r>
    </w:p>
    <w:p w:rsidR="006724FB" w:rsidRDefault="006724FB">
      <w:pPr>
        <w:pStyle w:val="Subsection"/>
      </w:pPr>
      <w:r>
        <w:tab/>
        <w:t>(4)</w:t>
      </w:r>
      <w:r>
        <w:tab/>
        <w:t>If a fifth wheel coupling used in a B</w:t>
      </w:r>
      <w:r>
        <w:noBreakHyphen/>
        <w:t>double or road train is built for a 75 mm kingpin, the coupling must —</w:t>
      </w:r>
    </w:p>
    <w:p w:rsidR="006724FB" w:rsidRDefault="006724FB">
      <w:pPr>
        <w:pStyle w:val="Indenta"/>
      </w:pPr>
      <w:r>
        <w:tab/>
        <w:t>(a)</w:t>
      </w:r>
      <w:r>
        <w:tab/>
        <w:t>be compatible with the kingpin mentioned in regulation 373(3); and</w:t>
      </w:r>
    </w:p>
    <w:p w:rsidR="006724FB" w:rsidRDefault="006724FB">
      <w:pPr>
        <w:pStyle w:val="Indenta"/>
      </w:pPr>
      <w:r>
        <w:tab/>
        <w:t>(b)</w:t>
      </w:r>
      <w:r>
        <w:tab/>
        <w:t>not be worn away so that it does not comply with regulation 370.</w:t>
      </w:r>
    </w:p>
    <w:p w:rsidR="006724FB" w:rsidRDefault="006724FB">
      <w:pPr>
        <w:pStyle w:val="Heading5"/>
      </w:pPr>
      <w:bookmarkStart w:id="716" w:name="_Toc75875985"/>
      <w:r>
        <w:rPr>
          <w:rStyle w:val="CharSectno"/>
        </w:rPr>
        <w:t>370</w:t>
      </w:r>
      <w:r>
        <w:t>.</w:t>
      </w:r>
      <w:r>
        <w:tab/>
        <w:t>D</w:t>
      </w:r>
      <w:r>
        <w:noBreakHyphen/>
        <w:t>value of a fifth wheel coupling</w:t>
      </w:r>
      <w:bookmarkEnd w:id="716"/>
    </w:p>
    <w:p w:rsidR="006724FB" w:rsidRDefault="006724FB">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rsidR="006724FB" w:rsidRDefault="006724FB">
      <w:pPr>
        <w:pStyle w:val="Heading5"/>
        <w:keepNext w:val="0"/>
        <w:keepLines w:val="0"/>
      </w:pPr>
      <w:bookmarkStart w:id="717" w:name="_Toc75875986"/>
      <w:r>
        <w:rPr>
          <w:rStyle w:val="CharSectno"/>
        </w:rPr>
        <w:t>371</w:t>
      </w:r>
      <w:r>
        <w:t>.</w:t>
      </w:r>
      <w:r>
        <w:tab/>
        <w:t>Mounting of fifth wheel couplings on B</w:t>
      </w:r>
      <w:r>
        <w:noBreakHyphen/>
        <w:t>doubles and road trains</w:t>
      </w:r>
      <w:bookmarkEnd w:id="717"/>
    </w:p>
    <w:p w:rsidR="006724FB" w:rsidRDefault="006724FB">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rsidR="006724FB" w:rsidRDefault="006724FB">
      <w:pPr>
        <w:pStyle w:val="Heading5"/>
        <w:keepNext w:val="0"/>
        <w:keepLines w:val="0"/>
      </w:pPr>
      <w:bookmarkStart w:id="718" w:name="_Toc75875987"/>
      <w:r>
        <w:rPr>
          <w:rStyle w:val="CharSectno"/>
        </w:rPr>
        <w:t>372</w:t>
      </w:r>
      <w:r>
        <w:t>.</w:t>
      </w:r>
      <w:r>
        <w:tab/>
        <w:t>Branding of fifth wheel couplings and turntables on B</w:t>
      </w:r>
      <w:r>
        <w:noBreakHyphen/>
        <w:t>doubles and road trains</w:t>
      </w:r>
      <w:bookmarkEnd w:id="718"/>
    </w:p>
    <w:p w:rsidR="006724FB" w:rsidRDefault="006724FB">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rsidR="006724FB" w:rsidRDefault="006724FB">
      <w:pPr>
        <w:pStyle w:val="Indenta"/>
      </w:pPr>
      <w:r>
        <w:tab/>
        <w:t>(a)</w:t>
      </w:r>
      <w:r>
        <w:tab/>
        <w:t>the name or trademark of its manufacturer; and</w:t>
      </w:r>
    </w:p>
    <w:p w:rsidR="006724FB" w:rsidRDefault="006724FB">
      <w:pPr>
        <w:pStyle w:val="Indenta"/>
      </w:pPr>
      <w:r>
        <w:tab/>
        <w:t>(b)</w:t>
      </w:r>
      <w:r>
        <w:tab/>
        <w:t>its D</w:t>
      </w:r>
      <w:r>
        <w:noBreakHyphen/>
        <w:t>value rating; and</w:t>
      </w:r>
    </w:p>
    <w:p w:rsidR="006724FB" w:rsidRDefault="006724FB">
      <w:pPr>
        <w:pStyle w:val="Indenta"/>
      </w:pPr>
      <w:r>
        <w:tab/>
        <w:t>(c)</w:t>
      </w:r>
      <w:r>
        <w:tab/>
        <w:t>its nominal size.</w:t>
      </w:r>
    </w:p>
    <w:p w:rsidR="006724FB" w:rsidRDefault="006724FB">
      <w:pPr>
        <w:pStyle w:val="Subsection"/>
      </w:pPr>
      <w:r>
        <w:lastRenderedPageBreak/>
        <w:tab/>
        <w:t>(2)</w:t>
      </w:r>
      <w:r>
        <w:tab/>
        <w:t>A turntable used in a vehicle built after 1 November 2002 that forms part of a B</w:t>
      </w:r>
      <w:r>
        <w:noBreakHyphen/>
        <w:t xml:space="preserve">double or road train must be marked with — </w:t>
      </w:r>
    </w:p>
    <w:p w:rsidR="006724FB" w:rsidRDefault="006724FB">
      <w:pPr>
        <w:pStyle w:val="Indenta"/>
      </w:pPr>
      <w:r>
        <w:tab/>
        <w:t>(a)</w:t>
      </w:r>
      <w:r>
        <w:tab/>
        <w:t>the name or trademark of the turntable’s manufacturer; and</w:t>
      </w:r>
    </w:p>
    <w:p w:rsidR="006724FB" w:rsidRDefault="006724FB">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rsidR="006724FB" w:rsidRDefault="006724FB">
      <w:pPr>
        <w:pStyle w:val="Heading5"/>
        <w:keepNext w:val="0"/>
        <w:keepLines w:val="0"/>
      </w:pPr>
      <w:bookmarkStart w:id="719" w:name="_Toc75875988"/>
      <w:r>
        <w:rPr>
          <w:rStyle w:val="CharSectno"/>
        </w:rPr>
        <w:t>373</w:t>
      </w:r>
      <w:r>
        <w:t>.</w:t>
      </w:r>
      <w:r>
        <w:tab/>
        <w:t>Selection of kingpins for B</w:t>
      </w:r>
      <w:r>
        <w:noBreakHyphen/>
        <w:t>doubles and road trains</w:t>
      </w:r>
      <w:bookmarkEnd w:id="719"/>
    </w:p>
    <w:p w:rsidR="006724FB" w:rsidRDefault="006724FB">
      <w:pPr>
        <w:pStyle w:val="Subsection"/>
      </w:pPr>
      <w:r>
        <w:tab/>
        <w:t>(1)</w:t>
      </w:r>
      <w:r>
        <w:tab/>
        <w:t>A kingpin used in a B</w:t>
      </w:r>
      <w:r>
        <w:noBreakHyphen/>
        <w:t xml:space="preserve">double or road train must — </w:t>
      </w:r>
    </w:p>
    <w:p w:rsidR="006724FB" w:rsidRDefault="006724FB">
      <w:pPr>
        <w:pStyle w:val="Indenta"/>
      </w:pPr>
      <w:r>
        <w:tab/>
        <w:t>(a)</w:t>
      </w:r>
      <w:r>
        <w:tab/>
        <w:t>be a 50 mm kingpin, 75 mm kingpin or 90 mm kingpin; and</w:t>
      </w:r>
    </w:p>
    <w:p w:rsidR="006724FB" w:rsidRDefault="006724FB">
      <w:pPr>
        <w:pStyle w:val="Indenta"/>
      </w:pPr>
      <w:r>
        <w:tab/>
        <w:t>(b)</w:t>
      </w:r>
      <w:r>
        <w:tab/>
        <w:t>have a D</w:t>
      </w:r>
      <w:r>
        <w:noBreakHyphen/>
        <w:t>value complying with AS 2175</w:t>
      </w:r>
      <w:r>
        <w:noBreakHyphen/>
        <w:t xml:space="preserve">1990 </w:t>
      </w:r>
      <w:r>
        <w:rPr>
          <w:i/>
        </w:rPr>
        <w:t>Articulated Vehicles — Kingpins</w:t>
      </w:r>
      <w:r>
        <w:t>.</w:t>
      </w:r>
    </w:p>
    <w:p w:rsidR="006724FB" w:rsidRDefault="006724FB">
      <w:pPr>
        <w:pStyle w:val="Subsection"/>
      </w:pPr>
      <w:r>
        <w:tab/>
        <w:t>(2)</w:t>
      </w:r>
      <w:r>
        <w:tab/>
        <w:t>A 50 mm kingpin or 90 mm kingpin used in a B</w:t>
      </w:r>
      <w:r>
        <w:noBreakHyphen/>
        <w:t xml:space="preserve">double or road train must — </w:t>
      </w:r>
    </w:p>
    <w:p w:rsidR="006724FB" w:rsidRDefault="006724FB">
      <w:pPr>
        <w:pStyle w:val="Indenta"/>
      </w:pPr>
      <w:r>
        <w:tab/>
        <w:t>(a)</w:t>
      </w:r>
      <w:r>
        <w:tab/>
        <w:t>be built to meet the dimension requirements in AS 2175</w:t>
      </w:r>
      <w:r>
        <w:noBreakHyphen/>
        <w:t xml:space="preserve">1990 </w:t>
      </w:r>
      <w:r>
        <w:rPr>
          <w:i/>
        </w:rPr>
        <w:t>Articulated Vehicles — Kingpins</w:t>
      </w:r>
      <w:r>
        <w:t>; and</w:t>
      </w:r>
    </w:p>
    <w:p w:rsidR="006724FB" w:rsidRDefault="006724FB">
      <w:pPr>
        <w:pStyle w:val="Indenta"/>
      </w:pPr>
      <w:r>
        <w:tab/>
        <w:t>(b)</w:t>
      </w:r>
      <w:r>
        <w:tab/>
        <w:t>not be worn away more than recommended by the standard.</w:t>
      </w:r>
    </w:p>
    <w:p w:rsidR="006724FB" w:rsidRDefault="006724FB">
      <w:pPr>
        <w:pStyle w:val="Subsection"/>
      </w:pPr>
      <w:r>
        <w:tab/>
        <w:t>(3)</w:t>
      </w:r>
      <w:r>
        <w:tab/>
        <w:t>A 75 mm kingpin used in a B</w:t>
      </w:r>
      <w:r>
        <w:noBreakHyphen/>
        <w:t xml:space="preserve">double or road train must — </w:t>
      </w:r>
    </w:p>
    <w:p w:rsidR="006724FB" w:rsidRDefault="006724FB">
      <w:pPr>
        <w:pStyle w:val="Indenta"/>
      </w:pPr>
      <w:r>
        <w:tab/>
        <w:t>(a)</w:t>
      </w:r>
      <w:r>
        <w:tab/>
        <w:t>be built to meet the dimensions in the essential diagram; and</w:t>
      </w:r>
    </w:p>
    <w:p w:rsidR="006724FB" w:rsidRDefault="006724FB">
      <w:pPr>
        <w:pStyle w:val="Indenta"/>
      </w:pPr>
      <w:r>
        <w:tab/>
        <w:t>(b)</w:t>
      </w:r>
      <w:r>
        <w:tab/>
        <w:t>not be worn away more than mentioned in subregulation (4).</w:t>
      </w:r>
    </w:p>
    <w:p w:rsidR="006724FB" w:rsidRDefault="006724FB">
      <w:pPr>
        <w:pStyle w:val="Graphics"/>
        <w:keepNext/>
        <w:spacing w:before="240" w:after="240"/>
        <w:ind w:left="992"/>
        <w:jc w:val="center"/>
      </w:pPr>
      <w:r>
        <w:lastRenderedPageBreak/>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rsidR="006724FB" w:rsidRDefault="006724FB">
      <w:pPr>
        <w:pStyle w:val="MiscellaneousHeading"/>
        <w:keepNext w:val="0"/>
        <w:spacing w:before="60" w:line="240" w:lineRule="auto"/>
        <w:rPr>
          <w:b/>
        </w:rPr>
      </w:pPr>
      <w:r>
        <w:rPr>
          <w:b/>
        </w:rPr>
        <w:t>Dimensions of a 75 mm kingpin</w:t>
      </w:r>
    </w:p>
    <w:p w:rsidR="006724FB" w:rsidRDefault="006724FB">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rsidR="006724FB" w:rsidRDefault="006724FB">
      <w:pPr>
        <w:pStyle w:val="Indenta"/>
      </w:pPr>
      <w:r>
        <w:tab/>
        <w:t>(a)</w:t>
      </w:r>
      <w:r>
        <w:tab/>
        <w:t>diameter F must not wear more than 3 mm; and</w:t>
      </w:r>
    </w:p>
    <w:p w:rsidR="006724FB" w:rsidRDefault="006724FB">
      <w:pPr>
        <w:pStyle w:val="Indenta"/>
      </w:pPr>
      <w:r>
        <w:tab/>
        <w:t>(b)</w:t>
      </w:r>
      <w:r>
        <w:tab/>
        <w:t>diameter G must not wear more than 2 mm; and</w:t>
      </w:r>
    </w:p>
    <w:p w:rsidR="006724FB" w:rsidRDefault="006724FB">
      <w:pPr>
        <w:pStyle w:val="Indenta"/>
      </w:pPr>
      <w:r>
        <w:tab/>
        <w:t>(c)</w:t>
      </w:r>
      <w:r>
        <w:tab/>
        <w:t>height H must not wear more than 2.3 mm.</w:t>
      </w:r>
    </w:p>
    <w:p w:rsidR="006724FB" w:rsidRDefault="006724FB" w:rsidP="00E1452C">
      <w:pPr>
        <w:pStyle w:val="Heading5"/>
      </w:pPr>
      <w:bookmarkStart w:id="720" w:name="_Toc75875989"/>
      <w:r>
        <w:rPr>
          <w:rStyle w:val="CharSectno"/>
        </w:rPr>
        <w:t>374</w:t>
      </w:r>
      <w:r>
        <w:t>.</w:t>
      </w:r>
      <w:r>
        <w:tab/>
        <w:t>Attachment of kingpins on B</w:t>
      </w:r>
      <w:r>
        <w:noBreakHyphen/>
        <w:t>doubles and road trains</w:t>
      </w:r>
      <w:bookmarkEnd w:id="720"/>
    </w:p>
    <w:p w:rsidR="006724FB" w:rsidRDefault="006724FB">
      <w:pPr>
        <w:pStyle w:val="Subsection"/>
      </w:pPr>
      <w:r>
        <w:tab/>
      </w:r>
      <w:r>
        <w:tab/>
        <w:t>A kingpin used in a trailer that forms part of a B</w:t>
      </w:r>
      <w:r>
        <w:noBreakHyphen/>
        <w:t xml:space="preserve">double or road train must be attached in accordance with — </w:t>
      </w:r>
    </w:p>
    <w:p w:rsidR="006724FB" w:rsidRDefault="006724FB">
      <w:pPr>
        <w:pStyle w:val="Indenta"/>
      </w:pPr>
      <w:r>
        <w:tab/>
        <w:t>(a)</w:t>
      </w:r>
      <w:r>
        <w:tab/>
        <w:t>the manufacturer’s specifications and instructions; or</w:t>
      </w:r>
    </w:p>
    <w:p w:rsidR="006724FB" w:rsidRDefault="006724FB">
      <w:pPr>
        <w:pStyle w:val="Indenta"/>
      </w:pPr>
      <w:r>
        <w:tab/>
        <w:t>(b)</w:t>
      </w:r>
      <w:r>
        <w:tab/>
        <w:t>the guidelines detailed in AS 2175</w:t>
      </w:r>
      <w:r>
        <w:noBreakHyphen/>
        <w:t xml:space="preserve">1990 </w:t>
      </w:r>
      <w:r>
        <w:rPr>
          <w:i/>
        </w:rPr>
        <w:t>Articulated Vehicles — Kingpins</w:t>
      </w:r>
      <w:r>
        <w:t>.</w:t>
      </w:r>
    </w:p>
    <w:p w:rsidR="006724FB" w:rsidRDefault="006724FB">
      <w:pPr>
        <w:pStyle w:val="Heading5"/>
      </w:pPr>
      <w:bookmarkStart w:id="721" w:name="_Toc75875990"/>
      <w:r>
        <w:rPr>
          <w:rStyle w:val="CharSectno"/>
        </w:rPr>
        <w:t>375</w:t>
      </w:r>
      <w:r>
        <w:t>.</w:t>
      </w:r>
      <w:r>
        <w:tab/>
        <w:t>Branding of kingpins on B</w:t>
      </w:r>
      <w:r>
        <w:noBreakHyphen/>
        <w:t>doubles and road trains</w:t>
      </w:r>
      <w:bookmarkEnd w:id="721"/>
    </w:p>
    <w:p w:rsidR="006724FB" w:rsidRDefault="006724FB">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rsidR="006724FB" w:rsidRDefault="006724FB">
      <w:pPr>
        <w:pStyle w:val="Indenta"/>
      </w:pPr>
      <w:r>
        <w:tab/>
        <w:t>(a)</w:t>
      </w:r>
      <w:r>
        <w:tab/>
        <w:t>the name or trademark of its manufacturer; and</w:t>
      </w:r>
    </w:p>
    <w:p w:rsidR="006724FB" w:rsidRDefault="006724FB" w:rsidP="00E1452C">
      <w:pPr>
        <w:pStyle w:val="Indenta"/>
        <w:keepNext/>
      </w:pPr>
      <w:r>
        <w:lastRenderedPageBreak/>
        <w:tab/>
        <w:t>(b)</w:t>
      </w:r>
      <w:r>
        <w:tab/>
        <w:t>its D</w:t>
      </w:r>
      <w:r>
        <w:noBreakHyphen/>
        <w:t>value rating; and</w:t>
      </w:r>
    </w:p>
    <w:p w:rsidR="006724FB" w:rsidRDefault="006724FB">
      <w:pPr>
        <w:pStyle w:val="Indenta"/>
      </w:pPr>
      <w:r>
        <w:tab/>
        <w:t>(c)</w:t>
      </w:r>
      <w:r>
        <w:tab/>
        <w:t>its nominal size.</w:t>
      </w:r>
    </w:p>
    <w:p w:rsidR="006724FB" w:rsidRDefault="006724FB">
      <w:pPr>
        <w:pStyle w:val="Heading5"/>
      </w:pPr>
      <w:bookmarkStart w:id="722" w:name="_Toc75875991"/>
      <w:r>
        <w:rPr>
          <w:rStyle w:val="CharSectno"/>
        </w:rPr>
        <w:t>376</w:t>
      </w:r>
      <w:r>
        <w:t>.</w:t>
      </w:r>
      <w:r>
        <w:tab/>
        <w:t>Selection of couplings and drawbar eyes for road trains</w:t>
      </w:r>
      <w:bookmarkEnd w:id="722"/>
    </w:p>
    <w:p w:rsidR="006724FB" w:rsidRDefault="006724FB">
      <w:pPr>
        <w:pStyle w:val="Subsection"/>
      </w:pPr>
      <w:r>
        <w:tab/>
      </w:r>
      <w:r>
        <w:tab/>
        <w:t>A drawbar</w:t>
      </w:r>
      <w:r>
        <w:noBreakHyphen/>
        <w:t xml:space="preserve">type coupling or drawbar eye used in a road train must — </w:t>
      </w:r>
    </w:p>
    <w:p w:rsidR="006724FB" w:rsidRDefault="006724FB">
      <w:pPr>
        <w:pStyle w:val="Indenta"/>
      </w:pPr>
      <w:r>
        <w:tab/>
        <w:t>(a)</w:t>
      </w:r>
      <w:r>
        <w:tab/>
        <w:t>be a 50 mm pin type; and</w:t>
      </w:r>
    </w:p>
    <w:p w:rsidR="006724FB" w:rsidRDefault="006724FB">
      <w:pPr>
        <w:pStyle w:val="Indenta"/>
      </w:pPr>
      <w:r>
        <w:tab/>
        <w:t>(b)</w:t>
      </w:r>
      <w:r>
        <w:tab/>
        <w:t>have a D</w:t>
      </w:r>
      <w:r>
        <w:noBreakHyphen/>
        <w:t>value complying with AS 2213</w:t>
      </w:r>
      <w:r>
        <w:noBreakHyphen/>
        <w:t xml:space="preserve">1984 </w:t>
      </w:r>
      <w:r>
        <w:rPr>
          <w:i/>
        </w:rPr>
        <w:t>50 mm Pin Type Couplings and Drawbar Eyes for Trailers</w:t>
      </w:r>
      <w:r>
        <w:t>; and</w:t>
      </w:r>
    </w:p>
    <w:p w:rsidR="006724FB" w:rsidRDefault="006724FB">
      <w:pPr>
        <w:pStyle w:val="Indenta"/>
      </w:pPr>
      <w:r>
        <w:tab/>
        <w:t>(c)</w:t>
      </w:r>
      <w:r>
        <w:tab/>
        <w:t>be built to the dimensions mentioned in the standard; and</w:t>
      </w:r>
    </w:p>
    <w:p w:rsidR="006724FB" w:rsidRDefault="006724FB">
      <w:pPr>
        <w:pStyle w:val="Indenta"/>
      </w:pPr>
      <w:r>
        <w:tab/>
        <w:t>(d)</w:t>
      </w:r>
      <w:r>
        <w:tab/>
        <w:t>not be worn away more than is recommended in the standard.</w:t>
      </w:r>
    </w:p>
    <w:p w:rsidR="006724FB" w:rsidRDefault="006724FB">
      <w:pPr>
        <w:pStyle w:val="Heading5"/>
      </w:pPr>
      <w:bookmarkStart w:id="723" w:name="_Toc75875992"/>
      <w:r>
        <w:rPr>
          <w:rStyle w:val="CharSectno"/>
        </w:rPr>
        <w:t>377</w:t>
      </w:r>
      <w:r>
        <w:t>.</w:t>
      </w:r>
      <w:r>
        <w:tab/>
        <w:t>Attachment of couplings and drawbar eyes on road trains</w:t>
      </w:r>
      <w:bookmarkEnd w:id="723"/>
    </w:p>
    <w:p w:rsidR="006724FB" w:rsidRDefault="006724FB">
      <w:pPr>
        <w:pStyle w:val="Subsection"/>
      </w:pPr>
      <w:r>
        <w:tab/>
      </w:r>
      <w:r>
        <w:tab/>
        <w:t>A drawbar</w:t>
      </w:r>
      <w:r>
        <w:noBreakHyphen/>
        <w:t xml:space="preserve">type coupling or drawbar eye used in a road train must be built and positioned so — </w:t>
      </w:r>
    </w:p>
    <w:p w:rsidR="006724FB" w:rsidRDefault="006724FB">
      <w:pPr>
        <w:pStyle w:val="Indenta"/>
      </w:pPr>
      <w:r>
        <w:tab/>
        <w:t>(a)</w:t>
      </w:r>
      <w:r>
        <w:tab/>
        <w:t>when the road train is moving, the drawbar can move at least 15° upwards or downwards from the position it occupies when the road train is parked on level ground; and</w:t>
      </w:r>
    </w:p>
    <w:p w:rsidR="006724FB" w:rsidRDefault="006724FB">
      <w:pPr>
        <w:pStyle w:val="Indenta"/>
      </w:pPr>
      <w:r>
        <w:tab/>
        <w:t>(b)</w:t>
      </w:r>
      <w:r>
        <w:tab/>
        <w:t>the pivot point of the coupling is not over 300 mm forward of the rear of the trailer to which it is attached; and</w:t>
      </w:r>
    </w:p>
    <w:p w:rsidR="006724FB" w:rsidRDefault="006724FB">
      <w:pPr>
        <w:pStyle w:val="Indenta"/>
      </w:pPr>
      <w:r>
        <w:tab/>
        <w:t>(c)</w:t>
      </w:r>
      <w:r>
        <w:tab/>
        <w:t>it is at a height of at least 800 mm, but not over 950 mm, when the road train is unloaded and parked on level ground.</w:t>
      </w:r>
    </w:p>
    <w:p w:rsidR="006724FB" w:rsidRDefault="006724FB">
      <w:pPr>
        <w:pStyle w:val="Heading5"/>
        <w:keepNext w:val="0"/>
        <w:keepLines w:val="0"/>
      </w:pPr>
      <w:bookmarkStart w:id="724" w:name="_Toc75875993"/>
      <w:r>
        <w:rPr>
          <w:rStyle w:val="CharSectno"/>
        </w:rPr>
        <w:t>378</w:t>
      </w:r>
      <w:r>
        <w:t>.</w:t>
      </w:r>
      <w:r>
        <w:tab/>
        <w:t>Branding of couplings and drawbar eyes on road trains</w:t>
      </w:r>
      <w:bookmarkEnd w:id="724"/>
    </w:p>
    <w:p w:rsidR="006724FB" w:rsidRDefault="006724FB">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lastRenderedPageBreak/>
        <w:t>50 mm Pin Type Couplings and Drawbar Eyes for Trailers</w:t>
      </w:r>
      <w:r>
        <w:t xml:space="preserve"> with — </w:t>
      </w:r>
    </w:p>
    <w:p w:rsidR="006724FB" w:rsidRDefault="006724FB">
      <w:pPr>
        <w:pStyle w:val="Indenta"/>
      </w:pPr>
      <w:r>
        <w:tab/>
        <w:t>(a)</w:t>
      </w:r>
      <w:r>
        <w:tab/>
        <w:t>the name or trademark of its manufacturer; and</w:t>
      </w:r>
    </w:p>
    <w:p w:rsidR="006724FB" w:rsidRDefault="006724FB">
      <w:pPr>
        <w:pStyle w:val="Indenta"/>
      </w:pPr>
      <w:r>
        <w:tab/>
        <w:t>(b)</w:t>
      </w:r>
      <w:r>
        <w:tab/>
        <w:t>its D</w:t>
      </w:r>
      <w:r>
        <w:noBreakHyphen/>
        <w:t>value rating.</w:t>
      </w:r>
    </w:p>
    <w:p w:rsidR="006724FB" w:rsidRDefault="006724FB">
      <w:pPr>
        <w:pStyle w:val="Heading5"/>
        <w:keepNext w:val="0"/>
        <w:keepLines w:val="0"/>
      </w:pPr>
      <w:bookmarkStart w:id="725" w:name="_Toc75875994"/>
      <w:r>
        <w:rPr>
          <w:rStyle w:val="CharSectno"/>
        </w:rPr>
        <w:t>379</w:t>
      </w:r>
      <w:r>
        <w:t>.</w:t>
      </w:r>
      <w:r>
        <w:tab/>
        <w:t>Tow coupling overhang on road trains</w:t>
      </w:r>
      <w:bookmarkEnd w:id="725"/>
    </w:p>
    <w:p w:rsidR="006724FB" w:rsidRDefault="006724FB">
      <w:pPr>
        <w:pStyle w:val="Subsection"/>
      </w:pPr>
      <w:r>
        <w:tab/>
        <w:t>(1)</w:t>
      </w:r>
      <w:r>
        <w:tab/>
        <w:t xml:space="preserve">In this regulation — </w:t>
      </w:r>
    </w:p>
    <w:p w:rsidR="006724FB" w:rsidRDefault="006724FB">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rsidR="006724FB" w:rsidRDefault="006724FB">
      <w:pPr>
        <w:pStyle w:val="Subsection"/>
      </w:pPr>
      <w:r>
        <w:tab/>
        <w:t>(2)</w:t>
      </w:r>
      <w:r>
        <w:tab/>
        <w:t xml:space="preserve">The tow coupling overhang of a motor vehicle, except a prime mover, used in a road train must not be more than the greater of these distances — </w:t>
      </w:r>
    </w:p>
    <w:p w:rsidR="006724FB" w:rsidRDefault="006724FB">
      <w:pPr>
        <w:pStyle w:val="Indenta"/>
      </w:pPr>
      <w:r>
        <w:tab/>
        <w:t>(a)</w:t>
      </w:r>
      <w:r>
        <w:tab/>
        <w:t>30% of the distance from the centre of the front axle to the centre of the axle group or single axle at the rear of the vehicle;</w:t>
      </w:r>
    </w:p>
    <w:p w:rsidR="006724FB" w:rsidRDefault="006724FB">
      <w:pPr>
        <w:pStyle w:val="Indenta"/>
      </w:pPr>
      <w:r>
        <w:tab/>
        <w:t>(b)</w:t>
      </w:r>
      <w:r>
        <w:tab/>
        <w:t>2.7 m.</w:t>
      </w:r>
    </w:p>
    <w:p w:rsidR="006724FB" w:rsidRDefault="006724FB">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rsidR="006724FB" w:rsidRDefault="006724FB">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rsidR="006724FB" w:rsidRDefault="006724FB">
      <w:pPr>
        <w:pStyle w:val="Graphics"/>
        <w:keepNext/>
        <w:spacing w:before="240" w:after="100"/>
        <w:ind w:left="992"/>
      </w:pPr>
      <w:r>
        <w:lastRenderedPageBreak/>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rsidR="006724FB" w:rsidRDefault="006724FB">
      <w:pPr>
        <w:pStyle w:val="MiscellaneousHeading"/>
        <w:keepNext w:val="0"/>
        <w:spacing w:before="0" w:line="240" w:lineRule="auto"/>
        <w:rPr>
          <w:b/>
        </w:rPr>
      </w:pPr>
      <w:r>
        <w:rPr>
          <w:b/>
        </w:rPr>
        <w:t>Tow coupling overhang </w:t>
      </w:r>
    </w:p>
    <w:p w:rsidR="006724FB" w:rsidRDefault="006724FB">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rsidR="006724FB" w:rsidRDefault="006724FB">
      <w:pPr>
        <w:pStyle w:val="MiscellaneousHeading"/>
        <w:keepNext w:val="0"/>
        <w:spacing w:before="120" w:line="240" w:lineRule="auto"/>
        <w:rPr>
          <w:b/>
        </w:rPr>
      </w:pPr>
      <w:r>
        <w:rPr>
          <w:b/>
        </w:rPr>
        <w:t>Tow coupling overhang — </w:t>
      </w:r>
      <w:r>
        <w:rPr>
          <w:b/>
        </w:rPr>
        <w:br/>
        <w:t>semi</w:t>
      </w:r>
      <w:r>
        <w:rPr>
          <w:b/>
        </w:rPr>
        <w:noBreakHyphen/>
        <w:t>trailer with extra coupling at rear</w:t>
      </w:r>
    </w:p>
    <w:p w:rsidR="006724FB" w:rsidRDefault="006724FB">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rsidR="006724FB" w:rsidRDefault="006724FB">
      <w:pPr>
        <w:pStyle w:val="MiscellaneousHeading"/>
        <w:keepNext w:val="0"/>
        <w:spacing w:before="0" w:line="240" w:lineRule="auto"/>
        <w:rPr>
          <w:b/>
        </w:rPr>
      </w:pPr>
      <w:r>
        <w:rPr>
          <w:b/>
        </w:rPr>
        <w:t>Tow coupling overhang — dog trailer</w:t>
      </w:r>
    </w:p>
    <w:p w:rsidR="006724FB" w:rsidRDefault="006724FB">
      <w:pPr>
        <w:pStyle w:val="Heading3"/>
      </w:pPr>
      <w:bookmarkStart w:id="726" w:name="_Toc75420071"/>
      <w:bookmarkStart w:id="727" w:name="_Toc75427407"/>
      <w:bookmarkStart w:id="728" w:name="_Toc75872823"/>
      <w:bookmarkStart w:id="729" w:name="_Toc75875995"/>
      <w:r>
        <w:rPr>
          <w:rStyle w:val="CharDivNo"/>
        </w:rPr>
        <w:lastRenderedPageBreak/>
        <w:t>Division 14</w:t>
      </w:r>
      <w:r>
        <w:t> — </w:t>
      </w:r>
      <w:r>
        <w:rPr>
          <w:rStyle w:val="CharDivText"/>
        </w:rPr>
        <w:t>Omnibuses, illuminated signs, immobilisers, compliance plates</w:t>
      </w:r>
      <w:bookmarkEnd w:id="726"/>
      <w:bookmarkEnd w:id="727"/>
      <w:bookmarkEnd w:id="728"/>
      <w:bookmarkEnd w:id="729"/>
    </w:p>
    <w:p w:rsidR="006724FB" w:rsidRDefault="006724FB">
      <w:pPr>
        <w:pStyle w:val="Heading5"/>
      </w:pPr>
      <w:bookmarkStart w:id="730" w:name="_Toc75875996"/>
      <w:r>
        <w:rPr>
          <w:rStyle w:val="CharSectno"/>
        </w:rPr>
        <w:t>380</w:t>
      </w:r>
      <w:r>
        <w:t>.</w:t>
      </w:r>
      <w:r>
        <w:tab/>
        <w:t>Passengers on omnibus with minimum 1.5 m interior height</w:t>
      </w:r>
      <w:bookmarkEnd w:id="730"/>
    </w:p>
    <w:p w:rsidR="006724FB" w:rsidRDefault="006724FB">
      <w:pPr>
        <w:pStyle w:val="Subsection"/>
      </w:pPr>
      <w:r>
        <w:tab/>
        <w:t>(1)</w:t>
      </w:r>
      <w:r>
        <w:tab/>
        <w:t xml:space="preserve">In this regulation — </w:t>
      </w:r>
    </w:p>
    <w:p w:rsidR="006724FB" w:rsidRDefault="006724FB">
      <w:pPr>
        <w:pStyle w:val="Defstart"/>
      </w:pPr>
      <w:r>
        <w:tab/>
      </w:r>
      <w:r>
        <w:rPr>
          <w:rStyle w:val="CharDefText"/>
        </w:rPr>
        <w:t>omnibus</w:t>
      </w:r>
      <w:r>
        <w:t xml:space="preserve"> means an omnibus with an interior height of 1.5 m or more.</w:t>
      </w:r>
    </w:p>
    <w:p w:rsidR="006724FB" w:rsidRDefault="006724FB">
      <w:pPr>
        <w:pStyle w:val="Subsection"/>
        <w:rPr>
          <w:snapToGrid w:val="0"/>
        </w:rPr>
      </w:pPr>
      <w:r>
        <w:rPr>
          <w:snapToGrid w:val="0"/>
        </w:rPr>
        <w:tab/>
        <w:t>(2)</w:t>
      </w:r>
      <w:r>
        <w:rPr>
          <w:snapToGrid w:val="0"/>
        </w:rPr>
        <w:tab/>
        <w:t xml:space="preserve">The maximum number of passengers that an omnibus is permitted to carry is the least of these numbers — </w:t>
      </w:r>
    </w:p>
    <w:p w:rsidR="006724FB" w:rsidRDefault="006724FB">
      <w:pPr>
        <w:pStyle w:val="Indenta"/>
        <w:rPr>
          <w:snapToGrid w:val="0"/>
        </w:rPr>
      </w:pPr>
      <w:r>
        <w:rPr>
          <w:snapToGrid w:val="0"/>
        </w:rPr>
        <w:tab/>
        <w:t>(a)</w:t>
      </w:r>
      <w:r>
        <w:rPr>
          <w:snapToGrid w:val="0"/>
        </w:rPr>
        <w:tab/>
        <w:t>the number equal to the total number of seating and standing positions recommended for the omnibus by the manufacturer;</w:t>
      </w:r>
    </w:p>
    <w:p w:rsidR="006724FB" w:rsidRDefault="006724FB">
      <w:pPr>
        <w:pStyle w:val="Indenta"/>
        <w:rPr>
          <w:snapToGrid w:val="0"/>
        </w:rPr>
      </w:pPr>
      <w:r>
        <w:rPr>
          <w:snapToGrid w:val="0"/>
        </w:rPr>
        <w:tab/>
        <w:t>(b)</w:t>
      </w:r>
      <w:r>
        <w:rPr>
          <w:snapToGrid w:val="0"/>
        </w:rPr>
        <w:tab/>
        <w:t>the greatest number that does not permit the potential loaded mass of the omnibus to exceed its GVM;</w:t>
      </w:r>
    </w:p>
    <w:p w:rsidR="006724FB" w:rsidRDefault="006724FB">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rsidR="006724FB" w:rsidRDefault="006724FB">
      <w:pPr>
        <w:pStyle w:val="Subsection"/>
      </w:pPr>
      <w:r>
        <w:tab/>
        <w:t>(3)</w:t>
      </w:r>
      <w:r>
        <w:tab/>
        <w:t>The potential loaded mass of an omnibus is the amount, in kilograms, equal to M in the formula —</w:t>
      </w:r>
    </w:p>
    <w:p w:rsidR="006724FB" w:rsidRDefault="006724FB">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rsidR="006724FB" w:rsidRDefault="006724FB">
      <w:pPr>
        <w:pStyle w:val="Subsection"/>
      </w:pPr>
      <w:r>
        <w:tab/>
      </w:r>
      <w:r>
        <w:tab/>
        <w:t xml:space="preserve">where — </w:t>
      </w:r>
    </w:p>
    <w:p w:rsidR="006724FB" w:rsidRDefault="006724FB">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rsidR="006724FB" w:rsidRDefault="006724FB">
      <w:pPr>
        <w:pStyle w:val="MiscellaneousBody"/>
        <w:tabs>
          <w:tab w:val="left" w:pos="851"/>
          <w:tab w:val="left" w:pos="1276"/>
          <w:tab w:val="left" w:pos="1701"/>
          <w:tab w:val="left" w:pos="2268"/>
          <w:tab w:val="left" w:pos="2835"/>
        </w:tabs>
      </w:pPr>
      <w:r>
        <w:tab/>
        <w:t>L</w:t>
      </w:r>
      <w:r>
        <w:tab/>
        <w:t xml:space="preserve">is — </w:t>
      </w:r>
    </w:p>
    <w:p w:rsidR="006724FB" w:rsidRDefault="006724FB">
      <w:pPr>
        <w:pStyle w:val="MiscellaneousBody"/>
        <w:tabs>
          <w:tab w:val="left" w:pos="851"/>
          <w:tab w:val="left" w:pos="1276"/>
          <w:tab w:val="left" w:pos="1701"/>
        </w:tabs>
        <w:ind w:left="1701" w:hanging="1701"/>
      </w:pPr>
      <w:r>
        <w:tab/>
      </w:r>
      <w:r>
        <w:tab/>
        <w:t>(a)</w:t>
      </w:r>
      <w:r>
        <w:tab/>
        <w:t>if provision is made on the omnibus for hand luggage and other luggage — 80;</w:t>
      </w:r>
    </w:p>
    <w:p w:rsidR="006724FB" w:rsidRDefault="006724FB">
      <w:pPr>
        <w:pStyle w:val="MiscellaneousBody"/>
        <w:tabs>
          <w:tab w:val="left" w:pos="851"/>
          <w:tab w:val="left" w:pos="1276"/>
          <w:tab w:val="left" w:pos="1701"/>
        </w:tabs>
        <w:ind w:left="1701" w:hanging="1701"/>
      </w:pPr>
      <w:r>
        <w:lastRenderedPageBreak/>
        <w:tab/>
      </w:r>
      <w:r>
        <w:tab/>
        <w:t>(b)</w:t>
      </w:r>
      <w:r>
        <w:tab/>
        <w:t>if no provision is made on the omnibus for any luggage except hand luggage — 65;</w:t>
      </w:r>
    </w:p>
    <w:p w:rsidR="006724FB" w:rsidRDefault="006724FB">
      <w:pPr>
        <w:pStyle w:val="MiscellaneousBody"/>
        <w:tabs>
          <w:tab w:val="left" w:pos="851"/>
          <w:tab w:val="left" w:pos="1276"/>
          <w:tab w:val="left" w:pos="1701"/>
          <w:tab w:val="left" w:pos="2268"/>
          <w:tab w:val="left" w:pos="2835"/>
        </w:tabs>
      </w:pPr>
      <w:r>
        <w:tab/>
        <w:t>T</w:t>
      </w:r>
      <w:r>
        <w:tab/>
        <w:t>is the unloaded mass of the omnibus.</w:t>
      </w:r>
    </w:p>
    <w:p w:rsidR="006724FB" w:rsidRDefault="006724FB">
      <w:pPr>
        <w:pStyle w:val="Heading5"/>
        <w:rPr>
          <w:b w:val="0"/>
        </w:rPr>
      </w:pPr>
      <w:bookmarkStart w:id="731" w:name="_Toc75875997"/>
      <w:r>
        <w:rPr>
          <w:rStyle w:val="CharSectno"/>
        </w:rPr>
        <w:t>381</w:t>
      </w:r>
      <w:r>
        <w:t>.</w:t>
      </w:r>
      <w:r>
        <w:tab/>
      </w:r>
      <w:r>
        <w:rPr>
          <w:snapToGrid w:val="0"/>
        </w:rPr>
        <w:t>Passengers on omnibus with less than 1.5 m interior height</w:t>
      </w:r>
      <w:bookmarkEnd w:id="731"/>
    </w:p>
    <w:p w:rsidR="006724FB" w:rsidRDefault="006724FB">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rsidR="006724FB" w:rsidRDefault="006724FB">
      <w:pPr>
        <w:pStyle w:val="Heading5"/>
        <w:rPr>
          <w:b w:val="0"/>
        </w:rPr>
      </w:pPr>
      <w:bookmarkStart w:id="732" w:name="_Toc75875998"/>
      <w:r>
        <w:rPr>
          <w:rStyle w:val="CharSectno"/>
        </w:rPr>
        <w:t>382</w:t>
      </w:r>
      <w:r>
        <w:t>.</w:t>
      </w:r>
      <w:r>
        <w:tab/>
        <w:t>Display of number of passengers permitted on omnibuses</w:t>
      </w:r>
      <w:bookmarkEnd w:id="732"/>
    </w:p>
    <w:p w:rsidR="006724FB" w:rsidRDefault="006724FB">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rsidR="006724FB" w:rsidRDefault="006724FB">
      <w:pPr>
        <w:pStyle w:val="Heading5"/>
        <w:rPr>
          <w:snapToGrid w:val="0"/>
        </w:rPr>
      </w:pPr>
      <w:bookmarkStart w:id="733" w:name="_Toc75875999"/>
      <w:r>
        <w:rPr>
          <w:rStyle w:val="CharSectno"/>
        </w:rPr>
        <w:t>383</w:t>
      </w:r>
      <w:r>
        <w:t>.</w:t>
      </w:r>
      <w:r>
        <w:tab/>
        <w:t>Omnibus s</w:t>
      </w:r>
      <w:r>
        <w:rPr>
          <w:snapToGrid w:val="0"/>
        </w:rPr>
        <w:t>tanding positions and equipment</w:t>
      </w:r>
      <w:bookmarkEnd w:id="733"/>
    </w:p>
    <w:p w:rsidR="006724FB" w:rsidRDefault="006724FB">
      <w:pPr>
        <w:pStyle w:val="Subsection"/>
        <w:rPr>
          <w:snapToGrid w:val="0"/>
        </w:rPr>
      </w:pPr>
      <w:r>
        <w:rPr>
          <w:snapToGrid w:val="0"/>
        </w:rPr>
        <w:tab/>
        <w:t>(1)</w:t>
      </w:r>
      <w:r>
        <w:rPr>
          <w:snapToGrid w:val="0"/>
        </w:rPr>
        <w:tab/>
        <w:t xml:space="preserve">A standing position on an omnibus must be floor space with these qualities — </w:t>
      </w:r>
    </w:p>
    <w:p w:rsidR="006724FB" w:rsidRDefault="006724FB">
      <w:pPr>
        <w:pStyle w:val="Indenta"/>
      </w:pPr>
      <w:r>
        <w:tab/>
        <w:t>(a)</w:t>
      </w:r>
      <w:r>
        <w:tab/>
        <w:t>the floor space must be rearward of the driver’s seat;</w:t>
      </w:r>
    </w:p>
    <w:p w:rsidR="006724FB" w:rsidRDefault="006724FB">
      <w:pPr>
        <w:pStyle w:val="Indenta"/>
      </w:pPr>
      <w:r>
        <w:tab/>
        <w:t>(b)</w:t>
      </w:r>
      <w:r>
        <w:tab/>
        <w:t>there must be a handhold that is easily accessible to a person standing in that floor space;</w:t>
      </w:r>
    </w:p>
    <w:p w:rsidR="006724FB" w:rsidRDefault="006724FB">
      <w:pPr>
        <w:pStyle w:val="Indenta"/>
      </w:pPr>
      <w:r>
        <w:tab/>
        <w:t>(c)</w:t>
      </w:r>
      <w:r>
        <w:tab/>
        <w:t>the floor space must be greater than 380 mm in width and length;</w:t>
      </w:r>
    </w:p>
    <w:p w:rsidR="006724FB" w:rsidRDefault="006724FB">
      <w:pPr>
        <w:pStyle w:val="Indenta"/>
      </w:pPr>
      <w:r>
        <w:tab/>
        <w:t>(d)</w:t>
      </w:r>
      <w:r>
        <w:tab/>
        <w:t>the floor must be of a gradient less than 1:16;</w:t>
      </w:r>
    </w:p>
    <w:p w:rsidR="006724FB" w:rsidRDefault="006724FB">
      <w:pPr>
        <w:pStyle w:val="Indenta"/>
      </w:pPr>
      <w:r>
        <w:tab/>
        <w:t>(e)</w:t>
      </w:r>
      <w:r>
        <w:tab/>
        <w:t>the floor must not be part of any step at a doorway or an area within the opening radius of a door;</w:t>
      </w:r>
    </w:p>
    <w:p w:rsidR="006724FB" w:rsidRDefault="006724FB">
      <w:pPr>
        <w:pStyle w:val="Indenta"/>
      </w:pPr>
      <w:r>
        <w:tab/>
        <w:t>(f)</w:t>
      </w:r>
      <w:r>
        <w:tab/>
        <w:t>the floor space must be at least 200 mm in front of any seat cushions.</w:t>
      </w:r>
    </w:p>
    <w:p w:rsidR="006724FB" w:rsidRDefault="006724FB">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rsidR="006724FB" w:rsidRDefault="006724FB">
      <w:pPr>
        <w:pStyle w:val="Subsection"/>
        <w:keepNext/>
        <w:rPr>
          <w:snapToGrid w:val="0"/>
        </w:rPr>
      </w:pPr>
      <w:r>
        <w:rPr>
          <w:snapToGrid w:val="0"/>
        </w:rPr>
        <w:lastRenderedPageBreak/>
        <w:tab/>
        <w:t>(3)</w:t>
      </w:r>
      <w:r>
        <w:rPr>
          <w:snapToGrid w:val="0"/>
        </w:rPr>
        <w:tab/>
        <w:t xml:space="preserve">Handholds must satisfy these criteria — </w:t>
      </w:r>
    </w:p>
    <w:p w:rsidR="006724FB" w:rsidRDefault="006724FB">
      <w:pPr>
        <w:pStyle w:val="Indenta"/>
      </w:pPr>
      <w:r>
        <w:tab/>
        <w:t>(a)</w:t>
      </w:r>
      <w:r>
        <w:tab/>
        <w:t>there must be at least one for each nominated standing position;</w:t>
      </w:r>
    </w:p>
    <w:p w:rsidR="006724FB" w:rsidRDefault="006724FB">
      <w:pPr>
        <w:pStyle w:val="Indenta"/>
      </w:pPr>
      <w:r>
        <w:tab/>
        <w:t>(b)</w:t>
      </w:r>
      <w:r>
        <w:tab/>
        <w:t>the handhold must be in the form of a handrail, a seat “corner grip”, a stirrup</w:t>
      </w:r>
      <w:r>
        <w:noBreakHyphen/>
        <w:t>type strap, a stanchion or an overhead hand strap, all of which are subject to the approval of the CEO;</w:t>
      </w:r>
    </w:p>
    <w:p w:rsidR="006724FB" w:rsidRDefault="006724FB">
      <w:pPr>
        <w:pStyle w:val="Indenta"/>
      </w:pPr>
      <w:r>
        <w:tab/>
        <w:t>(c)</w:t>
      </w:r>
      <w:r>
        <w:tab/>
        <w:t>the handholds must be on either side of the omnibus and, in the CEO’s opinion, readily accessible to a passenger in a standing position to which the handhold relates;</w:t>
      </w:r>
    </w:p>
    <w:p w:rsidR="006724FB" w:rsidRDefault="006724FB">
      <w:pPr>
        <w:pStyle w:val="Indenta"/>
      </w:pPr>
      <w:r>
        <w:tab/>
        <w:t>(d)</w:t>
      </w:r>
      <w:r>
        <w:tab/>
        <w:t>the CEO must be of the opinion that the handholds are safe, sufficiently supportive and are associated with appropriate floor space.</w:t>
      </w:r>
    </w:p>
    <w:p w:rsidR="006724FB" w:rsidRDefault="006724FB">
      <w:pPr>
        <w:pStyle w:val="Heading5"/>
        <w:rPr>
          <w:snapToGrid w:val="0"/>
        </w:rPr>
      </w:pPr>
      <w:bookmarkStart w:id="734" w:name="_Toc75876000"/>
      <w:r>
        <w:rPr>
          <w:rStyle w:val="CharSectno"/>
        </w:rPr>
        <w:t>384</w:t>
      </w:r>
      <w:r>
        <w:t>.</w:t>
      </w:r>
      <w:r>
        <w:tab/>
        <w:t>Omnibus d</w:t>
      </w:r>
      <w:r>
        <w:rPr>
          <w:snapToGrid w:val="0"/>
        </w:rPr>
        <w:t>estination signs</w:t>
      </w:r>
      <w:bookmarkEnd w:id="734"/>
    </w:p>
    <w:p w:rsidR="006724FB" w:rsidRDefault="006724FB">
      <w:pPr>
        <w:pStyle w:val="Subsection"/>
        <w:rPr>
          <w:snapToGrid w:val="0"/>
        </w:rPr>
      </w:pPr>
      <w:r>
        <w:rPr>
          <w:snapToGrid w:val="0"/>
        </w:rPr>
        <w:tab/>
      </w:r>
      <w:r>
        <w:rPr>
          <w:snapToGrid w:val="0"/>
        </w:rPr>
        <w:tab/>
        <w:t xml:space="preserve">When an omnibus other than a school bus is plying for hire, the name of its destination — </w:t>
      </w:r>
    </w:p>
    <w:p w:rsidR="006724FB" w:rsidRDefault="006724FB">
      <w:pPr>
        <w:pStyle w:val="Indenta"/>
        <w:rPr>
          <w:snapToGrid w:val="0"/>
        </w:rPr>
      </w:pPr>
      <w:r>
        <w:rPr>
          <w:snapToGrid w:val="0"/>
        </w:rPr>
        <w:tab/>
        <w:t>(a)</w:t>
      </w:r>
      <w:r>
        <w:rPr>
          <w:snapToGrid w:val="0"/>
        </w:rPr>
        <w:tab/>
        <w:t>must be clearly and conspicuously exhibited on the destination sign fitted to the omnibus; and</w:t>
      </w:r>
    </w:p>
    <w:p w:rsidR="006724FB" w:rsidRDefault="006724FB">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rsidR="006724FB" w:rsidRDefault="006724FB" w:rsidP="00E1452C">
      <w:pPr>
        <w:pStyle w:val="Heading5"/>
      </w:pPr>
      <w:bookmarkStart w:id="735" w:name="_Toc75876001"/>
      <w:r>
        <w:rPr>
          <w:rStyle w:val="CharSectno"/>
        </w:rPr>
        <w:t>385</w:t>
      </w:r>
      <w:r>
        <w:t>.</w:t>
      </w:r>
      <w:r>
        <w:tab/>
      </w:r>
      <w:r>
        <w:rPr>
          <w:snapToGrid w:val="0"/>
        </w:rPr>
        <w:t>School bus exterior colours and signs</w:t>
      </w:r>
      <w:bookmarkEnd w:id="735"/>
    </w:p>
    <w:p w:rsidR="006724FB" w:rsidRDefault="006724FB">
      <w:pPr>
        <w:pStyle w:val="Subsection"/>
        <w:rPr>
          <w:snapToGrid w:val="0"/>
        </w:rPr>
      </w:pPr>
      <w:r>
        <w:rPr>
          <w:snapToGrid w:val="0"/>
        </w:rPr>
        <w:tab/>
      </w:r>
      <w:r>
        <w:rPr>
          <w:snapToGrid w:val="0"/>
        </w:rPr>
        <w:tab/>
        <w:t xml:space="preserve">The exterior of a school bus — </w:t>
      </w:r>
    </w:p>
    <w:p w:rsidR="006724FB" w:rsidRDefault="006724FB">
      <w:pPr>
        <w:pStyle w:val="Indenta"/>
        <w:rPr>
          <w:snapToGrid w:val="0"/>
        </w:rPr>
      </w:pPr>
      <w:r>
        <w:rPr>
          <w:snapToGrid w:val="0"/>
        </w:rPr>
        <w:tab/>
        <w:t>(a)</w:t>
      </w:r>
      <w:r>
        <w:rPr>
          <w:snapToGrid w:val="0"/>
        </w:rPr>
        <w:tab/>
        <w:t>must be painted in a predominantly orange colour relieved with green on the body, with the roof painted cream or white; and</w:t>
      </w:r>
    </w:p>
    <w:p w:rsidR="006724FB" w:rsidRDefault="006724FB">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rsidR="006724FB" w:rsidRDefault="006724FB">
      <w:pPr>
        <w:pStyle w:val="Heading5"/>
      </w:pPr>
      <w:bookmarkStart w:id="736" w:name="_Toc75876002"/>
      <w:r>
        <w:rPr>
          <w:rStyle w:val="CharSectno"/>
        </w:rPr>
        <w:lastRenderedPageBreak/>
        <w:t>386</w:t>
      </w:r>
      <w:r>
        <w:t>.</w:t>
      </w:r>
      <w:r>
        <w:tab/>
        <w:t>First aid kit on non</w:t>
      </w:r>
      <w:r>
        <w:noBreakHyphen/>
        <w:t>metropolitan omnibus</w:t>
      </w:r>
      <w:bookmarkEnd w:id="736"/>
    </w:p>
    <w:p w:rsidR="006724FB" w:rsidRDefault="006724FB">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rsidR="006724FB" w:rsidRDefault="006724FB">
      <w:pPr>
        <w:pStyle w:val="Heading5"/>
      </w:pPr>
      <w:bookmarkStart w:id="737" w:name="_Toc75876003"/>
      <w:r>
        <w:rPr>
          <w:rStyle w:val="CharSectno"/>
        </w:rPr>
        <w:t>387</w:t>
      </w:r>
      <w:r>
        <w:t>.</w:t>
      </w:r>
      <w:r>
        <w:tab/>
      </w:r>
      <w:r>
        <w:rPr>
          <w:snapToGrid w:val="0"/>
        </w:rPr>
        <w:t>Fitting of illuminated signs to certain vehicles</w:t>
      </w:r>
      <w:bookmarkEnd w:id="737"/>
    </w:p>
    <w:p w:rsidR="006724FB" w:rsidRDefault="006724FB">
      <w:pPr>
        <w:pStyle w:val="Subsection"/>
        <w:rPr>
          <w:snapToGrid w:val="0"/>
        </w:rPr>
      </w:pPr>
      <w:r>
        <w:rPr>
          <w:snapToGrid w:val="0"/>
        </w:rPr>
        <w:tab/>
        <w:t>(1)</w:t>
      </w:r>
      <w:r>
        <w:rPr>
          <w:snapToGrid w:val="0"/>
        </w:rPr>
        <w:tab/>
        <w:t xml:space="preserve">In addition to the lights prescribed or permitted under Division 8 — </w:t>
      </w:r>
    </w:p>
    <w:p w:rsidR="006724FB" w:rsidRDefault="006724FB">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rsidR="006724FB" w:rsidRDefault="006724FB">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rsidR="006724FB" w:rsidRDefault="006724FB">
      <w:pPr>
        <w:pStyle w:val="Indenta"/>
        <w:rPr>
          <w:snapToGrid w:val="0"/>
        </w:rPr>
      </w:pPr>
      <w:r>
        <w:rPr>
          <w:snapToGrid w:val="0"/>
        </w:rPr>
        <w:tab/>
        <w:t>(c)</w:t>
      </w:r>
      <w:r>
        <w:rPr>
          <w:snapToGrid w:val="0"/>
        </w:rPr>
        <w:tab/>
        <w:t xml:space="preserve">a vehicle that is — </w:t>
      </w:r>
    </w:p>
    <w:p w:rsidR="006724FB" w:rsidRDefault="006724FB">
      <w:pPr>
        <w:pStyle w:val="Indenti"/>
        <w:rPr>
          <w:snapToGrid w:val="0"/>
        </w:rPr>
      </w:pPr>
      <w:r>
        <w:rPr>
          <w:snapToGrid w:val="0"/>
        </w:rPr>
        <w:tab/>
        <w:t>(i)</w:t>
      </w:r>
      <w:r>
        <w:rPr>
          <w:snapToGrid w:val="0"/>
        </w:rPr>
        <w:tab/>
        <w:t>an emergency vehicle; or</w:t>
      </w:r>
    </w:p>
    <w:p w:rsidR="006724FB" w:rsidRDefault="006724FB">
      <w:pPr>
        <w:pStyle w:val="Indenti"/>
        <w:rPr>
          <w:snapToGrid w:val="0"/>
        </w:rPr>
      </w:pPr>
      <w:r>
        <w:rPr>
          <w:snapToGrid w:val="0"/>
        </w:rPr>
        <w:tab/>
        <w:t>(ii)</w:t>
      </w:r>
      <w:r>
        <w:rPr>
          <w:snapToGrid w:val="0"/>
        </w:rPr>
        <w:tab/>
        <w:t>a motor breakdown service vehicle,</w:t>
      </w:r>
    </w:p>
    <w:p w:rsidR="006724FB" w:rsidRDefault="006724FB">
      <w:pPr>
        <w:pStyle w:val="Indenta"/>
        <w:rPr>
          <w:snapToGrid w:val="0"/>
        </w:rPr>
      </w:pPr>
      <w:r>
        <w:rPr>
          <w:snapToGrid w:val="0"/>
        </w:rPr>
        <w:tab/>
      </w:r>
      <w:r>
        <w:rPr>
          <w:snapToGrid w:val="0"/>
        </w:rPr>
        <w:tab/>
        <w:t>may be equipped with a light or lights for lighting a sign ordinarily displayed by that vehicle; and</w:t>
      </w:r>
    </w:p>
    <w:p w:rsidR="006724FB" w:rsidRDefault="006724FB">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rsidR="006724FB" w:rsidRDefault="006724FB">
      <w:pPr>
        <w:pStyle w:val="Indenti"/>
        <w:rPr>
          <w:snapToGrid w:val="0"/>
        </w:rPr>
      </w:pPr>
      <w:r>
        <w:rPr>
          <w:snapToGrid w:val="0"/>
        </w:rPr>
        <w:tab/>
        <w:t>(i)</w:t>
      </w:r>
      <w:r>
        <w:rPr>
          <w:snapToGrid w:val="0"/>
        </w:rPr>
        <w:tab/>
        <w:t>is mounted on the roof of the vehicle or on a bar across the roof; and</w:t>
      </w:r>
    </w:p>
    <w:p w:rsidR="006724FB" w:rsidRDefault="006724FB">
      <w:pPr>
        <w:pStyle w:val="Indenti"/>
        <w:rPr>
          <w:snapToGrid w:val="0"/>
        </w:rPr>
      </w:pPr>
      <w:r>
        <w:rPr>
          <w:snapToGrid w:val="0"/>
        </w:rPr>
        <w:tab/>
        <w:t>(ii)</w:t>
      </w:r>
      <w:r>
        <w:rPr>
          <w:snapToGrid w:val="0"/>
        </w:rPr>
        <w:tab/>
        <w:t>is fitted with no more than 2 globes each of 7 W or less.</w:t>
      </w:r>
    </w:p>
    <w:p w:rsidR="006724FB" w:rsidRDefault="006724FB" w:rsidP="00E1452C">
      <w:pPr>
        <w:pStyle w:val="Subsection"/>
        <w:keepLines/>
        <w:rPr>
          <w:snapToGrid w:val="0"/>
        </w:rPr>
      </w:pPr>
      <w:r>
        <w:rPr>
          <w:snapToGrid w:val="0"/>
        </w:rPr>
        <w:lastRenderedPageBreak/>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rsidR="006724FB" w:rsidRDefault="006724FB">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rsidR="006724FB" w:rsidRDefault="006724FB">
      <w:pPr>
        <w:pStyle w:val="Footnotesection"/>
      </w:pPr>
      <w:r>
        <w:tab/>
        <w:t>[Regulation 387 amended: Gazette 26 Jun 2019 p. 2237</w:t>
      </w:r>
      <w:r>
        <w:noBreakHyphen/>
        <w:t>8; SL 2020/91 r. 14.]</w:t>
      </w:r>
    </w:p>
    <w:p w:rsidR="006724FB" w:rsidRDefault="006724FB">
      <w:pPr>
        <w:pStyle w:val="Heading5"/>
      </w:pPr>
      <w:bookmarkStart w:id="738" w:name="_Toc75876004"/>
      <w:r>
        <w:rPr>
          <w:rStyle w:val="CharSectno"/>
        </w:rPr>
        <w:t>388</w:t>
      </w:r>
      <w:r>
        <w:t>.</w:t>
      </w:r>
      <w:r>
        <w:tab/>
        <w:t>Required immobilisers for certain motor vehicles</w:t>
      </w:r>
      <w:bookmarkEnd w:id="738"/>
    </w:p>
    <w:p w:rsidR="006724FB" w:rsidRDefault="006724FB">
      <w:pPr>
        <w:pStyle w:val="Subsection"/>
      </w:pPr>
      <w:r>
        <w:tab/>
        <w:t>(1)</w:t>
      </w:r>
      <w:r>
        <w:tab/>
        <w:t xml:space="preserve">This regulation applies to a car, an omnibus or a goods vehicle unless — </w:t>
      </w:r>
    </w:p>
    <w:p w:rsidR="006724FB" w:rsidRDefault="006724FB">
      <w:pPr>
        <w:pStyle w:val="Indenta"/>
      </w:pPr>
      <w:r>
        <w:tab/>
        <w:t>(a)</w:t>
      </w:r>
      <w:r>
        <w:tab/>
        <w:t>the vehicle has an unloaded mass of 3 t or more; or</w:t>
      </w:r>
    </w:p>
    <w:p w:rsidR="006724FB" w:rsidRDefault="006724FB">
      <w:pPr>
        <w:pStyle w:val="Indenta"/>
      </w:pPr>
      <w:r>
        <w:tab/>
        <w:t>(b)</w:t>
      </w:r>
      <w:r>
        <w:tab/>
        <w:t>the vehicle is a heavy vehicle; or</w:t>
      </w:r>
    </w:p>
    <w:p w:rsidR="006724FB" w:rsidRDefault="006724FB">
      <w:pPr>
        <w:pStyle w:val="Indenta"/>
      </w:pPr>
      <w:r>
        <w:tab/>
        <w:t>(c)</w:t>
      </w:r>
      <w:r>
        <w:tab/>
        <w:t>the vehicle was built 25 years or more before the time the application for the grant or transfer of the licence for the vehicle is made; or</w:t>
      </w:r>
    </w:p>
    <w:p w:rsidR="006724FB" w:rsidRDefault="006724FB">
      <w:pPr>
        <w:pStyle w:val="Indenta"/>
      </w:pPr>
      <w:r>
        <w:tab/>
        <w:t>(d)</w:t>
      </w:r>
      <w:r>
        <w:tab/>
        <w:t xml:space="preserve">the application has been made in relation to the vehicle — </w:t>
      </w:r>
    </w:p>
    <w:p w:rsidR="006724FB" w:rsidRDefault="006724FB">
      <w:pPr>
        <w:pStyle w:val="Indenti"/>
      </w:pPr>
      <w:r>
        <w:tab/>
        <w:t>(i)</w:t>
      </w:r>
      <w:r>
        <w:tab/>
        <w:t xml:space="preserve">for the grant or transfer of a licence to a dealer in the circumstances mentioned in the </w:t>
      </w:r>
      <w:r>
        <w:rPr>
          <w:i/>
        </w:rPr>
        <w:t>Duties Act 2008</w:t>
      </w:r>
      <w:r>
        <w:t xml:space="preserve"> section 246(1) or (2); or</w:t>
      </w:r>
    </w:p>
    <w:p w:rsidR="006724FB" w:rsidRDefault="006724FB">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rsidR="006724FB" w:rsidRDefault="006724FB">
      <w:pPr>
        <w:pStyle w:val="Indenti"/>
      </w:pPr>
      <w:r>
        <w:tab/>
        <w:t>(iii)</w:t>
      </w:r>
      <w:r>
        <w:tab/>
        <w:t>for the transfer of a licence under a judgment or order of a court.</w:t>
      </w:r>
    </w:p>
    <w:p w:rsidR="006724FB" w:rsidRDefault="006724FB">
      <w:pPr>
        <w:pStyle w:val="Subsection"/>
      </w:pPr>
      <w:r>
        <w:tab/>
        <w:t>(2)</w:t>
      </w:r>
      <w:r>
        <w:tab/>
        <w:t xml:space="preserve">A motor vehicle in relation to which an application is made for the grant or transfer of the licence for the vehicle must be fitted with one of these immobilisers — </w:t>
      </w:r>
    </w:p>
    <w:p w:rsidR="006724FB" w:rsidRDefault="006724FB">
      <w:pPr>
        <w:pStyle w:val="Indenta"/>
      </w:pPr>
      <w:r>
        <w:lastRenderedPageBreak/>
        <w:tab/>
        <w:t>(a)</w:t>
      </w:r>
      <w:r>
        <w:tab/>
        <w:t>an immobiliser fitted to a vehicle by the manufacturer of the vehicle or a person authorised by the manufacturer, at the time the vehicle is being manufactured;</w:t>
      </w:r>
    </w:p>
    <w:p w:rsidR="006724FB" w:rsidRDefault="006724FB">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rsidR="006724FB" w:rsidRDefault="006724FB">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rsidR="006724FB" w:rsidRDefault="006724FB">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rsidR="006724FB" w:rsidRDefault="006724FB">
      <w:pPr>
        <w:pStyle w:val="Indenta"/>
      </w:pPr>
      <w:r>
        <w:tab/>
        <w:t>(e)</w:t>
      </w:r>
      <w:r>
        <w:tab/>
        <w:t xml:space="preserve">an immobiliser — </w:t>
      </w:r>
    </w:p>
    <w:p w:rsidR="006724FB" w:rsidRDefault="006724FB">
      <w:pPr>
        <w:pStyle w:val="Indenti"/>
      </w:pPr>
      <w:r>
        <w:tab/>
        <w:t>(i)</w:t>
      </w:r>
      <w:r>
        <w:tab/>
        <w:t>fitted to a vehicle before 1 July 1999; and</w:t>
      </w:r>
    </w:p>
    <w:p w:rsidR="006724FB" w:rsidRDefault="006724FB">
      <w:pPr>
        <w:pStyle w:val="Indenti"/>
      </w:pPr>
      <w:r>
        <w:tab/>
        <w:t>(ii)</w:t>
      </w:r>
      <w:r>
        <w:tab/>
        <w:t>that is self</w:t>
      </w:r>
      <w:r>
        <w:noBreakHyphen/>
        <w:t>arming and immobilises the engine either by interrupting the fuel, ignition, starter or engine management system;</w:t>
      </w:r>
    </w:p>
    <w:p w:rsidR="006724FB" w:rsidRDefault="006724FB">
      <w:pPr>
        <w:pStyle w:val="Indenta"/>
      </w:pPr>
      <w:r>
        <w:tab/>
        <w:t>(f)</w:t>
      </w:r>
      <w:r>
        <w:tab/>
        <w:t xml:space="preserve">an immobiliser — </w:t>
      </w:r>
    </w:p>
    <w:p w:rsidR="006724FB" w:rsidRDefault="006724FB">
      <w:pPr>
        <w:pStyle w:val="Indenti"/>
      </w:pPr>
      <w:r>
        <w:tab/>
        <w:t>(i)</w:t>
      </w:r>
      <w:r>
        <w:tab/>
        <w:t>fitted to a vehicle before 1 January 2001; and</w:t>
      </w:r>
    </w:p>
    <w:p w:rsidR="006724FB" w:rsidRDefault="006724FB">
      <w:pPr>
        <w:pStyle w:val="Indenti"/>
      </w:pPr>
      <w:r>
        <w:tab/>
        <w:t>(ii)</w:t>
      </w:r>
      <w:r>
        <w:tab/>
        <w:t>that complies with “Specifications for Vehicle Immobiliser” published by the Department of Transport on 4 August 2000 and available from its Vehicle Safety Branch at 21 Murray Road South, Welshpool WA 6106;</w:t>
      </w:r>
    </w:p>
    <w:p w:rsidR="006724FB" w:rsidRDefault="006724FB">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rsidR="006724FB" w:rsidRDefault="006724FB">
      <w:pPr>
        <w:pStyle w:val="Subsection"/>
      </w:pPr>
      <w:r>
        <w:lastRenderedPageBreak/>
        <w:tab/>
        <w:t>(3)</w:t>
      </w:r>
      <w:r>
        <w:tab/>
        <w:t>If a vehicle is required under subregulation (2) to be fitted with a prescribed immobiliser at the time an application is made, the immobiliser must remain fitted to the vehicle after that time.</w:t>
      </w:r>
    </w:p>
    <w:p w:rsidR="006724FB" w:rsidRDefault="006724FB">
      <w:pPr>
        <w:pStyle w:val="Heading5"/>
        <w:spacing w:before="160"/>
        <w:rPr>
          <w:snapToGrid w:val="0"/>
        </w:rPr>
      </w:pPr>
      <w:bookmarkStart w:id="739" w:name="_Toc75876005"/>
      <w:r>
        <w:rPr>
          <w:rStyle w:val="CharSectno"/>
        </w:rPr>
        <w:t>389</w:t>
      </w:r>
      <w:r>
        <w:t>.</w:t>
      </w:r>
      <w:r>
        <w:tab/>
      </w:r>
      <w:r>
        <w:rPr>
          <w:snapToGrid w:val="0"/>
        </w:rPr>
        <w:t>Compliance plates</w:t>
      </w:r>
      <w:bookmarkEnd w:id="739"/>
    </w:p>
    <w:p w:rsidR="006724FB" w:rsidRDefault="002058DC" w:rsidP="00A75C28">
      <w:pPr>
        <w:pStyle w:val="Subsection"/>
      </w:pPr>
      <w:r>
        <w:tab/>
        <w:t>(1)</w:t>
      </w:r>
      <w:r>
        <w:tab/>
        <w:t>If</w:t>
      </w:r>
      <w:r w:rsidR="00A75C28">
        <w:t xml:space="preserve"> </w:t>
      </w:r>
      <w:r w:rsidR="006724FB">
        <w:t>an ADR other than a third edition ADR applies to the design and construction of a vehicle, the vehicle must be fitted with a compliance plate.</w:t>
      </w:r>
    </w:p>
    <w:p w:rsidR="002058DC" w:rsidRDefault="002058DC" w:rsidP="002058DC">
      <w:pPr>
        <w:pStyle w:val="Subsection"/>
      </w:pPr>
      <w:r>
        <w:tab/>
        <w:t>(2)</w:t>
      </w:r>
      <w:r>
        <w:tab/>
        <w:t xml:space="preserve">Subregulation (1) does not apply if the vehicle has satisfied an entry pathway under the </w:t>
      </w:r>
      <w:r w:rsidRPr="001012B2">
        <w:rPr>
          <w:i/>
        </w:rPr>
        <w:t>Road Vehicle Standards Act 2018</w:t>
      </w:r>
      <w:r w:rsidRPr="001012B2">
        <w:t xml:space="preserve"> (</w:t>
      </w:r>
      <w:r>
        <w:t xml:space="preserve">Commonwealth) </w:t>
      </w:r>
      <w:r w:rsidRPr="001012B2">
        <w:t>section</w:t>
      </w:r>
      <w:r>
        <w:t> 15(2) and the vehicle is entered on the RAV.</w:t>
      </w:r>
    </w:p>
    <w:p w:rsidR="002058DC" w:rsidRDefault="002058DC" w:rsidP="002058DC">
      <w:pPr>
        <w:pStyle w:val="Footnotesection"/>
      </w:pPr>
      <w:r>
        <w:tab/>
        <w:t>[Regulation 389 amended: SL 2021/81 r. 16.]</w:t>
      </w:r>
    </w:p>
    <w:p w:rsidR="002058DC" w:rsidRDefault="002058DC">
      <w:pPr>
        <w:pStyle w:val="Subsection"/>
        <w:spacing w:before="120"/>
        <w:rPr>
          <w:rStyle w:val="DraftersNotes"/>
        </w:rPr>
      </w:pPr>
    </w:p>
    <w:p w:rsidR="006724FB" w:rsidRDefault="006724FB">
      <w:pPr>
        <w:pStyle w:val="Heading2"/>
      </w:pPr>
      <w:bookmarkStart w:id="740" w:name="_Toc75420082"/>
      <w:bookmarkStart w:id="741" w:name="_Toc75427418"/>
      <w:bookmarkStart w:id="742" w:name="_Toc75872834"/>
      <w:bookmarkStart w:id="743" w:name="_Toc75876006"/>
      <w:r>
        <w:rPr>
          <w:rStyle w:val="CharPartNo"/>
        </w:rPr>
        <w:lastRenderedPageBreak/>
        <w:t>Part 11</w:t>
      </w:r>
      <w:r>
        <w:t> — </w:t>
      </w:r>
      <w:r>
        <w:rPr>
          <w:rStyle w:val="CharPartText"/>
        </w:rPr>
        <w:t>Standards and requirements for animal drawn vehicles and bicycles</w:t>
      </w:r>
      <w:bookmarkEnd w:id="740"/>
      <w:bookmarkEnd w:id="741"/>
      <w:bookmarkEnd w:id="742"/>
      <w:bookmarkEnd w:id="743"/>
    </w:p>
    <w:p w:rsidR="006724FB" w:rsidRDefault="006724FB">
      <w:pPr>
        <w:pStyle w:val="Heading3"/>
      </w:pPr>
      <w:bookmarkStart w:id="744" w:name="_Toc75420083"/>
      <w:bookmarkStart w:id="745" w:name="_Toc75427419"/>
      <w:bookmarkStart w:id="746" w:name="_Toc75872835"/>
      <w:bookmarkStart w:id="747" w:name="_Toc75876007"/>
      <w:r>
        <w:rPr>
          <w:rStyle w:val="CharDivNo"/>
        </w:rPr>
        <w:t>Division 1</w:t>
      </w:r>
      <w:r>
        <w:t> — </w:t>
      </w:r>
      <w:r>
        <w:rPr>
          <w:rStyle w:val="CharDivText"/>
        </w:rPr>
        <w:t>Animal drawn vehicles</w:t>
      </w:r>
      <w:bookmarkEnd w:id="744"/>
      <w:bookmarkEnd w:id="745"/>
      <w:bookmarkEnd w:id="746"/>
      <w:bookmarkEnd w:id="747"/>
    </w:p>
    <w:p w:rsidR="006724FB" w:rsidRDefault="006724FB">
      <w:pPr>
        <w:pStyle w:val="Heading5"/>
      </w:pPr>
      <w:bookmarkStart w:id="748" w:name="_Toc75876008"/>
      <w:r>
        <w:rPr>
          <w:rStyle w:val="CharSectno"/>
        </w:rPr>
        <w:t>390</w:t>
      </w:r>
      <w:r>
        <w:t>.</w:t>
      </w:r>
      <w:r>
        <w:tab/>
        <w:t>Terms used</w:t>
      </w:r>
      <w:bookmarkEnd w:id="748"/>
    </w:p>
    <w:p w:rsidR="006724FB" w:rsidRDefault="006724FB">
      <w:pPr>
        <w:pStyle w:val="Subsection"/>
      </w:pPr>
      <w:r>
        <w:tab/>
      </w:r>
      <w:r>
        <w:tab/>
        <w:t xml:space="preserve">In this Division, unless the contrary intention appears — </w:t>
      </w:r>
    </w:p>
    <w:p w:rsidR="006724FB" w:rsidRDefault="006724FB">
      <w:pPr>
        <w:pStyle w:val="Defstart"/>
      </w:pPr>
      <w:r>
        <w:tab/>
      </w:r>
      <w:r>
        <w:rPr>
          <w:rStyle w:val="CharDefText"/>
        </w:rPr>
        <w:t>animal drawn vehicle</w:t>
      </w:r>
      <w:r>
        <w:t xml:space="preserve"> means a vehicle built to be drawn, or being drawn, by an animal;</w:t>
      </w:r>
    </w:p>
    <w:p w:rsidR="006724FB" w:rsidRDefault="006724FB">
      <w:pPr>
        <w:pStyle w:val="Defstart"/>
      </w:pPr>
      <w:r>
        <w:tab/>
      </w:r>
      <w:r>
        <w:rPr>
          <w:rStyle w:val="CharDefText"/>
        </w:rPr>
        <w:t>pole</w:t>
      </w:r>
      <w:r>
        <w:rPr>
          <w:rStyle w:val="CharDefText"/>
        </w:rPr>
        <w:noBreakHyphen/>
        <w:t>type trailer</w:t>
      </w:r>
      <w:r>
        <w:t xml:space="preserve"> means a conveyance built to be drawn, or being drawn, behind an animal that — </w:t>
      </w:r>
    </w:p>
    <w:p w:rsidR="006724FB" w:rsidRDefault="006724FB">
      <w:pPr>
        <w:pStyle w:val="Defpara"/>
      </w:pPr>
      <w:r>
        <w:tab/>
        <w:t>(a)</w:t>
      </w:r>
      <w:r>
        <w:tab/>
        <w:t>is attached to the animal by a pole, or an attachment fitted to a pole; and</w:t>
      </w:r>
    </w:p>
    <w:p w:rsidR="006724FB" w:rsidRDefault="006724FB">
      <w:pPr>
        <w:pStyle w:val="Defpara"/>
      </w:pPr>
      <w:r>
        <w:tab/>
        <w:t>(b)</w:t>
      </w:r>
      <w:r>
        <w:tab/>
        <w:t>is ordinarily used for transporting loads comprising logs, pipes, structural members or other long objects that can generally support themselves like beams between supports.</w:t>
      </w:r>
    </w:p>
    <w:p w:rsidR="006724FB" w:rsidRDefault="006724FB">
      <w:pPr>
        <w:pStyle w:val="Heading5"/>
      </w:pPr>
      <w:bookmarkStart w:id="749" w:name="_Toc75876009"/>
      <w:r>
        <w:rPr>
          <w:rStyle w:val="CharSectno"/>
        </w:rPr>
        <w:t>391</w:t>
      </w:r>
      <w:r>
        <w:t>.</w:t>
      </w:r>
      <w:r>
        <w:tab/>
        <w:t>Light visibility</w:t>
      </w:r>
      <w:bookmarkEnd w:id="749"/>
    </w:p>
    <w:p w:rsidR="006724FB" w:rsidRDefault="006724FB">
      <w:pPr>
        <w:pStyle w:val="Subsection"/>
      </w:pPr>
      <w:r>
        <w:tab/>
      </w:r>
      <w:r>
        <w:tab/>
        <w:t>A reference in this Division to the visibility or showing of a light is a reference to its capacity to be seen under normal atmospheric conditions at night.</w:t>
      </w:r>
    </w:p>
    <w:p w:rsidR="006724FB" w:rsidRDefault="006724FB">
      <w:pPr>
        <w:pStyle w:val="Heading5"/>
      </w:pPr>
      <w:bookmarkStart w:id="750" w:name="_Toc75876010"/>
      <w:r>
        <w:rPr>
          <w:rStyle w:val="CharSectno"/>
        </w:rPr>
        <w:t>392</w:t>
      </w:r>
      <w:r>
        <w:t>.</w:t>
      </w:r>
      <w:r>
        <w:tab/>
        <w:t>Compliance with standards and requirements</w:t>
      </w:r>
      <w:bookmarkEnd w:id="750"/>
    </w:p>
    <w:p w:rsidR="006724FB" w:rsidRDefault="006724FB">
      <w:pPr>
        <w:pStyle w:val="Subsection"/>
      </w:pPr>
      <w:r>
        <w:tab/>
      </w:r>
      <w:r>
        <w:tab/>
        <w:t>A person must not drive an animal drawn vehicle unless the vehicle complies with each regulation in this Division that applies to the vehicle.</w:t>
      </w:r>
    </w:p>
    <w:p w:rsidR="006724FB" w:rsidRDefault="006724FB">
      <w:pPr>
        <w:pStyle w:val="Penstart"/>
      </w:pPr>
      <w:r>
        <w:tab/>
        <w:t>Penalty: a fine of 4 PU.</w:t>
      </w:r>
    </w:p>
    <w:p w:rsidR="006724FB" w:rsidRDefault="006724FB">
      <w:pPr>
        <w:pStyle w:val="Penstart"/>
      </w:pPr>
      <w:r>
        <w:tab/>
        <w:t>Modified penalty: 1 PU.</w:t>
      </w:r>
    </w:p>
    <w:p w:rsidR="006724FB" w:rsidRDefault="006724FB">
      <w:pPr>
        <w:pStyle w:val="Heading5"/>
        <w:rPr>
          <w:spacing w:val="-2"/>
        </w:rPr>
      </w:pPr>
      <w:bookmarkStart w:id="751" w:name="_Toc75876011"/>
      <w:r>
        <w:rPr>
          <w:rStyle w:val="CharSectno"/>
        </w:rPr>
        <w:t>393</w:t>
      </w:r>
      <w:r>
        <w:t>.</w:t>
      </w:r>
      <w:r>
        <w:tab/>
      </w:r>
      <w:r>
        <w:rPr>
          <w:spacing w:val="-2"/>
        </w:rPr>
        <w:t>Front and rear lights</w:t>
      </w:r>
      <w:bookmarkEnd w:id="751"/>
    </w:p>
    <w:p w:rsidR="006724FB" w:rsidRDefault="006724FB">
      <w:pPr>
        <w:pStyle w:val="Subsection"/>
      </w:pPr>
      <w:r>
        <w:tab/>
        <w:t>(1)</w:t>
      </w:r>
      <w:r>
        <w:tab/>
        <w:t>A two</w:t>
      </w:r>
      <w:r>
        <w:noBreakHyphen/>
        <w:t xml:space="preserve">wheeled animal drawn vehicle at night must be equipped on opposite sides with 2 lamps capable of showing a bright </w:t>
      </w:r>
      <w:r>
        <w:lastRenderedPageBreak/>
        <w:t>white light to the front of the vehicle and a red light to the rear of the vehicle.</w:t>
      </w:r>
    </w:p>
    <w:p w:rsidR="006724FB" w:rsidRDefault="006724FB">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rsidR="006724FB" w:rsidRDefault="006724FB">
      <w:pPr>
        <w:pStyle w:val="Indenta"/>
      </w:pPr>
      <w:r>
        <w:tab/>
        <w:t>(a)</w:t>
      </w:r>
      <w:r>
        <w:tab/>
        <w:t>with 2 lamps capable of showing a bright white light to the front of the vehicle located on opposite sides at the front of the vehicle, at a height of not more than 1.9 m from the ground; and</w:t>
      </w:r>
    </w:p>
    <w:p w:rsidR="006724FB" w:rsidRDefault="006724FB">
      <w:pPr>
        <w:pStyle w:val="Indenta"/>
      </w:pPr>
      <w:r>
        <w:tab/>
        <w:t>(b)</w:t>
      </w:r>
      <w:r>
        <w:tab/>
        <w:t>with a lamp capable of showing a bright red light to the rear of the vehicle located at the rear, centre or right of the vehicle at a height of not more than 1.5 m from the ground.</w:t>
      </w:r>
    </w:p>
    <w:p w:rsidR="006724FB" w:rsidRDefault="006724FB">
      <w:pPr>
        <w:pStyle w:val="Subsection"/>
      </w:pPr>
      <w:r>
        <w:tab/>
        <w:t>(3)</w:t>
      </w:r>
      <w:r>
        <w:tab/>
        <w:t>A pole</w:t>
      </w:r>
      <w:r>
        <w:noBreakHyphen/>
        <w:t xml:space="preserve">type trailer on a road at night must be equipped — </w:t>
      </w:r>
    </w:p>
    <w:p w:rsidR="006724FB" w:rsidRDefault="006724FB">
      <w:pPr>
        <w:pStyle w:val="Indenta"/>
      </w:pPr>
      <w:r>
        <w:tab/>
        <w:t>(a)</w:t>
      </w:r>
      <w:r>
        <w:tab/>
        <w:t>with 2 lighted lamps capable of showing a bright white light visible to the front of the vehicle and located on opposite sides at the front of the vehicle at a height of not more than 1.9 m from the ground; and</w:t>
      </w:r>
    </w:p>
    <w:p w:rsidR="006724FB" w:rsidRDefault="006724FB">
      <w:pPr>
        <w:pStyle w:val="Indenta"/>
      </w:pPr>
      <w:r>
        <w:tab/>
        <w:t>(b)</w:t>
      </w:r>
      <w:r>
        <w:tab/>
        <w:t>with a lamp capable of showing a bright red light to the rear of the vehicle located on the rear end of the pole of the trailer.</w:t>
      </w:r>
    </w:p>
    <w:p w:rsidR="006724FB" w:rsidRDefault="006724FB">
      <w:pPr>
        <w:pStyle w:val="Heading5"/>
        <w:rPr>
          <w:spacing w:val="-2"/>
        </w:rPr>
      </w:pPr>
      <w:bookmarkStart w:id="752" w:name="_Toc75876012"/>
      <w:r>
        <w:rPr>
          <w:rStyle w:val="CharSectno"/>
        </w:rPr>
        <w:t>394</w:t>
      </w:r>
      <w:r>
        <w:t>.</w:t>
      </w:r>
      <w:r>
        <w:tab/>
      </w:r>
      <w:r>
        <w:rPr>
          <w:spacing w:val="-2"/>
        </w:rPr>
        <w:t>Rear reflectors</w:t>
      </w:r>
      <w:bookmarkEnd w:id="752"/>
    </w:p>
    <w:p w:rsidR="006724FB" w:rsidRDefault="006724FB">
      <w:pPr>
        <w:pStyle w:val="Subsection"/>
      </w:pPr>
      <w:r>
        <w:tab/>
        <w:t>(1)</w:t>
      </w:r>
      <w:r>
        <w:tab/>
        <w:t xml:space="preserve">In addition to the rear light prescribed by regulation 393, there must be symmetrically fitted to each side of the rear of an animal drawn vehicle on a road at night a reflector, that — </w:t>
      </w:r>
    </w:p>
    <w:p w:rsidR="006724FB" w:rsidRDefault="006724FB">
      <w:pPr>
        <w:pStyle w:val="Indenta"/>
      </w:pPr>
      <w:r>
        <w:tab/>
        <w:t>(a)</w:t>
      </w:r>
      <w:r>
        <w:tab/>
        <w:t>is so located that it is not higher than 1.5 m from the ground; and</w:t>
      </w:r>
    </w:p>
    <w:p w:rsidR="006724FB" w:rsidRDefault="006724FB">
      <w:pPr>
        <w:pStyle w:val="Indenta"/>
      </w:pPr>
      <w:r>
        <w:tab/>
        <w:t>(b)</w:t>
      </w:r>
      <w:r>
        <w:tab/>
        <w:t>is capable of projecting a red reflection of light from the lamp of any following vehicle.</w:t>
      </w:r>
    </w:p>
    <w:p w:rsidR="006724FB" w:rsidRDefault="006724FB">
      <w:pPr>
        <w:pStyle w:val="Subsection"/>
      </w:pPr>
      <w:r>
        <w:tab/>
        <w:t>(2)</w:t>
      </w:r>
      <w:r>
        <w:tab/>
        <w:t>Subregulation (1) does not apply to an animal drawn vehicle to which a reflector is affixed in accordance with regulation 396.</w:t>
      </w:r>
    </w:p>
    <w:p w:rsidR="006724FB" w:rsidRDefault="006724FB">
      <w:pPr>
        <w:pStyle w:val="Heading5"/>
        <w:rPr>
          <w:spacing w:val="-2"/>
        </w:rPr>
      </w:pPr>
      <w:bookmarkStart w:id="753" w:name="_Toc75876013"/>
      <w:r>
        <w:rPr>
          <w:rStyle w:val="CharSectno"/>
        </w:rPr>
        <w:lastRenderedPageBreak/>
        <w:t>395</w:t>
      </w:r>
      <w:r>
        <w:t>.</w:t>
      </w:r>
      <w:r>
        <w:tab/>
      </w:r>
      <w:r>
        <w:rPr>
          <w:spacing w:val="-2"/>
        </w:rPr>
        <w:t>Front clearance lamps</w:t>
      </w:r>
      <w:bookmarkEnd w:id="753"/>
    </w:p>
    <w:p w:rsidR="006724FB" w:rsidRDefault="006724FB">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rsidR="006724FB" w:rsidRDefault="006724FB">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rsidR="006724FB" w:rsidRDefault="006724FB">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rsidR="006724FB" w:rsidRDefault="006724FB">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rsidR="006724FB" w:rsidRDefault="006724FB">
      <w:pPr>
        <w:pStyle w:val="Heading5"/>
        <w:rPr>
          <w:spacing w:val="-2"/>
        </w:rPr>
      </w:pPr>
      <w:bookmarkStart w:id="754" w:name="_Toc75876014"/>
      <w:r>
        <w:rPr>
          <w:rStyle w:val="CharSectno"/>
        </w:rPr>
        <w:t>396</w:t>
      </w:r>
      <w:r>
        <w:t>.</w:t>
      </w:r>
      <w:r>
        <w:tab/>
      </w:r>
      <w:r>
        <w:rPr>
          <w:spacing w:val="-2"/>
        </w:rPr>
        <w:t>Rear clearance lamps or reflectors</w:t>
      </w:r>
      <w:bookmarkEnd w:id="754"/>
    </w:p>
    <w:p w:rsidR="006724FB" w:rsidRDefault="006724FB">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rsidR="006724FB" w:rsidRDefault="006724FB">
      <w:pPr>
        <w:pStyle w:val="Subsection"/>
      </w:pPr>
      <w:r>
        <w:tab/>
        <w:t>(2)</w:t>
      </w:r>
      <w:r>
        <w:tab/>
        <w:t xml:space="preserve">The lamp or reflector must — </w:t>
      </w:r>
    </w:p>
    <w:p w:rsidR="006724FB" w:rsidRDefault="006724FB">
      <w:pPr>
        <w:pStyle w:val="Indenta"/>
      </w:pPr>
      <w:r>
        <w:tab/>
        <w:t>(a)</w:t>
      </w:r>
      <w:r>
        <w:tab/>
        <w:t xml:space="preserve">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w:t>
      </w:r>
      <w:r>
        <w:lastRenderedPageBreak/>
        <w:t>more than 150 mm laterally from the centre of the lamp or reflector; and</w:t>
      </w:r>
    </w:p>
    <w:p w:rsidR="006724FB" w:rsidRDefault="006724FB">
      <w:pPr>
        <w:pStyle w:val="Indenta"/>
      </w:pPr>
      <w:r>
        <w:tab/>
        <w:t>(b)</w:t>
      </w:r>
      <w:r>
        <w:tab/>
        <w:t>be capable of showing a clear red light to the rear and no other light.</w:t>
      </w:r>
    </w:p>
    <w:p w:rsidR="006724FB" w:rsidRDefault="006724FB">
      <w:pPr>
        <w:pStyle w:val="Heading5"/>
        <w:rPr>
          <w:spacing w:val="-2"/>
        </w:rPr>
      </w:pPr>
      <w:bookmarkStart w:id="755" w:name="_Toc75876015"/>
      <w:r>
        <w:rPr>
          <w:rStyle w:val="CharSectno"/>
        </w:rPr>
        <w:t>397</w:t>
      </w:r>
      <w:r>
        <w:t>.</w:t>
      </w:r>
      <w:r>
        <w:tab/>
      </w:r>
      <w:r>
        <w:rPr>
          <w:spacing w:val="-2"/>
        </w:rPr>
        <w:t>Requirements in regard to reflectors</w:t>
      </w:r>
      <w:bookmarkEnd w:id="755"/>
    </w:p>
    <w:p w:rsidR="006724FB" w:rsidRDefault="006724FB">
      <w:pPr>
        <w:pStyle w:val="Subsection"/>
      </w:pPr>
      <w:r>
        <w:tab/>
      </w:r>
      <w:r>
        <w:tab/>
        <w:t>A reflector required to be fitted to an animal drawn vehicle under regulations 394 and 396 must —</w:t>
      </w:r>
    </w:p>
    <w:p w:rsidR="006724FB" w:rsidRDefault="006724FB">
      <w:pPr>
        <w:pStyle w:val="Indenta"/>
      </w:pPr>
      <w:r>
        <w:tab/>
        <w:t>(a)</w:t>
      </w:r>
      <w:r>
        <w:tab/>
        <w:t>have a diameter of not less than 32 mm and, if not circular, be of a size that a circle 32 mm in diameter might be described on its surface; and</w:t>
      </w:r>
    </w:p>
    <w:p w:rsidR="006724FB" w:rsidRDefault="006724FB">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rsidR="006724FB" w:rsidRDefault="006724FB">
      <w:pPr>
        <w:pStyle w:val="Indenta"/>
      </w:pPr>
      <w:r>
        <w:tab/>
        <w:t>(c)</w:t>
      </w:r>
      <w:r>
        <w:tab/>
        <w:t>if rectangular, be fitted in a vertical position; and</w:t>
      </w:r>
    </w:p>
    <w:p w:rsidR="006724FB" w:rsidRDefault="006724FB">
      <w:pPr>
        <w:pStyle w:val="Indenta"/>
      </w:pPr>
      <w:r>
        <w:tab/>
        <w:t>(d)</w:t>
      </w:r>
      <w:r>
        <w:tab/>
        <w:t>be unobscured and in a clean condition.</w:t>
      </w:r>
    </w:p>
    <w:p w:rsidR="006724FB" w:rsidRDefault="006724FB">
      <w:pPr>
        <w:pStyle w:val="Heading5"/>
        <w:rPr>
          <w:spacing w:val="-2"/>
        </w:rPr>
      </w:pPr>
      <w:bookmarkStart w:id="756" w:name="_Toc75876016"/>
      <w:r>
        <w:rPr>
          <w:rStyle w:val="CharSectno"/>
        </w:rPr>
        <w:t>398</w:t>
      </w:r>
      <w:r>
        <w:t>.</w:t>
      </w:r>
      <w:r>
        <w:tab/>
      </w:r>
      <w:r>
        <w:rPr>
          <w:spacing w:val="-2"/>
        </w:rPr>
        <w:t>Light on projecting load</w:t>
      </w:r>
      <w:bookmarkEnd w:id="756"/>
    </w:p>
    <w:p w:rsidR="006724FB" w:rsidRDefault="006724FB">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rsidR="006724FB" w:rsidRDefault="006724FB">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rsidR="006724FB" w:rsidRDefault="006724FB">
      <w:pPr>
        <w:pStyle w:val="Heading5"/>
        <w:rPr>
          <w:spacing w:val="-2"/>
        </w:rPr>
      </w:pPr>
      <w:bookmarkStart w:id="757" w:name="_Toc75876017"/>
      <w:r>
        <w:rPr>
          <w:rStyle w:val="CharSectno"/>
        </w:rPr>
        <w:lastRenderedPageBreak/>
        <w:t>399</w:t>
      </w:r>
      <w:r>
        <w:t>.</w:t>
      </w:r>
      <w:r>
        <w:tab/>
        <w:t>Dimension requirements for animal drawn vehicles and their loads</w:t>
      </w:r>
      <w:bookmarkEnd w:id="757"/>
    </w:p>
    <w:p w:rsidR="006724FB" w:rsidRDefault="006724FB">
      <w:pPr>
        <w:pStyle w:val="Subsection"/>
        <w:rPr>
          <w:spacing w:val="-2"/>
        </w:rPr>
      </w:pPr>
      <w:r>
        <w:rPr>
          <w:spacing w:val="-2"/>
        </w:rPr>
        <w:tab/>
        <w:t>(1)</w:t>
      </w:r>
      <w:r>
        <w:rPr>
          <w:spacing w:val="-2"/>
        </w:rPr>
        <w:tab/>
        <w:t>An animal drawn vehicle together with its load must not exceed 12 m in length, 2.5 m in width or 4 m in height.</w:t>
      </w:r>
    </w:p>
    <w:p w:rsidR="006724FB" w:rsidRDefault="006724FB">
      <w:pPr>
        <w:pStyle w:val="Subsection"/>
      </w:pPr>
      <w:r>
        <w:tab/>
        <w:t>(2)</w:t>
      </w:r>
      <w:r>
        <w:tab/>
        <w:t xml:space="preserve">No part of an animal drawn vehicle or its load must project — </w:t>
      </w:r>
    </w:p>
    <w:p w:rsidR="006724FB" w:rsidRDefault="006724FB">
      <w:pPr>
        <w:pStyle w:val="Indenta"/>
      </w:pPr>
      <w:r>
        <w:tab/>
        <w:t>(a)</w:t>
      </w:r>
      <w:r>
        <w:tab/>
        <w:t>past the head of a horse or other animal drawing the vehicle; or</w:t>
      </w:r>
    </w:p>
    <w:p w:rsidR="006724FB" w:rsidRDefault="006724FB">
      <w:pPr>
        <w:pStyle w:val="Indenta"/>
      </w:pPr>
      <w:r>
        <w:tab/>
        <w:t>(b)</w:t>
      </w:r>
      <w:r>
        <w:tab/>
        <w:t>more than 1.2 m backward of the body of a two</w:t>
      </w:r>
      <w:r>
        <w:noBreakHyphen/>
        <w:t>wheeled vehicle, or more than 1.2 m backward of the body, or the rear wheels, of a four</w:t>
      </w:r>
      <w:r>
        <w:noBreakHyphen/>
        <w:t>wheeled vehicle; or</w:t>
      </w:r>
    </w:p>
    <w:p w:rsidR="006724FB" w:rsidRDefault="006724FB">
      <w:pPr>
        <w:pStyle w:val="Indenta"/>
      </w:pPr>
      <w:r>
        <w:tab/>
        <w:t>(c)</w:t>
      </w:r>
      <w:r>
        <w:tab/>
        <w:t>more than 300 mm from the outer extremity of the wheels or body of the vehicle.</w:t>
      </w:r>
    </w:p>
    <w:p w:rsidR="006724FB" w:rsidRDefault="006724FB">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rsidR="006724FB" w:rsidRDefault="006724FB">
      <w:pPr>
        <w:pStyle w:val="Heading5"/>
        <w:rPr>
          <w:spacing w:val="-2"/>
        </w:rPr>
      </w:pPr>
      <w:bookmarkStart w:id="758" w:name="_Toc75876018"/>
      <w:r>
        <w:rPr>
          <w:rStyle w:val="CharSectno"/>
        </w:rPr>
        <w:t>400</w:t>
      </w:r>
      <w:r>
        <w:t>.</w:t>
      </w:r>
      <w:r>
        <w:tab/>
      </w:r>
      <w:r>
        <w:rPr>
          <w:spacing w:val="-2"/>
        </w:rPr>
        <w:t>Brakes</w:t>
      </w:r>
      <w:bookmarkEnd w:id="758"/>
    </w:p>
    <w:p w:rsidR="006724FB" w:rsidRDefault="006724FB">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rsidR="006724FB" w:rsidRDefault="006724FB">
      <w:pPr>
        <w:pStyle w:val="Subsection"/>
      </w:pPr>
      <w:r>
        <w:tab/>
        <w:t>(2)</w:t>
      </w:r>
      <w:r>
        <w:tab/>
        <w:t>An animal drawn vehicle exceeding one tonne in mass must not have a nave brake.</w:t>
      </w:r>
    </w:p>
    <w:p w:rsidR="006724FB" w:rsidRDefault="006724FB">
      <w:pPr>
        <w:pStyle w:val="Heading3"/>
      </w:pPr>
      <w:bookmarkStart w:id="759" w:name="_Toc75420095"/>
      <w:bookmarkStart w:id="760" w:name="_Toc75427431"/>
      <w:bookmarkStart w:id="761" w:name="_Toc75872847"/>
      <w:bookmarkStart w:id="762" w:name="_Toc75876019"/>
      <w:r>
        <w:rPr>
          <w:rStyle w:val="CharDivNo"/>
        </w:rPr>
        <w:lastRenderedPageBreak/>
        <w:t>Division 2</w:t>
      </w:r>
      <w:r>
        <w:t> — </w:t>
      </w:r>
      <w:r>
        <w:rPr>
          <w:rStyle w:val="CharDivText"/>
        </w:rPr>
        <w:t>Bicycles</w:t>
      </w:r>
      <w:bookmarkEnd w:id="759"/>
      <w:bookmarkEnd w:id="760"/>
      <w:bookmarkEnd w:id="761"/>
      <w:bookmarkEnd w:id="762"/>
    </w:p>
    <w:p w:rsidR="006724FB" w:rsidRDefault="006724FB">
      <w:pPr>
        <w:pStyle w:val="Heading5"/>
        <w:rPr>
          <w:spacing w:val="-2"/>
        </w:rPr>
      </w:pPr>
      <w:bookmarkStart w:id="763" w:name="_Toc75876020"/>
      <w:r>
        <w:rPr>
          <w:rStyle w:val="CharSectno"/>
        </w:rPr>
        <w:t>401</w:t>
      </w:r>
      <w:r>
        <w:t>.</w:t>
      </w:r>
      <w:r>
        <w:tab/>
        <w:t>Compliance with standards and requirements</w:t>
      </w:r>
      <w:bookmarkEnd w:id="763"/>
    </w:p>
    <w:p w:rsidR="006724FB" w:rsidRDefault="006724FB">
      <w:pPr>
        <w:pStyle w:val="Subsection"/>
      </w:pPr>
      <w:r>
        <w:tab/>
        <w:t>(1)</w:t>
      </w:r>
      <w:r>
        <w:tab/>
        <w:t>A person must not ride a bicycle on a road unless the bicycle complies with each regulation in this Division that applies to the bicycle.</w:t>
      </w:r>
    </w:p>
    <w:p w:rsidR="006724FB" w:rsidRDefault="006724FB">
      <w:pPr>
        <w:pStyle w:val="Penstart"/>
      </w:pPr>
      <w:r>
        <w:tab/>
        <w:t>Penalty: a fine of 4 PU.</w:t>
      </w:r>
    </w:p>
    <w:p w:rsidR="006724FB" w:rsidRDefault="006724FB">
      <w:pPr>
        <w:pStyle w:val="Penstart"/>
      </w:pPr>
      <w:r>
        <w:tab/>
        <w:t>Modified penalty: 1 PU.</w:t>
      </w:r>
    </w:p>
    <w:p w:rsidR="006724FB" w:rsidRDefault="006724FB">
      <w:pPr>
        <w:pStyle w:val="Subsection"/>
      </w:pPr>
      <w:r>
        <w:tab/>
        <w:t>(2)</w:t>
      </w:r>
      <w:r>
        <w:tab/>
        <w:t>An alleged offender against subregulation (1) who is under 14 years of age must not be dealt with by way of an infringement notice and modified penalty.</w:t>
      </w:r>
    </w:p>
    <w:p w:rsidR="006724FB" w:rsidRDefault="006724FB">
      <w:pPr>
        <w:pStyle w:val="Heading5"/>
        <w:rPr>
          <w:spacing w:val="-2"/>
        </w:rPr>
      </w:pPr>
      <w:bookmarkStart w:id="764" w:name="_Toc75876021"/>
      <w:r>
        <w:rPr>
          <w:rStyle w:val="CharSectno"/>
        </w:rPr>
        <w:t>402</w:t>
      </w:r>
      <w:r>
        <w:t>.</w:t>
      </w:r>
      <w:r>
        <w:tab/>
      </w:r>
      <w:r>
        <w:rPr>
          <w:spacing w:val="-2"/>
        </w:rPr>
        <w:t>Brakes</w:t>
      </w:r>
      <w:bookmarkEnd w:id="764"/>
    </w:p>
    <w:p w:rsidR="006724FB" w:rsidRDefault="006724FB">
      <w:pPr>
        <w:pStyle w:val="Subsection"/>
      </w:pPr>
      <w:r>
        <w:tab/>
      </w:r>
      <w:r>
        <w:tab/>
        <w:t xml:space="preserve">A bicycle must be capable of being braked by either or both of these means — </w:t>
      </w:r>
    </w:p>
    <w:p w:rsidR="006724FB" w:rsidRDefault="006724FB">
      <w:pPr>
        <w:pStyle w:val="Indenta"/>
      </w:pPr>
      <w:r>
        <w:tab/>
        <w:t>(a)</w:t>
      </w:r>
      <w:r>
        <w:tab/>
        <w:t>an effective foot brake operated by turning the pedals in the reverse direction;</w:t>
      </w:r>
    </w:p>
    <w:p w:rsidR="006724FB" w:rsidRDefault="006724FB">
      <w:pPr>
        <w:pStyle w:val="Indenta"/>
      </w:pPr>
      <w:r>
        <w:tab/>
        <w:t>(b)</w:t>
      </w:r>
      <w:r>
        <w:tab/>
        <w:t>an effective hand operated brake fitted to the rear wheel having the operating handle fixed in a position providing for convenient operation.</w:t>
      </w:r>
    </w:p>
    <w:p w:rsidR="006724FB" w:rsidRDefault="006724FB">
      <w:pPr>
        <w:pStyle w:val="Heading5"/>
        <w:rPr>
          <w:spacing w:val="-2"/>
        </w:rPr>
      </w:pPr>
      <w:bookmarkStart w:id="765" w:name="_Toc75876022"/>
      <w:r>
        <w:rPr>
          <w:rStyle w:val="CharSectno"/>
        </w:rPr>
        <w:t>403</w:t>
      </w:r>
      <w:r>
        <w:t>.</w:t>
      </w:r>
      <w:r>
        <w:tab/>
      </w:r>
      <w:r>
        <w:rPr>
          <w:spacing w:val="-2"/>
        </w:rPr>
        <w:t>Bell</w:t>
      </w:r>
      <w:bookmarkEnd w:id="765"/>
    </w:p>
    <w:p w:rsidR="006724FB" w:rsidRDefault="006724FB">
      <w:pPr>
        <w:pStyle w:val="Subsection"/>
      </w:pPr>
      <w:r>
        <w:tab/>
      </w:r>
      <w:r>
        <w:tab/>
        <w:t>A bicycle must have a bell or other effective warning device fixed in a convenient position.</w:t>
      </w:r>
    </w:p>
    <w:p w:rsidR="006724FB" w:rsidRDefault="006724FB">
      <w:pPr>
        <w:pStyle w:val="Heading5"/>
        <w:rPr>
          <w:spacing w:val="-2"/>
        </w:rPr>
      </w:pPr>
      <w:bookmarkStart w:id="766" w:name="_Toc75876023"/>
      <w:r>
        <w:rPr>
          <w:rStyle w:val="CharSectno"/>
        </w:rPr>
        <w:t>404</w:t>
      </w:r>
      <w:r>
        <w:t>.</w:t>
      </w:r>
      <w:r>
        <w:tab/>
      </w:r>
      <w:r>
        <w:rPr>
          <w:spacing w:val="-2"/>
        </w:rPr>
        <w:t>Handlebar</w:t>
      </w:r>
      <w:bookmarkEnd w:id="766"/>
    </w:p>
    <w:p w:rsidR="006724FB" w:rsidRDefault="006724FB">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rsidR="006724FB" w:rsidRDefault="006724FB">
      <w:pPr>
        <w:pStyle w:val="Heading5"/>
        <w:rPr>
          <w:spacing w:val="-2"/>
        </w:rPr>
      </w:pPr>
      <w:bookmarkStart w:id="767" w:name="_Toc75876024"/>
      <w:r>
        <w:rPr>
          <w:rStyle w:val="CharSectno"/>
        </w:rPr>
        <w:lastRenderedPageBreak/>
        <w:t>405</w:t>
      </w:r>
      <w:r>
        <w:t>.</w:t>
      </w:r>
      <w:r>
        <w:tab/>
      </w:r>
      <w:r>
        <w:rPr>
          <w:spacing w:val="-2"/>
        </w:rPr>
        <w:t>Rake and angle of front forks</w:t>
      </w:r>
      <w:bookmarkEnd w:id="767"/>
    </w:p>
    <w:p w:rsidR="006724FB" w:rsidRDefault="006724FB">
      <w:pPr>
        <w:pStyle w:val="Subsection"/>
      </w:pPr>
      <w:r>
        <w:tab/>
      </w:r>
      <w:r>
        <w:tab/>
        <w:t>The horizontal distance between the axle of the front wheel of a bicycle and a line dropped vertically from the centre of the pivot head bearing on the front tube of the frame must not exceed 250 mm.</w:t>
      </w:r>
    </w:p>
    <w:p w:rsidR="006724FB" w:rsidRDefault="006724FB">
      <w:pPr>
        <w:pStyle w:val="Heading5"/>
        <w:rPr>
          <w:spacing w:val="-2"/>
        </w:rPr>
      </w:pPr>
      <w:bookmarkStart w:id="768" w:name="_Toc75876025"/>
      <w:r>
        <w:rPr>
          <w:rStyle w:val="CharSectno"/>
        </w:rPr>
        <w:t>406</w:t>
      </w:r>
      <w:r>
        <w:t>.</w:t>
      </w:r>
      <w:r>
        <w:tab/>
        <w:t>Dimension requirements for bicycles and their loads</w:t>
      </w:r>
      <w:bookmarkEnd w:id="768"/>
    </w:p>
    <w:p w:rsidR="006724FB" w:rsidRDefault="006724FB">
      <w:pPr>
        <w:pStyle w:val="Subsection"/>
      </w:pPr>
      <w:r>
        <w:tab/>
      </w:r>
      <w:r>
        <w:tab/>
        <w:t>The overall width of any equipment or load carried on a bicycle must not exceed 660 mm.</w:t>
      </w:r>
    </w:p>
    <w:p w:rsidR="006724FB" w:rsidRDefault="006724FB">
      <w:pPr>
        <w:pStyle w:val="Heading5"/>
        <w:rPr>
          <w:spacing w:val="-2"/>
        </w:rPr>
      </w:pPr>
      <w:bookmarkStart w:id="769" w:name="_Toc75876026"/>
      <w:r>
        <w:rPr>
          <w:rStyle w:val="CharSectno"/>
        </w:rPr>
        <w:t>407</w:t>
      </w:r>
      <w:r>
        <w:t>.</w:t>
      </w:r>
      <w:r>
        <w:tab/>
      </w:r>
      <w:r>
        <w:rPr>
          <w:spacing w:val="-2"/>
        </w:rPr>
        <w:t>Child</w:t>
      </w:r>
      <w:r>
        <w:rPr>
          <w:spacing w:val="-2"/>
        </w:rPr>
        <w:noBreakHyphen/>
        <w:t>carrying seats</w:t>
      </w:r>
      <w:bookmarkEnd w:id="769"/>
    </w:p>
    <w:p w:rsidR="006724FB" w:rsidRDefault="006724FB">
      <w:pPr>
        <w:pStyle w:val="Subsection"/>
      </w:pPr>
      <w:r>
        <w:tab/>
      </w:r>
      <w:r>
        <w:tab/>
        <w:t>Any child</w:t>
      </w:r>
      <w:r>
        <w:noBreakHyphen/>
        <w:t xml:space="preserve">carrying seat on a bicycle — </w:t>
      </w:r>
    </w:p>
    <w:p w:rsidR="006724FB" w:rsidRDefault="006724FB">
      <w:pPr>
        <w:pStyle w:val="Indenta"/>
        <w:spacing w:before="40"/>
      </w:pPr>
      <w:r>
        <w:tab/>
        <w:t>(a)</w:t>
      </w:r>
      <w:r>
        <w:tab/>
        <w:t>must be securely attached to the frame of the bicycle; and</w:t>
      </w:r>
    </w:p>
    <w:p w:rsidR="006724FB" w:rsidRDefault="006724FB">
      <w:pPr>
        <w:pStyle w:val="Indenta"/>
        <w:spacing w:before="40"/>
      </w:pPr>
      <w:r>
        <w:tab/>
        <w:t>(b)</w:t>
      </w:r>
      <w:r>
        <w:tab/>
        <w:t>must be soundly constructed without sharp edges or protrusions; and</w:t>
      </w:r>
    </w:p>
    <w:p w:rsidR="006724FB" w:rsidRDefault="006724FB">
      <w:pPr>
        <w:pStyle w:val="Indenta"/>
        <w:spacing w:before="40"/>
      </w:pPr>
      <w:r>
        <w:tab/>
        <w:t>(c)</w:t>
      </w:r>
      <w:r>
        <w:tab/>
        <w:t>must not be located on the handlebars; and</w:t>
      </w:r>
    </w:p>
    <w:p w:rsidR="006724FB" w:rsidRDefault="006724FB">
      <w:pPr>
        <w:pStyle w:val="Indenta"/>
        <w:spacing w:before="40"/>
      </w:pPr>
      <w:r>
        <w:tab/>
        <w:t>(d)</w:t>
      </w:r>
      <w:r>
        <w:tab/>
        <w:t>if attached in close proximity to a wheel must be fitted with a guard to prevent any part of the occupant of the seat from contacting any moving part of the bicycle; and</w:t>
      </w:r>
    </w:p>
    <w:p w:rsidR="006724FB" w:rsidRDefault="006724FB">
      <w:pPr>
        <w:pStyle w:val="Indenta"/>
        <w:spacing w:before="40"/>
      </w:pPr>
      <w:r>
        <w:tab/>
        <w:t>(e)</w:t>
      </w:r>
      <w:r>
        <w:tab/>
        <w:t xml:space="preserve">must be fitted with — </w:t>
      </w:r>
    </w:p>
    <w:p w:rsidR="006724FB" w:rsidRDefault="006724FB">
      <w:pPr>
        <w:pStyle w:val="Indenti"/>
      </w:pPr>
      <w:r>
        <w:tab/>
        <w:t>(i)</w:t>
      </w:r>
      <w:r>
        <w:tab/>
        <w:t>a footrest or other device to steady the occupant; and</w:t>
      </w:r>
    </w:p>
    <w:p w:rsidR="006724FB" w:rsidRDefault="006724FB">
      <w:pPr>
        <w:pStyle w:val="Indenti"/>
      </w:pPr>
      <w:r>
        <w:tab/>
        <w:t>(ii)</w:t>
      </w:r>
      <w:r>
        <w:tab/>
        <w:t>a restraining device that cannot be easily or accidentally released by the occupant of the seat.</w:t>
      </w:r>
    </w:p>
    <w:p w:rsidR="006724FB" w:rsidRDefault="006724FB">
      <w:pPr>
        <w:pStyle w:val="Heading2"/>
      </w:pPr>
      <w:bookmarkStart w:id="770" w:name="_Toc75420103"/>
      <w:bookmarkStart w:id="771" w:name="_Toc75427439"/>
      <w:bookmarkStart w:id="772" w:name="_Toc75872855"/>
      <w:bookmarkStart w:id="773" w:name="_Toc75876027"/>
      <w:r>
        <w:rPr>
          <w:rStyle w:val="CharPartNo"/>
        </w:rPr>
        <w:lastRenderedPageBreak/>
        <w:t>Part 12</w:t>
      </w:r>
      <w:r>
        <w:t> — </w:t>
      </w:r>
      <w:r>
        <w:rPr>
          <w:rStyle w:val="CharPartText"/>
        </w:rPr>
        <w:t>Tow trucks and towed vehicles</w:t>
      </w:r>
      <w:bookmarkEnd w:id="770"/>
      <w:bookmarkEnd w:id="771"/>
      <w:bookmarkEnd w:id="772"/>
      <w:bookmarkEnd w:id="773"/>
    </w:p>
    <w:p w:rsidR="006724FB" w:rsidRDefault="006724FB">
      <w:pPr>
        <w:pStyle w:val="Heading3"/>
      </w:pPr>
      <w:bookmarkStart w:id="774" w:name="_Toc75420104"/>
      <w:bookmarkStart w:id="775" w:name="_Toc75427440"/>
      <w:bookmarkStart w:id="776" w:name="_Toc75872856"/>
      <w:bookmarkStart w:id="777" w:name="_Toc75876028"/>
      <w:r>
        <w:rPr>
          <w:rStyle w:val="CharDivNo"/>
        </w:rPr>
        <w:t>Division 1</w:t>
      </w:r>
      <w:r>
        <w:t> — </w:t>
      </w:r>
      <w:r>
        <w:rPr>
          <w:rStyle w:val="CharDivText"/>
        </w:rPr>
        <w:t>Standards and requirements in respect of tow trucks</w:t>
      </w:r>
      <w:bookmarkEnd w:id="774"/>
      <w:bookmarkEnd w:id="775"/>
      <w:bookmarkEnd w:id="776"/>
      <w:bookmarkEnd w:id="777"/>
    </w:p>
    <w:p w:rsidR="006724FB" w:rsidRDefault="006724FB">
      <w:pPr>
        <w:pStyle w:val="Heading5"/>
        <w:rPr>
          <w:rStyle w:val="DraftersNotes"/>
          <w:b/>
          <w:bCs/>
          <w:iCs/>
        </w:rPr>
      </w:pPr>
      <w:bookmarkStart w:id="778" w:name="_Toc75876029"/>
      <w:r>
        <w:rPr>
          <w:rStyle w:val="CharSectno"/>
        </w:rPr>
        <w:t>408</w:t>
      </w:r>
      <w:r>
        <w:t>.</w:t>
      </w:r>
      <w:r>
        <w:tab/>
        <w:t>Compliance with standards and requirements</w:t>
      </w:r>
      <w:bookmarkEnd w:id="778"/>
    </w:p>
    <w:p w:rsidR="006724FB" w:rsidRDefault="006724FB">
      <w:pPr>
        <w:pStyle w:val="Subsection"/>
        <w:spacing w:before="100"/>
      </w:pPr>
      <w:r>
        <w:tab/>
        <w:t>(1)</w:t>
      </w:r>
      <w:r>
        <w:tab/>
        <w:t>A person must not use or drive a tow truck or operate a vehicle as a tow truck unless the vehicle licence for the tow truck or vehicle allows it to be used as a tow truck.</w:t>
      </w:r>
    </w:p>
    <w:p w:rsidR="006724FB" w:rsidRDefault="006724FB">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rsidR="006724FB" w:rsidRDefault="006724FB">
      <w:pPr>
        <w:pStyle w:val="Penstart"/>
      </w:pPr>
      <w:r>
        <w:tab/>
        <w:t>Penalty applicable to subregulations (1) and (2):</w:t>
      </w:r>
    </w:p>
    <w:p w:rsidR="006724FB" w:rsidRDefault="006724FB">
      <w:pPr>
        <w:pStyle w:val="Penpara"/>
      </w:pPr>
      <w:r>
        <w:tab/>
        <w:t>(a)</w:t>
      </w:r>
      <w:r>
        <w:tab/>
        <w:t>for a first offence, a fine of 2 PU;</w:t>
      </w:r>
    </w:p>
    <w:p w:rsidR="006724FB" w:rsidRDefault="006724FB">
      <w:pPr>
        <w:pStyle w:val="Penpara"/>
      </w:pPr>
      <w:r>
        <w:tab/>
        <w:t>(b)</w:t>
      </w:r>
      <w:r>
        <w:tab/>
        <w:t>for a second or subsequent offence, a fine of 4 PU.</w:t>
      </w:r>
    </w:p>
    <w:p w:rsidR="006724FB" w:rsidRDefault="006724FB">
      <w:pPr>
        <w:pStyle w:val="Heading5"/>
        <w:rPr>
          <w:snapToGrid w:val="0"/>
        </w:rPr>
      </w:pPr>
      <w:bookmarkStart w:id="779" w:name="_Toc75876030"/>
      <w:r>
        <w:rPr>
          <w:rStyle w:val="CharSectno"/>
        </w:rPr>
        <w:t>409</w:t>
      </w:r>
      <w:r>
        <w:t>.</w:t>
      </w:r>
      <w:r>
        <w:tab/>
      </w:r>
      <w:r>
        <w:rPr>
          <w:snapToGrid w:val="0"/>
        </w:rPr>
        <w:t>General equipment</w:t>
      </w:r>
      <w:bookmarkEnd w:id="779"/>
    </w:p>
    <w:p w:rsidR="006724FB" w:rsidRDefault="006724FB">
      <w:pPr>
        <w:pStyle w:val="Subsection"/>
        <w:rPr>
          <w:snapToGrid w:val="0"/>
        </w:rPr>
      </w:pPr>
      <w:r>
        <w:rPr>
          <w:snapToGrid w:val="0"/>
        </w:rPr>
        <w:tab/>
        <w:t>(1)</w:t>
      </w:r>
      <w:r>
        <w:rPr>
          <w:snapToGrid w:val="0"/>
        </w:rPr>
        <w:tab/>
        <w:t>A tow truck must be fitted with dual wheels on the rear axle or axles on both the left and right sides of the vehicle.</w:t>
      </w:r>
    </w:p>
    <w:p w:rsidR="006724FB" w:rsidRDefault="006724FB">
      <w:pPr>
        <w:pStyle w:val="Subsection"/>
        <w:rPr>
          <w:snapToGrid w:val="0"/>
        </w:rPr>
      </w:pPr>
      <w:r>
        <w:rPr>
          <w:snapToGrid w:val="0"/>
        </w:rPr>
        <w:tab/>
        <w:t>(2)</w:t>
      </w:r>
      <w:r>
        <w:rPr>
          <w:snapToGrid w:val="0"/>
        </w:rPr>
        <w:tab/>
        <w:t>A tow truck must have its steering wheel on the right side of the vehicle.</w:t>
      </w:r>
    </w:p>
    <w:p w:rsidR="006724FB" w:rsidRDefault="006724FB">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rsidR="006724FB" w:rsidRDefault="006724FB">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rsidR="006724FB" w:rsidRDefault="006724FB">
      <w:pPr>
        <w:pStyle w:val="Subsection"/>
        <w:keepLines/>
        <w:rPr>
          <w:snapToGrid w:val="0"/>
        </w:rPr>
      </w:pPr>
      <w:r>
        <w:rPr>
          <w:snapToGrid w:val="0"/>
        </w:rPr>
        <w:lastRenderedPageBreak/>
        <w:tab/>
        <w:t>(5)</w:t>
      </w:r>
      <w:r>
        <w:rPr>
          <w:snapToGrid w:val="0"/>
        </w:rPr>
        <w:tab/>
        <w:t>A tow truck must be equipped with a fire extinguisher of a type and capacity approved by the CEO and maintained in an effective condition and installed in a position where it is readily available for use.</w:t>
      </w:r>
    </w:p>
    <w:p w:rsidR="006724FB" w:rsidRDefault="006724FB">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rsidR="006724FB" w:rsidRDefault="006724FB">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rsidR="006724FB" w:rsidRDefault="006724FB">
      <w:pPr>
        <w:pStyle w:val="Indenta"/>
        <w:rPr>
          <w:snapToGrid w:val="0"/>
        </w:rPr>
      </w:pPr>
      <w:r>
        <w:rPr>
          <w:snapToGrid w:val="0"/>
        </w:rPr>
        <w:tab/>
        <w:t>(a)</w:t>
      </w:r>
      <w:r>
        <w:rPr>
          <w:snapToGrid w:val="0"/>
        </w:rPr>
        <w:tab/>
        <w:t>the name and address of the owner of the vehicle; and</w:t>
      </w:r>
    </w:p>
    <w:p w:rsidR="006724FB" w:rsidRDefault="006724FB">
      <w:pPr>
        <w:pStyle w:val="Indenta"/>
      </w:pPr>
      <w:r>
        <w:rPr>
          <w:snapToGrid w:val="0"/>
        </w:rPr>
        <w:tab/>
        <w:t>(b)</w:t>
      </w:r>
      <w:r>
        <w:rPr>
          <w:snapToGrid w:val="0"/>
        </w:rPr>
        <w:tab/>
        <w:t xml:space="preserve">the vehicle’s </w:t>
      </w:r>
      <w:r>
        <w:t>unloaded mass and GVM; and</w:t>
      </w:r>
    </w:p>
    <w:p w:rsidR="006724FB" w:rsidRDefault="006724FB">
      <w:pPr>
        <w:pStyle w:val="Indenta"/>
        <w:rPr>
          <w:snapToGrid w:val="0"/>
        </w:rPr>
      </w:pPr>
      <w:r>
        <w:rPr>
          <w:snapToGrid w:val="0"/>
        </w:rPr>
        <w:tab/>
        <w:t>(c)</w:t>
      </w:r>
      <w:r>
        <w:rPr>
          <w:snapToGrid w:val="0"/>
        </w:rPr>
        <w:tab/>
        <w:t>the vehicle’s classification under regulation 414.</w:t>
      </w:r>
    </w:p>
    <w:p w:rsidR="006724FB" w:rsidRDefault="006724FB">
      <w:pPr>
        <w:pStyle w:val="Heading5"/>
        <w:keepNext w:val="0"/>
        <w:keepLines w:val="0"/>
        <w:widowControl w:val="0"/>
        <w:rPr>
          <w:snapToGrid w:val="0"/>
        </w:rPr>
      </w:pPr>
      <w:bookmarkStart w:id="780" w:name="_Toc75876031"/>
      <w:r>
        <w:rPr>
          <w:rStyle w:val="CharSectno"/>
        </w:rPr>
        <w:t>410</w:t>
      </w:r>
      <w:r>
        <w:t>.</w:t>
      </w:r>
      <w:r>
        <w:tab/>
      </w:r>
      <w:r>
        <w:rPr>
          <w:snapToGrid w:val="0"/>
        </w:rPr>
        <w:t>Lights and warning devices</w:t>
      </w:r>
      <w:bookmarkEnd w:id="780"/>
    </w:p>
    <w:p w:rsidR="006724FB" w:rsidRDefault="006724FB">
      <w:pPr>
        <w:pStyle w:val="Subsection"/>
        <w:rPr>
          <w:snapToGrid w:val="0"/>
        </w:rPr>
      </w:pPr>
      <w:r>
        <w:rPr>
          <w:snapToGrid w:val="0"/>
        </w:rPr>
        <w:tab/>
        <w:t>(1)</w:t>
      </w:r>
      <w:r>
        <w:rPr>
          <w:snapToGrid w:val="0"/>
        </w:rPr>
        <w:tab/>
        <w:t xml:space="preserve">A tow truck must be equipped with — </w:t>
      </w:r>
    </w:p>
    <w:p w:rsidR="006724FB" w:rsidRDefault="006724FB">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rsidR="006724FB" w:rsidRDefault="006724FB">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rsidR="006724FB" w:rsidRDefault="006724FB">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rsidR="006724FB" w:rsidRDefault="006724FB">
      <w:pPr>
        <w:pStyle w:val="Subsection"/>
        <w:keepLines/>
        <w:rPr>
          <w:snapToGrid w:val="0"/>
        </w:rPr>
      </w:pPr>
      <w:r>
        <w:rPr>
          <w:snapToGrid w:val="0"/>
        </w:rPr>
        <w:lastRenderedPageBreak/>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rsidR="006724FB" w:rsidRDefault="006724FB">
      <w:pPr>
        <w:pStyle w:val="Heading5"/>
        <w:spacing w:before="60"/>
        <w:rPr>
          <w:b w:val="0"/>
        </w:rPr>
      </w:pPr>
      <w:bookmarkStart w:id="781" w:name="_Toc75876032"/>
      <w:r>
        <w:rPr>
          <w:rStyle w:val="CharSectno"/>
        </w:rPr>
        <w:t>411</w:t>
      </w:r>
      <w:r>
        <w:t>.</w:t>
      </w:r>
      <w:r>
        <w:tab/>
        <w:t>Dimension requirements for tow trucks and their loads</w:t>
      </w:r>
      <w:bookmarkEnd w:id="781"/>
    </w:p>
    <w:p w:rsidR="006724FB" w:rsidRDefault="006724FB">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rsidR="006724FB" w:rsidRDefault="006724FB">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rsidR="006724FB" w:rsidRDefault="006724FB">
      <w:pPr>
        <w:pStyle w:val="Indenta"/>
        <w:spacing w:before="100"/>
        <w:rPr>
          <w:snapToGrid w:val="0"/>
        </w:rPr>
      </w:pPr>
      <w:r>
        <w:rPr>
          <w:snapToGrid w:val="0"/>
        </w:rPr>
        <w:tab/>
        <w:t>(b)</w:t>
      </w:r>
      <w:r>
        <w:rPr>
          <w:snapToGrid w:val="0"/>
        </w:rPr>
        <w:tab/>
        <w:t>if the towing takes place at night, the inscriptions on those signs are of reflective material.</w:t>
      </w:r>
    </w:p>
    <w:p w:rsidR="006724FB" w:rsidRDefault="006724FB">
      <w:pPr>
        <w:pStyle w:val="Heading5"/>
        <w:spacing w:before="60"/>
        <w:rPr>
          <w:b w:val="0"/>
        </w:rPr>
      </w:pPr>
      <w:bookmarkStart w:id="782" w:name="_Toc75876033"/>
      <w:r>
        <w:rPr>
          <w:rStyle w:val="CharSectno"/>
        </w:rPr>
        <w:t>412</w:t>
      </w:r>
      <w:r>
        <w:t>.</w:t>
      </w:r>
      <w:r>
        <w:tab/>
      </w:r>
      <w:r>
        <w:rPr>
          <w:snapToGrid w:val="0"/>
        </w:rPr>
        <w:t>Cranes</w:t>
      </w:r>
      <w:bookmarkEnd w:id="782"/>
    </w:p>
    <w:p w:rsidR="006724FB" w:rsidRDefault="006724FB">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rsidR="006724FB" w:rsidRDefault="006724FB">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rsidR="006724FB" w:rsidRDefault="006724FB">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rsidR="006724FB" w:rsidRDefault="006724FB">
      <w:pPr>
        <w:pStyle w:val="Subsection"/>
        <w:keepNext/>
        <w:keepLines/>
        <w:spacing w:before="200"/>
        <w:rPr>
          <w:snapToGrid w:val="0"/>
        </w:rPr>
      </w:pPr>
      <w:r>
        <w:rPr>
          <w:snapToGrid w:val="0"/>
        </w:rPr>
        <w:tab/>
        <w:t>(4)</w:t>
      </w:r>
      <w:r>
        <w:rPr>
          <w:snapToGrid w:val="0"/>
        </w:rPr>
        <w:tab/>
        <w:t xml:space="preserve">A tow truck does not comply with this regulation unless — </w:t>
      </w:r>
    </w:p>
    <w:p w:rsidR="006724FB" w:rsidRDefault="006724FB">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rsidR="006724FB" w:rsidRDefault="006724FB">
      <w:pPr>
        <w:pStyle w:val="Indenta"/>
        <w:spacing w:before="100"/>
        <w:rPr>
          <w:snapToGrid w:val="0"/>
        </w:rPr>
      </w:pPr>
      <w:r>
        <w:rPr>
          <w:snapToGrid w:val="0"/>
        </w:rPr>
        <w:tab/>
        <w:t>(b)</w:t>
      </w:r>
      <w:r>
        <w:rPr>
          <w:snapToGrid w:val="0"/>
        </w:rPr>
        <w:tab/>
        <w:t>the crane has satisfactorily passed working and stability tests.</w:t>
      </w:r>
    </w:p>
    <w:p w:rsidR="006724FB" w:rsidRDefault="006724FB">
      <w:pPr>
        <w:pStyle w:val="Heading5"/>
        <w:rPr>
          <w:b w:val="0"/>
        </w:rPr>
      </w:pPr>
      <w:bookmarkStart w:id="783" w:name="_Toc75876034"/>
      <w:r>
        <w:rPr>
          <w:rStyle w:val="CharSectno"/>
        </w:rPr>
        <w:lastRenderedPageBreak/>
        <w:t>413</w:t>
      </w:r>
      <w:r>
        <w:t>.</w:t>
      </w:r>
      <w:r>
        <w:tab/>
      </w:r>
      <w:r>
        <w:rPr>
          <w:snapToGrid w:val="0"/>
        </w:rPr>
        <w:t>Crane operators</w:t>
      </w:r>
      <w:bookmarkEnd w:id="783"/>
    </w:p>
    <w:p w:rsidR="006724FB" w:rsidRDefault="006724FB">
      <w:pPr>
        <w:pStyle w:val="Subsection"/>
        <w:rPr>
          <w:snapToGrid w:val="0"/>
        </w:rPr>
      </w:pPr>
      <w:r>
        <w:rPr>
          <w:snapToGrid w:val="0"/>
        </w:rPr>
        <w:tab/>
      </w:r>
      <w:r>
        <w:rPr>
          <w:snapToGrid w:val="0"/>
        </w:rPr>
        <w:tab/>
        <w:t xml:space="preserve">A person must not operate a power operated crane on a tow truck if — </w:t>
      </w:r>
    </w:p>
    <w:p w:rsidR="006724FB" w:rsidRDefault="006724FB">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rsidR="006724FB" w:rsidRDefault="006724FB">
      <w:pPr>
        <w:pStyle w:val="Indenta"/>
        <w:rPr>
          <w:snapToGrid w:val="0"/>
        </w:rPr>
      </w:pPr>
      <w:r>
        <w:rPr>
          <w:snapToGrid w:val="0"/>
        </w:rPr>
        <w:tab/>
        <w:t>(b)</w:t>
      </w:r>
      <w:r>
        <w:rPr>
          <w:snapToGrid w:val="0"/>
        </w:rPr>
        <w:tab/>
        <w:t>the person does not hold the relevant licence.</w:t>
      </w:r>
    </w:p>
    <w:p w:rsidR="006724FB" w:rsidRDefault="006724FB">
      <w:pPr>
        <w:pStyle w:val="Penstart"/>
      </w:pPr>
      <w:r>
        <w:tab/>
        <w:t xml:space="preserve">Penalty: </w:t>
      </w:r>
    </w:p>
    <w:p w:rsidR="006724FB" w:rsidRDefault="006724FB">
      <w:pPr>
        <w:pStyle w:val="Penpara"/>
      </w:pPr>
      <w:r>
        <w:tab/>
        <w:t>(a)</w:t>
      </w:r>
      <w:r>
        <w:tab/>
        <w:t>for a first offence, a fine of 2 PU;</w:t>
      </w:r>
    </w:p>
    <w:p w:rsidR="006724FB" w:rsidRDefault="006724FB">
      <w:pPr>
        <w:pStyle w:val="Penpara"/>
      </w:pPr>
      <w:r>
        <w:tab/>
        <w:t>(b)</w:t>
      </w:r>
      <w:r>
        <w:tab/>
        <w:t>for a second or subsequent offence, a fine of 4 PU.</w:t>
      </w:r>
    </w:p>
    <w:p w:rsidR="006724FB" w:rsidRDefault="006724FB">
      <w:pPr>
        <w:pStyle w:val="Heading5"/>
        <w:rPr>
          <w:b w:val="0"/>
        </w:rPr>
      </w:pPr>
      <w:bookmarkStart w:id="784" w:name="_Toc75876035"/>
      <w:r>
        <w:rPr>
          <w:rStyle w:val="CharSectno"/>
        </w:rPr>
        <w:t>414</w:t>
      </w:r>
      <w:r>
        <w:t>.</w:t>
      </w:r>
      <w:r>
        <w:tab/>
      </w:r>
      <w:r>
        <w:rPr>
          <w:snapToGrid w:val="0"/>
        </w:rPr>
        <w:t>Classification and limitation</w:t>
      </w:r>
      <w:bookmarkEnd w:id="784"/>
    </w:p>
    <w:p w:rsidR="006724FB" w:rsidRDefault="006724FB">
      <w:pPr>
        <w:pStyle w:val="Subsection"/>
      </w:pPr>
      <w:r>
        <w:tab/>
        <w:t>(1)</w:t>
      </w:r>
      <w:r>
        <w:tab/>
        <w:t xml:space="preserve">In this regulation — </w:t>
      </w:r>
    </w:p>
    <w:p w:rsidR="006724FB" w:rsidRDefault="006724FB">
      <w:pPr>
        <w:pStyle w:val="Defstart"/>
      </w:pPr>
      <w:r>
        <w:tab/>
      </w:r>
      <w:r>
        <w:rPr>
          <w:rStyle w:val="CharDefText"/>
        </w:rPr>
        <w:t>load capacity</w:t>
      </w:r>
      <w:r>
        <w:t>, in relation to a vehicle, means the difference between its GVM and its unloaded mass.</w:t>
      </w:r>
    </w:p>
    <w:p w:rsidR="006724FB" w:rsidRDefault="006724FB">
      <w:pPr>
        <w:pStyle w:val="Subsection"/>
        <w:rPr>
          <w:snapToGrid w:val="0"/>
        </w:rPr>
      </w:pPr>
      <w:r>
        <w:rPr>
          <w:snapToGrid w:val="0"/>
        </w:rPr>
        <w:tab/>
        <w:t>(2)</w:t>
      </w:r>
      <w:r>
        <w:rPr>
          <w:snapToGrid w:val="0"/>
        </w:rPr>
        <w:tab/>
        <w:t xml:space="preserve">Tow trucks are to be classified in accordance with these specifications — </w:t>
      </w:r>
    </w:p>
    <w:p w:rsidR="006724FB" w:rsidRDefault="006724FB">
      <w:pPr>
        <w:pStyle w:val="MiscellaneousBody"/>
        <w:tabs>
          <w:tab w:val="left" w:pos="910"/>
        </w:tabs>
        <w:ind w:left="924" w:hanging="924"/>
      </w:pPr>
      <w:r>
        <w:tab/>
        <w:t xml:space="preserve">Class 1 — </w:t>
      </w:r>
    </w:p>
    <w:p w:rsidR="006724FB" w:rsidRDefault="006724FB">
      <w:pPr>
        <w:pStyle w:val="MiscellaneousBody"/>
        <w:tabs>
          <w:tab w:val="left" w:pos="1316"/>
        </w:tabs>
        <w:ind w:left="1330" w:hanging="1330"/>
      </w:pPr>
      <w:r>
        <w:tab/>
        <w:t>Tow trucks having a load capacity of not less than 1 270 kg and fitted with a crane having a safe working load of not less than 1 045 kg.</w:t>
      </w:r>
    </w:p>
    <w:p w:rsidR="006724FB" w:rsidRDefault="006724FB">
      <w:pPr>
        <w:pStyle w:val="MiscellaneousBody"/>
        <w:tabs>
          <w:tab w:val="left" w:pos="910"/>
        </w:tabs>
        <w:ind w:left="924" w:hanging="924"/>
      </w:pPr>
      <w:r>
        <w:tab/>
        <w:t xml:space="preserve">Class 2 — </w:t>
      </w:r>
    </w:p>
    <w:p w:rsidR="006724FB" w:rsidRDefault="006724FB">
      <w:pPr>
        <w:pStyle w:val="MiscellaneousBody"/>
        <w:tabs>
          <w:tab w:val="left" w:pos="1316"/>
        </w:tabs>
        <w:ind w:left="1330" w:hanging="1330"/>
      </w:pPr>
      <w:r>
        <w:tab/>
        <w:t>Tow trucks having a load capacity of not less than 3 040 kg and fitted with a crane having a safe working load of not less than 2 540 kg.</w:t>
      </w:r>
    </w:p>
    <w:p w:rsidR="006724FB" w:rsidRDefault="006724FB">
      <w:pPr>
        <w:pStyle w:val="MiscellaneousBody"/>
        <w:tabs>
          <w:tab w:val="left" w:pos="910"/>
        </w:tabs>
        <w:ind w:left="924" w:hanging="924"/>
      </w:pPr>
      <w:r>
        <w:tab/>
        <w:t xml:space="preserve">Class 3 — </w:t>
      </w:r>
    </w:p>
    <w:p w:rsidR="006724FB" w:rsidRDefault="006724FB">
      <w:pPr>
        <w:pStyle w:val="MiscellaneousBody"/>
        <w:tabs>
          <w:tab w:val="left" w:pos="1316"/>
        </w:tabs>
        <w:ind w:left="1330" w:hanging="1330"/>
      </w:pPr>
      <w:r>
        <w:tab/>
        <w:t>Tow trucks having a load capacity of not less than 6 125 kg and fitted with a crane having a safe working load of not less than 5 080 kg.</w:t>
      </w:r>
    </w:p>
    <w:p w:rsidR="006724FB" w:rsidRDefault="006724FB">
      <w:pPr>
        <w:pStyle w:val="Subsection"/>
        <w:spacing w:after="120"/>
        <w:rPr>
          <w:snapToGrid w:val="0"/>
        </w:rPr>
      </w:pPr>
      <w:r>
        <w:rPr>
          <w:snapToGrid w:val="0"/>
        </w:rPr>
        <w:lastRenderedPageBreak/>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rsidR="006724FB">
        <w:trPr>
          <w:tblHeader/>
        </w:trPr>
        <w:tc>
          <w:tcPr>
            <w:tcW w:w="3033" w:type="dxa"/>
            <w:tcBorders>
              <w:top w:val="single" w:sz="4" w:space="0" w:color="auto"/>
              <w:bottom w:val="single" w:sz="4" w:space="0" w:color="auto"/>
            </w:tcBorders>
          </w:tcPr>
          <w:p w:rsidR="006724FB" w:rsidRDefault="006724FB">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rsidR="006724FB" w:rsidRDefault="006724FB">
            <w:pPr>
              <w:pStyle w:val="TableNAm"/>
              <w:jc w:val="center"/>
              <w:rPr>
                <w:b/>
                <w:snapToGrid w:val="0"/>
              </w:rPr>
            </w:pPr>
            <w:r>
              <w:rPr>
                <w:b/>
              </w:rPr>
              <w:t>GVM</w:t>
            </w:r>
            <w:r>
              <w:rPr>
                <w:b/>
                <w:snapToGrid w:val="0"/>
              </w:rPr>
              <w:t xml:space="preserve"> of vehicle</w:t>
            </w:r>
          </w:p>
        </w:tc>
      </w:tr>
      <w:tr w:rsidR="006724FB">
        <w:tc>
          <w:tcPr>
            <w:tcW w:w="3033" w:type="dxa"/>
            <w:tcBorders>
              <w:top w:val="single" w:sz="4" w:space="0" w:color="auto"/>
            </w:tcBorders>
          </w:tcPr>
          <w:p w:rsidR="006724FB" w:rsidRDefault="006724FB">
            <w:pPr>
              <w:pStyle w:val="TableNAm"/>
              <w:jc w:val="center"/>
            </w:pPr>
            <w:r>
              <w:t>1</w:t>
            </w:r>
          </w:p>
        </w:tc>
        <w:tc>
          <w:tcPr>
            <w:tcW w:w="3034" w:type="dxa"/>
            <w:tcBorders>
              <w:top w:val="single" w:sz="4" w:space="0" w:color="auto"/>
            </w:tcBorders>
          </w:tcPr>
          <w:p w:rsidR="006724FB" w:rsidRDefault="006724FB">
            <w:pPr>
              <w:pStyle w:val="TableNAm"/>
              <w:jc w:val="center"/>
            </w:pPr>
            <w:r>
              <w:t>2 030 kg</w:t>
            </w:r>
          </w:p>
        </w:tc>
      </w:tr>
      <w:tr w:rsidR="006724FB">
        <w:tc>
          <w:tcPr>
            <w:tcW w:w="3033" w:type="dxa"/>
            <w:tcBorders>
              <w:bottom w:val="single" w:sz="4" w:space="0" w:color="auto"/>
            </w:tcBorders>
          </w:tcPr>
          <w:p w:rsidR="006724FB" w:rsidRDefault="006724FB">
            <w:pPr>
              <w:pStyle w:val="TableNAm"/>
              <w:jc w:val="center"/>
            </w:pPr>
            <w:r>
              <w:t>2</w:t>
            </w:r>
          </w:p>
        </w:tc>
        <w:tc>
          <w:tcPr>
            <w:tcW w:w="3034" w:type="dxa"/>
            <w:tcBorders>
              <w:bottom w:val="single" w:sz="4" w:space="0" w:color="auto"/>
            </w:tcBorders>
          </w:tcPr>
          <w:p w:rsidR="006724FB" w:rsidRDefault="006724FB">
            <w:pPr>
              <w:pStyle w:val="TableNAm"/>
              <w:jc w:val="center"/>
            </w:pPr>
            <w:r>
              <w:t>5 080 kg</w:t>
            </w:r>
          </w:p>
        </w:tc>
      </w:tr>
    </w:tbl>
    <w:p w:rsidR="006724FB" w:rsidRDefault="006724FB">
      <w:pPr>
        <w:pStyle w:val="Heading5"/>
        <w:rPr>
          <w:b w:val="0"/>
        </w:rPr>
      </w:pPr>
      <w:bookmarkStart w:id="785" w:name="_Toc75876036"/>
      <w:r>
        <w:rPr>
          <w:rStyle w:val="CharSectno"/>
        </w:rPr>
        <w:t>415</w:t>
      </w:r>
      <w:r>
        <w:t>.</w:t>
      </w:r>
      <w:r>
        <w:tab/>
      </w:r>
      <w:r>
        <w:rPr>
          <w:snapToGrid w:val="0"/>
        </w:rPr>
        <w:t>Lifting requirements</w:t>
      </w:r>
      <w:bookmarkEnd w:id="785"/>
    </w:p>
    <w:p w:rsidR="006724FB" w:rsidRDefault="006724FB">
      <w:pPr>
        <w:pStyle w:val="Subsection"/>
        <w:rPr>
          <w:snapToGrid w:val="0"/>
        </w:rPr>
      </w:pPr>
      <w:r>
        <w:rPr>
          <w:snapToGrid w:val="0"/>
        </w:rPr>
        <w:tab/>
        <w:t>(1)</w:t>
      </w:r>
      <w:r>
        <w:rPr>
          <w:snapToGrid w:val="0"/>
        </w:rPr>
        <w:tab/>
        <w:t>The GVM of any vehicle being lifted must not be more than the GVM of the tow truck.</w:t>
      </w:r>
    </w:p>
    <w:p w:rsidR="006724FB" w:rsidRDefault="006724FB">
      <w:pPr>
        <w:pStyle w:val="Subsection"/>
        <w:rPr>
          <w:snapToGrid w:val="0"/>
        </w:rPr>
      </w:pPr>
      <w:r>
        <w:rPr>
          <w:snapToGrid w:val="0"/>
        </w:rPr>
        <w:tab/>
        <w:t>(2)</w:t>
      </w:r>
      <w:r>
        <w:rPr>
          <w:snapToGrid w:val="0"/>
        </w:rPr>
        <w:tab/>
        <w:t>The mass supported by the crane of a tow truck must not be more than the safe working load of that crane.</w:t>
      </w:r>
    </w:p>
    <w:p w:rsidR="006724FB" w:rsidRDefault="006724FB">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rsidR="006724FB" w:rsidRDefault="006724FB">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rsidR="006724FB" w:rsidRDefault="006724FB">
      <w:pPr>
        <w:pStyle w:val="Subsection"/>
        <w:rPr>
          <w:snapToGrid w:val="0"/>
        </w:rPr>
      </w:pPr>
      <w:r>
        <w:rPr>
          <w:snapToGrid w:val="0"/>
        </w:rPr>
        <w:tab/>
        <w:t>(5)</w:t>
      </w:r>
      <w:r>
        <w:rPr>
          <w:snapToGrid w:val="0"/>
        </w:rPr>
        <w:tab/>
        <w:t>A towed vehicle must not be supported by the hoist rope or chain of a crane whilst the tow truck is in motion.</w:t>
      </w:r>
    </w:p>
    <w:p w:rsidR="006724FB" w:rsidRDefault="006724FB">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rsidR="006724FB" w:rsidRDefault="006724FB">
      <w:pPr>
        <w:pStyle w:val="Heading5"/>
        <w:rPr>
          <w:b w:val="0"/>
        </w:rPr>
      </w:pPr>
      <w:bookmarkStart w:id="786" w:name="_Toc75876037"/>
      <w:r>
        <w:rPr>
          <w:rStyle w:val="CharSectno"/>
        </w:rPr>
        <w:lastRenderedPageBreak/>
        <w:t>416</w:t>
      </w:r>
      <w:r>
        <w:t>.</w:t>
      </w:r>
      <w:r>
        <w:tab/>
      </w:r>
      <w:r>
        <w:rPr>
          <w:snapToGrid w:val="0"/>
        </w:rPr>
        <w:t>Tow truck brakes</w:t>
      </w:r>
      <w:bookmarkEnd w:id="786"/>
    </w:p>
    <w:p w:rsidR="006724FB" w:rsidRDefault="006724FB">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rsidR="006724FB" w:rsidRDefault="006724FB">
      <w:pPr>
        <w:pStyle w:val="Heading5"/>
        <w:rPr>
          <w:b w:val="0"/>
        </w:rPr>
      </w:pPr>
      <w:bookmarkStart w:id="787" w:name="_Toc75876038"/>
      <w:r>
        <w:rPr>
          <w:rStyle w:val="CharSectno"/>
        </w:rPr>
        <w:t>417</w:t>
      </w:r>
      <w:r>
        <w:t>.</w:t>
      </w:r>
      <w:r>
        <w:tab/>
        <w:t>B</w:t>
      </w:r>
      <w:r>
        <w:rPr>
          <w:snapToGrid w:val="0"/>
        </w:rPr>
        <w:t>rakes of towed vehicle</w:t>
      </w:r>
      <w:bookmarkEnd w:id="787"/>
    </w:p>
    <w:p w:rsidR="006724FB" w:rsidRDefault="006724FB">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rsidR="006724FB" w:rsidRDefault="006724FB">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rsidR="006724FB" w:rsidRDefault="006724FB">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rsidR="006724FB" w:rsidRDefault="006724FB">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rsidR="006724FB" w:rsidRDefault="006724FB">
      <w:pPr>
        <w:pStyle w:val="Penstart"/>
      </w:pPr>
      <w:r>
        <w:tab/>
        <w:t>Penalty for an offence under this subregulation:</w:t>
      </w:r>
    </w:p>
    <w:p w:rsidR="006724FB" w:rsidRDefault="006724FB">
      <w:pPr>
        <w:pStyle w:val="Penpara"/>
      </w:pPr>
      <w:r>
        <w:tab/>
        <w:t>(a)</w:t>
      </w:r>
      <w:r>
        <w:tab/>
        <w:t>for a first offence, a fine of 2 PU;</w:t>
      </w:r>
    </w:p>
    <w:p w:rsidR="006724FB" w:rsidRDefault="006724FB">
      <w:pPr>
        <w:pStyle w:val="Penpara"/>
      </w:pPr>
      <w:r>
        <w:tab/>
        <w:t>(b)</w:t>
      </w:r>
      <w:r>
        <w:tab/>
        <w:t>for a second or subsequent offence, a fine of 4 PU.</w:t>
      </w:r>
    </w:p>
    <w:p w:rsidR="006724FB" w:rsidRDefault="006724FB">
      <w:pPr>
        <w:pStyle w:val="Heading3"/>
      </w:pPr>
      <w:bookmarkStart w:id="788" w:name="_Toc75420115"/>
      <w:bookmarkStart w:id="789" w:name="_Toc75427451"/>
      <w:bookmarkStart w:id="790" w:name="_Toc75872867"/>
      <w:bookmarkStart w:id="791" w:name="_Toc75876039"/>
      <w:r>
        <w:rPr>
          <w:rStyle w:val="CharDivNo"/>
        </w:rPr>
        <w:t>Division 2</w:t>
      </w:r>
      <w:r>
        <w:t> — </w:t>
      </w:r>
      <w:r>
        <w:rPr>
          <w:rStyle w:val="CharDivText"/>
        </w:rPr>
        <w:t>Authority to tow</w:t>
      </w:r>
      <w:bookmarkEnd w:id="788"/>
      <w:bookmarkEnd w:id="789"/>
      <w:bookmarkEnd w:id="790"/>
      <w:bookmarkEnd w:id="791"/>
    </w:p>
    <w:p w:rsidR="006724FB" w:rsidRDefault="006724FB">
      <w:pPr>
        <w:pStyle w:val="Heading5"/>
        <w:rPr>
          <w:b w:val="0"/>
        </w:rPr>
      </w:pPr>
      <w:bookmarkStart w:id="792" w:name="_Toc75876040"/>
      <w:r>
        <w:rPr>
          <w:rStyle w:val="CharSectno"/>
        </w:rPr>
        <w:t>418</w:t>
      </w:r>
      <w:r>
        <w:t>.</w:t>
      </w:r>
      <w:r>
        <w:tab/>
        <w:t>T</w:t>
      </w:r>
      <w:r>
        <w:rPr>
          <w:snapToGrid w:val="0"/>
        </w:rPr>
        <w:t>owing articulated vehicles</w:t>
      </w:r>
      <w:bookmarkEnd w:id="792"/>
    </w:p>
    <w:p w:rsidR="006724FB" w:rsidRDefault="006724FB">
      <w:pPr>
        <w:pStyle w:val="Subsection"/>
      </w:pPr>
      <w:r>
        <w:tab/>
        <w:t>(1)</w:t>
      </w:r>
      <w:r>
        <w:tab/>
        <w:t xml:space="preserve">In this regulation — </w:t>
      </w:r>
    </w:p>
    <w:p w:rsidR="006724FB" w:rsidRDefault="006724FB">
      <w:pPr>
        <w:pStyle w:val="Defstart"/>
      </w:pPr>
      <w:r>
        <w:rPr>
          <w:b/>
        </w:rPr>
        <w:tab/>
      </w:r>
      <w:r>
        <w:rPr>
          <w:rStyle w:val="CharDefText"/>
        </w:rPr>
        <w:t>articulated vehicle</w:t>
      </w:r>
      <w:r>
        <w:t xml:space="preserve"> has the meaning given in the </w:t>
      </w:r>
      <w:r>
        <w:rPr>
          <w:i/>
        </w:rPr>
        <w:t xml:space="preserve">Road Traffic Code 2000 </w:t>
      </w:r>
      <w:r>
        <w:t>regulation 3(1).</w:t>
      </w:r>
    </w:p>
    <w:p w:rsidR="006724FB" w:rsidRDefault="006724FB">
      <w:pPr>
        <w:pStyle w:val="Subsection"/>
        <w:rPr>
          <w:rStyle w:val="DraftersNotes"/>
        </w:rPr>
      </w:pPr>
      <w:r>
        <w:lastRenderedPageBreak/>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rsidR="006724FB" w:rsidRDefault="006724FB">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rsidR="006724FB" w:rsidRDefault="006724FB">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rsidR="006724FB" w:rsidRDefault="006724FB">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rsidR="006724FB" w:rsidRDefault="006724FB">
      <w:pPr>
        <w:pStyle w:val="Indenti"/>
        <w:rPr>
          <w:snapToGrid w:val="0"/>
        </w:rPr>
      </w:pPr>
      <w:r>
        <w:rPr>
          <w:snapToGrid w:val="0"/>
        </w:rPr>
        <w:tab/>
        <w:t>(i)</w:t>
      </w:r>
      <w:r>
        <w:rPr>
          <w:snapToGrid w:val="0"/>
        </w:rPr>
        <w:tab/>
        <w:t>the tow truck’s number plate details;</w:t>
      </w:r>
    </w:p>
    <w:p w:rsidR="006724FB" w:rsidRDefault="006724FB">
      <w:pPr>
        <w:pStyle w:val="Indenti"/>
        <w:rPr>
          <w:snapToGrid w:val="0"/>
        </w:rPr>
      </w:pPr>
      <w:r>
        <w:rPr>
          <w:snapToGrid w:val="0"/>
        </w:rPr>
        <w:tab/>
        <w:t>(ii)</w:t>
      </w:r>
      <w:r>
        <w:rPr>
          <w:snapToGrid w:val="0"/>
        </w:rPr>
        <w:tab/>
        <w:t>the identifying particulars of the articulated vehicle to be towed;</w:t>
      </w:r>
    </w:p>
    <w:p w:rsidR="006724FB" w:rsidRDefault="006724FB">
      <w:pPr>
        <w:pStyle w:val="Indenti"/>
        <w:rPr>
          <w:snapToGrid w:val="0"/>
        </w:rPr>
      </w:pPr>
      <w:r>
        <w:rPr>
          <w:snapToGrid w:val="0"/>
        </w:rPr>
        <w:tab/>
        <w:t>(iii)</w:t>
      </w:r>
      <w:r>
        <w:rPr>
          <w:snapToGrid w:val="0"/>
        </w:rPr>
        <w:tab/>
        <w:t>the place from where the articulated vehicle is to be moved;</w:t>
      </w:r>
    </w:p>
    <w:p w:rsidR="006724FB" w:rsidRDefault="006724FB">
      <w:pPr>
        <w:pStyle w:val="Indenti"/>
        <w:rPr>
          <w:snapToGrid w:val="0"/>
        </w:rPr>
      </w:pPr>
      <w:r>
        <w:rPr>
          <w:snapToGrid w:val="0"/>
        </w:rPr>
        <w:tab/>
        <w:t>(iv)</w:t>
      </w:r>
      <w:r>
        <w:rPr>
          <w:snapToGrid w:val="0"/>
        </w:rPr>
        <w:tab/>
        <w:t>the place to where the articulated vehicle is to be moved;</w:t>
      </w:r>
    </w:p>
    <w:p w:rsidR="006724FB" w:rsidRDefault="006724FB">
      <w:pPr>
        <w:pStyle w:val="Indenti"/>
        <w:rPr>
          <w:snapToGrid w:val="0"/>
        </w:rPr>
      </w:pPr>
      <w:r>
        <w:rPr>
          <w:snapToGrid w:val="0"/>
        </w:rPr>
        <w:tab/>
        <w:t>(v)</w:t>
      </w:r>
      <w:r>
        <w:rPr>
          <w:snapToGrid w:val="0"/>
        </w:rPr>
        <w:tab/>
        <w:t>the date, time, and period during which, towing is authorised;</w:t>
      </w:r>
    </w:p>
    <w:p w:rsidR="006724FB" w:rsidRDefault="006724FB">
      <w:pPr>
        <w:pStyle w:val="Indenti"/>
        <w:rPr>
          <w:snapToGrid w:val="0"/>
        </w:rPr>
      </w:pPr>
      <w:r>
        <w:rPr>
          <w:snapToGrid w:val="0"/>
        </w:rPr>
        <w:tab/>
        <w:t>(vi)</w:t>
      </w:r>
      <w:r>
        <w:rPr>
          <w:snapToGrid w:val="0"/>
        </w:rPr>
        <w:tab/>
        <w:t>the conditions to be observed whilst towing.</w:t>
      </w:r>
    </w:p>
    <w:p w:rsidR="006724FB" w:rsidRDefault="006724FB">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rsidR="006724FB" w:rsidRDefault="006724FB">
      <w:pPr>
        <w:pStyle w:val="Penstart"/>
      </w:pPr>
      <w:r>
        <w:tab/>
        <w:t>Penalty:</w:t>
      </w:r>
    </w:p>
    <w:p w:rsidR="006724FB" w:rsidRDefault="006724FB">
      <w:pPr>
        <w:pStyle w:val="Penpara"/>
      </w:pPr>
      <w:r>
        <w:tab/>
        <w:t>(a)</w:t>
      </w:r>
      <w:r>
        <w:tab/>
        <w:t>for a first offence, a fine of 2 PU;</w:t>
      </w:r>
    </w:p>
    <w:p w:rsidR="006724FB" w:rsidRDefault="006724FB">
      <w:pPr>
        <w:pStyle w:val="Penpara"/>
      </w:pPr>
      <w:r>
        <w:tab/>
        <w:t>(b)</w:t>
      </w:r>
      <w:r>
        <w:tab/>
        <w:t>for a second or subsequent offence, a fine of 4 PU.</w:t>
      </w:r>
    </w:p>
    <w:p w:rsidR="006724FB" w:rsidRDefault="006724FB">
      <w:pPr>
        <w:pStyle w:val="Subsection"/>
        <w:rPr>
          <w:snapToGrid w:val="0"/>
        </w:rPr>
      </w:pPr>
      <w:r>
        <w:rPr>
          <w:snapToGrid w:val="0"/>
        </w:rPr>
        <w:lastRenderedPageBreak/>
        <w:tab/>
        <w:t>(5)</w:t>
      </w:r>
      <w:r>
        <w:rPr>
          <w:snapToGrid w:val="0"/>
        </w:rPr>
        <w:tab/>
        <w:t>Each driver of a tow truck that is the subject of a written authorisation under subregulation (3)(b) must ensure that the authorisation is kept in the tow truck.</w:t>
      </w:r>
    </w:p>
    <w:p w:rsidR="006724FB" w:rsidRDefault="006724FB">
      <w:pPr>
        <w:pStyle w:val="Penstart"/>
      </w:pPr>
      <w:r>
        <w:tab/>
        <w:t>Penalty:</w:t>
      </w:r>
    </w:p>
    <w:p w:rsidR="006724FB" w:rsidRDefault="006724FB">
      <w:pPr>
        <w:pStyle w:val="Penpara"/>
      </w:pPr>
      <w:r>
        <w:tab/>
        <w:t>(a)</w:t>
      </w:r>
      <w:r>
        <w:tab/>
        <w:t>for a first offence, a fine of 2 PU;</w:t>
      </w:r>
    </w:p>
    <w:p w:rsidR="006724FB" w:rsidRDefault="006724FB">
      <w:pPr>
        <w:pStyle w:val="Penpara"/>
      </w:pPr>
      <w:r>
        <w:tab/>
        <w:t>(b)</w:t>
      </w:r>
      <w:r>
        <w:tab/>
        <w:t>for a second or subsequent offence, a fine of 4 PU.</w:t>
      </w:r>
    </w:p>
    <w:p w:rsidR="006724FB" w:rsidRDefault="006724FB">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rsidR="006724FB" w:rsidRDefault="006724FB">
      <w:pPr>
        <w:pStyle w:val="Penstart"/>
      </w:pPr>
      <w:r>
        <w:tab/>
        <w:t>Penalty for an offence under this subregulation:</w:t>
      </w:r>
    </w:p>
    <w:p w:rsidR="006724FB" w:rsidRDefault="006724FB">
      <w:pPr>
        <w:pStyle w:val="Penpara"/>
      </w:pPr>
      <w:r>
        <w:tab/>
        <w:t>(a)</w:t>
      </w:r>
      <w:r>
        <w:tab/>
        <w:t>for a first offence, a fine of 2 PU;</w:t>
      </w:r>
    </w:p>
    <w:p w:rsidR="006724FB" w:rsidRDefault="006724FB">
      <w:pPr>
        <w:pStyle w:val="Penpara"/>
      </w:pPr>
      <w:r>
        <w:tab/>
        <w:t>(b)</w:t>
      </w:r>
      <w:r>
        <w:tab/>
        <w:t>for a second or subsequent offence, a fine of 4 PU.</w:t>
      </w:r>
    </w:p>
    <w:p w:rsidR="006724FB" w:rsidRDefault="006724FB">
      <w:pPr>
        <w:pStyle w:val="Heading5"/>
        <w:rPr>
          <w:b w:val="0"/>
        </w:rPr>
      </w:pPr>
      <w:bookmarkStart w:id="793" w:name="_Toc75876041"/>
      <w:r>
        <w:rPr>
          <w:rStyle w:val="CharSectno"/>
        </w:rPr>
        <w:t>419</w:t>
      </w:r>
      <w:r>
        <w:t>.</w:t>
      </w:r>
      <w:r>
        <w:tab/>
        <w:t>Tow truck driver’s statement</w:t>
      </w:r>
      <w:bookmarkEnd w:id="793"/>
    </w:p>
    <w:p w:rsidR="006724FB" w:rsidRDefault="006724FB">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rsidR="006724FB" w:rsidRDefault="006724FB">
      <w:pPr>
        <w:pStyle w:val="Indenta"/>
        <w:rPr>
          <w:snapToGrid w:val="0"/>
        </w:rPr>
      </w:pPr>
      <w:r>
        <w:rPr>
          <w:snapToGrid w:val="0"/>
        </w:rPr>
        <w:tab/>
        <w:t>(a)</w:t>
      </w:r>
      <w:r>
        <w:rPr>
          <w:snapToGrid w:val="0"/>
        </w:rPr>
        <w:tab/>
        <w:t>the name and address of the person licensed to operate the tow truck;</w:t>
      </w:r>
    </w:p>
    <w:p w:rsidR="006724FB" w:rsidRDefault="006724FB">
      <w:pPr>
        <w:pStyle w:val="Indenta"/>
        <w:rPr>
          <w:snapToGrid w:val="0"/>
        </w:rPr>
      </w:pPr>
      <w:r>
        <w:rPr>
          <w:snapToGrid w:val="0"/>
        </w:rPr>
        <w:tab/>
        <w:t>(b)</w:t>
      </w:r>
      <w:r>
        <w:rPr>
          <w:snapToGrid w:val="0"/>
        </w:rPr>
        <w:tab/>
        <w:t>the name and address of the tow truck’s driver;</w:t>
      </w:r>
    </w:p>
    <w:p w:rsidR="006724FB" w:rsidRDefault="006724FB">
      <w:pPr>
        <w:pStyle w:val="Indenta"/>
        <w:rPr>
          <w:snapToGrid w:val="0"/>
        </w:rPr>
      </w:pPr>
      <w:r>
        <w:rPr>
          <w:snapToGrid w:val="0"/>
        </w:rPr>
        <w:tab/>
        <w:t>(c)</w:t>
      </w:r>
      <w:r>
        <w:rPr>
          <w:snapToGrid w:val="0"/>
        </w:rPr>
        <w:tab/>
        <w:t>the tow truck’s number plate details;</w:t>
      </w:r>
    </w:p>
    <w:p w:rsidR="006724FB" w:rsidRDefault="006724FB">
      <w:pPr>
        <w:pStyle w:val="Indenta"/>
        <w:rPr>
          <w:snapToGrid w:val="0"/>
        </w:rPr>
      </w:pPr>
      <w:r>
        <w:rPr>
          <w:snapToGrid w:val="0"/>
        </w:rPr>
        <w:tab/>
        <w:t>(d)</w:t>
      </w:r>
      <w:r>
        <w:rPr>
          <w:snapToGrid w:val="0"/>
        </w:rPr>
        <w:tab/>
        <w:t>the name and address of the owner of the vehicle to be towed or salvaged, if that is known;</w:t>
      </w:r>
    </w:p>
    <w:p w:rsidR="006724FB" w:rsidRDefault="006724FB">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rsidR="006724FB" w:rsidRDefault="006724FB">
      <w:pPr>
        <w:pStyle w:val="Indenta"/>
        <w:rPr>
          <w:rStyle w:val="DraftersNotes"/>
        </w:rPr>
      </w:pPr>
      <w:r>
        <w:rPr>
          <w:snapToGrid w:val="0"/>
        </w:rPr>
        <w:tab/>
        <w:t>(f)</w:t>
      </w:r>
      <w:r>
        <w:rPr>
          <w:snapToGrid w:val="0"/>
        </w:rPr>
        <w:tab/>
        <w:t>otherwise, the name and address of the person authorising the vehicle to be towed or salvaged;</w:t>
      </w:r>
    </w:p>
    <w:p w:rsidR="006724FB" w:rsidRDefault="006724FB">
      <w:pPr>
        <w:pStyle w:val="Indenta"/>
        <w:rPr>
          <w:snapToGrid w:val="0"/>
        </w:rPr>
      </w:pPr>
      <w:r>
        <w:rPr>
          <w:snapToGrid w:val="0"/>
        </w:rPr>
        <w:tab/>
        <w:t>(g)</w:t>
      </w:r>
      <w:r>
        <w:rPr>
          <w:snapToGrid w:val="0"/>
        </w:rPr>
        <w:tab/>
        <w:t>the make and number plate details of the vehicle to be towed or salvaged;</w:t>
      </w:r>
    </w:p>
    <w:p w:rsidR="006724FB" w:rsidRDefault="006724FB">
      <w:pPr>
        <w:pStyle w:val="Indenta"/>
        <w:rPr>
          <w:snapToGrid w:val="0"/>
        </w:rPr>
      </w:pPr>
      <w:r>
        <w:rPr>
          <w:snapToGrid w:val="0"/>
        </w:rPr>
        <w:lastRenderedPageBreak/>
        <w:tab/>
        <w:t>(h)</w:t>
      </w:r>
      <w:r>
        <w:rPr>
          <w:snapToGrid w:val="0"/>
        </w:rPr>
        <w:tab/>
        <w:t>the place from where the vehicle is to be moved;</w:t>
      </w:r>
    </w:p>
    <w:p w:rsidR="006724FB" w:rsidRDefault="006724FB">
      <w:pPr>
        <w:pStyle w:val="Indenta"/>
        <w:rPr>
          <w:snapToGrid w:val="0"/>
        </w:rPr>
      </w:pPr>
      <w:r>
        <w:rPr>
          <w:snapToGrid w:val="0"/>
        </w:rPr>
        <w:tab/>
        <w:t>(i)</w:t>
      </w:r>
      <w:r>
        <w:rPr>
          <w:snapToGrid w:val="0"/>
        </w:rPr>
        <w:tab/>
        <w:t>the place to where the vehicle is to be moved;</w:t>
      </w:r>
    </w:p>
    <w:p w:rsidR="006724FB" w:rsidRDefault="006724FB">
      <w:pPr>
        <w:pStyle w:val="Indenta"/>
        <w:keepNext/>
        <w:rPr>
          <w:snapToGrid w:val="0"/>
        </w:rPr>
      </w:pPr>
      <w:r>
        <w:rPr>
          <w:snapToGrid w:val="0"/>
        </w:rPr>
        <w:tab/>
        <w:t>(j)</w:t>
      </w:r>
      <w:r>
        <w:rPr>
          <w:snapToGrid w:val="0"/>
        </w:rPr>
        <w:tab/>
        <w:t>the date and time at which the authority to tow or salvage is signed,</w:t>
      </w:r>
    </w:p>
    <w:p w:rsidR="006724FB" w:rsidRDefault="006724FB">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rsidR="006724FB" w:rsidRDefault="006724FB">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rsidR="006724FB" w:rsidRDefault="006724FB">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rsidR="006724FB" w:rsidRDefault="006724FB">
      <w:pPr>
        <w:pStyle w:val="Penstart"/>
      </w:pPr>
      <w:r>
        <w:tab/>
        <w:t xml:space="preserve">Penalty: </w:t>
      </w:r>
    </w:p>
    <w:p w:rsidR="006724FB" w:rsidRDefault="006724FB">
      <w:pPr>
        <w:pStyle w:val="Penpara"/>
      </w:pPr>
      <w:r>
        <w:tab/>
        <w:t>(a)</w:t>
      </w:r>
      <w:r>
        <w:tab/>
        <w:t>for a first offence, a fine of 2 PU;</w:t>
      </w:r>
    </w:p>
    <w:p w:rsidR="006724FB" w:rsidRDefault="006724FB">
      <w:pPr>
        <w:pStyle w:val="Penpara"/>
      </w:pPr>
      <w:r>
        <w:tab/>
        <w:t>(b)</w:t>
      </w:r>
      <w:r>
        <w:tab/>
        <w:t>for a second or subsequent offence, a fine of 4 PU.</w:t>
      </w:r>
    </w:p>
    <w:p w:rsidR="006724FB" w:rsidRDefault="006724FB">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rsidR="006724FB" w:rsidRDefault="006724FB">
      <w:pPr>
        <w:pStyle w:val="Penstart"/>
      </w:pPr>
      <w:r>
        <w:tab/>
        <w:t xml:space="preserve">Penalty: </w:t>
      </w:r>
    </w:p>
    <w:p w:rsidR="006724FB" w:rsidRDefault="006724FB">
      <w:pPr>
        <w:pStyle w:val="Penpara"/>
      </w:pPr>
      <w:r>
        <w:tab/>
        <w:t>(a)</w:t>
      </w:r>
      <w:r>
        <w:tab/>
        <w:t>for a first offence, a fine of 2 PU;</w:t>
      </w:r>
    </w:p>
    <w:p w:rsidR="006724FB" w:rsidRDefault="006724FB">
      <w:pPr>
        <w:pStyle w:val="Penpara"/>
      </w:pPr>
      <w:r>
        <w:tab/>
        <w:t>(b)</w:t>
      </w:r>
      <w:r>
        <w:tab/>
        <w:t>for a second or subsequent offence, a fine of 4 PU.</w:t>
      </w:r>
    </w:p>
    <w:p w:rsidR="006724FB" w:rsidRDefault="006724FB">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rsidR="006724FB" w:rsidRDefault="006724FB">
      <w:pPr>
        <w:pStyle w:val="Penstart"/>
      </w:pPr>
      <w:r>
        <w:tab/>
        <w:t xml:space="preserve">Penalty: </w:t>
      </w:r>
    </w:p>
    <w:p w:rsidR="006724FB" w:rsidRDefault="006724FB">
      <w:pPr>
        <w:pStyle w:val="Penpara"/>
      </w:pPr>
      <w:r>
        <w:tab/>
        <w:t>(a)</w:t>
      </w:r>
      <w:r>
        <w:tab/>
        <w:t>for a first offence, a fine of 2 PU;</w:t>
      </w:r>
    </w:p>
    <w:p w:rsidR="006724FB" w:rsidRDefault="006724FB">
      <w:pPr>
        <w:pStyle w:val="Penpara"/>
      </w:pPr>
      <w:r>
        <w:tab/>
        <w:t>(b)</w:t>
      </w:r>
      <w:r>
        <w:tab/>
        <w:t>for a second or subsequent offence, a fine of 4 PU.</w:t>
      </w:r>
    </w:p>
    <w:p w:rsidR="006724FB" w:rsidRDefault="006724FB">
      <w:pPr>
        <w:pStyle w:val="Subsection"/>
        <w:rPr>
          <w:snapToGrid w:val="0"/>
        </w:rPr>
      </w:pPr>
      <w:r>
        <w:rPr>
          <w:snapToGrid w:val="0"/>
        </w:rPr>
        <w:lastRenderedPageBreak/>
        <w:tab/>
        <w:t>(6)</w:t>
      </w:r>
      <w:r>
        <w:rPr>
          <w:snapToGrid w:val="0"/>
        </w:rPr>
        <w:tab/>
        <w:t>Each driver of a tow truck that is the subject of a statement under subregulation (1) must produce a copy of the statement to a police officer if required by that officer to do so.</w:t>
      </w:r>
    </w:p>
    <w:p w:rsidR="006724FB" w:rsidRDefault="006724FB">
      <w:pPr>
        <w:pStyle w:val="Penstart"/>
      </w:pPr>
      <w:r>
        <w:tab/>
        <w:t>Penalty for an offence under this subregulation:</w:t>
      </w:r>
    </w:p>
    <w:p w:rsidR="006724FB" w:rsidRDefault="006724FB">
      <w:pPr>
        <w:pStyle w:val="Penpara"/>
      </w:pPr>
      <w:r>
        <w:tab/>
        <w:t>(a)</w:t>
      </w:r>
      <w:r>
        <w:tab/>
        <w:t>for a first offence, a fine of 2 PU;</w:t>
      </w:r>
    </w:p>
    <w:p w:rsidR="006724FB" w:rsidRDefault="006724FB">
      <w:pPr>
        <w:pStyle w:val="Penpara"/>
      </w:pPr>
      <w:r>
        <w:tab/>
        <w:t>(b)</w:t>
      </w:r>
      <w:r>
        <w:tab/>
        <w:t>for a second or subsequent offence, a fine of 4 PU.</w:t>
      </w:r>
    </w:p>
    <w:p w:rsidR="006724FB" w:rsidRDefault="006724FB">
      <w:pPr>
        <w:pStyle w:val="Heading5"/>
        <w:keepNext w:val="0"/>
        <w:keepLines w:val="0"/>
        <w:widowControl w:val="0"/>
        <w:spacing w:before="120"/>
        <w:rPr>
          <w:b w:val="0"/>
        </w:rPr>
      </w:pPr>
      <w:bookmarkStart w:id="794" w:name="_Toc75876042"/>
      <w:r>
        <w:rPr>
          <w:rStyle w:val="CharSectno"/>
        </w:rPr>
        <w:t>420</w:t>
      </w:r>
      <w:r>
        <w:t>.</w:t>
      </w:r>
      <w:r>
        <w:tab/>
        <w:t>Commissioner of Main Roads may authorise tow</w:t>
      </w:r>
      <w:bookmarkEnd w:id="794"/>
    </w:p>
    <w:p w:rsidR="006724FB" w:rsidRDefault="006724FB">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rsidR="006724FB" w:rsidRDefault="006724FB">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rsidR="006724FB" w:rsidRDefault="006724FB">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rsidR="006724FB" w:rsidRDefault="006724FB">
      <w:pPr>
        <w:pStyle w:val="Subsection"/>
      </w:pPr>
      <w:r>
        <w:tab/>
        <w:t>(4)</w:t>
      </w:r>
      <w:r>
        <w:tab/>
        <w:t>The driver of a tow truck, who is required to complete a statement under subregulation (3), must deliver the original of the completed statement to the person authorising the tow, or that person’s representative.</w:t>
      </w:r>
    </w:p>
    <w:p w:rsidR="006724FB" w:rsidRDefault="006724FB">
      <w:pPr>
        <w:pStyle w:val="Subsection"/>
      </w:pPr>
      <w:r>
        <w:tab/>
        <w:t>(5)</w:t>
      </w:r>
      <w:r>
        <w:tab/>
        <w:t>The driver of a tow truck, who is required to complete a statement under subregulation (3), must give the duplicate of the signed completed statement to a responsible person for the vehicle.</w:t>
      </w:r>
    </w:p>
    <w:p w:rsidR="006724FB" w:rsidRDefault="006724FB">
      <w:pPr>
        <w:pStyle w:val="Subsection"/>
      </w:pPr>
      <w:r>
        <w:lastRenderedPageBreak/>
        <w:tab/>
        <w:t>(6)</w:t>
      </w:r>
      <w:r>
        <w:tab/>
        <w:t>The responsible person given a duplicate of a statement under subregulation (5) must retain the statement for a period of 12 months.</w:t>
      </w:r>
    </w:p>
    <w:p w:rsidR="006724FB" w:rsidRDefault="006724FB">
      <w:pPr>
        <w:pStyle w:val="Penstart"/>
      </w:pPr>
      <w:r>
        <w:tab/>
        <w:t>Penalty for an offence under subregulation (3), (4), (5) or (6):</w:t>
      </w:r>
    </w:p>
    <w:p w:rsidR="006724FB" w:rsidRDefault="006724FB">
      <w:pPr>
        <w:pStyle w:val="Penpara"/>
      </w:pPr>
      <w:r>
        <w:tab/>
        <w:t>(a)</w:t>
      </w:r>
      <w:r>
        <w:tab/>
        <w:t>for a first offence, a fine of 2 PU;</w:t>
      </w:r>
    </w:p>
    <w:p w:rsidR="006724FB" w:rsidRDefault="006724FB">
      <w:pPr>
        <w:pStyle w:val="Penpara"/>
      </w:pPr>
      <w:r>
        <w:tab/>
        <w:t>(b)</w:t>
      </w:r>
      <w:r>
        <w:tab/>
        <w:t>for a second or subsequent offence, a fine of 4 PU.</w:t>
      </w:r>
    </w:p>
    <w:p w:rsidR="006724FB" w:rsidRDefault="006724FB">
      <w:pPr>
        <w:pStyle w:val="Heading5"/>
        <w:spacing w:before="180"/>
        <w:rPr>
          <w:b w:val="0"/>
        </w:rPr>
      </w:pPr>
      <w:bookmarkStart w:id="795" w:name="_Toc75876043"/>
      <w:r>
        <w:rPr>
          <w:rStyle w:val="CharSectno"/>
        </w:rPr>
        <w:t>421</w:t>
      </w:r>
      <w:r>
        <w:t>.</w:t>
      </w:r>
      <w:r>
        <w:tab/>
      </w:r>
      <w:r>
        <w:rPr>
          <w:snapToGrid w:val="0"/>
        </w:rPr>
        <w:t>Extent of authority to tow or salvage</w:t>
      </w:r>
      <w:bookmarkEnd w:id="795"/>
    </w:p>
    <w:p w:rsidR="006724FB" w:rsidRDefault="006724FB">
      <w:pPr>
        <w:pStyle w:val="Subsection"/>
        <w:rPr>
          <w:snapToGrid w:val="0"/>
        </w:rPr>
      </w:pPr>
      <w:r>
        <w:rPr>
          <w:snapToGrid w:val="0"/>
        </w:rPr>
        <w:tab/>
      </w:r>
      <w:r>
        <w:rPr>
          <w:snapToGrid w:val="0"/>
        </w:rPr>
        <w:tab/>
        <w:t xml:space="preserve">An authority obtained by a driver of a tow truck under this Division to tow or salvage a vehicle — </w:t>
      </w:r>
    </w:p>
    <w:p w:rsidR="006724FB" w:rsidRDefault="006724FB">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rsidR="006724FB" w:rsidRDefault="006724FB">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rsidR="006724FB" w:rsidRDefault="006724FB">
      <w:pPr>
        <w:pStyle w:val="Heading5"/>
        <w:rPr>
          <w:b w:val="0"/>
        </w:rPr>
      </w:pPr>
      <w:bookmarkStart w:id="796" w:name="_Toc75876044"/>
      <w:r>
        <w:rPr>
          <w:rStyle w:val="CharSectno"/>
        </w:rPr>
        <w:t>422</w:t>
      </w:r>
      <w:r>
        <w:t>.</w:t>
      </w:r>
      <w:r>
        <w:tab/>
      </w:r>
      <w:r>
        <w:rPr>
          <w:snapToGrid w:val="0"/>
        </w:rPr>
        <w:t>Offences about towing</w:t>
      </w:r>
      <w:bookmarkEnd w:id="796"/>
    </w:p>
    <w:p w:rsidR="006724FB" w:rsidRDefault="006724FB">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rsidR="006724FB" w:rsidRDefault="006724FB">
      <w:pPr>
        <w:pStyle w:val="Penstart"/>
      </w:pPr>
      <w:r>
        <w:tab/>
        <w:t>Penalty:</w:t>
      </w:r>
    </w:p>
    <w:p w:rsidR="006724FB" w:rsidRDefault="006724FB">
      <w:pPr>
        <w:pStyle w:val="Penpara"/>
      </w:pPr>
      <w:r>
        <w:tab/>
        <w:t>(a)</w:t>
      </w:r>
      <w:r>
        <w:tab/>
        <w:t>for a first offence, a fine of 2 PU;</w:t>
      </w:r>
    </w:p>
    <w:p w:rsidR="006724FB" w:rsidRDefault="006724FB">
      <w:pPr>
        <w:pStyle w:val="Penpara"/>
      </w:pPr>
      <w:r>
        <w:tab/>
        <w:t>(b)</w:t>
      </w:r>
      <w:r>
        <w:tab/>
        <w:t>for a second or subsequent offence, a fine of 4 PU.</w:t>
      </w:r>
    </w:p>
    <w:p w:rsidR="006724FB" w:rsidRDefault="006724FB">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rsidR="006724FB" w:rsidRDefault="006724FB">
      <w:pPr>
        <w:pStyle w:val="Penpara"/>
        <w:keepNext/>
      </w:pPr>
      <w:r>
        <w:tab/>
        <w:t xml:space="preserve">Penalty: </w:t>
      </w:r>
    </w:p>
    <w:p w:rsidR="006724FB" w:rsidRDefault="006724FB">
      <w:pPr>
        <w:pStyle w:val="Penpara"/>
      </w:pPr>
      <w:r>
        <w:tab/>
        <w:t>(a)</w:t>
      </w:r>
      <w:r>
        <w:tab/>
        <w:t>for a first offence, a fine of 2 PU;</w:t>
      </w:r>
    </w:p>
    <w:p w:rsidR="006724FB" w:rsidRDefault="006724FB">
      <w:pPr>
        <w:pStyle w:val="Penpara"/>
      </w:pPr>
      <w:r>
        <w:tab/>
        <w:t>(b)</w:t>
      </w:r>
      <w:r>
        <w:tab/>
        <w:t>for a second or subsequent offence, a fine of 4 PU.</w:t>
      </w:r>
    </w:p>
    <w:p w:rsidR="006724FB" w:rsidRDefault="006724FB">
      <w:pPr>
        <w:pStyle w:val="Subsection"/>
        <w:rPr>
          <w:snapToGrid w:val="0"/>
        </w:rPr>
      </w:pPr>
      <w:r>
        <w:lastRenderedPageBreak/>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rsidR="006724FB" w:rsidRDefault="006724FB">
      <w:pPr>
        <w:pStyle w:val="Penstart"/>
      </w:pPr>
      <w:r>
        <w:tab/>
        <w:t>Penalty for an offence under this subregulation:</w:t>
      </w:r>
    </w:p>
    <w:p w:rsidR="006724FB" w:rsidRDefault="006724FB">
      <w:pPr>
        <w:pStyle w:val="Penpara"/>
      </w:pPr>
      <w:r>
        <w:tab/>
        <w:t>(a)</w:t>
      </w:r>
      <w:r>
        <w:tab/>
        <w:t>for a first offence, a fine of 2 PU;</w:t>
      </w:r>
    </w:p>
    <w:p w:rsidR="006724FB" w:rsidRDefault="006724FB">
      <w:pPr>
        <w:pStyle w:val="Penpara"/>
        <w:rPr>
          <w:rStyle w:val="DraftersNotes"/>
          <w:bCs/>
          <w:iCs/>
        </w:rPr>
      </w:pPr>
      <w:r>
        <w:tab/>
        <w:t>(b)</w:t>
      </w:r>
      <w:r>
        <w:tab/>
        <w:t>for a second or subsequent offence, a fine of 4 PU.</w:t>
      </w:r>
    </w:p>
    <w:p w:rsidR="006724FB" w:rsidRDefault="006724FB">
      <w:pPr>
        <w:pStyle w:val="Subsection"/>
      </w:pPr>
      <w:r>
        <w:tab/>
        <w:t>(4)</w:t>
      </w:r>
      <w:r>
        <w:tab/>
        <w:t xml:space="preserve">Subregulation (3) does not apply to the delivery up of a vehicle if the </w:t>
      </w:r>
      <w:r>
        <w:rPr>
          <w:i/>
        </w:rPr>
        <w:t>Road Traffic Act 1974</w:t>
      </w:r>
      <w:r>
        <w:t> Part 6A Division 3 or 4 applies to require the delivery.</w:t>
      </w:r>
    </w:p>
    <w:p w:rsidR="006724FB" w:rsidRDefault="006724FB">
      <w:pPr>
        <w:pStyle w:val="Footnotesection"/>
      </w:pPr>
      <w:r>
        <w:tab/>
        <w:t>[Regulation 422 amended: SL 2020/231 r. 14.]</w:t>
      </w:r>
    </w:p>
    <w:p w:rsidR="006724FB" w:rsidRDefault="006724FB">
      <w:pPr>
        <w:pStyle w:val="Heading2"/>
      </w:pPr>
      <w:bookmarkStart w:id="797" w:name="_Toc75420121"/>
      <w:bookmarkStart w:id="798" w:name="_Toc75427457"/>
      <w:bookmarkStart w:id="799" w:name="_Toc75872873"/>
      <w:bookmarkStart w:id="800" w:name="_Toc75876045"/>
      <w:r>
        <w:rPr>
          <w:rStyle w:val="CharPartNo"/>
        </w:rPr>
        <w:lastRenderedPageBreak/>
        <w:t>Part 13</w:t>
      </w:r>
      <w:r>
        <w:t> — </w:t>
      </w:r>
      <w:r>
        <w:rPr>
          <w:rStyle w:val="CharPartText"/>
        </w:rPr>
        <w:t>Towed agricultural implements</w:t>
      </w:r>
      <w:bookmarkEnd w:id="797"/>
      <w:bookmarkEnd w:id="798"/>
      <w:bookmarkEnd w:id="799"/>
      <w:bookmarkEnd w:id="800"/>
    </w:p>
    <w:p w:rsidR="006724FB" w:rsidRDefault="006724FB">
      <w:pPr>
        <w:pStyle w:val="Heading3"/>
      </w:pPr>
      <w:bookmarkStart w:id="801" w:name="_Toc75420122"/>
      <w:bookmarkStart w:id="802" w:name="_Toc75427458"/>
      <w:bookmarkStart w:id="803" w:name="_Toc75872874"/>
      <w:bookmarkStart w:id="804" w:name="_Toc75876046"/>
      <w:r>
        <w:rPr>
          <w:rStyle w:val="CharDivNo"/>
        </w:rPr>
        <w:t>Division 1</w:t>
      </w:r>
      <w:r>
        <w:t> — </w:t>
      </w:r>
      <w:r>
        <w:rPr>
          <w:rStyle w:val="CharDivText"/>
        </w:rPr>
        <w:t>Preliminary</w:t>
      </w:r>
      <w:bookmarkEnd w:id="801"/>
      <w:bookmarkEnd w:id="802"/>
      <w:bookmarkEnd w:id="803"/>
      <w:bookmarkEnd w:id="804"/>
    </w:p>
    <w:p w:rsidR="006724FB" w:rsidRDefault="006724FB">
      <w:pPr>
        <w:pStyle w:val="Heading5"/>
        <w:spacing w:before="180"/>
        <w:rPr>
          <w:snapToGrid w:val="0"/>
        </w:rPr>
      </w:pPr>
      <w:bookmarkStart w:id="805" w:name="_Toc75876047"/>
      <w:r>
        <w:rPr>
          <w:rStyle w:val="CharSectno"/>
        </w:rPr>
        <w:t>423</w:t>
      </w:r>
      <w:r>
        <w:t>.</w:t>
      </w:r>
      <w:r>
        <w:tab/>
      </w:r>
      <w:r>
        <w:rPr>
          <w:snapToGrid w:val="0"/>
        </w:rPr>
        <w:t>Terms used</w:t>
      </w:r>
      <w:bookmarkEnd w:id="805"/>
    </w:p>
    <w:p w:rsidR="006724FB" w:rsidRDefault="006724FB">
      <w:pPr>
        <w:pStyle w:val="Subsection"/>
        <w:rPr>
          <w:snapToGrid w:val="0"/>
        </w:rPr>
      </w:pPr>
      <w:r>
        <w:rPr>
          <w:snapToGrid w:val="0"/>
        </w:rPr>
        <w:tab/>
        <w:t>(1)</w:t>
      </w:r>
      <w:r>
        <w:rPr>
          <w:snapToGrid w:val="0"/>
        </w:rPr>
        <w:tab/>
        <w:t xml:space="preserve">In this Part, unless the contrary intention appears — </w:t>
      </w:r>
    </w:p>
    <w:p w:rsidR="006724FB" w:rsidRDefault="006724FB">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rsidR="006724FB" w:rsidRDefault="006724FB">
      <w:pPr>
        <w:pStyle w:val="Defstart"/>
      </w:pPr>
      <w:r>
        <w:rPr>
          <w:b/>
        </w:rPr>
        <w:tab/>
      </w:r>
      <w:r>
        <w:rPr>
          <w:rStyle w:val="CharDefText"/>
        </w:rPr>
        <w:t>tow</w:t>
      </w:r>
      <w:r>
        <w:t xml:space="preserve"> includes haul;</w:t>
      </w:r>
    </w:p>
    <w:p w:rsidR="006724FB" w:rsidRDefault="006724FB">
      <w:pPr>
        <w:pStyle w:val="Defstart"/>
      </w:pPr>
      <w:r>
        <w:tab/>
      </w:r>
      <w:r>
        <w:rPr>
          <w:rStyle w:val="CharDefText"/>
        </w:rPr>
        <w:t>towed vehicle</w:t>
      </w:r>
      <w:r>
        <w:t xml:space="preserve"> means a vehicle that is being towed by a towing vehicle;</w:t>
      </w:r>
    </w:p>
    <w:p w:rsidR="006724FB" w:rsidRDefault="006724FB">
      <w:pPr>
        <w:pStyle w:val="Defstart"/>
      </w:pPr>
      <w:r>
        <w:tab/>
      </w:r>
      <w:r>
        <w:rPr>
          <w:rStyle w:val="CharDefText"/>
        </w:rPr>
        <w:t>towing vehicle</w:t>
      </w:r>
      <w:r>
        <w:t xml:space="preserve"> means a motor vehicle that is towing an agricultural implement or 2 or more vehicles that include an agricultural implement;</w:t>
      </w:r>
    </w:p>
    <w:p w:rsidR="006724FB" w:rsidRDefault="006724FB">
      <w:pPr>
        <w:pStyle w:val="Defstart"/>
      </w:pPr>
      <w:r>
        <w:rPr>
          <w:b/>
        </w:rPr>
        <w:tab/>
      </w:r>
      <w:r>
        <w:rPr>
          <w:rStyle w:val="CharDefText"/>
        </w:rPr>
        <w:t>used</w:t>
      </w:r>
      <w:r>
        <w:t>, in relation to a vehicle or a combination, includes being driven, or towed, and being left stationary.</w:t>
      </w:r>
    </w:p>
    <w:p w:rsidR="006724FB" w:rsidRDefault="006724FB">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rsidR="006724FB" w:rsidRDefault="006724FB">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rsidR="006724FB" w:rsidRDefault="006724FB">
      <w:pPr>
        <w:pStyle w:val="Heading5"/>
        <w:rPr>
          <w:snapToGrid w:val="0"/>
        </w:rPr>
      </w:pPr>
      <w:bookmarkStart w:id="806" w:name="_Toc75876048"/>
      <w:r>
        <w:rPr>
          <w:rStyle w:val="CharSectno"/>
        </w:rPr>
        <w:t>424</w:t>
      </w:r>
      <w:r>
        <w:t>.</w:t>
      </w:r>
      <w:r>
        <w:tab/>
        <w:t>Compliance with standards and requirements</w:t>
      </w:r>
      <w:bookmarkEnd w:id="806"/>
    </w:p>
    <w:p w:rsidR="006724FB" w:rsidRDefault="006724FB">
      <w:pPr>
        <w:pStyle w:val="Subsection"/>
      </w:pPr>
      <w:r>
        <w:tab/>
      </w:r>
      <w:r>
        <w:tab/>
        <w:t>A person must not drive a towing vehicle on a road unless the towing vehicle and the towed vehicle comply with each regulation in this Part that applies to the towing vehicle or the towed vehicle.</w:t>
      </w:r>
    </w:p>
    <w:p w:rsidR="006724FB" w:rsidRDefault="006724FB">
      <w:pPr>
        <w:pStyle w:val="Penstart"/>
        <w:rPr>
          <w:snapToGrid w:val="0"/>
        </w:rPr>
      </w:pPr>
      <w:r>
        <w:rPr>
          <w:snapToGrid w:val="0"/>
        </w:rPr>
        <w:tab/>
        <w:t xml:space="preserve">Penalty: </w:t>
      </w:r>
      <w:r>
        <w:t xml:space="preserve">a fine of </w:t>
      </w:r>
      <w:r>
        <w:rPr>
          <w:snapToGrid w:val="0"/>
        </w:rPr>
        <w:t>8 PU.</w:t>
      </w:r>
    </w:p>
    <w:p w:rsidR="006724FB" w:rsidRDefault="006724FB">
      <w:pPr>
        <w:pStyle w:val="Heading5"/>
      </w:pPr>
      <w:bookmarkStart w:id="807" w:name="_Toc75876049"/>
      <w:r>
        <w:rPr>
          <w:rStyle w:val="CharSectno"/>
        </w:rPr>
        <w:lastRenderedPageBreak/>
        <w:t>425</w:t>
      </w:r>
      <w:r>
        <w:t>.</w:t>
      </w:r>
      <w:r>
        <w:tab/>
        <w:t>Gate to gate towing</w:t>
      </w:r>
      <w:bookmarkEnd w:id="807"/>
    </w:p>
    <w:p w:rsidR="006724FB" w:rsidRDefault="006724FB">
      <w:pPr>
        <w:pStyle w:val="Subsection"/>
        <w:keepNext/>
      </w:pPr>
      <w:r>
        <w:tab/>
        <w:t>(1)</w:t>
      </w:r>
      <w:r>
        <w:tab/>
        <w:t xml:space="preserve">In this regulation — </w:t>
      </w:r>
    </w:p>
    <w:p w:rsidR="006724FB" w:rsidRDefault="006724FB">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rsidR="006724FB" w:rsidRDefault="006724FB">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rsidR="006724FB" w:rsidRDefault="006724FB">
      <w:pPr>
        <w:pStyle w:val="Subsection"/>
      </w:pPr>
      <w:r>
        <w:tab/>
      </w:r>
      <w:r>
        <w:rPr>
          <w:snapToGrid w:val="0"/>
        </w:rPr>
        <w:t>(3)</w:t>
      </w:r>
      <w:r>
        <w:tab/>
        <w:t xml:space="preserve">Despite any other provision in this Part, a person may tow an agricultural implement or an agricultural combination from gate to gate — </w:t>
      </w:r>
    </w:p>
    <w:p w:rsidR="006724FB" w:rsidRDefault="006724FB">
      <w:pPr>
        <w:pStyle w:val="Indenta"/>
      </w:pPr>
      <w:r>
        <w:tab/>
      </w:r>
      <w:r>
        <w:rPr>
          <w:snapToGrid w:val="0"/>
        </w:rPr>
        <w:t>(a)</w:t>
      </w:r>
      <w:r>
        <w:tab/>
        <w:t>if the Commissioner of Main Roads has given approval to cross, during the tow, any road that is the Commissioner’s responsibility; and</w:t>
      </w:r>
    </w:p>
    <w:p w:rsidR="006724FB" w:rsidRDefault="006724FB">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rsidR="006724FB" w:rsidRDefault="006724FB">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rsidR="006724FB" w:rsidRDefault="006724FB">
      <w:pPr>
        <w:pStyle w:val="Subsection"/>
      </w:pPr>
      <w:r>
        <w:tab/>
      </w:r>
      <w:r>
        <w:rPr>
          <w:snapToGrid w:val="0"/>
        </w:rPr>
        <w:t>(5)</w:t>
      </w:r>
      <w:r>
        <w:tab/>
        <w:t>Approval under subregulation (3)(a) must be sought and obtained in writing.</w:t>
      </w:r>
    </w:p>
    <w:p w:rsidR="006724FB" w:rsidRDefault="006724FB">
      <w:pPr>
        <w:pStyle w:val="Subsection"/>
      </w:pPr>
      <w:r>
        <w:tab/>
      </w:r>
      <w:r>
        <w:rPr>
          <w:snapToGrid w:val="0"/>
        </w:rPr>
        <w:t>(6)</w:t>
      </w:r>
      <w:r>
        <w:tab/>
        <w:t>A person may tow an agricultural implement or an agricultural combination from gate to gate in accordance with this regulation during the daytime or at night.</w:t>
      </w:r>
    </w:p>
    <w:p w:rsidR="006724FB" w:rsidRDefault="006724FB" w:rsidP="00E1452C">
      <w:pPr>
        <w:pStyle w:val="Heading3"/>
      </w:pPr>
      <w:bookmarkStart w:id="808" w:name="_Toc75420126"/>
      <w:bookmarkStart w:id="809" w:name="_Toc75427462"/>
      <w:bookmarkStart w:id="810" w:name="_Toc75872878"/>
      <w:bookmarkStart w:id="811" w:name="_Toc75876050"/>
      <w:r>
        <w:rPr>
          <w:rStyle w:val="CharDivNo"/>
        </w:rPr>
        <w:lastRenderedPageBreak/>
        <w:t>Division 2</w:t>
      </w:r>
      <w:r>
        <w:t> — </w:t>
      </w:r>
      <w:r>
        <w:rPr>
          <w:rStyle w:val="CharDivText"/>
        </w:rPr>
        <w:t>Standards and requirements in respect of towing and towed agricultural implements</w:t>
      </w:r>
      <w:bookmarkEnd w:id="808"/>
      <w:bookmarkEnd w:id="809"/>
      <w:bookmarkEnd w:id="810"/>
      <w:bookmarkEnd w:id="811"/>
    </w:p>
    <w:p w:rsidR="006724FB" w:rsidRDefault="006724FB">
      <w:pPr>
        <w:pStyle w:val="Heading5"/>
      </w:pPr>
      <w:bookmarkStart w:id="812" w:name="_Toc75876051"/>
      <w:r>
        <w:rPr>
          <w:rStyle w:val="CharSectno"/>
        </w:rPr>
        <w:t>426</w:t>
      </w:r>
      <w:r>
        <w:t>.</w:t>
      </w:r>
      <w:r>
        <w:tab/>
      </w:r>
      <w:r>
        <w:rPr>
          <w:snapToGrid w:val="0"/>
        </w:rPr>
        <w:t>Lighting equipment generally</w:t>
      </w:r>
      <w:bookmarkEnd w:id="812"/>
    </w:p>
    <w:p w:rsidR="006724FB" w:rsidRDefault="006724FB">
      <w:pPr>
        <w:pStyle w:val="Subsection"/>
        <w:rPr>
          <w:snapToGrid w:val="0"/>
        </w:rPr>
      </w:pPr>
      <w:r>
        <w:rPr>
          <w:snapToGrid w:val="0"/>
        </w:rPr>
        <w:tab/>
        <w:t>(1)</w:t>
      </w:r>
      <w:r>
        <w:rPr>
          <w:snapToGrid w:val="0"/>
        </w:rPr>
        <w:tab/>
        <w:t xml:space="preserve">In this regulation — </w:t>
      </w:r>
    </w:p>
    <w:p w:rsidR="006724FB" w:rsidRDefault="006724FB">
      <w:pPr>
        <w:pStyle w:val="Defstart"/>
      </w:pPr>
      <w:r>
        <w:tab/>
      </w:r>
      <w:r>
        <w:rPr>
          <w:rStyle w:val="CharDefText"/>
        </w:rPr>
        <w:t>lighting equipment</w:t>
      </w:r>
      <w:r>
        <w:t xml:space="preserve"> means lights, reflectors and ancillary equipment.</w:t>
      </w:r>
    </w:p>
    <w:p w:rsidR="006724FB" w:rsidRDefault="006724FB">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rsidR="006724FB" w:rsidRDefault="006724FB">
      <w:pPr>
        <w:pStyle w:val="Indenta"/>
      </w:pPr>
      <w:r>
        <w:tab/>
        <w:t>(a)</w:t>
      </w:r>
      <w:r>
        <w:tab/>
        <w:t xml:space="preserve">if the towed vehicle is a trailer — </w:t>
      </w:r>
    </w:p>
    <w:p w:rsidR="006724FB" w:rsidRDefault="006724FB">
      <w:pPr>
        <w:pStyle w:val="Indenti"/>
      </w:pPr>
      <w:r>
        <w:tab/>
        <w:t>(i)</w:t>
      </w:r>
      <w:r>
        <w:tab/>
        <w:t>Part 10 Division 8; or</w:t>
      </w:r>
    </w:p>
    <w:p w:rsidR="006724FB" w:rsidRDefault="006724FB">
      <w:pPr>
        <w:pStyle w:val="Indenti"/>
      </w:pPr>
      <w:r>
        <w:tab/>
        <w:t>(ii)</w:t>
      </w:r>
      <w:r>
        <w:tab/>
        <w:t>this Division;</w:t>
      </w:r>
    </w:p>
    <w:p w:rsidR="006724FB" w:rsidRDefault="006724FB">
      <w:pPr>
        <w:pStyle w:val="Indenta"/>
      </w:pPr>
      <w:r>
        <w:tab/>
      </w:r>
      <w:r>
        <w:tab/>
        <w:t>or</w:t>
      </w:r>
    </w:p>
    <w:p w:rsidR="006724FB" w:rsidRDefault="006724FB">
      <w:pPr>
        <w:pStyle w:val="Indenta"/>
      </w:pPr>
      <w:r>
        <w:tab/>
        <w:t>(b)</w:t>
      </w:r>
      <w:r>
        <w:tab/>
        <w:t>if the towed vehicle is not a trailer — this Division.</w:t>
      </w:r>
    </w:p>
    <w:p w:rsidR="006724FB" w:rsidRDefault="006724FB">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rsidR="006724FB" w:rsidRDefault="006724FB">
      <w:pPr>
        <w:pStyle w:val="Indenta"/>
        <w:rPr>
          <w:snapToGrid w:val="0"/>
        </w:rPr>
      </w:pPr>
      <w:r>
        <w:rPr>
          <w:snapToGrid w:val="0"/>
        </w:rPr>
        <w:tab/>
        <w:t>(a)</w:t>
      </w:r>
      <w:r>
        <w:rPr>
          <w:snapToGrid w:val="0"/>
        </w:rPr>
        <w:tab/>
        <w:t>must be securely installed; and</w:t>
      </w:r>
    </w:p>
    <w:p w:rsidR="006724FB" w:rsidRDefault="006724FB">
      <w:pPr>
        <w:pStyle w:val="Indenta"/>
        <w:rPr>
          <w:snapToGrid w:val="0"/>
        </w:rPr>
      </w:pPr>
      <w:r>
        <w:rPr>
          <w:snapToGrid w:val="0"/>
        </w:rPr>
        <w:tab/>
        <w:t>(b)</w:t>
      </w:r>
      <w:r>
        <w:rPr>
          <w:snapToGrid w:val="0"/>
        </w:rPr>
        <w:tab/>
        <w:t xml:space="preserve">may — </w:t>
      </w:r>
    </w:p>
    <w:p w:rsidR="006724FB" w:rsidRDefault="006724FB">
      <w:pPr>
        <w:pStyle w:val="Indenti"/>
        <w:rPr>
          <w:snapToGrid w:val="0"/>
        </w:rPr>
      </w:pPr>
      <w:r>
        <w:rPr>
          <w:snapToGrid w:val="0"/>
        </w:rPr>
        <w:tab/>
        <w:t>(i)</w:t>
      </w:r>
      <w:r>
        <w:rPr>
          <w:snapToGrid w:val="0"/>
        </w:rPr>
        <w:tab/>
        <w:t>be installed with straps; and</w:t>
      </w:r>
    </w:p>
    <w:p w:rsidR="006724FB" w:rsidRDefault="006724FB">
      <w:pPr>
        <w:pStyle w:val="Indenti"/>
        <w:rPr>
          <w:snapToGrid w:val="0"/>
        </w:rPr>
      </w:pPr>
      <w:r>
        <w:rPr>
          <w:snapToGrid w:val="0"/>
        </w:rPr>
        <w:tab/>
        <w:t>(ii)</w:t>
      </w:r>
      <w:r>
        <w:rPr>
          <w:snapToGrid w:val="0"/>
        </w:rPr>
        <w:tab/>
        <w:t>incorporate a wiring harness connected to a suitable connector on the towing vehicle.</w:t>
      </w:r>
    </w:p>
    <w:p w:rsidR="006724FB" w:rsidRDefault="006724FB">
      <w:pPr>
        <w:pStyle w:val="Heading5"/>
        <w:rPr>
          <w:snapToGrid w:val="0"/>
        </w:rPr>
      </w:pPr>
      <w:bookmarkStart w:id="813" w:name="_Toc75876052"/>
      <w:r>
        <w:rPr>
          <w:rStyle w:val="CharSectno"/>
        </w:rPr>
        <w:t>427</w:t>
      </w:r>
      <w:r>
        <w:t>.</w:t>
      </w:r>
      <w:r>
        <w:tab/>
      </w:r>
      <w:r>
        <w:rPr>
          <w:snapToGrid w:val="0"/>
        </w:rPr>
        <w:t>Positioning of lights and reflectors</w:t>
      </w:r>
      <w:bookmarkEnd w:id="813"/>
    </w:p>
    <w:p w:rsidR="006724FB" w:rsidRDefault="006724FB">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rsidR="006724FB" w:rsidRDefault="006724FB">
      <w:pPr>
        <w:pStyle w:val="Indenta"/>
        <w:rPr>
          <w:snapToGrid w:val="0"/>
        </w:rPr>
      </w:pPr>
      <w:r>
        <w:rPr>
          <w:snapToGrid w:val="0"/>
        </w:rPr>
        <w:tab/>
        <w:t>(a)</w:t>
      </w:r>
      <w:r>
        <w:rPr>
          <w:snapToGrid w:val="0"/>
        </w:rPr>
        <w:tab/>
        <w:t>subject to paragraph (b), must be fitted not less than 400 mm and not more than 1.5 m above ground level; and</w:t>
      </w:r>
    </w:p>
    <w:p w:rsidR="006724FB" w:rsidRDefault="006724FB">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rsidR="006724FB" w:rsidRDefault="006724FB">
      <w:pPr>
        <w:pStyle w:val="Indenta"/>
        <w:rPr>
          <w:snapToGrid w:val="0"/>
        </w:rPr>
      </w:pPr>
      <w:r>
        <w:rPr>
          <w:snapToGrid w:val="0"/>
        </w:rPr>
        <w:lastRenderedPageBreak/>
        <w:tab/>
        <w:t>(c)</w:t>
      </w:r>
      <w:r>
        <w:rPr>
          <w:snapToGrid w:val="0"/>
        </w:rPr>
        <w:tab/>
        <w:t>must be fitted symmetrically, to each side of the rear of the</w:t>
      </w:r>
      <w:r>
        <w:t xml:space="preserve"> towed vehicle</w:t>
      </w:r>
      <w:r>
        <w:rPr>
          <w:snapToGrid w:val="0"/>
        </w:rPr>
        <w:t xml:space="preserve">, and — </w:t>
      </w:r>
    </w:p>
    <w:p w:rsidR="006724FB" w:rsidRDefault="006724FB">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rsidR="006724FB" w:rsidRDefault="006724FB">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rsidR="006724FB" w:rsidRDefault="006724FB">
      <w:pPr>
        <w:pStyle w:val="Indenta"/>
      </w:pPr>
      <w:r>
        <w:tab/>
      </w:r>
      <w:r>
        <w:tab/>
        <w:t>and</w:t>
      </w:r>
    </w:p>
    <w:p w:rsidR="006724FB" w:rsidRDefault="006724FB">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rsidR="006724FB" w:rsidRDefault="006724FB">
      <w:pPr>
        <w:pStyle w:val="Indenta"/>
        <w:rPr>
          <w:snapToGrid w:val="0"/>
        </w:rPr>
      </w:pPr>
      <w:r>
        <w:rPr>
          <w:snapToGrid w:val="0"/>
        </w:rPr>
        <w:tab/>
        <w:t>(e)</w:t>
      </w:r>
      <w:r>
        <w:rPr>
          <w:snapToGrid w:val="0"/>
        </w:rPr>
        <w:tab/>
        <w:t>must diffuse or direct their emitted or reflected light so as not to cause glare adversely affecting the vision of a person.</w:t>
      </w:r>
    </w:p>
    <w:p w:rsidR="006724FB" w:rsidRDefault="006724FB">
      <w:pPr>
        <w:pStyle w:val="Heading5"/>
        <w:spacing w:before="180"/>
        <w:rPr>
          <w:snapToGrid w:val="0"/>
        </w:rPr>
      </w:pPr>
      <w:bookmarkStart w:id="814" w:name="_Toc75876053"/>
      <w:r>
        <w:rPr>
          <w:rStyle w:val="CharSectno"/>
        </w:rPr>
        <w:t>428</w:t>
      </w:r>
      <w:r>
        <w:t>.</w:t>
      </w:r>
      <w:r>
        <w:tab/>
      </w:r>
      <w:r>
        <w:rPr>
          <w:snapToGrid w:val="0"/>
        </w:rPr>
        <w:t>Stop lights</w:t>
      </w:r>
      <w:bookmarkEnd w:id="814"/>
    </w:p>
    <w:p w:rsidR="006724FB" w:rsidRDefault="006724FB">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rsidR="006724FB" w:rsidRDefault="006724FB">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rsidR="006724FB" w:rsidRDefault="006724FB">
      <w:pPr>
        <w:pStyle w:val="Indenta"/>
        <w:rPr>
          <w:snapToGrid w:val="0"/>
        </w:rPr>
      </w:pPr>
      <w:r>
        <w:rPr>
          <w:snapToGrid w:val="0"/>
        </w:rPr>
        <w:tab/>
        <w:t>(b)</w:t>
      </w:r>
      <w:r>
        <w:rPr>
          <w:snapToGrid w:val="0"/>
        </w:rPr>
        <w:tab/>
        <w:t>each of which is lighted when the foot brake of the towing vehicle is applied.</w:t>
      </w:r>
    </w:p>
    <w:p w:rsidR="006724FB" w:rsidRDefault="006724FB">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rsidR="006724FB" w:rsidRDefault="006724FB">
      <w:pPr>
        <w:pStyle w:val="Heading5"/>
        <w:rPr>
          <w:snapToGrid w:val="0"/>
        </w:rPr>
      </w:pPr>
      <w:bookmarkStart w:id="815" w:name="_Toc75876054"/>
      <w:r>
        <w:rPr>
          <w:rStyle w:val="CharSectno"/>
        </w:rPr>
        <w:t>429</w:t>
      </w:r>
      <w:r>
        <w:t>.</w:t>
      </w:r>
      <w:r>
        <w:tab/>
      </w:r>
      <w:r>
        <w:rPr>
          <w:snapToGrid w:val="0"/>
        </w:rPr>
        <w:t>Reflectors</w:t>
      </w:r>
      <w:bookmarkEnd w:id="815"/>
    </w:p>
    <w:p w:rsidR="006724FB" w:rsidRDefault="006724FB">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w:t>
      </w:r>
      <w:r>
        <w:rPr>
          <w:snapToGrid w:val="0"/>
        </w:rPr>
        <w:lastRenderedPageBreak/>
        <w:t xml:space="preserve">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rsidR="006724FB" w:rsidRDefault="006724FB">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rsidR="006724FB" w:rsidRDefault="006724FB">
      <w:pPr>
        <w:pStyle w:val="Indenta"/>
        <w:rPr>
          <w:snapToGrid w:val="0"/>
        </w:rPr>
      </w:pPr>
      <w:r>
        <w:rPr>
          <w:snapToGrid w:val="0"/>
        </w:rPr>
        <w:tab/>
        <w:t>(b)</w:t>
      </w:r>
      <w:r>
        <w:rPr>
          <w:snapToGrid w:val="0"/>
        </w:rPr>
        <w:tab/>
        <w:t xml:space="preserve">each of which consists of — </w:t>
      </w:r>
    </w:p>
    <w:p w:rsidR="006724FB" w:rsidRDefault="006724FB">
      <w:pPr>
        <w:pStyle w:val="Indenti"/>
        <w:rPr>
          <w:snapToGrid w:val="0"/>
        </w:rPr>
      </w:pPr>
      <w:r>
        <w:rPr>
          <w:snapToGrid w:val="0"/>
        </w:rPr>
        <w:tab/>
        <w:t>(i)</w:t>
      </w:r>
      <w:r>
        <w:rPr>
          <w:snapToGrid w:val="0"/>
        </w:rPr>
        <w:tab/>
        <w:t>a reflective tape with an area of not less than 25 sq cm and a width of not less than 25 mm; or</w:t>
      </w:r>
    </w:p>
    <w:p w:rsidR="006724FB" w:rsidRDefault="006724FB">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rsidR="006724FB" w:rsidRDefault="006724FB">
      <w:pPr>
        <w:pStyle w:val="Penstart"/>
        <w:rPr>
          <w:snapToGrid w:val="0"/>
        </w:rPr>
      </w:pPr>
      <w:r>
        <w:rPr>
          <w:snapToGrid w:val="0"/>
        </w:rPr>
        <w:tab/>
        <w:t xml:space="preserve">Penalty: </w:t>
      </w:r>
      <w:r>
        <w:t xml:space="preserve">a fine of </w:t>
      </w:r>
      <w:r>
        <w:rPr>
          <w:snapToGrid w:val="0"/>
        </w:rPr>
        <w:t>8 PU.</w:t>
      </w:r>
    </w:p>
    <w:p w:rsidR="006724FB" w:rsidRDefault="006724FB">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rsidR="006724FB" w:rsidRDefault="006724FB">
      <w:pPr>
        <w:pStyle w:val="Indenta"/>
        <w:rPr>
          <w:snapToGrid w:val="0"/>
        </w:rPr>
      </w:pPr>
      <w:r>
        <w:rPr>
          <w:snapToGrid w:val="0"/>
        </w:rPr>
        <w:tab/>
        <w:t>(a)</w:t>
      </w:r>
      <w:r>
        <w:rPr>
          <w:snapToGrid w:val="0"/>
        </w:rPr>
        <w:tab/>
        <w:t>complies with the requirements of subregulation (1)(b); and</w:t>
      </w:r>
    </w:p>
    <w:p w:rsidR="006724FB" w:rsidRDefault="006724FB">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rsidR="006724FB" w:rsidRDefault="006724FB">
      <w:pPr>
        <w:pStyle w:val="Heading5"/>
        <w:rPr>
          <w:snapToGrid w:val="0"/>
        </w:rPr>
      </w:pPr>
      <w:bookmarkStart w:id="816" w:name="_Toc75876055"/>
      <w:r>
        <w:rPr>
          <w:rStyle w:val="CharSectno"/>
        </w:rPr>
        <w:t>430</w:t>
      </w:r>
      <w:r>
        <w:t>.</w:t>
      </w:r>
      <w:r>
        <w:tab/>
      </w:r>
      <w:r>
        <w:rPr>
          <w:snapToGrid w:val="0"/>
        </w:rPr>
        <w:t xml:space="preserve">Rear </w:t>
      </w:r>
      <w:r>
        <w:t>lights</w:t>
      </w:r>
      <w:bookmarkEnd w:id="816"/>
    </w:p>
    <w:p w:rsidR="006724FB" w:rsidRDefault="006724FB">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rsidR="006724FB" w:rsidRDefault="006724FB">
      <w:pPr>
        <w:pStyle w:val="Indenta"/>
        <w:rPr>
          <w:snapToGrid w:val="0"/>
        </w:rPr>
      </w:pPr>
      <w:r>
        <w:rPr>
          <w:snapToGrid w:val="0"/>
        </w:rPr>
        <w:tab/>
        <w:t>(a)</w:t>
      </w:r>
      <w:r>
        <w:rPr>
          <w:snapToGrid w:val="0"/>
        </w:rPr>
        <w:tab/>
        <w:t>each of which is of a power not exceeding 7 W; and</w:t>
      </w:r>
    </w:p>
    <w:p w:rsidR="006724FB" w:rsidRDefault="006724FB">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rsidR="006724FB" w:rsidRDefault="006724FB">
      <w:pPr>
        <w:pStyle w:val="Heading5"/>
        <w:rPr>
          <w:snapToGrid w:val="0"/>
        </w:rPr>
      </w:pPr>
      <w:bookmarkStart w:id="817" w:name="_Toc75876056"/>
      <w:r>
        <w:rPr>
          <w:rStyle w:val="CharSectno"/>
        </w:rPr>
        <w:lastRenderedPageBreak/>
        <w:t>431</w:t>
      </w:r>
      <w:r>
        <w:t>.</w:t>
      </w:r>
      <w:r>
        <w:tab/>
      </w:r>
      <w:r>
        <w:rPr>
          <w:snapToGrid w:val="0"/>
        </w:rPr>
        <w:t xml:space="preserve">Signalling </w:t>
      </w:r>
      <w:r>
        <w:t>lights</w:t>
      </w:r>
      <w:bookmarkEnd w:id="817"/>
    </w:p>
    <w:p w:rsidR="006724FB" w:rsidRDefault="006724FB">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rsidR="006724FB" w:rsidRDefault="006724FB">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rsidR="006724FB" w:rsidRDefault="006724FB">
      <w:pPr>
        <w:pStyle w:val="Indenta"/>
        <w:rPr>
          <w:snapToGrid w:val="0"/>
        </w:rPr>
      </w:pPr>
      <w:r>
        <w:rPr>
          <w:snapToGrid w:val="0"/>
        </w:rPr>
        <w:tab/>
        <w:t>(b)</w:t>
      </w:r>
      <w:r>
        <w:rPr>
          <w:snapToGrid w:val="0"/>
        </w:rPr>
        <w:tab/>
        <w:t>which are readily operated by the driver of the towing vehicle from the proper driving position; and</w:t>
      </w:r>
    </w:p>
    <w:p w:rsidR="006724FB" w:rsidRDefault="006724FB">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rsidR="006724FB" w:rsidRDefault="006724FB">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rsidR="006724FB" w:rsidRDefault="006724FB">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rsidR="006724FB" w:rsidRDefault="006724FB">
      <w:pPr>
        <w:pStyle w:val="Indenta"/>
        <w:rPr>
          <w:snapToGrid w:val="0"/>
        </w:rPr>
      </w:pPr>
      <w:r>
        <w:rPr>
          <w:snapToGrid w:val="0"/>
        </w:rPr>
        <w:tab/>
        <w:t>(f)</w:t>
      </w:r>
      <w:r>
        <w:rPr>
          <w:snapToGrid w:val="0"/>
        </w:rPr>
        <w:tab/>
        <w:t>which are capable of operating as flashing warning lights.</w:t>
      </w:r>
    </w:p>
    <w:p w:rsidR="006724FB" w:rsidRDefault="006724FB">
      <w:pPr>
        <w:pStyle w:val="Heading5"/>
        <w:rPr>
          <w:b w:val="0"/>
        </w:rPr>
      </w:pPr>
      <w:bookmarkStart w:id="818" w:name="_Toc75876057"/>
      <w:r>
        <w:rPr>
          <w:rStyle w:val="CharSectno"/>
        </w:rPr>
        <w:t>432</w:t>
      </w:r>
      <w:r>
        <w:t>.</w:t>
      </w:r>
      <w:r>
        <w:tab/>
      </w:r>
      <w:r>
        <w:rPr>
          <w:snapToGrid w:val="0"/>
        </w:rPr>
        <w:t>Clearance lights</w:t>
      </w:r>
      <w:bookmarkEnd w:id="818"/>
    </w:p>
    <w:p w:rsidR="006724FB" w:rsidRDefault="006724FB">
      <w:pPr>
        <w:pStyle w:val="Subsection"/>
        <w:rPr>
          <w:snapToGrid w:val="0"/>
        </w:rPr>
      </w:pPr>
      <w:r>
        <w:rPr>
          <w:snapToGrid w:val="0"/>
        </w:rPr>
        <w:tab/>
        <w:t>(1)</w:t>
      </w:r>
      <w:r>
        <w:rPr>
          <w:snapToGrid w:val="0"/>
        </w:rPr>
        <w:tab/>
        <w:t xml:space="preserve">In this regulation — </w:t>
      </w:r>
    </w:p>
    <w:p w:rsidR="006724FB" w:rsidRDefault="006724FB">
      <w:pPr>
        <w:pStyle w:val="Defstart"/>
      </w:pPr>
      <w:r>
        <w:tab/>
      </w:r>
      <w:r>
        <w:rPr>
          <w:rStyle w:val="CharDefText"/>
        </w:rPr>
        <w:t>clearance light</w:t>
      </w:r>
      <w:r>
        <w:t xml:space="preserve"> means a light which, when lighted, gives an indication of the width of the towed vehicle from the front and from the rear of that vehicle.</w:t>
      </w:r>
    </w:p>
    <w:p w:rsidR="006724FB" w:rsidRDefault="006724FB">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rsidR="006724FB" w:rsidRDefault="006724FB">
      <w:pPr>
        <w:pStyle w:val="Heading5"/>
      </w:pPr>
      <w:bookmarkStart w:id="819" w:name="_Toc75876058"/>
      <w:r>
        <w:rPr>
          <w:rStyle w:val="CharSectno"/>
        </w:rPr>
        <w:lastRenderedPageBreak/>
        <w:t>433</w:t>
      </w:r>
      <w:r>
        <w:t>.</w:t>
      </w:r>
      <w:r>
        <w:tab/>
        <w:t>Flashing amber light</w:t>
      </w:r>
      <w:bookmarkEnd w:id="819"/>
    </w:p>
    <w:p w:rsidR="006724FB" w:rsidRDefault="006724FB">
      <w:pPr>
        <w:pStyle w:val="Subsection"/>
      </w:pPr>
      <w:r>
        <w:tab/>
        <w:t>(1)</w:t>
      </w:r>
      <w:r>
        <w:tab/>
        <w:t xml:space="preserve">For the purposes of this Division, a flashing amber light, when switched on — </w:t>
      </w:r>
    </w:p>
    <w:p w:rsidR="006724FB" w:rsidRDefault="006724FB">
      <w:pPr>
        <w:pStyle w:val="Indenta"/>
      </w:pPr>
      <w:r>
        <w:tab/>
        <w:t>(a)</w:t>
      </w:r>
      <w:r>
        <w:tab/>
        <w:t>must not be a strobe light; and</w:t>
      </w:r>
    </w:p>
    <w:p w:rsidR="006724FB" w:rsidRDefault="006724FB">
      <w:pPr>
        <w:pStyle w:val="Indenta"/>
      </w:pPr>
      <w:r>
        <w:tab/>
        <w:t>(b)</w:t>
      </w:r>
      <w:r>
        <w:tab/>
        <w:t>must emit a rotating, flashing, yellow (or another colour or colours approved by the CEO) coloured light; and</w:t>
      </w:r>
    </w:p>
    <w:p w:rsidR="006724FB" w:rsidRDefault="006724FB">
      <w:pPr>
        <w:pStyle w:val="Indenta"/>
      </w:pPr>
      <w:r>
        <w:tab/>
        <w:t>(c)</w:t>
      </w:r>
      <w:r>
        <w:tab/>
        <w:t>must flash between 120 and 200 times a minute; and</w:t>
      </w:r>
    </w:p>
    <w:p w:rsidR="006724FB" w:rsidRDefault="006724FB">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rsidR="006724FB" w:rsidRDefault="006724FB">
      <w:pPr>
        <w:pStyle w:val="Subsection"/>
      </w:pPr>
      <w:r>
        <w:tab/>
        <w:t>(2)</w:t>
      </w:r>
      <w:r>
        <w:tab/>
        <w:t>For the purposes of this Division, a flashing amber light that is not a strobe light, when switched on, must have a power of at least 55W.</w:t>
      </w:r>
    </w:p>
    <w:p w:rsidR="006724FB" w:rsidRDefault="006724FB">
      <w:pPr>
        <w:pStyle w:val="Heading5"/>
        <w:rPr>
          <w:snapToGrid w:val="0"/>
        </w:rPr>
      </w:pPr>
      <w:bookmarkStart w:id="820" w:name="_Toc75876059"/>
      <w:r>
        <w:rPr>
          <w:rStyle w:val="CharSectno"/>
        </w:rPr>
        <w:t>434</w:t>
      </w:r>
      <w:r>
        <w:t>.</w:t>
      </w:r>
      <w:r>
        <w:tab/>
      </w:r>
      <w:r>
        <w:rPr>
          <w:snapToGrid w:val="0"/>
        </w:rPr>
        <w:t>Safety of components and attachments</w:t>
      </w:r>
      <w:bookmarkEnd w:id="820"/>
    </w:p>
    <w:p w:rsidR="006724FB" w:rsidRDefault="006724FB">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rsidR="006724FB" w:rsidRDefault="006724FB">
      <w:pPr>
        <w:pStyle w:val="Subsection"/>
        <w:rPr>
          <w:snapToGrid w:val="0"/>
        </w:rPr>
      </w:pPr>
      <w:r>
        <w:rPr>
          <w:snapToGrid w:val="0"/>
        </w:rPr>
        <w:tab/>
        <w:t>(2)</w:t>
      </w:r>
      <w:r>
        <w:rPr>
          <w:snapToGrid w:val="0"/>
        </w:rPr>
        <w:tab/>
        <w:t xml:space="preserve">Any folded arm, mechanism or structure which — </w:t>
      </w:r>
    </w:p>
    <w:p w:rsidR="006724FB" w:rsidRDefault="006724FB">
      <w:pPr>
        <w:pStyle w:val="Indenta"/>
        <w:rPr>
          <w:snapToGrid w:val="0"/>
        </w:rPr>
      </w:pPr>
      <w:r>
        <w:rPr>
          <w:snapToGrid w:val="0"/>
        </w:rPr>
        <w:tab/>
        <w:t>(a)</w:t>
      </w:r>
      <w:r>
        <w:rPr>
          <w:snapToGrid w:val="0"/>
        </w:rPr>
        <w:tab/>
        <w:t>forms part of a towed vehicle; and</w:t>
      </w:r>
    </w:p>
    <w:p w:rsidR="006724FB" w:rsidRDefault="006724FB">
      <w:pPr>
        <w:pStyle w:val="Indenta"/>
        <w:rPr>
          <w:snapToGrid w:val="0"/>
        </w:rPr>
      </w:pPr>
      <w:r>
        <w:rPr>
          <w:snapToGrid w:val="0"/>
        </w:rPr>
        <w:tab/>
        <w:t>(b)</w:t>
      </w:r>
      <w:r>
        <w:rPr>
          <w:snapToGrid w:val="0"/>
        </w:rPr>
        <w:tab/>
        <w:t>is capable of moving so as to increase any of the dimensions of the towed vehicle,</w:t>
      </w:r>
    </w:p>
    <w:p w:rsidR="006724FB" w:rsidRDefault="006724FB">
      <w:pPr>
        <w:pStyle w:val="Subsection"/>
        <w:rPr>
          <w:snapToGrid w:val="0"/>
        </w:rPr>
      </w:pPr>
      <w:r>
        <w:rPr>
          <w:snapToGrid w:val="0"/>
        </w:rPr>
        <w:tab/>
      </w:r>
      <w:r>
        <w:rPr>
          <w:snapToGrid w:val="0"/>
        </w:rPr>
        <w:tab/>
        <w:t>must be prevented from moving in that manner by chains, pins or some other mechanical locking system.</w:t>
      </w:r>
    </w:p>
    <w:p w:rsidR="006724FB" w:rsidRDefault="006724FB">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rsidR="006724FB" w:rsidRDefault="006724FB">
      <w:pPr>
        <w:pStyle w:val="Heading5"/>
        <w:rPr>
          <w:snapToGrid w:val="0"/>
        </w:rPr>
      </w:pPr>
      <w:bookmarkStart w:id="821" w:name="_Toc75876060"/>
      <w:r>
        <w:rPr>
          <w:rStyle w:val="CharSectno"/>
        </w:rPr>
        <w:lastRenderedPageBreak/>
        <w:t>435</w:t>
      </w:r>
      <w:r>
        <w:t>.</w:t>
      </w:r>
      <w:r>
        <w:tab/>
      </w:r>
      <w:r>
        <w:rPr>
          <w:snapToGrid w:val="0"/>
        </w:rPr>
        <w:t>Safety chains</w:t>
      </w:r>
      <w:bookmarkEnd w:id="821"/>
    </w:p>
    <w:p w:rsidR="006724FB" w:rsidRDefault="006724FB">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rsidR="006724FB" w:rsidRDefault="006724FB">
      <w:pPr>
        <w:pStyle w:val="Indenta"/>
        <w:rPr>
          <w:snapToGrid w:val="0"/>
        </w:rPr>
      </w:pPr>
      <w:r>
        <w:rPr>
          <w:snapToGrid w:val="0"/>
        </w:rPr>
        <w:tab/>
        <w:t>(a)</w:t>
      </w:r>
      <w:r>
        <w:rPr>
          <w:snapToGrid w:val="0"/>
        </w:rPr>
        <w:tab/>
        <w:t>safety chains that conform with and are fitted in accordance with subregulations (3) and (4); or</w:t>
      </w:r>
    </w:p>
    <w:p w:rsidR="006724FB" w:rsidRDefault="006724FB">
      <w:pPr>
        <w:pStyle w:val="Indenta"/>
        <w:rPr>
          <w:snapToGrid w:val="0"/>
        </w:rPr>
      </w:pPr>
      <w:r>
        <w:rPr>
          <w:snapToGrid w:val="0"/>
        </w:rPr>
        <w:tab/>
        <w:t>(b)</w:t>
      </w:r>
      <w:r>
        <w:rPr>
          <w:snapToGrid w:val="0"/>
        </w:rPr>
        <w:tab/>
        <w:t>a safe locking device that conforms with subregulation (2).</w:t>
      </w:r>
    </w:p>
    <w:p w:rsidR="006724FB" w:rsidRDefault="006724FB">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rsidR="006724FB" w:rsidRDefault="006724FB">
      <w:pPr>
        <w:pStyle w:val="Subsection"/>
        <w:rPr>
          <w:snapToGrid w:val="0"/>
        </w:rPr>
      </w:pPr>
      <w:r>
        <w:rPr>
          <w:snapToGrid w:val="0"/>
        </w:rPr>
        <w:tab/>
        <w:t>(3)</w:t>
      </w:r>
      <w:r>
        <w:rPr>
          <w:snapToGrid w:val="0"/>
        </w:rPr>
        <w:tab/>
        <w:t xml:space="preserve">Safety chains mentioned in subregulation (1) must — </w:t>
      </w:r>
    </w:p>
    <w:p w:rsidR="006724FB" w:rsidRDefault="006724FB">
      <w:pPr>
        <w:pStyle w:val="Indenta"/>
        <w:rPr>
          <w:snapToGrid w:val="0"/>
        </w:rPr>
      </w:pPr>
      <w:r>
        <w:rPr>
          <w:snapToGrid w:val="0"/>
        </w:rPr>
        <w:tab/>
        <w:t>(a)</w:t>
      </w:r>
      <w:r>
        <w:rPr>
          <w:snapToGrid w:val="0"/>
        </w:rPr>
        <w:tab/>
        <w:t>consist of 2 chains; and</w:t>
      </w:r>
    </w:p>
    <w:p w:rsidR="006724FB" w:rsidRDefault="006724FB">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rsidR="006724FB" w:rsidRDefault="006724FB">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rsidR="006724FB" w:rsidRDefault="006724FB">
      <w:pPr>
        <w:pStyle w:val="Indenta"/>
        <w:rPr>
          <w:snapToGrid w:val="0"/>
        </w:rPr>
      </w:pPr>
      <w:r>
        <w:rPr>
          <w:snapToGrid w:val="0"/>
        </w:rPr>
        <w:tab/>
        <w:t>(d)</w:t>
      </w:r>
      <w:r>
        <w:rPr>
          <w:snapToGrid w:val="0"/>
        </w:rPr>
        <w:tab/>
        <w:t>not be liable to accidental disconnection; and</w:t>
      </w:r>
    </w:p>
    <w:p w:rsidR="006724FB" w:rsidRDefault="006724FB">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rsidR="006724FB" w:rsidRDefault="006724FB">
      <w:pPr>
        <w:pStyle w:val="Subsection"/>
        <w:keepNext/>
        <w:rPr>
          <w:snapToGrid w:val="0"/>
        </w:rPr>
      </w:pPr>
      <w:r>
        <w:rPr>
          <w:snapToGrid w:val="0"/>
        </w:rPr>
        <w:tab/>
        <w:t>(4)</w:t>
      </w:r>
      <w:r>
        <w:rPr>
          <w:snapToGrid w:val="0"/>
        </w:rPr>
        <w:tab/>
        <w:t xml:space="preserve">The chains mentioned in subregulation (3)(a) must — </w:t>
      </w:r>
    </w:p>
    <w:p w:rsidR="006724FB" w:rsidRDefault="006724FB">
      <w:pPr>
        <w:pStyle w:val="Indenta"/>
        <w:rPr>
          <w:snapToGrid w:val="0"/>
        </w:rPr>
      </w:pPr>
      <w:r>
        <w:rPr>
          <w:snapToGrid w:val="0"/>
        </w:rPr>
        <w:tab/>
        <w:t>(a)</w:t>
      </w:r>
      <w:r>
        <w:rPr>
          <w:snapToGrid w:val="0"/>
        </w:rPr>
        <w:tab/>
        <w:t>be as short as practicable; and</w:t>
      </w:r>
    </w:p>
    <w:p w:rsidR="006724FB" w:rsidRDefault="006724FB">
      <w:pPr>
        <w:pStyle w:val="Indenta"/>
        <w:keepLines/>
        <w:rPr>
          <w:snapToGrid w:val="0"/>
        </w:rPr>
      </w:pPr>
      <w:r>
        <w:rPr>
          <w:snapToGrid w:val="0"/>
        </w:rPr>
        <w:lastRenderedPageBreak/>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rsidR="006724FB" w:rsidRDefault="006724FB">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rsidR="006724FB" w:rsidRDefault="006724FB">
      <w:pPr>
        <w:pStyle w:val="Indenta"/>
        <w:rPr>
          <w:snapToGrid w:val="0"/>
        </w:rPr>
      </w:pPr>
      <w:r>
        <w:rPr>
          <w:snapToGrid w:val="0"/>
        </w:rPr>
        <w:tab/>
        <w:t>(d)</w:t>
      </w:r>
      <w:r>
        <w:rPr>
          <w:snapToGrid w:val="0"/>
        </w:rPr>
        <w:tab/>
        <w:t>each have links with the constituent metal thereof having a minimum diameter of 10 mm; and</w:t>
      </w:r>
    </w:p>
    <w:p w:rsidR="006724FB" w:rsidRDefault="006724FB">
      <w:pPr>
        <w:pStyle w:val="Indenta"/>
        <w:rPr>
          <w:snapToGrid w:val="0"/>
        </w:rPr>
      </w:pPr>
      <w:r>
        <w:rPr>
          <w:snapToGrid w:val="0"/>
        </w:rPr>
        <w:tab/>
        <w:t>(e)</w:t>
      </w:r>
      <w:r>
        <w:rPr>
          <w:snapToGrid w:val="0"/>
        </w:rPr>
        <w:tab/>
        <w:t>each be attached to each end by a ring or shackle which is made of steel with a minimum diameter of 10 mm.</w:t>
      </w:r>
    </w:p>
    <w:p w:rsidR="006724FB" w:rsidRDefault="006724FB">
      <w:pPr>
        <w:pStyle w:val="Heading5"/>
        <w:rPr>
          <w:snapToGrid w:val="0"/>
        </w:rPr>
      </w:pPr>
      <w:bookmarkStart w:id="822" w:name="_Toc75876061"/>
      <w:r>
        <w:rPr>
          <w:rStyle w:val="CharSectno"/>
        </w:rPr>
        <w:t>436</w:t>
      </w:r>
      <w:r>
        <w:t>.</w:t>
      </w:r>
      <w:r>
        <w:tab/>
      </w:r>
      <w:r>
        <w:rPr>
          <w:snapToGrid w:val="0"/>
        </w:rPr>
        <w:t>Portable warning signs</w:t>
      </w:r>
      <w:bookmarkEnd w:id="822"/>
    </w:p>
    <w:p w:rsidR="006724FB" w:rsidRDefault="006724FB">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rsidR="006724FB" w:rsidRDefault="006724FB">
      <w:pPr>
        <w:pStyle w:val="Heading5"/>
        <w:rPr>
          <w:snapToGrid w:val="0"/>
        </w:rPr>
      </w:pPr>
      <w:bookmarkStart w:id="823" w:name="_Toc75876062"/>
      <w:r>
        <w:rPr>
          <w:rStyle w:val="CharSectno"/>
        </w:rPr>
        <w:t>437</w:t>
      </w:r>
      <w:r>
        <w:t>.</w:t>
      </w:r>
      <w:r>
        <w:tab/>
      </w:r>
      <w:r>
        <w:rPr>
          <w:snapToGrid w:val="0"/>
        </w:rPr>
        <w:t>Towed mass ratios</w:t>
      </w:r>
      <w:bookmarkEnd w:id="823"/>
    </w:p>
    <w:p w:rsidR="006724FB" w:rsidRDefault="006724FB">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rsidR="006724FB" w:rsidRDefault="006724FB">
      <w:pPr>
        <w:pStyle w:val="Heading5"/>
        <w:rPr>
          <w:snapToGrid w:val="0"/>
        </w:rPr>
      </w:pPr>
      <w:bookmarkStart w:id="824" w:name="_Toc75876063"/>
      <w:r>
        <w:rPr>
          <w:rStyle w:val="CharSectno"/>
        </w:rPr>
        <w:t>438</w:t>
      </w:r>
      <w:r>
        <w:t>.</w:t>
      </w:r>
      <w:r>
        <w:tab/>
        <w:t>Lighting for night t</w:t>
      </w:r>
      <w:r>
        <w:rPr>
          <w:snapToGrid w:val="0"/>
        </w:rPr>
        <w:t>owing</w:t>
      </w:r>
      <w:bookmarkEnd w:id="824"/>
    </w:p>
    <w:p w:rsidR="006724FB" w:rsidRDefault="006724FB">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rsidR="006724FB" w:rsidRDefault="006724FB">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rsidR="006724FB" w:rsidRDefault="006724FB">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rsidR="006724FB" w:rsidRDefault="006724FB">
      <w:pPr>
        <w:pStyle w:val="Indenta"/>
        <w:rPr>
          <w:snapToGrid w:val="0"/>
        </w:rPr>
      </w:pPr>
      <w:r>
        <w:rPr>
          <w:snapToGrid w:val="0"/>
        </w:rPr>
        <w:lastRenderedPageBreak/>
        <w:tab/>
        <w:t>(b)</w:t>
      </w:r>
      <w:r>
        <w:rPr>
          <w:snapToGrid w:val="0"/>
        </w:rPr>
        <w:tab/>
        <w:t>complies with regulations 429, 430, 431 and 432.</w:t>
      </w:r>
    </w:p>
    <w:p w:rsidR="006724FB" w:rsidRDefault="006724FB">
      <w:pPr>
        <w:pStyle w:val="Heading5"/>
        <w:rPr>
          <w:snapToGrid w:val="0"/>
        </w:rPr>
      </w:pPr>
      <w:bookmarkStart w:id="825" w:name="_Toc75876064"/>
      <w:r>
        <w:rPr>
          <w:rStyle w:val="CharSectno"/>
        </w:rPr>
        <w:t>439</w:t>
      </w:r>
      <w:r>
        <w:t>.</w:t>
      </w:r>
      <w:r>
        <w:tab/>
      </w:r>
      <w:r>
        <w:rPr>
          <w:snapToGrid w:val="0"/>
        </w:rPr>
        <w:t>Brakes</w:t>
      </w:r>
      <w:bookmarkEnd w:id="825"/>
    </w:p>
    <w:p w:rsidR="006724FB" w:rsidRDefault="006724FB">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rsidR="006724FB" w:rsidRDefault="006724FB">
      <w:pPr>
        <w:pStyle w:val="Indenta"/>
        <w:rPr>
          <w:snapToGrid w:val="0"/>
        </w:rPr>
      </w:pPr>
      <w:r>
        <w:rPr>
          <w:snapToGrid w:val="0"/>
        </w:rPr>
        <w:tab/>
        <w:t>(a)</w:t>
      </w:r>
      <w:r>
        <w:rPr>
          <w:snapToGrid w:val="0"/>
        </w:rPr>
        <w:tab/>
        <w:t>a speed of 30 km/h; or</w:t>
      </w:r>
    </w:p>
    <w:p w:rsidR="006724FB" w:rsidRDefault="006724FB">
      <w:pPr>
        <w:pStyle w:val="Indenta"/>
        <w:rPr>
          <w:snapToGrid w:val="0"/>
        </w:rPr>
      </w:pPr>
      <w:r>
        <w:rPr>
          <w:snapToGrid w:val="0"/>
        </w:rPr>
        <w:tab/>
        <w:t>(b)</w:t>
      </w:r>
      <w:r>
        <w:rPr>
          <w:snapToGrid w:val="0"/>
        </w:rPr>
        <w:tab/>
        <w:t>the maximum speed of which it is capable.</w:t>
      </w:r>
    </w:p>
    <w:p w:rsidR="006724FB" w:rsidRDefault="006724FB">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rsidR="006724FB" w:rsidRDefault="006724FB">
      <w:pPr>
        <w:pStyle w:val="Heading5"/>
        <w:spacing w:before="180"/>
      </w:pPr>
      <w:bookmarkStart w:id="826" w:name="_Toc75876065"/>
      <w:r>
        <w:rPr>
          <w:rStyle w:val="CharSectno"/>
        </w:rPr>
        <w:t>440</w:t>
      </w:r>
      <w:r>
        <w:t>.</w:t>
      </w:r>
      <w:r>
        <w:tab/>
        <w:t>Headlights</w:t>
      </w:r>
      <w:bookmarkEnd w:id="826"/>
    </w:p>
    <w:p w:rsidR="006724FB" w:rsidRDefault="006724FB">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rsidR="006724FB" w:rsidRDefault="006724FB">
      <w:pPr>
        <w:pStyle w:val="Heading5"/>
        <w:spacing w:before="180"/>
        <w:rPr>
          <w:snapToGrid w:val="0"/>
        </w:rPr>
      </w:pPr>
      <w:bookmarkStart w:id="827" w:name="_Toc75876066"/>
      <w:r>
        <w:rPr>
          <w:rStyle w:val="CharSectno"/>
        </w:rPr>
        <w:t>441</w:t>
      </w:r>
      <w:r>
        <w:t>.</w:t>
      </w:r>
      <w:r>
        <w:tab/>
      </w:r>
      <w:r>
        <w:rPr>
          <w:snapToGrid w:val="0"/>
        </w:rPr>
        <w:t>Mirrors</w:t>
      </w:r>
      <w:bookmarkEnd w:id="827"/>
    </w:p>
    <w:p w:rsidR="006724FB" w:rsidRDefault="006724FB">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rsidR="006724FB" w:rsidRDefault="006724FB">
      <w:pPr>
        <w:pStyle w:val="Heading5"/>
        <w:spacing w:before="180"/>
        <w:rPr>
          <w:snapToGrid w:val="0"/>
        </w:rPr>
      </w:pPr>
      <w:bookmarkStart w:id="828" w:name="_Toc75876067"/>
      <w:r>
        <w:rPr>
          <w:rStyle w:val="CharSectno"/>
        </w:rPr>
        <w:t>442</w:t>
      </w:r>
      <w:r>
        <w:t>.</w:t>
      </w:r>
      <w:r>
        <w:tab/>
      </w:r>
      <w:r>
        <w:rPr>
          <w:snapToGrid w:val="0"/>
        </w:rPr>
        <w:t>Warning flags</w:t>
      </w:r>
      <w:bookmarkEnd w:id="828"/>
    </w:p>
    <w:p w:rsidR="006724FB" w:rsidRDefault="006724FB">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rsidR="006724FB" w:rsidRDefault="006724FB" w:rsidP="00E1452C">
      <w:pPr>
        <w:pStyle w:val="Heading5"/>
        <w:rPr>
          <w:snapToGrid w:val="0"/>
        </w:rPr>
      </w:pPr>
      <w:bookmarkStart w:id="829" w:name="_Toc75876068"/>
      <w:r>
        <w:rPr>
          <w:rStyle w:val="CharSectno"/>
        </w:rPr>
        <w:lastRenderedPageBreak/>
        <w:t>443</w:t>
      </w:r>
      <w:r>
        <w:t>.</w:t>
      </w:r>
      <w:r>
        <w:tab/>
      </w:r>
      <w:r>
        <w:rPr>
          <w:snapToGrid w:val="0"/>
        </w:rPr>
        <w:t>Certain vehicles may be equipped with flashing amber light</w:t>
      </w:r>
      <w:bookmarkEnd w:id="829"/>
    </w:p>
    <w:p w:rsidR="006724FB" w:rsidRDefault="006724FB">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rsidR="006724FB" w:rsidRDefault="006724FB">
      <w:pPr>
        <w:pStyle w:val="Indenta"/>
        <w:rPr>
          <w:snapToGrid w:val="0"/>
        </w:rPr>
      </w:pPr>
      <w:r>
        <w:rPr>
          <w:snapToGrid w:val="0"/>
        </w:rPr>
        <w:tab/>
        <w:t>(a)</w:t>
      </w:r>
      <w:r>
        <w:rPr>
          <w:snapToGrid w:val="0"/>
        </w:rPr>
        <w:tab/>
        <w:t xml:space="preserve">the towing vehicle is towing, on a road — </w:t>
      </w:r>
    </w:p>
    <w:p w:rsidR="006724FB" w:rsidRDefault="006724FB">
      <w:pPr>
        <w:pStyle w:val="Indenti"/>
        <w:rPr>
          <w:snapToGrid w:val="0"/>
        </w:rPr>
      </w:pPr>
      <w:r>
        <w:rPr>
          <w:snapToGrid w:val="0"/>
        </w:rPr>
        <w:tab/>
        <w:t>(i)</w:t>
      </w:r>
      <w:r>
        <w:rPr>
          <w:snapToGrid w:val="0"/>
        </w:rPr>
        <w:tab/>
      </w:r>
      <w:r>
        <w:t>a towed vehicle at night</w:t>
      </w:r>
      <w:r>
        <w:rPr>
          <w:snapToGrid w:val="0"/>
        </w:rPr>
        <w:t>; or</w:t>
      </w:r>
    </w:p>
    <w:p w:rsidR="006724FB" w:rsidRDefault="006724FB">
      <w:pPr>
        <w:pStyle w:val="Indenti"/>
        <w:rPr>
          <w:snapToGrid w:val="0"/>
        </w:rPr>
      </w:pPr>
      <w:r>
        <w:rPr>
          <w:snapToGrid w:val="0"/>
        </w:rPr>
        <w:tab/>
        <w:t>(ii)</w:t>
      </w:r>
      <w:r>
        <w:rPr>
          <w:snapToGrid w:val="0"/>
        </w:rPr>
        <w:tab/>
      </w:r>
      <w:r>
        <w:t xml:space="preserve">a towed vehicle </w:t>
      </w:r>
      <w:r>
        <w:rPr>
          <w:snapToGrid w:val="0"/>
        </w:rPr>
        <w:t>exceeding 2.5 m in width and 25 m in length; or</w:t>
      </w:r>
    </w:p>
    <w:p w:rsidR="006724FB" w:rsidRDefault="006724FB">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rsidR="006724FB" w:rsidRDefault="006724FB">
      <w:pPr>
        <w:pStyle w:val="Indenta"/>
      </w:pPr>
      <w:r>
        <w:tab/>
      </w:r>
      <w:r>
        <w:tab/>
        <w:t>or</w:t>
      </w:r>
    </w:p>
    <w:p w:rsidR="006724FB" w:rsidRDefault="006724FB">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rsidR="006724FB" w:rsidRDefault="006724FB">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rsidR="006724FB" w:rsidRDefault="006724FB">
      <w:pPr>
        <w:pStyle w:val="Heading5"/>
        <w:rPr>
          <w:snapToGrid w:val="0"/>
        </w:rPr>
      </w:pPr>
      <w:bookmarkStart w:id="830" w:name="_Toc75876069"/>
      <w:r>
        <w:rPr>
          <w:rStyle w:val="CharSectno"/>
        </w:rPr>
        <w:t>444</w:t>
      </w:r>
      <w:r>
        <w:t>.</w:t>
      </w:r>
      <w:r>
        <w:tab/>
      </w:r>
      <w:r>
        <w:rPr>
          <w:snapToGrid w:val="0"/>
        </w:rPr>
        <w:t xml:space="preserve">Warning signs for oversize </w:t>
      </w:r>
      <w:r>
        <w:t>agricultural</w:t>
      </w:r>
      <w:r>
        <w:rPr>
          <w:snapToGrid w:val="0"/>
        </w:rPr>
        <w:t xml:space="preserve"> combinations</w:t>
      </w:r>
      <w:bookmarkEnd w:id="830"/>
    </w:p>
    <w:p w:rsidR="006724FB" w:rsidRDefault="006724FB">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rsidR="006724FB" w:rsidRDefault="006724FB">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rsidR="006724FB" w:rsidRDefault="006724FB">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rsidR="006724FB" w:rsidRDefault="006724FB">
      <w:pPr>
        <w:pStyle w:val="Subsection"/>
        <w:rPr>
          <w:snapToGrid w:val="0"/>
        </w:rPr>
      </w:pPr>
      <w:r>
        <w:rPr>
          <w:snapToGrid w:val="0"/>
        </w:rPr>
        <w:tab/>
        <w:t>(2)</w:t>
      </w:r>
      <w:r>
        <w:rPr>
          <w:snapToGrid w:val="0"/>
        </w:rPr>
        <w:tab/>
        <w:t>Warning signs mentioned in subregulation (1) and warning signs on pilot vehicles must —</w:t>
      </w:r>
    </w:p>
    <w:p w:rsidR="006724FB" w:rsidRDefault="006724FB">
      <w:pPr>
        <w:pStyle w:val="Indenta"/>
        <w:rPr>
          <w:snapToGrid w:val="0"/>
        </w:rPr>
      </w:pPr>
      <w:r>
        <w:rPr>
          <w:snapToGrid w:val="0"/>
        </w:rPr>
        <w:tab/>
        <w:t>(a)</w:t>
      </w:r>
      <w:r>
        <w:rPr>
          <w:snapToGrid w:val="0"/>
        </w:rPr>
        <w:tab/>
        <w:t>subject to subregulation (3), be made of a rigid material; and</w:t>
      </w:r>
    </w:p>
    <w:p w:rsidR="006724FB" w:rsidRDefault="006724FB">
      <w:pPr>
        <w:pStyle w:val="Indenta"/>
        <w:rPr>
          <w:snapToGrid w:val="0"/>
        </w:rPr>
      </w:pPr>
      <w:r>
        <w:rPr>
          <w:snapToGrid w:val="0"/>
        </w:rPr>
        <w:lastRenderedPageBreak/>
        <w:tab/>
        <w:t>(b)</w:t>
      </w:r>
      <w:r>
        <w:rPr>
          <w:snapToGrid w:val="0"/>
        </w:rPr>
        <w:tab/>
        <w:t xml:space="preserve">have in black lettering on a yellow reflective background in upper case and at least — </w:t>
      </w:r>
    </w:p>
    <w:p w:rsidR="006724FB" w:rsidRDefault="006724FB">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rsidR="006724FB" w:rsidRDefault="006724FB">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rsidR="006724FB" w:rsidRDefault="006724FB">
      <w:pPr>
        <w:pStyle w:val="Indenta"/>
        <w:rPr>
          <w:snapToGrid w:val="0"/>
        </w:rPr>
      </w:pPr>
      <w:r>
        <w:rPr>
          <w:snapToGrid w:val="0"/>
        </w:rPr>
        <w:tab/>
      </w:r>
      <w:r>
        <w:rPr>
          <w:snapToGrid w:val="0"/>
        </w:rPr>
        <w:tab/>
        <w:t>and</w:t>
      </w:r>
    </w:p>
    <w:p w:rsidR="006724FB" w:rsidRDefault="006724FB">
      <w:pPr>
        <w:pStyle w:val="Indenta"/>
        <w:rPr>
          <w:snapToGrid w:val="0"/>
        </w:rPr>
      </w:pPr>
      <w:r>
        <w:rPr>
          <w:snapToGrid w:val="0"/>
        </w:rPr>
        <w:tab/>
        <w:t>(c)</w:t>
      </w:r>
      <w:r>
        <w:rPr>
          <w:snapToGrid w:val="0"/>
        </w:rPr>
        <w:tab/>
        <w:t xml:space="preserve">be of these dimensions — </w:t>
      </w:r>
    </w:p>
    <w:p w:rsidR="006724FB" w:rsidRDefault="006724FB">
      <w:pPr>
        <w:pStyle w:val="Indenti"/>
        <w:rPr>
          <w:snapToGrid w:val="0"/>
        </w:rPr>
      </w:pPr>
      <w:r>
        <w:rPr>
          <w:snapToGrid w:val="0"/>
        </w:rPr>
        <w:tab/>
        <w:t>(i)</w:t>
      </w:r>
      <w:r>
        <w:rPr>
          <w:snapToGrid w:val="0"/>
        </w:rPr>
        <w:tab/>
        <w:t>1 200 mm long and 450 mm wide in the case of a single line of lettering;</w:t>
      </w:r>
    </w:p>
    <w:p w:rsidR="006724FB" w:rsidRDefault="006724FB">
      <w:pPr>
        <w:pStyle w:val="Indenti"/>
        <w:rPr>
          <w:snapToGrid w:val="0"/>
        </w:rPr>
      </w:pPr>
      <w:r>
        <w:rPr>
          <w:snapToGrid w:val="0"/>
        </w:rPr>
        <w:tab/>
        <w:t>(ii)</w:t>
      </w:r>
      <w:r>
        <w:rPr>
          <w:snapToGrid w:val="0"/>
        </w:rPr>
        <w:tab/>
        <w:t>1 200 mm long and 600 mm wide in the case of a double line of lettering.</w:t>
      </w:r>
    </w:p>
    <w:p w:rsidR="006724FB" w:rsidRDefault="006724FB">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rsidR="006724FB" w:rsidRDefault="006724FB">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rsidR="006724FB" w:rsidRDefault="006724FB">
      <w:pPr>
        <w:pStyle w:val="Indenta"/>
      </w:pPr>
      <w:r>
        <w:tab/>
      </w:r>
      <w:r>
        <w:rPr>
          <w:snapToGrid w:val="0"/>
        </w:rPr>
        <w:t>(a)</w:t>
      </w:r>
      <w:r>
        <w:tab/>
        <w:t>has a loaded mass that does not exceed 4.5 t; and</w:t>
      </w:r>
    </w:p>
    <w:p w:rsidR="006724FB" w:rsidRDefault="006724FB">
      <w:pPr>
        <w:pStyle w:val="Indenta"/>
        <w:rPr>
          <w:snapToGrid w:val="0"/>
        </w:rPr>
      </w:pPr>
      <w:r>
        <w:rPr>
          <w:snapToGrid w:val="0"/>
        </w:rPr>
        <w:tab/>
        <w:t>(b)</w:t>
      </w:r>
      <w:r>
        <w:rPr>
          <w:snapToGrid w:val="0"/>
        </w:rPr>
        <w:tab/>
        <w:t xml:space="preserve">together with the trailer or implement, if any, does not exceed 25 m in length or 2.5 m in width. </w:t>
      </w:r>
    </w:p>
    <w:p w:rsidR="006724FB" w:rsidRDefault="006724FB">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rsidR="006724FB" w:rsidRDefault="006724FB">
      <w:pPr>
        <w:pStyle w:val="Heading5"/>
        <w:rPr>
          <w:b w:val="0"/>
        </w:rPr>
      </w:pPr>
      <w:bookmarkStart w:id="831" w:name="_Toc75876070"/>
      <w:r>
        <w:rPr>
          <w:rStyle w:val="CharSectno"/>
        </w:rPr>
        <w:lastRenderedPageBreak/>
        <w:t>445</w:t>
      </w:r>
      <w:r>
        <w:t>.</w:t>
      </w:r>
      <w:r>
        <w:tab/>
        <w:t>Communication devices</w:t>
      </w:r>
      <w:bookmarkEnd w:id="831"/>
    </w:p>
    <w:p w:rsidR="006724FB" w:rsidRDefault="006724FB">
      <w:pPr>
        <w:pStyle w:val="Subsection"/>
        <w:keepLines/>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rsidR="006724FB" w:rsidRDefault="006724FB">
      <w:pPr>
        <w:pStyle w:val="Subsection"/>
        <w:spacing w:before="180"/>
      </w:pPr>
      <w:r>
        <w:tab/>
      </w:r>
      <w:r>
        <w:rPr>
          <w:snapToGrid w:val="0"/>
        </w:rPr>
        <w:t>(2)</w:t>
      </w:r>
      <w:r>
        <w:tab/>
        <w:t xml:space="preserve">Subregulation (1) does not apply if — </w:t>
      </w:r>
    </w:p>
    <w:p w:rsidR="006724FB" w:rsidRDefault="006724FB">
      <w:pPr>
        <w:pStyle w:val="Indenta"/>
      </w:pPr>
      <w:r>
        <w:tab/>
      </w:r>
      <w:r>
        <w:rPr>
          <w:snapToGrid w:val="0"/>
        </w:rPr>
        <w:t>(a)</w:t>
      </w:r>
      <w:r>
        <w:tab/>
        <w:t>the combination includes an oversize agricultural machine; or</w:t>
      </w:r>
    </w:p>
    <w:p w:rsidR="006724FB" w:rsidRDefault="006724FB">
      <w:pPr>
        <w:pStyle w:val="Indenta"/>
      </w:pPr>
      <w:r>
        <w:tab/>
      </w:r>
      <w:r>
        <w:rPr>
          <w:snapToGrid w:val="0"/>
        </w:rPr>
        <w:t>(b)</w:t>
      </w:r>
      <w:r>
        <w:tab/>
        <w:t>the escort vehicle (if there is one) is a police vehicle.</w:t>
      </w:r>
    </w:p>
    <w:p w:rsidR="006724FB" w:rsidRDefault="006724FB">
      <w:pPr>
        <w:pStyle w:val="Heading5"/>
      </w:pPr>
      <w:bookmarkStart w:id="832" w:name="_Toc75876071"/>
      <w:r>
        <w:rPr>
          <w:rStyle w:val="CharSectno"/>
        </w:rPr>
        <w:t>446</w:t>
      </w:r>
      <w:r>
        <w:t>.</w:t>
      </w:r>
      <w:r>
        <w:tab/>
        <w:t>Vehicles other than agricultural implements</w:t>
      </w:r>
      <w:bookmarkEnd w:id="832"/>
    </w:p>
    <w:p w:rsidR="006724FB" w:rsidRDefault="006724FB">
      <w:pPr>
        <w:pStyle w:val="Subsection"/>
      </w:pPr>
      <w:r>
        <w:tab/>
      </w:r>
      <w:r>
        <w:rPr>
          <w:snapToGrid w:val="0"/>
        </w:rPr>
        <w:t>(1)</w:t>
      </w:r>
      <w:r>
        <w:tab/>
        <w:t xml:space="preserve">A vehicle, other than an agricultural implement, that — </w:t>
      </w:r>
    </w:p>
    <w:p w:rsidR="006724FB" w:rsidRDefault="006724FB">
      <w:pPr>
        <w:pStyle w:val="Indenta"/>
      </w:pPr>
      <w:r>
        <w:tab/>
      </w:r>
      <w:r>
        <w:rPr>
          <w:snapToGrid w:val="0"/>
        </w:rPr>
        <w:t>(a)</w:t>
      </w:r>
      <w:r>
        <w:tab/>
        <w:t>is a heavy vehicle; or</w:t>
      </w:r>
    </w:p>
    <w:p w:rsidR="006724FB" w:rsidRDefault="006724FB">
      <w:pPr>
        <w:pStyle w:val="Indenta"/>
      </w:pPr>
      <w:r>
        <w:tab/>
      </w:r>
      <w:r>
        <w:rPr>
          <w:snapToGrid w:val="0"/>
        </w:rPr>
        <w:t>(b)</w:t>
      </w:r>
      <w:r>
        <w:tab/>
        <w:t>exceeds 2.5 m in width,</w:t>
      </w:r>
    </w:p>
    <w:p w:rsidR="006724FB" w:rsidRDefault="006724FB">
      <w:pPr>
        <w:pStyle w:val="Subsection"/>
      </w:pPr>
      <w:r>
        <w:tab/>
      </w:r>
      <w:r>
        <w:tab/>
        <w:t>must not be towed in an agricultural combination.</w:t>
      </w:r>
    </w:p>
    <w:p w:rsidR="006724FB" w:rsidRDefault="006724FB">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rsidR="006724FB" w:rsidRDefault="006724FB">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rsidR="006724FB" w:rsidRDefault="006724FB">
      <w:pPr>
        <w:pStyle w:val="Subsection"/>
      </w:pPr>
      <w:r>
        <w:tab/>
      </w:r>
      <w:r>
        <w:rPr>
          <w:snapToGrid w:val="0"/>
        </w:rPr>
        <w:t>(4)</w:t>
      </w:r>
      <w:r>
        <w:tab/>
        <w:t xml:space="preserve">A vehicle, other than an agricultural implement, that is being towed in an agricultural combination must be attached to the vehicle in front of it by — </w:t>
      </w:r>
    </w:p>
    <w:p w:rsidR="006724FB" w:rsidRDefault="006724FB">
      <w:pPr>
        <w:pStyle w:val="Indenta"/>
      </w:pPr>
      <w:r>
        <w:tab/>
      </w:r>
      <w:r>
        <w:rPr>
          <w:snapToGrid w:val="0"/>
        </w:rPr>
        <w:t>(a)</w:t>
      </w:r>
      <w:r>
        <w:tab/>
        <w:t>a coupling which complies with these regulations; or</w:t>
      </w:r>
    </w:p>
    <w:p w:rsidR="006724FB" w:rsidRDefault="006724FB">
      <w:pPr>
        <w:pStyle w:val="Indenta"/>
        <w:rPr>
          <w:rStyle w:val="DraftersNotes"/>
        </w:rPr>
      </w:pPr>
      <w:r>
        <w:tab/>
      </w:r>
      <w:r>
        <w:rPr>
          <w:snapToGrid w:val="0"/>
        </w:rPr>
        <w:t>(b)</w:t>
      </w:r>
      <w:r>
        <w:tab/>
        <w:t>if the towed vehicle is a motor vehicle — a towing apparatus of a kind approved by the CEO.</w:t>
      </w:r>
    </w:p>
    <w:p w:rsidR="006724FB" w:rsidRDefault="006724FB" w:rsidP="00E1452C">
      <w:pPr>
        <w:pStyle w:val="Heading3"/>
      </w:pPr>
      <w:bookmarkStart w:id="833" w:name="_Toc75420148"/>
      <w:bookmarkStart w:id="834" w:name="_Toc75427484"/>
      <w:bookmarkStart w:id="835" w:name="_Toc75872900"/>
      <w:bookmarkStart w:id="836" w:name="_Toc75876072"/>
      <w:r>
        <w:rPr>
          <w:rStyle w:val="CharDivNo"/>
        </w:rPr>
        <w:lastRenderedPageBreak/>
        <w:t>Division 3</w:t>
      </w:r>
      <w:r>
        <w:t> — </w:t>
      </w:r>
      <w:r>
        <w:rPr>
          <w:rStyle w:val="CharDivText"/>
        </w:rPr>
        <w:t>Other obligations in relation to towing and towed agricultural implements</w:t>
      </w:r>
      <w:bookmarkEnd w:id="833"/>
      <w:bookmarkEnd w:id="834"/>
      <w:bookmarkEnd w:id="835"/>
      <w:bookmarkEnd w:id="836"/>
    </w:p>
    <w:p w:rsidR="006724FB" w:rsidRDefault="006724FB">
      <w:pPr>
        <w:pStyle w:val="Heading5"/>
        <w:rPr>
          <w:snapToGrid w:val="0"/>
        </w:rPr>
      </w:pPr>
      <w:bookmarkStart w:id="837" w:name="_Toc75876073"/>
      <w:r>
        <w:rPr>
          <w:rStyle w:val="CharSectno"/>
        </w:rPr>
        <w:t>447</w:t>
      </w:r>
      <w:r>
        <w:t>.</w:t>
      </w:r>
      <w:r>
        <w:tab/>
      </w:r>
      <w:r>
        <w:rPr>
          <w:snapToGrid w:val="0"/>
        </w:rPr>
        <w:t>Speed restrictions</w:t>
      </w:r>
      <w:bookmarkEnd w:id="837"/>
    </w:p>
    <w:p w:rsidR="006724FB" w:rsidRDefault="006724FB">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rsidR="006724FB" w:rsidRDefault="006724FB">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rsidR="006724FB" w:rsidRDefault="006724FB">
      <w:pPr>
        <w:pStyle w:val="Heading5"/>
        <w:rPr>
          <w:b w:val="0"/>
        </w:rPr>
      </w:pPr>
      <w:bookmarkStart w:id="838" w:name="_Toc75876074"/>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838"/>
    </w:p>
    <w:p w:rsidR="006724FB" w:rsidRDefault="006724FB">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rsidR="006724FB" w:rsidRDefault="006724FB">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rsidR="006724FB" w:rsidRDefault="006724FB">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rsidR="006724FB" w:rsidRDefault="006724FB">
      <w:pPr>
        <w:pStyle w:val="Heading5"/>
        <w:rPr>
          <w:snapToGrid w:val="0"/>
        </w:rPr>
      </w:pPr>
      <w:bookmarkStart w:id="839" w:name="_Toc75876075"/>
      <w:r>
        <w:rPr>
          <w:rStyle w:val="CharSectno"/>
        </w:rPr>
        <w:t>449</w:t>
      </w:r>
      <w:r>
        <w:t>.</w:t>
      </w:r>
      <w:r>
        <w:tab/>
      </w:r>
      <w:r>
        <w:rPr>
          <w:snapToGrid w:val="0"/>
        </w:rPr>
        <w:t xml:space="preserve">Parking of </w:t>
      </w:r>
      <w:r>
        <w:t>agricultural</w:t>
      </w:r>
      <w:r>
        <w:rPr>
          <w:snapToGrid w:val="0"/>
        </w:rPr>
        <w:t xml:space="preserve"> combinations on a carriageway</w:t>
      </w:r>
      <w:bookmarkEnd w:id="839"/>
    </w:p>
    <w:p w:rsidR="006724FB" w:rsidRDefault="006724FB">
      <w:pPr>
        <w:pStyle w:val="Subsection"/>
        <w:rPr>
          <w:snapToGrid w:val="0"/>
        </w:rPr>
      </w:pPr>
      <w:r>
        <w:rPr>
          <w:snapToGrid w:val="0"/>
        </w:rPr>
        <w:tab/>
        <w:t>(1)</w:t>
      </w:r>
      <w:r>
        <w:rPr>
          <w:snapToGrid w:val="0"/>
        </w:rPr>
        <w:tab/>
        <w:t xml:space="preserve">In this regulation — </w:t>
      </w:r>
    </w:p>
    <w:p w:rsidR="006724FB" w:rsidRDefault="006724FB">
      <w:pPr>
        <w:pStyle w:val="Defstart"/>
      </w:pPr>
      <w:r>
        <w:tab/>
      </w:r>
      <w:r>
        <w:rPr>
          <w:rStyle w:val="CharDefText"/>
        </w:rPr>
        <w:t>built</w:t>
      </w:r>
      <w:r>
        <w:rPr>
          <w:rStyle w:val="CharDefText"/>
        </w:rPr>
        <w:noBreakHyphen/>
        <w:t>up area</w:t>
      </w:r>
      <w:r>
        <w:t xml:space="preserve"> means the territory contiguous to and including any road — </w:t>
      </w:r>
    </w:p>
    <w:p w:rsidR="006724FB" w:rsidRDefault="006724FB">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rsidR="006724FB" w:rsidRDefault="006724FB">
      <w:pPr>
        <w:pStyle w:val="Indenta"/>
        <w:rPr>
          <w:snapToGrid w:val="0"/>
        </w:rPr>
      </w:pPr>
      <w:r>
        <w:rPr>
          <w:snapToGrid w:val="0"/>
        </w:rPr>
        <w:lastRenderedPageBreak/>
        <w:tab/>
        <w:t>(b)</w:t>
      </w:r>
      <w:r>
        <w:rPr>
          <w:snapToGrid w:val="0"/>
        </w:rPr>
        <w:tab/>
        <w:t>which is built</w:t>
      </w:r>
      <w:r>
        <w:rPr>
          <w:snapToGrid w:val="0"/>
        </w:rPr>
        <w:noBreakHyphen/>
        <w:t>up with structures devoted to business, industry or dwelling houses at intervals of less than 500 m; or</w:t>
      </w:r>
    </w:p>
    <w:p w:rsidR="006724FB" w:rsidRDefault="006724FB">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rsidR="006724FB" w:rsidRDefault="006724FB">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rsidR="006724FB" w:rsidRDefault="006724FB">
      <w:pPr>
        <w:pStyle w:val="Indenta"/>
        <w:rPr>
          <w:snapToGrid w:val="0"/>
        </w:rPr>
      </w:pPr>
      <w:r>
        <w:rPr>
          <w:snapToGrid w:val="0"/>
        </w:rPr>
        <w:tab/>
        <w:t>(a)</w:t>
      </w:r>
      <w:r>
        <w:rPr>
          <w:snapToGrid w:val="0"/>
        </w:rPr>
        <w:tab/>
        <w:t>in a built</w:t>
      </w:r>
      <w:r>
        <w:rPr>
          <w:snapToGrid w:val="0"/>
        </w:rPr>
        <w:noBreakHyphen/>
        <w:t>up area; or</w:t>
      </w:r>
    </w:p>
    <w:p w:rsidR="006724FB" w:rsidRDefault="006724FB">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rsidR="006724FB" w:rsidRDefault="006724FB">
      <w:pPr>
        <w:pStyle w:val="Heading5"/>
        <w:rPr>
          <w:snapToGrid w:val="0"/>
        </w:rPr>
      </w:pPr>
      <w:bookmarkStart w:id="840" w:name="_Toc75876076"/>
      <w:r>
        <w:rPr>
          <w:rStyle w:val="CharSectno"/>
        </w:rPr>
        <w:t>450</w:t>
      </w:r>
      <w:r>
        <w:t>.</w:t>
      </w:r>
      <w:r>
        <w:tab/>
      </w:r>
      <w:r>
        <w:rPr>
          <w:snapToGrid w:val="0"/>
        </w:rPr>
        <w:t>Convoys</w:t>
      </w:r>
      <w:bookmarkEnd w:id="840"/>
    </w:p>
    <w:p w:rsidR="006724FB" w:rsidRDefault="006724FB">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rsidR="006724FB" w:rsidRDefault="006724FB">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rsidR="006724FB" w:rsidRDefault="006724FB">
      <w:pPr>
        <w:pStyle w:val="Heading5"/>
      </w:pPr>
      <w:bookmarkStart w:id="841" w:name="_Toc75876077"/>
      <w:r>
        <w:rPr>
          <w:rStyle w:val="CharSectno"/>
        </w:rPr>
        <w:t>451</w:t>
      </w:r>
      <w:r>
        <w:t>.</w:t>
      </w:r>
      <w:r>
        <w:tab/>
        <w:t>Limit on number of towed vehicles</w:t>
      </w:r>
      <w:bookmarkEnd w:id="841"/>
    </w:p>
    <w:p w:rsidR="006724FB" w:rsidRDefault="006724FB">
      <w:pPr>
        <w:pStyle w:val="Subsection"/>
      </w:pPr>
      <w:r>
        <w:tab/>
      </w:r>
      <w:r>
        <w:rPr>
          <w:snapToGrid w:val="0"/>
        </w:rPr>
        <w:t>(1)</w:t>
      </w:r>
      <w:r>
        <w:tab/>
        <w:t xml:space="preserve">The maximum number of agricultural implements that may be towed in an agricultural combination is — </w:t>
      </w:r>
    </w:p>
    <w:p w:rsidR="006724FB" w:rsidRDefault="006724FB">
      <w:pPr>
        <w:pStyle w:val="Indenta"/>
      </w:pPr>
      <w:r>
        <w:tab/>
      </w:r>
      <w:r>
        <w:rPr>
          <w:snapToGrid w:val="0"/>
        </w:rPr>
        <w:t>(a)</w:t>
      </w:r>
      <w:r>
        <w:tab/>
        <w:t>if no other vehicles are being towed in the agricultural combination — 3 agricultural implements; or</w:t>
      </w:r>
    </w:p>
    <w:p w:rsidR="006724FB" w:rsidRDefault="006724FB">
      <w:pPr>
        <w:pStyle w:val="Indenta"/>
      </w:pPr>
      <w:r>
        <w:tab/>
      </w:r>
      <w:r>
        <w:rPr>
          <w:snapToGrid w:val="0"/>
        </w:rPr>
        <w:t>(b)</w:t>
      </w:r>
      <w:r>
        <w:tab/>
        <w:t>if one other vehicle is being towed in the agricultural combination — 2 agricultural implements.</w:t>
      </w:r>
    </w:p>
    <w:p w:rsidR="006724FB" w:rsidRDefault="006724FB">
      <w:pPr>
        <w:pStyle w:val="Subsection"/>
      </w:pPr>
      <w:r>
        <w:lastRenderedPageBreak/>
        <w:tab/>
      </w:r>
      <w:r>
        <w:rPr>
          <w:snapToGrid w:val="0"/>
        </w:rPr>
        <w:t>(2)</w:t>
      </w:r>
      <w:r>
        <w:tab/>
        <w:t>Only one vehicle that is not an agricultural implement may be towed in an agricultural combination.</w:t>
      </w:r>
    </w:p>
    <w:p w:rsidR="006724FB" w:rsidRDefault="006724FB">
      <w:pPr>
        <w:pStyle w:val="Heading5"/>
        <w:rPr>
          <w:snapToGrid w:val="0"/>
        </w:rPr>
      </w:pPr>
      <w:bookmarkStart w:id="842" w:name="_Toc75876078"/>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842"/>
    </w:p>
    <w:p w:rsidR="006724FB" w:rsidRDefault="006724FB">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rsidR="006724FB" w:rsidRDefault="006724FB">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rsidR="006724FB" w:rsidRDefault="006724FB">
      <w:pPr>
        <w:pStyle w:val="Subsection"/>
        <w:rPr>
          <w:snapToGrid w:val="0"/>
        </w:rPr>
      </w:pPr>
      <w:r>
        <w:rPr>
          <w:snapToGrid w:val="0"/>
        </w:rPr>
        <w:tab/>
        <w:t>(3)</w:t>
      </w:r>
      <w:r>
        <w:rPr>
          <w:snapToGrid w:val="0"/>
        </w:rPr>
        <w:tab/>
        <w:t>A written permission has effect for 12 months from the day it is obtained.</w:t>
      </w:r>
    </w:p>
    <w:p w:rsidR="006724FB" w:rsidRDefault="006724FB">
      <w:pPr>
        <w:pStyle w:val="Heading5"/>
        <w:rPr>
          <w:rStyle w:val="DraftersNotes"/>
          <w:b/>
          <w:bCs/>
          <w:iCs/>
        </w:rPr>
      </w:pPr>
      <w:bookmarkStart w:id="843" w:name="_Toc75876079"/>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843"/>
    </w:p>
    <w:p w:rsidR="006724FB" w:rsidRDefault="006724FB">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rsidR="006724FB" w:rsidRDefault="006724FB">
      <w:pPr>
        <w:pStyle w:val="Subsection"/>
        <w:rPr>
          <w:snapToGrid w:val="0"/>
        </w:rPr>
      </w:pPr>
      <w:r>
        <w:tab/>
        <w:t>(2)</w:t>
      </w:r>
      <w:r>
        <w:tab/>
      </w:r>
      <w:r>
        <w:rPr>
          <w:snapToGrid w:val="0"/>
        </w:rPr>
        <w:t xml:space="preserve">A permit issued under this regulation must be in a form approved by the Commissioner of Police and may be issued by — </w:t>
      </w:r>
    </w:p>
    <w:p w:rsidR="006724FB" w:rsidRDefault="006724FB">
      <w:pPr>
        <w:pStyle w:val="Indenta"/>
        <w:rPr>
          <w:snapToGrid w:val="0"/>
        </w:rPr>
      </w:pPr>
      <w:r>
        <w:rPr>
          <w:snapToGrid w:val="0"/>
        </w:rPr>
        <w:tab/>
        <w:t>(a)</w:t>
      </w:r>
      <w:r>
        <w:rPr>
          <w:snapToGrid w:val="0"/>
        </w:rPr>
        <w:tab/>
        <w:t>a police officer; or</w:t>
      </w:r>
    </w:p>
    <w:p w:rsidR="006724FB" w:rsidRDefault="006724FB">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rsidR="006724FB" w:rsidRDefault="006724FB">
      <w:pPr>
        <w:pStyle w:val="Subsection"/>
      </w:pPr>
      <w:r>
        <w:tab/>
        <w:t>(3)</w:t>
      </w:r>
      <w:r>
        <w:tab/>
        <w:t xml:space="preserve">On an application for a permit a police officer or Police Service employee must issue the permit unless that person is of the opinion that the use of the combination on a road forming the </w:t>
      </w:r>
      <w:r>
        <w:lastRenderedPageBreak/>
        <w:t>whole or any part of the route to be followed by that combination would endanger safety.</w:t>
      </w:r>
    </w:p>
    <w:p w:rsidR="006724FB" w:rsidRDefault="006724FB">
      <w:pPr>
        <w:pStyle w:val="Subsection"/>
      </w:pPr>
      <w:r>
        <w:tab/>
        <w:t>(4)</w:t>
      </w:r>
      <w:r>
        <w:tab/>
        <w:t xml:space="preserve">A permit may be subject to specified conditions that the person issuing the permit considers necessary to ensure the combination is moved safely, including — </w:t>
      </w:r>
    </w:p>
    <w:p w:rsidR="006724FB" w:rsidRDefault="006724FB">
      <w:pPr>
        <w:pStyle w:val="Indenta"/>
      </w:pPr>
      <w:r>
        <w:tab/>
        <w:t>(a)</w:t>
      </w:r>
      <w:r>
        <w:tab/>
        <w:t>any speed limit to be observed while moving the combination; and</w:t>
      </w:r>
    </w:p>
    <w:p w:rsidR="006724FB" w:rsidRDefault="006724FB">
      <w:pPr>
        <w:pStyle w:val="Indenta"/>
      </w:pPr>
      <w:r>
        <w:tab/>
        <w:t>(b)</w:t>
      </w:r>
      <w:r>
        <w:tab/>
        <w:t>the route to be followed by the combination; and</w:t>
      </w:r>
    </w:p>
    <w:p w:rsidR="006724FB" w:rsidRDefault="006724FB">
      <w:pPr>
        <w:pStyle w:val="Indenta"/>
      </w:pPr>
      <w:r>
        <w:tab/>
        <w:t>(c)</w:t>
      </w:r>
      <w:r>
        <w:tab/>
        <w:t>the times during which the combination may be used on a road; and</w:t>
      </w:r>
    </w:p>
    <w:p w:rsidR="006724FB" w:rsidRDefault="006724FB">
      <w:pPr>
        <w:pStyle w:val="Indenta"/>
      </w:pPr>
      <w:r>
        <w:tab/>
        <w:t>(d)</w:t>
      </w:r>
      <w:r>
        <w:tab/>
        <w:t>whether the combination must be accompanied by a police escort when being used on a road.</w:t>
      </w:r>
    </w:p>
    <w:p w:rsidR="006724FB" w:rsidRDefault="006724FB">
      <w:pPr>
        <w:pStyle w:val="Subsection"/>
        <w:rPr>
          <w:snapToGrid w:val="0"/>
        </w:rPr>
      </w:pPr>
      <w:r>
        <w:tab/>
        <w:t>(5)</w:t>
      </w:r>
      <w:r>
        <w:tab/>
        <w:t xml:space="preserve">A permit </w:t>
      </w:r>
      <w:r>
        <w:rPr>
          <w:snapToGrid w:val="0"/>
        </w:rPr>
        <w:t>has effect for 12 months from the day it issued.</w:t>
      </w:r>
    </w:p>
    <w:p w:rsidR="006724FB" w:rsidRDefault="006724FB">
      <w:pPr>
        <w:pStyle w:val="Heading5"/>
      </w:pPr>
      <w:bookmarkStart w:id="844" w:name="_Toc75876080"/>
      <w:r>
        <w:rPr>
          <w:rStyle w:val="CharSectno"/>
        </w:rPr>
        <w:t>454</w:t>
      </w:r>
      <w:r>
        <w:t>.</w:t>
      </w:r>
      <w:r>
        <w:tab/>
        <w:t>Permits in relation to movements of agricultural combinations</w:t>
      </w:r>
      <w:bookmarkEnd w:id="844"/>
    </w:p>
    <w:p w:rsidR="006724FB" w:rsidRDefault="006724FB">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rsidR="006724FB" w:rsidRDefault="006724FB">
      <w:pPr>
        <w:pStyle w:val="Subsection"/>
      </w:pPr>
      <w:r>
        <w:tab/>
      </w:r>
      <w:r>
        <w:rPr>
          <w:snapToGrid w:val="0"/>
        </w:rPr>
        <w:t>(2)</w:t>
      </w:r>
      <w:r>
        <w:tab/>
        <w:t xml:space="preserve">A </w:t>
      </w:r>
      <w:r>
        <w:rPr>
          <w:snapToGrid w:val="0"/>
        </w:rPr>
        <w:t>permit</w:t>
      </w:r>
      <w:r>
        <w:t xml:space="preserve"> must be in a form approved by the CEO.</w:t>
      </w:r>
    </w:p>
    <w:p w:rsidR="006724FB" w:rsidRDefault="006724FB">
      <w:pPr>
        <w:pStyle w:val="Subsection"/>
      </w:pPr>
      <w:r>
        <w:tab/>
      </w:r>
      <w:r>
        <w:rPr>
          <w:snapToGrid w:val="0"/>
        </w:rPr>
        <w:t>(3)</w:t>
      </w:r>
      <w:r>
        <w:tab/>
        <w:t xml:space="preserve">A </w:t>
      </w:r>
      <w:r>
        <w:rPr>
          <w:snapToGrid w:val="0"/>
        </w:rPr>
        <w:t>permit</w:t>
      </w:r>
      <w:r>
        <w:t xml:space="preserve"> is subject to — </w:t>
      </w:r>
    </w:p>
    <w:p w:rsidR="006724FB" w:rsidRDefault="006724FB">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rsidR="006724FB" w:rsidRDefault="006724FB">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rsidR="006724FB" w:rsidRDefault="006724FB">
      <w:pPr>
        <w:pStyle w:val="Subsection"/>
        <w:keepNext/>
      </w:pPr>
      <w:r>
        <w:lastRenderedPageBreak/>
        <w:tab/>
      </w:r>
      <w:r>
        <w:rPr>
          <w:snapToGrid w:val="0"/>
        </w:rPr>
        <w:t>(4)</w:t>
      </w:r>
      <w:r>
        <w:tab/>
      </w:r>
      <w:r>
        <w:rPr>
          <w:snapToGrid w:val="0"/>
        </w:rPr>
        <w:t>Without</w:t>
      </w:r>
      <w:r>
        <w:t xml:space="preserve"> limiting subregulation (3)(b), the conditions that may be specified under that paragraph include — </w:t>
      </w:r>
    </w:p>
    <w:p w:rsidR="006724FB" w:rsidRDefault="006724FB">
      <w:pPr>
        <w:pStyle w:val="Indenta"/>
      </w:pPr>
      <w:r>
        <w:tab/>
      </w:r>
      <w:r>
        <w:rPr>
          <w:snapToGrid w:val="0"/>
        </w:rPr>
        <w:t>(a)</w:t>
      </w:r>
      <w:r>
        <w:tab/>
        <w:t xml:space="preserve">any </w:t>
      </w:r>
      <w:r>
        <w:rPr>
          <w:snapToGrid w:val="0"/>
        </w:rPr>
        <w:t>speed</w:t>
      </w:r>
      <w:r>
        <w:t xml:space="preserve"> limit to be observed by the person driving the towing vehicle; and</w:t>
      </w:r>
    </w:p>
    <w:p w:rsidR="006724FB" w:rsidRDefault="006724FB">
      <w:pPr>
        <w:pStyle w:val="Indenta"/>
      </w:pPr>
      <w:r>
        <w:tab/>
      </w:r>
      <w:r>
        <w:rPr>
          <w:snapToGrid w:val="0"/>
        </w:rPr>
        <w:t>(b)</w:t>
      </w:r>
      <w:r>
        <w:tab/>
        <w:t xml:space="preserve">the </w:t>
      </w:r>
      <w:r>
        <w:rPr>
          <w:snapToGrid w:val="0"/>
        </w:rPr>
        <w:t>route</w:t>
      </w:r>
      <w:r>
        <w:t xml:space="preserve"> to be followed by the combination; and</w:t>
      </w:r>
    </w:p>
    <w:p w:rsidR="006724FB" w:rsidRDefault="006724FB">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rsidR="006724FB" w:rsidRDefault="006724FB">
      <w:pPr>
        <w:pStyle w:val="Indenta"/>
      </w:pPr>
      <w:r>
        <w:tab/>
      </w:r>
      <w:r>
        <w:rPr>
          <w:snapToGrid w:val="0"/>
        </w:rPr>
        <w:t>(d)</w:t>
      </w:r>
      <w:r>
        <w:tab/>
        <w:t>whether the combination must be accompanied by a police escort when being moved on a road.</w:t>
      </w:r>
    </w:p>
    <w:p w:rsidR="006724FB" w:rsidRDefault="006724FB">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rsidR="006724FB" w:rsidRDefault="006724FB">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rsidR="006724FB" w:rsidRDefault="006724FB">
      <w:pPr>
        <w:pStyle w:val="Heading2"/>
      </w:pPr>
      <w:bookmarkStart w:id="845" w:name="_Toc75420157"/>
      <w:bookmarkStart w:id="846" w:name="_Toc75427493"/>
      <w:bookmarkStart w:id="847" w:name="_Toc75872909"/>
      <w:bookmarkStart w:id="848" w:name="_Toc75876081"/>
      <w:r>
        <w:rPr>
          <w:rStyle w:val="CharPartNo"/>
        </w:rPr>
        <w:lastRenderedPageBreak/>
        <w:t>Part 13A</w:t>
      </w:r>
      <w:r>
        <w:rPr>
          <w:b w:val="0"/>
        </w:rPr>
        <w:t> </w:t>
      </w:r>
      <w:r>
        <w:t>—</w:t>
      </w:r>
      <w:r>
        <w:rPr>
          <w:b w:val="0"/>
        </w:rPr>
        <w:t> </w:t>
      </w:r>
      <w:r>
        <w:rPr>
          <w:rStyle w:val="CharPartText"/>
        </w:rPr>
        <w:t>Pilot vehicles</w:t>
      </w:r>
      <w:bookmarkEnd w:id="845"/>
      <w:bookmarkEnd w:id="846"/>
      <w:bookmarkEnd w:id="847"/>
      <w:bookmarkEnd w:id="848"/>
    </w:p>
    <w:p w:rsidR="006724FB" w:rsidRDefault="006724FB">
      <w:pPr>
        <w:pStyle w:val="Footnoteheading"/>
      </w:pPr>
      <w:r>
        <w:tab/>
        <w:t>[Heading inserted: Gazette 15 Nov 2016 p. 5063.]</w:t>
      </w:r>
    </w:p>
    <w:p w:rsidR="006724FB" w:rsidRDefault="006724FB">
      <w:pPr>
        <w:pStyle w:val="Heading3"/>
      </w:pPr>
      <w:bookmarkStart w:id="849" w:name="_Toc75420158"/>
      <w:bookmarkStart w:id="850" w:name="_Toc75427494"/>
      <w:bookmarkStart w:id="851" w:name="_Toc75872910"/>
      <w:bookmarkStart w:id="852" w:name="_Toc75876082"/>
      <w:r>
        <w:rPr>
          <w:rStyle w:val="CharDivNo"/>
        </w:rPr>
        <w:t>Division 1</w:t>
      </w:r>
      <w:r>
        <w:t> — </w:t>
      </w:r>
      <w:r>
        <w:rPr>
          <w:rStyle w:val="CharDivText"/>
        </w:rPr>
        <w:t>Preliminary</w:t>
      </w:r>
      <w:bookmarkEnd w:id="849"/>
      <w:bookmarkEnd w:id="850"/>
      <w:bookmarkEnd w:id="851"/>
      <w:bookmarkEnd w:id="852"/>
    </w:p>
    <w:p w:rsidR="006724FB" w:rsidRDefault="006724FB">
      <w:pPr>
        <w:pStyle w:val="Footnoteheading"/>
      </w:pPr>
      <w:r>
        <w:tab/>
        <w:t>[Heading inserted: Gazette 15 Nov 2016 p. 5063.]</w:t>
      </w:r>
    </w:p>
    <w:p w:rsidR="006724FB" w:rsidRDefault="006724FB">
      <w:pPr>
        <w:pStyle w:val="Heading5"/>
      </w:pPr>
      <w:bookmarkStart w:id="853" w:name="_Toc75876083"/>
      <w:r>
        <w:rPr>
          <w:rStyle w:val="CharSectno"/>
        </w:rPr>
        <w:t>454A</w:t>
      </w:r>
      <w:r>
        <w:t>.</w:t>
      </w:r>
      <w:r>
        <w:tab/>
        <w:t>Terms used</w:t>
      </w:r>
      <w:bookmarkEnd w:id="853"/>
    </w:p>
    <w:p w:rsidR="006724FB" w:rsidRDefault="006724FB">
      <w:pPr>
        <w:pStyle w:val="Subsection"/>
      </w:pPr>
      <w:r>
        <w:tab/>
      </w:r>
      <w:r>
        <w:tab/>
        <w:t>In this Part —</w:t>
      </w:r>
    </w:p>
    <w:p w:rsidR="006724FB" w:rsidRDefault="006724FB">
      <w:pPr>
        <w:pStyle w:val="Defstart"/>
      </w:pPr>
      <w:r>
        <w:tab/>
      </w:r>
      <w:r>
        <w:rPr>
          <w:rStyle w:val="CharDefText"/>
        </w:rPr>
        <w:t>approved</w:t>
      </w:r>
      <w:r>
        <w:t xml:space="preserve"> means approved by the Commissioner of Main Roads;</w:t>
      </w:r>
    </w:p>
    <w:p w:rsidR="006724FB" w:rsidRDefault="006724FB">
      <w:pPr>
        <w:pStyle w:val="Defstart"/>
      </w:pPr>
      <w:r>
        <w:tab/>
      </w:r>
      <w:r>
        <w:rPr>
          <w:rStyle w:val="CharDefText"/>
        </w:rPr>
        <w:t>driver’s licence</w:t>
      </w:r>
      <w:r>
        <w:t xml:space="preserve"> does not include a provisional licence;</w:t>
      </w:r>
    </w:p>
    <w:p w:rsidR="006724FB" w:rsidRDefault="006724FB">
      <w:pPr>
        <w:pStyle w:val="Defstart"/>
      </w:pPr>
      <w:r>
        <w:tab/>
      </w:r>
      <w:r>
        <w:rPr>
          <w:rStyle w:val="CharDefText"/>
        </w:rPr>
        <w:t>heavy vehicle pilot licence</w:t>
      </w:r>
      <w:r>
        <w:t xml:space="preserve"> means a licence granted under Division 2;</w:t>
      </w:r>
    </w:p>
    <w:p w:rsidR="006724FB" w:rsidRDefault="006724FB">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rsidR="006724FB" w:rsidRDefault="006724FB">
      <w:pPr>
        <w:pStyle w:val="Defstart"/>
      </w:pPr>
      <w:r>
        <w:tab/>
      </w:r>
      <w:r>
        <w:rPr>
          <w:rStyle w:val="CharDefText"/>
        </w:rPr>
        <w:t>provisional licence</w:t>
      </w:r>
      <w:r>
        <w:t xml:space="preserve"> has the meaning given in the </w:t>
      </w:r>
      <w:r>
        <w:rPr>
          <w:i/>
        </w:rPr>
        <w:t>Road Traffic (Authorisation to Drive) Act 2008</w:t>
      </w:r>
      <w:r>
        <w:t xml:space="preserve"> section 3(1);</w:t>
      </w:r>
    </w:p>
    <w:p w:rsidR="006724FB" w:rsidRDefault="006724FB">
      <w:pPr>
        <w:pStyle w:val="Defstart"/>
      </w:pPr>
      <w:r>
        <w:tab/>
      </w:r>
      <w:r>
        <w:rPr>
          <w:rStyle w:val="CharDefText"/>
        </w:rPr>
        <w:t>renewal application</w:t>
      </w:r>
      <w:r>
        <w:t xml:space="preserve"> means an application made under regulation 454O for the renewal of a heavy vehicle pilot licence.</w:t>
      </w:r>
    </w:p>
    <w:p w:rsidR="006724FB" w:rsidRDefault="006724FB">
      <w:pPr>
        <w:pStyle w:val="Footnotesection"/>
      </w:pPr>
      <w:r>
        <w:tab/>
        <w:t>[Regulation 454A inserted: Gazette 15 Nov 2016 p. 5063</w:t>
      </w:r>
      <w:r>
        <w:noBreakHyphen/>
        <w:t>4; amended: Gazette 1 Dec 2017 p. 5739.]</w:t>
      </w:r>
    </w:p>
    <w:p w:rsidR="006724FB" w:rsidRDefault="006724FB">
      <w:pPr>
        <w:pStyle w:val="Heading5"/>
      </w:pPr>
      <w:bookmarkStart w:id="854" w:name="_Toc75876084"/>
      <w:r>
        <w:rPr>
          <w:rStyle w:val="CharSectno"/>
        </w:rPr>
        <w:t>454B</w:t>
      </w:r>
      <w:r>
        <w:t>.</w:t>
      </w:r>
      <w:r>
        <w:tab/>
        <w:t>Pilot vehicle must be driven by holder of heavy vehicle pilot licence or authorised person</w:t>
      </w:r>
      <w:bookmarkEnd w:id="854"/>
    </w:p>
    <w:p w:rsidR="006724FB" w:rsidRDefault="006724FB">
      <w:pPr>
        <w:pStyle w:val="Subsection"/>
      </w:pPr>
      <w:r>
        <w:tab/>
        <w:t>(1)</w:t>
      </w:r>
      <w:r>
        <w:tab/>
        <w:t>A person must not use a pilot vehicle for the purpose of facilitating the movement of an oversize or over</w:t>
      </w:r>
      <w:r>
        <w:noBreakHyphen/>
        <w:t xml:space="preserve">mass vehicle unless — </w:t>
      </w:r>
    </w:p>
    <w:p w:rsidR="006724FB" w:rsidRDefault="006724FB">
      <w:pPr>
        <w:pStyle w:val="Indenta"/>
      </w:pPr>
      <w:r>
        <w:tab/>
        <w:t>(a)</w:t>
      </w:r>
      <w:r>
        <w:tab/>
        <w:t>the person is the holder of a heavy vehicle pilot licence; or</w:t>
      </w:r>
    </w:p>
    <w:p w:rsidR="006724FB" w:rsidRDefault="006724FB">
      <w:pPr>
        <w:pStyle w:val="Indenta"/>
        <w:keepNext/>
      </w:pPr>
      <w:r>
        <w:lastRenderedPageBreak/>
        <w:tab/>
        <w:t>(b)</w:t>
      </w:r>
      <w:r>
        <w:tab/>
        <w:t>the person is authorised to use the pilot vehicle by a notice given under subregulation (2).</w:t>
      </w:r>
    </w:p>
    <w:p w:rsidR="006724FB" w:rsidRDefault="006724FB">
      <w:pPr>
        <w:pStyle w:val="Penstart"/>
        <w:keepNext/>
      </w:pPr>
      <w:r>
        <w:tab/>
        <w:t>Penalty for this subregulation:</w:t>
      </w:r>
    </w:p>
    <w:p w:rsidR="006724FB" w:rsidRDefault="006724FB">
      <w:pPr>
        <w:pStyle w:val="Penpara"/>
      </w:pPr>
      <w:r>
        <w:tab/>
        <w:t>(a)</w:t>
      </w:r>
      <w:r>
        <w:tab/>
        <w:t>for a first offence, a fine of 24 PU;</w:t>
      </w:r>
    </w:p>
    <w:p w:rsidR="006724FB" w:rsidRDefault="006724FB">
      <w:pPr>
        <w:pStyle w:val="Penpara"/>
      </w:pPr>
      <w:r>
        <w:tab/>
        <w:t>(b)</w:t>
      </w:r>
      <w:r>
        <w:tab/>
        <w:t>for a subsequent offence, a fine of 32 PU.</w:t>
      </w:r>
    </w:p>
    <w:p w:rsidR="006724FB" w:rsidRDefault="006724FB">
      <w:pPr>
        <w:pStyle w:val="Penstart"/>
      </w:pPr>
      <w:r>
        <w:tab/>
        <w:t>Modified penalty: 4 PU.</w:t>
      </w:r>
    </w:p>
    <w:p w:rsidR="006724FB" w:rsidRDefault="006724FB">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rsidR="006724FB" w:rsidRDefault="006724FB">
      <w:pPr>
        <w:pStyle w:val="Subsection"/>
      </w:pPr>
      <w:r>
        <w:tab/>
        <w:t>(3)</w:t>
      </w:r>
      <w:r>
        <w:tab/>
        <w:t xml:space="preserve">The Commissioner of Main Roads must not publish a notice under subregulation (2) unless the Commissioner is satisfied that — </w:t>
      </w:r>
    </w:p>
    <w:p w:rsidR="006724FB" w:rsidRDefault="006724FB">
      <w:pPr>
        <w:pStyle w:val="Indenta"/>
      </w:pPr>
      <w:r>
        <w:tab/>
        <w:t>(a)</w:t>
      </w:r>
      <w:r>
        <w:tab/>
        <w:t>the use of the pilot vehicle will be for the purpose of facilitating the movement of the oversize or over</w:t>
      </w:r>
      <w:r>
        <w:noBreakHyphen/>
        <w:t>mass vehicle for an agricultural or primary production application; and</w:t>
      </w:r>
    </w:p>
    <w:p w:rsidR="006724FB" w:rsidRDefault="006724FB">
      <w:pPr>
        <w:pStyle w:val="Indenta"/>
      </w:pPr>
      <w:r>
        <w:tab/>
        <w:t>(b)</w:t>
      </w:r>
      <w:r>
        <w:tab/>
        <w:t>use of the pilot vehicle in accordance with the notice would not result in an unreasonable danger to road users.</w:t>
      </w:r>
    </w:p>
    <w:p w:rsidR="006724FB" w:rsidRDefault="006724FB">
      <w:pPr>
        <w:pStyle w:val="Footnotesection"/>
      </w:pPr>
      <w:r>
        <w:tab/>
        <w:t>[Regulation 454B inserted: Gazette 15 Nov 2016 p. 5064.]</w:t>
      </w:r>
    </w:p>
    <w:p w:rsidR="006724FB" w:rsidRDefault="006724FB">
      <w:pPr>
        <w:pStyle w:val="Heading3"/>
      </w:pPr>
      <w:bookmarkStart w:id="855" w:name="_Toc75420161"/>
      <w:bookmarkStart w:id="856" w:name="_Toc75427497"/>
      <w:bookmarkStart w:id="857" w:name="_Toc75872913"/>
      <w:bookmarkStart w:id="858" w:name="_Toc75876085"/>
      <w:r>
        <w:rPr>
          <w:rStyle w:val="CharDivNo"/>
        </w:rPr>
        <w:t>Division 2</w:t>
      </w:r>
      <w:r>
        <w:t> — </w:t>
      </w:r>
      <w:r>
        <w:rPr>
          <w:rStyle w:val="CharDivText"/>
        </w:rPr>
        <w:t>Licensing of pilots</w:t>
      </w:r>
      <w:bookmarkEnd w:id="855"/>
      <w:bookmarkEnd w:id="856"/>
      <w:bookmarkEnd w:id="857"/>
      <w:bookmarkEnd w:id="858"/>
    </w:p>
    <w:p w:rsidR="006724FB" w:rsidRDefault="006724FB">
      <w:pPr>
        <w:pStyle w:val="Footnoteheading"/>
      </w:pPr>
      <w:r>
        <w:tab/>
        <w:t>[Heading inserted: Gazette 15 Nov 2016 p. 5065.]</w:t>
      </w:r>
    </w:p>
    <w:p w:rsidR="006724FB" w:rsidRDefault="006724FB">
      <w:pPr>
        <w:pStyle w:val="Heading4"/>
      </w:pPr>
      <w:bookmarkStart w:id="859" w:name="_Toc75420162"/>
      <w:bookmarkStart w:id="860" w:name="_Toc75427498"/>
      <w:bookmarkStart w:id="861" w:name="_Toc75872914"/>
      <w:bookmarkStart w:id="862" w:name="_Toc75876086"/>
      <w:r>
        <w:t>Subdivision 1 — General matters</w:t>
      </w:r>
      <w:bookmarkEnd w:id="859"/>
      <w:bookmarkEnd w:id="860"/>
      <w:bookmarkEnd w:id="861"/>
      <w:bookmarkEnd w:id="862"/>
    </w:p>
    <w:p w:rsidR="006724FB" w:rsidRDefault="006724FB">
      <w:pPr>
        <w:pStyle w:val="Footnoteheading"/>
      </w:pPr>
      <w:r>
        <w:tab/>
        <w:t>[Heading inserted: Gazette 15 Nov 2016 p. 5065.]</w:t>
      </w:r>
    </w:p>
    <w:p w:rsidR="006724FB" w:rsidRDefault="006724FB">
      <w:pPr>
        <w:pStyle w:val="Heading5"/>
      </w:pPr>
      <w:bookmarkStart w:id="863" w:name="_Toc75876087"/>
      <w:r>
        <w:rPr>
          <w:rStyle w:val="CharSectno"/>
        </w:rPr>
        <w:t>454C</w:t>
      </w:r>
      <w:r>
        <w:t>.</w:t>
      </w:r>
      <w:r>
        <w:tab/>
        <w:t>Applying for a heavy vehicle pilot licence</w:t>
      </w:r>
      <w:bookmarkEnd w:id="863"/>
    </w:p>
    <w:p w:rsidR="006724FB" w:rsidRDefault="006724FB">
      <w:pPr>
        <w:pStyle w:val="Subsection"/>
        <w:spacing w:before="120"/>
      </w:pPr>
      <w:r>
        <w:tab/>
        <w:t>(1)</w:t>
      </w:r>
      <w:r>
        <w:tab/>
        <w:t>A person may apply to the Commissioner of Main Roads for a heavy vehicle pilot licence.</w:t>
      </w:r>
    </w:p>
    <w:p w:rsidR="006724FB" w:rsidRDefault="006724FB">
      <w:pPr>
        <w:pStyle w:val="Subsection"/>
        <w:keepNext/>
        <w:spacing w:before="120"/>
      </w:pPr>
      <w:r>
        <w:lastRenderedPageBreak/>
        <w:tab/>
        <w:t>(2)</w:t>
      </w:r>
      <w:r>
        <w:tab/>
        <w:t>An application for a heavy vehicle pilot licence must be —</w:t>
      </w:r>
    </w:p>
    <w:p w:rsidR="006724FB" w:rsidRDefault="006724FB">
      <w:pPr>
        <w:pStyle w:val="Indenta"/>
      </w:pPr>
      <w:r>
        <w:tab/>
        <w:t>(a)</w:t>
      </w:r>
      <w:r>
        <w:tab/>
        <w:t>in an approved form; and</w:t>
      </w:r>
    </w:p>
    <w:p w:rsidR="006724FB" w:rsidRDefault="006724FB">
      <w:pPr>
        <w:pStyle w:val="Indenta"/>
      </w:pPr>
      <w:r>
        <w:tab/>
        <w:t>(b)</w:t>
      </w:r>
      <w:r>
        <w:tab/>
        <w:t>accompanied by any document that is required by the approved form; and</w:t>
      </w:r>
    </w:p>
    <w:p w:rsidR="006724FB" w:rsidRDefault="006724FB">
      <w:pPr>
        <w:pStyle w:val="Indenta"/>
      </w:pPr>
      <w:r>
        <w:tab/>
        <w:t>(c)</w:t>
      </w:r>
      <w:r>
        <w:tab/>
        <w:t>accompanied by the medical evidence required by regulation 454D; and</w:t>
      </w:r>
    </w:p>
    <w:p w:rsidR="006724FB" w:rsidRDefault="006724FB">
      <w:pPr>
        <w:pStyle w:val="Indenta"/>
      </w:pPr>
      <w:r>
        <w:tab/>
        <w:t>(d)</w:t>
      </w:r>
      <w:r>
        <w:tab/>
        <w:t>accompanied by the competency evidence required by regulation 454E(2); and</w:t>
      </w:r>
    </w:p>
    <w:p w:rsidR="006724FB" w:rsidRDefault="006724FB">
      <w:pPr>
        <w:pStyle w:val="Indenta"/>
      </w:pPr>
      <w:r>
        <w:tab/>
        <w:t>(e)</w:t>
      </w:r>
      <w:r>
        <w:tab/>
        <w:t>accompanied by a copy of the applicant’s driver’s licence; and</w:t>
      </w:r>
    </w:p>
    <w:p w:rsidR="006724FB" w:rsidRDefault="006724FB">
      <w:pPr>
        <w:pStyle w:val="Indenta"/>
      </w:pPr>
      <w:r>
        <w:tab/>
        <w:t>(f)</w:t>
      </w:r>
      <w:r>
        <w:tab/>
        <w:t>accompanied by a fee of $205.</w:t>
      </w:r>
    </w:p>
    <w:p w:rsidR="006724FB" w:rsidRDefault="006724FB">
      <w:pPr>
        <w:pStyle w:val="Footnotesection"/>
      </w:pPr>
      <w:r>
        <w:tab/>
        <w:t>[Regulation 454C inserted: Gazette 15 Nov 2016 p. 5065.]</w:t>
      </w:r>
    </w:p>
    <w:p w:rsidR="006724FB" w:rsidRDefault="006724FB">
      <w:pPr>
        <w:pStyle w:val="Heading5"/>
      </w:pPr>
      <w:bookmarkStart w:id="864" w:name="_Toc75876088"/>
      <w:r>
        <w:rPr>
          <w:rStyle w:val="CharSectno"/>
        </w:rPr>
        <w:t>454D</w:t>
      </w:r>
      <w:r>
        <w:t>.</w:t>
      </w:r>
      <w:r>
        <w:tab/>
        <w:t>Medical evidence</w:t>
      </w:r>
      <w:bookmarkEnd w:id="864"/>
    </w:p>
    <w:p w:rsidR="006724FB" w:rsidRDefault="006724FB">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rsidR="006724FB" w:rsidRDefault="006724FB">
      <w:pPr>
        <w:pStyle w:val="Indenta"/>
      </w:pPr>
      <w:r>
        <w:tab/>
        <w:t>(a)</w:t>
      </w:r>
      <w:r>
        <w:tab/>
        <w:t>examined the applicant on a day specified in the report, which is a day within 6 months, or within a longer approved period, before the day the application is made; and</w:t>
      </w:r>
    </w:p>
    <w:p w:rsidR="006724FB" w:rsidRDefault="006724FB">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rsidR="006724FB" w:rsidRDefault="006724FB">
      <w:pPr>
        <w:pStyle w:val="Footnotesection"/>
      </w:pPr>
      <w:r>
        <w:tab/>
        <w:t>[Regulation 454D inserted: Gazette 15 Nov 2016 p. 5065.]</w:t>
      </w:r>
    </w:p>
    <w:p w:rsidR="006724FB" w:rsidRDefault="006724FB">
      <w:pPr>
        <w:pStyle w:val="Heading5"/>
        <w:spacing w:before="120"/>
      </w:pPr>
      <w:bookmarkStart w:id="865" w:name="_Toc75876089"/>
      <w:r>
        <w:rPr>
          <w:rStyle w:val="CharSectno"/>
        </w:rPr>
        <w:lastRenderedPageBreak/>
        <w:t>454E</w:t>
      </w:r>
      <w:r>
        <w:t>.</w:t>
      </w:r>
      <w:r>
        <w:tab/>
        <w:t>Competency evidence</w:t>
      </w:r>
      <w:bookmarkEnd w:id="865"/>
    </w:p>
    <w:p w:rsidR="006724FB" w:rsidRDefault="006724FB">
      <w:pPr>
        <w:pStyle w:val="Subsection"/>
        <w:keepNext/>
        <w:spacing w:before="120"/>
      </w:pPr>
      <w:r>
        <w:tab/>
        <w:t>(1)</w:t>
      </w:r>
      <w:r>
        <w:tab/>
        <w:t xml:space="preserve">In this regulation — </w:t>
      </w:r>
    </w:p>
    <w:p w:rsidR="006724FB" w:rsidRDefault="006724FB">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rsidR="006724FB" w:rsidRDefault="006724FB">
      <w:pPr>
        <w:pStyle w:val="Defstart"/>
        <w:keepNext/>
      </w:pPr>
      <w:r>
        <w:tab/>
      </w:r>
      <w:r>
        <w:rPr>
          <w:rStyle w:val="CharDefText"/>
        </w:rPr>
        <w:t>registered training provider</w:t>
      </w:r>
      <w:r>
        <w:t xml:space="preserve"> means — </w:t>
      </w:r>
    </w:p>
    <w:p w:rsidR="006724FB" w:rsidRDefault="006724FB">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rsidR="006724FB" w:rsidRDefault="006724FB">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rsidR="006724FB" w:rsidRDefault="006724FB">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rsidR="006724FB" w:rsidRDefault="006724FB">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rsidR="006724FB" w:rsidRDefault="006724FB">
      <w:pPr>
        <w:pStyle w:val="Indenta"/>
        <w:spacing w:before="120"/>
      </w:pPr>
      <w:r>
        <w:tab/>
        <w:t>(a)</w:t>
      </w:r>
      <w:r>
        <w:tab/>
        <w:t>a training course in the pilotage of oversize and over</w:t>
      </w:r>
      <w:r>
        <w:noBreakHyphen/>
        <w:t xml:space="preserve">mass vehicles accredited by — </w:t>
      </w:r>
    </w:p>
    <w:p w:rsidR="006724FB" w:rsidRDefault="006724FB">
      <w:pPr>
        <w:pStyle w:val="Indenti"/>
      </w:pPr>
      <w:r>
        <w:tab/>
        <w:t>(i)</w:t>
      </w:r>
      <w:r>
        <w:tab/>
        <w:t xml:space="preserve">the Training Accreditation Council under the </w:t>
      </w:r>
      <w:r>
        <w:rPr>
          <w:i/>
        </w:rPr>
        <w:t>Vocational Education and Training Act 1996</w:t>
      </w:r>
      <w:r>
        <w:t xml:space="preserve"> section 58C(a); or</w:t>
      </w:r>
    </w:p>
    <w:p w:rsidR="006724FB" w:rsidRDefault="006724FB">
      <w:pPr>
        <w:pStyle w:val="Indenti"/>
      </w:pPr>
      <w:r>
        <w:tab/>
        <w:t>(ii)</w:t>
      </w:r>
      <w:r>
        <w:tab/>
        <w:t xml:space="preserve">the National VET Regulator under the </w:t>
      </w:r>
      <w:r>
        <w:rPr>
          <w:i/>
        </w:rPr>
        <w:t>National Vocational Education and Training Regulator Act 2011</w:t>
      </w:r>
      <w:r>
        <w:t xml:space="preserve"> (Commonwealth);</w:t>
      </w:r>
    </w:p>
    <w:p w:rsidR="006724FB" w:rsidRDefault="006724FB">
      <w:pPr>
        <w:pStyle w:val="Indenta"/>
      </w:pPr>
      <w:r>
        <w:tab/>
      </w:r>
      <w:r>
        <w:tab/>
        <w:t>and</w:t>
      </w:r>
    </w:p>
    <w:p w:rsidR="006724FB" w:rsidRDefault="006724FB">
      <w:pPr>
        <w:pStyle w:val="Indenta"/>
      </w:pPr>
      <w:r>
        <w:tab/>
        <w:t>(b)</w:t>
      </w:r>
      <w:r>
        <w:tab/>
        <w:t>an approved training course on bridge supervision.</w:t>
      </w:r>
    </w:p>
    <w:p w:rsidR="006724FB" w:rsidRDefault="006724FB">
      <w:pPr>
        <w:pStyle w:val="Subsection"/>
      </w:pPr>
      <w:r>
        <w:lastRenderedPageBreak/>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rsidR="006724FB" w:rsidRDefault="006724FB">
      <w:pPr>
        <w:pStyle w:val="Footnotesection"/>
      </w:pPr>
      <w:r>
        <w:tab/>
        <w:t>[Regulation 454E inserted: Gazette 15 Nov 2016 p. 5065</w:t>
      </w:r>
      <w:r>
        <w:noBreakHyphen/>
        <w:t>6.]</w:t>
      </w:r>
    </w:p>
    <w:p w:rsidR="006724FB" w:rsidRDefault="006724FB">
      <w:pPr>
        <w:pStyle w:val="Heading5"/>
      </w:pPr>
      <w:bookmarkStart w:id="866" w:name="_Toc75876090"/>
      <w:r>
        <w:rPr>
          <w:rStyle w:val="CharSectno"/>
        </w:rPr>
        <w:t>454F</w:t>
      </w:r>
      <w:r>
        <w:t>.</w:t>
      </w:r>
      <w:r>
        <w:tab/>
        <w:t>Powers for dealing with applications for heavy vehicle pilot licence</w:t>
      </w:r>
      <w:bookmarkEnd w:id="866"/>
    </w:p>
    <w:p w:rsidR="006724FB" w:rsidRDefault="006724FB">
      <w:pPr>
        <w:pStyle w:val="Subsection"/>
      </w:pPr>
      <w:r>
        <w:tab/>
        <w:t>(1)</w:t>
      </w:r>
      <w:r>
        <w:tab/>
        <w:t>For the purposes of deciding an application for a heavy vehicle pilot licence, the Commissioner of Main Roads may request the applicant to give the Commissioner any of the following —</w:t>
      </w:r>
    </w:p>
    <w:p w:rsidR="006724FB" w:rsidRDefault="006724FB">
      <w:pPr>
        <w:pStyle w:val="Indenta"/>
      </w:pPr>
      <w:r>
        <w:tab/>
        <w:t>(a)</w:t>
      </w:r>
      <w:r>
        <w:tab/>
        <w:t>any information that is reasonably necessary in order to decide the application;</w:t>
      </w:r>
    </w:p>
    <w:p w:rsidR="006724FB" w:rsidRDefault="006724FB">
      <w:pPr>
        <w:pStyle w:val="Indenta"/>
      </w:pPr>
      <w:r>
        <w:tab/>
        <w:t>(b)</w:t>
      </w:r>
      <w:r>
        <w:tab/>
        <w:t>a report by either or both of the following —</w:t>
      </w:r>
    </w:p>
    <w:p w:rsidR="006724FB" w:rsidRDefault="006724FB">
      <w:pPr>
        <w:pStyle w:val="Indenti"/>
      </w:pPr>
      <w:r>
        <w:tab/>
        <w:t>(i)</w:t>
      </w:r>
      <w:r>
        <w:tab/>
        <w:t>a medical practitioner about the person’s physical health and fitness to engage safely in the activities that would be authorised by the licence;</w:t>
      </w:r>
    </w:p>
    <w:p w:rsidR="006724FB" w:rsidRDefault="006724FB">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rsidR="006724FB" w:rsidRDefault="006724FB">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rsidR="006724FB" w:rsidRDefault="006724FB">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rsidR="006724FB" w:rsidRDefault="006724FB">
      <w:pPr>
        <w:pStyle w:val="Subsection"/>
        <w:keepNext/>
      </w:pPr>
      <w:r>
        <w:lastRenderedPageBreak/>
        <w:tab/>
        <w:t>(4)</w:t>
      </w:r>
      <w:r>
        <w:tab/>
        <w:t>The Commissioner of Main Roads may require an applicant to verify by means of statutory declaration any information provided in response to a request made under subregulation (1) or (2).</w:t>
      </w:r>
    </w:p>
    <w:p w:rsidR="006724FB" w:rsidRDefault="006724FB">
      <w:pPr>
        <w:pStyle w:val="Footnotesection"/>
      </w:pPr>
      <w:r>
        <w:tab/>
        <w:t>[Regulation 454F inserted: Gazette 15 Nov 2016 p. 5066</w:t>
      </w:r>
      <w:r>
        <w:noBreakHyphen/>
        <w:t>7.]</w:t>
      </w:r>
    </w:p>
    <w:p w:rsidR="006724FB" w:rsidRDefault="006724FB">
      <w:pPr>
        <w:pStyle w:val="Heading5"/>
      </w:pPr>
      <w:bookmarkStart w:id="867" w:name="_Toc75876091"/>
      <w:r>
        <w:rPr>
          <w:rStyle w:val="CharSectno"/>
        </w:rPr>
        <w:t>454G</w:t>
      </w:r>
      <w:r>
        <w:t>.</w:t>
      </w:r>
      <w:r>
        <w:tab/>
        <w:t>Deciding applications for heavy vehicle pilot licence</w:t>
      </w:r>
      <w:bookmarkEnd w:id="867"/>
    </w:p>
    <w:p w:rsidR="006724FB" w:rsidRDefault="006724FB">
      <w:pPr>
        <w:pStyle w:val="Subsection"/>
      </w:pPr>
      <w:r>
        <w:tab/>
        <w:t>(1)</w:t>
      </w:r>
      <w:r>
        <w:tab/>
        <w:t>On an application for a heavy vehicle pilot licence, the Commissioner of Main Roads may refuse the application or grant the heavy vehicle pilot licence.</w:t>
      </w:r>
    </w:p>
    <w:p w:rsidR="006724FB" w:rsidRDefault="006724FB">
      <w:pPr>
        <w:pStyle w:val="Subsection"/>
      </w:pPr>
      <w:r>
        <w:tab/>
        <w:t>(2)</w:t>
      </w:r>
      <w:r>
        <w:tab/>
        <w:t xml:space="preserve">However, the Commissioner of Main Roads must not grant a heavy vehicle pilot licence unless satisfied as to each of these matters — </w:t>
      </w:r>
    </w:p>
    <w:p w:rsidR="006724FB" w:rsidRDefault="006724FB">
      <w:pPr>
        <w:pStyle w:val="Indenta"/>
      </w:pPr>
      <w:r>
        <w:tab/>
        <w:t>(a)</w:t>
      </w:r>
      <w:r>
        <w:tab/>
        <w:t>that the application complies with regulation 454C(2);</w:t>
      </w:r>
    </w:p>
    <w:p w:rsidR="006724FB" w:rsidRDefault="006724FB">
      <w:pPr>
        <w:pStyle w:val="Indenta"/>
      </w:pPr>
      <w:r>
        <w:tab/>
        <w:t>(b)</w:t>
      </w:r>
      <w:r>
        <w:tab/>
        <w:t>that the applicant is physically and mentally fit to engage safely in the activities that would be authorised by the licence;</w:t>
      </w:r>
    </w:p>
    <w:p w:rsidR="006724FB" w:rsidRDefault="006724FB">
      <w:pPr>
        <w:pStyle w:val="Indenta"/>
      </w:pPr>
      <w:r>
        <w:tab/>
        <w:t>(c)</w:t>
      </w:r>
      <w:r>
        <w:tab/>
        <w:t>that the applicant is competent to engage safely in the activities that would be authorised by the licence;</w:t>
      </w:r>
    </w:p>
    <w:p w:rsidR="006724FB" w:rsidRDefault="006724FB">
      <w:pPr>
        <w:pStyle w:val="Indenta"/>
      </w:pPr>
      <w:r>
        <w:tab/>
        <w:t>(d)</w:t>
      </w:r>
      <w:r>
        <w:tab/>
        <w:t>that the applicant holds a driver’s licence;</w:t>
      </w:r>
    </w:p>
    <w:p w:rsidR="006724FB" w:rsidRDefault="006724FB">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rsidR="006724FB" w:rsidRDefault="006724FB">
      <w:pPr>
        <w:pStyle w:val="Footnotesection"/>
      </w:pPr>
      <w:r>
        <w:tab/>
        <w:t>[Regulation 454G inserted: Gazette 15 Nov 2016 p. 5067</w:t>
      </w:r>
      <w:r>
        <w:noBreakHyphen/>
        <w:t>8.]</w:t>
      </w:r>
    </w:p>
    <w:p w:rsidR="006724FB" w:rsidRDefault="006724FB">
      <w:pPr>
        <w:pStyle w:val="Heading5"/>
        <w:keepLines w:val="0"/>
      </w:pPr>
      <w:bookmarkStart w:id="868" w:name="_Toc75876092"/>
      <w:r>
        <w:rPr>
          <w:rStyle w:val="CharSectno"/>
        </w:rPr>
        <w:lastRenderedPageBreak/>
        <w:t>454H</w:t>
      </w:r>
      <w:r>
        <w:t>.</w:t>
      </w:r>
      <w:r>
        <w:tab/>
        <w:t>Conditions of heavy vehicle pilot licence</w:t>
      </w:r>
      <w:bookmarkEnd w:id="868"/>
    </w:p>
    <w:p w:rsidR="006724FB" w:rsidRDefault="006724FB">
      <w:pPr>
        <w:pStyle w:val="Subsection"/>
        <w:keepNext/>
      </w:pPr>
      <w:r>
        <w:tab/>
        <w:t>(1)</w:t>
      </w:r>
      <w:r>
        <w:tab/>
        <w:t xml:space="preserve">A heavy vehicle pilot licence is subject to the following conditions — </w:t>
      </w:r>
    </w:p>
    <w:p w:rsidR="006724FB" w:rsidRDefault="006724FB">
      <w:pPr>
        <w:pStyle w:val="Indenta"/>
      </w:pPr>
      <w:r>
        <w:tab/>
        <w:t>(a)</w:t>
      </w:r>
      <w:r>
        <w:tab/>
        <w:t>the holder must not use a pilot vehicle for the purpose of facilitating the movement of an oversize or over</w:t>
      </w:r>
      <w:r>
        <w:noBreakHyphen/>
        <w:t>mass vehicle during any period when the holder is not —</w:t>
      </w:r>
    </w:p>
    <w:p w:rsidR="006724FB" w:rsidRDefault="006724FB">
      <w:pPr>
        <w:pStyle w:val="Indenti"/>
      </w:pPr>
      <w:r>
        <w:tab/>
        <w:t>(i)</w:t>
      </w:r>
      <w:r>
        <w:tab/>
        <w:t>the holder of a driver’s licence; or</w:t>
      </w:r>
    </w:p>
    <w:p w:rsidR="006724FB" w:rsidRDefault="006724FB">
      <w:pPr>
        <w:pStyle w:val="Indenti"/>
      </w:pPr>
      <w:r>
        <w:tab/>
        <w:t>(ii)</w:t>
      </w:r>
      <w:r>
        <w:tab/>
        <w:t>an authorised person of a kind mentioned in regulation 454G(2)(e);</w:t>
      </w:r>
    </w:p>
    <w:p w:rsidR="006724FB" w:rsidRDefault="006724FB">
      <w:pPr>
        <w:pStyle w:val="Indenta"/>
      </w:pPr>
      <w:r>
        <w:tab/>
        <w:t>(b)</w:t>
      </w:r>
      <w:r>
        <w:tab/>
        <w:t>that the holder of the licence must, while using a pilot vehicle for the purpose of facilitating the movement of an oversize or over</w:t>
      </w:r>
      <w:r>
        <w:noBreakHyphen/>
        <w:t>mass vehicle, carry their driver’s licence;</w:t>
      </w:r>
    </w:p>
    <w:p w:rsidR="006724FB" w:rsidRDefault="006724FB">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rsidR="006724FB" w:rsidRDefault="006724FB">
      <w:pPr>
        <w:pStyle w:val="PermNoteHeading"/>
      </w:pPr>
      <w:r>
        <w:tab/>
        <w:t>Note for this subregulation:</w:t>
      </w:r>
    </w:p>
    <w:p w:rsidR="006724FB" w:rsidRDefault="006724FB">
      <w:pPr>
        <w:pStyle w:val="PermNoteHeading"/>
      </w:pPr>
      <w:r>
        <w:tab/>
        <w:t xml:space="preserve">The website address of Main Roads Western Australia is &lt;http://www.mainroads.wa.gov.au&gt; </w:t>
      </w:r>
    </w:p>
    <w:p w:rsidR="006724FB" w:rsidRDefault="006724FB">
      <w:pPr>
        <w:pStyle w:val="Subsection"/>
      </w:pPr>
      <w:r>
        <w:tab/>
        <w:t>(2)</w:t>
      </w:r>
      <w:r>
        <w:tab/>
        <w:t>A heavy vehicle pilot licence may be subject to any other conditions decided by the Commissioner of Main Roads and specified in the licence.</w:t>
      </w:r>
    </w:p>
    <w:p w:rsidR="006724FB" w:rsidRDefault="006724FB">
      <w:pPr>
        <w:pStyle w:val="Subsection"/>
      </w:pPr>
      <w:r>
        <w:tab/>
        <w:t>(3)</w:t>
      </w:r>
      <w:r>
        <w:tab/>
        <w:t>Conditions that may be imposed include —</w:t>
      </w:r>
    </w:p>
    <w:p w:rsidR="006724FB" w:rsidRDefault="006724FB">
      <w:pPr>
        <w:pStyle w:val="Indenta"/>
      </w:pPr>
      <w:r>
        <w:tab/>
        <w:t>(a)</w:t>
      </w:r>
      <w:r>
        <w:tab/>
        <w:t>a condition that limits the time, place or circumstances in which an activity authorised by the licence may be conducted;</w:t>
      </w:r>
    </w:p>
    <w:p w:rsidR="006724FB" w:rsidRDefault="006724FB">
      <w:pPr>
        <w:pStyle w:val="Indenta"/>
      </w:pPr>
      <w:r>
        <w:tab/>
        <w:t>(b)</w:t>
      </w:r>
      <w:r>
        <w:tab/>
        <w:t>any condition that is reasonably necessary to ensure, so far as is practicable, that any activity that is authorised by the licence is conducted safely.</w:t>
      </w:r>
    </w:p>
    <w:p w:rsidR="006724FB" w:rsidRDefault="006724FB">
      <w:pPr>
        <w:pStyle w:val="Footnotesection"/>
      </w:pPr>
      <w:r>
        <w:tab/>
        <w:t>[Regulation 454H inserted: Gazette 15 Nov 2016 p. 5068.]</w:t>
      </w:r>
    </w:p>
    <w:p w:rsidR="006724FB" w:rsidRDefault="006724FB">
      <w:pPr>
        <w:pStyle w:val="Heading5"/>
      </w:pPr>
      <w:bookmarkStart w:id="869" w:name="_Toc75876093"/>
      <w:r>
        <w:rPr>
          <w:rStyle w:val="CharSectno"/>
        </w:rPr>
        <w:lastRenderedPageBreak/>
        <w:t>454I</w:t>
      </w:r>
      <w:r>
        <w:t>.</w:t>
      </w:r>
      <w:r>
        <w:tab/>
        <w:t>Duration of heavy vehicle pilot licence</w:t>
      </w:r>
      <w:bookmarkEnd w:id="869"/>
    </w:p>
    <w:p w:rsidR="006724FB" w:rsidRDefault="006724FB">
      <w:pPr>
        <w:pStyle w:val="Subsection"/>
      </w:pPr>
      <w:r>
        <w:tab/>
        <w:t>(1)</w:t>
      </w:r>
      <w:r>
        <w:tab/>
        <w:t>A heavy vehicle pilot licence has effect on and from the date it is granted for the period specified in it, being 3 years or less.</w:t>
      </w:r>
    </w:p>
    <w:p w:rsidR="006724FB" w:rsidRDefault="006724FB">
      <w:pPr>
        <w:pStyle w:val="Subsection"/>
      </w:pPr>
      <w:r>
        <w:tab/>
        <w:t>(2)</w:t>
      </w:r>
      <w:r>
        <w:tab/>
        <w:t>Subregulation (1) applies unless the licence is cancelled in that period.</w:t>
      </w:r>
    </w:p>
    <w:p w:rsidR="006724FB" w:rsidRDefault="006724FB">
      <w:pPr>
        <w:pStyle w:val="Footnotesection"/>
      </w:pPr>
      <w:r>
        <w:tab/>
        <w:t>[Regulation 454I inserted: Gazette 15 Nov 2016 p. 5068.]</w:t>
      </w:r>
    </w:p>
    <w:p w:rsidR="006724FB" w:rsidRDefault="006724FB">
      <w:pPr>
        <w:pStyle w:val="Heading5"/>
      </w:pPr>
      <w:bookmarkStart w:id="870" w:name="_Toc75876094"/>
      <w:r>
        <w:rPr>
          <w:rStyle w:val="CharSectno"/>
        </w:rPr>
        <w:t>454J</w:t>
      </w:r>
      <w:r>
        <w:t>.</w:t>
      </w:r>
      <w:r>
        <w:tab/>
        <w:t>Form of heavy vehicle pilot licence</w:t>
      </w:r>
      <w:bookmarkEnd w:id="870"/>
    </w:p>
    <w:p w:rsidR="006724FB" w:rsidRDefault="006724FB">
      <w:pPr>
        <w:pStyle w:val="Subsection"/>
      </w:pPr>
      <w:r>
        <w:tab/>
        <w:t>(1)</w:t>
      </w:r>
      <w:r>
        <w:tab/>
        <w:t>The Commissioner of Main Roads must issue a licence document to the holder of a heavy vehicle pilot licence.</w:t>
      </w:r>
    </w:p>
    <w:p w:rsidR="006724FB" w:rsidRDefault="006724FB">
      <w:pPr>
        <w:pStyle w:val="Subsection"/>
      </w:pPr>
      <w:r>
        <w:tab/>
        <w:t>(2)</w:t>
      </w:r>
      <w:r>
        <w:tab/>
        <w:t>The document must be in writing in an approved form.</w:t>
      </w:r>
    </w:p>
    <w:p w:rsidR="006724FB" w:rsidRDefault="006724FB">
      <w:pPr>
        <w:pStyle w:val="Footnotesection"/>
      </w:pPr>
      <w:r>
        <w:tab/>
        <w:t>[Regulation 454J inserted: Gazette 15 Nov 2016 p. 5069.]</w:t>
      </w:r>
    </w:p>
    <w:p w:rsidR="006724FB" w:rsidRDefault="006724FB">
      <w:pPr>
        <w:pStyle w:val="Heading5"/>
      </w:pPr>
      <w:bookmarkStart w:id="871" w:name="_Toc75876095"/>
      <w:r>
        <w:rPr>
          <w:rStyle w:val="CharSectno"/>
        </w:rPr>
        <w:t>454K</w:t>
      </w:r>
      <w:r>
        <w:t>.</w:t>
      </w:r>
      <w:r>
        <w:tab/>
        <w:t>Heavy vehicle pilot licence not transferable</w:t>
      </w:r>
      <w:bookmarkEnd w:id="871"/>
      <w:r>
        <w:t xml:space="preserve"> </w:t>
      </w:r>
    </w:p>
    <w:p w:rsidR="006724FB" w:rsidRDefault="006724FB">
      <w:pPr>
        <w:pStyle w:val="Subsection"/>
      </w:pPr>
      <w:r>
        <w:tab/>
      </w:r>
      <w:r>
        <w:tab/>
        <w:t>A heavy vehicle pilot licence is not transferable.</w:t>
      </w:r>
    </w:p>
    <w:p w:rsidR="006724FB" w:rsidRDefault="006724FB">
      <w:pPr>
        <w:pStyle w:val="Footnotesection"/>
      </w:pPr>
      <w:r>
        <w:tab/>
        <w:t>[Regulation 454K inserted: Gazette 15 Nov 2016 p. 5069.]</w:t>
      </w:r>
    </w:p>
    <w:p w:rsidR="006724FB" w:rsidRDefault="006724FB">
      <w:pPr>
        <w:pStyle w:val="Heading5"/>
      </w:pPr>
      <w:bookmarkStart w:id="872" w:name="_Toc75876096"/>
      <w:r>
        <w:rPr>
          <w:rStyle w:val="CharSectno"/>
        </w:rPr>
        <w:t>454L</w:t>
      </w:r>
      <w:r>
        <w:t>.</w:t>
      </w:r>
      <w:r>
        <w:tab/>
        <w:t>Heavy vehicle pilot licence may be surrendered</w:t>
      </w:r>
      <w:bookmarkEnd w:id="872"/>
    </w:p>
    <w:p w:rsidR="006724FB" w:rsidRDefault="006724FB">
      <w:pPr>
        <w:pStyle w:val="Subsection"/>
      </w:pPr>
      <w:r>
        <w:tab/>
        <w:t>(1)</w:t>
      </w:r>
      <w:r>
        <w:tab/>
        <w:t>A heavy vehicle pilot licence holder may surrender the licence by giving it to the Commissioner of Main Roads with written notice that it is being surrendered.</w:t>
      </w:r>
    </w:p>
    <w:p w:rsidR="006724FB" w:rsidRDefault="006724FB">
      <w:pPr>
        <w:pStyle w:val="Subsection"/>
      </w:pPr>
      <w:r>
        <w:tab/>
        <w:t>(2)</w:t>
      </w:r>
      <w:r>
        <w:tab/>
        <w:t>On receipt of the written notice, the Commissioner of Main Roads must cancel the licence.</w:t>
      </w:r>
    </w:p>
    <w:p w:rsidR="006724FB" w:rsidRDefault="006724FB">
      <w:pPr>
        <w:pStyle w:val="Footnotesection"/>
      </w:pPr>
      <w:r>
        <w:tab/>
        <w:t>[Regulation 454L inserted: Gazette 15 Nov 2016 p. 5069.]</w:t>
      </w:r>
    </w:p>
    <w:p w:rsidR="006724FB" w:rsidRDefault="006724FB">
      <w:pPr>
        <w:pStyle w:val="Heading5"/>
      </w:pPr>
      <w:bookmarkStart w:id="873" w:name="_Toc75876097"/>
      <w:r>
        <w:rPr>
          <w:rStyle w:val="CharSectno"/>
        </w:rPr>
        <w:t>454M</w:t>
      </w:r>
      <w:r>
        <w:t>.</w:t>
      </w:r>
      <w:r>
        <w:tab/>
        <w:t>Lost heavy vehicle pilot licence may be replaced</w:t>
      </w:r>
      <w:bookmarkEnd w:id="873"/>
    </w:p>
    <w:p w:rsidR="006724FB" w:rsidRDefault="006724FB">
      <w:pPr>
        <w:pStyle w:val="Subsection"/>
      </w:pPr>
      <w:r>
        <w:tab/>
        <w:t>(1)</w:t>
      </w:r>
      <w:r>
        <w:tab/>
        <w:t>If the Commissioner of Main Roads is satisfied that a heavy vehicle pilot licence has been destroyed, lost or stolen, the Commissioner may issue a replacement.</w:t>
      </w:r>
    </w:p>
    <w:p w:rsidR="006724FB" w:rsidRDefault="006724FB">
      <w:pPr>
        <w:pStyle w:val="Subsection"/>
        <w:keepNext/>
      </w:pPr>
      <w:r>
        <w:lastRenderedPageBreak/>
        <w:tab/>
        <w:t>(2)</w:t>
      </w:r>
      <w:r>
        <w:tab/>
        <w:t>A fee of $14.90 is payable for issuing a replacement under subregulation (1).</w:t>
      </w:r>
    </w:p>
    <w:p w:rsidR="006724FB" w:rsidRDefault="006724FB">
      <w:pPr>
        <w:pStyle w:val="Footnotesection"/>
      </w:pPr>
      <w:r>
        <w:tab/>
        <w:t>[Regulation 454M inserted: Gazette 15 Nov 2016 p. 5069.]</w:t>
      </w:r>
    </w:p>
    <w:p w:rsidR="006724FB" w:rsidRDefault="006724FB">
      <w:pPr>
        <w:pStyle w:val="Heading5"/>
      </w:pPr>
      <w:bookmarkStart w:id="874" w:name="_Toc75876098"/>
      <w:r>
        <w:rPr>
          <w:rStyle w:val="CharSectno"/>
        </w:rPr>
        <w:t>454N</w:t>
      </w:r>
      <w:r>
        <w:t>.</w:t>
      </w:r>
      <w:r>
        <w:tab/>
        <w:t>Amending heavy vehicle pilot licence</w:t>
      </w:r>
      <w:bookmarkEnd w:id="874"/>
    </w:p>
    <w:p w:rsidR="006724FB" w:rsidRDefault="006724FB">
      <w:pPr>
        <w:pStyle w:val="Subsection"/>
      </w:pPr>
      <w:r>
        <w:tab/>
        <w:t>(1)</w:t>
      </w:r>
      <w:r>
        <w:tab/>
        <w:t xml:space="preserve">In this regulation — </w:t>
      </w:r>
    </w:p>
    <w:p w:rsidR="006724FB" w:rsidRDefault="006724FB">
      <w:pPr>
        <w:pStyle w:val="Defstart"/>
      </w:pPr>
      <w:r>
        <w:tab/>
      </w:r>
      <w:r>
        <w:rPr>
          <w:rStyle w:val="CharDefText"/>
        </w:rPr>
        <w:t>amend</w:t>
      </w:r>
      <w:r>
        <w:t>, a heavy vehicle pilot licence, includes to amend, impose and remove a condition of the licence.</w:t>
      </w:r>
    </w:p>
    <w:p w:rsidR="006724FB" w:rsidRDefault="006724FB">
      <w:pPr>
        <w:pStyle w:val="Subsection"/>
      </w:pPr>
      <w:r>
        <w:tab/>
        <w:t>(2)</w:t>
      </w:r>
      <w:r>
        <w:tab/>
        <w:t>A heavy vehicle pilot licence holder may apply to the Commissioner of Main Roads to amend the licence.</w:t>
      </w:r>
    </w:p>
    <w:p w:rsidR="006724FB" w:rsidRDefault="006724FB">
      <w:pPr>
        <w:pStyle w:val="Subsection"/>
      </w:pPr>
      <w:r>
        <w:tab/>
        <w:t>(3)</w:t>
      </w:r>
      <w:r>
        <w:tab/>
        <w:t xml:space="preserve">The application must be — </w:t>
      </w:r>
    </w:p>
    <w:p w:rsidR="006724FB" w:rsidRDefault="006724FB">
      <w:pPr>
        <w:pStyle w:val="Indenta"/>
      </w:pPr>
      <w:r>
        <w:tab/>
        <w:t>(a)</w:t>
      </w:r>
      <w:r>
        <w:tab/>
        <w:t>in an approved form; and</w:t>
      </w:r>
    </w:p>
    <w:p w:rsidR="006724FB" w:rsidRDefault="006724FB">
      <w:pPr>
        <w:pStyle w:val="Indenta"/>
      </w:pPr>
      <w:r>
        <w:tab/>
        <w:t>(b)</w:t>
      </w:r>
      <w:r>
        <w:tab/>
        <w:t>accompanied by any document that is required by the approved form; and</w:t>
      </w:r>
    </w:p>
    <w:p w:rsidR="006724FB" w:rsidRDefault="006724FB">
      <w:pPr>
        <w:pStyle w:val="Indenta"/>
      </w:pPr>
      <w:r>
        <w:tab/>
        <w:t>(c)</w:t>
      </w:r>
      <w:r>
        <w:tab/>
        <w:t>accompanied by a fee of $14.90.</w:t>
      </w:r>
    </w:p>
    <w:p w:rsidR="006724FB" w:rsidRDefault="006724FB">
      <w:pPr>
        <w:pStyle w:val="Subsection"/>
      </w:pPr>
      <w:r>
        <w:tab/>
        <w:t>(4)</w:t>
      </w:r>
      <w:r>
        <w:tab/>
        <w:t>The Commissioner of Main Roads may refuse the application, or grant it and amend the licence.</w:t>
      </w:r>
    </w:p>
    <w:p w:rsidR="006724FB" w:rsidRDefault="006724FB">
      <w:pPr>
        <w:pStyle w:val="Subsection"/>
      </w:pPr>
      <w:r>
        <w:tab/>
        <w:t>(5)</w:t>
      </w:r>
      <w:r>
        <w:tab/>
        <w:t>If, while a heavy vehicle pilot licence has effect, the Commissioner of Main Roads wants to amend it in any material way, the Commissioner must —</w:t>
      </w:r>
    </w:p>
    <w:p w:rsidR="006724FB" w:rsidRDefault="006724FB">
      <w:pPr>
        <w:pStyle w:val="Indenta"/>
      </w:pPr>
      <w:r>
        <w:tab/>
        <w:t>(a)</w:t>
      </w:r>
      <w:r>
        <w:tab/>
        <w:t>give the holder written notice of the proposal and reasons for it; and</w:t>
      </w:r>
    </w:p>
    <w:p w:rsidR="006724FB" w:rsidRDefault="006724FB">
      <w:pPr>
        <w:pStyle w:val="Indenta"/>
      </w:pPr>
      <w:r>
        <w:tab/>
        <w:t>(b)</w:t>
      </w:r>
      <w:r>
        <w:tab/>
        <w:t>except where the removal of a condition is proposed, give the holder a reasonable opportunity to make submissions about the proposal; and</w:t>
      </w:r>
    </w:p>
    <w:p w:rsidR="006724FB" w:rsidRDefault="006724FB">
      <w:pPr>
        <w:pStyle w:val="Indenta"/>
      </w:pPr>
      <w:r>
        <w:tab/>
        <w:t>(c)</w:t>
      </w:r>
      <w:r>
        <w:tab/>
        <w:t>consider any submissions and then decide whether to amend the licence; and</w:t>
      </w:r>
    </w:p>
    <w:p w:rsidR="006724FB" w:rsidRDefault="006724FB">
      <w:pPr>
        <w:pStyle w:val="Indenta"/>
      </w:pPr>
      <w:r>
        <w:tab/>
        <w:t>(d)</w:t>
      </w:r>
      <w:r>
        <w:tab/>
        <w:t>give the holder written notice of the decision.</w:t>
      </w:r>
    </w:p>
    <w:p w:rsidR="006724FB" w:rsidRDefault="006724FB">
      <w:pPr>
        <w:pStyle w:val="Subsection"/>
      </w:pPr>
      <w:r>
        <w:tab/>
        <w:t>(6)</w:t>
      </w:r>
      <w:r>
        <w:tab/>
        <w:t xml:space="preserve">Subregulation (5) does not apply to an amendment to a licence that is in accordance with an application by the licence holder. </w:t>
      </w:r>
    </w:p>
    <w:p w:rsidR="006724FB" w:rsidRDefault="006724FB">
      <w:pPr>
        <w:pStyle w:val="Subsection"/>
      </w:pPr>
      <w:r>
        <w:lastRenderedPageBreak/>
        <w:tab/>
        <w:t>(7)</w:t>
      </w:r>
      <w:r>
        <w:tab/>
        <w:t>Regulations 454F and 454G, with any necessary changes, apply in relation to dealing with an application to amend a heavy vehicle pilot licence as if it were an application for a heavy vehicle pilot licence.</w:t>
      </w:r>
    </w:p>
    <w:p w:rsidR="006724FB" w:rsidRDefault="006724FB">
      <w:pPr>
        <w:pStyle w:val="Subsection"/>
      </w:pPr>
      <w:r>
        <w:tab/>
        <w:t>(8)</w:t>
      </w:r>
      <w:r>
        <w:tab/>
        <w:t>Regulations 454H and 454I, with any necessary changes, apply in relation to amending a heavy vehicle pilot licence in the same way as they apply to the granting of a heavy vehicle pilot licence.</w:t>
      </w:r>
    </w:p>
    <w:p w:rsidR="006724FB" w:rsidRDefault="006724FB">
      <w:pPr>
        <w:pStyle w:val="Subsection"/>
      </w:pPr>
      <w:r>
        <w:tab/>
        <w:t>(9)</w:t>
      </w:r>
      <w:r>
        <w:tab/>
        <w:t>A decision by the Commissioner of Main Roads to amend a heavy vehicle pilot licence has effect on the date specified in the notice.</w:t>
      </w:r>
    </w:p>
    <w:p w:rsidR="006724FB" w:rsidRDefault="006724FB">
      <w:pPr>
        <w:pStyle w:val="Footnotesection"/>
      </w:pPr>
      <w:r>
        <w:tab/>
        <w:t>[Regulation 454N inserted: Gazette 15 Nov 2016 p. 5069</w:t>
      </w:r>
      <w:r>
        <w:noBreakHyphen/>
        <w:t>70.]</w:t>
      </w:r>
    </w:p>
    <w:p w:rsidR="006724FB" w:rsidRDefault="006724FB">
      <w:pPr>
        <w:pStyle w:val="Heading5"/>
      </w:pPr>
      <w:bookmarkStart w:id="875" w:name="_Toc75876099"/>
      <w:r>
        <w:rPr>
          <w:rStyle w:val="CharSectno"/>
        </w:rPr>
        <w:t>454O</w:t>
      </w:r>
      <w:r>
        <w:t>.</w:t>
      </w:r>
      <w:r>
        <w:tab/>
        <w:t>Renewing heavy vehicle pilot licence</w:t>
      </w:r>
      <w:bookmarkEnd w:id="875"/>
    </w:p>
    <w:p w:rsidR="006724FB" w:rsidRDefault="006724FB">
      <w:pPr>
        <w:pStyle w:val="Subsection"/>
      </w:pPr>
      <w:r>
        <w:tab/>
        <w:t>(1)</w:t>
      </w:r>
      <w:r>
        <w:tab/>
        <w:t xml:space="preserve">In this regulation — </w:t>
      </w:r>
    </w:p>
    <w:p w:rsidR="006724FB" w:rsidRDefault="006724FB">
      <w:pPr>
        <w:pStyle w:val="Defstart"/>
      </w:pPr>
      <w:r>
        <w:tab/>
      </w:r>
      <w:r>
        <w:rPr>
          <w:rStyle w:val="CharDefText"/>
        </w:rPr>
        <w:t>expiry day</w:t>
      </w:r>
      <w:r>
        <w:t>, in relation to a heavy vehicle pilot licence means the last day of the period for which the licence is in effect.</w:t>
      </w:r>
    </w:p>
    <w:p w:rsidR="006724FB" w:rsidRDefault="006724FB">
      <w:pPr>
        <w:pStyle w:val="Subsection"/>
      </w:pPr>
      <w:r>
        <w:tab/>
        <w:t>(2)</w:t>
      </w:r>
      <w:r>
        <w:tab/>
        <w:t>The holder of a heavy vehicle pilot licence may, within 6 months before the expiry day, apply to the Commissioner of Main Roads for a renewal of the licence.</w:t>
      </w:r>
    </w:p>
    <w:p w:rsidR="006724FB" w:rsidRDefault="006724FB">
      <w:pPr>
        <w:pStyle w:val="Subsection"/>
      </w:pPr>
      <w:r>
        <w:tab/>
        <w:t>(3)</w:t>
      </w:r>
      <w:r>
        <w:tab/>
        <w:t xml:space="preserve">The application must be — </w:t>
      </w:r>
    </w:p>
    <w:p w:rsidR="006724FB" w:rsidRDefault="006724FB">
      <w:pPr>
        <w:pStyle w:val="Indenta"/>
      </w:pPr>
      <w:r>
        <w:tab/>
        <w:t>(a)</w:t>
      </w:r>
      <w:r>
        <w:tab/>
        <w:t>in an approved form; and</w:t>
      </w:r>
    </w:p>
    <w:p w:rsidR="006724FB" w:rsidRDefault="006724FB">
      <w:pPr>
        <w:pStyle w:val="Indenta"/>
      </w:pPr>
      <w:r>
        <w:tab/>
        <w:t>(b)</w:t>
      </w:r>
      <w:r>
        <w:tab/>
        <w:t>accompanied by any document that is required by the approved form; and</w:t>
      </w:r>
    </w:p>
    <w:p w:rsidR="006724FB" w:rsidRDefault="006724FB">
      <w:pPr>
        <w:pStyle w:val="Indenta"/>
      </w:pPr>
      <w:r>
        <w:tab/>
        <w:t>(c)</w:t>
      </w:r>
      <w:r>
        <w:tab/>
        <w:t>accompanied by the medical evidence referred to in regulation 454D; and</w:t>
      </w:r>
    </w:p>
    <w:p w:rsidR="006724FB" w:rsidRDefault="006724FB">
      <w:pPr>
        <w:pStyle w:val="Indenta"/>
      </w:pPr>
      <w:r>
        <w:tab/>
        <w:t>(d)</w:t>
      </w:r>
      <w:r>
        <w:tab/>
        <w:t>accompanied by the competency evidence referred to in regulation 454E(3); and</w:t>
      </w:r>
    </w:p>
    <w:p w:rsidR="006724FB" w:rsidRDefault="006724FB">
      <w:pPr>
        <w:pStyle w:val="Indenta"/>
      </w:pPr>
      <w:r>
        <w:tab/>
        <w:t>(e)</w:t>
      </w:r>
      <w:r>
        <w:tab/>
        <w:t>accompanied by a copy of the applicant’s driver’s licence; and</w:t>
      </w:r>
    </w:p>
    <w:p w:rsidR="006724FB" w:rsidRDefault="006724FB">
      <w:pPr>
        <w:pStyle w:val="Indenta"/>
      </w:pPr>
      <w:r>
        <w:tab/>
        <w:t>(f)</w:t>
      </w:r>
      <w:r>
        <w:tab/>
        <w:t>accompanied by a fee of $205.</w:t>
      </w:r>
    </w:p>
    <w:p w:rsidR="006724FB" w:rsidRDefault="006724FB">
      <w:pPr>
        <w:pStyle w:val="Subsection"/>
      </w:pPr>
      <w:r>
        <w:lastRenderedPageBreak/>
        <w:tab/>
        <w:t>(4)</w:t>
      </w:r>
      <w:r>
        <w:tab/>
        <w:t>Regulations 454F and 454G, with any necessary changes, apply in relation to dealing with a renewal application as if it were an application for a heavy vehicle pilot licence.</w:t>
      </w:r>
    </w:p>
    <w:p w:rsidR="006724FB" w:rsidRDefault="006724FB">
      <w:pPr>
        <w:pStyle w:val="Subsection"/>
      </w:pPr>
      <w:r>
        <w:tab/>
        <w:t>(5)</w:t>
      </w:r>
      <w:r>
        <w:tab/>
        <w:t>Regulations 454H and 454I, with any necessary changes, apply in relation to renewing a heavy vehicle pilot licence in the same way as they apply to granting a heavy vehicle pilot licence.</w:t>
      </w:r>
    </w:p>
    <w:p w:rsidR="006724FB" w:rsidRDefault="006724FB">
      <w:pPr>
        <w:pStyle w:val="Footnotesection"/>
      </w:pPr>
      <w:r>
        <w:tab/>
        <w:t>[Regulation 454O inserted: Gazette 15 Nov 2016 p. 5070</w:t>
      </w:r>
      <w:r>
        <w:noBreakHyphen/>
        <w:t>1.]</w:t>
      </w:r>
    </w:p>
    <w:p w:rsidR="006724FB" w:rsidRDefault="006724FB">
      <w:pPr>
        <w:pStyle w:val="Heading4"/>
      </w:pPr>
      <w:bookmarkStart w:id="876" w:name="_Toc75420176"/>
      <w:bookmarkStart w:id="877" w:name="_Toc75427512"/>
      <w:bookmarkStart w:id="878" w:name="_Toc75872928"/>
      <w:bookmarkStart w:id="879" w:name="_Toc75876100"/>
      <w:r>
        <w:t>Subdivision 2 — Suspending and cancelling heavy vehicle pilot licence</w:t>
      </w:r>
      <w:bookmarkEnd w:id="876"/>
      <w:bookmarkEnd w:id="877"/>
      <w:bookmarkEnd w:id="878"/>
      <w:bookmarkEnd w:id="879"/>
    </w:p>
    <w:p w:rsidR="006724FB" w:rsidRDefault="006724FB">
      <w:pPr>
        <w:pStyle w:val="Footnoteheading"/>
      </w:pPr>
      <w:r>
        <w:tab/>
        <w:t>[Heading inserted: Gazette 15 Nov 2016 p. 5071.]</w:t>
      </w:r>
    </w:p>
    <w:p w:rsidR="006724FB" w:rsidRDefault="006724FB">
      <w:pPr>
        <w:pStyle w:val="Heading5"/>
      </w:pPr>
      <w:bookmarkStart w:id="880" w:name="_Toc75876101"/>
      <w:r>
        <w:rPr>
          <w:rStyle w:val="CharSectno"/>
        </w:rPr>
        <w:t>454P</w:t>
      </w:r>
      <w:r>
        <w:t>.</w:t>
      </w:r>
      <w:r>
        <w:tab/>
        <w:t>Grounds for suspending or cancelling</w:t>
      </w:r>
      <w:bookmarkEnd w:id="880"/>
    </w:p>
    <w:p w:rsidR="006724FB" w:rsidRDefault="006724FB">
      <w:pPr>
        <w:pStyle w:val="Subsection"/>
      </w:pPr>
      <w:r>
        <w:tab/>
      </w:r>
      <w:r>
        <w:tab/>
        <w:t>For the purposes of this Subdivision, the following are grounds to suspend or cancel a heavy vehicle pilot licence —</w:t>
      </w:r>
    </w:p>
    <w:p w:rsidR="006724FB" w:rsidRDefault="006724FB">
      <w:pPr>
        <w:pStyle w:val="Ednotepara"/>
      </w:pPr>
      <w:r>
        <w:tab/>
        <w:t>[(a)</w:t>
      </w:r>
      <w:r>
        <w:tab/>
        <w:t>deleted]</w:t>
      </w:r>
    </w:p>
    <w:p w:rsidR="006724FB" w:rsidRDefault="006724FB">
      <w:pPr>
        <w:pStyle w:val="Indenta"/>
      </w:pPr>
      <w:r>
        <w:tab/>
        <w:t>(b)</w:t>
      </w:r>
      <w:r>
        <w:tab/>
        <w:t>the holder —</w:t>
      </w:r>
    </w:p>
    <w:p w:rsidR="006724FB" w:rsidRDefault="006724FB">
      <w:pPr>
        <w:pStyle w:val="Indenti"/>
      </w:pPr>
      <w:r>
        <w:tab/>
        <w:t>(i)</w:t>
      </w:r>
      <w:r>
        <w:tab/>
        <w:t>has not complied with the licence; or</w:t>
      </w:r>
    </w:p>
    <w:p w:rsidR="006724FB" w:rsidRDefault="006724FB">
      <w:pPr>
        <w:pStyle w:val="Ednotedefsubpara"/>
      </w:pPr>
      <w:r>
        <w:tab/>
        <w:t>[(ii)</w:t>
      </w:r>
      <w:r>
        <w:tab/>
        <w:t>deleted]</w:t>
      </w:r>
    </w:p>
    <w:p w:rsidR="006724FB" w:rsidRDefault="006724FB">
      <w:pPr>
        <w:pStyle w:val="Indenti"/>
      </w:pPr>
      <w:r>
        <w:tab/>
        <w:t>(iii)</w:t>
      </w:r>
      <w:r>
        <w:tab/>
        <w:t>has obtained the licence because of false or misleading information; or</w:t>
      </w:r>
    </w:p>
    <w:p w:rsidR="006724FB" w:rsidRDefault="006724FB">
      <w:pPr>
        <w:pStyle w:val="Indenti"/>
      </w:pPr>
      <w:r>
        <w:tab/>
        <w:t>(iv)</w:t>
      </w:r>
      <w:r>
        <w:tab/>
        <w:t>is not physically or mentally fit to engage safely in the activities that are authorised by the licence; or</w:t>
      </w:r>
    </w:p>
    <w:p w:rsidR="006724FB" w:rsidRDefault="006724FB">
      <w:pPr>
        <w:pStyle w:val="Indenti"/>
      </w:pPr>
      <w:r>
        <w:tab/>
        <w:t>(v)</w:t>
      </w:r>
      <w:r>
        <w:tab/>
        <w:t>is not competent to engage safely in the activities that are authorised by the licence; or</w:t>
      </w:r>
    </w:p>
    <w:p w:rsidR="006724FB" w:rsidRDefault="006724FB">
      <w:pPr>
        <w:pStyle w:val="Indenti"/>
      </w:pPr>
      <w:r>
        <w:tab/>
        <w:t>(vi)</w:t>
      </w:r>
      <w:r>
        <w:tab/>
        <w:t>is not qualified under these regulations to hold the licence;</w:t>
      </w:r>
    </w:p>
    <w:p w:rsidR="006724FB" w:rsidRDefault="006724FB">
      <w:pPr>
        <w:pStyle w:val="Indenta"/>
      </w:pPr>
      <w:r>
        <w:tab/>
        <w:t>(c)</w:t>
      </w:r>
      <w:r>
        <w:tab/>
        <w:t>the holder is convicted of —</w:t>
      </w:r>
    </w:p>
    <w:p w:rsidR="006724FB" w:rsidRDefault="006724FB">
      <w:pPr>
        <w:pStyle w:val="Indenti"/>
      </w:pPr>
      <w:r>
        <w:tab/>
        <w:t>(i)</w:t>
      </w:r>
      <w:r>
        <w:tab/>
        <w:t>an offence against a road law; or</w:t>
      </w:r>
    </w:p>
    <w:p w:rsidR="006724FB" w:rsidRDefault="006724FB">
      <w:pPr>
        <w:pStyle w:val="Indenti"/>
      </w:pPr>
      <w:r>
        <w:lastRenderedPageBreak/>
        <w:tab/>
        <w:t>(ii)</w:t>
      </w:r>
      <w:r>
        <w:tab/>
        <w:t>an offence against a law of another place that substantially corresponds to an offence against a road law.</w:t>
      </w:r>
    </w:p>
    <w:p w:rsidR="006724FB" w:rsidRDefault="006724FB">
      <w:pPr>
        <w:pStyle w:val="Footnotesection"/>
      </w:pPr>
      <w:r>
        <w:tab/>
        <w:t>[Regulation 454P inserted: Gazette 15 Nov 2016 p. 5071; amended: Gazette 1 Dec 2017 p. 5739.]</w:t>
      </w:r>
    </w:p>
    <w:p w:rsidR="006724FB" w:rsidRDefault="006724FB">
      <w:pPr>
        <w:pStyle w:val="Heading5"/>
      </w:pPr>
      <w:bookmarkStart w:id="881" w:name="_Toc75876102"/>
      <w:r>
        <w:rPr>
          <w:rStyle w:val="CharSectno"/>
        </w:rPr>
        <w:t>454Q</w:t>
      </w:r>
      <w:r>
        <w:t>.</w:t>
      </w:r>
      <w:r>
        <w:tab/>
        <w:t>Procedure for suspending or cancelling heavy vehicle pilot licence</w:t>
      </w:r>
      <w:bookmarkEnd w:id="881"/>
    </w:p>
    <w:p w:rsidR="006724FB" w:rsidRDefault="006724FB">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rsidR="006724FB" w:rsidRDefault="006724FB">
      <w:pPr>
        <w:pStyle w:val="Subsection"/>
      </w:pPr>
      <w:r>
        <w:tab/>
        <w:t>(2)</w:t>
      </w:r>
      <w:r>
        <w:tab/>
        <w:t xml:space="preserve">The Commissioner of Main Roads must give the heavy vehicle pilot licence holder a written notice that states — </w:t>
      </w:r>
    </w:p>
    <w:p w:rsidR="006724FB" w:rsidRDefault="006724FB">
      <w:pPr>
        <w:pStyle w:val="Indenta"/>
      </w:pPr>
      <w:r>
        <w:tab/>
        <w:t>(a)</w:t>
      </w:r>
      <w:r>
        <w:tab/>
        <w:t>the proposed action; and</w:t>
      </w:r>
    </w:p>
    <w:p w:rsidR="006724FB" w:rsidRDefault="006724FB">
      <w:pPr>
        <w:pStyle w:val="Indenta"/>
      </w:pPr>
      <w:r>
        <w:tab/>
        <w:t>(b)</w:t>
      </w:r>
      <w:r>
        <w:tab/>
        <w:t>any period of suspension proposed by the Commissioner (either as a period of time or by reference to a future event); and</w:t>
      </w:r>
    </w:p>
    <w:p w:rsidR="006724FB" w:rsidRDefault="006724FB">
      <w:pPr>
        <w:pStyle w:val="Indenta"/>
      </w:pPr>
      <w:r>
        <w:tab/>
        <w:t>(c)</w:t>
      </w:r>
      <w:r>
        <w:tab/>
        <w:t>the grounds and the evidence in support of the grounds; and</w:t>
      </w:r>
    </w:p>
    <w:p w:rsidR="006724FB" w:rsidRDefault="006724FB">
      <w:pPr>
        <w:pStyle w:val="Indenta"/>
      </w:pPr>
      <w:r>
        <w:tab/>
        <w:t>(d)</w:t>
      </w:r>
      <w:r>
        <w:tab/>
        <w:t>that the holder is entitled to give the Commissioner written submissions about the proposed action; and</w:t>
      </w:r>
    </w:p>
    <w:p w:rsidR="006724FB" w:rsidRDefault="006724FB">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rsidR="006724FB" w:rsidRDefault="006724FB">
      <w:pPr>
        <w:pStyle w:val="Subsection"/>
      </w:pPr>
      <w:r>
        <w:tab/>
        <w:t>(3)</w:t>
      </w:r>
      <w:r>
        <w:tab/>
        <w:t>Having considered any submissions received from the holder before the submission date, the Commissioner may, if the Commissioner considers there are grounds to do so —</w:t>
      </w:r>
    </w:p>
    <w:p w:rsidR="006724FB" w:rsidRDefault="006724FB">
      <w:pPr>
        <w:pStyle w:val="Indenta"/>
      </w:pPr>
      <w:r>
        <w:tab/>
        <w:t>(a)</w:t>
      </w:r>
      <w:r>
        <w:tab/>
        <w:t>suspend the heavy vehicle pilot licence for a period that is no longer than the period of suspension specified in the notice; or</w:t>
      </w:r>
    </w:p>
    <w:p w:rsidR="006724FB" w:rsidRDefault="006724FB">
      <w:pPr>
        <w:pStyle w:val="Indenta"/>
      </w:pPr>
      <w:r>
        <w:tab/>
        <w:t>(b)</w:t>
      </w:r>
      <w:r>
        <w:tab/>
        <w:t>cancel the heavy vehicle pilot licence in accordance with the proposed action specified in the notice.</w:t>
      </w:r>
    </w:p>
    <w:p w:rsidR="006724FB" w:rsidRDefault="006724FB">
      <w:pPr>
        <w:pStyle w:val="Subsection"/>
      </w:pPr>
      <w:r>
        <w:lastRenderedPageBreak/>
        <w:tab/>
        <w:t>(4)</w:t>
      </w:r>
      <w:r>
        <w:tab/>
        <w:t>The suspension or cancellation of the heavy vehicle pilot licence has effect when the holder is given notice of the suspension or cancellation under subregulation (3) or on a later date specified in the notice.</w:t>
      </w:r>
    </w:p>
    <w:p w:rsidR="006724FB" w:rsidRDefault="006724FB">
      <w:pPr>
        <w:pStyle w:val="Footnotesection"/>
      </w:pPr>
      <w:r>
        <w:tab/>
        <w:t>[Regulation 454Q inserted: Gazette 15 Nov 2016 p. 5071</w:t>
      </w:r>
      <w:r>
        <w:noBreakHyphen/>
        <w:t>2.]</w:t>
      </w:r>
    </w:p>
    <w:p w:rsidR="006724FB" w:rsidRDefault="006724FB">
      <w:pPr>
        <w:pStyle w:val="Heading5"/>
      </w:pPr>
      <w:bookmarkStart w:id="882" w:name="_Toc75876103"/>
      <w:r>
        <w:rPr>
          <w:rStyle w:val="CharSectno"/>
        </w:rPr>
        <w:t>454R</w:t>
      </w:r>
      <w:r>
        <w:t>.</w:t>
      </w:r>
      <w:r>
        <w:tab/>
        <w:t>Suspension in urgent circumstances</w:t>
      </w:r>
      <w:bookmarkEnd w:id="882"/>
    </w:p>
    <w:p w:rsidR="006724FB" w:rsidRDefault="006724FB">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rsidR="006724FB" w:rsidRDefault="006724FB">
      <w:pPr>
        <w:pStyle w:val="Subsection"/>
      </w:pPr>
      <w:r>
        <w:tab/>
        <w:t>(2)</w:t>
      </w:r>
      <w:r>
        <w:tab/>
        <w:t xml:space="preserve">The Commissioner may take action under subregulation (1) only if the Commissioner is satisfied that — </w:t>
      </w:r>
    </w:p>
    <w:p w:rsidR="006724FB" w:rsidRDefault="006724FB">
      <w:pPr>
        <w:pStyle w:val="Indenta"/>
      </w:pPr>
      <w:r>
        <w:tab/>
        <w:t>(a)</w:t>
      </w:r>
      <w:r>
        <w:tab/>
        <w:t>there are grounds to suspend or cancel the licence; and</w:t>
      </w:r>
    </w:p>
    <w:p w:rsidR="006724FB" w:rsidRDefault="006724FB">
      <w:pPr>
        <w:pStyle w:val="Indenta"/>
      </w:pPr>
      <w:r>
        <w:tab/>
        <w:t>(b)</w:t>
      </w:r>
      <w:r>
        <w:tab/>
        <w:t>if the procedure in regulation 454Q were followed, an unacceptable risk in relation to people or property would exist during the time it is followed.</w:t>
      </w:r>
    </w:p>
    <w:p w:rsidR="006724FB" w:rsidRDefault="006724FB">
      <w:pPr>
        <w:pStyle w:val="Subsection"/>
      </w:pPr>
      <w:r>
        <w:tab/>
        <w:t>(3)</w:t>
      </w:r>
      <w:r>
        <w:tab/>
        <w:t>The notice must be accompanied by written reasons for the decision to suspend the licence.</w:t>
      </w:r>
    </w:p>
    <w:p w:rsidR="006724FB" w:rsidRDefault="006724FB">
      <w:pPr>
        <w:pStyle w:val="Subsection"/>
      </w:pPr>
      <w:r>
        <w:tab/>
        <w:t>(4)</w:t>
      </w:r>
      <w:r>
        <w:tab/>
        <w:t>The suspension of the heavy vehicle pilot licence has effect when the holder is given the notice or on any later date specified in the notice.</w:t>
      </w:r>
    </w:p>
    <w:p w:rsidR="006724FB" w:rsidRDefault="006724FB">
      <w:pPr>
        <w:pStyle w:val="Subsection"/>
      </w:pPr>
      <w:r>
        <w:tab/>
        <w:t>(5)</w:t>
      </w:r>
      <w:r>
        <w:tab/>
        <w:t>This regulation does not prevent the Commissioner of Main Roads from also taking action under regulation 454Q to suspend or cancel a heavy vehicle pilot licence.</w:t>
      </w:r>
    </w:p>
    <w:p w:rsidR="006724FB" w:rsidRDefault="006724FB">
      <w:pPr>
        <w:pStyle w:val="Footnotesection"/>
      </w:pPr>
      <w:r>
        <w:tab/>
        <w:t>[Regulation 454R inserted: Gazette 15 Nov 2016 p. 5072.]</w:t>
      </w:r>
    </w:p>
    <w:p w:rsidR="006724FB" w:rsidRDefault="006724FB">
      <w:pPr>
        <w:pStyle w:val="Heading5"/>
      </w:pPr>
      <w:bookmarkStart w:id="883" w:name="_Toc75876104"/>
      <w:r>
        <w:rPr>
          <w:rStyle w:val="CharSectno"/>
        </w:rPr>
        <w:t>454S</w:t>
      </w:r>
      <w:r>
        <w:t>.</w:t>
      </w:r>
      <w:r>
        <w:tab/>
        <w:t>Heavy vehicle pilot licence to be returned if cancelled or suspended</w:t>
      </w:r>
      <w:bookmarkEnd w:id="883"/>
    </w:p>
    <w:p w:rsidR="006724FB" w:rsidRDefault="006724FB">
      <w:pPr>
        <w:pStyle w:val="Subsection"/>
      </w:pPr>
      <w:r>
        <w:tab/>
      </w:r>
      <w:r>
        <w:tab/>
        <w:t xml:space="preserve">If the Commissioner of Main Roads suspends or cancels a heavy vehicle pilot licence, the holder must return the licence </w:t>
      </w:r>
      <w:r>
        <w:lastRenderedPageBreak/>
        <w:t>document to the Commissioner within 14 days after the date of receiving notice of the suspension or cancellation.</w:t>
      </w:r>
    </w:p>
    <w:p w:rsidR="006724FB" w:rsidRDefault="006724FB">
      <w:pPr>
        <w:pStyle w:val="Penstart"/>
      </w:pPr>
      <w:r>
        <w:tab/>
        <w:t xml:space="preserve">Penalty: </w:t>
      </w:r>
    </w:p>
    <w:p w:rsidR="006724FB" w:rsidRDefault="006724FB">
      <w:pPr>
        <w:pStyle w:val="Penpara"/>
      </w:pPr>
      <w:r>
        <w:tab/>
        <w:t>(a)</w:t>
      </w:r>
      <w:r>
        <w:tab/>
        <w:t>for a first offence, a fine of 4 PU;</w:t>
      </w:r>
    </w:p>
    <w:p w:rsidR="006724FB" w:rsidRDefault="006724FB">
      <w:pPr>
        <w:pStyle w:val="Penpara"/>
        <w:keepNext/>
      </w:pPr>
      <w:r>
        <w:tab/>
        <w:t>(b)</w:t>
      </w:r>
      <w:r>
        <w:tab/>
        <w:t>for a subsequent offence, a fine of 8 PU.</w:t>
      </w:r>
    </w:p>
    <w:p w:rsidR="006724FB" w:rsidRDefault="006724FB">
      <w:pPr>
        <w:pStyle w:val="Penstart"/>
        <w:keepNext/>
      </w:pPr>
      <w:r>
        <w:tab/>
        <w:t>Modified penalty: 2 PU.</w:t>
      </w:r>
    </w:p>
    <w:p w:rsidR="006724FB" w:rsidRDefault="006724FB">
      <w:pPr>
        <w:pStyle w:val="Footnotesection"/>
      </w:pPr>
      <w:r>
        <w:tab/>
        <w:t>[Regulation 454S inserted: Gazette 15 Nov 2016 p. 5073.]</w:t>
      </w:r>
    </w:p>
    <w:p w:rsidR="006724FB" w:rsidRDefault="006724FB">
      <w:pPr>
        <w:pStyle w:val="Heading5"/>
      </w:pPr>
      <w:bookmarkStart w:id="884" w:name="_Toc75876105"/>
      <w:r>
        <w:rPr>
          <w:rStyle w:val="CharSectno"/>
        </w:rPr>
        <w:t>454T</w:t>
      </w:r>
      <w:r>
        <w:t>.</w:t>
      </w:r>
      <w:r>
        <w:tab/>
        <w:t>Suspension may be lifted</w:t>
      </w:r>
      <w:bookmarkEnd w:id="884"/>
    </w:p>
    <w:p w:rsidR="006724FB" w:rsidRDefault="006724FB">
      <w:pPr>
        <w:pStyle w:val="Subsection"/>
      </w:pPr>
      <w:r>
        <w:tab/>
      </w:r>
      <w:r>
        <w:tab/>
        <w:t>The Commissioner of Main Roads may lift the suspension of a heavy vehicle pilot licence at any time by written notice given to the holder.</w:t>
      </w:r>
    </w:p>
    <w:p w:rsidR="006724FB" w:rsidRDefault="006724FB">
      <w:pPr>
        <w:pStyle w:val="Footnotesection"/>
      </w:pPr>
      <w:r>
        <w:tab/>
        <w:t>[Regulation 454T inserted: Gazette 15 Nov 2016 p. 5073.]</w:t>
      </w:r>
    </w:p>
    <w:p w:rsidR="006724FB" w:rsidRDefault="006724FB">
      <w:pPr>
        <w:pStyle w:val="Heading4"/>
      </w:pPr>
      <w:bookmarkStart w:id="885" w:name="_Toc75420182"/>
      <w:bookmarkStart w:id="886" w:name="_Toc75427518"/>
      <w:bookmarkStart w:id="887" w:name="_Toc75872934"/>
      <w:bookmarkStart w:id="888" w:name="_Toc75876106"/>
      <w:r>
        <w:t>Subdivision 3 — Duties of heavy vehicle pilot licence holder</w:t>
      </w:r>
      <w:bookmarkEnd w:id="885"/>
      <w:bookmarkEnd w:id="886"/>
      <w:bookmarkEnd w:id="887"/>
      <w:bookmarkEnd w:id="888"/>
    </w:p>
    <w:p w:rsidR="006724FB" w:rsidRDefault="006724FB">
      <w:pPr>
        <w:pStyle w:val="Footnoteheading"/>
      </w:pPr>
      <w:r>
        <w:tab/>
        <w:t>[Heading inserted: Gazette 15 Nov 2016 p. 5073.]</w:t>
      </w:r>
    </w:p>
    <w:p w:rsidR="006724FB" w:rsidRDefault="006724FB">
      <w:pPr>
        <w:pStyle w:val="Heading5"/>
      </w:pPr>
      <w:bookmarkStart w:id="889" w:name="_Toc75876107"/>
      <w:r>
        <w:rPr>
          <w:rStyle w:val="CharSectno"/>
        </w:rPr>
        <w:t>454U</w:t>
      </w:r>
      <w:r>
        <w:t>.</w:t>
      </w:r>
      <w:r>
        <w:tab/>
        <w:t>Duty to correct wrong information</w:t>
      </w:r>
      <w:bookmarkEnd w:id="889"/>
    </w:p>
    <w:p w:rsidR="006724FB" w:rsidRDefault="006724FB">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rsidR="006724FB" w:rsidRDefault="006724FB">
      <w:pPr>
        <w:pStyle w:val="Subsection"/>
      </w:pPr>
      <w:r>
        <w:tab/>
        <w:t>(2)</w:t>
      </w:r>
      <w:r>
        <w:tab/>
        <w:t>Within 14 days after becoming aware of the matter, the holder must inform the Commissioner of Main Roads about the matter and give the correct information to the Commissioner.</w:t>
      </w:r>
    </w:p>
    <w:p w:rsidR="006724FB" w:rsidRDefault="006724FB">
      <w:pPr>
        <w:pStyle w:val="Penstart"/>
      </w:pPr>
      <w:r>
        <w:tab/>
        <w:t xml:space="preserve">Penalty for this subregulation: </w:t>
      </w:r>
    </w:p>
    <w:p w:rsidR="006724FB" w:rsidRDefault="006724FB">
      <w:pPr>
        <w:pStyle w:val="Penpara"/>
      </w:pPr>
      <w:r>
        <w:tab/>
        <w:t>(a)</w:t>
      </w:r>
      <w:r>
        <w:tab/>
        <w:t>for a first offence, a fine of 4 PU;</w:t>
      </w:r>
    </w:p>
    <w:p w:rsidR="006724FB" w:rsidRDefault="006724FB">
      <w:pPr>
        <w:pStyle w:val="Penpara"/>
      </w:pPr>
      <w:r>
        <w:tab/>
        <w:t>(b)</w:t>
      </w:r>
      <w:r>
        <w:tab/>
        <w:t>for a subsequent offence, a fine of 8 PU.</w:t>
      </w:r>
    </w:p>
    <w:p w:rsidR="006724FB" w:rsidRDefault="006724FB">
      <w:pPr>
        <w:pStyle w:val="Penstart"/>
      </w:pPr>
      <w:r>
        <w:tab/>
        <w:t>Modified penalty: 2 PU.</w:t>
      </w:r>
    </w:p>
    <w:p w:rsidR="006724FB" w:rsidRDefault="006724FB">
      <w:pPr>
        <w:pStyle w:val="Footnotesection"/>
      </w:pPr>
      <w:r>
        <w:tab/>
        <w:t>[Regulation 454U inserted: Gazette 15 Nov 2016 p. 5073.]</w:t>
      </w:r>
    </w:p>
    <w:p w:rsidR="006724FB" w:rsidRDefault="006724FB">
      <w:pPr>
        <w:pStyle w:val="Heading5"/>
      </w:pPr>
      <w:bookmarkStart w:id="890" w:name="_Toc75876108"/>
      <w:r>
        <w:rPr>
          <w:rStyle w:val="CharSectno"/>
        </w:rPr>
        <w:lastRenderedPageBreak/>
        <w:t>454V</w:t>
      </w:r>
      <w:r>
        <w:t>.</w:t>
      </w:r>
      <w:r>
        <w:tab/>
        <w:t>Duty to notify Commissioner of Main Roads if no longer authorised to drive</w:t>
      </w:r>
      <w:bookmarkEnd w:id="890"/>
    </w:p>
    <w:p w:rsidR="006724FB" w:rsidRDefault="006724FB">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rsidR="006724FB" w:rsidRDefault="006724FB">
      <w:pPr>
        <w:pStyle w:val="Penstart"/>
        <w:keepNext/>
      </w:pPr>
      <w:r>
        <w:tab/>
        <w:t xml:space="preserve">Penalty: </w:t>
      </w:r>
    </w:p>
    <w:p w:rsidR="006724FB" w:rsidRDefault="006724FB">
      <w:pPr>
        <w:pStyle w:val="Penpara"/>
      </w:pPr>
      <w:r>
        <w:tab/>
        <w:t>(a)</w:t>
      </w:r>
      <w:r>
        <w:tab/>
        <w:t>for a first offence, a fine of 4 PU;</w:t>
      </w:r>
    </w:p>
    <w:p w:rsidR="006724FB" w:rsidRDefault="006724FB">
      <w:pPr>
        <w:pStyle w:val="Penpara"/>
      </w:pPr>
      <w:r>
        <w:tab/>
        <w:t>(b)</w:t>
      </w:r>
      <w:r>
        <w:tab/>
        <w:t>for a subsequent offence, a fine of 8 PU.</w:t>
      </w:r>
    </w:p>
    <w:p w:rsidR="006724FB" w:rsidRDefault="006724FB">
      <w:pPr>
        <w:pStyle w:val="Penstart"/>
      </w:pPr>
      <w:r>
        <w:tab/>
        <w:t>Modified penalty: 2 PU.</w:t>
      </w:r>
    </w:p>
    <w:p w:rsidR="006724FB" w:rsidRDefault="006724FB">
      <w:pPr>
        <w:pStyle w:val="Footnotesection"/>
      </w:pPr>
      <w:r>
        <w:tab/>
        <w:t>[Regulation 454V inserted: Gazette 15 Nov 2016 p. 5073.]</w:t>
      </w:r>
    </w:p>
    <w:p w:rsidR="006724FB" w:rsidRDefault="006724FB">
      <w:pPr>
        <w:pStyle w:val="Heading5"/>
      </w:pPr>
      <w:bookmarkStart w:id="891" w:name="_Toc75876109"/>
      <w:r>
        <w:rPr>
          <w:rStyle w:val="CharSectno"/>
        </w:rPr>
        <w:t>454W</w:t>
      </w:r>
      <w:r>
        <w:t>.</w:t>
      </w:r>
      <w:r>
        <w:tab/>
        <w:t>Duty to notify Commissioner of Main Roads of medical impairment</w:t>
      </w:r>
      <w:bookmarkEnd w:id="891"/>
    </w:p>
    <w:p w:rsidR="006724FB" w:rsidRDefault="006724FB">
      <w:pPr>
        <w:pStyle w:val="Subsection"/>
      </w:pPr>
      <w:r>
        <w:tab/>
        <w:t>(1)</w:t>
      </w:r>
      <w:r>
        <w:tab/>
        <w:t xml:space="preserve">In this regulation — </w:t>
      </w:r>
    </w:p>
    <w:p w:rsidR="006724FB" w:rsidRDefault="006724FB">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rsidR="006724FB" w:rsidRDefault="006724FB">
      <w:pPr>
        <w:pStyle w:val="Defpara"/>
      </w:pPr>
      <w:r>
        <w:tab/>
        <w:t>(a)</w:t>
      </w:r>
      <w:r>
        <w:tab/>
        <w:t>the condition is likely to impair the ability of the person to safely engage in activities authorised by the licence; or</w:t>
      </w:r>
    </w:p>
    <w:p w:rsidR="006724FB" w:rsidRDefault="006724FB">
      <w:pPr>
        <w:pStyle w:val="Defpara"/>
      </w:pPr>
      <w:r>
        <w:tab/>
        <w:t>(b)</w:t>
      </w:r>
      <w:r>
        <w:tab/>
        <w:t>the treatment for the condition is likely to impair the ability of the person to safely engage in activities authorised by the licence.</w:t>
      </w:r>
    </w:p>
    <w:p w:rsidR="006724FB" w:rsidRDefault="006724FB">
      <w:pPr>
        <w:pStyle w:val="Subsection"/>
      </w:pPr>
      <w:r>
        <w:tab/>
        <w:t>(2)</w:t>
      </w:r>
      <w:r>
        <w:tab/>
        <w:t>If a person who is the holder of a heavy vehicle pilot licence becomes medically impaired, the person must give the Commissioner of Main Roads written notice of the fact as soon as practicable.</w:t>
      </w:r>
    </w:p>
    <w:p w:rsidR="006724FB" w:rsidRDefault="006724FB">
      <w:pPr>
        <w:pStyle w:val="Penstart"/>
      </w:pPr>
      <w:r>
        <w:tab/>
        <w:t xml:space="preserve">Penalty for this subregulation: </w:t>
      </w:r>
    </w:p>
    <w:p w:rsidR="006724FB" w:rsidRDefault="006724FB">
      <w:pPr>
        <w:pStyle w:val="Penpara"/>
      </w:pPr>
      <w:r>
        <w:tab/>
        <w:t>(a)</w:t>
      </w:r>
      <w:r>
        <w:tab/>
        <w:t>for a first offence, a fine of 4 PU;</w:t>
      </w:r>
    </w:p>
    <w:p w:rsidR="006724FB" w:rsidRDefault="006724FB">
      <w:pPr>
        <w:pStyle w:val="Penpara"/>
        <w:keepNext/>
      </w:pPr>
      <w:r>
        <w:lastRenderedPageBreak/>
        <w:tab/>
        <w:t>(b)</w:t>
      </w:r>
      <w:r>
        <w:tab/>
        <w:t>for a subsequent offence, a fine of 8 PU.</w:t>
      </w:r>
    </w:p>
    <w:p w:rsidR="006724FB" w:rsidRDefault="006724FB">
      <w:pPr>
        <w:pStyle w:val="Penstart"/>
      </w:pPr>
      <w:r>
        <w:tab/>
        <w:t>Modified penalty: 2 PU.</w:t>
      </w:r>
    </w:p>
    <w:p w:rsidR="006724FB" w:rsidRDefault="006724FB">
      <w:pPr>
        <w:pStyle w:val="Footnotesection"/>
      </w:pPr>
      <w:r>
        <w:tab/>
        <w:t>[Regulation 454W inserted: Gazette 15 Nov 2016 p. 5074.]</w:t>
      </w:r>
    </w:p>
    <w:p w:rsidR="006724FB" w:rsidRDefault="006724FB">
      <w:pPr>
        <w:pStyle w:val="Heading5"/>
      </w:pPr>
      <w:bookmarkStart w:id="892" w:name="_Toc75876110"/>
      <w:r>
        <w:rPr>
          <w:rStyle w:val="CharSectno"/>
        </w:rPr>
        <w:t>454X</w:t>
      </w:r>
      <w:r>
        <w:t>.</w:t>
      </w:r>
      <w:r>
        <w:tab/>
        <w:t>Licence to be carried and produced on request</w:t>
      </w:r>
      <w:bookmarkEnd w:id="892"/>
    </w:p>
    <w:p w:rsidR="006724FB" w:rsidRDefault="006724FB">
      <w:pPr>
        <w:pStyle w:val="Subsection"/>
      </w:pPr>
      <w:r>
        <w:tab/>
      </w:r>
      <w:r>
        <w:tab/>
        <w:t xml:space="preserve">The holder of a heavy vehicle pilot licence must — </w:t>
      </w:r>
    </w:p>
    <w:p w:rsidR="006724FB" w:rsidRDefault="006724FB">
      <w:pPr>
        <w:pStyle w:val="Indenta"/>
      </w:pPr>
      <w:r>
        <w:tab/>
        <w:t>(a)</w:t>
      </w:r>
      <w:r>
        <w:tab/>
        <w:t>while driving a pilot vehicle on a road, carry the licence document; and</w:t>
      </w:r>
    </w:p>
    <w:p w:rsidR="006724FB" w:rsidRDefault="006724FB">
      <w:pPr>
        <w:pStyle w:val="Indenta"/>
      </w:pPr>
      <w:r>
        <w:tab/>
        <w:t>(b)</w:t>
      </w:r>
      <w:r>
        <w:tab/>
        <w:t>produce that document if directed to do so by a police officer.</w:t>
      </w:r>
    </w:p>
    <w:p w:rsidR="006724FB" w:rsidRDefault="006724FB">
      <w:pPr>
        <w:pStyle w:val="Penstart"/>
      </w:pPr>
      <w:r>
        <w:tab/>
        <w:t xml:space="preserve">Penalty: </w:t>
      </w:r>
    </w:p>
    <w:p w:rsidR="006724FB" w:rsidRDefault="006724FB">
      <w:pPr>
        <w:pStyle w:val="Penpara"/>
      </w:pPr>
      <w:r>
        <w:tab/>
        <w:t>(a)</w:t>
      </w:r>
      <w:r>
        <w:tab/>
        <w:t>for a first offence, a fine of 24 PU;</w:t>
      </w:r>
    </w:p>
    <w:p w:rsidR="006724FB" w:rsidRDefault="006724FB">
      <w:pPr>
        <w:pStyle w:val="Penpara"/>
      </w:pPr>
      <w:r>
        <w:tab/>
        <w:t>(b)</w:t>
      </w:r>
      <w:r>
        <w:tab/>
        <w:t>for a subsequent offence, a fine of 32 PU.</w:t>
      </w:r>
    </w:p>
    <w:p w:rsidR="006724FB" w:rsidRDefault="006724FB">
      <w:pPr>
        <w:pStyle w:val="Penstart"/>
      </w:pPr>
      <w:r>
        <w:tab/>
        <w:t>Modified penalty: 4 PU.</w:t>
      </w:r>
    </w:p>
    <w:p w:rsidR="006724FB" w:rsidRDefault="006724FB">
      <w:pPr>
        <w:pStyle w:val="Footnotesection"/>
      </w:pPr>
      <w:r>
        <w:tab/>
        <w:t>[Regulation 454X inserted: Gazette 15 Nov 2016 p. 5074.]</w:t>
      </w:r>
    </w:p>
    <w:p w:rsidR="006724FB" w:rsidRDefault="006724FB">
      <w:pPr>
        <w:pStyle w:val="Heading5"/>
      </w:pPr>
      <w:bookmarkStart w:id="893" w:name="_Toc75876111"/>
      <w:r>
        <w:rPr>
          <w:rStyle w:val="CharSectno"/>
        </w:rPr>
        <w:t>454Y</w:t>
      </w:r>
      <w:r>
        <w:t>.</w:t>
      </w:r>
      <w:r>
        <w:tab/>
        <w:t>Facilitating movement of oversize or over</w:t>
      </w:r>
      <w:r>
        <w:noBreakHyphen/>
        <w:t>mass vehicle in accordance with order or permit</w:t>
      </w:r>
      <w:bookmarkEnd w:id="893"/>
    </w:p>
    <w:p w:rsidR="006724FB" w:rsidRDefault="006724FB">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rsidR="006724FB" w:rsidRDefault="006724FB">
      <w:pPr>
        <w:pStyle w:val="Indenta"/>
      </w:pPr>
      <w:r>
        <w:tab/>
        <w:t>(a)</w:t>
      </w:r>
      <w:r>
        <w:tab/>
        <w:t>an order as defined in section 32 of the Act; or</w:t>
      </w:r>
    </w:p>
    <w:p w:rsidR="006724FB" w:rsidRDefault="006724FB">
      <w:pPr>
        <w:pStyle w:val="Indenta"/>
      </w:pPr>
      <w:r>
        <w:tab/>
        <w:t>(b)</w:t>
      </w:r>
      <w:r>
        <w:tab/>
        <w:t>a permit as defined in section 32 of the Act.</w:t>
      </w:r>
    </w:p>
    <w:p w:rsidR="006724FB" w:rsidRDefault="006724FB">
      <w:pPr>
        <w:pStyle w:val="Penstart"/>
      </w:pPr>
      <w:r>
        <w:tab/>
        <w:t xml:space="preserve">Penalty: </w:t>
      </w:r>
    </w:p>
    <w:p w:rsidR="006724FB" w:rsidRDefault="006724FB">
      <w:pPr>
        <w:pStyle w:val="Penpara"/>
      </w:pPr>
      <w:r>
        <w:tab/>
        <w:t>(a)</w:t>
      </w:r>
      <w:r>
        <w:tab/>
        <w:t>for a first offence, a fine of 24 PU;</w:t>
      </w:r>
    </w:p>
    <w:p w:rsidR="006724FB" w:rsidRDefault="006724FB">
      <w:pPr>
        <w:pStyle w:val="Penpara"/>
      </w:pPr>
      <w:r>
        <w:tab/>
        <w:t>(b)</w:t>
      </w:r>
      <w:r>
        <w:tab/>
        <w:t>for a subsequent offence, a fine of 32 PU.</w:t>
      </w:r>
    </w:p>
    <w:p w:rsidR="006724FB" w:rsidRDefault="006724FB">
      <w:pPr>
        <w:pStyle w:val="Penstart"/>
      </w:pPr>
      <w:r>
        <w:tab/>
        <w:t>Modified penalty: 4 PU.</w:t>
      </w:r>
    </w:p>
    <w:p w:rsidR="006724FB" w:rsidRDefault="006724FB">
      <w:pPr>
        <w:pStyle w:val="Footnotesection"/>
      </w:pPr>
      <w:r>
        <w:tab/>
        <w:t>[Regulation 454Y inserted: Gazette 15 Nov 2016 p. 5074</w:t>
      </w:r>
      <w:r>
        <w:noBreakHyphen/>
        <w:t>5.]</w:t>
      </w:r>
    </w:p>
    <w:p w:rsidR="006724FB" w:rsidRDefault="006724FB">
      <w:pPr>
        <w:pStyle w:val="Heading5"/>
      </w:pPr>
      <w:bookmarkStart w:id="894" w:name="_Toc75876112"/>
      <w:r>
        <w:rPr>
          <w:rStyle w:val="CharSectno"/>
        </w:rPr>
        <w:lastRenderedPageBreak/>
        <w:t>454Z</w:t>
      </w:r>
      <w:r>
        <w:t>.</w:t>
      </w:r>
      <w:r>
        <w:tab/>
        <w:t>Contravening condition of heavy vehicle pilot licence</w:t>
      </w:r>
      <w:bookmarkEnd w:id="894"/>
    </w:p>
    <w:p w:rsidR="006724FB" w:rsidRDefault="006724FB">
      <w:pPr>
        <w:pStyle w:val="Subsection"/>
      </w:pPr>
      <w:r>
        <w:tab/>
      </w:r>
      <w:r>
        <w:tab/>
        <w:t>The holder of a heavy vehicle pilot licence must not contravene a condition of the licence.</w:t>
      </w:r>
    </w:p>
    <w:p w:rsidR="006724FB" w:rsidRDefault="006724FB">
      <w:pPr>
        <w:pStyle w:val="Penstart"/>
      </w:pPr>
      <w:r>
        <w:tab/>
        <w:t xml:space="preserve">Penalty: </w:t>
      </w:r>
    </w:p>
    <w:p w:rsidR="006724FB" w:rsidRDefault="006724FB">
      <w:pPr>
        <w:pStyle w:val="Penpara"/>
      </w:pPr>
      <w:r>
        <w:tab/>
        <w:t>(a)</w:t>
      </w:r>
      <w:r>
        <w:tab/>
        <w:t>for a first offence, a fine of 24 PU;</w:t>
      </w:r>
    </w:p>
    <w:p w:rsidR="006724FB" w:rsidRDefault="006724FB">
      <w:pPr>
        <w:pStyle w:val="Penpara"/>
      </w:pPr>
      <w:r>
        <w:tab/>
        <w:t>(b)</w:t>
      </w:r>
      <w:r>
        <w:tab/>
        <w:t>for a subsequent offence, a fine of 32 PU.</w:t>
      </w:r>
    </w:p>
    <w:p w:rsidR="006724FB" w:rsidRDefault="006724FB">
      <w:pPr>
        <w:pStyle w:val="Penstart"/>
      </w:pPr>
      <w:r>
        <w:tab/>
        <w:t>Modified penalty: 4 PU.</w:t>
      </w:r>
    </w:p>
    <w:p w:rsidR="006724FB" w:rsidRDefault="006724FB">
      <w:pPr>
        <w:pStyle w:val="Footnotesection"/>
      </w:pPr>
      <w:r>
        <w:tab/>
        <w:t>[Regulation 454Z inserted: Gazette 15 Nov 2016 p. 5075.]</w:t>
      </w:r>
    </w:p>
    <w:p w:rsidR="006724FB" w:rsidRDefault="006724FB">
      <w:pPr>
        <w:pStyle w:val="Heading4"/>
      </w:pPr>
      <w:bookmarkStart w:id="895" w:name="_Toc75420189"/>
      <w:bookmarkStart w:id="896" w:name="_Toc75427525"/>
      <w:bookmarkStart w:id="897" w:name="_Toc75872941"/>
      <w:bookmarkStart w:id="898" w:name="_Toc75876113"/>
      <w:r>
        <w:t>Subdivision 4 — Miscellaneous matters</w:t>
      </w:r>
      <w:bookmarkEnd w:id="895"/>
      <w:bookmarkEnd w:id="896"/>
      <w:bookmarkEnd w:id="897"/>
      <w:bookmarkEnd w:id="898"/>
    </w:p>
    <w:p w:rsidR="006724FB" w:rsidRDefault="006724FB">
      <w:pPr>
        <w:pStyle w:val="Footnoteheading"/>
      </w:pPr>
      <w:r>
        <w:tab/>
        <w:t>[Heading inserted: Gazette 15 Nov 2016 p. 5075.]</w:t>
      </w:r>
    </w:p>
    <w:p w:rsidR="006724FB" w:rsidRDefault="006724FB">
      <w:pPr>
        <w:pStyle w:val="Heading5"/>
      </w:pPr>
      <w:bookmarkStart w:id="899" w:name="_Toc75876114"/>
      <w:r>
        <w:rPr>
          <w:rStyle w:val="CharSectno"/>
        </w:rPr>
        <w:t>454ZA</w:t>
      </w:r>
      <w:r>
        <w:t>.</w:t>
      </w:r>
      <w:r>
        <w:tab/>
        <w:t>Register of heavy vehicle pilot licences</w:t>
      </w:r>
      <w:bookmarkEnd w:id="899"/>
    </w:p>
    <w:p w:rsidR="006724FB" w:rsidRDefault="006724FB">
      <w:pPr>
        <w:pStyle w:val="Subsection"/>
      </w:pPr>
      <w:r>
        <w:tab/>
        <w:t>(1)</w:t>
      </w:r>
      <w:r>
        <w:tab/>
        <w:t>The Commissioner of Main Roads must keep a register in an approved form of all heavy vehicle pilot licences.</w:t>
      </w:r>
    </w:p>
    <w:p w:rsidR="006724FB" w:rsidRDefault="006724FB">
      <w:pPr>
        <w:pStyle w:val="Subsection"/>
      </w:pPr>
      <w:r>
        <w:tab/>
        <w:t>(2)</w:t>
      </w:r>
      <w:r>
        <w:tab/>
        <w:t xml:space="preserve">The register must record, in relation to each heavy vehicle pilot licence, the following information — </w:t>
      </w:r>
    </w:p>
    <w:p w:rsidR="006724FB" w:rsidRDefault="006724FB">
      <w:pPr>
        <w:pStyle w:val="Indenta"/>
      </w:pPr>
      <w:r>
        <w:tab/>
        <w:t>(a)</w:t>
      </w:r>
      <w:r>
        <w:tab/>
        <w:t>the name of the holder of the licence;</w:t>
      </w:r>
    </w:p>
    <w:p w:rsidR="006724FB" w:rsidRDefault="006724FB">
      <w:pPr>
        <w:pStyle w:val="Indenta"/>
      </w:pPr>
      <w:r>
        <w:tab/>
        <w:t>(b)</w:t>
      </w:r>
      <w:r>
        <w:tab/>
        <w:t>the date on which the licence was granted;</w:t>
      </w:r>
    </w:p>
    <w:p w:rsidR="006724FB" w:rsidRDefault="006724FB">
      <w:pPr>
        <w:pStyle w:val="Indenta"/>
      </w:pPr>
      <w:r>
        <w:tab/>
        <w:t>(c)</w:t>
      </w:r>
      <w:r>
        <w:tab/>
        <w:t>if the licence was renewed — the date of the renewal;</w:t>
      </w:r>
    </w:p>
    <w:p w:rsidR="006724FB" w:rsidRDefault="006724FB">
      <w:pPr>
        <w:pStyle w:val="Indenta"/>
      </w:pPr>
      <w:r>
        <w:tab/>
        <w:t>(d)</w:t>
      </w:r>
      <w:r>
        <w:tab/>
        <w:t>if the licence was suspended — the date of the suspension;</w:t>
      </w:r>
    </w:p>
    <w:p w:rsidR="006724FB" w:rsidRDefault="006724FB">
      <w:pPr>
        <w:pStyle w:val="Indenta"/>
      </w:pPr>
      <w:r>
        <w:tab/>
        <w:t>(e)</w:t>
      </w:r>
      <w:r>
        <w:tab/>
        <w:t>if the licence was cancelled — the date of the cancellation.</w:t>
      </w:r>
    </w:p>
    <w:p w:rsidR="006724FB" w:rsidRDefault="006724FB">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rsidR="006724FB" w:rsidRDefault="006724FB">
      <w:pPr>
        <w:pStyle w:val="Subsection"/>
      </w:pPr>
      <w:r>
        <w:tab/>
        <w:t>(4)</w:t>
      </w:r>
      <w:r>
        <w:tab/>
        <w:t>The Commissioner of Main Roads must ensure the information in the register is up</w:t>
      </w:r>
      <w:r>
        <w:noBreakHyphen/>
        <w:t>to</w:t>
      </w:r>
      <w:r>
        <w:noBreakHyphen/>
        <w:t>date.</w:t>
      </w:r>
    </w:p>
    <w:p w:rsidR="006724FB" w:rsidRDefault="006724FB">
      <w:pPr>
        <w:pStyle w:val="Footnotesection"/>
      </w:pPr>
      <w:r>
        <w:tab/>
        <w:t>[Regulation 454ZA inserted: Gazette 15 Nov 2016 p. 5075.]</w:t>
      </w:r>
    </w:p>
    <w:p w:rsidR="006724FB" w:rsidRDefault="006724FB">
      <w:pPr>
        <w:pStyle w:val="Heading5"/>
      </w:pPr>
      <w:bookmarkStart w:id="900" w:name="_Toc75876115"/>
      <w:r>
        <w:rPr>
          <w:rStyle w:val="CharSectno"/>
        </w:rPr>
        <w:lastRenderedPageBreak/>
        <w:t>454ZB</w:t>
      </w:r>
      <w:r>
        <w:t>.</w:t>
      </w:r>
      <w:r>
        <w:tab/>
        <w:t>Notification and reconsideration of decisions under this Part</w:t>
      </w:r>
      <w:bookmarkEnd w:id="900"/>
    </w:p>
    <w:p w:rsidR="006724FB" w:rsidRDefault="006724FB">
      <w:pPr>
        <w:pStyle w:val="Subsection"/>
      </w:pPr>
      <w:r>
        <w:tab/>
      </w:r>
      <w:r>
        <w:tab/>
        <w:t>Part 15 provides for the notification and reconsideration of certain decisions made under this Part.</w:t>
      </w:r>
    </w:p>
    <w:p w:rsidR="006724FB" w:rsidRDefault="006724FB">
      <w:pPr>
        <w:pStyle w:val="Footnotesection"/>
      </w:pPr>
      <w:r>
        <w:tab/>
        <w:t>[Regulation 454ZB inserted: Gazette 15 Nov 2016 p. 5075.]</w:t>
      </w:r>
    </w:p>
    <w:p w:rsidR="006724FB" w:rsidRDefault="006724FB">
      <w:pPr>
        <w:pStyle w:val="Heading5"/>
      </w:pPr>
      <w:bookmarkStart w:id="901" w:name="_Toc75876116"/>
      <w:r>
        <w:rPr>
          <w:rStyle w:val="CharSectno"/>
        </w:rPr>
        <w:t>454ZC</w:t>
      </w:r>
      <w:r>
        <w:t>.</w:t>
      </w:r>
      <w:r>
        <w:tab/>
        <w:t>Transitional arrangements for accredited pilots</w:t>
      </w:r>
      <w:bookmarkEnd w:id="901"/>
    </w:p>
    <w:p w:rsidR="006724FB" w:rsidRDefault="006724FB">
      <w:pPr>
        <w:pStyle w:val="Subsection"/>
      </w:pPr>
      <w:r>
        <w:tab/>
        <w:t>(1)</w:t>
      </w:r>
      <w:r>
        <w:tab/>
        <w:t xml:space="preserve">In this regulation — </w:t>
      </w:r>
    </w:p>
    <w:p w:rsidR="006724FB" w:rsidRDefault="006724FB">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rsidR="006724FB" w:rsidRDefault="006724FB">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rsidR="006724FB" w:rsidRDefault="006724FB">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rsidR="006724FB" w:rsidRDefault="006724FB">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rsidR="006724FB" w:rsidRDefault="006724FB">
      <w:pPr>
        <w:pStyle w:val="Indenta"/>
      </w:pPr>
      <w:r>
        <w:tab/>
        <w:t>(a)</w:t>
      </w:r>
      <w:r>
        <w:tab/>
        <w:t>evidence that the applicant is a transitional pilot; and</w:t>
      </w:r>
    </w:p>
    <w:p w:rsidR="006724FB" w:rsidRDefault="006724FB">
      <w:pPr>
        <w:pStyle w:val="Indenta"/>
      </w:pPr>
      <w:r>
        <w:tab/>
        <w:t>(b)</w:t>
      </w:r>
      <w:r>
        <w:tab/>
        <w:t>evidence of the applicant’s experience in piloting oversize or over</w:t>
      </w:r>
      <w:r>
        <w:noBreakHyphen/>
        <w:t>mass vehicles in the period of 3 years before the application is made.</w:t>
      </w:r>
    </w:p>
    <w:p w:rsidR="006724FB" w:rsidRDefault="006724FB">
      <w:pPr>
        <w:pStyle w:val="Footnotesection"/>
      </w:pPr>
      <w:r>
        <w:tab/>
        <w:t>[Regulation 454ZC inserted: Gazette 15 Nov 2016 p. 5076.]</w:t>
      </w:r>
    </w:p>
    <w:p w:rsidR="006724FB" w:rsidRDefault="006724FB">
      <w:pPr>
        <w:pStyle w:val="Heading2"/>
      </w:pPr>
      <w:bookmarkStart w:id="902" w:name="_Toc75420193"/>
      <w:bookmarkStart w:id="903" w:name="_Toc75427529"/>
      <w:bookmarkStart w:id="904" w:name="_Toc75872945"/>
      <w:bookmarkStart w:id="905" w:name="_Toc75876117"/>
      <w:r>
        <w:rPr>
          <w:rStyle w:val="CharPartNo"/>
        </w:rPr>
        <w:lastRenderedPageBreak/>
        <w:t>Part 14</w:t>
      </w:r>
      <w:r>
        <w:t> — </w:t>
      </w:r>
      <w:r>
        <w:rPr>
          <w:rStyle w:val="CharPartText"/>
        </w:rPr>
        <w:t>Minister’s declarations and CEO’s exemptions</w:t>
      </w:r>
      <w:bookmarkEnd w:id="902"/>
      <w:bookmarkEnd w:id="903"/>
      <w:bookmarkEnd w:id="904"/>
      <w:bookmarkEnd w:id="905"/>
    </w:p>
    <w:p w:rsidR="006724FB" w:rsidRDefault="006724FB">
      <w:pPr>
        <w:pStyle w:val="Heading3"/>
      </w:pPr>
      <w:bookmarkStart w:id="906" w:name="_Toc75420194"/>
      <w:bookmarkStart w:id="907" w:name="_Toc75427530"/>
      <w:bookmarkStart w:id="908" w:name="_Toc75872946"/>
      <w:bookmarkStart w:id="909" w:name="_Toc75876118"/>
      <w:r>
        <w:rPr>
          <w:rStyle w:val="CharDivNo"/>
        </w:rPr>
        <w:t>Division 1</w:t>
      </w:r>
      <w:r>
        <w:t> — </w:t>
      </w:r>
      <w:r>
        <w:rPr>
          <w:rStyle w:val="CharDivText"/>
        </w:rPr>
        <w:t>Preliminary</w:t>
      </w:r>
      <w:bookmarkEnd w:id="906"/>
      <w:bookmarkEnd w:id="907"/>
      <w:bookmarkEnd w:id="908"/>
      <w:bookmarkEnd w:id="909"/>
    </w:p>
    <w:p w:rsidR="006724FB" w:rsidRDefault="006724FB">
      <w:pPr>
        <w:pStyle w:val="Heading5"/>
      </w:pPr>
      <w:bookmarkStart w:id="910" w:name="_Toc75876119"/>
      <w:r>
        <w:rPr>
          <w:rStyle w:val="CharSectno"/>
        </w:rPr>
        <w:t>455</w:t>
      </w:r>
      <w:r>
        <w:t>.</w:t>
      </w:r>
      <w:r>
        <w:tab/>
        <w:t>Terms used</w:t>
      </w:r>
      <w:bookmarkEnd w:id="910"/>
    </w:p>
    <w:p w:rsidR="006724FB" w:rsidRDefault="006724FB">
      <w:pPr>
        <w:pStyle w:val="Subsection"/>
      </w:pPr>
      <w:r>
        <w:tab/>
      </w:r>
      <w:r>
        <w:tab/>
        <w:t xml:space="preserve">In this Part — </w:t>
      </w:r>
    </w:p>
    <w:p w:rsidR="006724FB" w:rsidRDefault="006724FB">
      <w:pPr>
        <w:pStyle w:val="Defstart"/>
      </w:pPr>
      <w:r>
        <w:tab/>
      </w:r>
      <w:r>
        <w:rPr>
          <w:rStyle w:val="CharDefText"/>
        </w:rPr>
        <w:t>application</w:t>
      </w:r>
      <w:r>
        <w:t xml:space="preserve"> means an application for — </w:t>
      </w:r>
    </w:p>
    <w:p w:rsidR="006724FB" w:rsidRDefault="006724FB">
      <w:pPr>
        <w:pStyle w:val="Defpara"/>
      </w:pPr>
      <w:r>
        <w:tab/>
        <w:t>(a)</w:t>
      </w:r>
      <w:r>
        <w:tab/>
        <w:t>the making, variation or revocation of a declaration; or</w:t>
      </w:r>
    </w:p>
    <w:p w:rsidR="006724FB" w:rsidRDefault="006724FB">
      <w:pPr>
        <w:pStyle w:val="Defpara"/>
      </w:pPr>
      <w:r>
        <w:tab/>
        <w:t>(b)</w:t>
      </w:r>
      <w:r>
        <w:tab/>
        <w:t>the grant, variation or cancellation of a CEO exemption,</w:t>
      </w:r>
    </w:p>
    <w:p w:rsidR="006724FB" w:rsidRDefault="006724FB">
      <w:pPr>
        <w:pStyle w:val="Defstart"/>
      </w:pPr>
      <w:r>
        <w:tab/>
        <w:t>as is relevant to the case;</w:t>
      </w:r>
    </w:p>
    <w:p w:rsidR="006724FB" w:rsidRDefault="006724FB">
      <w:pPr>
        <w:pStyle w:val="Defstart"/>
      </w:pPr>
      <w:r>
        <w:tab/>
      </w:r>
      <w:r>
        <w:rPr>
          <w:rStyle w:val="CharDefText"/>
        </w:rPr>
        <w:t>CEO exemption</w:t>
      </w:r>
      <w:r>
        <w:t xml:space="preserve"> means an exemption granted by the CEO under regulation 462(1);</w:t>
      </w:r>
    </w:p>
    <w:p w:rsidR="006724FB" w:rsidRDefault="006724FB">
      <w:pPr>
        <w:pStyle w:val="Defstart"/>
      </w:pPr>
      <w:r>
        <w:tab/>
      </w:r>
      <w:r>
        <w:rPr>
          <w:rStyle w:val="CharDefText"/>
        </w:rPr>
        <w:t>declaration</w:t>
      </w:r>
      <w:r>
        <w:t xml:space="preserve"> means a declaration of the Minister under regulation 457(1);</w:t>
      </w:r>
    </w:p>
    <w:p w:rsidR="006724FB" w:rsidRDefault="006724FB">
      <w:pPr>
        <w:pStyle w:val="Defstart"/>
      </w:pPr>
      <w:r>
        <w:tab/>
      </w:r>
      <w:r>
        <w:rPr>
          <w:rStyle w:val="CharDefText"/>
        </w:rPr>
        <w:t>specified</w:t>
      </w:r>
      <w:r>
        <w:t xml:space="preserve"> means specified in a CEO exemption or a declaration, as is relevant to the case.</w:t>
      </w:r>
    </w:p>
    <w:p w:rsidR="006724FB" w:rsidRDefault="006724FB">
      <w:pPr>
        <w:pStyle w:val="Heading3"/>
      </w:pPr>
      <w:bookmarkStart w:id="911" w:name="_Toc75420196"/>
      <w:bookmarkStart w:id="912" w:name="_Toc75427532"/>
      <w:bookmarkStart w:id="913" w:name="_Toc75872948"/>
      <w:bookmarkStart w:id="914" w:name="_Toc75876120"/>
      <w:r>
        <w:rPr>
          <w:rStyle w:val="CharDivNo"/>
        </w:rPr>
        <w:t>Division 2</w:t>
      </w:r>
      <w:r>
        <w:t> — </w:t>
      </w:r>
      <w:r>
        <w:rPr>
          <w:rStyle w:val="CharDivText"/>
        </w:rPr>
        <w:t>Minister’s declarations</w:t>
      </w:r>
      <w:bookmarkEnd w:id="911"/>
      <w:bookmarkEnd w:id="912"/>
      <w:bookmarkEnd w:id="913"/>
      <w:bookmarkEnd w:id="914"/>
    </w:p>
    <w:p w:rsidR="006724FB" w:rsidRDefault="006724FB">
      <w:pPr>
        <w:pStyle w:val="Heading5"/>
      </w:pPr>
      <w:bookmarkStart w:id="915" w:name="_Toc75876121"/>
      <w:r>
        <w:rPr>
          <w:rStyle w:val="CharSectno"/>
        </w:rPr>
        <w:t>456</w:t>
      </w:r>
      <w:r>
        <w:t>.</w:t>
      </w:r>
      <w:r>
        <w:tab/>
        <w:t>Instigating action as to Ministerial declarations</w:t>
      </w:r>
      <w:bookmarkEnd w:id="915"/>
    </w:p>
    <w:p w:rsidR="006724FB" w:rsidRDefault="006724FB">
      <w:pPr>
        <w:pStyle w:val="Subsection"/>
      </w:pPr>
      <w:r>
        <w:tab/>
        <w:t>(1)</w:t>
      </w:r>
      <w:r>
        <w:tab/>
        <w:t>A declaration may be given on the volition of the Minister or on an application.</w:t>
      </w:r>
    </w:p>
    <w:p w:rsidR="006724FB" w:rsidRDefault="006724FB">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rsidR="006724FB" w:rsidRDefault="006724FB">
      <w:pPr>
        <w:pStyle w:val="Heading5"/>
      </w:pPr>
      <w:bookmarkStart w:id="916" w:name="_Toc75876122"/>
      <w:r>
        <w:rPr>
          <w:rStyle w:val="CharSectno"/>
        </w:rPr>
        <w:t>457</w:t>
      </w:r>
      <w:r>
        <w:t>.</w:t>
      </w:r>
      <w:r>
        <w:tab/>
        <w:t>Minister’s declarations that specified regulations do not apply to specified persons or vehicles (s. 138)</w:t>
      </w:r>
      <w:bookmarkEnd w:id="916"/>
    </w:p>
    <w:p w:rsidR="006724FB" w:rsidRDefault="006724FB">
      <w:pPr>
        <w:pStyle w:val="Subsection"/>
        <w:keepNext/>
      </w:pPr>
      <w:r>
        <w:tab/>
        <w:t>(1)</w:t>
      </w:r>
      <w:r>
        <w:tab/>
        <w:t xml:space="preserve">The Minister may declare, in writing, that a specified provision of these regulations does not apply to any of these — </w:t>
      </w:r>
    </w:p>
    <w:p w:rsidR="006724FB" w:rsidRDefault="006724FB">
      <w:pPr>
        <w:pStyle w:val="Indenta"/>
      </w:pPr>
      <w:r>
        <w:tab/>
        <w:t>(a)</w:t>
      </w:r>
      <w:r>
        <w:tab/>
        <w:t>a specified person;</w:t>
      </w:r>
    </w:p>
    <w:p w:rsidR="006724FB" w:rsidRDefault="006724FB">
      <w:pPr>
        <w:pStyle w:val="Indenta"/>
      </w:pPr>
      <w:r>
        <w:lastRenderedPageBreak/>
        <w:tab/>
        <w:t>(b)</w:t>
      </w:r>
      <w:r>
        <w:tab/>
        <w:t>all persons of a specified kind;</w:t>
      </w:r>
    </w:p>
    <w:p w:rsidR="006724FB" w:rsidRDefault="006724FB">
      <w:pPr>
        <w:pStyle w:val="Indenta"/>
      </w:pPr>
      <w:r>
        <w:tab/>
        <w:t>(c)</w:t>
      </w:r>
      <w:r>
        <w:tab/>
        <w:t>a specified vehicle;</w:t>
      </w:r>
    </w:p>
    <w:p w:rsidR="006724FB" w:rsidRDefault="006724FB">
      <w:pPr>
        <w:pStyle w:val="Indenta"/>
      </w:pPr>
      <w:r>
        <w:tab/>
        <w:t>(d)</w:t>
      </w:r>
      <w:r>
        <w:tab/>
        <w:t>all vehicles of a specified kind.</w:t>
      </w:r>
    </w:p>
    <w:p w:rsidR="006724FB" w:rsidRDefault="006724FB">
      <w:pPr>
        <w:pStyle w:val="Subsection"/>
      </w:pPr>
      <w:r>
        <w:tab/>
        <w:t>(2)</w:t>
      </w:r>
      <w:r>
        <w:tab/>
        <w:t xml:space="preserve">The Minister may make a declaration only if satisfied that — </w:t>
      </w:r>
    </w:p>
    <w:p w:rsidR="006724FB" w:rsidRDefault="006724FB">
      <w:pPr>
        <w:pStyle w:val="Indenta"/>
      </w:pPr>
      <w:r>
        <w:tab/>
        <w:t>(a)</w:t>
      </w:r>
      <w:r>
        <w:tab/>
        <w:t>compliance with the provision would prevent the vehicle from operating in the way in which, or for the purpose for which, the vehicle was built or modified; or</w:t>
      </w:r>
    </w:p>
    <w:p w:rsidR="006724FB" w:rsidRDefault="006724FB">
      <w:pPr>
        <w:pStyle w:val="Indenta"/>
      </w:pPr>
      <w:r>
        <w:tab/>
        <w:t>(b)</w:t>
      </w:r>
      <w:r>
        <w:tab/>
        <w:t>the vehicle is an experimental vehicle, a prototype, or another vehicle, that could not reasonably be expected to comply with the provision; or</w:t>
      </w:r>
    </w:p>
    <w:p w:rsidR="006724FB" w:rsidRDefault="006724FB">
      <w:pPr>
        <w:pStyle w:val="Indenta"/>
      </w:pPr>
      <w:r>
        <w:tab/>
        <w:t>(c)</w:t>
      </w:r>
      <w:r>
        <w:tab/>
        <w:t xml:space="preserve">before the provision commenced — </w:t>
      </w:r>
    </w:p>
    <w:p w:rsidR="006724FB" w:rsidRDefault="006724FB">
      <w:pPr>
        <w:pStyle w:val="Indenti"/>
      </w:pPr>
      <w:r>
        <w:tab/>
        <w:t>(i)</w:t>
      </w:r>
      <w:r>
        <w:tab/>
        <w:t>the vehicle was licensed, or otherwise authorised, by the CEO or a corresponding authority, to be driven or towed on a road; and</w:t>
      </w:r>
    </w:p>
    <w:p w:rsidR="006724FB" w:rsidRDefault="006724FB">
      <w:pPr>
        <w:pStyle w:val="Indenti"/>
      </w:pPr>
      <w:r>
        <w:tab/>
        <w:t>(ii)</w:t>
      </w:r>
      <w:r>
        <w:tab/>
        <w:t>was not required to comply with a similar provision before that commencement.</w:t>
      </w:r>
    </w:p>
    <w:p w:rsidR="006724FB" w:rsidRDefault="006724FB">
      <w:pPr>
        <w:pStyle w:val="Subsection"/>
      </w:pPr>
      <w:r>
        <w:tab/>
        <w:t>(3)</w:t>
      </w:r>
      <w:r>
        <w:tab/>
        <w:t>When deciding whether to make a declaration, the Minister must take into account the likelihood and significance of any adverse effect on safety or the environment if the declaration were made.</w:t>
      </w:r>
    </w:p>
    <w:p w:rsidR="006724FB" w:rsidRDefault="006724FB">
      <w:pPr>
        <w:pStyle w:val="Heading5"/>
      </w:pPr>
      <w:bookmarkStart w:id="917" w:name="_Toc75876123"/>
      <w:r>
        <w:rPr>
          <w:rStyle w:val="CharSectno"/>
        </w:rPr>
        <w:t>458</w:t>
      </w:r>
      <w:r>
        <w:t>.</w:t>
      </w:r>
      <w:r>
        <w:tab/>
        <w:t>Variation of a declaration</w:t>
      </w:r>
      <w:bookmarkEnd w:id="917"/>
    </w:p>
    <w:p w:rsidR="006724FB" w:rsidRDefault="006724FB">
      <w:pPr>
        <w:pStyle w:val="Subsection"/>
      </w:pPr>
      <w:r>
        <w:tab/>
        <w:t>(1)</w:t>
      </w:r>
      <w:r>
        <w:tab/>
        <w:t xml:space="preserve">The Minister may vary a declaration only if satisfied that — </w:t>
      </w:r>
    </w:p>
    <w:p w:rsidR="006724FB" w:rsidRDefault="006724FB">
      <w:pPr>
        <w:pStyle w:val="Indenta"/>
      </w:pPr>
      <w:r>
        <w:tab/>
        <w:t>(a)</w:t>
      </w:r>
      <w:r>
        <w:tab/>
        <w:t>since the declaration was made, a change has happened in relation to something the Minister considered in deciding to make the declaration; and</w:t>
      </w:r>
    </w:p>
    <w:p w:rsidR="006724FB" w:rsidRDefault="006724FB">
      <w:pPr>
        <w:pStyle w:val="Indenta"/>
      </w:pPr>
      <w:r>
        <w:tab/>
        <w:t>(b)</w:t>
      </w:r>
      <w:r>
        <w:tab/>
        <w:t>the declaration would have been made as it is proposed to be varied if the change had happened before the declaration was made.</w:t>
      </w:r>
    </w:p>
    <w:p w:rsidR="006724FB" w:rsidRDefault="006724FB">
      <w:pPr>
        <w:pStyle w:val="Subsection"/>
      </w:pPr>
      <w:r>
        <w:tab/>
        <w:t>(2)</w:t>
      </w:r>
      <w:r>
        <w:tab/>
        <w:t>In deciding whether to vary a declaration, the Minister must take into account the likelihood and significance of any adverse effect on safety or the environment if the variation were made.</w:t>
      </w:r>
    </w:p>
    <w:p w:rsidR="006724FB" w:rsidRDefault="006724FB">
      <w:pPr>
        <w:pStyle w:val="Heading5"/>
      </w:pPr>
      <w:bookmarkStart w:id="918" w:name="_Toc75876124"/>
      <w:r>
        <w:rPr>
          <w:rStyle w:val="CharSectno"/>
        </w:rPr>
        <w:lastRenderedPageBreak/>
        <w:t>459</w:t>
      </w:r>
      <w:r>
        <w:t>.</w:t>
      </w:r>
      <w:r>
        <w:tab/>
        <w:t>Revocation of declaration</w:t>
      </w:r>
      <w:bookmarkEnd w:id="918"/>
    </w:p>
    <w:p w:rsidR="006724FB" w:rsidRDefault="006724FB">
      <w:pPr>
        <w:pStyle w:val="Subsection"/>
      </w:pPr>
      <w:r>
        <w:tab/>
      </w:r>
      <w:r>
        <w:tab/>
        <w:t xml:space="preserve">The Minister may revoke a declaration only if — </w:t>
      </w:r>
    </w:p>
    <w:p w:rsidR="006724FB" w:rsidRDefault="006724FB">
      <w:pPr>
        <w:pStyle w:val="Indenta"/>
      </w:pPr>
      <w:r>
        <w:tab/>
        <w:t>(a)</w:t>
      </w:r>
      <w:r>
        <w:tab/>
        <w:t>since the declaration was made, a change has happened in relation to something the Minister considered in deciding to make the declaration; and</w:t>
      </w:r>
    </w:p>
    <w:p w:rsidR="006724FB" w:rsidRDefault="006724FB">
      <w:pPr>
        <w:pStyle w:val="Indenta"/>
      </w:pPr>
      <w:r>
        <w:tab/>
        <w:t>(b)</w:t>
      </w:r>
      <w:r>
        <w:tab/>
        <w:t>the declaration would not have been made if the change had happened before the declaration was made.</w:t>
      </w:r>
    </w:p>
    <w:p w:rsidR="006724FB" w:rsidRDefault="006724FB">
      <w:pPr>
        <w:pStyle w:val="Heading3"/>
      </w:pPr>
      <w:bookmarkStart w:id="919" w:name="_Toc75420201"/>
      <w:bookmarkStart w:id="920" w:name="_Toc75427537"/>
      <w:bookmarkStart w:id="921" w:name="_Toc75872953"/>
      <w:bookmarkStart w:id="922" w:name="_Toc75876125"/>
      <w:r>
        <w:rPr>
          <w:rStyle w:val="CharDivNo"/>
        </w:rPr>
        <w:t>Division 3</w:t>
      </w:r>
      <w:r>
        <w:t> — </w:t>
      </w:r>
      <w:r>
        <w:rPr>
          <w:rStyle w:val="CharDivText"/>
        </w:rPr>
        <w:t>CEO’s exemptions from regulations about standards or other requirements in respect of vehicles</w:t>
      </w:r>
      <w:bookmarkEnd w:id="919"/>
      <w:bookmarkEnd w:id="920"/>
      <w:bookmarkEnd w:id="921"/>
      <w:bookmarkEnd w:id="922"/>
    </w:p>
    <w:p w:rsidR="006724FB" w:rsidRDefault="006724FB">
      <w:pPr>
        <w:pStyle w:val="Heading5"/>
      </w:pPr>
      <w:bookmarkStart w:id="923" w:name="_Toc75876126"/>
      <w:r>
        <w:rPr>
          <w:rStyle w:val="CharSectno"/>
        </w:rPr>
        <w:t>460</w:t>
      </w:r>
      <w:r>
        <w:t>.</w:t>
      </w:r>
      <w:r>
        <w:tab/>
        <w:t>Term used: vehicle standard regulation</w:t>
      </w:r>
      <w:bookmarkEnd w:id="923"/>
    </w:p>
    <w:p w:rsidR="006724FB" w:rsidRDefault="006724FB">
      <w:pPr>
        <w:pStyle w:val="Subsection"/>
      </w:pPr>
      <w:r>
        <w:tab/>
      </w:r>
      <w:r>
        <w:tab/>
        <w:t xml:space="preserve">In this Division — </w:t>
      </w:r>
    </w:p>
    <w:p w:rsidR="006724FB" w:rsidRDefault="006724FB">
      <w:pPr>
        <w:pStyle w:val="Defstart"/>
      </w:pPr>
      <w:r>
        <w:tab/>
      </w:r>
      <w:r>
        <w:rPr>
          <w:rStyle w:val="CharDefText"/>
        </w:rPr>
        <w:t>vehicle standard regulation</w:t>
      </w:r>
      <w:r>
        <w:t xml:space="preserve"> — </w:t>
      </w:r>
    </w:p>
    <w:p w:rsidR="006724FB" w:rsidRDefault="006724FB">
      <w:pPr>
        <w:pStyle w:val="Defpara"/>
      </w:pPr>
      <w:r>
        <w:tab/>
        <w:t>(a)</w:t>
      </w:r>
      <w:r>
        <w:tab/>
        <w:t>in relation to an agricultural implement, means a regulation in Part 13 Division 2 other than regulation 434 or 435;</w:t>
      </w:r>
    </w:p>
    <w:p w:rsidR="006724FB" w:rsidRDefault="006724FB">
      <w:pPr>
        <w:pStyle w:val="Defpara"/>
      </w:pPr>
      <w:r>
        <w:tab/>
        <w:t>(b)</w:t>
      </w:r>
      <w:r>
        <w:tab/>
        <w:t>otherwise, means a regulation made under section 132(2)(b).</w:t>
      </w:r>
    </w:p>
    <w:p w:rsidR="006724FB" w:rsidRDefault="006724FB">
      <w:pPr>
        <w:pStyle w:val="Heading5"/>
      </w:pPr>
      <w:bookmarkStart w:id="924" w:name="_Toc75876127"/>
      <w:r>
        <w:rPr>
          <w:rStyle w:val="CharSectno"/>
        </w:rPr>
        <w:t>461</w:t>
      </w:r>
      <w:r>
        <w:t>.</w:t>
      </w:r>
      <w:r>
        <w:tab/>
        <w:t>Instigating action as to CEO exemptions</w:t>
      </w:r>
      <w:bookmarkEnd w:id="924"/>
    </w:p>
    <w:p w:rsidR="006724FB" w:rsidRDefault="006724FB">
      <w:pPr>
        <w:pStyle w:val="Subsection"/>
      </w:pPr>
      <w:r>
        <w:tab/>
        <w:t>(1)</w:t>
      </w:r>
      <w:r>
        <w:tab/>
        <w:t>A CEO exemption may be granted on the volition of the CEO or on an application.</w:t>
      </w:r>
    </w:p>
    <w:p w:rsidR="006724FB" w:rsidRDefault="006724FB">
      <w:pPr>
        <w:pStyle w:val="Subsection"/>
        <w:keepNext/>
      </w:pPr>
      <w:r>
        <w:tab/>
        <w:t>(2)</w:t>
      </w:r>
      <w:r>
        <w:tab/>
        <w:t xml:space="preserve">A CEO exemption may be varied or cancelled — </w:t>
      </w:r>
    </w:p>
    <w:p w:rsidR="006724FB" w:rsidRDefault="006724FB">
      <w:pPr>
        <w:pStyle w:val="Indenta"/>
        <w:keepNext/>
      </w:pPr>
      <w:r>
        <w:tab/>
        <w:t>(a)</w:t>
      </w:r>
      <w:r>
        <w:tab/>
        <w:t xml:space="preserve">on the volition of the CEO — </w:t>
      </w:r>
    </w:p>
    <w:p w:rsidR="006724FB" w:rsidRDefault="006724FB">
      <w:pPr>
        <w:pStyle w:val="Indenti"/>
      </w:pPr>
      <w:r>
        <w:tab/>
        <w:t>(i)</w:t>
      </w:r>
      <w:r>
        <w:tab/>
        <w:t>in urgent circumstances, under regulation 465; or</w:t>
      </w:r>
    </w:p>
    <w:p w:rsidR="006724FB" w:rsidRDefault="006724FB">
      <w:pPr>
        <w:pStyle w:val="Indenti"/>
      </w:pPr>
      <w:r>
        <w:tab/>
        <w:t>(ii)</w:t>
      </w:r>
      <w:r>
        <w:tab/>
        <w:t>other than in urgent circumstances, under regulation 466;</w:t>
      </w:r>
    </w:p>
    <w:p w:rsidR="006724FB" w:rsidRDefault="006724FB">
      <w:pPr>
        <w:pStyle w:val="Indenta"/>
      </w:pPr>
      <w:r>
        <w:tab/>
      </w:r>
      <w:r>
        <w:tab/>
        <w:t>or</w:t>
      </w:r>
    </w:p>
    <w:p w:rsidR="006724FB" w:rsidRDefault="006724FB">
      <w:pPr>
        <w:pStyle w:val="Indenta"/>
      </w:pPr>
      <w:r>
        <w:tab/>
        <w:t>(b)</w:t>
      </w:r>
      <w:r>
        <w:tab/>
        <w:t>on the application of a person to whom the exemption applies or a person who has sufficient interest in the vehicle to which the exemption applies.</w:t>
      </w:r>
    </w:p>
    <w:p w:rsidR="006724FB" w:rsidRDefault="006724FB">
      <w:pPr>
        <w:pStyle w:val="Heading5"/>
      </w:pPr>
      <w:bookmarkStart w:id="925" w:name="_Toc75876128"/>
      <w:r>
        <w:rPr>
          <w:rStyle w:val="CharSectno"/>
        </w:rPr>
        <w:lastRenderedPageBreak/>
        <w:t>462</w:t>
      </w:r>
      <w:r>
        <w:t>.</w:t>
      </w:r>
      <w:r>
        <w:tab/>
        <w:t>CEO’s exemptions from specified provisions of vehicle standard regulations</w:t>
      </w:r>
      <w:bookmarkEnd w:id="925"/>
    </w:p>
    <w:p w:rsidR="006724FB" w:rsidRDefault="006724FB">
      <w:pPr>
        <w:pStyle w:val="Subsection"/>
      </w:pPr>
      <w:r>
        <w:tab/>
        <w:t>(1)</w:t>
      </w:r>
      <w:r>
        <w:tab/>
        <w:t xml:space="preserve">The CEO may grant an exemption from a specified provision of a vehicle standard regulation in respect of any of these — </w:t>
      </w:r>
    </w:p>
    <w:p w:rsidR="006724FB" w:rsidRDefault="006724FB">
      <w:pPr>
        <w:pStyle w:val="Indenta"/>
      </w:pPr>
      <w:r>
        <w:tab/>
        <w:t>(a)</w:t>
      </w:r>
      <w:r>
        <w:tab/>
        <w:t>a specified person having an interest in a specified vehicle or vehicles of a specified kind;</w:t>
      </w:r>
    </w:p>
    <w:p w:rsidR="006724FB" w:rsidRDefault="006724FB">
      <w:pPr>
        <w:pStyle w:val="Indenta"/>
      </w:pPr>
      <w:r>
        <w:tab/>
        <w:t>(b)</w:t>
      </w:r>
      <w:r>
        <w:tab/>
        <w:t>all persons having a specified interest in a specified vehicle or vehicles of a specified kind;</w:t>
      </w:r>
    </w:p>
    <w:p w:rsidR="006724FB" w:rsidRDefault="006724FB">
      <w:pPr>
        <w:pStyle w:val="Indenta"/>
      </w:pPr>
      <w:r>
        <w:tab/>
        <w:t>(c)</w:t>
      </w:r>
      <w:r>
        <w:tab/>
        <w:t>a specified vehicle;</w:t>
      </w:r>
    </w:p>
    <w:p w:rsidR="006724FB" w:rsidRDefault="006724FB">
      <w:pPr>
        <w:pStyle w:val="Indenta"/>
      </w:pPr>
      <w:r>
        <w:tab/>
        <w:t>(d)</w:t>
      </w:r>
      <w:r>
        <w:tab/>
        <w:t>all vehicles of a specified kind.</w:t>
      </w:r>
    </w:p>
    <w:p w:rsidR="006724FB" w:rsidRDefault="006724FB">
      <w:pPr>
        <w:pStyle w:val="Subsection"/>
      </w:pPr>
      <w:r>
        <w:tab/>
        <w:t>(2)</w:t>
      </w:r>
      <w:r>
        <w:tab/>
        <w:t xml:space="preserve">The CEO may grant an exemption from a provision of a vehicle standard regulation in respect of a vehicle only if satisfied that — </w:t>
      </w:r>
    </w:p>
    <w:p w:rsidR="006724FB" w:rsidRDefault="006724FB">
      <w:pPr>
        <w:pStyle w:val="Indenta"/>
      </w:pPr>
      <w:r>
        <w:tab/>
        <w:t>(a)</w:t>
      </w:r>
      <w:r>
        <w:tab/>
        <w:t>compliance with the provision would prevent the vehicle from operating in the way in which, or for the purpose for which, the vehicle was built or modified; or</w:t>
      </w:r>
    </w:p>
    <w:p w:rsidR="006724FB" w:rsidRDefault="006724FB">
      <w:pPr>
        <w:pStyle w:val="Indenta"/>
      </w:pPr>
      <w:r>
        <w:tab/>
        <w:t>(b)</w:t>
      </w:r>
      <w:r>
        <w:tab/>
        <w:t>the vehicle is an experimental vehicle, a prototype, or another vehicle, that could not reasonably be expected to comply with the provision; or</w:t>
      </w:r>
    </w:p>
    <w:p w:rsidR="006724FB" w:rsidRDefault="006724FB">
      <w:pPr>
        <w:pStyle w:val="Indenta"/>
        <w:keepNext/>
      </w:pPr>
      <w:r>
        <w:tab/>
        <w:t>(c)</w:t>
      </w:r>
      <w:r>
        <w:tab/>
        <w:t xml:space="preserve">before the provision commenced — </w:t>
      </w:r>
    </w:p>
    <w:p w:rsidR="006724FB" w:rsidRDefault="006724FB">
      <w:pPr>
        <w:pStyle w:val="Indenti"/>
      </w:pPr>
      <w:r>
        <w:tab/>
        <w:t>(i)</w:t>
      </w:r>
      <w:r>
        <w:tab/>
        <w:t>the vehicle was licensed, or otherwise authorised, by the CEO or a corresponding authority, to be driven or towed on a road; and</w:t>
      </w:r>
    </w:p>
    <w:p w:rsidR="006724FB" w:rsidRDefault="006724FB">
      <w:pPr>
        <w:pStyle w:val="Indenti"/>
      </w:pPr>
      <w:r>
        <w:tab/>
        <w:t>(ii)</w:t>
      </w:r>
      <w:r>
        <w:tab/>
        <w:t>was not required to comply with a similar provision before that commencement;</w:t>
      </w:r>
    </w:p>
    <w:p w:rsidR="006724FB" w:rsidRDefault="006724FB">
      <w:pPr>
        <w:pStyle w:val="Indenta"/>
      </w:pPr>
      <w:r>
        <w:tab/>
      </w:r>
      <w:r>
        <w:tab/>
        <w:t>or</w:t>
      </w:r>
    </w:p>
    <w:p w:rsidR="006724FB" w:rsidRDefault="006724FB">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rsidR="006724FB" w:rsidRDefault="006724FB" w:rsidP="00E1452C">
      <w:pPr>
        <w:pStyle w:val="Indenta"/>
        <w:keepNext/>
      </w:pPr>
      <w:r>
        <w:lastRenderedPageBreak/>
        <w:tab/>
        <w:t>(e)</w:t>
      </w:r>
      <w:r>
        <w:tab/>
        <w:t>it would be unreasonable to require the vehicle to comply with the provision.</w:t>
      </w:r>
    </w:p>
    <w:p w:rsidR="006724FB" w:rsidRDefault="006724FB">
      <w:pPr>
        <w:pStyle w:val="Subsection"/>
      </w:pPr>
      <w:r>
        <w:tab/>
        <w:t>(3)</w:t>
      </w:r>
      <w:r>
        <w:tab/>
        <w:t>When deciding whether to grant a CEO exemption, the CEO must take into account the likelihood and significance of any adverse effect on safety or the environment if the exemption were granted.</w:t>
      </w:r>
    </w:p>
    <w:p w:rsidR="006724FB" w:rsidRDefault="006724FB">
      <w:pPr>
        <w:pStyle w:val="Subsection"/>
      </w:pPr>
      <w:r>
        <w:tab/>
        <w:t>(4)</w:t>
      </w:r>
      <w:r>
        <w:tab/>
        <w:t xml:space="preserve">In deciding whether to grant a CEO exemption on the basis that it would be unreasonable for a vehicle to comply with a provision, the CEO must take into account all of these things — </w:t>
      </w:r>
    </w:p>
    <w:p w:rsidR="006724FB" w:rsidRDefault="006724FB">
      <w:pPr>
        <w:pStyle w:val="Indenta"/>
      </w:pPr>
      <w:r>
        <w:tab/>
        <w:t>(a)</w:t>
      </w:r>
      <w:r>
        <w:tab/>
        <w:t>the use or proposed use of the vehicle or combination of which the vehicle is a part;</w:t>
      </w:r>
    </w:p>
    <w:p w:rsidR="006724FB" w:rsidRDefault="006724FB">
      <w:pPr>
        <w:pStyle w:val="Indenta"/>
      </w:pPr>
      <w:r>
        <w:tab/>
        <w:t>(b)</w:t>
      </w:r>
      <w:r>
        <w:tab/>
        <w:t>the nature of the exemption;</w:t>
      </w:r>
    </w:p>
    <w:p w:rsidR="006724FB" w:rsidRDefault="006724FB">
      <w:pPr>
        <w:pStyle w:val="Indenta"/>
      </w:pPr>
      <w:r>
        <w:tab/>
        <w:t>(c)</w:t>
      </w:r>
      <w:r>
        <w:tab/>
        <w:t>whether or not the vehicle or combination of which the vehicle is a part can be operated safely despite not complying with the provision;</w:t>
      </w:r>
    </w:p>
    <w:p w:rsidR="006724FB" w:rsidRDefault="006724FB">
      <w:pPr>
        <w:pStyle w:val="Indenta"/>
      </w:pPr>
      <w:r>
        <w:tab/>
        <w:t>(d)</w:t>
      </w:r>
      <w:r>
        <w:tab/>
        <w:t>the public interest in the vehicle or combination of which the vehicle is a part not complying with the provision.</w:t>
      </w:r>
    </w:p>
    <w:p w:rsidR="006724FB" w:rsidRDefault="006724FB">
      <w:pPr>
        <w:pStyle w:val="Heading5"/>
      </w:pPr>
      <w:bookmarkStart w:id="926" w:name="_Toc75876129"/>
      <w:r>
        <w:rPr>
          <w:rStyle w:val="CharSectno"/>
        </w:rPr>
        <w:t>463</w:t>
      </w:r>
      <w:r>
        <w:t>.</w:t>
      </w:r>
      <w:r>
        <w:tab/>
        <w:t>Variation of a CEO exemption</w:t>
      </w:r>
      <w:bookmarkEnd w:id="926"/>
    </w:p>
    <w:p w:rsidR="006724FB" w:rsidRDefault="006724FB">
      <w:pPr>
        <w:pStyle w:val="Subsection"/>
        <w:keepNext/>
      </w:pPr>
      <w:r>
        <w:tab/>
        <w:t>(1)</w:t>
      </w:r>
      <w:r>
        <w:tab/>
        <w:t xml:space="preserve">The CEO may vary a CEO exemption only if satisfied — </w:t>
      </w:r>
    </w:p>
    <w:p w:rsidR="006724FB" w:rsidRDefault="006724FB">
      <w:pPr>
        <w:pStyle w:val="Indenta"/>
      </w:pPr>
      <w:r>
        <w:tab/>
        <w:t>(a)</w:t>
      </w:r>
      <w:r>
        <w:tab/>
        <w:t xml:space="preserve">that — </w:t>
      </w:r>
    </w:p>
    <w:p w:rsidR="006724FB" w:rsidRDefault="006724FB">
      <w:pPr>
        <w:pStyle w:val="Indenti"/>
      </w:pPr>
      <w:r>
        <w:tab/>
        <w:t>(i)</w:t>
      </w:r>
      <w:r>
        <w:tab/>
        <w:t>since the exemption was granted, a change has happened in relation to something the CEO considered in deciding to grant the exemption; and</w:t>
      </w:r>
    </w:p>
    <w:p w:rsidR="006724FB" w:rsidRDefault="006724FB">
      <w:pPr>
        <w:pStyle w:val="Indenti"/>
      </w:pPr>
      <w:r>
        <w:tab/>
        <w:t>(ii)</w:t>
      </w:r>
      <w:r>
        <w:tab/>
        <w:t>the exemption would have been granted as it is proposed to be varied if the change had happened before the exemption was given;</w:t>
      </w:r>
    </w:p>
    <w:p w:rsidR="006724FB" w:rsidRDefault="006724FB">
      <w:pPr>
        <w:pStyle w:val="Indenta"/>
      </w:pPr>
      <w:r>
        <w:tab/>
      </w:r>
      <w:r>
        <w:tab/>
        <w:t>or</w:t>
      </w:r>
    </w:p>
    <w:p w:rsidR="006724FB" w:rsidRDefault="006724FB" w:rsidP="00E1452C">
      <w:pPr>
        <w:pStyle w:val="Indenta"/>
        <w:keepNext/>
      </w:pPr>
      <w:r>
        <w:lastRenderedPageBreak/>
        <w:tab/>
        <w:t>(b)</w:t>
      </w:r>
      <w:r>
        <w:tab/>
        <w:t>that the application for the exemption was false or misleading in a material respect but the circumstances do not require its cancellation.</w:t>
      </w:r>
    </w:p>
    <w:p w:rsidR="006724FB" w:rsidRDefault="006724FB">
      <w:pPr>
        <w:pStyle w:val="Subsection"/>
      </w:pPr>
      <w:r>
        <w:tab/>
        <w:t>(2)</w:t>
      </w:r>
      <w:r>
        <w:tab/>
        <w:t>In deciding whether to vary a CEO exemption, the CEO must take into account the likelihood and significance of any adverse effect on safety or the environment if the variation were made.</w:t>
      </w:r>
    </w:p>
    <w:p w:rsidR="006724FB" w:rsidRDefault="006724FB">
      <w:pPr>
        <w:pStyle w:val="Heading5"/>
      </w:pPr>
      <w:bookmarkStart w:id="927" w:name="_Toc75876130"/>
      <w:r>
        <w:rPr>
          <w:rStyle w:val="CharSectno"/>
        </w:rPr>
        <w:t>464</w:t>
      </w:r>
      <w:r>
        <w:t>.</w:t>
      </w:r>
      <w:r>
        <w:tab/>
        <w:t>Cancellation of CEO exemptions</w:t>
      </w:r>
      <w:bookmarkEnd w:id="927"/>
    </w:p>
    <w:p w:rsidR="006724FB" w:rsidRDefault="006724FB">
      <w:pPr>
        <w:pStyle w:val="Subsection"/>
      </w:pPr>
      <w:r>
        <w:tab/>
      </w:r>
      <w:r>
        <w:tab/>
        <w:t xml:space="preserve">The CEO may cancel a CEO exemption only if — </w:t>
      </w:r>
    </w:p>
    <w:p w:rsidR="006724FB" w:rsidRDefault="006724FB">
      <w:pPr>
        <w:pStyle w:val="Indenta"/>
      </w:pPr>
      <w:r>
        <w:tab/>
        <w:t>(a)</w:t>
      </w:r>
      <w:r>
        <w:tab/>
        <w:t xml:space="preserve">since the exemption was granted — </w:t>
      </w:r>
    </w:p>
    <w:p w:rsidR="006724FB" w:rsidRDefault="006724FB">
      <w:pPr>
        <w:pStyle w:val="Indenti"/>
      </w:pPr>
      <w:r>
        <w:tab/>
        <w:t>(i)</w:t>
      </w:r>
      <w:r>
        <w:tab/>
        <w:t>a change has happened in relation to something the CEO considered in deciding to grant the exemption; and</w:t>
      </w:r>
    </w:p>
    <w:p w:rsidR="006724FB" w:rsidRDefault="006724FB">
      <w:pPr>
        <w:pStyle w:val="Indenti"/>
      </w:pPr>
      <w:r>
        <w:tab/>
        <w:t>(ii)</w:t>
      </w:r>
      <w:r>
        <w:tab/>
        <w:t>the exemption would not have been granted if the change had happened before the exemption was given;</w:t>
      </w:r>
    </w:p>
    <w:p w:rsidR="006724FB" w:rsidRDefault="006724FB">
      <w:pPr>
        <w:pStyle w:val="Indenta"/>
      </w:pPr>
      <w:r>
        <w:tab/>
      </w:r>
      <w:r>
        <w:tab/>
        <w:t>or</w:t>
      </w:r>
    </w:p>
    <w:p w:rsidR="006724FB" w:rsidRDefault="006724FB">
      <w:pPr>
        <w:pStyle w:val="Indenta"/>
      </w:pPr>
      <w:r>
        <w:tab/>
        <w:t>(b)</w:t>
      </w:r>
      <w:r>
        <w:tab/>
        <w:t>the application for the exemption was false or misleading in a material respect.</w:t>
      </w:r>
    </w:p>
    <w:p w:rsidR="006724FB" w:rsidRDefault="006724FB">
      <w:pPr>
        <w:pStyle w:val="Heading5"/>
      </w:pPr>
      <w:bookmarkStart w:id="928" w:name="_Toc75876131"/>
      <w:r>
        <w:rPr>
          <w:rStyle w:val="CharSectno"/>
        </w:rPr>
        <w:t>465</w:t>
      </w:r>
      <w:r>
        <w:t>.</w:t>
      </w:r>
      <w:r>
        <w:tab/>
        <w:t>Variation or cancellation of CEO exemption in urgent circumstances</w:t>
      </w:r>
      <w:bookmarkEnd w:id="928"/>
    </w:p>
    <w:p w:rsidR="006724FB" w:rsidRDefault="006724FB">
      <w:pPr>
        <w:pStyle w:val="Subsection"/>
      </w:pPr>
      <w:r>
        <w:tab/>
      </w:r>
      <w:r>
        <w:tab/>
        <w:t xml:space="preserve">The CEO must vary or cancel a CEO exemption if satisfied that — </w:t>
      </w:r>
    </w:p>
    <w:p w:rsidR="006724FB" w:rsidRDefault="006724FB">
      <w:pPr>
        <w:pStyle w:val="Indenta"/>
      </w:pPr>
      <w:r>
        <w:tab/>
        <w:t>(a)</w:t>
      </w:r>
      <w:r>
        <w:tab/>
        <w:t>the CEO could vary the exemption under regulation 463(1) or cancel the exemption under regulation 464; and</w:t>
      </w:r>
    </w:p>
    <w:p w:rsidR="006724FB" w:rsidRDefault="006724FB">
      <w:pPr>
        <w:pStyle w:val="Indenta"/>
      </w:pPr>
      <w:r>
        <w:tab/>
        <w:t>(b)</w:t>
      </w:r>
      <w:r>
        <w:tab/>
        <w:t>it is necessary to vary or cancel the exemption immediately to avoid, eliminate or minimise the risk of personal injury or death, property damage or harm to the environment.</w:t>
      </w:r>
    </w:p>
    <w:p w:rsidR="006724FB" w:rsidRDefault="006724FB" w:rsidP="00E1452C">
      <w:pPr>
        <w:pStyle w:val="Heading5"/>
      </w:pPr>
      <w:bookmarkStart w:id="929" w:name="_Toc75876132"/>
      <w:r>
        <w:rPr>
          <w:rStyle w:val="CharSectno"/>
        </w:rPr>
        <w:lastRenderedPageBreak/>
        <w:t>466</w:t>
      </w:r>
      <w:r>
        <w:t>.</w:t>
      </w:r>
      <w:r>
        <w:tab/>
        <w:t>Variation or cancellation of CEO exemption other than in urgent circumstances</w:t>
      </w:r>
      <w:bookmarkEnd w:id="929"/>
    </w:p>
    <w:p w:rsidR="006724FB" w:rsidRDefault="006724FB">
      <w:pPr>
        <w:pStyle w:val="Subsection"/>
      </w:pPr>
      <w:r>
        <w:tab/>
        <w:t>(1)</w:t>
      </w:r>
      <w:r>
        <w:tab/>
        <w:t xml:space="preserve">The CEO may vary or cancel a CEO exemption if satisfied that — </w:t>
      </w:r>
    </w:p>
    <w:p w:rsidR="006724FB" w:rsidRDefault="006724FB">
      <w:pPr>
        <w:pStyle w:val="Indenta"/>
      </w:pPr>
      <w:r>
        <w:tab/>
        <w:t>(a)</w:t>
      </w:r>
      <w:r>
        <w:tab/>
        <w:t>the CEO could vary the exemption under regulation 463(1) or cancel the exemption under regulation 464; but</w:t>
      </w:r>
    </w:p>
    <w:p w:rsidR="006724FB" w:rsidRDefault="006724FB">
      <w:pPr>
        <w:pStyle w:val="Indenta"/>
      </w:pPr>
      <w:r>
        <w:tab/>
        <w:t>(b)</w:t>
      </w:r>
      <w:r>
        <w:tab/>
        <w:t>it is not necessary to vary or cancel the exemption immediately to avoid, eliminate or minimise the risk of personal injury or death, property damage or harm to the environment.</w:t>
      </w:r>
    </w:p>
    <w:p w:rsidR="006724FB" w:rsidRDefault="006724FB">
      <w:pPr>
        <w:pStyle w:val="Subsection"/>
      </w:pPr>
      <w:r>
        <w:tab/>
        <w:t>(2)</w:t>
      </w:r>
      <w:r>
        <w:tab/>
        <w:t xml:space="preserve">If the CEO exemption had been granted or varied previously on an application the CEO must, before taking action under subregulation (1) — </w:t>
      </w:r>
    </w:p>
    <w:p w:rsidR="006724FB" w:rsidRDefault="006724FB">
      <w:pPr>
        <w:pStyle w:val="Indenta"/>
      </w:pPr>
      <w:r>
        <w:tab/>
        <w:t>(a)</w:t>
      </w:r>
      <w:r>
        <w:tab/>
        <w:t xml:space="preserve">inform each person to whom the exemption applies in writing — </w:t>
      </w:r>
    </w:p>
    <w:p w:rsidR="006724FB" w:rsidRDefault="006724FB">
      <w:pPr>
        <w:pStyle w:val="Indenti"/>
      </w:pPr>
      <w:r>
        <w:tab/>
        <w:t>(i)</w:t>
      </w:r>
      <w:r>
        <w:tab/>
        <w:t>of the proposed variation or cancellation; and</w:t>
      </w:r>
    </w:p>
    <w:p w:rsidR="006724FB" w:rsidRDefault="006724FB">
      <w:pPr>
        <w:pStyle w:val="Indenti"/>
      </w:pPr>
      <w:r>
        <w:tab/>
        <w:t>(ii)</w:t>
      </w:r>
      <w:r>
        <w:tab/>
        <w:t>of the reasons for the proposed variation or cancellation; and</w:t>
      </w:r>
    </w:p>
    <w:p w:rsidR="006724FB" w:rsidRDefault="006724FB">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rsidR="006724FB" w:rsidRDefault="006724FB">
      <w:pPr>
        <w:pStyle w:val="Indenta"/>
      </w:pPr>
      <w:r>
        <w:tab/>
      </w:r>
      <w:r>
        <w:tab/>
        <w:t>and</w:t>
      </w:r>
    </w:p>
    <w:p w:rsidR="006724FB" w:rsidRDefault="006724FB">
      <w:pPr>
        <w:pStyle w:val="Indenta"/>
      </w:pPr>
      <w:r>
        <w:tab/>
        <w:t>(b)</w:t>
      </w:r>
      <w:r>
        <w:tab/>
        <w:t>consider the submissions provided.</w:t>
      </w:r>
    </w:p>
    <w:p w:rsidR="006724FB" w:rsidRDefault="006724FB">
      <w:pPr>
        <w:pStyle w:val="Heading3"/>
      </w:pPr>
      <w:bookmarkStart w:id="930" w:name="_Toc75420209"/>
      <w:bookmarkStart w:id="931" w:name="_Toc75427545"/>
      <w:bookmarkStart w:id="932" w:name="_Toc75872961"/>
      <w:bookmarkStart w:id="933" w:name="_Toc75876133"/>
      <w:r>
        <w:rPr>
          <w:rStyle w:val="CharDivNo"/>
        </w:rPr>
        <w:t>Division 4</w:t>
      </w:r>
      <w:r>
        <w:t> — </w:t>
      </w:r>
      <w:r>
        <w:rPr>
          <w:rStyle w:val="CharDivText"/>
        </w:rPr>
        <w:t>General provisions about Ministerial declarations and CEO exemptions</w:t>
      </w:r>
      <w:bookmarkEnd w:id="930"/>
      <w:bookmarkEnd w:id="931"/>
      <w:bookmarkEnd w:id="932"/>
      <w:bookmarkEnd w:id="933"/>
    </w:p>
    <w:p w:rsidR="006724FB" w:rsidRDefault="006724FB">
      <w:pPr>
        <w:pStyle w:val="Heading5"/>
      </w:pPr>
      <w:bookmarkStart w:id="934" w:name="_Toc75876134"/>
      <w:r>
        <w:rPr>
          <w:rStyle w:val="CharSectno"/>
        </w:rPr>
        <w:t>467</w:t>
      </w:r>
      <w:r>
        <w:t>.</w:t>
      </w:r>
      <w:r>
        <w:tab/>
        <w:t>Applications</w:t>
      </w:r>
      <w:bookmarkEnd w:id="934"/>
    </w:p>
    <w:p w:rsidR="006724FB" w:rsidRDefault="006724FB">
      <w:pPr>
        <w:pStyle w:val="Subsection"/>
      </w:pPr>
      <w:r>
        <w:tab/>
        <w:t>(1)</w:t>
      </w:r>
      <w:r>
        <w:tab/>
        <w:t>An application must be in a form approved by the CEO and given to the CEO.</w:t>
      </w:r>
    </w:p>
    <w:p w:rsidR="006724FB" w:rsidRDefault="006724FB">
      <w:pPr>
        <w:pStyle w:val="Subsection"/>
        <w:rPr>
          <w:snapToGrid w:val="0"/>
        </w:rPr>
      </w:pPr>
      <w:r>
        <w:rPr>
          <w:snapToGrid w:val="0"/>
        </w:rPr>
        <w:lastRenderedPageBreak/>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rsidR="006724FB" w:rsidRDefault="006724FB">
      <w:pPr>
        <w:pStyle w:val="Subsection"/>
      </w:pPr>
      <w:r>
        <w:tab/>
        <w:t>(3)</w:t>
      </w:r>
      <w:r>
        <w:tab/>
        <w:t>The Minister may, by written notice, require an applicant for the making, variation or revocation of a declaration to give the Minister additional information necessary to decide the application.</w:t>
      </w:r>
    </w:p>
    <w:p w:rsidR="006724FB" w:rsidRDefault="006724FB">
      <w:pPr>
        <w:pStyle w:val="Subsection"/>
      </w:pPr>
      <w:r>
        <w:tab/>
        <w:t>(4)</w:t>
      </w:r>
      <w:r>
        <w:tab/>
        <w:t>The CEO may, by written notice, require an applicant for the grant, variation or cancellation of a CEO exemption to give the CEO additional information necessary to decide the application.</w:t>
      </w:r>
    </w:p>
    <w:p w:rsidR="006724FB" w:rsidRDefault="006724FB">
      <w:pPr>
        <w:pStyle w:val="Heading5"/>
      </w:pPr>
      <w:bookmarkStart w:id="935" w:name="_Toc75876135"/>
      <w:r>
        <w:rPr>
          <w:rStyle w:val="CharSectno"/>
        </w:rPr>
        <w:t>468</w:t>
      </w:r>
      <w:r>
        <w:t>.</w:t>
      </w:r>
      <w:r>
        <w:tab/>
        <w:t>Fees for applications</w:t>
      </w:r>
      <w:bookmarkEnd w:id="935"/>
    </w:p>
    <w:p w:rsidR="006724FB" w:rsidRDefault="006724FB">
      <w:pPr>
        <w:pStyle w:val="Subsection"/>
      </w:pPr>
      <w:r>
        <w:tab/>
        <w:t>(1)</w:t>
      </w:r>
      <w:r>
        <w:tab/>
        <w:t xml:space="preserve">The fee payable for an application for the grant, variation or cancellation of a CEO exemption is </w:t>
      </w:r>
      <w:r w:rsidR="00857959">
        <w:t>$53.40</w:t>
      </w:r>
      <w:r>
        <w:t>.</w:t>
      </w:r>
    </w:p>
    <w:p w:rsidR="006724FB" w:rsidRDefault="006724FB">
      <w:pPr>
        <w:pStyle w:val="Subsection"/>
      </w:pPr>
      <w:r>
        <w:tab/>
        <w:t>(2)</w:t>
      </w:r>
      <w:r>
        <w:tab/>
        <w:t xml:space="preserve">The CEO may reduce, waive or refund the fee payable under subregulation (1) if it would, in the opinion of the CEO, be unreasonable for the applicant to pay the fee taking into account — </w:t>
      </w:r>
    </w:p>
    <w:p w:rsidR="006724FB" w:rsidRDefault="006724FB">
      <w:pPr>
        <w:pStyle w:val="Indenta"/>
      </w:pPr>
      <w:r>
        <w:tab/>
        <w:t>(a)</w:t>
      </w:r>
      <w:r>
        <w:tab/>
        <w:t>the circumstance of the applicant; and</w:t>
      </w:r>
    </w:p>
    <w:p w:rsidR="006724FB" w:rsidRDefault="006724FB">
      <w:pPr>
        <w:pStyle w:val="Indenta"/>
      </w:pPr>
      <w:r>
        <w:tab/>
        <w:t>(b)</w:t>
      </w:r>
      <w:r>
        <w:tab/>
        <w:t>the use or proposed use of the vehicle; and</w:t>
      </w:r>
    </w:p>
    <w:p w:rsidR="006724FB" w:rsidRDefault="006724FB">
      <w:pPr>
        <w:pStyle w:val="Indenta"/>
      </w:pPr>
      <w:r>
        <w:tab/>
        <w:t>(c)</w:t>
      </w:r>
      <w:r>
        <w:tab/>
        <w:t>the nature of the exemption; and</w:t>
      </w:r>
    </w:p>
    <w:p w:rsidR="006724FB" w:rsidRDefault="006724FB">
      <w:pPr>
        <w:pStyle w:val="Indenta"/>
      </w:pPr>
      <w:r>
        <w:tab/>
        <w:t>(d)</w:t>
      </w:r>
      <w:r>
        <w:tab/>
        <w:t>the extent to which the CEO has or will examine or assess the vehicle or application.</w:t>
      </w:r>
    </w:p>
    <w:p w:rsidR="006724FB" w:rsidRDefault="006724FB">
      <w:pPr>
        <w:pStyle w:val="Footnotesection"/>
      </w:pPr>
      <w:r>
        <w:tab/>
        <w:t>[Regulation 468 amended: Gazette 14 Jun 2016 p. 2000; 31 May 2019 p. 1726; SL 2020/74 r. 9</w:t>
      </w:r>
      <w:r w:rsidR="00857959">
        <w:t>; SL 2021/92 r. 20</w:t>
      </w:r>
      <w:r>
        <w:t>.]</w:t>
      </w:r>
    </w:p>
    <w:p w:rsidR="006724FB" w:rsidRDefault="006724FB">
      <w:pPr>
        <w:pStyle w:val="Heading5"/>
      </w:pPr>
      <w:bookmarkStart w:id="936" w:name="_Toc75876136"/>
      <w:r>
        <w:rPr>
          <w:rStyle w:val="CharSectno"/>
        </w:rPr>
        <w:t>469</w:t>
      </w:r>
      <w:r>
        <w:t>.</w:t>
      </w:r>
      <w:r>
        <w:tab/>
        <w:t>Conditions on declarations, CEO exemptions</w:t>
      </w:r>
      <w:bookmarkEnd w:id="936"/>
    </w:p>
    <w:p w:rsidR="006724FB" w:rsidRDefault="006724FB">
      <w:pPr>
        <w:pStyle w:val="Subsection"/>
      </w:pPr>
      <w:r>
        <w:tab/>
        <w:t>(1)</w:t>
      </w:r>
      <w:r>
        <w:tab/>
        <w:t>The Minister may impose conditions on a declaration or a varied declaration.</w:t>
      </w:r>
    </w:p>
    <w:p w:rsidR="006724FB" w:rsidRDefault="006724FB">
      <w:pPr>
        <w:pStyle w:val="Subsection"/>
      </w:pPr>
      <w:r>
        <w:tab/>
        <w:t>(2)</w:t>
      </w:r>
      <w:r>
        <w:tab/>
        <w:t>The CEO may impose conditions on a CEO exemption or a varied CEO exemption.</w:t>
      </w:r>
    </w:p>
    <w:p w:rsidR="006724FB" w:rsidRDefault="006724FB">
      <w:pPr>
        <w:pStyle w:val="Subsection"/>
      </w:pPr>
      <w:r>
        <w:lastRenderedPageBreak/>
        <w:tab/>
        <w:t>(3)</w:t>
      </w:r>
      <w:r>
        <w:tab/>
        <w:t>A person to whom a declaration or CEO exemption applies, or who is in charge of a vehicle to which a declaration or CEO exemption applies, must not contravene a condition imposed on the declaration or CEO exemption.</w:t>
      </w:r>
    </w:p>
    <w:p w:rsidR="006724FB" w:rsidRDefault="006724FB">
      <w:pPr>
        <w:pStyle w:val="Penstart"/>
      </w:pPr>
      <w:r>
        <w:tab/>
        <w:t>Penalty for an offence under this subregulation: a fine of 16 PU.</w:t>
      </w:r>
    </w:p>
    <w:p w:rsidR="006724FB" w:rsidRDefault="006724FB">
      <w:pPr>
        <w:pStyle w:val="Heading5"/>
      </w:pPr>
      <w:bookmarkStart w:id="937" w:name="_Toc75876137"/>
      <w:r>
        <w:rPr>
          <w:rStyle w:val="CharSectno"/>
        </w:rPr>
        <w:t>470</w:t>
      </w:r>
      <w:r>
        <w:t>.</w:t>
      </w:r>
      <w:r>
        <w:tab/>
        <w:t>Notification of Minister’s decisions</w:t>
      </w:r>
      <w:bookmarkEnd w:id="937"/>
    </w:p>
    <w:p w:rsidR="006724FB" w:rsidRDefault="006724FB">
      <w:pPr>
        <w:pStyle w:val="Subsection"/>
      </w:pPr>
      <w:r>
        <w:tab/>
        <w:t>(1)</w:t>
      </w:r>
      <w:r>
        <w:tab/>
        <w:t xml:space="preserve">In this regulation — </w:t>
      </w:r>
    </w:p>
    <w:p w:rsidR="006724FB" w:rsidRDefault="006724FB">
      <w:pPr>
        <w:pStyle w:val="Defstart"/>
      </w:pPr>
      <w:r>
        <w:tab/>
      </w:r>
      <w:r>
        <w:rPr>
          <w:rStyle w:val="CharDefText"/>
        </w:rPr>
        <w:t>affected person</w:t>
      </w:r>
      <w:r>
        <w:t xml:space="preserve"> — </w:t>
      </w:r>
    </w:p>
    <w:p w:rsidR="006724FB" w:rsidRDefault="006724FB">
      <w:pPr>
        <w:pStyle w:val="Defpara"/>
      </w:pPr>
      <w:r>
        <w:tab/>
        <w:t>(a)</w:t>
      </w:r>
      <w:r>
        <w:tab/>
        <w:t xml:space="preserve">in the case of a decision made on an application means — </w:t>
      </w:r>
    </w:p>
    <w:p w:rsidR="006724FB" w:rsidRDefault="006724FB">
      <w:pPr>
        <w:pStyle w:val="Defsubpara"/>
      </w:pPr>
      <w:r>
        <w:tab/>
        <w:t>(i)</w:t>
      </w:r>
      <w:r>
        <w:tab/>
        <w:t>each applicant; and</w:t>
      </w:r>
    </w:p>
    <w:p w:rsidR="006724FB" w:rsidRDefault="006724FB">
      <w:pPr>
        <w:pStyle w:val="Defsubpara"/>
      </w:pPr>
      <w:r>
        <w:tab/>
        <w:t>(ii)</w:t>
      </w:r>
      <w:r>
        <w:tab/>
        <w:t>each other person to whom, in the opinion of the Minister, the decision applies;</w:t>
      </w:r>
    </w:p>
    <w:p w:rsidR="006724FB" w:rsidRDefault="006724FB">
      <w:pPr>
        <w:pStyle w:val="Defpara"/>
      </w:pPr>
      <w:r>
        <w:tab/>
      </w:r>
      <w:r>
        <w:tab/>
        <w:t>and</w:t>
      </w:r>
    </w:p>
    <w:p w:rsidR="006724FB" w:rsidRDefault="006724FB">
      <w:pPr>
        <w:pStyle w:val="Defpara"/>
      </w:pPr>
      <w:r>
        <w:tab/>
        <w:t>(b)</w:t>
      </w:r>
      <w:r>
        <w:tab/>
        <w:t>in the case of a decision made on the Minister’s volition means each person, in the Minister’s opinion, to whom the decision applies.</w:t>
      </w:r>
    </w:p>
    <w:p w:rsidR="006724FB" w:rsidRDefault="006724FB">
      <w:pPr>
        <w:pStyle w:val="Subsection"/>
      </w:pPr>
      <w:r>
        <w:tab/>
        <w:t>(2)</w:t>
      </w:r>
      <w:r>
        <w:tab/>
        <w:t>As soon as practicable after making a decision under Division 2 or regulation 469(1), the Minister must give each affected person notice in writing of the decision.</w:t>
      </w:r>
    </w:p>
    <w:p w:rsidR="006724FB" w:rsidRDefault="006724FB">
      <w:pPr>
        <w:pStyle w:val="Subsection"/>
      </w:pPr>
      <w:r>
        <w:tab/>
        <w:t>(3)</w:t>
      </w:r>
      <w:r>
        <w:tab/>
        <w:t xml:space="preserve">For the purposes of subregulation (2), notice in writing may be given — </w:t>
      </w:r>
    </w:p>
    <w:p w:rsidR="006724FB" w:rsidRDefault="006724FB">
      <w:pPr>
        <w:pStyle w:val="Indenta"/>
      </w:pPr>
      <w:r>
        <w:tab/>
        <w:t>(a)</w:t>
      </w:r>
      <w:r>
        <w:tab/>
        <w:t>individually to each affected person; or</w:t>
      </w:r>
    </w:p>
    <w:p w:rsidR="006724FB" w:rsidRDefault="006724FB">
      <w:pPr>
        <w:pStyle w:val="Indenta"/>
      </w:pPr>
      <w:r>
        <w:tab/>
        <w:t>(b)</w:t>
      </w:r>
      <w:r>
        <w:tab/>
        <w:t xml:space="preserve">by publication in the </w:t>
      </w:r>
      <w:r>
        <w:rPr>
          <w:i/>
        </w:rPr>
        <w:t>Gazette</w:t>
      </w:r>
      <w:r>
        <w:t>; or</w:t>
      </w:r>
    </w:p>
    <w:p w:rsidR="006724FB" w:rsidRDefault="006724FB">
      <w:pPr>
        <w:pStyle w:val="Indenta"/>
      </w:pPr>
      <w:r>
        <w:tab/>
        <w:t>(c)</w:t>
      </w:r>
      <w:r>
        <w:tab/>
        <w:t>by other means that, in the Minister’s opinion, is sufficient to notify persons to whom the decision applies.</w:t>
      </w:r>
    </w:p>
    <w:p w:rsidR="006724FB" w:rsidRDefault="006724FB">
      <w:pPr>
        <w:pStyle w:val="Heading5"/>
      </w:pPr>
      <w:bookmarkStart w:id="938" w:name="_Toc75876138"/>
      <w:r>
        <w:rPr>
          <w:rStyle w:val="CharSectno"/>
        </w:rPr>
        <w:lastRenderedPageBreak/>
        <w:t>471</w:t>
      </w:r>
      <w:r>
        <w:t>.</w:t>
      </w:r>
      <w:r>
        <w:tab/>
        <w:t>Notification and reconsideration of CEO exemption decisions</w:t>
      </w:r>
      <w:bookmarkEnd w:id="938"/>
    </w:p>
    <w:p w:rsidR="006724FB" w:rsidRDefault="006724FB">
      <w:pPr>
        <w:pStyle w:val="Subsection"/>
      </w:pPr>
      <w:r>
        <w:tab/>
      </w:r>
      <w:r>
        <w:tab/>
        <w:t>Part 15 provides for the notification and reconsideration of the CEO’s decisions made under Division 3 and regulation 469(2).</w:t>
      </w:r>
    </w:p>
    <w:p w:rsidR="006724FB" w:rsidRDefault="006724FB">
      <w:pPr>
        <w:pStyle w:val="Heading5"/>
      </w:pPr>
      <w:bookmarkStart w:id="939" w:name="_Toc75876139"/>
      <w:r>
        <w:rPr>
          <w:rStyle w:val="CharSectno"/>
        </w:rPr>
        <w:t>472</w:t>
      </w:r>
      <w:r>
        <w:t>.</w:t>
      </w:r>
      <w:r>
        <w:tab/>
        <w:t>When decisions take effect</w:t>
      </w:r>
      <w:bookmarkEnd w:id="939"/>
    </w:p>
    <w:p w:rsidR="006724FB" w:rsidRDefault="006724FB">
      <w:pPr>
        <w:pStyle w:val="Subsection"/>
      </w:pPr>
      <w:r>
        <w:tab/>
        <w:t>(1)</w:t>
      </w:r>
      <w:r>
        <w:tab/>
        <w:t xml:space="preserve">A decision of the Minister under Division 2 or regulation 469(1) takes effect — </w:t>
      </w:r>
    </w:p>
    <w:p w:rsidR="006724FB" w:rsidRDefault="006724FB">
      <w:pPr>
        <w:pStyle w:val="Indenta"/>
      </w:pPr>
      <w:r>
        <w:tab/>
        <w:t>(a)</w:t>
      </w:r>
      <w:r>
        <w:tab/>
        <w:t>when notice is given under regulation 470(2) of the decision; or</w:t>
      </w:r>
    </w:p>
    <w:p w:rsidR="006724FB" w:rsidRDefault="006724FB">
      <w:pPr>
        <w:pStyle w:val="Indenta"/>
      </w:pPr>
      <w:r>
        <w:tab/>
        <w:t>(b)</w:t>
      </w:r>
      <w:r>
        <w:tab/>
        <w:t>if the notice specifies that the decision takes effect at a later time — at the later time.</w:t>
      </w:r>
    </w:p>
    <w:p w:rsidR="006724FB" w:rsidRDefault="006724FB">
      <w:pPr>
        <w:pStyle w:val="Subsection"/>
      </w:pPr>
      <w:r>
        <w:tab/>
        <w:t>(2)</w:t>
      </w:r>
      <w:r>
        <w:tab/>
        <w:t>A decision of the CEO under Division 3 or regulation 469(2) takes effect —</w:t>
      </w:r>
    </w:p>
    <w:p w:rsidR="006724FB" w:rsidRDefault="006724FB">
      <w:pPr>
        <w:pStyle w:val="Indenta"/>
      </w:pPr>
      <w:r>
        <w:tab/>
        <w:t>(a)</w:t>
      </w:r>
      <w:r>
        <w:tab/>
        <w:t>when written notice is given under regulation 479(2) of the decision; or</w:t>
      </w:r>
    </w:p>
    <w:p w:rsidR="006724FB" w:rsidRDefault="006724FB">
      <w:pPr>
        <w:pStyle w:val="Indenta"/>
      </w:pPr>
      <w:r>
        <w:tab/>
        <w:t>(b)</w:t>
      </w:r>
      <w:r>
        <w:tab/>
        <w:t>if the notice specifies that the decision takes effect at a later time — at the later time.</w:t>
      </w:r>
    </w:p>
    <w:p w:rsidR="006724FB" w:rsidRDefault="006724FB">
      <w:pPr>
        <w:pStyle w:val="Heading5"/>
      </w:pPr>
      <w:bookmarkStart w:id="940" w:name="_Toc75876140"/>
      <w:r>
        <w:rPr>
          <w:rStyle w:val="CharSectno"/>
        </w:rPr>
        <w:t>473</w:t>
      </w:r>
      <w:r>
        <w:t>.</w:t>
      </w:r>
      <w:r>
        <w:tab/>
        <w:t>Duration of declaration, CEO exemption</w:t>
      </w:r>
      <w:bookmarkEnd w:id="940"/>
    </w:p>
    <w:p w:rsidR="006724FB" w:rsidRDefault="006724FB">
      <w:pPr>
        <w:pStyle w:val="Subsection"/>
      </w:pPr>
      <w:r>
        <w:tab/>
      </w:r>
      <w:r>
        <w:tab/>
        <w:t>A declaration or CEO exemption has effect for the specified period.</w:t>
      </w:r>
    </w:p>
    <w:p w:rsidR="006724FB" w:rsidRDefault="006724FB">
      <w:pPr>
        <w:pStyle w:val="Heading5"/>
      </w:pPr>
      <w:bookmarkStart w:id="941" w:name="_Toc75876141"/>
      <w:r>
        <w:rPr>
          <w:rStyle w:val="CharSectno"/>
        </w:rPr>
        <w:t>474</w:t>
      </w:r>
      <w:r>
        <w:t>.</w:t>
      </w:r>
      <w:r>
        <w:tab/>
        <w:t>Effect of declaration, CEO exemption</w:t>
      </w:r>
      <w:bookmarkEnd w:id="941"/>
    </w:p>
    <w:p w:rsidR="006724FB" w:rsidRDefault="006724FB">
      <w:pPr>
        <w:pStyle w:val="Subsection"/>
      </w:pPr>
      <w:r>
        <w:tab/>
        <w:t>(1)</w:t>
      </w:r>
      <w:r>
        <w:tab/>
        <w:t>A declaration, including a varied declaration, has effect according to its tenor.</w:t>
      </w:r>
    </w:p>
    <w:p w:rsidR="006724FB" w:rsidRDefault="006724FB">
      <w:pPr>
        <w:pStyle w:val="Subsection"/>
      </w:pPr>
      <w:r>
        <w:tab/>
        <w:t>(2)</w:t>
      </w:r>
      <w:r>
        <w:tab/>
        <w:t>A CEO exemption, including a varied CEO exemption, has effect according to its tenor.</w:t>
      </w:r>
    </w:p>
    <w:p w:rsidR="006724FB" w:rsidRDefault="006724FB">
      <w:pPr>
        <w:pStyle w:val="Heading5"/>
      </w:pPr>
      <w:bookmarkStart w:id="942" w:name="_Toc75876142"/>
      <w:r>
        <w:rPr>
          <w:rStyle w:val="CharSectno"/>
        </w:rPr>
        <w:t>475</w:t>
      </w:r>
      <w:r>
        <w:t>.</w:t>
      </w:r>
      <w:r>
        <w:tab/>
        <w:t>Evidence of declarations, CEO exemption</w:t>
      </w:r>
      <w:bookmarkEnd w:id="942"/>
    </w:p>
    <w:p w:rsidR="006724FB" w:rsidRDefault="006724FB">
      <w:pPr>
        <w:pStyle w:val="Subsection"/>
      </w:pPr>
      <w:r>
        <w:tab/>
        <w:t>(1)</w:t>
      </w:r>
      <w:r>
        <w:tab/>
        <w:t>The CEO must issue a document setting out the terms of a declaration made, or CEO exemption granted, on an application.</w:t>
      </w:r>
    </w:p>
    <w:p w:rsidR="006724FB" w:rsidRDefault="006724FB">
      <w:pPr>
        <w:pStyle w:val="Subsection"/>
      </w:pPr>
      <w:r>
        <w:lastRenderedPageBreak/>
        <w:tab/>
        <w:t>(2)</w:t>
      </w:r>
      <w:r>
        <w:tab/>
        <w:t>If a declaration made, or CEO exemption granted, on application is varied, the CEO must issue a replacement document setting out the new terms of the declaration or exemption.</w:t>
      </w:r>
    </w:p>
    <w:p w:rsidR="006724FB" w:rsidRDefault="006724FB">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rsidR="006724FB" w:rsidRDefault="006724FB">
      <w:pPr>
        <w:pStyle w:val="Heading5"/>
      </w:pPr>
      <w:bookmarkStart w:id="943" w:name="_Toc75876143"/>
      <w:r>
        <w:rPr>
          <w:rStyle w:val="CharSectno"/>
        </w:rPr>
        <w:t>476</w:t>
      </w:r>
      <w:r>
        <w:t>.</w:t>
      </w:r>
      <w:r>
        <w:tab/>
        <w:t>Driver to produce declaration, CEO exemption document to police officers</w:t>
      </w:r>
      <w:bookmarkEnd w:id="943"/>
    </w:p>
    <w:p w:rsidR="006724FB" w:rsidRDefault="006724FB">
      <w:pPr>
        <w:pStyle w:val="Subsection"/>
      </w:pPr>
      <w:r>
        <w:tab/>
      </w:r>
      <w:r>
        <w:tab/>
        <w:t>A person driving a vehicle in respect of which a document has been issued under regulation 475 must, if required to do so by a police officer, produce the document for inspection.</w:t>
      </w:r>
    </w:p>
    <w:p w:rsidR="006724FB" w:rsidRDefault="006724FB">
      <w:pPr>
        <w:pStyle w:val="Penstart"/>
      </w:pPr>
      <w:r>
        <w:tab/>
        <w:t>Penalty: a fine of 16 PU.</w:t>
      </w:r>
    </w:p>
    <w:p w:rsidR="006724FB" w:rsidRDefault="006724FB">
      <w:pPr>
        <w:pStyle w:val="Penstart"/>
      </w:pPr>
      <w:r>
        <w:tab/>
        <w:t>Modified penalty: 4 PU.</w:t>
      </w:r>
    </w:p>
    <w:p w:rsidR="006724FB" w:rsidRDefault="006724FB">
      <w:pPr>
        <w:pStyle w:val="Heading5"/>
        <w:spacing w:before="160"/>
      </w:pPr>
      <w:bookmarkStart w:id="944" w:name="_Toc75876144"/>
      <w:r>
        <w:rPr>
          <w:rStyle w:val="CharSectno"/>
        </w:rPr>
        <w:t>477</w:t>
      </w:r>
      <w:r>
        <w:t>.</w:t>
      </w:r>
      <w:r>
        <w:tab/>
        <w:t>Return of documents</w:t>
      </w:r>
      <w:bookmarkEnd w:id="944"/>
    </w:p>
    <w:p w:rsidR="006724FB" w:rsidRDefault="006724FB">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rsidR="006724FB" w:rsidRDefault="006724FB">
      <w:pPr>
        <w:pStyle w:val="Subsection"/>
        <w:keepLines/>
      </w:pPr>
      <w:r>
        <w:tab/>
        <w:t>(2)</w:t>
      </w:r>
      <w:r>
        <w:tab/>
        <w:t>A person must comply with a requirement in a notice under subregulation (1).</w:t>
      </w:r>
    </w:p>
    <w:p w:rsidR="006724FB" w:rsidRDefault="006724FB">
      <w:pPr>
        <w:pStyle w:val="Penstart"/>
        <w:rPr>
          <w:rStyle w:val="DraftersNotes"/>
        </w:rPr>
      </w:pPr>
      <w:r>
        <w:tab/>
        <w:t>Penalty for an offence under this subregulation: a fine of 16 PU.</w:t>
      </w:r>
    </w:p>
    <w:p w:rsidR="006724FB" w:rsidRDefault="006724FB">
      <w:pPr>
        <w:pStyle w:val="Heading2"/>
      </w:pPr>
      <w:bookmarkStart w:id="945" w:name="_Toc75420221"/>
      <w:bookmarkStart w:id="946" w:name="_Toc75427557"/>
      <w:bookmarkStart w:id="947" w:name="_Toc75872973"/>
      <w:bookmarkStart w:id="948" w:name="_Toc75876145"/>
      <w:r>
        <w:rPr>
          <w:rStyle w:val="CharPartNo"/>
        </w:rPr>
        <w:lastRenderedPageBreak/>
        <w:t>Part 15</w:t>
      </w:r>
      <w:r>
        <w:t> — </w:t>
      </w:r>
      <w:r>
        <w:rPr>
          <w:rStyle w:val="CharPartText"/>
        </w:rPr>
        <w:t>Notification and reconsideration of reviewable decisions</w:t>
      </w:r>
      <w:bookmarkEnd w:id="945"/>
      <w:bookmarkEnd w:id="946"/>
      <w:bookmarkEnd w:id="947"/>
      <w:bookmarkEnd w:id="948"/>
    </w:p>
    <w:p w:rsidR="006724FB" w:rsidRDefault="006724FB">
      <w:pPr>
        <w:pStyle w:val="Heading3"/>
      </w:pPr>
      <w:bookmarkStart w:id="949" w:name="_Toc75420222"/>
      <w:bookmarkStart w:id="950" w:name="_Toc75427558"/>
      <w:bookmarkStart w:id="951" w:name="_Toc75872974"/>
      <w:bookmarkStart w:id="952" w:name="_Toc75876146"/>
      <w:r>
        <w:rPr>
          <w:rStyle w:val="CharDivNo"/>
        </w:rPr>
        <w:t>Division 1</w:t>
      </w:r>
      <w:r>
        <w:t> — </w:t>
      </w:r>
      <w:r>
        <w:rPr>
          <w:rStyle w:val="CharDivText"/>
        </w:rPr>
        <w:t>Reviewable decisions other than improvement notice reviewable decisions</w:t>
      </w:r>
      <w:bookmarkEnd w:id="949"/>
      <w:bookmarkEnd w:id="950"/>
      <w:bookmarkEnd w:id="951"/>
      <w:bookmarkEnd w:id="952"/>
    </w:p>
    <w:p w:rsidR="006724FB" w:rsidRDefault="006724FB">
      <w:pPr>
        <w:pStyle w:val="Heading5"/>
      </w:pPr>
      <w:bookmarkStart w:id="953" w:name="_Toc75876147"/>
      <w:r>
        <w:rPr>
          <w:rStyle w:val="CharSectno"/>
        </w:rPr>
        <w:t>478</w:t>
      </w:r>
      <w:r>
        <w:t>.</w:t>
      </w:r>
      <w:r>
        <w:tab/>
        <w:t>Terms used</w:t>
      </w:r>
      <w:bookmarkEnd w:id="953"/>
    </w:p>
    <w:p w:rsidR="006724FB" w:rsidRDefault="006724FB">
      <w:pPr>
        <w:pStyle w:val="Subsection"/>
      </w:pPr>
      <w:r>
        <w:tab/>
      </w:r>
      <w:r>
        <w:tab/>
        <w:t xml:space="preserve">In this Division — </w:t>
      </w:r>
    </w:p>
    <w:p w:rsidR="006724FB" w:rsidRDefault="006724FB">
      <w:pPr>
        <w:pStyle w:val="Defstart"/>
      </w:pPr>
      <w:r>
        <w:tab/>
      </w:r>
      <w:r>
        <w:rPr>
          <w:rStyle w:val="CharDefText"/>
        </w:rPr>
        <w:t>CEO exemption reviewable decision</w:t>
      </w:r>
      <w:r>
        <w:t xml:space="preserve"> means a decision — </w:t>
      </w:r>
    </w:p>
    <w:p w:rsidR="006724FB" w:rsidRDefault="006724FB">
      <w:pPr>
        <w:pStyle w:val="Defpara"/>
      </w:pPr>
      <w:r>
        <w:tab/>
        <w:t>(a)</w:t>
      </w:r>
      <w:r>
        <w:tab/>
        <w:t>under Part 14 Division 3 to grant, vary or cancel a CEO exemption or to refuse to do any of those things; or</w:t>
      </w:r>
    </w:p>
    <w:p w:rsidR="006724FB" w:rsidRDefault="006724FB">
      <w:pPr>
        <w:pStyle w:val="Defpara"/>
      </w:pPr>
      <w:r>
        <w:tab/>
        <w:t>(b)</w:t>
      </w:r>
      <w:r>
        <w:tab/>
        <w:t>under regulation 469(2) to impose, or refuse to impose, a condition on a CEO exemption or a varied CEO exemption;</w:t>
      </w:r>
    </w:p>
    <w:p w:rsidR="006724FB" w:rsidRDefault="006724FB">
      <w:pPr>
        <w:pStyle w:val="Defstart"/>
      </w:pPr>
      <w:r>
        <w:tab/>
      </w:r>
      <w:r>
        <w:rPr>
          <w:rStyle w:val="CharDefText"/>
        </w:rPr>
        <w:t>decision maker</w:t>
      </w:r>
      <w:r>
        <w:t xml:space="preserve"> — </w:t>
      </w:r>
    </w:p>
    <w:p w:rsidR="006724FB" w:rsidRDefault="006724FB">
      <w:pPr>
        <w:pStyle w:val="Defpara"/>
      </w:pPr>
      <w:r>
        <w:tab/>
        <w:t>(a)</w:t>
      </w:r>
      <w:r>
        <w:tab/>
        <w:t>in the case of a CEO exemption reviewable decision, means the CEO; and</w:t>
      </w:r>
    </w:p>
    <w:p w:rsidR="006724FB" w:rsidRDefault="006724FB">
      <w:pPr>
        <w:pStyle w:val="Defpara"/>
      </w:pPr>
      <w:r>
        <w:tab/>
        <w:t>(b)</w:t>
      </w:r>
      <w:r>
        <w:tab/>
        <w:t>in the case of an MDL reviewable decision, means the Commissioner of Main Roads; and</w:t>
      </w:r>
    </w:p>
    <w:p w:rsidR="006724FB" w:rsidRDefault="006724FB">
      <w:pPr>
        <w:pStyle w:val="Defpara"/>
      </w:pPr>
      <w:r>
        <w:tab/>
        <w:t>(c)</w:t>
      </w:r>
      <w:r>
        <w:tab/>
        <w:t>in the case of a vehicle licensing reviewable decision, means the CEO;</w:t>
      </w:r>
    </w:p>
    <w:p w:rsidR="006724FB" w:rsidRDefault="006724FB">
      <w:pPr>
        <w:pStyle w:val="Defstart"/>
      </w:pPr>
      <w:r>
        <w:tab/>
      </w:r>
      <w:r>
        <w:rPr>
          <w:rStyle w:val="CharDefText"/>
        </w:rPr>
        <w:t>MDL reviewable decision</w:t>
      </w:r>
      <w:r>
        <w:t xml:space="preserve"> means a decision — </w:t>
      </w:r>
    </w:p>
    <w:p w:rsidR="006724FB" w:rsidRDefault="006724FB">
      <w:pPr>
        <w:pStyle w:val="Defpara"/>
      </w:pPr>
      <w:r>
        <w:tab/>
        <w:t>(a)</w:t>
      </w:r>
      <w:r>
        <w:tab/>
        <w:t>under Part 4 Division 2 of the Act to modify or refuse to modify a mass or dimension requirement; or</w:t>
      </w:r>
    </w:p>
    <w:p w:rsidR="006724FB" w:rsidRDefault="006724FB">
      <w:pPr>
        <w:pStyle w:val="Defpara"/>
      </w:pPr>
      <w:r>
        <w:tab/>
        <w:t>(b)</w:t>
      </w:r>
      <w:r>
        <w:tab/>
        <w:t>under Part 4 Division 2 of the Act to vary, suspend or cancel a modified mass or dimension requirement or to refuse to do any of those things; or</w:t>
      </w:r>
    </w:p>
    <w:p w:rsidR="006724FB" w:rsidRDefault="006724FB">
      <w:pPr>
        <w:pStyle w:val="Defpara"/>
      </w:pPr>
      <w:r>
        <w:tab/>
        <w:t>(c)</w:t>
      </w:r>
      <w:r>
        <w:tab/>
        <w:t>to specify or to refuse to specify in an order or permit, as defined in section 32, a matter in relation to a modified mass or dimension requirement; or</w:t>
      </w:r>
    </w:p>
    <w:p w:rsidR="006724FB" w:rsidRDefault="006724FB">
      <w:pPr>
        <w:pStyle w:val="Defpara"/>
      </w:pPr>
      <w:r>
        <w:tab/>
        <w:t>(d)</w:t>
      </w:r>
      <w:r>
        <w:tab/>
        <w:t>under Part 4 Division 3 of the Act to give, vary, suspend or cancel an access approval or to refuse to do any of those things; or</w:t>
      </w:r>
    </w:p>
    <w:p w:rsidR="006724FB" w:rsidRDefault="006724FB">
      <w:pPr>
        <w:pStyle w:val="Defpara"/>
      </w:pPr>
      <w:r>
        <w:lastRenderedPageBreak/>
        <w:tab/>
        <w:t>(e)</w:t>
      </w:r>
      <w:r>
        <w:tab/>
        <w:t>to specify or to refuse to specify in an order or permit, as defined in section 38, a matter in relation to an access approval; or</w:t>
      </w:r>
    </w:p>
    <w:p w:rsidR="006724FB" w:rsidRDefault="006724FB">
      <w:pPr>
        <w:pStyle w:val="Defpara"/>
      </w:pPr>
      <w:r>
        <w:tab/>
        <w:t>(f)</w:t>
      </w:r>
      <w:r>
        <w:tab/>
        <w:t>to accredit, or to refuse to accredit, a person under Part 4 Division 4 of the Act; or</w:t>
      </w:r>
    </w:p>
    <w:p w:rsidR="006724FB" w:rsidRDefault="006724FB">
      <w:pPr>
        <w:pStyle w:val="Defpara"/>
      </w:pPr>
      <w:r>
        <w:tab/>
        <w:t>(g)</w:t>
      </w:r>
      <w:r>
        <w:tab/>
        <w:t>under Part 4 Division 4 of the Act, to vary, suspend or cancel an accreditation, to impose a requirement in relation to an accreditation or to refuse to do any of those things; or</w:t>
      </w:r>
    </w:p>
    <w:p w:rsidR="006724FB" w:rsidRDefault="006724FB">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rsidR="006724FB" w:rsidRDefault="006724FB">
      <w:pPr>
        <w:pStyle w:val="Defpara"/>
      </w:pPr>
      <w:r>
        <w:tab/>
        <w:t>(i)</w:t>
      </w:r>
      <w:r>
        <w:tab/>
        <w:t>under regulation 454G to refuse an application for a heavy vehicle pilot licence; or</w:t>
      </w:r>
    </w:p>
    <w:p w:rsidR="006724FB" w:rsidRDefault="006724FB">
      <w:pPr>
        <w:pStyle w:val="Defpara"/>
      </w:pPr>
      <w:r>
        <w:tab/>
        <w:t>(j)</w:t>
      </w:r>
      <w:r>
        <w:tab/>
        <w:t>under regulation 454H(2) to impose a condition on a heavy vehicle pilot licence; or</w:t>
      </w:r>
    </w:p>
    <w:p w:rsidR="006724FB" w:rsidRDefault="006724FB">
      <w:pPr>
        <w:pStyle w:val="Defpara"/>
      </w:pPr>
      <w:r>
        <w:tab/>
        <w:t>(k)</w:t>
      </w:r>
      <w:r>
        <w:tab/>
        <w:t>under regulation 454N to amend a heavy vehicle pilot licence other than an amendment to remove a condition of the licence; or</w:t>
      </w:r>
    </w:p>
    <w:p w:rsidR="006724FB" w:rsidRDefault="006724FB">
      <w:pPr>
        <w:pStyle w:val="Defpara"/>
      </w:pPr>
      <w:r>
        <w:tab/>
        <w:t>(l)</w:t>
      </w:r>
      <w:r>
        <w:tab/>
        <w:t>under regulation 454Q or 454R to suspend or cancel a heavy vehicle pilot licence;</w:t>
      </w:r>
    </w:p>
    <w:p w:rsidR="006724FB" w:rsidRDefault="006724FB">
      <w:pPr>
        <w:pStyle w:val="Defstart"/>
      </w:pPr>
      <w:r>
        <w:tab/>
      </w:r>
      <w:r>
        <w:rPr>
          <w:rStyle w:val="CharDefText"/>
        </w:rPr>
        <w:t>reviewable decision</w:t>
      </w:r>
      <w:r>
        <w:t xml:space="preserve"> means — </w:t>
      </w:r>
    </w:p>
    <w:p w:rsidR="006724FB" w:rsidRDefault="006724FB">
      <w:pPr>
        <w:pStyle w:val="Defpara"/>
      </w:pPr>
      <w:r>
        <w:tab/>
        <w:t>(a)</w:t>
      </w:r>
      <w:r>
        <w:tab/>
        <w:t>a CEO exemption reviewable decision; or</w:t>
      </w:r>
    </w:p>
    <w:p w:rsidR="006724FB" w:rsidRDefault="006724FB">
      <w:pPr>
        <w:pStyle w:val="Defpara"/>
      </w:pPr>
      <w:r>
        <w:tab/>
        <w:t>(b)</w:t>
      </w:r>
      <w:r>
        <w:tab/>
        <w:t>an MDL reviewable decision; or</w:t>
      </w:r>
    </w:p>
    <w:p w:rsidR="006724FB" w:rsidRDefault="006724FB">
      <w:pPr>
        <w:pStyle w:val="Defpara"/>
      </w:pPr>
      <w:r>
        <w:tab/>
        <w:t>(c)</w:t>
      </w:r>
      <w:r>
        <w:tab/>
        <w:t>a vehicle licensing reviewable decision;</w:t>
      </w:r>
    </w:p>
    <w:p w:rsidR="006724FB" w:rsidRDefault="006724FB">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rsidR="006724FB" w:rsidRDefault="006724FB">
      <w:pPr>
        <w:pStyle w:val="Footnotesection"/>
      </w:pPr>
      <w:r>
        <w:tab/>
        <w:t>[Regulation 478 amended: Gazette 15 Nov 2016 p. 5076.]</w:t>
      </w:r>
    </w:p>
    <w:p w:rsidR="006724FB" w:rsidRDefault="006724FB">
      <w:pPr>
        <w:pStyle w:val="Heading5"/>
      </w:pPr>
      <w:bookmarkStart w:id="954" w:name="_Toc75876148"/>
      <w:r>
        <w:rPr>
          <w:rStyle w:val="CharSectno"/>
        </w:rPr>
        <w:lastRenderedPageBreak/>
        <w:t>479</w:t>
      </w:r>
      <w:r>
        <w:t>.</w:t>
      </w:r>
      <w:r>
        <w:tab/>
        <w:t>Notification of reviewable decisions</w:t>
      </w:r>
      <w:bookmarkEnd w:id="954"/>
    </w:p>
    <w:p w:rsidR="006724FB" w:rsidRDefault="006724FB">
      <w:pPr>
        <w:pStyle w:val="Subsection"/>
      </w:pPr>
      <w:r>
        <w:tab/>
        <w:t>(1)</w:t>
      </w:r>
      <w:r>
        <w:tab/>
        <w:t xml:space="preserve">In this regulation — </w:t>
      </w:r>
    </w:p>
    <w:p w:rsidR="006724FB" w:rsidRDefault="006724FB">
      <w:pPr>
        <w:pStyle w:val="Defstart"/>
      </w:pPr>
      <w:r>
        <w:tab/>
      </w:r>
      <w:r>
        <w:rPr>
          <w:rStyle w:val="CharDefText"/>
        </w:rPr>
        <w:t>affected person</w:t>
      </w:r>
      <w:r>
        <w:t xml:space="preserve"> — </w:t>
      </w:r>
    </w:p>
    <w:p w:rsidR="006724FB" w:rsidRDefault="006724FB">
      <w:pPr>
        <w:pStyle w:val="Defpara"/>
      </w:pPr>
      <w:r>
        <w:tab/>
        <w:t>(a)</w:t>
      </w:r>
      <w:r>
        <w:tab/>
        <w:t xml:space="preserve">in the case of a reviewable decision made on an application, means — </w:t>
      </w:r>
    </w:p>
    <w:p w:rsidR="006724FB" w:rsidRDefault="006724FB">
      <w:pPr>
        <w:pStyle w:val="Defsubpara"/>
      </w:pPr>
      <w:r>
        <w:tab/>
        <w:t>(i)</w:t>
      </w:r>
      <w:r>
        <w:tab/>
        <w:t>each applicant; and</w:t>
      </w:r>
    </w:p>
    <w:p w:rsidR="006724FB" w:rsidRDefault="006724FB">
      <w:pPr>
        <w:pStyle w:val="Defsubpara"/>
      </w:pPr>
      <w:r>
        <w:tab/>
        <w:t>(ii)</w:t>
      </w:r>
      <w:r>
        <w:tab/>
        <w:t>each other person to whom, in the opinion of the decision maker, the decision applies;</w:t>
      </w:r>
    </w:p>
    <w:p w:rsidR="006724FB" w:rsidRDefault="006724FB">
      <w:pPr>
        <w:pStyle w:val="Defpara"/>
      </w:pPr>
      <w:r>
        <w:tab/>
      </w:r>
      <w:r>
        <w:tab/>
        <w:t>and</w:t>
      </w:r>
    </w:p>
    <w:p w:rsidR="006724FB" w:rsidRDefault="006724FB">
      <w:pPr>
        <w:pStyle w:val="Defpara"/>
      </w:pPr>
      <w:r>
        <w:tab/>
        <w:t>(b)</w:t>
      </w:r>
      <w:r>
        <w:tab/>
        <w:t xml:space="preserve">in the case of a reviewable decision made on the volition of the decision maker to vary or cancel a decision previously made on application, means — </w:t>
      </w:r>
    </w:p>
    <w:p w:rsidR="006724FB" w:rsidRDefault="006724FB">
      <w:pPr>
        <w:pStyle w:val="Defsubpara"/>
      </w:pPr>
      <w:r>
        <w:tab/>
        <w:t>(i)</w:t>
      </w:r>
      <w:r>
        <w:tab/>
        <w:t>each applicant for the previous decision; and</w:t>
      </w:r>
    </w:p>
    <w:p w:rsidR="006724FB" w:rsidRDefault="006724FB">
      <w:pPr>
        <w:pStyle w:val="Defsubpara"/>
      </w:pPr>
      <w:r>
        <w:tab/>
        <w:t>(ii)</w:t>
      </w:r>
      <w:r>
        <w:tab/>
        <w:t>each other person to whom, in the opinion of the decision maker, the decision applies;</w:t>
      </w:r>
    </w:p>
    <w:p w:rsidR="006724FB" w:rsidRDefault="006724FB">
      <w:pPr>
        <w:pStyle w:val="Defpara"/>
      </w:pPr>
      <w:r>
        <w:tab/>
      </w:r>
      <w:r>
        <w:tab/>
        <w:t>and</w:t>
      </w:r>
    </w:p>
    <w:p w:rsidR="006724FB" w:rsidRDefault="006724FB">
      <w:pPr>
        <w:pStyle w:val="Defpara"/>
      </w:pPr>
      <w:r>
        <w:tab/>
        <w:t>(c)</w:t>
      </w:r>
      <w:r>
        <w:tab/>
        <w:t>in the case of any other reviewable decision made on the volition of the decision maker, means each person, in the opinion of the decision maker, to whom the decision applies.</w:t>
      </w:r>
    </w:p>
    <w:p w:rsidR="006724FB" w:rsidRDefault="006724FB">
      <w:pPr>
        <w:pStyle w:val="Subsection"/>
      </w:pPr>
      <w:r>
        <w:tab/>
        <w:t>(2)</w:t>
      </w:r>
      <w:r>
        <w:tab/>
        <w:t xml:space="preserve">As soon as practicable after making a reviewable decision, the decision maker must give notice in writing to each affected person — </w:t>
      </w:r>
    </w:p>
    <w:p w:rsidR="006724FB" w:rsidRDefault="006724FB">
      <w:pPr>
        <w:pStyle w:val="Indenta"/>
      </w:pPr>
      <w:r>
        <w:tab/>
        <w:t>(a)</w:t>
      </w:r>
      <w:r>
        <w:tab/>
        <w:t>of the decision; and</w:t>
      </w:r>
    </w:p>
    <w:p w:rsidR="006724FB" w:rsidRDefault="006724FB">
      <w:pPr>
        <w:pStyle w:val="Indenta"/>
      </w:pPr>
      <w:r>
        <w:tab/>
        <w:t>(b)</w:t>
      </w:r>
      <w:r>
        <w:tab/>
        <w:t>setting out the reasons for the reviewable decision if the decision differs from that sought by an affected person; and</w:t>
      </w:r>
    </w:p>
    <w:p w:rsidR="006724FB" w:rsidRDefault="006724FB">
      <w:pPr>
        <w:pStyle w:val="Indenta"/>
      </w:pPr>
      <w:r>
        <w:tab/>
        <w:t>(c)</w:t>
      </w:r>
      <w:r>
        <w:tab/>
        <w:t xml:space="preserve">informing the person that — </w:t>
      </w:r>
    </w:p>
    <w:p w:rsidR="006724FB" w:rsidRDefault="006724FB">
      <w:pPr>
        <w:pStyle w:val="Indenti"/>
      </w:pPr>
      <w:r>
        <w:tab/>
        <w:t>(i)</w:t>
      </w:r>
      <w:r>
        <w:tab/>
        <w:t>under regulation 483, an affected person may request the decision maker to reconsider the reviewable decision; and</w:t>
      </w:r>
    </w:p>
    <w:p w:rsidR="006724FB" w:rsidRDefault="006724FB">
      <w:pPr>
        <w:pStyle w:val="Indenti"/>
      </w:pPr>
      <w:r>
        <w:lastRenderedPageBreak/>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rsidR="006724FB" w:rsidRDefault="006724FB">
      <w:pPr>
        <w:pStyle w:val="Subsection"/>
      </w:pPr>
      <w:r>
        <w:tab/>
        <w:t>(3)</w:t>
      </w:r>
      <w:r>
        <w:tab/>
        <w:t xml:space="preserve">For the purposes of subregulation (2), notice in writing may be given — </w:t>
      </w:r>
    </w:p>
    <w:p w:rsidR="006724FB" w:rsidRDefault="006724FB">
      <w:pPr>
        <w:pStyle w:val="Indenta"/>
      </w:pPr>
      <w:r>
        <w:tab/>
        <w:t>(a)</w:t>
      </w:r>
      <w:r>
        <w:tab/>
        <w:t>individually to each affected person; or</w:t>
      </w:r>
    </w:p>
    <w:p w:rsidR="006724FB" w:rsidRDefault="006724FB">
      <w:pPr>
        <w:pStyle w:val="Indenta"/>
      </w:pPr>
      <w:r>
        <w:tab/>
        <w:t>(b)</w:t>
      </w:r>
      <w:r>
        <w:tab/>
        <w:t xml:space="preserve">by publication in the </w:t>
      </w:r>
      <w:r>
        <w:rPr>
          <w:i/>
        </w:rPr>
        <w:t>Gazette</w:t>
      </w:r>
      <w:r>
        <w:t>; or</w:t>
      </w:r>
    </w:p>
    <w:p w:rsidR="006724FB" w:rsidRDefault="006724FB">
      <w:pPr>
        <w:pStyle w:val="Indenta"/>
      </w:pPr>
      <w:r>
        <w:tab/>
        <w:t>(c)</w:t>
      </w:r>
      <w:r>
        <w:tab/>
        <w:t>by other means that, in the opinion of the decision maker, is sufficient to notify persons to whom the decision applies.</w:t>
      </w:r>
    </w:p>
    <w:p w:rsidR="006724FB" w:rsidRDefault="006724FB">
      <w:pPr>
        <w:pStyle w:val="Heading5"/>
      </w:pPr>
      <w:bookmarkStart w:id="955" w:name="_Toc75876149"/>
      <w:r>
        <w:rPr>
          <w:rStyle w:val="CharSectno"/>
        </w:rPr>
        <w:t>480</w:t>
      </w:r>
      <w:r>
        <w:t>.</w:t>
      </w:r>
      <w:r>
        <w:tab/>
        <w:t>Reconsideration of reviewable decisions</w:t>
      </w:r>
      <w:bookmarkEnd w:id="955"/>
    </w:p>
    <w:p w:rsidR="006724FB" w:rsidRDefault="006724FB">
      <w:pPr>
        <w:pStyle w:val="Subsection"/>
      </w:pPr>
      <w:r>
        <w:tab/>
        <w:t>(1)</w:t>
      </w:r>
      <w:r>
        <w:tab/>
        <w:t>A person affected by a reviewable decision may request the decision maker in writing to reconsider the decision.</w:t>
      </w:r>
    </w:p>
    <w:p w:rsidR="006724FB" w:rsidRDefault="006724FB">
      <w:pPr>
        <w:pStyle w:val="Subsection"/>
      </w:pPr>
      <w:r>
        <w:tab/>
        <w:t>(2)</w:t>
      </w:r>
      <w:r>
        <w:tab/>
        <w:t xml:space="preserve">The request must be made within — </w:t>
      </w:r>
    </w:p>
    <w:p w:rsidR="006724FB" w:rsidRDefault="006724FB">
      <w:pPr>
        <w:pStyle w:val="Indenta"/>
      </w:pPr>
      <w:r>
        <w:tab/>
        <w:t>(a)</w:t>
      </w:r>
      <w:r>
        <w:tab/>
        <w:t>28 days after notice of the decision is given under regulation 479(2); or</w:t>
      </w:r>
    </w:p>
    <w:p w:rsidR="006724FB" w:rsidRDefault="006724FB">
      <w:pPr>
        <w:pStyle w:val="Indenta"/>
      </w:pPr>
      <w:r>
        <w:tab/>
        <w:t>(b)</w:t>
      </w:r>
      <w:r>
        <w:tab/>
        <w:t>a longer period that is allowed by the decision maker.</w:t>
      </w:r>
    </w:p>
    <w:p w:rsidR="006724FB" w:rsidRDefault="006724FB">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rsidR="006724FB" w:rsidRDefault="006724FB">
      <w:pPr>
        <w:pStyle w:val="Subsection"/>
      </w:pPr>
      <w:r>
        <w:tab/>
        <w:t>(4)</w:t>
      </w:r>
      <w:r>
        <w:tab/>
        <w:t xml:space="preserve">Within 28 days after receiving the request, the decision maker must reconsider the reviewable decision and — </w:t>
      </w:r>
    </w:p>
    <w:p w:rsidR="006724FB" w:rsidRDefault="006724FB">
      <w:pPr>
        <w:pStyle w:val="Indenta"/>
      </w:pPr>
      <w:r>
        <w:tab/>
        <w:t>(a)</w:t>
      </w:r>
      <w:r>
        <w:tab/>
        <w:t>confirm the decision; or</w:t>
      </w:r>
    </w:p>
    <w:p w:rsidR="006724FB" w:rsidRDefault="006724FB">
      <w:pPr>
        <w:pStyle w:val="Indenta"/>
      </w:pPr>
      <w:r>
        <w:tab/>
        <w:t>(b)</w:t>
      </w:r>
      <w:r>
        <w:tab/>
        <w:t>amend the decision; or</w:t>
      </w:r>
    </w:p>
    <w:p w:rsidR="006724FB" w:rsidRDefault="006724FB">
      <w:pPr>
        <w:pStyle w:val="Indenta"/>
      </w:pPr>
      <w:r>
        <w:tab/>
        <w:t>(c)</w:t>
      </w:r>
      <w:r>
        <w:tab/>
        <w:t>set aside the decision and substitute a new decision.</w:t>
      </w:r>
    </w:p>
    <w:p w:rsidR="006724FB" w:rsidRDefault="006724FB">
      <w:pPr>
        <w:pStyle w:val="Subsection"/>
        <w:keepNext/>
      </w:pPr>
      <w:r>
        <w:lastRenderedPageBreak/>
        <w:tab/>
        <w:t>(5)</w:t>
      </w:r>
      <w:r>
        <w:tab/>
        <w:t xml:space="preserve">The decision maker must, in writing, inform the person who made the request — </w:t>
      </w:r>
    </w:p>
    <w:p w:rsidR="006724FB" w:rsidRDefault="006724FB">
      <w:pPr>
        <w:pStyle w:val="Indenta"/>
      </w:pPr>
      <w:r>
        <w:tab/>
        <w:t>(a)</w:t>
      </w:r>
      <w:r>
        <w:tab/>
        <w:t>of the result of the reconsideration; and</w:t>
      </w:r>
    </w:p>
    <w:p w:rsidR="006724FB" w:rsidRDefault="006724FB">
      <w:pPr>
        <w:pStyle w:val="Indenta"/>
      </w:pPr>
      <w:r>
        <w:tab/>
        <w:t>(b)</w:t>
      </w:r>
      <w:r>
        <w:tab/>
        <w:t xml:space="preserve">if the decision maker does not make the decision sought by the person — </w:t>
      </w:r>
    </w:p>
    <w:p w:rsidR="006724FB" w:rsidRDefault="006724FB">
      <w:pPr>
        <w:pStyle w:val="Indenti"/>
      </w:pPr>
      <w:r>
        <w:tab/>
        <w:t>(i)</w:t>
      </w:r>
      <w:r>
        <w:tab/>
        <w:t>of the reasons for the decision made on reconsidering the reviewable decision; and</w:t>
      </w:r>
    </w:p>
    <w:p w:rsidR="006724FB" w:rsidRDefault="006724FB">
      <w:pPr>
        <w:pStyle w:val="Indenti"/>
      </w:pPr>
      <w:r>
        <w:tab/>
        <w:t>(ii)</w:t>
      </w:r>
      <w:r>
        <w:tab/>
        <w:t>that the person may apply to the State Administrative Tribunal for a review of the decision made on reconsidering the reviewable decision.</w:t>
      </w:r>
    </w:p>
    <w:p w:rsidR="006724FB" w:rsidRDefault="006724FB">
      <w:pPr>
        <w:pStyle w:val="Heading3"/>
      </w:pPr>
      <w:bookmarkStart w:id="956" w:name="_Toc75420226"/>
      <w:bookmarkStart w:id="957" w:name="_Toc75427562"/>
      <w:bookmarkStart w:id="958" w:name="_Toc75872978"/>
      <w:bookmarkStart w:id="959" w:name="_Toc75876150"/>
      <w:r>
        <w:rPr>
          <w:rStyle w:val="CharDivNo"/>
        </w:rPr>
        <w:t>Division 2</w:t>
      </w:r>
      <w:r>
        <w:t> — </w:t>
      </w:r>
      <w:r>
        <w:rPr>
          <w:rStyle w:val="CharDivText"/>
        </w:rPr>
        <w:t>Improvement notices and notices of amendments to improvement notices</w:t>
      </w:r>
      <w:bookmarkEnd w:id="956"/>
      <w:bookmarkEnd w:id="957"/>
      <w:bookmarkEnd w:id="958"/>
      <w:bookmarkEnd w:id="959"/>
    </w:p>
    <w:p w:rsidR="006724FB" w:rsidRDefault="006724FB">
      <w:pPr>
        <w:pStyle w:val="Heading5"/>
      </w:pPr>
      <w:bookmarkStart w:id="960" w:name="_Toc75876151"/>
      <w:r>
        <w:rPr>
          <w:rStyle w:val="CharSectno"/>
        </w:rPr>
        <w:t>481</w:t>
      </w:r>
      <w:r>
        <w:t>.</w:t>
      </w:r>
      <w:r>
        <w:tab/>
        <w:t>Terms used</w:t>
      </w:r>
      <w:bookmarkEnd w:id="960"/>
    </w:p>
    <w:p w:rsidR="006724FB" w:rsidRDefault="006724FB">
      <w:pPr>
        <w:pStyle w:val="Subsection"/>
      </w:pPr>
      <w:r>
        <w:tab/>
      </w:r>
      <w:r>
        <w:tab/>
        <w:t xml:space="preserve">In this Division — </w:t>
      </w:r>
    </w:p>
    <w:p w:rsidR="006724FB" w:rsidRDefault="006724FB">
      <w:pPr>
        <w:pStyle w:val="Defstart"/>
      </w:pPr>
      <w:r>
        <w:tab/>
      </w:r>
      <w:r>
        <w:rPr>
          <w:rStyle w:val="CharDefText"/>
        </w:rPr>
        <w:t>consulting officer</w:t>
      </w:r>
      <w:r>
        <w:t xml:space="preserve"> has the meaning given in section 78(4);</w:t>
      </w:r>
    </w:p>
    <w:p w:rsidR="006724FB" w:rsidRDefault="006724FB">
      <w:pPr>
        <w:pStyle w:val="Defstart"/>
      </w:pPr>
      <w:r>
        <w:tab/>
      </w:r>
      <w:r>
        <w:rPr>
          <w:rStyle w:val="CharDefText"/>
        </w:rPr>
        <w:t>improvement notice</w:t>
      </w:r>
      <w:r>
        <w:t xml:space="preserve"> has the meaning given in section 77;</w:t>
      </w:r>
    </w:p>
    <w:p w:rsidR="006724FB" w:rsidRDefault="006724FB">
      <w:pPr>
        <w:pStyle w:val="Defstart"/>
      </w:pPr>
      <w:r>
        <w:tab/>
      </w:r>
      <w:r>
        <w:rPr>
          <w:rStyle w:val="CharDefText"/>
        </w:rPr>
        <w:t>improvement notice reviewable decision</w:t>
      </w:r>
      <w:r>
        <w:t xml:space="preserve"> means a decision — </w:t>
      </w:r>
    </w:p>
    <w:p w:rsidR="006724FB" w:rsidRDefault="006724FB">
      <w:pPr>
        <w:pStyle w:val="Defpara"/>
      </w:pPr>
      <w:r>
        <w:tab/>
        <w:t>(a)</w:t>
      </w:r>
      <w:r>
        <w:tab/>
        <w:t>under section 78(1) or (2) to give an improvement notice; or</w:t>
      </w:r>
    </w:p>
    <w:p w:rsidR="006724FB" w:rsidRDefault="006724FB">
      <w:pPr>
        <w:pStyle w:val="Defpara"/>
      </w:pPr>
      <w:r>
        <w:tab/>
        <w:t>(b)</w:t>
      </w:r>
      <w:r>
        <w:tab/>
        <w:t>under section 81(1) or (2) to amend an improvement notice.</w:t>
      </w:r>
    </w:p>
    <w:p w:rsidR="006724FB" w:rsidRDefault="006724FB">
      <w:pPr>
        <w:pStyle w:val="Heading5"/>
      </w:pPr>
      <w:bookmarkStart w:id="961" w:name="_Toc75876152"/>
      <w:r>
        <w:rPr>
          <w:rStyle w:val="CharSectno"/>
        </w:rPr>
        <w:t>482</w:t>
      </w:r>
      <w:r>
        <w:t>.</w:t>
      </w:r>
      <w:r>
        <w:tab/>
        <w:t>Content of improvement notices, notices of amendment of improvement notices</w:t>
      </w:r>
      <w:bookmarkEnd w:id="961"/>
    </w:p>
    <w:p w:rsidR="006724FB" w:rsidRDefault="006724FB">
      <w:pPr>
        <w:pStyle w:val="Subsection"/>
      </w:pPr>
      <w:r>
        <w:tab/>
        <w:t>(1)</w:t>
      </w:r>
      <w:r>
        <w:tab/>
        <w:t xml:space="preserve">In addition to the matters set out in section 79, an improvement notice must — </w:t>
      </w:r>
    </w:p>
    <w:p w:rsidR="006724FB" w:rsidRDefault="006724FB">
      <w:pPr>
        <w:pStyle w:val="Indenta"/>
      </w:pPr>
      <w:r>
        <w:tab/>
        <w:t>(a)</w:t>
      </w:r>
      <w:r>
        <w:tab/>
        <w:t>state whether or not a discussion with a consulting officer took place under section 78(3); and</w:t>
      </w:r>
    </w:p>
    <w:p w:rsidR="006724FB" w:rsidRDefault="006724FB">
      <w:pPr>
        <w:pStyle w:val="Indenta"/>
      </w:pPr>
      <w:r>
        <w:lastRenderedPageBreak/>
        <w:tab/>
        <w:t>(b)</w:t>
      </w:r>
      <w:r>
        <w:tab/>
        <w:t>if a discussion with a consulting officer did not take place, specify if, and what, attempts were made to contact a consulting officer; and</w:t>
      </w:r>
    </w:p>
    <w:p w:rsidR="006724FB" w:rsidRDefault="006724FB">
      <w:pPr>
        <w:pStyle w:val="Indenta"/>
      </w:pPr>
      <w:r>
        <w:tab/>
        <w:t>(c)</w:t>
      </w:r>
      <w:r>
        <w:tab/>
        <w:t>state that the improvement notice may be cancelled under section 82(1) or (2); and</w:t>
      </w:r>
    </w:p>
    <w:p w:rsidR="006724FB" w:rsidRDefault="006724FB">
      <w:pPr>
        <w:pStyle w:val="Indenta"/>
      </w:pPr>
      <w:r>
        <w:tab/>
        <w:t>(d)</w:t>
      </w:r>
      <w:r>
        <w:tab/>
        <w:t xml:space="preserve">advise the person to be given the notice that — </w:t>
      </w:r>
    </w:p>
    <w:p w:rsidR="006724FB" w:rsidRDefault="006724FB">
      <w:pPr>
        <w:pStyle w:val="Indenti"/>
      </w:pPr>
      <w:r>
        <w:tab/>
        <w:t>(i)</w:t>
      </w:r>
      <w:r>
        <w:tab/>
        <w:t>under regulation 483, the person may request a consulting officer to reconsider the improvement notice reviewable decision; and</w:t>
      </w:r>
    </w:p>
    <w:p w:rsidR="006724FB" w:rsidRDefault="006724FB">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rsidR="006724FB" w:rsidRDefault="006724FB">
      <w:pPr>
        <w:pStyle w:val="Subsection"/>
      </w:pPr>
      <w:r>
        <w:tab/>
        <w:t>(2)</w:t>
      </w:r>
      <w:r>
        <w:tab/>
        <w:t xml:space="preserve">In addition to the matters set out in section 81(5), notice of an amendment of an improvement notice must inform the person to be given the notice that — </w:t>
      </w:r>
    </w:p>
    <w:p w:rsidR="006724FB" w:rsidRDefault="006724FB">
      <w:pPr>
        <w:pStyle w:val="Indenta"/>
      </w:pPr>
      <w:r>
        <w:tab/>
        <w:t>(a)</w:t>
      </w:r>
      <w:r>
        <w:tab/>
        <w:t>under regulation 483, the person may request a consulting officer to reconsider the improvement notice reviewable decision; and</w:t>
      </w:r>
    </w:p>
    <w:p w:rsidR="006724FB" w:rsidRDefault="006724FB">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rsidR="006724FB" w:rsidRDefault="006724FB">
      <w:pPr>
        <w:pStyle w:val="Heading5"/>
      </w:pPr>
      <w:bookmarkStart w:id="962" w:name="_Toc75876153"/>
      <w:r>
        <w:rPr>
          <w:rStyle w:val="CharSectno"/>
        </w:rPr>
        <w:t>483</w:t>
      </w:r>
      <w:r>
        <w:t>.</w:t>
      </w:r>
      <w:r>
        <w:tab/>
        <w:t>Reconsideration of improvement notice reviewable decisions</w:t>
      </w:r>
      <w:bookmarkEnd w:id="962"/>
    </w:p>
    <w:p w:rsidR="006724FB" w:rsidRDefault="006724FB">
      <w:pPr>
        <w:pStyle w:val="Subsection"/>
      </w:pPr>
      <w:r>
        <w:tab/>
        <w:t>(1)</w:t>
      </w:r>
      <w:r>
        <w:tab/>
        <w:t>A person affected by an improvement notice reviewable decision may request a consulting officer in writing to reconsider the decision.</w:t>
      </w:r>
    </w:p>
    <w:p w:rsidR="006724FB" w:rsidRDefault="006724FB">
      <w:pPr>
        <w:pStyle w:val="Subsection"/>
        <w:keepNext/>
      </w:pPr>
      <w:r>
        <w:lastRenderedPageBreak/>
        <w:tab/>
        <w:t>(2)</w:t>
      </w:r>
      <w:r>
        <w:tab/>
        <w:t xml:space="preserve">The request must be made within — </w:t>
      </w:r>
    </w:p>
    <w:p w:rsidR="006724FB" w:rsidRDefault="006724FB">
      <w:pPr>
        <w:pStyle w:val="Indenta"/>
      </w:pPr>
      <w:r>
        <w:tab/>
        <w:t>(a)</w:t>
      </w:r>
      <w:r>
        <w:tab/>
        <w:t>28 days after receipt of the notice under section 78 or 81; or</w:t>
      </w:r>
    </w:p>
    <w:p w:rsidR="006724FB" w:rsidRDefault="006724FB">
      <w:pPr>
        <w:pStyle w:val="Indenta"/>
      </w:pPr>
      <w:r>
        <w:tab/>
        <w:t>(b)</w:t>
      </w:r>
      <w:r>
        <w:tab/>
        <w:t>a longer period that is allowed by a consulting officer.</w:t>
      </w:r>
    </w:p>
    <w:p w:rsidR="006724FB" w:rsidRDefault="006724FB">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rsidR="006724FB" w:rsidRDefault="006724FB">
      <w:pPr>
        <w:pStyle w:val="Subsection"/>
      </w:pPr>
      <w:r>
        <w:tab/>
        <w:t>(4)</w:t>
      </w:r>
      <w:r>
        <w:tab/>
        <w:t xml:space="preserve">Within 28 days after receiving the request, a consulting officer must reconsider the improvement notice reviewable decision and — </w:t>
      </w:r>
    </w:p>
    <w:p w:rsidR="006724FB" w:rsidRDefault="006724FB">
      <w:pPr>
        <w:pStyle w:val="Indenta"/>
      </w:pPr>
      <w:r>
        <w:tab/>
        <w:t>(a)</w:t>
      </w:r>
      <w:r>
        <w:tab/>
        <w:t>confirm the decision; or</w:t>
      </w:r>
    </w:p>
    <w:p w:rsidR="006724FB" w:rsidRDefault="006724FB">
      <w:pPr>
        <w:pStyle w:val="Indenta"/>
      </w:pPr>
      <w:r>
        <w:tab/>
        <w:t>(b)</w:t>
      </w:r>
      <w:r>
        <w:tab/>
        <w:t>amend the decision; or</w:t>
      </w:r>
    </w:p>
    <w:p w:rsidR="006724FB" w:rsidRDefault="006724FB">
      <w:pPr>
        <w:pStyle w:val="Indenta"/>
      </w:pPr>
      <w:r>
        <w:tab/>
        <w:t>(c)</w:t>
      </w:r>
      <w:r>
        <w:tab/>
        <w:t>set aside the decision and substitute a new decision.</w:t>
      </w:r>
    </w:p>
    <w:p w:rsidR="006724FB" w:rsidRDefault="006724FB">
      <w:pPr>
        <w:pStyle w:val="Subsection"/>
      </w:pPr>
      <w:r>
        <w:tab/>
        <w:t>(5)</w:t>
      </w:r>
      <w:r>
        <w:tab/>
        <w:t xml:space="preserve">The consulting officer must, in writing, inform the affected person — </w:t>
      </w:r>
    </w:p>
    <w:p w:rsidR="006724FB" w:rsidRDefault="006724FB">
      <w:pPr>
        <w:pStyle w:val="Indenta"/>
      </w:pPr>
      <w:r>
        <w:tab/>
        <w:t>(a)</w:t>
      </w:r>
      <w:r>
        <w:tab/>
        <w:t>of the result of the reconsideration; and</w:t>
      </w:r>
    </w:p>
    <w:p w:rsidR="006724FB" w:rsidRDefault="006724FB">
      <w:pPr>
        <w:pStyle w:val="Indenta"/>
      </w:pPr>
      <w:r>
        <w:tab/>
        <w:t>(b)</w:t>
      </w:r>
      <w:r>
        <w:tab/>
        <w:t xml:space="preserve">if the consulting officer does not make the decision sought by the person — </w:t>
      </w:r>
    </w:p>
    <w:p w:rsidR="006724FB" w:rsidRDefault="006724FB">
      <w:pPr>
        <w:pStyle w:val="Indenti"/>
      </w:pPr>
      <w:r>
        <w:tab/>
        <w:t>(i)</w:t>
      </w:r>
      <w:r>
        <w:tab/>
        <w:t>of the reasons for the decision made on reconsidering the improvement notice reviewable decision; and</w:t>
      </w:r>
    </w:p>
    <w:p w:rsidR="006724FB" w:rsidRDefault="006724FB">
      <w:pPr>
        <w:pStyle w:val="Indenti"/>
        <w:rPr>
          <w:rStyle w:val="DraftersNotes"/>
        </w:rPr>
      </w:pPr>
      <w:r>
        <w:tab/>
        <w:t>(ii)</w:t>
      </w:r>
      <w:r>
        <w:tab/>
        <w:t>that the person may apply to the State Administrative Tribunal for a review of the decision made on reconsidering the improvement notice reviewable decision.</w:t>
      </w:r>
    </w:p>
    <w:p w:rsidR="006724FB" w:rsidRDefault="006724FB">
      <w:pPr>
        <w:pStyle w:val="Heading2"/>
        <w:rPr>
          <w:b w:val="0"/>
        </w:rPr>
      </w:pPr>
      <w:bookmarkStart w:id="963" w:name="_Toc75420230"/>
      <w:bookmarkStart w:id="964" w:name="_Toc75427566"/>
      <w:bookmarkStart w:id="965" w:name="_Toc75872982"/>
      <w:bookmarkStart w:id="966" w:name="_Toc75876154"/>
      <w:r>
        <w:rPr>
          <w:rStyle w:val="CharPartNo"/>
        </w:rPr>
        <w:lastRenderedPageBreak/>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963"/>
      <w:bookmarkEnd w:id="964"/>
      <w:bookmarkEnd w:id="965"/>
      <w:bookmarkEnd w:id="966"/>
    </w:p>
    <w:p w:rsidR="006724FB" w:rsidRDefault="006724FB">
      <w:pPr>
        <w:pStyle w:val="Heading5"/>
      </w:pPr>
      <w:bookmarkStart w:id="967" w:name="_Toc75876155"/>
      <w:r>
        <w:rPr>
          <w:rStyle w:val="CharSectno"/>
        </w:rPr>
        <w:t>484</w:t>
      </w:r>
      <w:r>
        <w:t>.</w:t>
      </w:r>
      <w:r>
        <w:tab/>
        <w:t>Term used: commencement day</w:t>
      </w:r>
      <w:bookmarkEnd w:id="967"/>
    </w:p>
    <w:p w:rsidR="006724FB" w:rsidRDefault="006724FB">
      <w:pPr>
        <w:pStyle w:val="Subsection"/>
      </w:pPr>
      <w:r>
        <w:tab/>
      </w:r>
      <w:r>
        <w:tab/>
        <w:t xml:space="preserve">In this Part — </w:t>
      </w:r>
    </w:p>
    <w:p w:rsidR="006724FB" w:rsidRDefault="006724FB">
      <w:pPr>
        <w:pStyle w:val="Defstart"/>
      </w:pPr>
      <w:r>
        <w:tab/>
      </w:r>
      <w:r>
        <w:rPr>
          <w:rStyle w:val="CharDefText"/>
        </w:rPr>
        <w:t>commencement day</w:t>
      </w:r>
      <w:r>
        <w:t xml:space="preserve"> means the day fixed under the </w:t>
      </w:r>
      <w:r>
        <w:rPr>
          <w:i/>
        </w:rPr>
        <w:t xml:space="preserve">Road Traffic (Administration) Act 2008 </w:t>
      </w:r>
      <w:r>
        <w:t>section 2(b).</w:t>
      </w:r>
    </w:p>
    <w:p w:rsidR="006724FB" w:rsidRDefault="006724FB">
      <w:pPr>
        <w:pStyle w:val="Heading5"/>
      </w:pPr>
      <w:bookmarkStart w:id="968" w:name="_Toc75876156"/>
      <w:r>
        <w:rPr>
          <w:rStyle w:val="CharSectno"/>
        </w:rPr>
        <w:t>485</w:t>
      </w:r>
      <w:r>
        <w:t>.</w:t>
      </w:r>
      <w:r>
        <w:tab/>
        <w:t>Application for permits for unlicensed vehicles</w:t>
      </w:r>
      <w:bookmarkEnd w:id="968"/>
    </w:p>
    <w:p w:rsidR="006724FB" w:rsidRDefault="006724FB">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rsidR="006724FB" w:rsidRDefault="006724FB">
      <w:pPr>
        <w:pStyle w:val="Heading5"/>
      </w:pPr>
      <w:bookmarkStart w:id="969" w:name="_Toc75876157"/>
      <w:r>
        <w:rPr>
          <w:rStyle w:val="CharSectno"/>
        </w:rPr>
        <w:t>486</w:t>
      </w:r>
      <w:r>
        <w:t>.</w:t>
      </w:r>
      <w:r>
        <w:tab/>
        <w:t>Permit documents</w:t>
      </w:r>
      <w:bookmarkEnd w:id="969"/>
    </w:p>
    <w:p w:rsidR="006724FB" w:rsidRDefault="006724FB">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rsidR="006724FB" w:rsidRDefault="006724FB">
      <w:pPr>
        <w:pStyle w:val="Heading5"/>
      </w:pPr>
      <w:bookmarkStart w:id="970" w:name="_Toc75876158"/>
      <w:r>
        <w:rPr>
          <w:rStyle w:val="CharSectno"/>
        </w:rPr>
        <w:t>487</w:t>
      </w:r>
      <w:r>
        <w:t>.</w:t>
      </w:r>
      <w:r>
        <w:tab/>
        <w:t>Authorisations to carry goods other than stock</w:t>
      </w:r>
      <w:bookmarkEnd w:id="970"/>
    </w:p>
    <w:p w:rsidR="006724FB" w:rsidRDefault="006724FB">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rsidR="006724FB" w:rsidRDefault="006724FB">
      <w:pPr>
        <w:pStyle w:val="Heading5"/>
      </w:pPr>
      <w:bookmarkStart w:id="971" w:name="_Toc75876159"/>
      <w:r>
        <w:rPr>
          <w:rStyle w:val="CharSectno"/>
        </w:rPr>
        <w:t>488</w:t>
      </w:r>
      <w:r>
        <w:t>.</w:t>
      </w:r>
      <w:r>
        <w:tab/>
        <w:t>Number plate non</w:t>
      </w:r>
      <w:r>
        <w:noBreakHyphen/>
        <w:t>reflective film, cover</w:t>
      </w:r>
      <w:bookmarkEnd w:id="971"/>
    </w:p>
    <w:p w:rsidR="006724FB" w:rsidRDefault="006724FB">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rsidR="006724FB" w:rsidRDefault="006724FB">
      <w:pPr>
        <w:pStyle w:val="Ednotesection"/>
      </w:pPr>
      <w:r>
        <w:lastRenderedPageBreak/>
        <w:t>[</w:t>
      </w:r>
      <w:r>
        <w:rPr>
          <w:b/>
        </w:rPr>
        <w:t>489, 490.</w:t>
      </w:r>
      <w:r>
        <w:tab/>
        <w:t>Deleted: Gazette 24 Jun 2016 p. 2343.]</w:t>
      </w:r>
    </w:p>
    <w:p w:rsidR="006724FB" w:rsidRDefault="006724FB">
      <w:pPr>
        <w:pStyle w:val="Heading5"/>
      </w:pPr>
      <w:bookmarkStart w:id="972" w:name="_Toc75876160"/>
      <w:r>
        <w:rPr>
          <w:rStyle w:val="CharSectno"/>
        </w:rPr>
        <w:t>491</w:t>
      </w:r>
      <w:r>
        <w:t>.</w:t>
      </w:r>
      <w:r>
        <w:tab/>
        <w:t>Written</w:t>
      </w:r>
      <w:r>
        <w:noBreakHyphen/>
        <w:t>off vehicles</w:t>
      </w:r>
      <w:bookmarkEnd w:id="972"/>
    </w:p>
    <w:p w:rsidR="006724FB" w:rsidRDefault="006724FB">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rsidR="006724FB" w:rsidRDefault="006724FB">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rsidR="006724FB" w:rsidRDefault="006724FB">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rsidR="006724FB" w:rsidRDefault="006724FB">
      <w:pPr>
        <w:pStyle w:val="Heading5"/>
      </w:pPr>
      <w:bookmarkStart w:id="973" w:name="_Toc75876161"/>
      <w:r>
        <w:rPr>
          <w:rStyle w:val="CharSectno"/>
        </w:rPr>
        <w:t>492</w:t>
      </w:r>
      <w:r>
        <w:t>.</w:t>
      </w:r>
      <w:r>
        <w:tab/>
        <w:t>RAV notices or RAV permits to have effect as orders or permits by which mass or dimension requirements modified</w:t>
      </w:r>
      <w:bookmarkEnd w:id="973"/>
    </w:p>
    <w:p w:rsidR="006724FB" w:rsidRDefault="006724FB">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rsidR="006724FB" w:rsidRDefault="006724FB">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rsidR="006724FB" w:rsidRDefault="006724FB">
      <w:pPr>
        <w:pStyle w:val="Subsection"/>
      </w:pPr>
      <w:r>
        <w:tab/>
        <w:t>(3)</w:t>
      </w:r>
      <w:r>
        <w:tab/>
        <w:t>Subreglation (2) is subject to section 149.</w:t>
      </w:r>
    </w:p>
    <w:p w:rsidR="006724FB" w:rsidRDefault="006724FB">
      <w:pPr>
        <w:pStyle w:val="Subsection"/>
      </w:pPr>
      <w:r>
        <w:lastRenderedPageBreak/>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rsidR="006724FB" w:rsidRDefault="006724FB">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rsidR="006724FB" w:rsidRDefault="006724FB">
      <w:pPr>
        <w:pStyle w:val="Heading5"/>
      </w:pPr>
      <w:bookmarkStart w:id="974" w:name="_Toc75876162"/>
      <w:r>
        <w:rPr>
          <w:rStyle w:val="CharSectno"/>
        </w:rPr>
        <w:t>493</w:t>
      </w:r>
      <w:r>
        <w:t>.</w:t>
      </w:r>
      <w:r>
        <w:tab/>
        <w:t>Class 2 notices or permits to have effect as orders or permits by which access approvals given</w:t>
      </w:r>
      <w:bookmarkEnd w:id="974"/>
    </w:p>
    <w:p w:rsidR="006724FB" w:rsidRDefault="006724FB">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rsidR="006724FB" w:rsidRDefault="006724FB">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rsidR="006724FB" w:rsidRDefault="006724FB">
      <w:pPr>
        <w:pStyle w:val="Heading5"/>
      </w:pPr>
      <w:bookmarkStart w:id="975" w:name="_Toc75876163"/>
      <w:r>
        <w:rPr>
          <w:rStyle w:val="CharSectno"/>
        </w:rPr>
        <w:t>494</w:t>
      </w:r>
      <w:r>
        <w:t>.</w:t>
      </w:r>
      <w:r>
        <w:tab/>
        <w:t>Accreditation</w:t>
      </w:r>
      <w:bookmarkEnd w:id="975"/>
    </w:p>
    <w:p w:rsidR="006724FB" w:rsidRDefault="006724FB">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rsidR="006724FB" w:rsidRDefault="006724FB">
      <w:pPr>
        <w:pStyle w:val="Heading5"/>
      </w:pPr>
      <w:bookmarkStart w:id="976" w:name="_Toc75876164"/>
      <w:r>
        <w:rPr>
          <w:rStyle w:val="CharSectno"/>
        </w:rPr>
        <w:lastRenderedPageBreak/>
        <w:t>495</w:t>
      </w:r>
      <w:r>
        <w:t>.</w:t>
      </w:r>
      <w:r>
        <w:tab/>
        <w:t>Emergency vehicles, transport enforcement vehicles</w:t>
      </w:r>
      <w:bookmarkEnd w:id="976"/>
    </w:p>
    <w:p w:rsidR="006724FB" w:rsidRDefault="006724FB">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rsidR="006724FB" w:rsidRDefault="006724FB">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rsidR="006724FB" w:rsidRDefault="006724FB">
      <w:pPr>
        <w:pStyle w:val="Heading5"/>
      </w:pPr>
      <w:bookmarkStart w:id="977" w:name="_Toc75876165"/>
      <w:r>
        <w:rPr>
          <w:rStyle w:val="CharSectno"/>
        </w:rPr>
        <w:t>496</w:t>
      </w:r>
      <w:r>
        <w:t>.</w:t>
      </w:r>
      <w:r>
        <w:tab/>
        <w:t>Tow truck crane certificates</w:t>
      </w:r>
      <w:bookmarkEnd w:id="977"/>
    </w:p>
    <w:p w:rsidR="006724FB" w:rsidRDefault="006724FB">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rsidR="006724FB" w:rsidRDefault="006724FB">
      <w:pPr>
        <w:pStyle w:val="Heading5"/>
      </w:pPr>
      <w:bookmarkStart w:id="978" w:name="_Toc75876166"/>
      <w:r>
        <w:rPr>
          <w:rStyle w:val="CharSectno"/>
        </w:rPr>
        <w:t>497</w:t>
      </w:r>
      <w:r>
        <w:t>.</w:t>
      </w:r>
      <w:r>
        <w:tab/>
        <w:t>Gate to gate towing</w:t>
      </w:r>
      <w:bookmarkEnd w:id="978"/>
    </w:p>
    <w:p w:rsidR="006724FB" w:rsidRDefault="006724FB">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rsidR="006724FB" w:rsidRDefault="006724FB">
      <w:pPr>
        <w:pStyle w:val="Heading5"/>
      </w:pPr>
      <w:bookmarkStart w:id="979" w:name="_Toc75876167"/>
      <w:r>
        <w:rPr>
          <w:rStyle w:val="CharSectno"/>
        </w:rPr>
        <w:t>498</w:t>
      </w:r>
      <w:r>
        <w:t>.</w:t>
      </w:r>
      <w:r>
        <w:tab/>
        <w:t>Approval to use oversize agricultural combinations on metropolitan roads</w:t>
      </w:r>
      <w:bookmarkEnd w:id="979"/>
    </w:p>
    <w:p w:rsidR="006724FB" w:rsidRDefault="006724FB">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rsidR="006724FB" w:rsidRDefault="006724FB">
      <w:pPr>
        <w:pStyle w:val="Heading5"/>
      </w:pPr>
      <w:bookmarkStart w:id="980" w:name="_Toc75876168"/>
      <w:r>
        <w:rPr>
          <w:rStyle w:val="CharSectno"/>
        </w:rPr>
        <w:lastRenderedPageBreak/>
        <w:t>499</w:t>
      </w:r>
      <w:r>
        <w:t>.</w:t>
      </w:r>
      <w:r>
        <w:tab/>
        <w:t>Permissions to move excessively high agricultural combinations</w:t>
      </w:r>
      <w:bookmarkEnd w:id="980"/>
    </w:p>
    <w:p w:rsidR="006724FB" w:rsidRDefault="006724FB">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rsidR="006724FB" w:rsidRDefault="006724FB">
      <w:pPr>
        <w:pStyle w:val="Heading5"/>
      </w:pPr>
      <w:bookmarkStart w:id="981" w:name="_Toc75876169"/>
      <w:r>
        <w:rPr>
          <w:rStyle w:val="CharSectno"/>
        </w:rPr>
        <w:t>500</w:t>
      </w:r>
      <w:r>
        <w:t>.</w:t>
      </w:r>
      <w:r>
        <w:tab/>
        <w:t>Permits to move excessively wide or long agricultural combinations</w:t>
      </w:r>
      <w:bookmarkEnd w:id="981"/>
    </w:p>
    <w:p w:rsidR="006724FB" w:rsidRDefault="006724FB">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rsidR="006724FB" w:rsidRDefault="006724FB">
      <w:pPr>
        <w:pStyle w:val="Heading5"/>
      </w:pPr>
      <w:bookmarkStart w:id="982" w:name="_Toc75876170"/>
      <w:r>
        <w:rPr>
          <w:rStyle w:val="CharSectno"/>
        </w:rPr>
        <w:t>501</w:t>
      </w:r>
      <w:r>
        <w:t>.</w:t>
      </w:r>
      <w:r>
        <w:tab/>
        <w:t>Permits to move agricultural combinations</w:t>
      </w:r>
      <w:bookmarkEnd w:id="982"/>
    </w:p>
    <w:p w:rsidR="006724FB" w:rsidRDefault="006724FB">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rsidR="006724FB" w:rsidRDefault="006724FB">
      <w:pPr>
        <w:pStyle w:val="Heading5"/>
      </w:pPr>
      <w:bookmarkStart w:id="983" w:name="_Toc75876171"/>
      <w:r>
        <w:rPr>
          <w:rStyle w:val="CharSectno"/>
        </w:rPr>
        <w:t>502</w:t>
      </w:r>
      <w:r>
        <w:t>.</w:t>
      </w:r>
      <w:r>
        <w:tab/>
        <w:t>Agricultural implement exemptions</w:t>
      </w:r>
      <w:bookmarkEnd w:id="983"/>
    </w:p>
    <w:p w:rsidR="006724FB" w:rsidRDefault="006724FB">
      <w:pPr>
        <w:pStyle w:val="Subsection"/>
      </w:pPr>
      <w:r>
        <w:tab/>
        <w:t>(1)</w:t>
      </w:r>
      <w:r>
        <w:tab/>
        <w:t xml:space="preserve">In this regulation — </w:t>
      </w:r>
    </w:p>
    <w:p w:rsidR="006724FB" w:rsidRDefault="006724FB">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rsidR="006724FB" w:rsidRDefault="006724FB">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xml:space="preserve">), that was in effect immediately before commencement day must, on and from commencement day, be taken to be an exemption granted by the CEO under </w:t>
      </w:r>
      <w:r>
        <w:lastRenderedPageBreak/>
        <w:t>regulation 462(1) of these regulations exempting the agricultural implement from the provision of Part 13 Division 2 (other than regulation 434 or 435) of these regulations that corresponds to the former provision, on the same conditions as the AI exemption.</w:t>
      </w:r>
    </w:p>
    <w:p w:rsidR="006724FB" w:rsidRDefault="006724FB">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rsidR="006724FB" w:rsidRDefault="006724FB">
      <w:pPr>
        <w:pStyle w:val="Heading5"/>
      </w:pPr>
      <w:bookmarkStart w:id="984" w:name="_Toc75876172"/>
      <w:r>
        <w:rPr>
          <w:rStyle w:val="CharSectno"/>
        </w:rPr>
        <w:t>503</w:t>
      </w:r>
      <w:r>
        <w:t>.</w:t>
      </w:r>
      <w:r>
        <w:tab/>
        <w:t>SAT reviews of certain vehicle licensing decisions</w:t>
      </w:r>
      <w:bookmarkEnd w:id="984"/>
    </w:p>
    <w:p w:rsidR="006724FB" w:rsidRDefault="006724FB">
      <w:pPr>
        <w:pStyle w:val="Subsection"/>
        <w:spacing w:before="100"/>
      </w:pPr>
      <w:r>
        <w:tab/>
        <w:t>(1)</w:t>
      </w:r>
      <w:r>
        <w:tab/>
        <w:t xml:space="preserve">In this regulation — </w:t>
      </w:r>
    </w:p>
    <w:p w:rsidR="006724FB" w:rsidRDefault="006724FB">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rsidR="006724FB" w:rsidRDefault="006724FB">
      <w:pPr>
        <w:pStyle w:val="Subsection"/>
        <w:spacing w:before="100"/>
      </w:pPr>
      <w:r>
        <w:tab/>
        <w:t>(2)</w:t>
      </w:r>
      <w:r>
        <w:tab/>
        <w:t xml:space="preserve">Without affecting the </w:t>
      </w:r>
      <w:r>
        <w:rPr>
          <w:i/>
        </w:rPr>
        <w:t>Interpretation Act 1984</w:t>
      </w:r>
      <w:r>
        <w:t xml:space="preserve"> section 37(1) — </w:t>
      </w:r>
    </w:p>
    <w:p w:rsidR="006724FB" w:rsidRDefault="006724FB">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rsidR="006724FB" w:rsidRDefault="006724FB">
      <w:pPr>
        <w:pStyle w:val="Indenta"/>
      </w:pPr>
      <w:r>
        <w:tab/>
        <w:t>(b)</w:t>
      </w:r>
      <w:r>
        <w:tab/>
        <w:t>any review that had started, but was not finalised, before commencement day must be dealt with as if former section 25(1) were still in operation.</w:t>
      </w:r>
    </w:p>
    <w:p w:rsidR="006724FB" w:rsidRDefault="006724FB">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rsidR="006724FB" w:rsidRDefault="006724FB">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rsidR="006724FB" w:rsidRDefault="006724FB">
      <w:pPr>
        <w:pStyle w:val="Heading5"/>
      </w:pPr>
      <w:bookmarkStart w:id="985" w:name="_Toc75876173"/>
      <w:r>
        <w:rPr>
          <w:rStyle w:val="CharSectno"/>
        </w:rPr>
        <w:lastRenderedPageBreak/>
        <w:t>504</w:t>
      </w:r>
      <w:r>
        <w:t>.</w:t>
      </w:r>
      <w:r>
        <w:tab/>
        <w:t>Ministerial exemptions</w:t>
      </w:r>
      <w:bookmarkEnd w:id="985"/>
    </w:p>
    <w:p w:rsidR="006724FB" w:rsidRDefault="006724FB">
      <w:pPr>
        <w:pStyle w:val="Subsection"/>
      </w:pPr>
      <w:r>
        <w:tab/>
        <w:t>(1)</w:t>
      </w:r>
      <w:r>
        <w:tab/>
        <w:t xml:space="preserve">In this regulation — </w:t>
      </w:r>
    </w:p>
    <w:p w:rsidR="006724FB" w:rsidRDefault="006724FB">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rsidR="006724FB" w:rsidRDefault="006724FB">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rsidR="006724FB" w:rsidRDefault="006724FB">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rsidR="006724FB" w:rsidRDefault="006724FB">
      <w:pPr>
        <w:pStyle w:val="Heading5"/>
      </w:pPr>
      <w:bookmarkStart w:id="986" w:name="_Toc75876174"/>
      <w:r>
        <w:rPr>
          <w:rStyle w:val="CharSectno"/>
        </w:rPr>
        <w:t>505</w:t>
      </w:r>
      <w:r>
        <w:t>.</w:t>
      </w:r>
      <w:r>
        <w:tab/>
        <w:t>Departmental exemptions</w:t>
      </w:r>
      <w:bookmarkEnd w:id="986"/>
    </w:p>
    <w:p w:rsidR="006724FB" w:rsidRDefault="006724FB">
      <w:pPr>
        <w:pStyle w:val="Subsection"/>
      </w:pPr>
      <w:r>
        <w:tab/>
        <w:t>(1)</w:t>
      </w:r>
      <w:r>
        <w:tab/>
        <w:t xml:space="preserve">In this regulation — </w:t>
      </w:r>
    </w:p>
    <w:p w:rsidR="006724FB" w:rsidRDefault="006724FB">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rsidR="006724FB" w:rsidRDefault="006724FB">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 xml:space="preserve">or of these regulations that corresponds to </w:t>
      </w:r>
      <w:r>
        <w:lastRenderedPageBreak/>
        <w:t>the former provision, on the same conditions as the departmental exemption.</w:t>
      </w:r>
    </w:p>
    <w:p w:rsidR="006724FB" w:rsidRDefault="006724FB">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rsidR="006724FB" w:rsidRDefault="006724FB">
      <w:pPr>
        <w:pStyle w:val="Heading5"/>
      </w:pPr>
      <w:bookmarkStart w:id="987" w:name="_Toc75876175"/>
      <w:r>
        <w:rPr>
          <w:rStyle w:val="CharSectno"/>
        </w:rPr>
        <w:t>506</w:t>
      </w:r>
      <w:r>
        <w:t>.</w:t>
      </w:r>
      <w:r>
        <w:tab/>
        <w:t>Magistrates Court reviews of reconsidered decisions about departmental exemptions</w:t>
      </w:r>
      <w:bookmarkEnd w:id="987"/>
    </w:p>
    <w:p w:rsidR="006724FB" w:rsidRDefault="006724FB">
      <w:pPr>
        <w:pStyle w:val="Subsection"/>
        <w:spacing w:before="100"/>
      </w:pPr>
      <w:r>
        <w:tab/>
        <w:t>(1)</w:t>
      </w:r>
      <w:r>
        <w:tab/>
        <w:t xml:space="preserve">In this regulation — </w:t>
      </w:r>
    </w:p>
    <w:p w:rsidR="006724FB" w:rsidRDefault="006724FB">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rsidR="006724FB" w:rsidRDefault="006724FB">
      <w:pPr>
        <w:pStyle w:val="Subsection"/>
      </w:pPr>
      <w:r>
        <w:tab/>
        <w:t>(2)</w:t>
      </w:r>
      <w:r>
        <w:tab/>
        <w:t xml:space="preserve">Without affecting the </w:t>
      </w:r>
      <w:r>
        <w:rPr>
          <w:i/>
        </w:rPr>
        <w:t>Interpretation Act 1984</w:t>
      </w:r>
      <w:r>
        <w:t xml:space="preserve"> section 37(1) — </w:t>
      </w:r>
    </w:p>
    <w:p w:rsidR="006724FB" w:rsidRDefault="006724FB">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rsidR="006724FB" w:rsidRDefault="006724FB">
      <w:pPr>
        <w:pStyle w:val="Indenta"/>
      </w:pPr>
      <w:r>
        <w:tab/>
        <w:t>(b)</w:t>
      </w:r>
      <w:r>
        <w:tab/>
        <w:t>any review that had started, but was not finalised, before commencement day must be dealt with as if former regulation 60 were still in operation.</w:t>
      </w:r>
    </w:p>
    <w:p w:rsidR="006724FB" w:rsidRDefault="006724FB">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rsidR="006724FB" w:rsidRDefault="006724FB">
      <w:pPr>
        <w:pStyle w:val="Heading5"/>
      </w:pPr>
      <w:bookmarkStart w:id="988" w:name="_Toc75876176"/>
      <w:r>
        <w:rPr>
          <w:rStyle w:val="CharSectno"/>
        </w:rPr>
        <w:lastRenderedPageBreak/>
        <w:t>507</w:t>
      </w:r>
      <w:r>
        <w:t>.</w:t>
      </w:r>
      <w:r>
        <w:tab/>
        <w:t>Certain vehicle standards approvals</w:t>
      </w:r>
      <w:bookmarkEnd w:id="988"/>
    </w:p>
    <w:p w:rsidR="006724FB" w:rsidRDefault="006724FB">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rsidR="006724FB" w:rsidRDefault="006724FB">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rsidR="006724FB" w:rsidRDefault="006724FB">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rsidR="006724FB" w:rsidRDefault="006724FB">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rsidR="006724FB" w:rsidRDefault="006724FB">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rsidR="006724FB" w:rsidRDefault="006724FB">
      <w:pPr>
        <w:pStyle w:val="Heading2"/>
      </w:pPr>
      <w:bookmarkStart w:id="989" w:name="_Toc75420253"/>
      <w:bookmarkStart w:id="990" w:name="_Toc75427589"/>
      <w:bookmarkStart w:id="991" w:name="_Toc75873005"/>
      <w:bookmarkStart w:id="992" w:name="_Toc75876177"/>
      <w:r>
        <w:rPr>
          <w:rStyle w:val="CharPartNo"/>
        </w:rPr>
        <w:lastRenderedPageBreak/>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989"/>
      <w:bookmarkEnd w:id="990"/>
      <w:bookmarkEnd w:id="991"/>
      <w:bookmarkEnd w:id="992"/>
    </w:p>
    <w:p w:rsidR="006724FB" w:rsidRDefault="006724FB">
      <w:pPr>
        <w:pStyle w:val="Footnoteheading"/>
      </w:pPr>
      <w:r>
        <w:tab/>
        <w:t>[Heading inserted: Gazette 17 May 2016 p. 1440.]</w:t>
      </w:r>
    </w:p>
    <w:p w:rsidR="006724FB" w:rsidRDefault="006724FB">
      <w:pPr>
        <w:pStyle w:val="Heading5"/>
      </w:pPr>
      <w:bookmarkStart w:id="993" w:name="_Toc75876178"/>
      <w:r>
        <w:rPr>
          <w:rStyle w:val="CharSectno"/>
        </w:rPr>
        <w:t>508</w:t>
      </w:r>
      <w:r>
        <w:t>.</w:t>
      </w:r>
      <w:r>
        <w:tab/>
        <w:t>Recording fees</w:t>
      </w:r>
      <w:bookmarkEnd w:id="993"/>
    </w:p>
    <w:p w:rsidR="006724FB" w:rsidRDefault="006724FB">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rsidR="006724FB" w:rsidRDefault="006724FB">
      <w:pPr>
        <w:pStyle w:val="Indenta"/>
      </w:pPr>
      <w:r>
        <w:tab/>
        <w:t>(a)</w:t>
      </w:r>
      <w:r>
        <w:tab/>
        <w:t>the grant of a vehicle licence if that licence is granted before 1 July 2019; and</w:t>
      </w:r>
    </w:p>
    <w:p w:rsidR="006724FB" w:rsidRDefault="006724FB">
      <w:pPr>
        <w:pStyle w:val="Indenta"/>
      </w:pPr>
      <w:r>
        <w:tab/>
        <w:t>(b)</w:t>
      </w:r>
      <w:r>
        <w:tab/>
        <w:t>the renewal of a vehicle licence if, in accordance with these regulations, that renewal has effect, or is to be taken to have effect, on and from a day that precedes 1 July 2019.</w:t>
      </w:r>
    </w:p>
    <w:p w:rsidR="006724FB" w:rsidRDefault="006724FB">
      <w:pPr>
        <w:pStyle w:val="Footnotesection"/>
      </w:pPr>
      <w:r>
        <w:tab/>
        <w:t>[Regulation 508 inserted: Gazette 17 May 2016 p. 1440.]</w:t>
      </w:r>
    </w:p>
    <w:p w:rsidR="006724FB" w:rsidRDefault="006724FB">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724FB" w:rsidRDefault="006724FB">
      <w:pPr>
        <w:pStyle w:val="Subsection"/>
      </w:pPr>
    </w:p>
    <w:p w:rsidR="006724FB" w:rsidRDefault="006724FB">
      <w:pPr>
        <w:sectPr w:rsidR="006724FB">
          <w:headerReference w:type="even" r:id="rId60"/>
          <w:headerReference w:type="default" r:id="rId61"/>
          <w:headerReference w:type="first" r:id="rId62"/>
          <w:pgSz w:w="11907" w:h="16840" w:code="9"/>
          <w:pgMar w:top="2376" w:right="2405" w:bottom="3542" w:left="2405" w:header="706" w:footer="3380" w:gutter="0"/>
          <w:pgNumType w:start="1"/>
          <w:cols w:space="720"/>
          <w:noEndnote/>
          <w:titlePg/>
          <w:docGrid w:linePitch="326"/>
        </w:sectPr>
      </w:pPr>
    </w:p>
    <w:p w:rsidR="006724FB" w:rsidRDefault="006724FB">
      <w:pPr>
        <w:pStyle w:val="nHeading2"/>
      </w:pPr>
      <w:bookmarkStart w:id="994" w:name="_Toc75420255"/>
      <w:bookmarkStart w:id="995" w:name="_Toc75427591"/>
      <w:bookmarkStart w:id="996" w:name="_Toc75873007"/>
      <w:bookmarkStart w:id="997" w:name="_Toc75876179"/>
      <w:r>
        <w:lastRenderedPageBreak/>
        <w:t>Notes</w:t>
      </w:r>
      <w:bookmarkEnd w:id="994"/>
      <w:bookmarkEnd w:id="995"/>
      <w:bookmarkEnd w:id="996"/>
      <w:bookmarkEnd w:id="997"/>
    </w:p>
    <w:p w:rsidR="006724FB" w:rsidRDefault="006724FB">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 </w:t>
      </w:r>
    </w:p>
    <w:p w:rsidR="006724FB" w:rsidRDefault="006724FB">
      <w:pPr>
        <w:pStyle w:val="nHeading3"/>
      </w:pPr>
      <w:bookmarkStart w:id="998" w:name="_Toc75876180"/>
      <w:r>
        <w:t>Compilation table</w:t>
      </w:r>
      <w:bookmarkEnd w:id="99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6724FB">
        <w:trPr>
          <w:tblHeader/>
        </w:trPr>
        <w:tc>
          <w:tcPr>
            <w:tcW w:w="3118" w:type="dxa"/>
          </w:tcPr>
          <w:p w:rsidR="006724FB" w:rsidRDefault="006724FB">
            <w:pPr>
              <w:pStyle w:val="nTable"/>
              <w:spacing w:after="40"/>
              <w:rPr>
                <w:b/>
              </w:rPr>
            </w:pPr>
            <w:r>
              <w:rPr>
                <w:b/>
              </w:rPr>
              <w:t>Citation</w:t>
            </w:r>
          </w:p>
        </w:tc>
        <w:tc>
          <w:tcPr>
            <w:tcW w:w="1276" w:type="dxa"/>
          </w:tcPr>
          <w:p w:rsidR="006724FB" w:rsidRDefault="006724FB">
            <w:pPr>
              <w:pStyle w:val="nTable"/>
              <w:spacing w:after="40"/>
              <w:rPr>
                <w:b/>
              </w:rPr>
            </w:pPr>
            <w:r>
              <w:rPr>
                <w:b/>
              </w:rPr>
              <w:t>Published</w:t>
            </w:r>
          </w:p>
        </w:tc>
        <w:tc>
          <w:tcPr>
            <w:tcW w:w="2693" w:type="dxa"/>
          </w:tcPr>
          <w:p w:rsidR="006724FB" w:rsidRDefault="006724FB">
            <w:pPr>
              <w:pStyle w:val="nTable"/>
              <w:spacing w:after="40"/>
              <w:rPr>
                <w:b/>
              </w:rPr>
            </w:pPr>
            <w:r>
              <w:rPr>
                <w:b/>
              </w:rPr>
              <w:t>Commencement</w:t>
            </w:r>
          </w:p>
        </w:tc>
      </w:tr>
      <w:tr w:rsidR="006724FB">
        <w:tc>
          <w:tcPr>
            <w:tcW w:w="3118" w:type="dxa"/>
            <w:tcBorders>
              <w:top w:val="single" w:sz="8" w:space="0" w:color="auto"/>
              <w:bottom w:val="nil"/>
            </w:tcBorders>
            <w:shd w:val="clear" w:color="auto" w:fill="auto"/>
          </w:tcPr>
          <w:p w:rsidR="006724FB" w:rsidRDefault="006724FB">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rsidR="006724FB" w:rsidRDefault="006724FB">
            <w:pPr>
              <w:pStyle w:val="nTable"/>
              <w:spacing w:after="40"/>
            </w:pPr>
            <w:r>
              <w:t>23 Dec 2014 p. 5103-444</w:t>
            </w:r>
          </w:p>
        </w:tc>
        <w:tc>
          <w:tcPr>
            <w:tcW w:w="2693" w:type="dxa"/>
            <w:tcBorders>
              <w:top w:val="single" w:sz="8" w:space="0" w:color="auto"/>
              <w:bottom w:val="nil"/>
            </w:tcBorders>
            <w:shd w:val="clear" w:color="auto" w:fill="auto"/>
          </w:tcPr>
          <w:p w:rsidR="006724FB" w:rsidRDefault="006724FB">
            <w:pPr>
              <w:pStyle w:val="nTable"/>
              <w:spacing w:after="40"/>
            </w:pPr>
            <w:r>
              <w:t xml:space="preserve">27 Apr 2015 (see r. 2 and </w:t>
            </w:r>
            <w:r>
              <w:rPr>
                <w:i/>
              </w:rPr>
              <w:t>Gazette</w:t>
            </w:r>
            <w:r>
              <w:t xml:space="preserve"> 17 Apr 2015 p. 1371)</w:t>
            </w:r>
          </w:p>
        </w:tc>
      </w:tr>
      <w:tr w:rsidR="006724FB">
        <w:tc>
          <w:tcPr>
            <w:tcW w:w="3118" w:type="dxa"/>
            <w:tcBorders>
              <w:top w:val="nil"/>
              <w:bottom w:val="nil"/>
            </w:tcBorders>
            <w:shd w:val="clear" w:color="auto" w:fill="auto"/>
          </w:tcPr>
          <w:p w:rsidR="006724FB" w:rsidRDefault="006724FB">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rsidR="006724FB" w:rsidRDefault="006724FB">
            <w:pPr>
              <w:pStyle w:val="nTable"/>
              <w:spacing w:after="40"/>
            </w:pPr>
            <w:r>
              <w:t>27 May 2015 p. 1865</w:t>
            </w:r>
            <w:r>
              <w:noBreakHyphen/>
              <w:t>6</w:t>
            </w:r>
          </w:p>
        </w:tc>
        <w:tc>
          <w:tcPr>
            <w:tcW w:w="2693" w:type="dxa"/>
            <w:tcBorders>
              <w:top w:val="nil"/>
              <w:bottom w:val="nil"/>
            </w:tcBorders>
            <w:shd w:val="clear" w:color="auto" w:fill="auto"/>
          </w:tcPr>
          <w:p w:rsidR="006724FB" w:rsidRDefault="006724FB">
            <w:pPr>
              <w:pStyle w:val="nTable"/>
              <w:spacing w:after="40"/>
            </w:pPr>
            <w:r>
              <w:t>27 May 2015 (see note under r. 1)</w:t>
            </w:r>
          </w:p>
        </w:tc>
      </w:tr>
      <w:tr w:rsidR="006724FB">
        <w:tc>
          <w:tcPr>
            <w:tcW w:w="3118" w:type="dxa"/>
            <w:tcBorders>
              <w:top w:val="nil"/>
              <w:bottom w:val="nil"/>
            </w:tcBorders>
            <w:shd w:val="clear" w:color="auto" w:fill="auto"/>
          </w:tcPr>
          <w:p w:rsidR="006724FB" w:rsidRDefault="006724FB">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rsidR="006724FB" w:rsidRDefault="006724FB">
            <w:pPr>
              <w:pStyle w:val="nTable"/>
              <w:spacing w:after="40"/>
            </w:pPr>
            <w:r>
              <w:t>27 May 2015 p. 1867</w:t>
            </w:r>
            <w:r>
              <w:noBreakHyphen/>
              <w:t>71</w:t>
            </w:r>
          </w:p>
        </w:tc>
        <w:tc>
          <w:tcPr>
            <w:tcW w:w="2693" w:type="dxa"/>
            <w:tcBorders>
              <w:top w:val="nil"/>
              <w:bottom w:val="nil"/>
            </w:tcBorders>
            <w:shd w:val="clear" w:color="auto" w:fill="auto"/>
          </w:tcPr>
          <w:p w:rsidR="006724FB" w:rsidRDefault="006724FB">
            <w:pPr>
              <w:pStyle w:val="nTable"/>
              <w:spacing w:after="40"/>
            </w:pPr>
            <w:r>
              <w:t>27 May 2015 (see note under r. 1)</w:t>
            </w:r>
          </w:p>
        </w:tc>
      </w:tr>
      <w:tr w:rsidR="006724FB">
        <w:tc>
          <w:tcPr>
            <w:tcW w:w="3118" w:type="dxa"/>
            <w:tcBorders>
              <w:top w:val="nil"/>
              <w:bottom w:val="nil"/>
            </w:tcBorders>
            <w:shd w:val="clear" w:color="auto" w:fill="auto"/>
          </w:tcPr>
          <w:p w:rsidR="006724FB" w:rsidRDefault="006724FB">
            <w:pPr>
              <w:pStyle w:val="nTable"/>
              <w:spacing w:after="40"/>
              <w:rPr>
                <w:i/>
              </w:rPr>
            </w:pPr>
            <w:r>
              <w:rPr>
                <w:i/>
              </w:rPr>
              <w:t>Road Traffic (Vehicles) Amendment Regulations (No. 4) 2015</w:t>
            </w:r>
          </w:p>
        </w:tc>
        <w:tc>
          <w:tcPr>
            <w:tcW w:w="1276" w:type="dxa"/>
            <w:tcBorders>
              <w:top w:val="nil"/>
              <w:bottom w:val="nil"/>
            </w:tcBorders>
            <w:shd w:val="clear" w:color="auto" w:fill="auto"/>
          </w:tcPr>
          <w:p w:rsidR="006724FB" w:rsidRDefault="006724FB">
            <w:pPr>
              <w:pStyle w:val="nTable"/>
              <w:spacing w:after="40"/>
            </w:pPr>
            <w:r>
              <w:t>12 Jun 2015 p. 2036</w:t>
            </w:r>
            <w:r>
              <w:noBreakHyphen/>
              <w:t>40</w:t>
            </w:r>
          </w:p>
        </w:tc>
        <w:tc>
          <w:tcPr>
            <w:tcW w:w="2693" w:type="dxa"/>
            <w:tcBorders>
              <w:top w:val="nil"/>
              <w:bottom w:val="nil"/>
            </w:tcBorders>
            <w:shd w:val="clear" w:color="auto" w:fill="auto"/>
          </w:tcPr>
          <w:p w:rsidR="006724FB" w:rsidRDefault="006724FB">
            <w:pPr>
              <w:pStyle w:val="nTable"/>
              <w:spacing w:after="40"/>
            </w:pPr>
            <w:r>
              <w:t>r. 1 and 2: 12 Jun 2015 (see r. 2(a));</w:t>
            </w:r>
            <w:r>
              <w:br/>
              <w:t>Regulations other than r. 1 and 2: 1 Jul 2015 (see r. 2(b))</w:t>
            </w:r>
          </w:p>
        </w:tc>
      </w:tr>
      <w:tr w:rsidR="006724FB">
        <w:tc>
          <w:tcPr>
            <w:tcW w:w="3118" w:type="dxa"/>
            <w:tcBorders>
              <w:top w:val="nil"/>
              <w:bottom w:val="nil"/>
            </w:tcBorders>
            <w:shd w:val="clear" w:color="auto" w:fill="auto"/>
          </w:tcPr>
          <w:p w:rsidR="006724FB" w:rsidRDefault="006724FB">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rsidR="006724FB" w:rsidRDefault="006724FB">
            <w:pPr>
              <w:pStyle w:val="nTable"/>
              <w:spacing w:after="40"/>
            </w:pPr>
            <w:r>
              <w:t>27 May 2016 p. 1549-54</w:t>
            </w:r>
          </w:p>
        </w:tc>
        <w:tc>
          <w:tcPr>
            <w:tcW w:w="2693" w:type="dxa"/>
            <w:tcBorders>
              <w:top w:val="nil"/>
              <w:bottom w:val="nil"/>
            </w:tcBorders>
            <w:shd w:val="clear" w:color="auto" w:fill="auto"/>
          </w:tcPr>
          <w:p w:rsidR="006724FB" w:rsidRDefault="006724FB">
            <w:pPr>
              <w:pStyle w:val="nTable"/>
              <w:spacing w:after="40"/>
            </w:pPr>
            <w:r>
              <w:t>27 May 2016 (see r. 2(a))</w:t>
            </w:r>
          </w:p>
        </w:tc>
      </w:tr>
      <w:tr w:rsidR="006724FB">
        <w:tc>
          <w:tcPr>
            <w:tcW w:w="3118" w:type="dxa"/>
            <w:tcBorders>
              <w:top w:val="nil"/>
              <w:bottom w:val="nil"/>
              <w:right w:val="nil"/>
            </w:tcBorders>
            <w:shd w:val="clear" w:color="auto" w:fill="auto"/>
          </w:tcPr>
          <w:p w:rsidR="006724FB" w:rsidRDefault="006724FB">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rsidR="006724FB" w:rsidRDefault="006724FB">
            <w:pPr>
              <w:pStyle w:val="nTable"/>
              <w:spacing w:after="40"/>
            </w:pPr>
            <w:r>
              <w:t>14 Jun 2016 p. 1987</w:t>
            </w:r>
            <w:r>
              <w:noBreakHyphen/>
              <w:t>2003</w:t>
            </w:r>
          </w:p>
        </w:tc>
        <w:tc>
          <w:tcPr>
            <w:tcW w:w="2693" w:type="dxa"/>
            <w:tcBorders>
              <w:top w:val="nil"/>
              <w:left w:val="nil"/>
              <w:bottom w:val="nil"/>
            </w:tcBorders>
            <w:shd w:val="clear" w:color="auto" w:fill="auto"/>
          </w:tcPr>
          <w:p w:rsidR="006724FB" w:rsidRDefault="006724FB">
            <w:pPr>
              <w:pStyle w:val="nTable"/>
              <w:spacing w:after="40"/>
            </w:pPr>
            <w:r>
              <w:t>1 Jul 2016 (see r. 2(b))</w:t>
            </w:r>
          </w:p>
        </w:tc>
      </w:tr>
      <w:tr w:rsidR="006724FB">
        <w:tc>
          <w:tcPr>
            <w:tcW w:w="3118" w:type="dxa"/>
            <w:tcBorders>
              <w:top w:val="nil"/>
              <w:bottom w:val="nil"/>
              <w:right w:val="nil"/>
            </w:tcBorders>
            <w:shd w:val="clear" w:color="auto" w:fill="auto"/>
          </w:tcPr>
          <w:p w:rsidR="006724FB" w:rsidRDefault="006724FB">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rsidR="006724FB" w:rsidRDefault="006724FB">
            <w:pPr>
              <w:pStyle w:val="nTable"/>
              <w:spacing w:after="40"/>
            </w:pPr>
            <w:r>
              <w:t>24 Jun 2016 p. 2342-3</w:t>
            </w:r>
          </w:p>
        </w:tc>
        <w:tc>
          <w:tcPr>
            <w:tcW w:w="2693" w:type="dxa"/>
            <w:tcBorders>
              <w:top w:val="nil"/>
              <w:left w:val="nil"/>
              <w:bottom w:val="nil"/>
            </w:tcBorders>
            <w:shd w:val="clear" w:color="auto" w:fill="auto"/>
          </w:tcPr>
          <w:p w:rsidR="006724FB" w:rsidRDefault="006724FB">
            <w:pPr>
              <w:pStyle w:val="nTable"/>
              <w:spacing w:after="40"/>
            </w:pPr>
            <w:r>
              <w:t>1 Jul 2016 (see r. 2(b))</w:t>
            </w:r>
          </w:p>
        </w:tc>
      </w:tr>
      <w:tr w:rsidR="006724FB">
        <w:tc>
          <w:tcPr>
            <w:tcW w:w="3118" w:type="dxa"/>
            <w:tcBorders>
              <w:top w:val="nil"/>
              <w:bottom w:val="nil"/>
              <w:right w:val="nil"/>
            </w:tcBorders>
            <w:shd w:val="clear" w:color="auto" w:fill="auto"/>
          </w:tcPr>
          <w:p w:rsidR="006724FB" w:rsidRDefault="006724FB">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rsidR="006724FB" w:rsidRDefault="006724FB">
            <w:pPr>
              <w:pStyle w:val="nTable"/>
              <w:spacing w:after="40"/>
            </w:pPr>
            <w:r>
              <w:t>20 Sep 2016 p. 3982-3</w:t>
            </w:r>
          </w:p>
        </w:tc>
        <w:tc>
          <w:tcPr>
            <w:tcW w:w="2693" w:type="dxa"/>
            <w:tcBorders>
              <w:top w:val="nil"/>
              <w:left w:val="nil"/>
              <w:bottom w:val="nil"/>
            </w:tcBorders>
            <w:shd w:val="clear" w:color="auto" w:fill="auto"/>
          </w:tcPr>
          <w:p w:rsidR="006724FB" w:rsidRDefault="006724FB">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rsidR="006724FB">
        <w:tc>
          <w:tcPr>
            <w:tcW w:w="3118" w:type="dxa"/>
            <w:tcBorders>
              <w:top w:val="nil"/>
              <w:bottom w:val="nil"/>
              <w:right w:val="nil"/>
            </w:tcBorders>
            <w:shd w:val="clear" w:color="auto" w:fill="auto"/>
          </w:tcPr>
          <w:p w:rsidR="006724FB" w:rsidRDefault="006724FB">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rsidR="006724FB" w:rsidRDefault="006724FB">
            <w:pPr>
              <w:pStyle w:val="nTable"/>
              <w:spacing w:after="40"/>
            </w:pPr>
            <w:r>
              <w:t>15 Nov 2016 p. 5062-77</w:t>
            </w:r>
          </w:p>
        </w:tc>
        <w:tc>
          <w:tcPr>
            <w:tcW w:w="2693" w:type="dxa"/>
            <w:tcBorders>
              <w:top w:val="nil"/>
              <w:left w:val="nil"/>
              <w:bottom w:val="nil"/>
            </w:tcBorders>
            <w:shd w:val="clear" w:color="auto" w:fill="auto"/>
          </w:tcPr>
          <w:p w:rsidR="006724FB" w:rsidRDefault="006724FB">
            <w:pPr>
              <w:pStyle w:val="nTable"/>
              <w:spacing w:after="40"/>
              <w:rPr>
                <w:bCs/>
                <w:snapToGrid w:val="0"/>
                <w:spacing w:val="-2"/>
              </w:rPr>
            </w:pPr>
            <w:r>
              <w:t>28 Nov 2016 (see r. 2(b))</w:t>
            </w:r>
          </w:p>
        </w:tc>
      </w:tr>
      <w:tr w:rsidR="006724FB">
        <w:tc>
          <w:tcPr>
            <w:tcW w:w="3118" w:type="dxa"/>
            <w:tcBorders>
              <w:top w:val="nil"/>
              <w:bottom w:val="nil"/>
              <w:right w:val="nil"/>
            </w:tcBorders>
            <w:shd w:val="clear" w:color="auto" w:fill="auto"/>
          </w:tcPr>
          <w:p w:rsidR="006724FB" w:rsidRDefault="006724FB">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rsidR="006724FB" w:rsidRDefault="006724FB">
            <w:pPr>
              <w:pStyle w:val="nTable"/>
              <w:spacing w:after="40"/>
            </w:pPr>
            <w:r>
              <w:t>20 Jan 2017 p. 651</w:t>
            </w:r>
            <w:r>
              <w:noBreakHyphen/>
              <w:t>2</w:t>
            </w:r>
          </w:p>
        </w:tc>
        <w:tc>
          <w:tcPr>
            <w:tcW w:w="2693" w:type="dxa"/>
            <w:tcBorders>
              <w:top w:val="nil"/>
              <w:left w:val="nil"/>
              <w:bottom w:val="nil"/>
            </w:tcBorders>
            <w:shd w:val="clear" w:color="auto" w:fill="auto"/>
          </w:tcPr>
          <w:p w:rsidR="006724FB" w:rsidRDefault="006724FB">
            <w:pPr>
              <w:pStyle w:val="nTable"/>
              <w:spacing w:after="40"/>
            </w:pPr>
            <w:r>
              <w:t>r. 1 and 2: 20 Jan 2017 (see r. 2(a));</w:t>
            </w:r>
            <w:r>
              <w:br/>
              <w:t>Regulations other than r. 1 and 2: 8 Mar 2017 (see r. 2(b))</w:t>
            </w:r>
          </w:p>
        </w:tc>
      </w:tr>
      <w:tr w:rsidR="006724FB">
        <w:tc>
          <w:tcPr>
            <w:tcW w:w="3118" w:type="dxa"/>
            <w:tcBorders>
              <w:top w:val="nil"/>
              <w:bottom w:val="nil"/>
              <w:right w:val="nil"/>
            </w:tcBorders>
            <w:shd w:val="clear" w:color="auto" w:fill="auto"/>
          </w:tcPr>
          <w:p w:rsidR="006724FB" w:rsidRDefault="006724FB">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rsidR="006724FB" w:rsidRDefault="006724FB">
            <w:pPr>
              <w:pStyle w:val="nTable"/>
              <w:spacing w:after="40"/>
            </w:pPr>
            <w:r>
              <w:t>7 Feb 2017 p. 1177</w:t>
            </w:r>
            <w:r>
              <w:noBreakHyphen/>
              <w:t>8</w:t>
            </w:r>
          </w:p>
        </w:tc>
        <w:tc>
          <w:tcPr>
            <w:tcW w:w="2693" w:type="dxa"/>
            <w:tcBorders>
              <w:top w:val="nil"/>
              <w:left w:val="nil"/>
              <w:bottom w:val="nil"/>
            </w:tcBorders>
            <w:shd w:val="clear" w:color="auto" w:fill="auto"/>
          </w:tcPr>
          <w:p w:rsidR="006724FB" w:rsidRDefault="006724FB">
            <w:pPr>
              <w:pStyle w:val="nTable"/>
              <w:spacing w:after="40"/>
            </w:pPr>
            <w:r>
              <w:t>7 Feb 2017 (see note under r. 1)</w:t>
            </w:r>
          </w:p>
        </w:tc>
      </w:tr>
      <w:tr w:rsidR="006724FB">
        <w:tc>
          <w:tcPr>
            <w:tcW w:w="3118" w:type="dxa"/>
            <w:tcBorders>
              <w:top w:val="nil"/>
              <w:bottom w:val="nil"/>
              <w:right w:val="nil"/>
            </w:tcBorders>
            <w:shd w:val="clear" w:color="auto" w:fill="auto"/>
          </w:tcPr>
          <w:p w:rsidR="006724FB" w:rsidRDefault="006724FB">
            <w:pPr>
              <w:pStyle w:val="nTable"/>
              <w:keepNext/>
              <w:spacing w:after="40"/>
              <w:rPr>
                <w:i/>
              </w:rPr>
            </w:pPr>
            <w:r>
              <w:rPr>
                <w:i/>
              </w:rPr>
              <w:lastRenderedPageBreak/>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rsidR="006724FB" w:rsidRDefault="006724FB">
            <w:pPr>
              <w:pStyle w:val="nTable"/>
              <w:keepNext/>
              <w:spacing w:after="40"/>
            </w:pPr>
            <w:r>
              <w:t>26 May 2017 p. 2639</w:t>
            </w:r>
            <w:r>
              <w:noBreakHyphen/>
              <w:t>45</w:t>
            </w:r>
          </w:p>
        </w:tc>
        <w:tc>
          <w:tcPr>
            <w:tcW w:w="2693" w:type="dxa"/>
            <w:tcBorders>
              <w:top w:val="nil"/>
              <w:left w:val="nil"/>
              <w:bottom w:val="nil"/>
            </w:tcBorders>
            <w:shd w:val="clear" w:color="auto" w:fill="auto"/>
          </w:tcPr>
          <w:p w:rsidR="006724FB" w:rsidRDefault="006724FB">
            <w:pPr>
              <w:pStyle w:val="nTable"/>
              <w:keepNext/>
              <w:spacing w:after="40"/>
            </w:pPr>
            <w:r>
              <w:t>26 May 2017 (see r. 2(a))</w:t>
            </w:r>
          </w:p>
        </w:tc>
      </w:tr>
      <w:tr w:rsidR="006724FB">
        <w:tc>
          <w:tcPr>
            <w:tcW w:w="3118" w:type="dxa"/>
            <w:tcBorders>
              <w:top w:val="nil"/>
              <w:bottom w:val="nil"/>
              <w:right w:val="nil"/>
            </w:tcBorders>
            <w:shd w:val="clear" w:color="auto" w:fill="auto"/>
          </w:tcPr>
          <w:p w:rsidR="006724FB" w:rsidRDefault="006724FB">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rsidR="006724FB" w:rsidRDefault="006724FB">
            <w:pPr>
              <w:pStyle w:val="nTable"/>
              <w:spacing w:after="40"/>
            </w:pPr>
            <w:r>
              <w:t>23 Jun 2017 p. 3253</w:t>
            </w:r>
            <w:r>
              <w:noBreakHyphen/>
              <w:t>78</w:t>
            </w:r>
          </w:p>
        </w:tc>
        <w:tc>
          <w:tcPr>
            <w:tcW w:w="2693" w:type="dxa"/>
            <w:tcBorders>
              <w:top w:val="nil"/>
              <w:left w:val="nil"/>
              <w:bottom w:val="nil"/>
            </w:tcBorders>
            <w:shd w:val="clear" w:color="auto" w:fill="auto"/>
          </w:tcPr>
          <w:p w:rsidR="006724FB" w:rsidRDefault="006724FB">
            <w:pPr>
              <w:pStyle w:val="nTable"/>
              <w:spacing w:after="40"/>
            </w:pPr>
            <w:r>
              <w:t>1 Jul 2017 (see r. 2(b))</w:t>
            </w:r>
          </w:p>
        </w:tc>
      </w:tr>
      <w:tr w:rsidR="006724FB">
        <w:tc>
          <w:tcPr>
            <w:tcW w:w="3118" w:type="dxa"/>
            <w:tcBorders>
              <w:top w:val="nil"/>
              <w:bottom w:val="nil"/>
              <w:right w:val="nil"/>
            </w:tcBorders>
            <w:shd w:val="clear" w:color="auto" w:fill="auto"/>
          </w:tcPr>
          <w:p w:rsidR="006724FB" w:rsidRDefault="006724FB">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rsidR="006724FB" w:rsidRDefault="006724FB">
            <w:pPr>
              <w:pStyle w:val="nTable"/>
              <w:spacing w:after="40"/>
            </w:pPr>
            <w:r>
              <w:t>1 Dec 2017 p. 5739</w:t>
            </w:r>
          </w:p>
        </w:tc>
        <w:tc>
          <w:tcPr>
            <w:tcW w:w="2693" w:type="dxa"/>
            <w:tcBorders>
              <w:top w:val="nil"/>
              <w:left w:val="nil"/>
              <w:bottom w:val="nil"/>
            </w:tcBorders>
            <w:shd w:val="clear" w:color="auto" w:fill="auto"/>
          </w:tcPr>
          <w:p w:rsidR="006724FB" w:rsidRDefault="006724FB">
            <w:pPr>
              <w:pStyle w:val="nTable"/>
              <w:spacing w:after="40"/>
            </w:pPr>
            <w:r>
              <w:rPr>
                <w:bCs/>
                <w:snapToGrid w:val="0"/>
                <w:spacing w:val="-2"/>
              </w:rPr>
              <w:t>r. 1 and 2: 1 Dec 2017 (see r. 2(a));</w:t>
            </w:r>
            <w:r>
              <w:rPr>
                <w:bCs/>
                <w:snapToGrid w:val="0"/>
                <w:spacing w:val="-2"/>
              </w:rPr>
              <w:br/>
              <w:t>Regulations other than r. 1 and 2: 2 Dec 2017 (see r. 2(b))</w:t>
            </w:r>
          </w:p>
        </w:tc>
      </w:tr>
      <w:tr w:rsidR="006724FB">
        <w:tc>
          <w:tcPr>
            <w:tcW w:w="7087" w:type="dxa"/>
            <w:gridSpan w:val="3"/>
            <w:tcBorders>
              <w:top w:val="nil"/>
              <w:bottom w:val="nil"/>
            </w:tcBorders>
            <w:shd w:val="clear" w:color="auto" w:fill="auto"/>
          </w:tcPr>
          <w:p w:rsidR="006724FB" w:rsidRDefault="006724FB">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rsidR="006724FB">
        <w:tc>
          <w:tcPr>
            <w:tcW w:w="3118" w:type="dxa"/>
            <w:tcBorders>
              <w:top w:val="nil"/>
              <w:bottom w:val="nil"/>
              <w:right w:val="nil"/>
            </w:tcBorders>
            <w:shd w:val="clear" w:color="auto" w:fill="auto"/>
          </w:tcPr>
          <w:p w:rsidR="006724FB" w:rsidRDefault="006724FB">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rsidR="006724FB" w:rsidRDefault="006724FB">
            <w:pPr>
              <w:pStyle w:val="nTable"/>
              <w:spacing w:after="40"/>
            </w:pPr>
            <w:r>
              <w:t>25 May 2018 p. 1640</w:t>
            </w:r>
            <w:r>
              <w:noBreakHyphen/>
              <w:t>7</w:t>
            </w:r>
          </w:p>
        </w:tc>
        <w:tc>
          <w:tcPr>
            <w:tcW w:w="2693" w:type="dxa"/>
            <w:tcBorders>
              <w:top w:val="nil"/>
              <w:left w:val="nil"/>
              <w:bottom w:val="nil"/>
            </w:tcBorders>
            <w:shd w:val="clear" w:color="auto" w:fill="auto"/>
          </w:tcPr>
          <w:p w:rsidR="006724FB" w:rsidRDefault="006724FB">
            <w:pPr>
              <w:pStyle w:val="nTable"/>
              <w:spacing w:after="40"/>
            </w:pPr>
            <w:r>
              <w:rPr>
                <w:bCs/>
                <w:snapToGrid w:val="0"/>
                <w:spacing w:val="-2"/>
              </w:rPr>
              <w:t>25 May 2018 (see r. 2(a))</w:t>
            </w:r>
          </w:p>
        </w:tc>
      </w:tr>
      <w:tr w:rsidR="006724FB">
        <w:tc>
          <w:tcPr>
            <w:tcW w:w="3118" w:type="dxa"/>
            <w:tcBorders>
              <w:top w:val="nil"/>
              <w:bottom w:val="nil"/>
              <w:right w:val="nil"/>
            </w:tcBorders>
            <w:shd w:val="clear" w:color="auto" w:fill="auto"/>
          </w:tcPr>
          <w:p w:rsidR="006724FB" w:rsidRDefault="006724FB">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rsidR="006724FB" w:rsidRDefault="006724FB">
            <w:pPr>
              <w:pStyle w:val="nTable"/>
              <w:spacing w:after="40"/>
            </w:pPr>
            <w:r>
              <w:t>22 Jun 2018 p. 2184</w:t>
            </w:r>
            <w:r>
              <w:noBreakHyphen/>
              <w:t>93</w:t>
            </w:r>
          </w:p>
        </w:tc>
        <w:tc>
          <w:tcPr>
            <w:tcW w:w="2693" w:type="dxa"/>
            <w:tcBorders>
              <w:top w:val="nil"/>
              <w:left w:val="nil"/>
              <w:bottom w:val="nil"/>
            </w:tcBorders>
            <w:shd w:val="clear" w:color="auto" w:fill="auto"/>
          </w:tcPr>
          <w:p w:rsidR="006724FB" w:rsidRDefault="006724FB">
            <w:pPr>
              <w:pStyle w:val="nTable"/>
              <w:spacing w:after="40"/>
              <w:rPr>
                <w:bCs/>
                <w:snapToGrid w:val="0"/>
                <w:spacing w:val="-2"/>
              </w:rPr>
            </w:pPr>
            <w:r>
              <w:rPr>
                <w:snapToGrid w:val="0"/>
                <w:spacing w:val="-2"/>
              </w:rPr>
              <w:t>1 Jul 2018 (see r. 2(b))</w:t>
            </w:r>
          </w:p>
        </w:tc>
      </w:tr>
      <w:tr w:rsidR="006724FB">
        <w:tc>
          <w:tcPr>
            <w:tcW w:w="3118" w:type="dxa"/>
            <w:tcBorders>
              <w:top w:val="nil"/>
              <w:bottom w:val="nil"/>
              <w:right w:val="nil"/>
            </w:tcBorders>
            <w:shd w:val="clear" w:color="auto" w:fill="auto"/>
          </w:tcPr>
          <w:p w:rsidR="006724FB" w:rsidRDefault="006724FB">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rsidR="006724FB" w:rsidRDefault="006724FB">
            <w:pPr>
              <w:pStyle w:val="nTable"/>
              <w:spacing w:after="40"/>
            </w:pPr>
            <w:r>
              <w:t>29 Mar 2019 p. 962</w:t>
            </w:r>
            <w:r>
              <w:noBreakHyphen/>
              <w:t>72</w:t>
            </w:r>
          </w:p>
        </w:tc>
        <w:tc>
          <w:tcPr>
            <w:tcW w:w="2693" w:type="dxa"/>
            <w:tcBorders>
              <w:top w:val="nil"/>
              <w:left w:val="nil"/>
              <w:bottom w:val="nil"/>
            </w:tcBorders>
            <w:shd w:val="clear" w:color="auto" w:fill="auto"/>
          </w:tcPr>
          <w:p w:rsidR="006724FB" w:rsidRDefault="006724FB">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rsidR="006724FB">
        <w:tc>
          <w:tcPr>
            <w:tcW w:w="3118" w:type="dxa"/>
            <w:tcBorders>
              <w:top w:val="nil"/>
              <w:bottom w:val="nil"/>
              <w:right w:val="nil"/>
            </w:tcBorders>
            <w:shd w:val="clear" w:color="auto" w:fill="auto"/>
          </w:tcPr>
          <w:p w:rsidR="006724FB" w:rsidRDefault="006724FB">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rsidR="006724FB" w:rsidRDefault="006724FB">
            <w:pPr>
              <w:pStyle w:val="nTable"/>
              <w:spacing w:after="40"/>
            </w:pPr>
            <w:r>
              <w:t>17 May 2019 p. 1437</w:t>
            </w:r>
            <w:r>
              <w:noBreakHyphen/>
              <w:t>42</w:t>
            </w:r>
          </w:p>
        </w:tc>
        <w:tc>
          <w:tcPr>
            <w:tcW w:w="2693" w:type="dxa"/>
            <w:tcBorders>
              <w:top w:val="nil"/>
              <w:left w:val="nil"/>
              <w:bottom w:val="nil"/>
            </w:tcBorders>
            <w:shd w:val="clear" w:color="auto" w:fill="auto"/>
          </w:tcPr>
          <w:p w:rsidR="006724FB" w:rsidRDefault="006724FB">
            <w:pPr>
              <w:pStyle w:val="nTable"/>
              <w:spacing w:after="40"/>
              <w:rPr>
                <w:bCs/>
                <w:snapToGrid w:val="0"/>
                <w:spacing w:val="-2"/>
              </w:rPr>
            </w:pPr>
            <w:r>
              <w:rPr>
                <w:bCs/>
                <w:snapToGrid w:val="0"/>
                <w:spacing w:val="-2"/>
              </w:rPr>
              <w:t>18 May 2019 (see r. 2(b))</w:t>
            </w:r>
          </w:p>
        </w:tc>
      </w:tr>
      <w:tr w:rsidR="006724FB">
        <w:tc>
          <w:tcPr>
            <w:tcW w:w="3118" w:type="dxa"/>
            <w:tcBorders>
              <w:top w:val="nil"/>
              <w:bottom w:val="nil"/>
              <w:right w:val="nil"/>
            </w:tcBorders>
            <w:shd w:val="clear" w:color="auto" w:fill="auto"/>
          </w:tcPr>
          <w:p w:rsidR="006724FB" w:rsidRDefault="006724FB">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rsidR="006724FB" w:rsidRDefault="006724FB">
            <w:pPr>
              <w:pStyle w:val="nTable"/>
              <w:spacing w:after="40"/>
            </w:pPr>
            <w:r>
              <w:t>31 May 2019 p. 1721</w:t>
            </w:r>
            <w:r>
              <w:noBreakHyphen/>
              <w:t>8</w:t>
            </w:r>
          </w:p>
        </w:tc>
        <w:tc>
          <w:tcPr>
            <w:tcW w:w="2693" w:type="dxa"/>
            <w:tcBorders>
              <w:top w:val="nil"/>
              <w:left w:val="nil"/>
              <w:bottom w:val="nil"/>
            </w:tcBorders>
            <w:shd w:val="clear" w:color="auto" w:fill="auto"/>
          </w:tcPr>
          <w:p w:rsidR="006724FB" w:rsidRDefault="006724FB">
            <w:pPr>
              <w:pStyle w:val="nTable"/>
              <w:spacing w:after="40"/>
              <w:rPr>
                <w:bCs/>
                <w:snapToGrid w:val="0"/>
                <w:spacing w:val="-2"/>
              </w:rPr>
            </w:pPr>
            <w:r>
              <w:t>1 Jul 2019 (see r. 2(b))</w:t>
            </w:r>
          </w:p>
        </w:tc>
      </w:tr>
      <w:tr w:rsidR="006724FB">
        <w:tc>
          <w:tcPr>
            <w:tcW w:w="3118" w:type="dxa"/>
            <w:tcBorders>
              <w:top w:val="nil"/>
              <w:bottom w:val="nil"/>
              <w:right w:val="nil"/>
            </w:tcBorders>
            <w:shd w:val="clear" w:color="auto" w:fill="auto"/>
          </w:tcPr>
          <w:p w:rsidR="006724FB" w:rsidRDefault="006724FB">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rsidR="006724FB" w:rsidRDefault="006724FB">
            <w:pPr>
              <w:pStyle w:val="nTable"/>
              <w:spacing w:after="40"/>
            </w:pPr>
            <w:r>
              <w:t>18 Jun 2019 p. 2061</w:t>
            </w:r>
          </w:p>
        </w:tc>
        <w:tc>
          <w:tcPr>
            <w:tcW w:w="2693" w:type="dxa"/>
            <w:tcBorders>
              <w:top w:val="nil"/>
              <w:left w:val="nil"/>
              <w:bottom w:val="nil"/>
            </w:tcBorders>
            <w:shd w:val="clear" w:color="auto" w:fill="auto"/>
          </w:tcPr>
          <w:p w:rsidR="006724FB" w:rsidRDefault="006724FB">
            <w:pPr>
              <w:pStyle w:val="nTable"/>
              <w:spacing w:after="40"/>
            </w:pPr>
            <w:r>
              <w:t>r. 1 and 2: 18 Jun 2019 (see r. 2(a));</w:t>
            </w:r>
            <w:r>
              <w:br/>
              <w:t>Regulations other than r. 1 and 2: 1 Jul 2019 (see r. 2(b))</w:t>
            </w:r>
          </w:p>
        </w:tc>
      </w:tr>
      <w:tr w:rsidR="006724FB">
        <w:tc>
          <w:tcPr>
            <w:tcW w:w="3118" w:type="dxa"/>
            <w:tcBorders>
              <w:top w:val="nil"/>
              <w:bottom w:val="nil"/>
              <w:right w:val="nil"/>
            </w:tcBorders>
            <w:shd w:val="clear" w:color="auto" w:fill="auto"/>
          </w:tcPr>
          <w:p w:rsidR="006724FB" w:rsidRDefault="006724FB">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rsidR="006724FB" w:rsidRDefault="006724FB">
            <w:pPr>
              <w:pStyle w:val="nTable"/>
              <w:spacing w:after="40"/>
            </w:pPr>
            <w:r>
              <w:t>26 Jun 2019 p. 2229</w:t>
            </w:r>
            <w:r>
              <w:noBreakHyphen/>
              <w:t>371</w:t>
            </w:r>
          </w:p>
        </w:tc>
        <w:tc>
          <w:tcPr>
            <w:tcW w:w="2693" w:type="dxa"/>
            <w:tcBorders>
              <w:top w:val="nil"/>
              <w:left w:val="nil"/>
              <w:bottom w:val="nil"/>
            </w:tcBorders>
            <w:shd w:val="clear" w:color="auto" w:fill="auto"/>
          </w:tcPr>
          <w:p w:rsidR="006724FB" w:rsidRDefault="006724FB">
            <w:pPr>
              <w:pStyle w:val="nTable"/>
              <w:spacing w:after="40"/>
            </w:pPr>
            <w:r>
              <w:t xml:space="preserve">2 Jul 2019 (see r. 2(d) and </w:t>
            </w:r>
            <w:r>
              <w:rPr>
                <w:i/>
              </w:rPr>
              <w:t>Gazette</w:t>
            </w:r>
            <w:r>
              <w:t xml:space="preserve"> </w:t>
            </w:r>
            <w:r>
              <w:rPr>
                <w:bCs/>
                <w:snapToGrid w:val="0"/>
                <w:spacing w:val="-2"/>
              </w:rPr>
              <w:t>28 Jun 2019 p. 2473)</w:t>
            </w:r>
          </w:p>
        </w:tc>
      </w:tr>
      <w:tr w:rsidR="006724FB">
        <w:tc>
          <w:tcPr>
            <w:tcW w:w="3118" w:type="dxa"/>
            <w:tcBorders>
              <w:top w:val="nil"/>
              <w:bottom w:val="nil"/>
              <w:right w:val="nil"/>
            </w:tcBorders>
            <w:shd w:val="clear" w:color="auto" w:fill="auto"/>
          </w:tcPr>
          <w:p w:rsidR="006724FB" w:rsidRDefault="006724FB">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rsidR="006724FB" w:rsidRDefault="006724FB">
            <w:pPr>
              <w:pStyle w:val="nTable"/>
              <w:spacing w:after="40"/>
            </w:pPr>
            <w:r>
              <w:t>SL 2020/73</w:t>
            </w:r>
            <w:r>
              <w:br/>
              <w:t>9 Jun 2020</w:t>
            </w:r>
          </w:p>
        </w:tc>
        <w:tc>
          <w:tcPr>
            <w:tcW w:w="2693" w:type="dxa"/>
            <w:tcBorders>
              <w:top w:val="nil"/>
              <w:left w:val="nil"/>
              <w:bottom w:val="nil"/>
            </w:tcBorders>
            <w:shd w:val="clear" w:color="auto" w:fill="auto"/>
          </w:tcPr>
          <w:p w:rsidR="006724FB" w:rsidRDefault="006724FB">
            <w:pPr>
              <w:pStyle w:val="nTable"/>
              <w:spacing w:after="40"/>
            </w:pPr>
            <w:r>
              <w:t>r. 1 and 2: 9 Jun 2020 (see r. 2(a));</w:t>
            </w:r>
            <w:r>
              <w:br/>
              <w:t>Regulations other than r. 1 and 2: 10 Jun 2020 (see r. 2(b))</w:t>
            </w:r>
          </w:p>
        </w:tc>
      </w:tr>
      <w:tr w:rsidR="006724FB">
        <w:trPr>
          <w:cantSplit/>
        </w:trPr>
        <w:tc>
          <w:tcPr>
            <w:tcW w:w="3118" w:type="dxa"/>
            <w:tcBorders>
              <w:top w:val="nil"/>
              <w:bottom w:val="nil"/>
              <w:right w:val="nil"/>
            </w:tcBorders>
            <w:shd w:val="clear" w:color="auto" w:fill="auto"/>
          </w:tcPr>
          <w:p w:rsidR="006724FB" w:rsidRDefault="006724FB">
            <w:pPr>
              <w:pStyle w:val="nTable"/>
              <w:spacing w:after="40"/>
              <w:rPr>
                <w:i/>
              </w:rPr>
            </w:pPr>
            <w:r>
              <w:rPr>
                <w:i/>
              </w:rPr>
              <w:lastRenderedPageBreak/>
              <w:t xml:space="preserve">Transport Regulations Amendment (Fees and Charges) Regulations (No. 2) 2020 </w:t>
            </w:r>
            <w:r>
              <w:t>Pt. 4</w:t>
            </w:r>
          </w:p>
        </w:tc>
        <w:tc>
          <w:tcPr>
            <w:tcW w:w="1276" w:type="dxa"/>
            <w:tcBorders>
              <w:top w:val="nil"/>
              <w:left w:val="nil"/>
              <w:bottom w:val="nil"/>
              <w:right w:val="nil"/>
            </w:tcBorders>
            <w:shd w:val="clear" w:color="auto" w:fill="auto"/>
          </w:tcPr>
          <w:p w:rsidR="006724FB" w:rsidRDefault="006724FB">
            <w:pPr>
              <w:pStyle w:val="nTable"/>
              <w:spacing w:after="40"/>
            </w:pPr>
            <w:r>
              <w:t>SL 2020/74 9 Jun 2020</w:t>
            </w:r>
          </w:p>
        </w:tc>
        <w:tc>
          <w:tcPr>
            <w:tcW w:w="2693" w:type="dxa"/>
            <w:tcBorders>
              <w:top w:val="nil"/>
              <w:left w:val="nil"/>
              <w:bottom w:val="nil"/>
            </w:tcBorders>
            <w:shd w:val="clear" w:color="auto" w:fill="auto"/>
          </w:tcPr>
          <w:p w:rsidR="006724FB" w:rsidRDefault="006724FB">
            <w:pPr>
              <w:pStyle w:val="nTable"/>
              <w:spacing w:after="40"/>
            </w:pPr>
            <w:r>
              <w:t>1 Jul 2020 (see r. 2(b))</w:t>
            </w:r>
          </w:p>
        </w:tc>
      </w:tr>
      <w:tr w:rsidR="006724FB">
        <w:trPr>
          <w:cantSplit/>
        </w:trPr>
        <w:tc>
          <w:tcPr>
            <w:tcW w:w="3118" w:type="dxa"/>
            <w:tcBorders>
              <w:top w:val="nil"/>
              <w:bottom w:val="nil"/>
              <w:right w:val="nil"/>
            </w:tcBorders>
            <w:shd w:val="clear" w:color="auto" w:fill="auto"/>
          </w:tcPr>
          <w:p w:rsidR="006724FB" w:rsidRDefault="006724FB">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rsidR="006724FB" w:rsidRDefault="006724FB">
            <w:pPr>
              <w:pStyle w:val="nTable"/>
              <w:spacing w:after="40"/>
            </w:pPr>
            <w:r>
              <w:t>SL 2020/91 24 Jun 2020</w:t>
            </w:r>
          </w:p>
        </w:tc>
        <w:tc>
          <w:tcPr>
            <w:tcW w:w="2693" w:type="dxa"/>
            <w:tcBorders>
              <w:top w:val="nil"/>
              <w:left w:val="nil"/>
              <w:bottom w:val="nil"/>
            </w:tcBorders>
            <w:shd w:val="clear" w:color="auto" w:fill="auto"/>
          </w:tcPr>
          <w:p w:rsidR="006724FB" w:rsidRDefault="006724FB">
            <w:pPr>
              <w:pStyle w:val="nTable"/>
              <w:spacing w:after="40"/>
            </w:pPr>
            <w:r>
              <w:t>1 Jul 2020 (see r. 2(c) and SL 2020/89 cl. 2)</w:t>
            </w:r>
          </w:p>
        </w:tc>
      </w:tr>
      <w:tr w:rsidR="006724FB">
        <w:trPr>
          <w:cantSplit/>
        </w:trPr>
        <w:tc>
          <w:tcPr>
            <w:tcW w:w="3118" w:type="dxa"/>
            <w:tcBorders>
              <w:top w:val="nil"/>
              <w:bottom w:val="nil"/>
              <w:right w:val="nil"/>
            </w:tcBorders>
            <w:shd w:val="clear" w:color="auto" w:fill="auto"/>
          </w:tcPr>
          <w:p w:rsidR="006724FB" w:rsidRDefault="006724FB">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rsidR="006724FB" w:rsidRDefault="006724FB">
            <w:pPr>
              <w:pStyle w:val="nTable"/>
              <w:spacing w:after="40"/>
            </w:pPr>
            <w:r>
              <w:t>SL 2020/231 4 Dec 2020</w:t>
            </w:r>
          </w:p>
        </w:tc>
        <w:tc>
          <w:tcPr>
            <w:tcW w:w="2693" w:type="dxa"/>
            <w:tcBorders>
              <w:top w:val="nil"/>
              <w:left w:val="nil"/>
              <w:bottom w:val="nil"/>
            </w:tcBorders>
            <w:shd w:val="clear" w:color="auto" w:fill="auto"/>
          </w:tcPr>
          <w:p w:rsidR="006724FB" w:rsidRDefault="006724FB">
            <w:pPr>
              <w:pStyle w:val="nTable"/>
              <w:spacing w:after="40"/>
            </w:pPr>
            <w:r>
              <w:t>14 Dec 2020 (see r. 2(b) and SL 2020/229 cl. 2)</w:t>
            </w:r>
          </w:p>
        </w:tc>
      </w:tr>
      <w:tr w:rsidR="006724FB">
        <w:trPr>
          <w:cantSplit/>
        </w:trPr>
        <w:tc>
          <w:tcPr>
            <w:tcW w:w="3118" w:type="dxa"/>
            <w:tcBorders>
              <w:top w:val="nil"/>
              <w:bottom w:val="nil"/>
              <w:right w:val="nil"/>
            </w:tcBorders>
            <w:shd w:val="clear" w:color="auto" w:fill="auto"/>
          </w:tcPr>
          <w:p w:rsidR="006724FB" w:rsidRDefault="006724FB">
            <w:pPr>
              <w:pStyle w:val="nTable"/>
              <w:spacing w:after="40"/>
              <w:rPr>
                <w:i/>
              </w:rPr>
            </w:pPr>
            <w:r>
              <w:rPr>
                <w:i/>
              </w:rPr>
              <w:t>Road Traffic (Vehicles) Amendment Regulations (No. 4) 2021</w:t>
            </w:r>
          </w:p>
        </w:tc>
        <w:tc>
          <w:tcPr>
            <w:tcW w:w="1276" w:type="dxa"/>
            <w:tcBorders>
              <w:top w:val="nil"/>
              <w:left w:val="nil"/>
              <w:bottom w:val="nil"/>
              <w:right w:val="nil"/>
            </w:tcBorders>
            <w:shd w:val="clear" w:color="auto" w:fill="auto"/>
          </w:tcPr>
          <w:p w:rsidR="006724FB" w:rsidRDefault="006724FB">
            <w:pPr>
              <w:pStyle w:val="nTable"/>
              <w:spacing w:after="40"/>
            </w:pPr>
            <w:r>
              <w:t>SL 2021/37 9 Apr 2021</w:t>
            </w:r>
          </w:p>
        </w:tc>
        <w:tc>
          <w:tcPr>
            <w:tcW w:w="2693" w:type="dxa"/>
            <w:tcBorders>
              <w:top w:val="nil"/>
              <w:left w:val="nil"/>
              <w:bottom w:val="nil"/>
            </w:tcBorders>
            <w:shd w:val="clear" w:color="auto" w:fill="auto"/>
          </w:tcPr>
          <w:p w:rsidR="006724FB" w:rsidRDefault="006724FB">
            <w:pPr>
              <w:pStyle w:val="nTable"/>
              <w:spacing w:after="40"/>
            </w:pPr>
            <w:r>
              <w:t>r. 1 and 2: 9 Apr 2021 (see r. 2(a));</w:t>
            </w:r>
            <w:r>
              <w:br/>
              <w:t>Regulations other than r. 1 and 2: 10 Apr 2021 (see r. 2(b))</w:t>
            </w:r>
          </w:p>
        </w:tc>
      </w:tr>
      <w:tr w:rsidR="006724FB">
        <w:trPr>
          <w:cantSplit/>
        </w:trPr>
        <w:tc>
          <w:tcPr>
            <w:tcW w:w="3118" w:type="dxa"/>
            <w:tcBorders>
              <w:top w:val="nil"/>
              <w:bottom w:val="nil"/>
              <w:right w:val="nil"/>
            </w:tcBorders>
            <w:shd w:val="clear" w:color="auto" w:fill="auto"/>
          </w:tcPr>
          <w:p w:rsidR="006724FB" w:rsidRDefault="006724FB">
            <w:pPr>
              <w:pStyle w:val="nTable"/>
              <w:spacing w:after="40"/>
              <w:rPr>
                <w:i/>
              </w:rPr>
            </w:pPr>
            <w:r>
              <w:rPr>
                <w:i/>
              </w:rPr>
              <w:t>Road Traffic (Vehicles) Amendment Regulations (No. 6) 2021</w:t>
            </w:r>
            <w:r>
              <w:rPr>
                <w:vertAlign w:val="superscript"/>
              </w:rPr>
              <w:t> 9</w:t>
            </w:r>
          </w:p>
        </w:tc>
        <w:tc>
          <w:tcPr>
            <w:tcW w:w="1276" w:type="dxa"/>
            <w:tcBorders>
              <w:top w:val="nil"/>
              <w:left w:val="nil"/>
              <w:bottom w:val="nil"/>
              <w:right w:val="nil"/>
            </w:tcBorders>
            <w:shd w:val="clear" w:color="auto" w:fill="auto"/>
          </w:tcPr>
          <w:p w:rsidR="006724FB" w:rsidRDefault="006724FB">
            <w:pPr>
              <w:pStyle w:val="nTable"/>
              <w:spacing w:after="40"/>
            </w:pPr>
            <w:r>
              <w:t>SL 2021/64 21 May 2021</w:t>
            </w:r>
          </w:p>
        </w:tc>
        <w:tc>
          <w:tcPr>
            <w:tcW w:w="2693" w:type="dxa"/>
            <w:tcBorders>
              <w:top w:val="nil"/>
              <w:left w:val="nil"/>
              <w:bottom w:val="nil"/>
            </w:tcBorders>
            <w:shd w:val="clear" w:color="auto" w:fill="auto"/>
          </w:tcPr>
          <w:p w:rsidR="006724FB" w:rsidRDefault="006724FB">
            <w:pPr>
              <w:pStyle w:val="nTable"/>
              <w:spacing w:after="40"/>
            </w:pPr>
            <w:r>
              <w:t>r. 1 and 2: 21 May 2021 (see r. 2(a));</w:t>
            </w:r>
            <w:r>
              <w:br/>
              <w:t>Regulations other than r. 1 and 2: 22 May 2021 (see r. 2(b))</w:t>
            </w:r>
          </w:p>
        </w:tc>
      </w:tr>
      <w:tr w:rsidR="00413CCF">
        <w:trPr>
          <w:cantSplit/>
        </w:trPr>
        <w:tc>
          <w:tcPr>
            <w:tcW w:w="3118" w:type="dxa"/>
            <w:tcBorders>
              <w:top w:val="nil"/>
              <w:bottom w:val="nil"/>
              <w:right w:val="nil"/>
            </w:tcBorders>
            <w:shd w:val="clear" w:color="auto" w:fill="auto"/>
          </w:tcPr>
          <w:p w:rsidR="00413CCF" w:rsidRDefault="00413CCF" w:rsidP="00413CCF">
            <w:pPr>
              <w:pStyle w:val="nTable"/>
              <w:spacing w:after="40"/>
              <w:rPr>
                <w:i/>
              </w:rPr>
            </w:pPr>
            <w:r>
              <w:rPr>
                <w:i/>
              </w:rPr>
              <w:t>Transport Regulations Amendment (Fees and Charges) Regulations (No. 2) 2021 </w:t>
            </w:r>
            <w:r>
              <w:t>Pt. 5</w:t>
            </w:r>
          </w:p>
        </w:tc>
        <w:tc>
          <w:tcPr>
            <w:tcW w:w="1276" w:type="dxa"/>
            <w:tcBorders>
              <w:top w:val="nil"/>
              <w:left w:val="nil"/>
              <w:bottom w:val="nil"/>
              <w:right w:val="nil"/>
            </w:tcBorders>
            <w:shd w:val="clear" w:color="auto" w:fill="auto"/>
          </w:tcPr>
          <w:p w:rsidR="00413CCF" w:rsidRDefault="00413CCF" w:rsidP="00413CCF">
            <w:pPr>
              <w:pStyle w:val="nTable"/>
              <w:spacing w:after="40"/>
            </w:pPr>
            <w:r>
              <w:t>SL 2021/92 18 Jun 2021</w:t>
            </w:r>
          </w:p>
        </w:tc>
        <w:tc>
          <w:tcPr>
            <w:tcW w:w="2693" w:type="dxa"/>
            <w:tcBorders>
              <w:top w:val="nil"/>
              <w:left w:val="nil"/>
              <w:bottom w:val="nil"/>
            </w:tcBorders>
            <w:shd w:val="clear" w:color="auto" w:fill="auto"/>
          </w:tcPr>
          <w:p w:rsidR="00413CCF" w:rsidRDefault="00413CCF" w:rsidP="00413CCF">
            <w:pPr>
              <w:pStyle w:val="nTable"/>
              <w:spacing w:after="40"/>
            </w:pPr>
            <w:r>
              <w:t>1 Jul 2021 (see r. 2(c))</w:t>
            </w:r>
          </w:p>
        </w:tc>
      </w:tr>
      <w:tr w:rsidR="006724FB" w:rsidTr="00A75C28">
        <w:trPr>
          <w:cantSplit/>
        </w:trPr>
        <w:tc>
          <w:tcPr>
            <w:tcW w:w="3118" w:type="dxa"/>
            <w:tcBorders>
              <w:top w:val="nil"/>
              <w:bottom w:val="nil"/>
              <w:right w:val="nil"/>
            </w:tcBorders>
            <w:shd w:val="clear" w:color="auto" w:fill="auto"/>
          </w:tcPr>
          <w:p w:rsidR="006724FB" w:rsidRDefault="006724FB">
            <w:pPr>
              <w:pStyle w:val="nTable"/>
              <w:spacing w:after="40"/>
              <w:rPr>
                <w:i/>
              </w:rPr>
            </w:pPr>
            <w:r>
              <w:rPr>
                <w:i/>
              </w:rPr>
              <w:t>Road Traffic Regulations Amendment Regulations 2021</w:t>
            </w:r>
            <w:r>
              <w:t xml:space="preserve"> Pt. 3</w:t>
            </w:r>
          </w:p>
        </w:tc>
        <w:tc>
          <w:tcPr>
            <w:tcW w:w="1276" w:type="dxa"/>
            <w:tcBorders>
              <w:top w:val="nil"/>
              <w:left w:val="nil"/>
              <w:bottom w:val="nil"/>
              <w:right w:val="nil"/>
            </w:tcBorders>
            <w:shd w:val="clear" w:color="auto" w:fill="auto"/>
          </w:tcPr>
          <w:p w:rsidR="006724FB" w:rsidRDefault="006724FB">
            <w:pPr>
              <w:pStyle w:val="nTable"/>
              <w:spacing w:after="40"/>
            </w:pPr>
            <w:r>
              <w:t>SL 2021/93</w:t>
            </w:r>
            <w:r>
              <w:br/>
              <w:t>22 Jun 2021</w:t>
            </w:r>
          </w:p>
        </w:tc>
        <w:tc>
          <w:tcPr>
            <w:tcW w:w="2693" w:type="dxa"/>
            <w:tcBorders>
              <w:top w:val="nil"/>
              <w:left w:val="nil"/>
              <w:bottom w:val="nil"/>
            </w:tcBorders>
            <w:shd w:val="clear" w:color="auto" w:fill="auto"/>
          </w:tcPr>
          <w:p w:rsidR="006724FB" w:rsidRDefault="006724FB">
            <w:pPr>
              <w:pStyle w:val="nTable"/>
              <w:spacing w:after="40"/>
            </w:pPr>
            <w:r>
              <w:t>23 Jun 2021 (see r. 2(b))</w:t>
            </w:r>
          </w:p>
        </w:tc>
      </w:tr>
      <w:tr w:rsidR="00FF235D">
        <w:trPr>
          <w:cantSplit/>
        </w:trPr>
        <w:tc>
          <w:tcPr>
            <w:tcW w:w="3118" w:type="dxa"/>
            <w:tcBorders>
              <w:top w:val="nil"/>
              <w:bottom w:val="single" w:sz="4" w:space="0" w:color="auto"/>
              <w:right w:val="nil"/>
            </w:tcBorders>
            <w:shd w:val="clear" w:color="auto" w:fill="auto"/>
          </w:tcPr>
          <w:p w:rsidR="00FF235D" w:rsidRDefault="00FF235D" w:rsidP="00FF235D">
            <w:pPr>
              <w:pStyle w:val="nTable"/>
              <w:spacing w:after="40"/>
              <w:rPr>
                <w:i/>
              </w:rPr>
            </w:pPr>
            <w:r>
              <w:rPr>
                <w:i/>
              </w:rPr>
              <w:t>Road Traffic (Vehicles) Amendment Regulations (No. 7) 2021</w:t>
            </w:r>
            <w:r>
              <w:t xml:space="preserve"> </w:t>
            </w:r>
          </w:p>
        </w:tc>
        <w:tc>
          <w:tcPr>
            <w:tcW w:w="1276" w:type="dxa"/>
            <w:tcBorders>
              <w:top w:val="nil"/>
              <w:left w:val="nil"/>
              <w:bottom w:val="single" w:sz="4" w:space="0" w:color="auto"/>
              <w:right w:val="nil"/>
            </w:tcBorders>
            <w:shd w:val="clear" w:color="auto" w:fill="auto"/>
          </w:tcPr>
          <w:p w:rsidR="00FF235D" w:rsidRDefault="00FF235D" w:rsidP="00FF235D">
            <w:pPr>
              <w:pStyle w:val="nTable"/>
              <w:spacing w:after="40"/>
            </w:pPr>
            <w:r>
              <w:t>SL 2021/81 22 Jun 2021</w:t>
            </w:r>
          </w:p>
        </w:tc>
        <w:tc>
          <w:tcPr>
            <w:tcW w:w="2693" w:type="dxa"/>
            <w:tcBorders>
              <w:top w:val="nil"/>
              <w:left w:val="nil"/>
              <w:bottom w:val="single" w:sz="4" w:space="0" w:color="auto"/>
            </w:tcBorders>
            <w:shd w:val="clear" w:color="auto" w:fill="auto"/>
          </w:tcPr>
          <w:p w:rsidR="00FF235D" w:rsidRDefault="00FF235D" w:rsidP="00FF235D">
            <w:pPr>
              <w:pStyle w:val="nTable"/>
              <w:spacing w:after="40"/>
            </w:pPr>
            <w:r>
              <w:t>r. 1 and 2: 22 Jun 2021 (see r. 2(a));</w:t>
            </w:r>
            <w:r>
              <w:br/>
              <w:t>Regulations other than r. 1 and 2: 1 Jul 2021 (see r. 2(b))</w:t>
            </w:r>
          </w:p>
        </w:tc>
      </w:tr>
    </w:tbl>
    <w:p w:rsidR="006724FB" w:rsidRDefault="006724FB">
      <w:pPr>
        <w:pStyle w:val="nHeading3"/>
      </w:pPr>
      <w:bookmarkStart w:id="999" w:name="_Toc75876181"/>
      <w:r>
        <w:t>Other notes</w:t>
      </w:r>
      <w:bookmarkEnd w:id="999"/>
    </w:p>
    <w:p w:rsidR="006724FB" w:rsidRDefault="006724FB">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rsidR="006724FB" w:rsidRDefault="006724FB">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rsidR="006724FB" w:rsidRDefault="006724FB">
      <w:pPr>
        <w:pStyle w:val="BlankOpen"/>
      </w:pPr>
    </w:p>
    <w:p w:rsidR="006724FB" w:rsidRDefault="006724FB">
      <w:pPr>
        <w:pStyle w:val="nzHeading5"/>
      </w:pPr>
      <w:r>
        <w:rPr>
          <w:rStyle w:val="CharSectno"/>
        </w:rPr>
        <w:t>2</w:t>
      </w:r>
      <w:r>
        <w:rPr>
          <w:spacing w:val="-2"/>
        </w:rPr>
        <w:t>.</w:t>
      </w:r>
      <w:r>
        <w:rPr>
          <w:spacing w:val="-2"/>
        </w:rPr>
        <w:tab/>
        <w:t>Specified day</w:t>
      </w:r>
    </w:p>
    <w:p w:rsidR="006724FB" w:rsidRDefault="006724FB">
      <w:pPr>
        <w:pStyle w:val="nzSubsection"/>
      </w:pPr>
      <w:r>
        <w:rPr>
          <w:spacing w:val="-2"/>
        </w:rPr>
        <w:tab/>
      </w:r>
      <w:r>
        <w:rPr>
          <w:spacing w:val="-2"/>
        </w:rPr>
        <w:tab/>
        <w:t>For the purposes of section 18 of the Act, the specified day in relation to these regulations is 1 July 2015.</w:t>
      </w:r>
    </w:p>
    <w:p w:rsidR="006724FB" w:rsidRDefault="006724FB">
      <w:pPr>
        <w:pStyle w:val="BlankClose"/>
      </w:pPr>
    </w:p>
    <w:p w:rsidR="006724FB" w:rsidRDefault="006724FB">
      <w:pPr>
        <w:pStyle w:val="nNote"/>
        <w:keepNext/>
      </w:pPr>
      <w:r>
        <w:rPr>
          <w:vertAlign w:val="superscript"/>
        </w:rPr>
        <w:lastRenderedPageBreak/>
        <w:t>3</w:t>
      </w:r>
      <w:r>
        <w:tab/>
        <w:t xml:space="preserve">The </w:t>
      </w:r>
      <w:r>
        <w:rPr>
          <w:i/>
        </w:rPr>
        <w:t>Transport Regulations Amendment (Fees and Charges) Regulations 2016</w:t>
      </w:r>
      <w:r>
        <w:t xml:space="preserve"> r. 9 reads as follows:</w:t>
      </w:r>
    </w:p>
    <w:p w:rsidR="006724FB" w:rsidRDefault="006724FB">
      <w:pPr>
        <w:pStyle w:val="BlankOpen"/>
      </w:pPr>
    </w:p>
    <w:p w:rsidR="006724FB" w:rsidRDefault="006724FB">
      <w:pPr>
        <w:pStyle w:val="nzHeading5"/>
      </w:pPr>
      <w:r>
        <w:rPr>
          <w:rStyle w:val="CharSectno"/>
        </w:rPr>
        <w:t>9</w:t>
      </w:r>
      <w:r>
        <w:t>.</w:t>
      </w:r>
      <w:r>
        <w:tab/>
        <w:t>Specified day</w:t>
      </w:r>
    </w:p>
    <w:p w:rsidR="006724FB" w:rsidRDefault="006724FB">
      <w:pPr>
        <w:pStyle w:val="nzSubsection"/>
      </w:pPr>
      <w:r>
        <w:tab/>
      </w:r>
      <w:r>
        <w:tab/>
      </w:r>
      <w:r>
        <w:rPr>
          <w:spacing w:val="-2"/>
        </w:rPr>
        <w:t>For the purposes of section 18 of the Act, the specified day in relation to these regulations is 1 July 2016.</w:t>
      </w:r>
    </w:p>
    <w:p w:rsidR="006724FB" w:rsidRDefault="006724FB">
      <w:pPr>
        <w:pStyle w:val="BlankClose"/>
      </w:pPr>
    </w:p>
    <w:p w:rsidR="006724FB" w:rsidRDefault="006724FB">
      <w:pPr>
        <w:pStyle w:val="nNote"/>
        <w:keepNext/>
      </w:pPr>
      <w:r>
        <w:rPr>
          <w:vertAlign w:val="superscript"/>
        </w:rPr>
        <w:t>4</w:t>
      </w:r>
      <w:r>
        <w:tab/>
        <w:t xml:space="preserve">The </w:t>
      </w:r>
      <w:r>
        <w:rPr>
          <w:i/>
        </w:rPr>
        <w:t>Road Traffic (Vehicles) Amendment Regulations (No. 2) 2017</w:t>
      </w:r>
      <w:r>
        <w:t xml:space="preserve"> r. 2 reads as follows:</w:t>
      </w:r>
    </w:p>
    <w:p w:rsidR="006724FB" w:rsidRDefault="006724FB">
      <w:pPr>
        <w:pStyle w:val="BlankOpen"/>
      </w:pPr>
    </w:p>
    <w:p w:rsidR="006724FB" w:rsidRDefault="006724FB">
      <w:pPr>
        <w:pStyle w:val="nzHeading5"/>
        <w:spacing w:before="0"/>
      </w:pPr>
      <w:r>
        <w:rPr>
          <w:rStyle w:val="CharSectno"/>
        </w:rPr>
        <w:t>2</w:t>
      </w:r>
      <w:r>
        <w:t>.</w:t>
      </w:r>
      <w:r>
        <w:tab/>
        <w:t>Specified day</w:t>
      </w:r>
    </w:p>
    <w:p w:rsidR="006724FB" w:rsidRDefault="006724FB">
      <w:pPr>
        <w:pStyle w:val="nzSubsection"/>
      </w:pPr>
      <w:r>
        <w:tab/>
      </w:r>
      <w:r>
        <w:tab/>
      </w:r>
      <w:r>
        <w:rPr>
          <w:spacing w:val="-2"/>
        </w:rPr>
        <w:t>For the purposes of section 18 of the Act, the specified day in relation to these regulations is 1 July 2017.</w:t>
      </w:r>
    </w:p>
    <w:p w:rsidR="006724FB" w:rsidRDefault="006724FB">
      <w:pPr>
        <w:pStyle w:val="BlankClose"/>
      </w:pPr>
    </w:p>
    <w:p w:rsidR="006724FB" w:rsidRDefault="006724FB">
      <w:pPr>
        <w:pStyle w:val="nNote"/>
        <w:keepNext/>
      </w:pPr>
      <w:r>
        <w:rPr>
          <w:vertAlign w:val="superscript"/>
        </w:rPr>
        <w:t>5</w:t>
      </w:r>
      <w:r>
        <w:tab/>
        <w:t xml:space="preserve">The </w:t>
      </w:r>
      <w:r>
        <w:rPr>
          <w:i/>
        </w:rPr>
        <w:t>Transport Regulations Amendment (Fees and Charges) Regulations 2017</w:t>
      </w:r>
      <w:r>
        <w:t xml:space="preserve"> r. 12 reads as follows:</w:t>
      </w:r>
    </w:p>
    <w:p w:rsidR="006724FB" w:rsidRDefault="006724FB">
      <w:pPr>
        <w:pStyle w:val="BlankOpen"/>
      </w:pPr>
    </w:p>
    <w:p w:rsidR="006724FB" w:rsidRDefault="006724FB">
      <w:pPr>
        <w:pStyle w:val="nzHeading5"/>
      </w:pPr>
      <w:r>
        <w:rPr>
          <w:rStyle w:val="CharSectno"/>
        </w:rPr>
        <w:t>12</w:t>
      </w:r>
      <w:r>
        <w:t>.</w:t>
      </w:r>
      <w:r>
        <w:tab/>
        <w:t>Specified day</w:t>
      </w:r>
    </w:p>
    <w:p w:rsidR="006724FB" w:rsidRDefault="006724FB">
      <w:pPr>
        <w:pStyle w:val="nzSubsection"/>
      </w:pPr>
      <w:r>
        <w:tab/>
      </w:r>
      <w:r>
        <w:tab/>
        <w:t xml:space="preserve">For the </w:t>
      </w:r>
      <w:r>
        <w:rPr>
          <w:spacing w:val="-2"/>
        </w:rPr>
        <w:t>purposes</w:t>
      </w:r>
      <w:r>
        <w:t xml:space="preserve"> of section 18 of the Act, the specified day in relation to these regulations is 1 July 2017.</w:t>
      </w:r>
    </w:p>
    <w:p w:rsidR="006724FB" w:rsidRDefault="006724FB">
      <w:pPr>
        <w:pStyle w:val="BlankClose"/>
      </w:pPr>
    </w:p>
    <w:p w:rsidR="006724FB" w:rsidRDefault="006724FB">
      <w:pPr>
        <w:pStyle w:val="nNote"/>
        <w:keepNext/>
      </w:pPr>
      <w:r>
        <w:rPr>
          <w:vertAlign w:val="superscript"/>
        </w:rPr>
        <w:t>6</w:t>
      </w:r>
      <w:r>
        <w:tab/>
        <w:t xml:space="preserve">The </w:t>
      </w:r>
      <w:r>
        <w:rPr>
          <w:i/>
        </w:rPr>
        <w:t>Transport Regulations Amendment (Fees and Charges) Regulations 2018</w:t>
      </w:r>
      <w:r>
        <w:t xml:space="preserve"> r. 14 reads as follows:</w:t>
      </w:r>
    </w:p>
    <w:p w:rsidR="006724FB" w:rsidRDefault="006724FB">
      <w:pPr>
        <w:pStyle w:val="BlankOpen"/>
      </w:pPr>
    </w:p>
    <w:p w:rsidR="006724FB" w:rsidRDefault="006724FB">
      <w:pPr>
        <w:pStyle w:val="nzHeading5"/>
      </w:pPr>
      <w:r>
        <w:rPr>
          <w:rStyle w:val="CharSectno"/>
        </w:rPr>
        <w:t>14</w:t>
      </w:r>
      <w:r>
        <w:t>.</w:t>
      </w:r>
      <w:r>
        <w:tab/>
        <w:t>Specified day</w:t>
      </w:r>
    </w:p>
    <w:p w:rsidR="006724FB" w:rsidRDefault="006724FB">
      <w:pPr>
        <w:pStyle w:val="nzSubsection"/>
      </w:pPr>
      <w:r>
        <w:tab/>
      </w:r>
      <w:r>
        <w:tab/>
        <w:t xml:space="preserve">For the </w:t>
      </w:r>
      <w:r>
        <w:rPr>
          <w:spacing w:val="-2"/>
        </w:rPr>
        <w:t>purposes</w:t>
      </w:r>
      <w:r>
        <w:t xml:space="preserve"> of section 18 of the Act, the specified day in relation to these regulations is 1 July 2018.</w:t>
      </w:r>
    </w:p>
    <w:p w:rsidR="006724FB" w:rsidRDefault="006724FB">
      <w:pPr>
        <w:pStyle w:val="BlankClose"/>
      </w:pPr>
    </w:p>
    <w:p w:rsidR="006724FB" w:rsidRDefault="006724FB">
      <w:pPr>
        <w:pStyle w:val="nNote"/>
        <w:keepNext/>
      </w:pPr>
      <w:r>
        <w:rPr>
          <w:vertAlign w:val="superscript"/>
        </w:rPr>
        <w:t>7</w:t>
      </w:r>
      <w:r>
        <w:tab/>
        <w:t xml:space="preserve">The </w:t>
      </w:r>
      <w:r>
        <w:rPr>
          <w:i/>
        </w:rPr>
        <w:t>Transport Regulations Amendment (Fees and Charges) Regulations 2019</w:t>
      </w:r>
      <w:r>
        <w:t xml:space="preserve"> r. 6 reads as follows:</w:t>
      </w:r>
    </w:p>
    <w:p w:rsidR="006724FB" w:rsidRDefault="006724FB">
      <w:pPr>
        <w:pStyle w:val="BlankClose"/>
      </w:pPr>
    </w:p>
    <w:p w:rsidR="006724FB" w:rsidRDefault="006724FB">
      <w:pPr>
        <w:pStyle w:val="nzHeading5"/>
        <w:rPr>
          <w:snapToGrid w:val="0"/>
        </w:rPr>
      </w:pPr>
      <w:r>
        <w:rPr>
          <w:rStyle w:val="CharSectno"/>
        </w:rPr>
        <w:t>6</w:t>
      </w:r>
      <w:r>
        <w:rPr>
          <w:snapToGrid w:val="0"/>
        </w:rPr>
        <w:t>.</w:t>
      </w:r>
      <w:r>
        <w:rPr>
          <w:snapToGrid w:val="0"/>
        </w:rPr>
        <w:tab/>
        <w:t>Specified day</w:t>
      </w:r>
    </w:p>
    <w:p w:rsidR="006724FB" w:rsidRDefault="006724FB">
      <w:pPr>
        <w:pStyle w:val="nzSubsection"/>
      </w:pPr>
      <w:r>
        <w:tab/>
      </w:r>
      <w:r>
        <w:tab/>
        <w:t xml:space="preserve">For the purposes of the </w:t>
      </w:r>
      <w:r>
        <w:rPr>
          <w:i/>
        </w:rPr>
        <w:t xml:space="preserve">Road Traffic (Vehicles) Act 2012 </w:t>
      </w:r>
      <w:r>
        <w:t>section 18, the specified day in relation to this Division is 1 July 2019.</w:t>
      </w:r>
    </w:p>
    <w:p w:rsidR="006724FB" w:rsidRDefault="006724FB">
      <w:pPr>
        <w:pStyle w:val="BlankClose"/>
      </w:pPr>
    </w:p>
    <w:p w:rsidR="006724FB" w:rsidRDefault="006724FB">
      <w:pPr>
        <w:pStyle w:val="nNote"/>
        <w:keepNext/>
      </w:pPr>
      <w:r>
        <w:rPr>
          <w:vertAlign w:val="superscript"/>
        </w:rPr>
        <w:lastRenderedPageBreak/>
        <w:t>8</w:t>
      </w:r>
      <w:r>
        <w:tab/>
        <w:t xml:space="preserve">The </w:t>
      </w:r>
      <w:r>
        <w:rPr>
          <w:i/>
        </w:rPr>
        <w:t xml:space="preserve">Road Traffic (Vehicles) Amendment Regulations (No. 3) 2020 </w:t>
      </w:r>
      <w:r>
        <w:t>r. 4 reads as follows:</w:t>
      </w:r>
    </w:p>
    <w:p w:rsidR="006724FB" w:rsidRDefault="006724FB">
      <w:pPr>
        <w:pStyle w:val="BlankClose"/>
      </w:pPr>
    </w:p>
    <w:p w:rsidR="006724FB" w:rsidRDefault="006724FB">
      <w:pPr>
        <w:pStyle w:val="nzHeading5"/>
        <w:rPr>
          <w:snapToGrid w:val="0"/>
        </w:rPr>
      </w:pPr>
      <w:r>
        <w:rPr>
          <w:rStyle w:val="CharSectno"/>
        </w:rPr>
        <w:t>4</w:t>
      </w:r>
      <w:r>
        <w:rPr>
          <w:snapToGrid w:val="0"/>
        </w:rPr>
        <w:t>.</w:t>
      </w:r>
      <w:r>
        <w:rPr>
          <w:snapToGrid w:val="0"/>
        </w:rPr>
        <w:tab/>
        <w:t>Specified day</w:t>
      </w:r>
    </w:p>
    <w:p w:rsidR="006724FB" w:rsidRDefault="006724FB">
      <w:pPr>
        <w:pStyle w:val="nzSubsection"/>
      </w:pPr>
      <w:r>
        <w:tab/>
      </w:r>
      <w:r>
        <w:tab/>
        <w:t xml:space="preserve">For the purposes of the </w:t>
      </w:r>
      <w:r>
        <w:rPr>
          <w:i/>
        </w:rPr>
        <w:t xml:space="preserve">Road Traffic (Vehicles) Act 2012 </w:t>
      </w:r>
      <w:r>
        <w:t>section 18, the specified day in relation to these regulations is 10 July 2020.</w:t>
      </w:r>
    </w:p>
    <w:p w:rsidR="006724FB" w:rsidRDefault="006724FB">
      <w:pPr>
        <w:pStyle w:val="BlankClose"/>
      </w:pPr>
    </w:p>
    <w:p w:rsidR="006724FB" w:rsidRDefault="006724FB">
      <w:pPr>
        <w:pStyle w:val="nNote"/>
      </w:pPr>
      <w:r>
        <w:rPr>
          <w:vertAlign w:val="superscript"/>
        </w:rPr>
        <w:t>9</w:t>
      </w:r>
      <w:r>
        <w:rPr>
          <w:vertAlign w:val="superscript"/>
        </w:rPr>
        <w:tab/>
      </w:r>
      <w:r>
        <w:t xml:space="preserve">The </w:t>
      </w:r>
      <w:r>
        <w:rPr>
          <w:i/>
        </w:rPr>
        <w:t>Road Traffic (Vehicles) Amendment Regulations (No. 6) 2021</w:t>
      </w:r>
      <w:r>
        <w:t xml:space="preserve"> r. 4 reads as follows:</w:t>
      </w:r>
    </w:p>
    <w:p w:rsidR="006724FB" w:rsidRDefault="006724FB">
      <w:pPr>
        <w:pStyle w:val="BlankOpen"/>
      </w:pPr>
    </w:p>
    <w:p w:rsidR="006724FB" w:rsidRDefault="006724FB">
      <w:pPr>
        <w:pStyle w:val="nzHeading5"/>
      </w:pPr>
      <w:r>
        <w:t>4.</w:t>
      </w:r>
      <w:r>
        <w:tab/>
        <w:t>Specified day</w:t>
      </w:r>
    </w:p>
    <w:p w:rsidR="006724FB" w:rsidRDefault="006724FB">
      <w:pPr>
        <w:pStyle w:val="nzSubsection"/>
      </w:pPr>
      <w:r>
        <w:tab/>
      </w:r>
      <w:r>
        <w:tab/>
        <w:t xml:space="preserve">For the purposes of the </w:t>
      </w:r>
      <w:r>
        <w:rPr>
          <w:i/>
        </w:rPr>
        <w:t xml:space="preserve">Road Traffic (Vehicles) Act 2012 </w:t>
      </w:r>
      <w:r>
        <w:t>section 18, the specified day in relation to these regulations is 1 July 2021.</w:t>
      </w:r>
    </w:p>
    <w:p w:rsidR="006724FB" w:rsidRDefault="006724FB">
      <w:pPr>
        <w:pStyle w:val="BlankClose"/>
      </w:pPr>
    </w:p>
    <w:p w:rsidR="006724FB" w:rsidRDefault="006724FB"/>
    <w:p w:rsidR="006724FB" w:rsidRDefault="006724FB">
      <w:pPr>
        <w:sectPr w:rsidR="006724FB">
          <w:headerReference w:type="even" r:id="rId63"/>
          <w:headerReference w:type="default" r:id="rId64"/>
          <w:pgSz w:w="11907" w:h="16840" w:code="9"/>
          <w:pgMar w:top="2376" w:right="2404" w:bottom="3544" w:left="2404" w:header="720" w:footer="3380" w:gutter="0"/>
          <w:cols w:space="720"/>
          <w:noEndnote/>
          <w:docGrid w:linePitch="326"/>
        </w:sectPr>
      </w:pPr>
    </w:p>
    <w:p w:rsidR="00E1452C" w:rsidRDefault="00E1452C">
      <w:pPr>
        <w:pStyle w:val="nHeading2"/>
        <w:rPr>
          <w:sz w:val="28"/>
        </w:rPr>
      </w:pPr>
      <w:bookmarkStart w:id="1001" w:name="_Toc75876182"/>
      <w:r>
        <w:rPr>
          <w:sz w:val="28"/>
        </w:rPr>
        <w:lastRenderedPageBreak/>
        <w:t>Defined terms</w:t>
      </w:r>
      <w:bookmarkEnd w:id="1001"/>
    </w:p>
    <w:p w:rsidR="00E1452C" w:rsidRDefault="00E1452C">
      <w:pPr>
        <w:ind w:left="850" w:right="850"/>
        <w:jc w:val="center"/>
        <w:rPr>
          <w:i/>
          <w:sz w:val="18"/>
        </w:rPr>
      </w:pPr>
    </w:p>
    <w:p w:rsidR="00E1452C" w:rsidRDefault="00E1452C">
      <w:pPr>
        <w:ind w:left="850" w:right="850"/>
        <w:jc w:val="center"/>
        <w:rPr>
          <w:i/>
          <w:sz w:val="18"/>
        </w:rPr>
      </w:pPr>
      <w:r>
        <w:rPr>
          <w:i/>
          <w:sz w:val="18"/>
        </w:rPr>
        <w:t>[This is a list of terms defined and the provisions where they are defined.  The list is not part of the law.]</w:t>
      </w:r>
    </w:p>
    <w:p w:rsidR="00E1452C" w:rsidRDefault="00E1452C">
      <w:pPr>
        <w:pBdr>
          <w:bottom w:val="single" w:sz="4" w:space="1" w:color="auto"/>
        </w:pBdr>
        <w:tabs>
          <w:tab w:val="right" w:pos="7070"/>
        </w:tabs>
        <w:ind w:left="578"/>
        <w:rPr>
          <w:b/>
          <w:sz w:val="20"/>
        </w:rPr>
      </w:pPr>
      <w:r>
        <w:rPr>
          <w:b/>
          <w:sz w:val="20"/>
        </w:rPr>
        <w:t>Defined term</w:t>
      </w:r>
      <w:r>
        <w:rPr>
          <w:b/>
          <w:sz w:val="20"/>
        </w:rPr>
        <w:tab/>
        <w:t>Provision(s)</w:t>
      </w:r>
    </w:p>
    <w:p w:rsidR="006724FB" w:rsidRDefault="00E1452C" w:rsidP="00E1452C">
      <w:pPr>
        <w:pStyle w:val="DefinedTerms"/>
      </w:pPr>
      <w:r>
        <w:t>50 mm kingpin</w:t>
      </w:r>
      <w:r>
        <w:tab/>
        <w:t>367</w:t>
      </w:r>
    </w:p>
    <w:p w:rsidR="00E1452C" w:rsidRDefault="00E1452C" w:rsidP="00E1452C">
      <w:pPr>
        <w:pStyle w:val="DefinedTerms"/>
      </w:pPr>
      <w:r>
        <w:t>75 mm kingpin</w:t>
      </w:r>
      <w:r>
        <w:tab/>
        <w:t>367</w:t>
      </w:r>
    </w:p>
    <w:p w:rsidR="00E1452C" w:rsidRDefault="00E1452C" w:rsidP="00E1452C">
      <w:pPr>
        <w:pStyle w:val="DefinedTerms"/>
      </w:pPr>
      <w:r>
        <w:t>90 mm kingpin</w:t>
      </w:r>
      <w:r>
        <w:tab/>
        <w:t>367</w:t>
      </w:r>
    </w:p>
    <w:p w:rsidR="00E1452C" w:rsidRDefault="00E1452C" w:rsidP="00E1452C">
      <w:pPr>
        <w:pStyle w:val="DefinedTerms"/>
      </w:pPr>
      <w:r>
        <w:t>access approval</w:t>
      </w:r>
      <w:r>
        <w:tab/>
        <w:t>202</w:t>
      </w:r>
    </w:p>
    <w:p w:rsidR="00E1452C" w:rsidRDefault="00E1452C" w:rsidP="00E1452C">
      <w:pPr>
        <w:pStyle w:val="DefinedTerms"/>
      </w:pPr>
      <w:r>
        <w:t>accredited</w:t>
      </w:r>
      <w:r>
        <w:tab/>
        <w:t>212</w:t>
      </w:r>
    </w:p>
    <w:p w:rsidR="00E1452C" w:rsidRDefault="00E1452C" w:rsidP="00E1452C">
      <w:pPr>
        <w:pStyle w:val="DefinedTerms"/>
      </w:pPr>
      <w:r>
        <w:t>adopted standard</w:t>
      </w:r>
      <w:r>
        <w:tab/>
        <w:t>226</w:t>
      </w:r>
    </w:p>
    <w:p w:rsidR="00E1452C" w:rsidRDefault="00E1452C" w:rsidP="00E1452C">
      <w:pPr>
        <w:pStyle w:val="DefinedTerms"/>
      </w:pPr>
      <w:r>
        <w:t>affected person</w:t>
      </w:r>
      <w:r>
        <w:tab/>
        <w:t>470(1), 479(1)</w:t>
      </w:r>
    </w:p>
    <w:p w:rsidR="00E1452C" w:rsidRDefault="00E1452C" w:rsidP="00E1452C">
      <w:pPr>
        <w:pStyle w:val="DefinedTerms"/>
      </w:pPr>
      <w:r>
        <w:t>agricultural combination</w:t>
      </w:r>
      <w:r>
        <w:tab/>
        <w:t>3</w:t>
      </w:r>
    </w:p>
    <w:p w:rsidR="00E1452C" w:rsidRDefault="00E1452C" w:rsidP="00E1452C">
      <w:pPr>
        <w:pStyle w:val="DefinedTerms"/>
      </w:pPr>
      <w:r>
        <w:t>agricultural implement</w:t>
      </w:r>
      <w:r>
        <w:tab/>
        <w:t>3</w:t>
      </w:r>
    </w:p>
    <w:p w:rsidR="00E1452C" w:rsidRDefault="00E1452C" w:rsidP="00E1452C">
      <w:pPr>
        <w:pStyle w:val="DefinedTerms"/>
      </w:pPr>
      <w:r>
        <w:t xml:space="preserve">agricultural machine </w:t>
      </w:r>
      <w:r>
        <w:tab/>
        <w:t>3</w:t>
      </w:r>
    </w:p>
    <w:p w:rsidR="00E1452C" w:rsidRDefault="00E1452C" w:rsidP="00E1452C">
      <w:pPr>
        <w:pStyle w:val="DefinedTerms"/>
      </w:pPr>
      <w:r>
        <w:t>agricultural special purpose vehicle</w:t>
      </w:r>
      <w:r>
        <w:tab/>
        <w:t>52(1)</w:t>
      </w:r>
    </w:p>
    <w:p w:rsidR="00E1452C" w:rsidRDefault="00E1452C" w:rsidP="00E1452C">
      <w:pPr>
        <w:pStyle w:val="DefinedTerms"/>
      </w:pPr>
      <w:r>
        <w:t>agricultural vehicle</w:t>
      </w:r>
      <w:r>
        <w:tab/>
        <w:t>3</w:t>
      </w:r>
    </w:p>
    <w:p w:rsidR="00E1452C" w:rsidRDefault="00E1452C" w:rsidP="00E1452C">
      <w:pPr>
        <w:pStyle w:val="DefinedTerms"/>
      </w:pPr>
      <w:r>
        <w:t>AI exemption</w:t>
      </w:r>
      <w:r>
        <w:tab/>
        <w:t>502(1)</w:t>
      </w:r>
    </w:p>
    <w:p w:rsidR="00E1452C" w:rsidRDefault="00E1452C" w:rsidP="00E1452C">
      <w:pPr>
        <w:pStyle w:val="DefinedTerms"/>
      </w:pPr>
      <w:r>
        <w:t>air brake</w:t>
      </w:r>
      <w:r>
        <w:tab/>
        <w:t>226</w:t>
      </w:r>
    </w:p>
    <w:p w:rsidR="00E1452C" w:rsidRDefault="00E1452C" w:rsidP="00E1452C">
      <w:pPr>
        <w:pStyle w:val="DefinedTerms"/>
      </w:pPr>
      <w:r>
        <w:t>Airservices Australia</w:t>
      </w:r>
      <w:r>
        <w:tab/>
        <w:t>3</w:t>
      </w:r>
    </w:p>
    <w:p w:rsidR="00E1452C" w:rsidRDefault="00E1452C" w:rsidP="00E1452C">
      <w:pPr>
        <w:pStyle w:val="DefinedTerms"/>
      </w:pPr>
      <w:r>
        <w:t>Airservices Australia vehicle</w:t>
      </w:r>
      <w:r>
        <w:tab/>
        <w:t>3</w:t>
      </w:r>
    </w:p>
    <w:p w:rsidR="00E1452C" w:rsidRDefault="00E1452C" w:rsidP="00E1452C">
      <w:pPr>
        <w:pStyle w:val="DefinedTerms"/>
      </w:pPr>
      <w:r>
        <w:t>air storage tank</w:t>
      </w:r>
      <w:r>
        <w:tab/>
        <w:t>3</w:t>
      </w:r>
    </w:p>
    <w:p w:rsidR="00E1452C" w:rsidRDefault="00E1452C" w:rsidP="00E1452C">
      <w:pPr>
        <w:pStyle w:val="DefinedTerms"/>
      </w:pPr>
      <w:r>
        <w:t>alcohol interlock</w:t>
      </w:r>
      <w:r>
        <w:tab/>
        <w:t>235(1)</w:t>
      </w:r>
    </w:p>
    <w:p w:rsidR="00E1452C" w:rsidRDefault="00E1452C" w:rsidP="00E1452C">
      <w:pPr>
        <w:pStyle w:val="DefinedTerms"/>
      </w:pPr>
      <w:r>
        <w:t>amend</w:t>
      </w:r>
      <w:r>
        <w:tab/>
        <w:t>454N(1)</w:t>
      </w:r>
    </w:p>
    <w:p w:rsidR="00E1452C" w:rsidRDefault="00E1452C" w:rsidP="00E1452C">
      <w:pPr>
        <w:pStyle w:val="DefinedTerms"/>
      </w:pPr>
      <w:r>
        <w:t>animal drawn vehicle</w:t>
      </w:r>
      <w:r>
        <w:tab/>
        <w:t>390</w:t>
      </w:r>
    </w:p>
    <w:p w:rsidR="00E1452C" w:rsidRDefault="00E1452C" w:rsidP="00E1452C">
      <w:pPr>
        <w:pStyle w:val="DefinedTerms"/>
      </w:pPr>
      <w:r>
        <w:t>application</w:t>
      </w:r>
      <w:r>
        <w:tab/>
        <w:t>103, 455</w:t>
      </w:r>
    </w:p>
    <w:p w:rsidR="00E1452C" w:rsidRDefault="00E1452C" w:rsidP="00E1452C">
      <w:pPr>
        <w:pStyle w:val="DefinedTerms"/>
      </w:pPr>
      <w:r>
        <w:t>approved</w:t>
      </w:r>
      <w:r>
        <w:tab/>
        <w:t>454A</w:t>
      </w:r>
    </w:p>
    <w:p w:rsidR="00E1452C" w:rsidRDefault="00E1452C" w:rsidP="00E1452C">
      <w:pPr>
        <w:pStyle w:val="DefinedTerms"/>
      </w:pPr>
      <w:r>
        <w:t>approved air suspension system</w:t>
      </w:r>
      <w:r>
        <w:tab/>
        <w:t>161</w:t>
      </w:r>
    </w:p>
    <w:p w:rsidR="00E1452C" w:rsidRDefault="00E1452C" w:rsidP="00E1452C">
      <w:pPr>
        <w:pStyle w:val="DefinedTerms"/>
      </w:pPr>
      <w:r>
        <w:t>approved material</w:t>
      </w:r>
      <w:r>
        <w:tab/>
        <w:t>259(1)</w:t>
      </w:r>
    </w:p>
    <w:p w:rsidR="00E1452C" w:rsidRDefault="00E1452C" w:rsidP="00E1452C">
      <w:pPr>
        <w:pStyle w:val="DefinedTerms"/>
      </w:pPr>
      <w:r>
        <w:t>approved motoring organisation</w:t>
      </w:r>
      <w:r>
        <w:tab/>
        <w:t>84A(1)</w:t>
      </w:r>
    </w:p>
    <w:p w:rsidR="00E1452C" w:rsidRDefault="00E1452C" w:rsidP="00E1452C">
      <w:pPr>
        <w:pStyle w:val="DefinedTerms"/>
      </w:pPr>
      <w:r>
        <w:t>articulated bus</w:t>
      </w:r>
      <w:r>
        <w:tab/>
        <w:t>3</w:t>
      </w:r>
    </w:p>
    <w:p w:rsidR="00E1452C" w:rsidRDefault="00E1452C" w:rsidP="00E1452C">
      <w:pPr>
        <w:pStyle w:val="DefinedTerms"/>
      </w:pPr>
      <w:r>
        <w:t>articulated vehicle</w:t>
      </w:r>
      <w:r>
        <w:tab/>
        <w:t>418(1)</w:t>
      </w:r>
    </w:p>
    <w:p w:rsidR="00E1452C" w:rsidRDefault="00E1452C" w:rsidP="00E1452C">
      <w:pPr>
        <w:pStyle w:val="DefinedTerms"/>
      </w:pPr>
      <w:r>
        <w:t>assessor</w:t>
      </w:r>
      <w:r>
        <w:tab/>
        <w:t>146</w:t>
      </w:r>
    </w:p>
    <w:p w:rsidR="00E1452C" w:rsidRDefault="00E1452C" w:rsidP="00E1452C">
      <w:pPr>
        <w:pStyle w:val="DefinedTerms"/>
      </w:pPr>
      <w:r>
        <w:t>Australian Border Force</w:t>
      </w:r>
      <w:r>
        <w:tab/>
        <w:t>3</w:t>
      </w:r>
    </w:p>
    <w:p w:rsidR="00E1452C" w:rsidRDefault="00E1452C" w:rsidP="00E1452C">
      <w:pPr>
        <w:pStyle w:val="DefinedTerms"/>
      </w:pPr>
      <w:r>
        <w:t>Australian Border Force vehicle</w:t>
      </w:r>
      <w:r>
        <w:tab/>
        <w:t>3</w:t>
      </w:r>
    </w:p>
    <w:p w:rsidR="00E1452C" w:rsidRDefault="00E1452C" w:rsidP="00E1452C">
      <w:pPr>
        <w:pStyle w:val="DefinedTerms"/>
      </w:pPr>
      <w:r>
        <w:t>Australian Design Rule (ADR)</w:t>
      </w:r>
      <w:r>
        <w:tab/>
        <w:t>3</w:t>
      </w:r>
    </w:p>
    <w:p w:rsidR="00E1452C" w:rsidRDefault="00E1452C" w:rsidP="00E1452C">
      <w:pPr>
        <w:pStyle w:val="DefinedTerms"/>
      </w:pPr>
      <w:r>
        <w:t>Australian Design Rules (ADR)</w:t>
      </w:r>
      <w:r>
        <w:tab/>
        <w:t>226</w:t>
      </w:r>
    </w:p>
    <w:p w:rsidR="00E1452C" w:rsidRDefault="00E1452C" w:rsidP="00E1452C">
      <w:pPr>
        <w:pStyle w:val="DefinedTerms"/>
      </w:pPr>
      <w:r>
        <w:t>Australian Standard (AS)</w:t>
      </w:r>
      <w:r>
        <w:tab/>
        <w:t>3</w:t>
      </w:r>
    </w:p>
    <w:p w:rsidR="00E1452C" w:rsidRDefault="00E1452C" w:rsidP="00E1452C">
      <w:pPr>
        <w:pStyle w:val="DefinedTerms"/>
      </w:pPr>
      <w:r>
        <w:t>authorised on-demand rank or hail vehicle</w:t>
      </w:r>
      <w:r>
        <w:tab/>
        <w:t>109</w:t>
      </w:r>
    </w:p>
    <w:p w:rsidR="00E1452C" w:rsidRDefault="00E1452C" w:rsidP="00E1452C">
      <w:pPr>
        <w:pStyle w:val="DefinedTerms"/>
      </w:pPr>
      <w:r>
        <w:t>authorised passenger transport vehicle</w:t>
      </w:r>
      <w:r>
        <w:tab/>
        <w:t>109</w:t>
      </w:r>
    </w:p>
    <w:p w:rsidR="00E1452C" w:rsidRDefault="00E1452C" w:rsidP="00E1452C">
      <w:pPr>
        <w:pStyle w:val="DefinedTerms"/>
      </w:pPr>
      <w:r>
        <w:t>B-double</w:t>
      </w:r>
      <w:r>
        <w:tab/>
        <w:t>3</w:t>
      </w:r>
    </w:p>
    <w:p w:rsidR="00E1452C" w:rsidRDefault="00E1452C" w:rsidP="00E1452C">
      <w:pPr>
        <w:pStyle w:val="DefinedTerms"/>
      </w:pPr>
      <w:r>
        <w:t>bicycle</w:t>
      </w:r>
      <w:r>
        <w:tab/>
        <w:t>3</w:t>
      </w:r>
    </w:p>
    <w:p w:rsidR="00E1452C" w:rsidRDefault="00E1452C" w:rsidP="00E1452C">
      <w:pPr>
        <w:pStyle w:val="DefinedTerms"/>
      </w:pPr>
      <w:r>
        <w:t>brake light</w:t>
      </w:r>
      <w:r>
        <w:tab/>
        <w:t>308(1)</w:t>
      </w:r>
    </w:p>
    <w:p w:rsidR="00E1452C" w:rsidRDefault="00E1452C" w:rsidP="00E1452C">
      <w:pPr>
        <w:pStyle w:val="DefinedTerms"/>
      </w:pPr>
      <w:r>
        <w:t>braking system</w:t>
      </w:r>
      <w:r>
        <w:tab/>
        <w:t>226</w:t>
      </w:r>
    </w:p>
    <w:p w:rsidR="00E1452C" w:rsidRDefault="00E1452C" w:rsidP="00E1452C">
      <w:pPr>
        <w:pStyle w:val="DefinedTerms"/>
      </w:pPr>
      <w:r>
        <w:t>British Standard</w:t>
      </w:r>
      <w:r>
        <w:tab/>
        <w:t>226</w:t>
      </w:r>
    </w:p>
    <w:p w:rsidR="00E1452C" w:rsidRDefault="00E1452C" w:rsidP="00E1452C">
      <w:pPr>
        <w:pStyle w:val="DefinedTerms"/>
      </w:pPr>
      <w:r>
        <w:lastRenderedPageBreak/>
        <w:t>built-up area</w:t>
      </w:r>
      <w:r>
        <w:tab/>
        <w:t>449(1)</w:t>
      </w:r>
    </w:p>
    <w:p w:rsidR="00E1452C" w:rsidRDefault="00E1452C" w:rsidP="00E1452C">
      <w:pPr>
        <w:pStyle w:val="DefinedTerms"/>
      </w:pPr>
      <w:r>
        <w:t>bus</w:t>
      </w:r>
      <w:r>
        <w:tab/>
        <w:t>3, 323</w:t>
      </w:r>
    </w:p>
    <w:p w:rsidR="00E1452C" w:rsidRDefault="00E1452C" w:rsidP="00E1452C">
      <w:pPr>
        <w:pStyle w:val="DefinedTerms"/>
      </w:pPr>
      <w:r>
        <w:t>car</w:t>
      </w:r>
      <w:r>
        <w:tab/>
        <w:t>3</w:t>
      </w:r>
    </w:p>
    <w:p w:rsidR="00E1452C" w:rsidRDefault="00E1452C" w:rsidP="00E1452C">
      <w:pPr>
        <w:pStyle w:val="DefinedTerms"/>
      </w:pPr>
      <w:r>
        <w:t>car or bus</w:t>
      </w:r>
      <w:r>
        <w:tab/>
        <w:t>3</w:t>
      </w:r>
    </w:p>
    <w:p w:rsidR="00E1452C" w:rsidRDefault="00E1452C" w:rsidP="00E1452C">
      <w:pPr>
        <w:pStyle w:val="DefinedTerms"/>
      </w:pPr>
      <w:r>
        <w:t>car-type vehicle</w:t>
      </w:r>
      <w:r>
        <w:tab/>
        <w:t>359(1)</w:t>
      </w:r>
    </w:p>
    <w:p w:rsidR="00E1452C" w:rsidRDefault="00E1452C" w:rsidP="00E1452C">
      <w:pPr>
        <w:pStyle w:val="DefinedTerms"/>
      </w:pPr>
      <w:r>
        <w:t>centre line</w:t>
      </w:r>
      <w:r>
        <w:tab/>
        <w:t>3, 3</w:t>
      </w:r>
    </w:p>
    <w:p w:rsidR="00E1452C" w:rsidRDefault="00E1452C" w:rsidP="00E1452C">
      <w:pPr>
        <w:pStyle w:val="DefinedTerms"/>
      </w:pPr>
      <w:r>
        <w:t>CEO exemption</w:t>
      </w:r>
      <w:r>
        <w:tab/>
        <w:t>455</w:t>
      </w:r>
    </w:p>
    <w:p w:rsidR="00E1452C" w:rsidRDefault="00E1452C" w:rsidP="00E1452C">
      <w:pPr>
        <w:pStyle w:val="DefinedTerms"/>
      </w:pPr>
      <w:r>
        <w:t>CEO exemption reviewable decision</w:t>
      </w:r>
      <w:r>
        <w:tab/>
        <w:t>478</w:t>
      </w:r>
    </w:p>
    <w:p w:rsidR="00E1452C" w:rsidRDefault="00E1452C" w:rsidP="00E1452C">
      <w:pPr>
        <w:pStyle w:val="DefinedTerms"/>
      </w:pPr>
      <w:r>
        <w:t>Certificate of Attendance</w:t>
      </w:r>
      <w:r>
        <w:tab/>
        <w:t>454E(1)</w:t>
      </w:r>
    </w:p>
    <w:p w:rsidR="00E1452C" w:rsidRDefault="00E1452C" w:rsidP="00E1452C">
      <w:pPr>
        <w:pStyle w:val="DefinedTerms"/>
      </w:pPr>
      <w:r>
        <w:t>certificate of inspection</w:t>
      </w:r>
      <w:r>
        <w:tab/>
        <w:t>3</w:t>
      </w:r>
    </w:p>
    <w:p w:rsidR="00E1452C" w:rsidRDefault="00E1452C" w:rsidP="00E1452C">
      <w:pPr>
        <w:pStyle w:val="DefinedTerms"/>
      </w:pPr>
      <w:r>
        <w:t>certified to ADR 83/00</w:t>
      </w:r>
      <w:r>
        <w:tab/>
        <w:t>357A</w:t>
      </w:r>
    </w:p>
    <w:p w:rsidR="00E1452C" w:rsidRDefault="00E1452C" w:rsidP="00E1452C">
      <w:pPr>
        <w:pStyle w:val="DefinedTerms"/>
      </w:pPr>
      <w:r>
        <w:t>character</w:t>
      </w:r>
      <w:r>
        <w:tab/>
        <w:t>3</w:t>
      </w:r>
    </w:p>
    <w:p w:rsidR="00E1452C" w:rsidRDefault="00E1452C" w:rsidP="00E1452C">
      <w:pPr>
        <w:pStyle w:val="DefinedTerms"/>
      </w:pPr>
      <w:r>
        <w:t>class 1 vehicle</w:t>
      </w:r>
      <w:r>
        <w:tab/>
        <w:t>190</w:t>
      </w:r>
    </w:p>
    <w:p w:rsidR="00E1452C" w:rsidRDefault="00E1452C" w:rsidP="00E1452C">
      <w:pPr>
        <w:pStyle w:val="DefinedTerms"/>
      </w:pPr>
      <w:r>
        <w:t>class 2 vehicle</w:t>
      </w:r>
      <w:r>
        <w:tab/>
        <w:t>203(2)</w:t>
      </w:r>
    </w:p>
    <w:p w:rsidR="00E1452C" w:rsidRDefault="00E1452C" w:rsidP="00E1452C">
      <w:pPr>
        <w:pStyle w:val="DefinedTerms"/>
      </w:pPr>
      <w:r>
        <w:t>class 3 vehicle</w:t>
      </w:r>
      <w:r>
        <w:tab/>
        <w:t>190</w:t>
      </w:r>
    </w:p>
    <w:p w:rsidR="00E1452C" w:rsidRDefault="00E1452C" w:rsidP="00E1452C">
      <w:pPr>
        <w:pStyle w:val="DefinedTerms"/>
      </w:pPr>
      <w:r>
        <w:t>classic vehicle</w:t>
      </w:r>
      <w:r>
        <w:tab/>
        <w:t>84A(1)</w:t>
      </w:r>
    </w:p>
    <w:p w:rsidR="00E1452C" w:rsidRDefault="00E1452C" w:rsidP="00E1452C">
      <w:pPr>
        <w:pStyle w:val="DefinedTerms"/>
      </w:pPr>
      <w:r>
        <w:t>clearance light</w:t>
      </w:r>
      <w:r>
        <w:tab/>
        <w:t>432(1)</w:t>
      </w:r>
    </w:p>
    <w:p w:rsidR="00E1452C" w:rsidRDefault="00E1452C" w:rsidP="00E1452C">
      <w:pPr>
        <w:pStyle w:val="DefinedTerms"/>
      </w:pPr>
      <w:r>
        <w:t>combination</w:t>
      </w:r>
      <w:r>
        <w:tab/>
        <w:t>3, 166(1)</w:t>
      </w:r>
    </w:p>
    <w:p w:rsidR="00E1452C" w:rsidRDefault="00E1452C" w:rsidP="00E1452C">
      <w:pPr>
        <w:pStyle w:val="DefinedTerms"/>
      </w:pPr>
      <w:r>
        <w:t>commencement day</w:t>
      </w:r>
      <w:r>
        <w:tab/>
        <w:t>454ZC(1), 484</w:t>
      </w:r>
    </w:p>
    <w:p w:rsidR="00E1452C" w:rsidRDefault="00E1452C" w:rsidP="00E1452C">
      <w:pPr>
        <w:pStyle w:val="DefinedTerms"/>
      </w:pPr>
      <w:r>
        <w:t>Commission</w:t>
      </w:r>
      <w:r>
        <w:tab/>
        <w:t>357(1)</w:t>
      </w:r>
    </w:p>
    <w:p w:rsidR="00E1452C" w:rsidRDefault="00E1452C" w:rsidP="00E1452C">
      <w:pPr>
        <w:pStyle w:val="DefinedTerms"/>
      </w:pPr>
      <w:r>
        <w:t>compliance plate</w:t>
      </w:r>
      <w:r>
        <w:tab/>
        <w:t>3</w:t>
      </w:r>
    </w:p>
    <w:p w:rsidR="00E1452C" w:rsidRDefault="00E1452C" w:rsidP="00E1452C">
      <w:pPr>
        <w:pStyle w:val="DefinedTerms"/>
      </w:pPr>
      <w:r>
        <w:t>compliance time</w:t>
      </w:r>
      <w:r>
        <w:tab/>
        <w:t>152(1)</w:t>
      </w:r>
    </w:p>
    <w:p w:rsidR="00E1452C" w:rsidRDefault="00E1452C" w:rsidP="00E1452C">
      <w:pPr>
        <w:pStyle w:val="DefinedTerms"/>
      </w:pPr>
      <w:r>
        <w:t>complying bus</w:t>
      </w:r>
      <w:r>
        <w:tab/>
        <w:t>161</w:t>
      </w:r>
    </w:p>
    <w:p w:rsidR="00E1452C" w:rsidRDefault="00E1452C" w:rsidP="00E1452C">
      <w:pPr>
        <w:pStyle w:val="DefinedTerms"/>
      </w:pPr>
      <w:r>
        <w:t>compressed air reserve</w:t>
      </w:r>
      <w:r>
        <w:tab/>
        <w:t>334(1A)</w:t>
      </w:r>
    </w:p>
    <w:p w:rsidR="00E1452C" w:rsidRDefault="00E1452C" w:rsidP="00E1452C">
      <w:pPr>
        <w:pStyle w:val="DefinedTerms"/>
      </w:pPr>
      <w:r>
        <w:t>condensate drain valve</w:t>
      </w:r>
      <w:r>
        <w:tab/>
        <w:t>334(1A)</w:t>
      </w:r>
    </w:p>
    <w:p w:rsidR="00E1452C" w:rsidRDefault="00E1452C" w:rsidP="00E1452C">
      <w:pPr>
        <w:pStyle w:val="DefinedTerms"/>
      </w:pPr>
      <w:r>
        <w:t>connector</w:t>
      </w:r>
      <w:r>
        <w:tab/>
        <w:t>366(5)</w:t>
      </w:r>
    </w:p>
    <w:p w:rsidR="00E1452C" w:rsidRDefault="00E1452C" w:rsidP="00E1452C">
      <w:pPr>
        <w:pStyle w:val="DefinedTerms"/>
      </w:pPr>
      <w:r>
        <w:t>consulting officer</w:t>
      </w:r>
      <w:r>
        <w:tab/>
        <w:t>481</w:t>
      </w:r>
    </w:p>
    <w:p w:rsidR="00E1452C" w:rsidRDefault="00E1452C" w:rsidP="00E1452C">
      <w:pPr>
        <w:pStyle w:val="DefinedTerms"/>
      </w:pPr>
      <w:r>
        <w:t>contract of insurance</w:t>
      </w:r>
      <w:r>
        <w:tab/>
        <w:t>103</w:t>
      </w:r>
    </w:p>
    <w:p w:rsidR="00E1452C" w:rsidRDefault="00E1452C" w:rsidP="00E1452C">
      <w:pPr>
        <w:pStyle w:val="DefinedTerms"/>
      </w:pPr>
      <w:r>
        <w:t>controlled access bus</w:t>
      </w:r>
      <w:r>
        <w:tab/>
        <w:t>3</w:t>
      </w:r>
    </w:p>
    <w:p w:rsidR="00E1452C" w:rsidRDefault="00E1452C" w:rsidP="00E1452C">
      <w:pPr>
        <w:pStyle w:val="DefinedTerms"/>
      </w:pPr>
      <w:r>
        <w:t>converter dolly</w:t>
      </w:r>
      <w:r>
        <w:tab/>
        <w:t>3</w:t>
      </w:r>
    </w:p>
    <w:p w:rsidR="00E1452C" w:rsidRDefault="00E1452C" w:rsidP="00E1452C">
      <w:pPr>
        <w:pStyle w:val="DefinedTerms"/>
      </w:pPr>
      <w:r>
        <w:t>damaged vehicle</w:t>
      </w:r>
      <w:r>
        <w:tab/>
        <w:t>157(1)</w:t>
      </w:r>
    </w:p>
    <w:p w:rsidR="00E1452C" w:rsidRDefault="00E1452C" w:rsidP="00E1452C">
      <w:pPr>
        <w:pStyle w:val="DefinedTerms"/>
      </w:pPr>
      <w:r>
        <w:t>dangerous goods</w:t>
      </w:r>
      <w:r>
        <w:tab/>
        <w:t>3</w:t>
      </w:r>
    </w:p>
    <w:p w:rsidR="00E1452C" w:rsidRDefault="00E1452C" w:rsidP="00E1452C">
      <w:pPr>
        <w:pStyle w:val="DefinedTerms"/>
      </w:pPr>
      <w:r>
        <w:t>daytime</w:t>
      </w:r>
      <w:r>
        <w:tab/>
        <w:t>3</w:t>
      </w:r>
    </w:p>
    <w:p w:rsidR="00E1452C" w:rsidRDefault="00E1452C" w:rsidP="00E1452C">
      <w:pPr>
        <w:pStyle w:val="DefinedTerms"/>
      </w:pPr>
      <w:r>
        <w:t>dealer</w:t>
      </w:r>
      <w:r>
        <w:tab/>
        <w:t>146</w:t>
      </w:r>
    </w:p>
    <w:p w:rsidR="00E1452C" w:rsidRDefault="00E1452C" w:rsidP="00E1452C">
      <w:pPr>
        <w:pStyle w:val="DefinedTerms"/>
      </w:pPr>
      <w:r>
        <w:t>decision maker</w:t>
      </w:r>
      <w:r>
        <w:tab/>
        <w:t>478</w:t>
      </w:r>
    </w:p>
    <w:p w:rsidR="00E1452C" w:rsidRDefault="00E1452C" w:rsidP="00E1452C">
      <w:pPr>
        <w:pStyle w:val="DefinedTerms"/>
      </w:pPr>
      <w:r>
        <w:t>declaration</w:t>
      </w:r>
      <w:r>
        <w:tab/>
        <w:t>455</w:t>
      </w:r>
    </w:p>
    <w:p w:rsidR="00E1452C" w:rsidRDefault="00E1452C" w:rsidP="00E1452C">
      <w:pPr>
        <w:pStyle w:val="DefinedTerms"/>
      </w:pPr>
      <w:r>
        <w:t>defect notice</w:t>
      </w:r>
      <w:r>
        <w:tab/>
        <w:t>3</w:t>
      </w:r>
    </w:p>
    <w:p w:rsidR="00E1452C" w:rsidRDefault="00E1452C" w:rsidP="00E1452C">
      <w:pPr>
        <w:pStyle w:val="DefinedTerms"/>
      </w:pPr>
      <w:r>
        <w:t>departmental exemption</w:t>
      </w:r>
      <w:r>
        <w:tab/>
        <w:t>505(1)</w:t>
      </w:r>
    </w:p>
    <w:p w:rsidR="00E1452C" w:rsidRDefault="00E1452C" w:rsidP="00E1452C">
      <w:pPr>
        <w:pStyle w:val="DefinedTerms"/>
      </w:pPr>
      <w:r>
        <w:t>derivative of a car</w:t>
      </w:r>
      <w:r>
        <w:tab/>
        <w:t>235(1)</w:t>
      </w:r>
    </w:p>
    <w:p w:rsidR="00E1452C" w:rsidRDefault="00E1452C" w:rsidP="00E1452C">
      <w:pPr>
        <w:pStyle w:val="DefinedTerms"/>
      </w:pPr>
      <w:r>
        <w:t>diesel engine</w:t>
      </w:r>
      <w:r>
        <w:tab/>
        <w:t>3</w:t>
      </w:r>
    </w:p>
    <w:p w:rsidR="00E1452C" w:rsidRDefault="00E1452C" w:rsidP="00E1452C">
      <w:pPr>
        <w:pStyle w:val="DefinedTerms"/>
      </w:pPr>
      <w:r>
        <w:t>direction indicator light</w:t>
      </w:r>
      <w:r>
        <w:tab/>
        <w:t>312(1), 313(1)</w:t>
      </w:r>
    </w:p>
    <w:p w:rsidR="00E1452C" w:rsidRDefault="00E1452C" w:rsidP="00E1452C">
      <w:pPr>
        <w:pStyle w:val="DefinedTerms"/>
      </w:pPr>
      <w:r>
        <w:t>discount period</w:t>
      </w:r>
      <w:r>
        <w:tab/>
        <w:t>84A(1)</w:t>
      </w:r>
    </w:p>
    <w:p w:rsidR="00E1452C" w:rsidRDefault="00E1452C" w:rsidP="00E1452C">
      <w:pPr>
        <w:pStyle w:val="DefinedTerms"/>
      </w:pPr>
      <w:r>
        <w:t>dog trailer</w:t>
      </w:r>
      <w:r>
        <w:tab/>
        <w:t>3</w:t>
      </w:r>
    </w:p>
    <w:p w:rsidR="00E1452C" w:rsidRDefault="00E1452C" w:rsidP="00E1452C">
      <w:pPr>
        <w:pStyle w:val="DefinedTerms"/>
      </w:pPr>
      <w:r>
        <w:t>drawbar</w:t>
      </w:r>
      <w:r>
        <w:tab/>
        <w:t>3</w:t>
      </w:r>
    </w:p>
    <w:p w:rsidR="00E1452C" w:rsidRDefault="00E1452C" w:rsidP="00E1452C">
      <w:pPr>
        <w:pStyle w:val="DefinedTerms"/>
      </w:pPr>
      <w:r>
        <w:t>driver’s licence</w:t>
      </w:r>
      <w:r>
        <w:tab/>
        <w:t>454A</w:t>
      </w:r>
    </w:p>
    <w:p w:rsidR="00E1452C" w:rsidRDefault="00E1452C" w:rsidP="00E1452C">
      <w:pPr>
        <w:pStyle w:val="DefinedTerms"/>
      </w:pPr>
      <w:r>
        <w:lastRenderedPageBreak/>
        <w:t>emergency brake</w:t>
      </w:r>
      <w:r>
        <w:tab/>
        <w:t>226</w:t>
      </w:r>
    </w:p>
    <w:p w:rsidR="00E1452C" w:rsidRDefault="00E1452C" w:rsidP="00E1452C">
      <w:pPr>
        <w:pStyle w:val="DefinedTerms"/>
      </w:pPr>
      <w:r>
        <w:t>emergency vehicle</w:t>
      </w:r>
      <w:r>
        <w:tab/>
        <w:t>226</w:t>
      </w:r>
    </w:p>
    <w:p w:rsidR="00E1452C" w:rsidRDefault="00E1452C" w:rsidP="00E1452C">
      <w:pPr>
        <w:pStyle w:val="DefinedTerms"/>
      </w:pPr>
      <w:r>
        <w:t>emission control system</w:t>
      </w:r>
      <w:r>
        <w:tab/>
        <w:t>356(1)</w:t>
      </w:r>
    </w:p>
    <w:p w:rsidR="00E1452C" w:rsidRDefault="00E1452C" w:rsidP="00E1452C">
      <w:pPr>
        <w:pStyle w:val="DefinedTerms"/>
      </w:pPr>
      <w:r>
        <w:t>engine identification number</w:t>
      </w:r>
      <w:r>
        <w:tab/>
        <w:t>3</w:t>
      </w:r>
    </w:p>
    <w:p w:rsidR="00E1452C" w:rsidRDefault="00E1452C" w:rsidP="00E1452C">
      <w:pPr>
        <w:pStyle w:val="DefinedTerms"/>
      </w:pPr>
      <w:r>
        <w:t>escort vehicle</w:t>
      </w:r>
      <w:r>
        <w:tab/>
        <w:t>3</w:t>
      </w:r>
    </w:p>
    <w:p w:rsidR="00E1452C" w:rsidRDefault="00E1452C" w:rsidP="00E1452C">
      <w:pPr>
        <w:pStyle w:val="DefinedTerms"/>
      </w:pPr>
      <w:r>
        <w:t>exempt vehicle</w:t>
      </w:r>
      <w:r>
        <w:tab/>
        <w:t>327(4)</w:t>
      </w:r>
    </w:p>
    <w:p w:rsidR="00E1452C" w:rsidRDefault="00E1452C" w:rsidP="00E1452C">
      <w:pPr>
        <w:pStyle w:val="DefinedTerms"/>
      </w:pPr>
      <w:r>
        <w:t>expiry day</w:t>
      </w:r>
      <w:r>
        <w:tab/>
        <w:t>454O(1)</w:t>
      </w:r>
    </w:p>
    <w:p w:rsidR="00E1452C" w:rsidRDefault="00E1452C" w:rsidP="00E1452C">
      <w:pPr>
        <w:pStyle w:val="DefinedTerms"/>
      </w:pPr>
      <w:r>
        <w:t>farm</w:t>
      </w:r>
      <w:r>
        <w:tab/>
        <w:t>52(1)</w:t>
      </w:r>
    </w:p>
    <w:p w:rsidR="00E1452C" w:rsidRDefault="00E1452C" w:rsidP="00E1452C">
      <w:pPr>
        <w:pStyle w:val="DefinedTerms"/>
      </w:pPr>
      <w:r>
        <w:t>farmer</w:t>
      </w:r>
      <w:r>
        <w:tab/>
        <w:t>52(1)</w:t>
      </w:r>
    </w:p>
    <w:p w:rsidR="00E1452C" w:rsidRDefault="00E1452C" w:rsidP="00E1452C">
      <w:pPr>
        <w:pStyle w:val="DefinedTerms"/>
      </w:pPr>
      <w:r>
        <w:t>farming business</w:t>
      </w:r>
      <w:r>
        <w:tab/>
        <w:t>52(1)</w:t>
      </w:r>
    </w:p>
    <w:p w:rsidR="00E1452C" w:rsidRDefault="00E1452C" w:rsidP="00E1452C">
      <w:pPr>
        <w:pStyle w:val="DefinedTerms"/>
      </w:pPr>
      <w:r>
        <w:t>fifth wheel coupling</w:t>
      </w:r>
      <w:r>
        <w:tab/>
        <w:t>3</w:t>
      </w:r>
    </w:p>
    <w:p w:rsidR="00E1452C" w:rsidRDefault="00E1452C" w:rsidP="00E1452C">
      <w:pPr>
        <w:pStyle w:val="DefinedTerms"/>
      </w:pPr>
      <w:r>
        <w:t>financial member</w:t>
      </w:r>
      <w:r>
        <w:tab/>
        <w:t>84A(1)</w:t>
      </w:r>
    </w:p>
    <w:p w:rsidR="00E1452C" w:rsidRDefault="00E1452C" w:rsidP="00E1452C">
      <w:pPr>
        <w:pStyle w:val="DefinedTerms"/>
      </w:pPr>
      <w:r>
        <w:t>former provision</w:t>
      </w:r>
      <w:r>
        <w:tab/>
        <w:t>502(2), 504(2), 505(2), 506(3)</w:t>
      </w:r>
    </w:p>
    <w:p w:rsidR="00E1452C" w:rsidRDefault="00E1452C" w:rsidP="00E1452C">
      <w:pPr>
        <w:pStyle w:val="DefinedTerms"/>
      </w:pPr>
      <w:r>
        <w:t>former regulation 60</w:t>
      </w:r>
      <w:r>
        <w:tab/>
        <w:t>506(1)</w:t>
      </w:r>
    </w:p>
    <w:p w:rsidR="00E1452C" w:rsidRDefault="00E1452C" w:rsidP="00E1452C">
      <w:pPr>
        <w:pStyle w:val="DefinedTerms"/>
      </w:pPr>
      <w:r>
        <w:t>former section 25(1)</w:t>
      </w:r>
      <w:r>
        <w:tab/>
        <w:t>503(1)</w:t>
      </w:r>
    </w:p>
    <w:p w:rsidR="00E1452C" w:rsidRDefault="00E1452C" w:rsidP="00E1452C">
      <w:pPr>
        <w:pStyle w:val="DefinedTerms"/>
      </w:pPr>
      <w:r>
        <w:t>front fog light</w:t>
      </w:r>
      <w:r>
        <w:tab/>
        <w:t>3</w:t>
      </w:r>
    </w:p>
    <w:p w:rsidR="00E1452C" w:rsidRDefault="00E1452C" w:rsidP="00E1452C">
      <w:pPr>
        <w:pStyle w:val="DefinedTerms"/>
      </w:pPr>
      <w:r>
        <w:t>gate to gate</w:t>
      </w:r>
      <w:r>
        <w:tab/>
        <w:t>425(1)</w:t>
      </w:r>
    </w:p>
    <w:p w:rsidR="00E1452C" w:rsidRDefault="00E1452C" w:rsidP="00E1452C">
      <w:pPr>
        <w:pStyle w:val="DefinedTerms"/>
      </w:pPr>
      <w:r>
        <w:t>glazing</w:t>
      </w:r>
      <w:r>
        <w:tab/>
        <w:t>260(1)</w:t>
      </w:r>
    </w:p>
    <w:p w:rsidR="00E1452C" w:rsidRDefault="00E1452C" w:rsidP="00E1452C">
      <w:pPr>
        <w:pStyle w:val="DefinedTerms"/>
      </w:pPr>
      <w:r>
        <w:t>goods vehicle</w:t>
      </w:r>
      <w:r>
        <w:tab/>
        <w:t>3</w:t>
      </w:r>
    </w:p>
    <w:p w:rsidR="00E1452C" w:rsidRDefault="00E1452C" w:rsidP="00E1452C">
      <w:pPr>
        <w:pStyle w:val="DefinedTerms"/>
      </w:pPr>
      <w:r>
        <w:t>goods vehicle derivative</w:t>
      </w:r>
      <w:r>
        <w:tab/>
        <w:t>38(1)</w:t>
      </w:r>
    </w:p>
    <w:p w:rsidR="00E1452C" w:rsidRDefault="00E1452C" w:rsidP="00E1452C">
      <w:pPr>
        <w:pStyle w:val="DefinedTerms"/>
      </w:pPr>
      <w:r>
        <w:t>governor cut-out pressure</w:t>
      </w:r>
      <w:r>
        <w:tab/>
        <w:t>334(1A)</w:t>
      </w:r>
    </w:p>
    <w:p w:rsidR="00E1452C" w:rsidRDefault="00E1452C" w:rsidP="00E1452C">
      <w:pPr>
        <w:pStyle w:val="DefinedTerms"/>
      </w:pPr>
      <w:r>
        <w:t>gross trailer mass (GTM)</w:t>
      </w:r>
      <w:r>
        <w:tab/>
        <w:t>3</w:t>
      </w:r>
    </w:p>
    <w:p w:rsidR="00E1452C" w:rsidRDefault="00E1452C" w:rsidP="00E1452C">
      <w:pPr>
        <w:pStyle w:val="DefinedTerms"/>
      </w:pPr>
      <w:r>
        <w:t>ground clearance</w:t>
      </w:r>
      <w:r>
        <w:tab/>
        <w:t>178(1)</w:t>
      </w:r>
    </w:p>
    <w:p w:rsidR="00E1452C" w:rsidRDefault="00E1452C" w:rsidP="00E1452C">
      <w:pPr>
        <w:pStyle w:val="DefinedTerms"/>
      </w:pPr>
      <w:r>
        <w:t>heavy trailer</w:t>
      </w:r>
      <w:r>
        <w:tab/>
        <w:t>12</w:t>
      </w:r>
    </w:p>
    <w:p w:rsidR="00E1452C" w:rsidRDefault="00E1452C" w:rsidP="00E1452C">
      <w:pPr>
        <w:pStyle w:val="DefinedTerms"/>
      </w:pPr>
      <w:r>
        <w:t>heavy vehicle</w:t>
      </w:r>
      <w:r>
        <w:tab/>
        <w:t>12</w:t>
      </w:r>
    </w:p>
    <w:p w:rsidR="00E1452C" w:rsidRDefault="00E1452C" w:rsidP="00E1452C">
      <w:pPr>
        <w:pStyle w:val="DefinedTerms"/>
      </w:pPr>
      <w:r>
        <w:t xml:space="preserve">heavy vehicle </w:t>
      </w:r>
      <w:r>
        <w:tab/>
        <w:t>436</w:t>
      </w:r>
    </w:p>
    <w:p w:rsidR="00E1452C" w:rsidRDefault="00E1452C" w:rsidP="00E1452C">
      <w:pPr>
        <w:pStyle w:val="DefinedTerms"/>
      </w:pPr>
      <w:r>
        <w:t>heavy vehicle pilot licence</w:t>
      </w:r>
      <w:r>
        <w:tab/>
        <w:t>454A</w:t>
      </w:r>
    </w:p>
    <w:p w:rsidR="00E1452C" w:rsidRDefault="00E1452C" w:rsidP="00E1452C">
      <w:pPr>
        <w:pStyle w:val="DefinedTerms"/>
      </w:pPr>
      <w:r>
        <w:t>high-beam</w:t>
      </w:r>
      <w:r>
        <w:tab/>
        <w:t>3</w:t>
      </w:r>
    </w:p>
    <w:p w:rsidR="00E1452C" w:rsidRDefault="00E1452C" w:rsidP="00E1452C">
      <w:pPr>
        <w:pStyle w:val="DefinedTerms"/>
      </w:pPr>
      <w:r>
        <w:t>holder</w:t>
      </w:r>
      <w:r>
        <w:tab/>
        <w:t>138</w:t>
      </w:r>
    </w:p>
    <w:p w:rsidR="00E1452C" w:rsidRDefault="00E1452C" w:rsidP="00E1452C">
      <w:pPr>
        <w:pStyle w:val="DefinedTerms"/>
      </w:pPr>
      <w:r>
        <w:t>HVNL</w:t>
      </w:r>
      <w:r>
        <w:tab/>
        <w:t>224(1)</w:t>
      </w:r>
    </w:p>
    <w:p w:rsidR="00E1452C" w:rsidRDefault="00E1452C" w:rsidP="00E1452C">
      <w:pPr>
        <w:pStyle w:val="DefinedTerms"/>
      </w:pPr>
      <w:r>
        <w:t>identifier</w:t>
      </w:r>
      <w:r>
        <w:tab/>
        <w:t>3</w:t>
      </w:r>
    </w:p>
    <w:p w:rsidR="00E1452C" w:rsidRDefault="00E1452C" w:rsidP="00E1452C">
      <w:pPr>
        <w:pStyle w:val="DefinedTerms"/>
      </w:pPr>
      <w:r>
        <w:t>ID prevention state</w:t>
      </w:r>
      <w:r>
        <w:tab/>
        <w:t>120(1)</w:t>
      </w:r>
    </w:p>
    <w:p w:rsidR="00E1452C" w:rsidRDefault="00E1452C" w:rsidP="00E1452C">
      <w:pPr>
        <w:pStyle w:val="DefinedTerms"/>
      </w:pPr>
      <w:r>
        <w:t>imitation plate</w:t>
      </w:r>
      <w:r>
        <w:tab/>
        <w:t>109</w:t>
      </w:r>
    </w:p>
    <w:p w:rsidR="00E1452C" w:rsidRDefault="00E1452C" w:rsidP="00E1452C">
      <w:pPr>
        <w:pStyle w:val="DefinedTerms"/>
      </w:pPr>
      <w:r>
        <w:t>Immigration and Border Protection worker</w:t>
      </w:r>
      <w:r>
        <w:tab/>
        <w:t>3</w:t>
      </w:r>
    </w:p>
    <w:p w:rsidR="00E1452C" w:rsidRDefault="00E1452C" w:rsidP="00E1452C">
      <w:pPr>
        <w:pStyle w:val="DefinedTerms"/>
      </w:pPr>
      <w:r>
        <w:t>improvement notice</w:t>
      </w:r>
      <w:r>
        <w:tab/>
        <w:t>481</w:t>
      </w:r>
    </w:p>
    <w:p w:rsidR="00E1452C" w:rsidRDefault="00E1452C" w:rsidP="00E1452C">
      <w:pPr>
        <w:pStyle w:val="DefinedTerms"/>
      </w:pPr>
      <w:r>
        <w:t>improvement notice reviewable decision</w:t>
      </w:r>
      <w:r>
        <w:tab/>
        <w:t>481</w:t>
      </w:r>
    </w:p>
    <w:p w:rsidR="00E1452C" w:rsidRDefault="00E1452C" w:rsidP="00E1452C">
      <w:pPr>
        <w:pStyle w:val="DefinedTerms"/>
      </w:pPr>
      <w:r>
        <w:t>independent brake</w:t>
      </w:r>
      <w:r>
        <w:tab/>
        <w:t>336(1)</w:t>
      </w:r>
    </w:p>
    <w:p w:rsidR="00E1452C" w:rsidRDefault="00E1452C" w:rsidP="00E1452C">
      <w:pPr>
        <w:pStyle w:val="DefinedTerms"/>
      </w:pPr>
      <w:r>
        <w:t>inspection station</w:t>
      </w:r>
      <w:r>
        <w:tab/>
        <w:t>3</w:t>
      </w:r>
    </w:p>
    <w:p w:rsidR="00E1452C" w:rsidRDefault="00E1452C" w:rsidP="00E1452C">
      <w:pPr>
        <w:pStyle w:val="DefinedTerms"/>
      </w:pPr>
      <w:r>
        <w:t>insurer</w:t>
      </w:r>
      <w:r>
        <w:tab/>
        <w:t>146</w:t>
      </w:r>
    </w:p>
    <w:p w:rsidR="00E1452C" w:rsidRDefault="00E1452C" w:rsidP="00E1452C">
      <w:pPr>
        <w:pStyle w:val="DefinedTerms"/>
      </w:pPr>
      <w:r>
        <w:t>jinker</w:t>
      </w:r>
      <w:r>
        <w:tab/>
        <w:t>119(5)</w:t>
      </w:r>
    </w:p>
    <w:p w:rsidR="00E1452C" w:rsidRDefault="00E1452C" w:rsidP="00E1452C">
      <w:pPr>
        <w:pStyle w:val="DefinedTerms"/>
      </w:pPr>
      <w:r>
        <w:t>large indivisible item</w:t>
      </w:r>
      <w:r>
        <w:tab/>
        <w:t>190</w:t>
      </w:r>
    </w:p>
    <w:p w:rsidR="00E1452C" w:rsidRDefault="00E1452C" w:rsidP="00E1452C">
      <w:pPr>
        <w:pStyle w:val="DefinedTerms"/>
      </w:pPr>
      <w:r>
        <w:t>least favoured chamber</w:t>
      </w:r>
      <w:r>
        <w:tab/>
        <w:t>347(1)</w:t>
      </w:r>
    </w:p>
    <w:p w:rsidR="00E1452C" w:rsidRDefault="00E1452C" w:rsidP="00E1452C">
      <w:pPr>
        <w:pStyle w:val="DefinedTerms"/>
      </w:pPr>
      <w:r>
        <w:t>left</w:t>
      </w:r>
      <w:r>
        <w:tab/>
        <w:t>3, 237</w:t>
      </w:r>
    </w:p>
    <w:p w:rsidR="00E1452C" w:rsidRDefault="00E1452C" w:rsidP="00E1452C">
      <w:pPr>
        <w:pStyle w:val="DefinedTerms"/>
      </w:pPr>
      <w:r>
        <w:t>licence</w:t>
      </w:r>
      <w:r>
        <w:tab/>
        <w:t>103</w:t>
      </w:r>
    </w:p>
    <w:p w:rsidR="00E1452C" w:rsidRDefault="00E1452C" w:rsidP="00E1452C">
      <w:pPr>
        <w:pStyle w:val="DefinedTerms"/>
      </w:pPr>
      <w:r>
        <w:t>licence holder</w:t>
      </w:r>
      <w:r>
        <w:tab/>
        <w:t>3</w:t>
      </w:r>
    </w:p>
    <w:p w:rsidR="00E1452C" w:rsidRDefault="00E1452C" w:rsidP="00E1452C">
      <w:pPr>
        <w:pStyle w:val="DefinedTerms"/>
      </w:pPr>
      <w:r>
        <w:lastRenderedPageBreak/>
        <w:t>lighting equipment</w:t>
      </w:r>
      <w:r>
        <w:tab/>
        <w:t>426(1)</w:t>
      </w:r>
    </w:p>
    <w:p w:rsidR="00E1452C" w:rsidRDefault="00E1452C" w:rsidP="00E1452C">
      <w:pPr>
        <w:pStyle w:val="DefinedTerms"/>
      </w:pPr>
      <w:r>
        <w:t>load capacity</w:t>
      </w:r>
      <w:r>
        <w:tab/>
        <w:t>414(1)</w:t>
      </w:r>
    </w:p>
    <w:p w:rsidR="00E1452C" w:rsidRDefault="00E1452C" w:rsidP="00E1452C">
      <w:pPr>
        <w:pStyle w:val="DefinedTerms"/>
      </w:pPr>
      <w:r>
        <w:t>loaded mass</w:t>
      </w:r>
      <w:r>
        <w:tab/>
        <w:t>3</w:t>
      </w:r>
    </w:p>
    <w:p w:rsidR="00E1452C" w:rsidRDefault="00E1452C" w:rsidP="00E1452C">
      <w:pPr>
        <w:pStyle w:val="DefinedTerms"/>
      </w:pPr>
      <w:r>
        <w:t>Load Restraint Guide</w:t>
      </w:r>
      <w:r>
        <w:tab/>
        <w:t>187(1)</w:t>
      </w:r>
    </w:p>
    <w:p w:rsidR="00E1452C" w:rsidRDefault="00E1452C" w:rsidP="00E1452C">
      <w:pPr>
        <w:pStyle w:val="DefinedTerms"/>
      </w:pPr>
      <w:r>
        <w:t>load-sharing suspension system</w:t>
      </w:r>
      <w:r>
        <w:tab/>
        <w:t>3</w:t>
      </w:r>
    </w:p>
    <w:p w:rsidR="00E1452C" w:rsidRDefault="00E1452C" w:rsidP="00E1452C">
      <w:pPr>
        <w:pStyle w:val="DefinedTerms"/>
      </w:pPr>
      <w:r>
        <w:t>low-beam</w:t>
      </w:r>
      <w:r>
        <w:tab/>
        <w:t>3</w:t>
      </w:r>
    </w:p>
    <w:p w:rsidR="00E1452C" w:rsidRDefault="00E1452C" w:rsidP="00E1452C">
      <w:pPr>
        <w:pStyle w:val="DefinedTerms"/>
      </w:pPr>
      <w:r>
        <w:t>luminous transmittance</w:t>
      </w:r>
      <w:r>
        <w:tab/>
        <w:t>260(1)</w:t>
      </w:r>
    </w:p>
    <w:p w:rsidR="00E1452C" w:rsidRDefault="00E1452C" w:rsidP="00E1452C">
      <w:pPr>
        <w:pStyle w:val="DefinedTerms"/>
      </w:pPr>
      <w:r>
        <w:t>Main Roads WA website</w:t>
      </w:r>
      <w:r>
        <w:tab/>
        <w:t>209(1)</w:t>
      </w:r>
    </w:p>
    <w:p w:rsidR="00E1452C" w:rsidRDefault="00E1452C" w:rsidP="00E1452C">
      <w:pPr>
        <w:pStyle w:val="DefinedTerms"/>
      </w:pPr>
      <w:r>
        <w:t>mass rating for charging (MRC)</w:t>
      </w:r>
      <w:r>
        <w:tab/>
        <w:t>3</w:t>
      </w:r>
    </w:p>
    <w:p w:rsidR="00E1452C" w:rsidRDefault="00E1452C" w:rsidP="00E1452C">
      <w:pPr>
        <w:pStyle w:val="DefinedTerms"/>
      </w:pPr>
      <w:r>
        <w:t>MDL reviewable decision</w:t>
      </w:r>
      <w:r>
        <w:tab/>
        <w:t>478</w:t>
      </w:r>
    </w:p>
    <w:p w:rsidR="00E1452C" w:rsidRDefault="00E1452C" w:rsidP="00E1452C">
      <w:pPr>
        <w:pStyle w:val="DefinedTerms"/>
      </w:pPr>
      <w:r>
        <w:t>medical impairment</w:t>
      </w:r>
      <w:r>
        <w:tab/>
        <w:t>454W(1)</w:t>
      </w:r>
    </w:p>
    <w:p w:rsidR="00E1452C" w:rsidRDefault="00E1452C" w:rsidP="00E1452C">
      <w:pPr>
        <w:pStyle w:val="DefinedTerms"/>
      </w:pPr>
      <w:r>
        <w:t>medical practitioner</w:t>
      </w:r>
      <w:r>
        <w:tab/>
        <w:t>454A</w:t>
      </w:r>
    </w:p>
    <w:p w:rsidR="00E1452C" w:rsidRDefault="00E1452C" w:rsidP="00E1452C">
      <w:pPr>
        <w:pStyle w:val="DefinedTerms"/>
      </w:pPr>
      <w:r>
        <w:t>metropolitan region</w:t>
      </w:r>
      <w:r>
        <w:tab/>
        <w:t>3</w:t>
      </w:r>
    </w:p>
    <w:p w:rsidR="00E1452C" w:rsidRDefault="00E1452C" w:rsidP="00E1452C">
      <w:pPr>
        <w:pStyle w:val="DefinedTerms"/>
      </w:pPr>
      <w:r>
        <w:t>Ministerial exemption</w:t>
      </w:r>
      <w:r>
        <w:tab/>
        <w:t>504(1)</w:t>
      </w:r>
    </w:p>
    <w:p w:rsidR="00E1452C" w:rsidRDefault="00E1452C" w:rsidP="00E1452C">
      <w:pPr>
        <w:pStyle w:val="DefinedTerms"/>
      </w:pPr>
      <w:r>
        <w:t>moped</w:t>
      </w:r>
      <w:r>
        <w:tab/>
        <w:t>3</w:t>
      </w:r>
    </w:p>
    <w:p w:rsidR="00E1452C" w:rsidRDefault="00E1452C" w:rsidP="00E1452C">
      <w:pPr>
        <w:pStyle w:val="DefinedTerms"/>
      </w:pPr>
      <w:r>
        <w:t>motor carrier</w:t>
      </w:r>
      <w:r>
        <w:tab/>
        <w:t>86</w:t>
      </w:r>
    </w:p>
    <w:p w:rsidR="00E1452C" w:rsidRDefault="00E1452C" w:rsidP="00E1452C">
      <w:pPr>
        <w:pStyle w:val="DefinedTerms"/>
      </w:pPr>
      <w:r>
        <w:t>motor cycle</w:t>
      </w:r>
      <w:r>
        <w:tab/>
        <w:t>3</w:t>
      </w:r>
    </w:p>
    <w:p w:rsidR="00E1452C" w:rsidRDefault="00E1452C" w:rsidP="00E1452C">
      <w:pPr>
        <w:pStyle w:val="DefinedTerms"/>
      </w:pPr>
      <w:r>
        <w:t>motor home</w:t>
      </w:r>
      <w:r>
        <w:tab/>
        <w:t>3</w:t>
      </w:r>
    </w:p>
    <w:p w:rsidR="00E1452C" w:rsidRDefault="00E1452C" w:rsidP="00E1452C">
      <w:pPr>
        <w:pStyle w:val="DefinedTerms"/>
      </w:pPr>
      <w:r>
        <w:t>motoring event</w:t>
      </w:r>
      <w:r>
        <w:tab/>
        <w:t>84A(1)</w:t>
      </w:r>
    </w:p>
    <w:p w:rsidR="00E1452C" w:rsidRDefault="00E1452C" w:rsidP="00E1452C">
      <w:pPr>
        <w:pStyle w:val="DefinedTerms"/>
      </w:pPr>
      <w:r>
        <w:t>motorised wheelchair</w:t>
      </w:r>
      <w:r>
        <w:tab/>
        <w:t>3</w:t>
      </w:r>
    </w:p>
    <w:p w:rsidR="00E1452C" w:rsidRDefault="00E1452C" w:rsidP="00E1452C">
      <w:pPr>
        <w:pStyle w:val="DefinedTerms"/>
      </w:pPr>
      <w:r>
        <w:t>motor tricycle</w:t>
      </w:r>
      <w:r>
        <w:tab/>
        <w:t>3</w:t>
      </w:r>
    </w:p>
    <w:p w:rsidR="00E1452C" w:rsidRDefault="00E1452C" w:rsidP="00E1452C">
      <w:pPr>
        <w:pStyle w:val="DefinedTerms"/>
      </w:pPr>
      <w:r>
        <w:t>motor vehicle</w:t>
      </w:r>
      <w:r>
        <w:tab/>
        <w:t>3, 167(1), 168(1), 244(1)</w:t>
      </w:r>
    </w:p>
    <w:p w:rsidR="00E1452C" w:rsidRDefault="00E1452C" w:rsidP="00E1452C">
      <w:pPr>
        <w:pStyle w:val="DefinedTerms"/>
      </w:pPr>
      <w:r>
        <w:t>mudguard</w:t>
      </w:r>
      <w:r>
        <w:tab/>
        <w:t>3</w:t>
      </w:r>
    </w:p>
    <w:p w:rsidR="00E1452C" w:rsidRDefault="00E1452C" w:rsidP="00E1452C">
      <w:pPr>
        <w:pStyle w:val="DefinedTerms"/>
      </w:pPr>
      <w:r>
        <w:t>name plate</w:t>
      </w:r>
      <w:r>
        <w:tab/>
        <w:t>109</w:t>
      </w:r>
    </w:p>
    <w:p w:rsidR="00E1452C" w:rsidRDefault="00E1452C" w:rsidP="00E1452C">
      <w:pPr>
        <w:pStyle w:val="DefinedTerms"/>
      </w:pPr>
      <w:r>
        <w:t>nearer side of the vehicle</w:t>
      </w:r>
      <w:r>
        <w:tab/>
        <w:t>3</w:t>
      </w:r>
    </w:p>
    <w:p w:rsidR="00E1452C" w:rsidRDefault="00E1452C" w:rsidP="00E1452C">
      <w:pPr>
        <w:pStyle w:val="DefinedTerms"/>
      </w:pPr>
      <w:r>
        <w:t>new owner</w:t>
      </w:r>
      <w:r>
        <w:tab/>
        <w:t>51(1)</w:t>
      </w:r>
    </w:p>
    <w:p w:rsidR="00E1452C" w:rsidRDefault="00E1452C" w:rsidP="00E1452C">
      <w:pPr>
        <w:pStyle w:val="DefinedTerms"/>
      </w:pPr>
      <w:r>
        <w:t>notifiable</w:t>
      </w:r>
      <w:r>
        <w:tab/>
        <w:t>146</w:t>
      </w:r>
    </w:p>
    <w:p w:rsidR="00E1452C" w:rsidRDefault="00E1452C" w:rsidP="00E1452C">
      <w:pPr>
        <w:pStyle w:val="DefinedTerms"/>
      </w:pPr>
      <w:r>
        <w:t>number</w:t>
      </w:r>
      <w:r>
        <w:tab/>
        <w:t>274(1)</w:t>
      </w:r>
    </w:p>
    <w:p w:rsidR="00E1452C" w:rsidRDefault="00E1452C" w:rsidP="00E1452C">
      <w:pPr>
        <w:pStyle w:val="DefinedTerms"/>
      </w:pPr>
      <w:r>
        <w:t>obscuring device</w:t>
      </w:r>
      <w:r>
        <w:tab/>
        <w:t>120(1)</w:t>
      </w:r>
    </w:p>
    <w:p w:rsidR="00E1452C" w:rsidRDefault="00E1452C" w:rsidP="00E1452C">
      <w:pPr>
        <w:pStyle w:val="DefinedTerms"/>
      </w:pPr>
      <w:r>
        <w:t>obscuring device action</w:t>
      </w:r>
      <w:r>
        <w:tab/>
        <w:t>120(1)</w:t>
      </w:r>
    </w:p>
    <w:p w:rsidR="00E1452C" w:rsidRDefault="00E1452C" w:rsidP="00E1452C">
      <w:pPr>
        <w:pStyle w:val="DefinedTerms"/>
      </w:pPr>
      <w:r>
        <w:t>omnibus</w:t>
      </w:r>
      <w:r>
        <w:tab/>
        <w:t>3, 380(1)</w:t>
      </w:r>
    </w:p>
    <w:p w:rsidR="00E1452C" w:rsidRDefault="00E1452C" w:rsidP="00E1452C">
      <w:pPr>
        <w:pStyle w:val="DefinedTerms"/>
      </w:pPr>
      <w:r>
        <w:t>on a road</w:t>
      </w:r>
      <w:r>
        <w:tab/>
        <w:t>423(1)</w:t>
      </w:r>
    </w:p>
    <w:p w:rsidR="00E1452C" w:rsidRDefault="00E1452C" w:rsidP="00E1452C">
      <w:pPr>
        <w:pStyle w:val="DefinedTerms"/>
      </w:pPr>
      <w:r>
        <w:t>on-demand charter vehicle</w:t>
      </w:r>
      <w:r>
        <w:tab/>
        <w:t>109</w:t>
      </w:r>
    </w:p>
    <w:p w:rsidR="00E1452C" w:rsidRDefault="00E1452C" w:rsidP="00E1452C">
      <w:pPr>
        <w:pStyle w:val="DefinedTerms"/>
      </w:pPr>
      <w:r>
        <w:t>on-demand rank or hail vehicle</w:t>
      </w:r>
      <w:r>
        <w:tab/>
        <w:t>109</w:t>
      </w:r>
    </w:p>
    <w:p w:rsidR="00E1452C" w:rsidRDefault="00E1452C" w:rsidP="00E1452C">
      <w:pPr>
        <w:pStyle w:val="DefinedTerms"/>
      </w:pPr>
      <w:r>
        <w:t>operator</w:t>
      </w:r>
      <w:r>
        <w:tab/>
        <w:t>3</w:t>
      </w:r>
    </w:p>
    <w:p w:rsidR="00E1452C" w:rsidRDefault="00E1452C" w:rsidP="00E1452C">
      <w:pPr>
        <w:pStyle w:val="DefinedTerms"/>
      </w:pPr>
      <w:r>
        <w:t>order</w:t>
      </w:r>
      <w:r>
        <w:tab/>
        <w:t>190, 202</w:t>
      </w:r>
    </w:p>
    <w:p w:rsidR="00E1452C" w:rsidRDefault="00E1452C" w:rsidP="00E1452C">
      <w:pPr>
        <w:pStyle w:val="DefinedTerms"/>
      </w:pPr>
      <w:r>
        <w:t>ordinary plate</w:t>
      </w:r>
      <w:r>
        <w:tab/>
        <w:t>109</w:t>
      </w:r>
    </w:p>
    <w:p w:rsidR="00E1452C" w:rsidRDefault="00E1452C" w:rsidP="00E1452C">
      <w:pPr>
        <w:pStyle w:val="DefinedTerms"/>
      </w:pPr>
      <w:r>
        <w:t>over-mass</w:t>
      </w:r>
      <w:r>
        <w:tab/>
        <w:t>3</w:t>
      </w:r>
    </w:p>
    <w:p w:rsidR="00E1452C" w:rsidRDefault="00E1452C" w:rsidP="00E1452C">
      <w:pPr>
        <w:pStyle w:val="DefinedTerms"/>
      </w:pPr>
      <w:r>
        <w:t>overseas vehicle</w:t>
      </w:r>
      <w:r>
        <w:tab/>
        <w:t>103</w:t>
      </w:r>
    </w:p>
    <w:p w:rsidR="00E1452C" w:rsidRDefault="00E1452C" w:rsidP="00E1452C">
      <w:pPr>
        <w:pStyle w:val="DefinedTerms"/>
      </w:pPr>
      <w:r>
        <w:t>oversize</w:t>
      </w:r>
      <w:r>
        <w:tab/>
        <w:t>3</w:t>
      </w:r>
    </w:p>
    <w:p w:rsidR="00E1452C" w:rsidRDefault="00E1452C" w:rsidP="00E1452C">
      <w:pPr>
        <w:pStyle w:val="DefinedTerms"/>
      </w:pPr>
      <w:r>
        <w:t>parking brake</w:t>
      </w:r>
      <w:r>
        <w:tab/>
        <w:t>3</w:t>
      </w:r>
    </w:p>
    <w:p w:rsidR="00E1452C" w:rsidRDefault="00E1452C" w:rsidP="00E1452C">
      <w:pPr>
        <w:pStyle w:val="DefinedTerms"/>
      </w:pPr>
      <w:r>
        <w:t>passenger transport service</w:t>
      </w:r>
      <w:r>
        <w:tab/>
        <w:t>109</w:t>
      </w:r>
    </w:p>
    <w:p w:rsidR="00E1452C" w:rsidRDefault="00E1452C" w:rsidP="00E1452C">
      <w:pPr>
        <w:pStyle w:val="DefinedTerms"/>
      </w:pPr>
      <w:r>
        <w:t>passenger transport vehicle</w:t>
      </w:r>
      <w:r>
        <w:tab/>
        <w:t>109</w:t>
      </w:r>
    </w:p>
    <w:p w:rsidR="00E1452C" w:rsidRDefault="00E1452C" w:rsidP="00E1452C">
      <w:pPr>
        <w:pStyle w:val="DefinedTerms"/>
      </w:pPr>
      <w:r>
        <w:t>passenger transport vehicle authorisation</w:t>
      </w:r>
      <w:r>
        <w:tab/>
        <w:t>109</w:t>
      </w:r>
    </w:p>
    <w:p w:rsidR="00E1452C" w:rsidRDefault="00E1452C" w:rsidP="00E1452C">
      <w:pPr>
        <w:pStyle w:val="DefinedTerms"/>
      </w:pPr>
      <w:r>
        <w:t>peak hours</w:t>
      </w:r>
      <w:r>
        <w:tab/>
        <w:t>3</w:t>
      </w:r>
    </w:p>
    <w:p w:rsidR="00E1452C" w:rsidRDefault="00E1452C" w:rsidP="00E1452C">
      <w:pPr>
        <w:pStyle w:val="DefinedTerms"/>
      </w:pPr>
      <w:r>
        <w:lastRenderedPageBreak/>
        <w:t>permit</w:t>
      </w:r>
      <w:r>
        <w:tab/>
        <w:t>43, 190, 202</w:t>
      </w:r>
    </w:p>
    <w:p w:rsidR="00E1452C" w:rsidRDefault="00E1452C" w:rsidP="00E1452C">
      <w:pPr>
        <w:pStyle w:val="DefinedTerms"/>
      </w:pPr>
      <w:r>
        <w:t>personal details</w:t>
      </w:r>
      <w:r>
        <w:tab/>
        <w:t>50(1)</w:t>
      </w:r>
    </w:p>
    <w:p w:rsidR="00E1452C" w:rsidRDefault="00E1452C" w:rsidP="00E1452C">
      <w:pPr>
        <w:pStyle w:val="DefinedTerms"/>
      </w:pPr>
      <w:r>
        <w:t>personalised plates</w:t>
      </w:r>
      <w:r>
        <w:tab/>
        <w:t>109</w:t>
      </w:r>
    </w:p>
    <w:p w:rsidR="00E1452C" w:rsidRDefault="00E1452C" w:rsidP="00E1452C">
      <w:pPr>
        <w:pStyle w:val="DefinedTerms"/>
      </w:pPr>
      <w:r>
        <w:t>personally imported vehicle</w:t>
      </w:r>
      <w:r>
        <w:tab/>
        <w:t>241(1)</w:t>
      </w:r>
    </w:p>
    <w:p w:rsidR="00E1452C" w:rsidRDefault="00E1452C" w:rsidP="00E1452C">
      <w:pPr>
        <w:pStyle w:val="DefinedTerms"/>
      </w:pPr>
      <w:r>
        <w:t>pig trailer</w:t>
      </w:r>
      <w:r>
        <w:tab/>
        <w:t>3</w:t>
      </w:r>
    </w:p>
    <w:p w:rsidR="00E1452C" w:rsidRDefault="00E1452C" w:rsidP="00E1452C">
      <w:pPr>
        <w:pStyle w:val="DefinedTerms"/>
      </w:pPr>
      <w:r>
        <w:t>pilot vehicle</w:t>
      </w:r>
      <w:r>
        <w:tab/>
        <w:t>3</w:t>
      </w:r>
    </w:p>
    <w:p w:rsidR="00E1452C" w:rsidRDefault="00E1452C" w:rsidP="00E1452C">
      <w:pPr>
        <w:pStyle w:val="DefinedTerms"/>
      </w:pPr>
      <w:r>
        <w:t>plate</w:t>
      </w:r>
      <w:r>
        <w:tab/>
        <w:t>120(1)</w:t>
      </w:r>
    </w:p>
    <w:p w:rsidR="00E1452C" w:rsidRDefault="00E1452C" w:rsidP="00E1452C">
      <w:pPr>
        <w:pStyle w:val="DefinedTerms"/>
      </w:pPr>
      <w:r>
        <w:t>point of articulation</w:t>
      </w:r>
      <w:r>
        <w:tab/>
        <w:t>3</w:t>
      </w:r>
    </w:p>
    <w:p w:rsidR="00E1452C" w:rsidRDefault="00E1452C" w:rsidP="00E1452C">
      <w:pPr>
        <w:pStyle w:val="DefinedTerms"/>
      </w:pPr>
      <w:r>
        <w:t>pole-type trailer</w:t>
      </w:r>
      <w:r>
        <w:tab/>
        <w:t>3, 390</w:t>
      </w:r>
    </w:p>
    <w:p w:rsidR="00E1452C" w:rsidRDefault="00E1452C" w:rsidP="00E1452C">
      <w:pPr>
        <w:pStyle w:val="DefinedTerms"/>
      </w:pPr>
      <w:r>
        <w:t>Police Service employee</w:t>
      </w:r>
      <w:r>
        <w:tab/>
        <w:t>453(2)</w:t>
      </w:r>
    </w:p>
    <w:p w:rsidR="00E1452C" w:rsidRDefault="00E1452C" w:rsidP="00E1452C">
      <w:pPr>
        <w:pStyle w:val="DefinedTerms"/>
      </w:pPr>
      <w:r>
        <w:t>prime mover</w:t>
      </w:r>
      <w:r>
        <w:tab/>
        <w:t>3</w:t>
      </w:r>
    </w:p>
    <w:p w:rsidR="00E1452C" w:rsidRDefault="00E1452C" w:rsidP="00E1452C">
      <w:pPr>
        <w:pStyle w:val="DefinedTerms"/>
      </w:pPr>
      <w:r>
        <w:t>proposed action</w:t>
      </w:r>
      <w:r>
        <w:tab/>
        <w:t>454Q(1), 466(2)</w:t>
      </w:r>
    </w:p>
    <w:p w:rsidR="00E1452C" w:rsidRDefault="00E1452C" w:rsidP="00E1452C">
      <w:pPr>
        <w:pStyle w:val="DefinedTerms"/>
      </w:pPr>
      <w:r>
        <w:t>provisional licence</w:t>
      </w:r>
      <w:r>
        <w:tab/>
        <w:t>454A</w:t>
      </w:r>
    </w:p>
    <w:p w:rsidR="00E1452C" w:rsidRDefault="00E1452C" w:rsidP="00E1452C">
      <w:pPr>
        <w:pStyle w:val="DefinedTerms"/>
      </w:pPr>
      <w:r>
        <w:t>radial ply tyre</w:t>
      </w:r>
      <w:r>
        <w:tab/>
        <w:t>266(1)</w:t>
      </w:r>
    </w:p>
    <w:p w:rsidR="00E1452C" w:rsidRDefault="00E1452C" w:rsidP="00E1452C">
      <w:pPr>
        <w:pStyle w:val="DefinedTerms"/>
      </w:pPr>
      <w:r>
        <w:t>RAV</w:t>
      </w:r>
      <w:r>
        <w:tab/>
        <w:t>3</w:t>
      </w:r>
    </w:p>
    <w:p w:rsidR="00E1452C" w:rsidRDefault="00E1452C" w:rsidP="00E1452C">
      <w:pPr>
        <w:pStyle w:val="DefinedTerms"/>
      </w:pPr>
      <w:r>
        <w:t>read</w:t>
      </w:r>
      <w:r>
        <w:tab/>
        <w:t>120(1)</w:t>
      </w:r>
    </w:p>
    <w:p w:rsidR="00E1452C" w:rsidRDefault="00E1452C" w:rsidP="00E1452C">
      <w:pPr>
        <w:pStyle w:val="DefinedTerms"/>
      </w:pPr>
      <w:r>
        <w:t>rear fog light</w:t>
      </w:r>
      <w:r>
        <w:tab/>
        <w:t>226, 315(1A)</w:t>
      </w:r>
    </w:p>
    <w:p w:rsidR="00E1452C" w:rsidRDefault="00E1452C" w:rsidP="00E1452C">
      <w:pPr>
        <w:pStyle w:val="DefinedTerms"/>
      </w:pPr>
      <w:r>
        <w:t>rear glazing</w:t>
      </w:r>
      <w:r>
        <w:tab/>
        <w:t>260(1)</w:t>
      </w:r>
    </w:p>
    <w:p w:rsidR="00E1452C" w:rsidRDefault="00E1452C" w:rsidP="00E1452C">
      <w:pPr>
        <w:pStyle w:val="DefinedTerms"/>
      </w:pPr>
      <w:r>
        <w:t>rear marking plate</w:t>
      </w:r>
      <w:r>
        <w:tab/>
        <w:t>328(1)</w:t>
      </w:r>
    </w:p>
    <w:p w:rsidR="00E1452C" w:rsidRDefault="00E1452C" w:rsidP="00E1452C">
      <w:pPr>
        <w:pStyle w:val="DefinedTerms"/>
      </w:pPr>
      <w:r>
        <w:t>rear overhang</w:t>
      </w:r>
      <w:r>
        <w:tab/>
        <w:t>3</w:t>
      </w:r>
    </w:p>
    <w:p w:rsidR="00E1452C" w:rsidRDefault="00E1452C" w:rsidP="00E1452C">
      <w:pPr>
        <w:pStyle w:val="DefinedTerms"/>
      </w:pPr>
      <w:r>
        <w:t>reduced charge</w:t>
      </w:r>
      <w:r>
        <w:tab/>
        <w:t>84A(1)</w:t>
      </w:r>
    </w:p>
    <w:p w:rsidR="00E1452C" w:rsidRDefault="00E1452C" w:rsidP="00E1452C">
      <w:pPr>
        <w:pStyle w:val="DefinedTerms"/>
      </w:pPr>
      <w:r>
        <w:t>reflective plate</w:t>
      </w:r>
      <w:r>
        <w:tab/>
        <w:t>109</w:t>
      </w:r>
    </w:p>
    <w:p w:rsidR="00E1452C" w:rsidRDefault="00E1452C" w:rsidP="00E1452C">
      <w:pPr>
        <w:pStyle w:val="DefinedTerms"/>
      </w:pPr>
      <w:r>
        <w:t>region</w:t>
      </w:r>
      <w:r>
        <w:tab/>
        <w:t>86</w:t>
      </w:r>
    </w:p>
    <w:p w:rsidR="00E1452C" w:rsidRDefault="00E1452C" w:rsidP="00E1452C">
      <w:pPr>
        <w:pStyle w:val="DefinedTerms"/>
      </w:pPr>
      <w:r>
        <w:t>registered training provider</w:t>
      </w:r>
      <w:r>
        <w:tab/>
        <w:t>454E(1)</w:t>
      </w:r>
    </w:p>
    <w:p w:rsidR="00E1452C" w:rsidRDefault="00E1452C" w:rsidP="00E1452C">
      <w:pPr>
        <w:pStyle w:val="DefinedTerms"/>
      </w:pPr>
      <w:r>
        <w:t>renewal application</w:t>
      </w:r>
      <w:r>
        <w:tab/>
        <w:t>454A</w:t>
      </w:r>
    </w:p>
    <w:p w:rsidR="00E1452C" w:rsidRDefault="00E1452C" w:rsidP="00E1452C">
      <w:pPr>
        <w:pStyle w:val="DefinedTerms"/>
      </w:pPr>
      <w:r>
        <w:t>renewal period</w:t>
      </w:r>
      <w:r>
        <w:tab/>
        <w:t>30(1)</w:t>
      </w:r>
    </w:p>
    <w:p w:rsidR="00E1452C" w:rsidRDefault="00E1452C" w:rsidP="00E1452C">
      <w:pPr>
        <w:pStyle w:val="DefinedTerms"/>
      </w:pPr>
      <w:r>
        <w:t>repair</w:t>
      </w:r>
      <w:r>
        <w:tab/>
        <w:t>146</w:t>
      </w:r>
    </w:p>
    <w:p w:rsidR="00E1452C" w:rsidRDefault="00E1452C" w:rsidP="00E1452C">
      <w:pPr>
        <w:pStyle w:val="DefinedTerms"/>
      </w:pPr>
      <w:r>
        <w:t>repairable write-off</w:t>
      </w:r>
      <w:r>
        <w:tab/>
        <w:t>3</w:t>
      </w:r>
    </w:p>
    <w:p w:rsidR="00E1452C" w:rsidRDefault="00E1452C" w:rsidP="00E1452C">
      <w:pPr>
        <w:pStyle w:val="DefinedTerms"/>
      </w:pPr>
      <w:r>
        <w:t>retractable axle</w:t>
      </w:r>
      <w:r>
        <w:tab/>
        <w:t>164(1)</w:t>
      </w:r>
    </w:p>
    <w:p w:rsidR="00E1452C" w:rsidRDefault="00E1452C" w:rsidP="00E1452C">
      <w:pPr>
        <w:pStyle w:val="DefinedTerms"/>
      </w:pPr>
      <w:r>
        <w:t>reviewable decision</w:t>
      </w:r>
      <w:r>
        <w:tab/>
        <w:t>478</w:t>
      </w:r>
    </w:p>
    <w:p w:rsidR="00E1452C" w:rsidRDefault="00E1452C" w:rsidP="00E1452C">
      <w:pPr>
        <w:pStyle w:val="DefinedTerms"/>
      </w:pPr>
      <w:r>
        <w:t>right</w:t>
      </w:r>
      <w:r>
        <w:tab/>
        <w:t>3, 237</w:t>
      </w:r>
    </w:p>
    <w:p w:rsidR="00E1452C" w:rsidRDefault="00E1452C" w:rsidP="00E1452C">
      <w:pPr>
        <w:pStyle w:val="DefinedTerms"/>
      </w:pPr>
      <w:r>
        <w:t>road</w:t>
      </w:r>
      <w:r>
        <w:tab/>
        <w:t>202</w:t>
      </w:r>
    </w:p>
    <w:p w:rsidR="00E1452C" w:rsidRDefault="00E1452C" w:rsidP="00E1452C">
      <w:pPr>
        <w:pStyle w:val="DefinedTerms"/>
      </w:pPr>
      <w:r>
        <w:t>road tank vehicle</w:t>
      </w:r>
      <w:r>
        <w:tab/>
        <w:t>226</w:t>
      </w:r>
    </w:p>
    <w:p w:rsidR="00E1452C" w:rsidRDefault="00E1452C" w:rsidP="00E1452C">
      <w:pPr>
        <w:pStyle w:val="DefinedTerms"/>
      </w:pPr>
      <w:r>
        <w:t>road train</w:t>
      </w:r>
      <w:r>
        <w:tab/>
        <w:t>3, 367</w:t>
      </w:r>
    </w:p>
    <w:p w:rsidR="00E1452C" w:rsidRDefault="00E1452C" w:rsidP="00E1452C">
      <w:pPr>
        <w:pStyle w:val="DefinedTerms"/>
      </w:pPr>
      <w:r>
        <w:t>school bus</w:t>
      </w:r>
      <w:r>
        <w:tab/>
        <w:t>226</w:t>
      </w:r>
    </w:p>
    <w:p w:rsidR="00E1452C" w:rsidRDefault="00E1452C" w:rsidP="00E1452C">
      <w:pPr>
        <w:pStyle w:val="DefinedTerms"/>
      </w:pPr>
      <w:r>
        <w:t>seasonal heavy vehicle licence</w:t>
      </w:r>
      <w:r>
        <w:tab/>
        <w:t>3</w:t>
      </w:r>
    </w:p>
    <w:p w:rsidR="00E1452C" w:rsidRDefault="00E1452C" w:rsidP="00E1452C">
      <w:pPr>
        <w:pStyle w:val="DefinedTerms"/>
      </w:pPr>
      <w:r>
        <w:t>second edition ADR</w:t>
      </w:r>
      <w:r>
        <w:tab/>
        <w:t>226</w:t>
      </w:r>
    </w:p>
    <w:p w:rsidR="00E1452C" w:rsidRDefault="00E1452C" w:rsidP="00E1452C">
      <w:pPr>
        <w:pStyle w:val="DefinedTerms"/>
      </w:pPr>
      <w:r>
        <w:t>section</w:t>
      </w:r>
      <w:r>
        <w:tab/>
        <w:t>3</w:t>
      </w:r>
    </w:p>
    <w:p w:rsidR="00E1452C" w:rsidRDefault="00E1452C" w:rsidP="00E1452C">
      <w:pPr>
        <w:pStyle w:val="DefinedTerms"/>
      </w:pPr>
      <w:r>
        <w:t>semi-trailer</w:t>
      </w:r>
      <w:r>
        <w:tab/>
        <w:t>3</w:t>
      </w:r>
    </w:p>
    <w:p w:rsidR="00E1452C" w:rsidRDefault="00E1452C" w:rsidP="00E1452C">
      <w:pPr>
        <w:pStyle w:val="DefinedTerms"/>
      </w:pPr>
      <w:r>
        <w:t>service brake</w:t>
      </w:r>
      <w:r>
        <w:tab/>
        <w:t>3</w:t>
      </w:r>
    </w:p>
    <w:p w:rsidR="00E1452C" w:rsidRDefault="00E1452C" w:rsidP="00E1452C">
      <w:pPr>
        <w:pStyle w:val="DefinedTerms"/>
      </w:pPr>
      <w:r>
        <w:t>set</w:t>
      </w:r>
      <w:r>
        <w:tab/>
        <w:t>3</w:t>
      </w:r>
    </w:p>
    <w:p w:rsidR="00E1452C" w:rsidRDefault="00E1452C" w:rsidP="00E1452C">
      <w:pPr>
        <w:pStyle w:val="DefinedTerms"/>
      </w:pPr>
      <w:r>
        <w:t>side marker light</w:t>
      </w:r>
      <w:r>
        <w:tab/>
        <w:t>3</w:t>
      </w:r>
    </w:p>
    <w:p w:rsidR="00E1452C" w:rsidRDefault="00E1452C" w:rsidP="00E1452C">
      <w:pPr>
        <w:pStyle w:val="DefinedTerms"/>
      </w:pPr>
      <w:r>
        <w:t>single axle</w:t>
      </w:r>
      <w:r>
        <w:tab/>
        <w:t>3</w:t>
      </w:r>
    </w:p>
    <w:p w:rsidR="00E1452C" w:rsidRDefault="00E1452C" w:rsidP="00E1452C">
      <w:pPr>
        <w:pStyle w:val="DefinedTerms"/>
      </w:pPr>
      <w:r>
        <w:t>special plate</w:t>
      </w:r>
      <w:r>
        <w:tab/>
        <w:t>109</w:t>
      </w:r>
    </w:p>
    <w:p w:rsidR="00E1452C" w:rsidRDefault="00E1452C" w:rsidP="00E1452C">
      <w:pPr>
        <w:pStyle w:val="DefinedTerms"/>
      </w:pPr>
      <w:r>
        <w:t>special purpose vehicle</w:t>
      </w:r>
      <w:r>
        <w:tab/>
        <w:t>3</w:t>
      </w:r>
    </w:p>
    <w:p w:rsidR="00E1452C" w:rsidRDefault="00E1452C" w:rsidP="00E1452C">
      <w:pPr>
        <w:pStyle w:val="DefinedTerms"/>
      </w:pPr>
      <w:r>
        <w:lastRenderedPageBreak/>
        <w:t>special use vehicle</w:t>
      </w:r>
      <w:r>
        <w:tab/>
        <w:t>327(4)</w:t>
      </w:r>
    </w:p>
    <w:p w:rsidR="00E1452C" w:rsidRDefault="00E1452C" w:rsidP="00E1452C">
      <w:pPr>
        <w:pStyle w:val="DefinedTerms"/>
      </w:pPr>
      <w:r>
        <w:t>specified</w:t>
      </w:r>
      <w:r>
        <w:tab/>
        <w:t>455</w:t>
      </w:r>
    </w:p>
    <w:p w:rsidR="00E1452C" w:rsidRDefault="00E1452C" w:rsidP="00E1452C">
      <w:pPr>
        <w:pStyle w:val="DefinedTerms"/>
      </w:pPr>
      <w:r>
        <w:t>spring brake</w:t>
      </w:r>
      <w:r>
        <w:tab/>
        <w:t>334(1A)</w:t>
      </w:r>
    </w:p>
    <w:p w:rsidR="00E1452C" w:rsidRDefault="00E1452C" w:rsidP="00E1452C">
      <w:pPr>
        <w:pStyle w:val="DefinedTerms"/>
      </w:pPr>
      <w:r>
        <w:t>Statement of Attainment</w:t>
      </w:r>
      <w:r>
        <w:tab/>
        <w:t>454E(1)</w:t>
      </w:r>
    </w:p>
    <w:p w:rsidR="00E1452C" w:rsidRDefault="00E1452C" w:rsidP="00E1452C">
      <w:pPr>
        <w:pStyle w:val="DefinedTerms"/>
      </w:pPr>
      <w:r>
        <w:t>statutory write-off</w:t>
      </w:r>
      <w:r>
        <w:tab/>
        <w:t>3</w:t>
      </w:r>
    </w:p>
    <w:p w:rsidR="00E1452C" w:rsidRDefault="00E1452C" w:rsidP="00E1452C">
      <w:pPr>
        <w:pStyle w:val="DefinedTerms"/>
      </w:pPr>
      <w:r>
        <w:t>stock</w:t>
      </w:r>
      <w:r>
        <w:tab/>
        <w:t>52(1)</w:t>
      </w:r>
    </w:p>
    <w:p w:rsidR="00E1452C" w:rsidRDefault="00E1452C" w:rsidP="00E1452C">
      <w:pPr>
        <w:pStyle w:val="DefinedTerms"/>
      </w:pPr>
      <w:r>
        <w:t>street rod vehicle</w:t>
      </w:r>
      <w:r>
        <w:tab/>
        <w:t>3</w:t>
      </w:r>
    </w:p>
    <w:p w:rsidR="00E1452C" w:rsidRDefault="00E1452C" w:rsidP="00E1452C">
      <w:pPr>
        <w:pStyle w:val="DefinedTerms"/>
      </w:pPr>
      <w:r>
        <w:t>submission date</w:t>
      </w:r>
      <w:r>
        <w:tab/>
        <w:t>454Q(2)</w:t>
      </w:r>
    </w:p>
    <w:p w:rsidR="00E1452C" w:rsidRDefault="00E1452C" w:rsidP="00E1452C">
      <w:pPr>
        <w:pStyle w:val="DefinedTerms"/>
      </w:pPr>
      <w:r>
        <w:t>Table</w:t>
      </w:r>
      <w:r>
        <w:tab/>
        <w:t>38(1)</w:t>
      </w:r>
    </w:p>
    <w:p w:rsidR="00E1452C" w:rsidRDefault="00E1452C" w:rsidP="00E1452C">
      <w:pPr>
        <w:pStyle w:val="DefinedTerms"/>
      </w:pPr>
      <w:r>
        <w:t>Technical Guide</w:t>
      </w:r>
      <w:r>
        <w:tab/>
        <w:t>150(3)</w:t>
      </w:r>
    </w:p>
    <w:p w:rsidR="00E1452C" w:rsidRDefault="00E1452C" w:rsidP="00E1452C">
      <w:pPr>
        <w:pStyle w:val="DefinedTerms"/>
      </w:pPr>
      <w:r>
        <w:t>third edition ADR</w:t>
      </w:r>
      <w:r>
        <w:tab/>
        <w:t>226</w:t>
      </w:r>
    </w:p>
    <w:p w:rsidR="00E1452C" w:rsidRDefault="00E1452C" w:rsidP="00E1452C">
      <w:pPr>
        <w:pStyle w:val="DefinedTerms"/>
      </w:pPr>
      <w:r>
        <w:t>total loss</w:t>
      </w:r>
      <w:r>
        <w:tab/>
        <w:t>146</w:t>
      </w:r>
    </w:p>
    <w:p w:rsidR="00E1452C" w:rsidRDefault="00E1452C" w:rsidP="00E1452C">
      <w:pPr>
        <w:pStyle w:val="DefinedTerms"/>
      </w:pPr>
      <w:r>
        <w:t>tow</w:t>
      </w:r>
      <w:r>
        <w:tab/>
        <w:t>423(1)</w:t>
      </w:r>
    </w:p>
    <w:p w:rsidR="00E1452C" w:rsidRDefault="00E1452C" w:rsidP="00E1452C">
      <w:pPr>
        <w:pStyle w:val="DefinedTerms"/>
      </w:pPr>
      <w:r>
        <w:t>tow coupling overhang</w:t>
      </w:r>
      <w:r>
        <w:tab/>
        <w:t>379(1)</w:t>
      </w:r>
    </w:p>
    <w:p w:rsidR="00E1452C" w:rsidRDefault="00E1452C" w:rsidP="00E1452C">
      <w:pPr>
        <w:pStyle w:val="DefinedTerms"/>
      </w:pPr>
      <w:r>
        <w:t>towed vehicle</w:t>
      </w:r>
      <w:r>
        <w:tab/>
        <w:t>423(1)</w:t>
      </w:r>
    </w:p>
    <w:p w:rsidR="00E1452C" w:rsidRDefault="00E1452C" w:rsidP="00E1452C">
      <w:pPr>
        <w:pStyle w:val="DefinedTerms"/>
      </w:pPr>
      <w:r>
        <w:t>towing vehicle</w:t>
      </w:r>
      <w:r>
        <w:tab/>
        <w:t>423(1)</w:t>
      </w:r>
    </w:p>
    <w:p w:rsidR="00E1452C" w:rsidRDefault="00E1452C" w:rsidP="00E1452C">
      <w:pPr>
        <w:pStyle w:val="DefinedTerms"/>
      </w:pPr>
      <w:r>
        <w:t>tow truck</w:t>
      </w:r>
      <w:r>
        <w:tab/>
        <w:t>3</w:t>
      </w:r>
    </w:p>
    <w:p w:rsidR="00E1452C" w:rsidRDefault="00E1452C" w:rsidP="00E1452C">
      <w:pPr>
        <w:pStyle w:val="DefinedTerms"/>
      </w:pPr>
      <w:r>
        <w:t>trade plate</w:t>
      </w:r>
      <w:r>
        <w:tab/>
        <w:t>109</w:t>
      </w:r>
    </w:p>
    <w:p w:rsidR="00E1452C" w:rsidRDefault="00E1452C" w:rsidP="00E1452C">
      <w:pPr>
        <w:pStyle w:val="DefinedTerms"/>
      </w:pPr>
      <w:r>
        <w:t>trailer</w:t>
      </w:r>
      <w:r>
        <w:tab/>
        <w:t>3, 167(1), 168(1)</w:t>
      </w:r>
    </w:p>
    <w:p w:rsidR="00E1452C" w:rsidRDefault="00E1452C" w:rsidP="00E1452C">
      <w:pPr>
        <w:pStyle w:val="DefinedTerms"/>
      </w:pPr>
      <w:r>
        <w:t>trailer derivative</w:t>
      </w:r>
      <w:r>
        <w:tab/>
        <w:t>38(1)</w:t>
      </w:r>
    </w:p>
    <w:p w:rsidR="00E1452C" w:rsidRDefault="00E1452C" w:rsidP="00E1452C">
      <w:pPr>
        <w:pStyle w:val="DefinedTerms"/>
      </w:pPr>
      <w:r>
        <w:t>transitional pilot</w:t>
      </w:r>
      <w:r>
        <w:tab/>
        <w:t>454ZC(1)</w:t>
      </w:r>
    </w:p>
    <w:p w:rsidR="00E1452C" w:rsidRDefault="00E1452C" w:rsidP="00E1452C">
      <w:pPr>
        <w:pStyle w:val="DefinedTerms"/>
      </w:pPr>
      <w:r>
        <w:t>transparent material</w:t>
      </w:r>
      <w:r>
        <w:tab/>
        <w:t>259(1)</w:t>
      </w:r>
    </w:p>
    <w:p w:rsidR="00E1452C" w:rsidRDefault="00E1452C" w:rsidP="00E1452C">
      <w:pPr>
        <w:pStyle w:val="DefinedTerms"/>
      </w:pPr>
      <w:r>
        <w:t>transport enforcement vehicle</w:t>
      </w:r>
      <w:r>
        <w:tab/>
        <w:t>226</w:t>
      </w:r>
    </w:p>
    <w:p w:rsidR="00E1452C" w:rsidRDefault="00E1452C" w:rsidP="00E1452C">
      <w:pPr>
        <w:pStyle w:val="DefinedTerms"/>
      </w:pPr>
      <w:r>
        <w:t>turntable</w:t>
      </w:r>
      <w:r>
        <w:tab/>
        <w:t>3</w:t>
      </w:r>
    </w:p>
    <w:p w:rsidR="00E1452C" w:rsidRDefault="00E1452C" w:rsidP="00E1452C">
      <w:pPr>
        <w:pStyle w:val="DefinedTerms"/>
      </w:pPr>
      <w:r>
        <w:t>unloaded mass</w:t>
      </w:r>
      <w:r>
        <w:tab/>
        <w:t>3</w:t>
      </w:r>
    </w:p>
    <w:p w:rsidR="00E1452C" w:rsidRDefault="00E1452C" w:rsidP="00E1452C">
      <w:pPr>
        <w:pStyle w:val="DefinedTerms"/>
      </w:pPr>
      <w:r>
        <w:t>used</w:t>
      </w:r>
      <w:r>
        <w:tab/>
        <w:t>423(1)</w:t>
      </w:r>
    </w:p>
    <w:p w:rsidR="00E1452C" w:rsidRDefault="00E1452C" w:rsidP="00E1452C">
      <w:pPr>
        <w:pStyle w:val="DefinedTerms"/>
      </w:pPr>
      <w:r>
        <w:t>vacuum brakes</w:t>
      </w:r>
      <w:r>
        <w:tab/>
        <w:t>226</w:t>
      </w:r>
    </w:p>
    <w:p w:rsidR="00E1452C" w:rsidRDefault="00E1452C" w:rsidP="00E1452C">
      <w:pPr>
        <w:pStyle w:val="DefinedTerms"/>
      </w:pPr>
      <w:r>
        <w:t>vacuum reserve</w:t>
      </w:r>
      <w:r>
        <w:tab/>
        <w:t>334(1A)</w:t>
      </w:r>
    </w:p>
    <w:p w:rsidR="00E1452C" w:rsidRDefault="00E1452C" w:rsidP="00E1452C">
      <w:pPr>
        <w:pStyle w:val="DefinedTerms"/>
      </w:pPr>
      <w:r>
        <w:t>vacuum storage tank</w:t>
      </w:r>
      <w:r>
        <w:tab/>
        <w:t>3</w:t>
      </w:r>
    </w:p>
    <w:p w:rsidR="00E1452C" w:rsidRDefault="00E1452C" w:rsidP="00E1452C">
      <w:pPr>
        <w:pStyle w:val="DefinedTerms"/>
      </w:pPr>
      <w:r>
        <w:t>vehicle</w:t>
      </w:r>
      <w:r>
        <w:tab/>
        <w:t>165(1), 167(1), 179(2), 180(1), 181(1), 236(1), 238(1)</w:t>
      </w:r>
    </w:p>
    <w:p w:rsidR="00E1452C" w:rsidRDefault="00E1452C" w:rsidP="00E1452C">
      <w:pPr>
        <w:pStyle w:val="DefinedTerms"/>
      </w:pPr>
      <w:r>
        <w:t>vehicle examiner</w:t>
      </w:r>
      <w:r>
        <w:tab/>
        <w:t>12, 20(1)</w:t>
      </w:r>
    </w:p>
    <w:p w:rsidR="00E1452C" w:rsidRDefault="00E1452C" w:rsidP="00E1452C">
      <w:pPr>
        <w:pStyle w:val="DefinedTerms"/>
      </w:pPr>
      <w:r>
        <w:t>vehicle identification number (VIN)</w:t>
      </w:r>
      <w:r>
        <w:tab/>
        <w:t>3</w:t>
      </w:r>
    </w:p>
    <w:p w:rsidR="00E1452C" w:rsidRDefault="00E1452C" w:rsidP="00E1452C">
      <w:pPr>
        <w:pStyle w:val="DefinedTerms"/>
      </w:pPr>
      <w:r>
        <w:t>vehicle licensing reviewable decision</w:t>
      </w:r>
      <w:r>
        <w:tab/>
        <w:t>478</w:t>
      </w:r>
    </w:p>
    <w:p w:rsidR="00E1452C" w:rsidRDefault="00E1452C" w:rsidP="00E1452C">
      <w:pPr>
        <w:pStyle w:val="DefinedTerms"/>
      </w:pPr>
      <w:r>
        <w:t>vehicle standard regulation</w:t>
      </w:r>
      <w:r>
        <w:tab/>
        <w:t>460</w:t>
      </w:r>
    </w:p>
    <w:p w:rsidR="00E1452C" w:rsidRDefault="00E1452C" w:rsidP="00E1452C">
      <w:pPr>
        <w:pStyle w:val="DefinedTerms"/>
      </w:pPr>
      <w:r>
        <w:t>wrecker</w:t>
      </w:r>
      <w:r>
        <w:tab/>
        <w:t>146</w:t>
      </w:r>
    </w:p>
    <w:p w:rsidR="00E1452C" w:rsidRDefault="00E1452C" w:rsidP="00E1452C">
      <w:pPr>
        <w:pStyle w:val="DefinedTerms"/>
      </w:pPr>
      <w:r>
        <w:t>written-off</w:t>
      </w:r>
      <w:r>
        <w:tab/>
        <w:t>146</w:t>
      </w:r>
    </w:p>
    <w:p w:rsidR="00E1452C" w:rsidRDefault="00E1452C" w:rsidP="00E1452C">
      <w:pPr>
        <w:pStyle w:val="DefinedTerms"/>
      </w:pPr>
      <w:r>
        <w:t>written-off vehicle notice</w:t>
      </w:r>
      <w:r>
        <w:tab/>
        <w:t>157(1)</w:t>
      </w:r>
    </w:p>
    <w:p w:rsidR="00E1452C" w:rsidRDefault="00E1452C" w:rsidP="00E1452C">
      <w:pPr>
        <w:pStyle w:val="DefinedTerms"/>
      </w:pPr>
      <w:r>
        <w:t>Written-Off Vehicle Register (WOVR)</w:t>
      </w:r>
      <w:r>
        <w:tab/>
        <w:t>3</w:t>
      </w:r>
    </w:p>
    <w:p w:rsidR="00E1452C" w:rsidRDefault="00E1452C" w:rsidP="00E1452C">
      <w:pPr>
        <w:pStyle w:val="DefinedTerms"/>
      </w:pPr>
      <w:r>
        <w:t>yellow</w:t>
      </w:r>
      <w:r>
        <w:tab/>
        <w:t>3</w:t>
      </w:r>
    </w:p>
    <w:p w:rsidR="00E1452C" w:rsidRDefault="00E1452C" w:rsidP="00E1452C"/>
    <w:p w:rsidR="00E1452C" w:rsidRDefault="00E1452C">
      <w:pPr>
        <w:sectPr w:rsidR="00E1452C">
          <w:headerReference w:type="even" r:id="rId65"/>
          <w:headerReference w:type="default" r:id="rId66"/>
          <w:pgSz w:w="11907" w:h="16840" w:code="9"/>
          <w:pgMar w:top="2381" w:right="2409" w:bottom="3543" w:left="2409" w:header="720" w:footer="3380" w:gutter="0"/>
          <w:cols w:space="720"/>
          <w:noEndnote/>
          <w:docGrid w:linePitch="326"/>
        </w:sectPr>
      </w:pPr>
    </w:p>
    <w:p w:rsidR="006724FB" w:rsidRDefault="006724FB"/>
    <w:sectPr w:rsidR="006724FB">
      <w:headerReference w:type="even" r:id="rId67"/>
      <w:headerReference w:type="default" r:id="rId68"/>
      <w:footerReference w:type="even" r:id="rId69"/>
      <w:footerReference w:type="default" r:id="rId70"/>
      <w:headerReference w:type="first" r:id="rId71"/>
      <w:footerReference w:type="first" r:id="rId7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964" w:rsidRDefault="00791964">
      <w:pPr>
        <w:rPr>
          <w:b/>
          <w:sz w:val="28"/>
        </w:rPr>
      </w:pPr>
      <w:r>
        <w:rPr>
          <w:b/>
          <w:sz w:val="28"/>
        </w:rPr>
        <w:t>Endnotes</w:t>
      </w:r>
    </w:p>
    <w:p w:rsidR="00791964" w:rsidRDefault="00791964">
      <w:pPr>
        <w:spacing w:after="240"/>
        <w:rPr>
          <w:rFonts w:ascii="Times" w:hAnsi="Times"/>
          <w:sz w:val="18"/>
        </w:rPr>
      </w:pPr>
      <w:r>
        <w:rPr>
          <w:sz w:val="20"/>
        </w:rPr>
        <w:t>[For ease of reference detach these notes and read them alongside the draft.]</w:t>
      </w:r>
    </w:p>
    <w:p w:rsidR="00791964" w:rsidRDefault="00791964"/>
  </w:endnote>
  <w:endnote w:type="continuationSeparator" w:id="0">
    <w:p w:rsidR="00791964" w:rsidRDefault="00791964">
      <w:pPr>
        <w:pStyle w:val="Footer"/>
      </w:pPr>
    </w:p>
    <w:p w:rsidR="00791964" w:rsidRDefault="007919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64" w:rsidRDefault="00791964">
    <w:pPr>
      <w:pStyle w:val="Footer"/>
      <w:pBdr>
        <w:bottom w:val="single" w:sz="4" w:space="1" w:color="auto"/>
      </w:pBdr>
      <w:rPr>
        <w:sz w:val="20"/>
      </w:rPr>
    </w:pPr>
  </w:p>
  <w:p w:rsidR="00791964" w:rsidRDefault="00791964">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337078">
      <w:rPr>
        <w:sz w:val="20"/>
      </w:rPr>
      <w:t>01-r0-00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37078">
      <w:rPr>
        <w:sz w:val="20"/>
      </w:rPr>
      <w:t>01 Jul 2021</w:t>
    </w:r>
    <w:r>
      <w:rPr>
        <w:sz w:val="20"/>
      </w:rPr>
      <w:fldChar w:fldCharType="end"/>
    </w:r>
  </w:p>
  <w:p w:rsidR="00791964" w:rsidRDefault="00791964">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64" w:rsidRDefault="00791964">
    <w:pPr>
      <w:pStyle w:val="Footer"/>
      <w:pBdr>
        <w:bottom w:val="single" w:sz="4" w:space="1" w:color="auto"/>
      </w:pBdr>
      <w:rPr>
        <w:sz w:val="20"/>
      </w:rPr>
    </w:pPr>
  </w:p>
  <w:p w:rsidR="00791964" w:rsidRDefault="0079196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37078">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37078">
      <w:rPr>
        <w:sz w:val="20"/>
      </w:rPr>
      <w:t>01-r0-00</w:t>
    </w:r>
    <w:r>
      <w:rPr>
        <w:sz w:val="20"/>
      </w:rPr>
      <w:fldChar w:fldCharType="end"/>
    </w:r>
  </w:p>
  <w:p w:rsidR="00791964" w:rsidRDefault="00791964">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64" w:rsidRDefault="00791964">
    <w:pPr>
      <w:pStyle w:val="Footer"/>
      <w:pBdr>
        <w:bottom w:val="single" w:sz="4" w:space="1" w:color="auto"/>
      </w:pBdr>
      <w:rPr>
        <w:sz w:val="20"/>
      </w:rPr>
    </w:pPr>
  </w:p>
  <w:p w:rsidR="00791964" w:rsidRDefault="0079196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37078">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37078">
      <w:rPr>
        <w:sz w:val="20"/>
      </w:rPr>
      <w:t>01-r0-00</w:t>
    </w:r>
    <w:r>
      <w:rPr>
        <w:sz w:val="20"/>
      </w:rPr>
      <w:fldChar w:fldCharType="end"/>
    </w:r>
  </w:p>
  <w:p w:rsidR="00791964" w:rsidRDefault="00791964">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64" w:rsidRDefault="00791964">
    <w:pPr>
      <w:pStyle w:val="Footer"/>
      <w:pBdr>
        <w:bottom w:val="single" w:sz="4" w:space="1" w:color="auto"/>
      </w:pBdr>
      <w:rPr>
        <w:sz w:val="20"/>
      </w:rPr>
    </w:pPr>
  </w:p>
  <w:p w:rsidR="00791964" w:rsidRDefault="00791964">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37078">
      <w:rPr>
        <w:sz w:val="20"/>
      </w:rPr>
      <w:t>01-r0-00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37078">
      <w:rPr>
        <w:sz w:val="20"/>
      </w:rPr>
      <w:t>01 Jul 2021</w:t>
    </w:r>
    <w:r>
      <w:rPr>
        <w:sz w:val="20"/>
      </w:rPr>
      <w:fldChar w:fldCharType="end"/>
    </w:r>
  </w:p>
  <w:p w:rsidR="00791964" w:rsidRDefault="00791964">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64" w:rsidRDefault="00791964">
    <w:pPr>
      <w:pStyle w:val="Footer"/>
      <w:pBdr>
        <w:bottom w:val="single" w:sz="4" w:space="1" w:color="auto"/>
      </w:pBdr>
      <w:rPr>
        <w:sz w:val="20"/>
      </w:rPr>
    </w:pPr>
  </w:p>
  <w:p w:rsidR="00791964" w:rsidRDefault="0079196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37078">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37078">
      <w:rPr>
        <w:sz w:val="20"/>
      </w:rPr>
      <w:t>01-r0-00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341</w:t>
    </w:r>
    <w:r>
      <w:rPr>
        <w:sz w:val="20"/>
      </w:rPr>
      <w:fldChar w:fldCharType="end"/>
    </w:r>
  </w:p>
  <w:p w:rsidR="00791964" w:rsidRDefault="00791964">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64" w:rsidRDefault="00791964">
    <w:pPr>
      <w:pStyle w:val="Footer"/>
      <w:pBdr>
        <w:bottom w:val="single" w:sz="4" w:space="1" w:color="auto"/>
      </w:pBdr>
      <w:rPr>
        <w:sz w:val="20"/>
      </w:rPr>
    </w:pPr>
  </w:p>
  <w:p w:rsidR="00791964" w:rsidRDefault="0079196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37078">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37078">
      <w:rPr>
        <w:sz w:val="20"/>
      </w:rPr>
      <w:t>01-r0-00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791964" w:rsidRDefault="00791964">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64" w:rsidRDefault="0079196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64" w:rsidRDefault="0079196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64" w:rsidRDefault="00791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964" w:rsidRDefault="00791964">
      <w:r>
        <w:separator/>
      </w:r>
    </w:p>
  </w:footnote>
  <w:footnote w:type="continuationSeparator" w:id="0">
    <w:p w:rsidR="00791964" w:rsidRDefault="00791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078" w:rsidRDefault="0033707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91964">
      <w:trPr>
        <w:cantSplit/>
        <w:jc w:val="center"/>
      </w:trPr>
      <w:tc>
        <w:tcPr>
          <w:tcW w:w="7258" w:type="dxa"/>
          <w:gridSpan w:val="2"/>
        </w:tcPr>
        <w:p w:rsidR="00791964" w:rsidRDefault="00791964">
          <w:pPr>
            <w:pStyle w:val="Header"/>
          </w:pPr>
          <w:r>
            <w:rPr>
              <w:b/>
              <w:i/>
            </w:rPr>
            <w:fldChar w:fldCharType="begin"/>
          </w:r>
          <w:r>
            <w:rPr>
              <w:b/>
              <w:i/>
            </w:rPr>
            <w:instrText xml:space="preserve"> STYLEREF "Name of Act/Reg" </w:instrText>
          </w:r>
          <w:r>
            <w:rPr>
              <w:b/>
              <w:i/>
            </w:rPr>
            <w:fldChar w:fldCharType="separate"/>
          </w:r>
          <w:r w:rsidR="00337078">
            <w:rPr>
              <w:b/>
              <w:i/>
            </w:rPr>
            <w:t>Road Traffic (Vehicles) Regulations 2014</w:t>
          </w:r>
          <w:r>
            <w:rPr>
              <w:b/>
              <w:i/>
            </w:rPr>
            <w:fldChar w:fldCharType="end"/>
          </w:r>
        </w:p>
      </w:tc>
    </w:tr>
    <w:tr w:rsidR="00791964">
      <w:trPr>
        <w:jc w:val="center"/>
      </w:trPr>
      <w:tc>
        <w:tcPr>
          <w:tcW w:w="1548" w:type="dxa"/>
        </w:tcPr>
        <w:p w:rsidR="00791964" w:rsidRDefault="00791964">
          <w:pPr>
            <w:pStyle w:val="Header"/>
            <w:spacing w:before="40"/>
          </w:pPr>
          <w:r>
            <w:rPr>
              <w:b/>
            </w:rPr>
            <w:fldChar w:fldCharType="begin"/>
          </w:r>
          <w:r>
            <w:rPr>
              <w:b/>
            </w:rPr>
            <w:instrText xml:space="preserve"> STYLEREF "nHeading 2" </w:instrText>
          </w:r>
          <w:r>
            <w:rPr>
              <w:b/>
            </w:rPr>
            <w:fldChar w:fldCharType="separate"/>
          </w:r>
          <w:r w:rsidR="00337078">
            <w:rPr>
              <w:b/>
            </w:rPr>
            <w:t>Notes</w:t>
          </w:r>
          <w:r>
            <w:rPr>
              <w:b/>
            </w:rPr>
            <w:fldChar w:fldCharType="end"/>
          </w:r>
        </w:p>
      </w:tc>
      <w:tc>
        <w:tcPr>
          <w:tcW w:w="5715" w:type="dxa"/>
        </w:tcPr>
        <w:p w:rsidR="00791964" w:rsidRDefault="00791964">
          <w:pPr>
            <w:pStyle w:val="Header"/>
            <w:spacing w:before="40"/>
          </w:pPr>
          <w:r>
            <w:fldChar w:fldCharType="begin"/>
          </w:r>
          <w:r>
            <w:instrText xml:space="preserve"> STYLEREF "nHeading 3" </w:instrText>
          </w:r>
          <w:r>
            <w:fldChar w:fldCharType="separate"/>
          </w:r>
          <w:r w:rsidR="00337078">
            <w:t>Compilation table</w:t>
          </w:r>
          <w:r>
            <w:fldChar w:fldCharType="end"/>
          </w:r>
        </w:p>
      </w:tc>
    </w:tr>
    <w:tr w:rsidR="00791964">
      <w:trPr>
        <w:jc w:val="center"/>
      </w:trPr>
      <w:tc>
        <w:tcPr>
          <w:tcW w:w="1548" w:type="dxa"/>
        </w:tcPr>
        <w:p w:rsidR="00791964" w:rsidRDefault="00791964">
          <w:pPr>
            <w:pStyle w:val="Header"/>
            <w:spacing w:before="40"/>
          </w:pPr>
        </w:p>
      </w:tc>
      <w:tc>
        <w:tcPr>
          <w:tcW w:w="5715" w:type="dxa"/>
        </w:tcPr>
        <w:p w:rsidR="00791964" w:rsidRDefault="00791964">
          <w:pPr>
            <w:pStyle w:val="Header"/>
            <w:spacing w:before="40"/>
          </w:pPr>
        </w:p>
      </w:tc>
    </w:tr>
    <w:tr w:rsidR="00791964">
      <w:trPr>
        <w:cantSplit/>
        <w:jc w:val="center"/>
      </w:trPr>
      <w:tc>
        <w:tcPr>
          <w:tcW w:w="7258" w:type="dxa"/>
          <w:gridSpan w:val="2"/>
        </w:tcPr>
        <w:p w:rsidR="00791964" w:rsidRDefault="00791964">
          <w:pPr>
            <w:pStyle w:val="Header"/>
            <w:spacing w:before="40"/>
          </w:pPr>
        </w:p>
      </w:tc>
    </w:tr>
  </w:tbl>
  <w:p w:rsidR="00791964" w:rsidRDefault="00791964">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91964">
      <w:trPr>
        <w:cantSplit/>
        <w:jc w:val="center"/>
      </w:trPr>
      <w:tc>
        <w:tcPr>
          <w:tcW w:w="7258" w:type="dxa"/>
          <w:gridSpan w:val="2"/>
        </w:tcPr>
        <w:p w:rsidR="00791964" w:rsidRDefault="00791964">
          <w:pPr>
            <w:pStyle w:val="Header"/>
            <w:ind w:right="17"/>
            <w:jc w:val="right"/>
          </w:pPr>
          <w:r>
            <w:rPr>
              <w:b/>
              <w:i/>
            </w:rPr>
            <w:fldChar w:fldCharType="begin"/>
          </w:r>
          <w:r>
            <w:rPr>
              <w:b/>
              <w:i/>
            </w:rPr>
            <w:instrText xml:space="preserve"> STYLEREF "Name of Act/Reg" </w:instrText>
          </w:r>
          <w:r>
            <w:rPr>
              <w:b/>
              <w:i/>
            </w:rPr>
            <w:fldChar w:fldCharType="separate"/>
          </w:r>
          <w:r w:rsidR="00337078">
            <w:rPr>
              <w:b/>
              <w:i/>
            </w:rPr>
            <w:t>Road Traffic (Vehicles) Regulations 2014</w:t>
          </w:r>
          <w:r>
            <w:rPr>
              <w:b/>
              <w:i/>
            </w:rPr>
            <w:fldChar w:fldCharType="end"/>
          </w:r>
        </w:p>
      </w:tc>
    </w:tr>
    <w:tr w:rsidR="00791964">
      <w:trPr>
        <w:jc w:val="center"/>
      </w:trPr>
      <w:tc>
        <w:tcPr>
          <w:tcW w:w="5715" w:type="dxa"/>
        </w:tcPr>
        <w:p w:rsidR="00791964" w:rsidRDefault="00791964">
          <w:pPr>
            <w:pStyle w:val="Header"/>
            <w:spacing w:before="40"/>
            <w:jc w:val="right"/>
          </w:pPr>
          <w:r>
            <w:fldChar w:fldCharType="begin"/>
          </w:r>
          <w:r>
            <w:instrText xml:space="preserve"> STYLEREF "nHeading 3" </w:instrText>
          </w:r>
          <w:r>
            <w:fldChar w:fldCharType="separate"/>
          </w:r>
          <w:r w:rsidR="00337078">
            <w:t>Compilation table</w:t>
          </w:r>
          <w:r>
            <w:fldChar w:fldCharType="end"/>
          </w:r>
        </w:p>
      </w:tc>
      <w:tc>
        <w:tcPr>
          <w:tcW w:w="1548" w:type="dxa"/>
        </w:tcPr>
        <w:p w:rsidR="00791964" w:rsidRDefault="00791964">
          <w:pPr>
            <w:pStyle w:val="Header"/>
            <w:spacing w:before="40"/>
            <w:ind w:right="17"/>
            <w:jc w:val="right"/>
          </w:pPr>
          <w:r>
            <w:rPr>
              <w:b/>
            </w:rPr>
            <w:fldChar w:fldCharType="begin"/>
          </w:r>
          <w:r>
            <w:rPr>
              <w:b/>
            </w:rPr>
            <w:instrText xml:space="preserve"> STYLEREF "nHeading 2" </w:instrText>
          </w:r>
          <w:r>
            <w:rPr>
              <w:b/>
            </w:rPr>
            <w:fldChar w:fldCharType="separate"/>
          </w:r>
          <w:r w:rsidR="00337078">
            <w:rPr>
              <w:b/>
            </w:rPr>
            <w:t>Notes</w:t>
          </w:r>
          <w:r>
            <w:rPr>
              <w:b/>
            </w:rPr>
            <w:fldChar w:fldCharType="end"/>
          </w:r>
        </w:p>
      </w:tc>
    </w:tr>
    <w:tr w:rsidR="00791964">
      <w:trPr>
        <w:jc w:val="center"/>
      </w:trPr>
      <w:tc>
        <w:tcPr>
          <w:tcW w:w="5715" w:type="dxa"/>
        </w:tcPr>
        <w:p w:rsidR="00791964" w:rsidRDefault="00791964">
          <w:pPr>
            <w:pStyle w:val="Header"/>
            <w:spacing w:before="40"/>
            <w:jc w:val="right"/>
          </w:pPr>
        </w:p>
      </w:tc>
      <w:tc>
        <w:tcPr>
          <w:tcW w:w="1548" w:type="dxa"/>
        </w:tcPr>
        <w:p w:rsidR="00791964" w:rsidRDefault="00791964">
          <w:pPr>
            <w:pStyle w:val="Header"/>
            <w:spacing w:before="40"/>
            <w:ind w:right="17"/>
            <w:jc w:val="right"/>
          </w:pPr>
        </w:p>
      </w:tc>
    </w:tr>
    <w:tr w:rsidR="00791964">
      <w:trPr>
        <w:cantSplit/>
        <w:jc w:val="center"/>
      </w:trPr>
      <w:tc>
        <w:tcPr>
          <w:tcW w:w="7258" w:type="dxa"/>
          <w:gridSpan w:val="2"/>
        </w:tcPr>
        <w:p w:rsidR="00791964" w:rsidRDefault="00791964">
          <w:pPr>
            <w:pStyle w:val="Header"/>
            <w:spacing w:before="40"/>
            <w:ind w:right="17"/>
            <w:jc w:val="right"/>
          </w:pPr>
        </w:p>
      </w:tc>
    </w:tr>
  </w:tbl>
  <w:p w:rsidR="00791964" w:rsidRDefault="00791964">
    <w:pPr>
      <w:pStyle w:val="Header"/>
      <w:pBdr>
        <w:top w:val="single" w:sz="4" w:space="1" w:color="auto"/>
      </w:pBdr>
    </w:pPr>
    <w:bookmarkStart w:id="1000" w:name="Compilation"/>
    <w:bookmarkEnd w:id="100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791964">
      <w:trPr>
        <w:cantSplit/>
        <w:jc w:val="center"/>
      </w:trPr>
      <w:tc>
        <w:tcPr>
          <w:tcW w:w="7263" w:type="dxa"/>
          <w:gridSpan w:val="2"/>
        </w:tcPr>
        <w:p w:rsidR="00791964" w:rsidRDefault="00791964">
          <w:pPr>
            <w:pStyle w:val="Header"/>
          </w:pPr>
          <w:r>
            <w:rPr>
              <w:b/>
              <w:i/>
            </w:rPr>
            <w:fldChar w:fldCharType="begin"/>
          </w:r>
          <w:r>
            <w:rPr>
              <w:b/>
              <w:i/>
            </w:rPr>
            <w:instrText xml:space="preserve"> STYLEREF "Name of Act/Reg" </w:instrText>
          </w:r>
          <w:r>
            <w:rPr>
              <w:b/>
              <w:i/>
            </w:rPr>
            <w:fldChar w:fldCharType="separate"/>
          </w:r>
          <w:r w:rsidR="00337078">
            <w:rPr>
              <w:b/>
              <w:i/>
            </w:rPr>
            <w:t>Road Traffic (Vehicles) Regulations 2014</w:t>
          </w:r>
          <w:r>
            <w:rPr>
              <w:b/>
              <w:i/>
            </w:rPr>
            <w:fldChar w:fldCharType="end"/>
          </w:r>
        </w:p>
      </w:tc>
    </w:tr>
    <w:tr w:rsidR="00791964">
      <w:trPr>
        <w:jc w:val="center"/>
      </w:trPr>
      <w:tc>
        <w:tcPr>
          <w:tcW w:w="1348" w:type="dxa"/>
        </w:tcPr>
        <w:p w:rsidR="00791964" w:rsidRDefault="00791964">
          <w:pPr>
            <w:pStyle w:val="Header"/>
            <w:spacing w:before="40"/>
          </w:pPr>
        </w:p>
      </w:tc>
      <w:tc>
        <w:tcPr>
          <w:tcW w:w="5915" w:type="dxa"/>
        </w:tcPr>
        <w:p w:rsidR="00791964" w:rsidRDefault="00791964">
          <w:pPr>
            <w:pStyle w:val="Header"/>
            <w:spacing w:before="40"/>
          </w:pPr>
        </w:p>
      </w:tc>
    </w:tr>
    <w:tr w:rsidR="00791964">
      <w:trPr>
        <w:jc w:val="center"/>
      </w:trPr>
      <w:tc>
        <w:tcPr>
          <w:tcW w:w="1348" w:type="dxa"/>
        </w:tcPr>
        <w:p w:rsidR="00791964" w:rsidRDefault="00791964">
          <w:pPr>
            <w:pStyle w:val="Header"/>
            <w:spacing w:before="40"/>
          </w:pPr>
        </w:p>
      </w:tc>
      <w:tc>
        <w:tcPr>
          <w:tcW w:w="5915" w:type="dxa"/>
        </w:tcPr>
        <w:p w:rsidR="00791964" w:rsidRDefault="00791964">
          <w:pPr>
            <w:pStyle w:val="Header"/>
            <w:spacing w:before="40"/>
          </w:pPr>
        </w:p>
      </w:tc>
    </w:tr>
    <w:tr w:rsidR="00791964">
      <w:trPr>
        <w:cantSplit/>
        <w:jc w:val="center"/>
      </w:trPr>
      <w:tc>
        <w:tcPr>
          <w:tcW w:w="7263" w:type="dxa"/>
          <w:gridSpan w:val="2"/>
        </w:tcPr>
        <w:p w:rsidR="00791964" w:rsidRDefault="00791964">
          <w:pPr>
            <w:pStyle w:val="Header"/>
            <w:spacing w:before="40"/>
          </w:pPr>
          <w:r>
            <w:t>Defined terms</w:t>
          </w:r>
        </w:p>
      </w:tc>
    </w:tr>
  </w:tbl>
  <w:p w:rsidR="00791964" w:rsidRDefault="00791964">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791964">
      <w:trPr>
        <w:cantSplit/>
        <w:jc w:val="center"/>
      </w:trPr>
      <w:tc>
        <w:tcPr>
          <w:tcW w:w="7263" w:type="dxa"/>
          <w:gridSpan w:val="2"/>
        </w:tcPr>
        <w:p w:rsidR="00791964" w:rsidRDefault="00791964">
          <w:pPr>
            <w:pStyle w:val="Header"/>
            <w:spacing w:before="40"/>
            <w:ind w:right="17"/>
            <w:jc w:val="right"/>
          </w:pPr>
          <w:r>
            <w:rPr>
              <w:b/>
              <w:i/>
            </w:rPr>
            <w:fldChar w:fldCharType="begin"/>
          </w:r>
          <w:r>
            <w:rPr>
              <w:b/>
              <w:i/>
            </w:rPr>
            <w:instrText xml:space="preserve"> STYLEREF "Name of Act/Reg" </w:instrText>
          </w:r>
          <w:r>
            <w:rPr>
              <w:b/>
              <w:i/>
            </w:rPr>
            <w:fldChar w:fldCharType="separate"/>
          </w:r>
          <w:r w:rsidR="00337078">
            <w:rPr>
              <w:b/>
              <w:i/>
            </w:rPr>
            <w:t>Road Traffic (Vehicles) Regulations 2014</w:t>
          </w:r>
          <w:r>
            <w:rPr>
              <w:b/>
              <w:i/>
            </w:rPr>
            <w:fldChar w:fldCharType="end"/>
          </w:r>
        </w:p>
      </w:tc>
    </w:tr>
    <w:tr w:rsidR="00791964">
      <w:trPr>
        <w:jc w:val="center"/>
      </w:trPr>
      <w:tc>
        <w:tcPr>
          <w:tcW w:w="5884" w:type="dxa"/>
        </w:tcPr>
        <w:p w:rsidR="00791964" w:rsidRDefault="00791964">
          <w:pPr>
            <w:pStyle w:val="Header"/>
            <w:spacing w:before="40"/>
            <w:jc w:val="right"/>
          </w:pPr>
        </w:p>
      </w:tc>
      <w:tc>
        <w:tcPr>
          <w:tcW w:w="1379" w:type="dxa"/>
        </w:tcPr>
        <w:p w:rsidR="00791964" w:rsidRDefault="00791964">
          <w:pPr>
            <w:pStyle w:val="Header"/>
            <w:spacing w:before="40"/>
            <w:ind w:right="17"/>
            <w:jc w:val="right"/>
          </w:pPr>
        </w:p>
      </w:tc>
    </w:tr>
    <w:tr w:rsidR="00791964">
      <w:trPr>
        <w:jc w:val="center"/>
      </w:trPr>
      <w:tc>
        <w:tcPr>
          <w:tcW w:w="5884" w:type="dxa"/>
        </w:tcPr>
        <w:p w:rsidR="00791964" w:rsidRDefault="00791964">
          <w:pPr>
            <w:pStyle w:val="Header"/>
            <w:spacing w:before="40"/>
            <w:jc w:val="right"/>
          </w:pPr>
        </w:p>
      </w:tc>
      <w:tc>
        <w:tcPr>
          <w:tcW w:w="1379" w:type="dxa"/>
        </w:tcPr>
        <w:p w:rsidR="00791964" w:rsidRDefault="00791964">
          <w:pPr>
            <w:pStyle w:val="Header"/>
            <w:spacing w:before="40"/>
            <w:ind w:right="17"/>
            <w:jc w:val="right"/>
          </w:pPr>
        </w:p>
      </w:tc>
    </w:tr>
    <w:tr w:rsidR="00791964">
      <w:trPr>
        <w:cantSplit/>
        <w:jc w:val="center"/>
      </w:trPr>
      <w:tc>
        <w:tcPr>
          <w:tcW w:w="7263" w:type="dxa"/>
          <w:gridSpan w:val="2"/>
        </w:tcPr>
        <w:p w:rsidR="00791964" w:rsidRDefault="00791964">
          <w:pPr>
            <w:pStyle w:val="Header"/>
            <w:spacing w:before="40"/>
            <w:ind w:right="17"/>
            <w:jc w:val="right"/>
          </w:pPr>
          <w:r>
            <w:t>Defined terms</w:t>
          </w:r>
        </w:p>
      </w:tc>
    </w:tr>
  </w:tbl>
  <w:p w:rsidR="00791964" w:rsidRDefault="00791964">
    <w:pPr>
      <w:pStyle w:val="Header"/>
      <w:pBdr>
        <w:top w:val="single" w:sz="4" w:space="1" w:color="auto"/>
      </w:pBdr>
    </w:pPr>
    <w:bookmarkStart w:id="1002" w:name="DefinedTerms"/>
    <w:bookmarkEnd w:id="100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64" w:rsidRDefault="0079196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64" w:rsidRDefault="0079196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64" w:rsidRDefault="00791964">
    <w:pPr>
      <w:pStyle w:val="Header"/>
    </w:pPr>
    <w:bookmarkStart w:id="1003" w:name="Coversheet"/>
    <w:bookmarkEnd w:id="10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078" w:rsidRDefault="00337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64" w:rsidRDefault="00791964">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91964">
      <w:trPr>
        <w:cantSplit/>
        <w:jc w:val="center"/>
      </w:trPr>
      <w:tc>
        <w:tcPr>
          <w:tcW w:w="7258" w:type="dxa"/>
          <w:gridSpan w:val="2"/>
        </w:tcPr>
        <w:p w:rsidR="00791964" w:rsidRDefault="00791964">
          <w:pPr>
            <w:pStyle w:val="Header"/>
          </w:pPr>
          <w:r>
            <w:rPr>
              <w:b/>
              <w:i/>
            </w:rPr>
            <w:fldChar w:fldCharType="begin"/>
          </w:r>
          <w:r>
            <w:rPr>
              <w:b/>
              <w:i/>
            </w:rPr>
            <w:instrText xml:space="preserve"> STYLEREF "Name of Act/Reg" </w:instrText>
          </w:r>
          <w:r>
            <w:rPr>
              <w:b/>
              <w:i/>
            </w:rPr>
            <w:fldChar w:fldCharType="separate"/>
          </w:r>
          <w:r w:rsidR="00337078">
            <w:rPr>
              <w:b/>
              <w:i/>
            </w:rPr>
            <w:t>Road Traffic (Vehicles) Regulations 2014</w:t>
          </w:r>
          <w:r>
            <w:rPr>
              <w:b/>
              <w:i/>
            </w:rPr>
            <w:fldChar w:fldCharType="end"/>
          </w:r>
        </w:p>
      </w:tc>
    </w:tr>
    <w:tr w:rsidR="00791964">
      <w:trPr>
        <w:jc w:val="center"/>
      </w:trPr>
      <w:tc>
        <w:tcPr>
          <w:tcW w:w="1548" w:type="dxa"/>
        </w:tcPr>
        <w:p w:rsidR="00791964" w:rsidRDefault="00791964">
          <w:pPr>
            <w:pStyle w:val="Header"/>
            <w:spacing w:before="40"/>
          </w:pPr>
        </w:p>
      </w:tc>
      <w:tc>
        <w:tcPr>
          <w:tcW w:w="5715" w:type="dxa"/>
        </w:tcPr>
        <w:p w:rsidR="00791964" w:rsidRDefault="00791964">
          <w:pPr>
            <w:pStyle w:val="Header"/>
            <w:spacing w:before="40"/>
          </w:pPr>
        </w:p>
      </w:tc>
    </w:tr>
    <w:tr w:rsidR="00791964">
      <w:trPr>
        <w:jc w:val="center"/>
      </w:trPr>
      <w:tc>
        <w:tcPr>
          <w:tcW w:w="1548" w:type="dxa"/>
        </w:tcPr>
        <w:p w:rsidR="00791964" w:rsidRDefault="00791964">
          <w:pPr>
            <w:pStyle w:val="Header"/>
            <w:spacing w:before="40"/>
          </w:pPr>
        </w:p>
      </w:tc>
      <w:tc>
        <w:tcPr>
          <w:tcW w:w="5715" w:type="dxa"/>
        </w:tcPr>
        <w:p w:rsidR="00791964" w:rsidRDefault="00791964">
          <w:pPr>
            <w:pStyle w:val="Header"/>
            <w:spacing w:before="40"/>
          </w:pPr>
        </w:p>
      </w:tc>
    </w:tr>
    <w:tr w:rsidR="00791964">
      <w:trPr>
        <w:cantSplit/>
        <w:jc w:val="center"/>
      </w:trPr>
      <w:tc>
        <w:tcPr>
          <w:tcW w:w="7258" w:type="dxa"/>
          <w:gridSpan w:val="2"/>
        </w:tcPr>
        <w:p w:rsidR="00791964" w:rsidRDefault="00791964">
          <w:pPr>
            <w:pStyle w:val="Header"/>
            <w:spacing w:before="40"/>
          </w:pPr>
          <w:r>
            <w:t>Contents</w:t>
          </w:r>
        </w:p>
      </w:tc>
    </w:tr>
  </w:tbl>
  <w:p w:rsidR="00791964" w:rsidRDefault="00791964">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91964">
      <w:trPr>
        <w:cantSplit/>
        <w:jc w:val="center"/>
      </w:trPr>
      <w:tc>
        <w:tcPr>
          <w:tcW w:w="7258" w:type="dxa"/>
          <w:gridSpan w:val="2"/>
        </w:tcPr>
        <w:p w:rsidR="00791964" w:rsidRDefault="00791964">
          <w:pPr>
            <w:pStyle w:val="Header"/>
            <w:ind w:right="17"/>
            <w:jc w:val="right"/>
          </w:pPr>
          <w:r>
            <w:rPr>
              <w:b/>
              <w:i/>
            </w:rPr>
            <w:fldChar w:fldCharType="begin"/>
          </w:r>
          <w:r>
            <w:rPr>
              <w:b/>
              <w:i/>
            </w:rPr>
            <w:instrText xml:space="preserve"> STYLEREF "Name of Act/Reg" </w:instrText>
          </w:r>
          <w:r>
            <w:rPr>
              <w:b/>
              <w:i/>
            </w:rPr>
            <w:fldChar w:fldCharType="separate"/>
          </w:r>
          <w:r w:rsidR="00337078">
            <w:rPr>
              <w:b/>
              <w:i/>
            </w:rPr>
            <w:t>Road Traffic (Vehicles) Regulations 2014</w:t>
          </w:r>
          <w:r>
            <w:rPr>
              <w:b/>
              <w:i/>
            </w:rPr>
            <w:fldChar w:fldCharType="end"/>
          </w:r>
        </w:p>
      </w:tc>
    </w:tr>
    <w:tr w:rsidR="00791964">
      <w:trPr>
        <w:jc w:val="center"/>
      </w:trPr>
      <w:tc>
        <w:tcPr>
          <w:tcW w:w="5715" w:type="dxa"/>
        </w:tcPr>
        <w:p w:rsidR="00791964" w:rsidRDefault="00791964">
          <w:pPr>
            <w:pStyle w:val="Header"/>
            <w:spacing w:before="40"/>
            <w:jc w:val="right"/>
          </w:pPr>
        </w:p>
      </w:tc>
      <w:tc>
        <w:tcPr>
          <w:tcW w:w="1548" w:type="dxa"/>
        </w:tcPr>
        <w:p w:rsidR="00791964" w:rsidRDefault="00791964">
          <w:pPr>
            <w:pStyle w:val="Header"/>
            <w:spacing w:before="40"/>
            <w:ind w:right="17"/>
            <w:jc w:val="right"/>
          </w:pPr>
        </w:p>
      </w:tc>
    </w:tr>
    <w:tr w:rsidR="00791964">
      <w:trPr>
        <w:jc w:val="center"/>
      </w:trPr>
      <w:tc>
        <w:tcPr>
          <w:tcW w:w="5715" w:type="dxa"/>
        </w:tcPr>
        <w:p w:rsidR="00791964" w:rsidRDefault="00791964">
          <w:pPr>
            <w:pStyle w:val="Header"/>
            <w:spacing w:before="40"/>
            <w:jc w:val="right"/>
          </w:pPr>
        </w:p>
      </w:tc>
      <w:tc>
        <w:tcPr>
          <w:tcW w:w="1548" w:type="dxa"/>
        </w:tcPr>
        <w:p w:rsidR="00791964" w:rsidRDefault="00791964">
          <w:pPr>
            <w:pStyle w:val="Header"/>
            <w:spacing w:before="40"/>
            <w:ind w:right="17"/>
            <w:jc w:val="right"/>
          </w:pPr>
        </w:p>
      </w:tc>
    </w:tr>
    <w:tr w:rsidR="00791964">
      <w:trPr>
        <w:cantSplit/>
        <w:jc w:val="center"/>
      </w:trPr>
      <w:tc>
        <w:tcPr>
          <w:tcW w:w="7258" w:type="dxa"/>
          <w:gridSpan w:val="2"/>
        </w:tcPr>
        <w:p w:rsidR="00791964" w:rsidRDefault="00791964">
          <w:pPr>
            <w:pStyle w:val="Header"/>
            <w:spacing w:before="40"/>
            <w:ind w:right="17"/>
            <w:jc w:val="right"/>
          </w:pPr>
          <w:r>
            <w:t>Contents</w:t>
          </w:r>
        </w:p>
      </w:tc>
    </w:tr>
  </w:tbl>
  <w:p w:rsidR="00791964" w:rsidRDefault="00791964">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64" w:rsidRDefault="007919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91964">
      <w:trPr>
        <w:cantSplit/>
        <w:jc w:val="center"/>
      </w:trPr>
      <w:tc>
        <w:tcPr>
          <w:tcW w:w="7258" w:type="dxa"/>
          <w:gridSpan w:val="2"/>
        </w:tcPr>
        <w:p w:rsidR="00791964" w:rsidRDefault="00791964">
          <w:pPr>
            <w:pStyle w:val="Header"/>
          </w:pPr>
          <w:r>
            <w:rPr>
              <w:b/>
              <w:i/>
            </w:rPr>
            <w:fldChar w:fldCharType="begin"/>
          </w:r>
          <w:r>
            <w:rPr>
              <w:b/>
              <w:i/>
            </w:rPr>
            <w:instrText>Styleref "Name of Act/Reg"</w:instrText>
          </w:r>
          <w:r>
            <w:rPr>
              <w:b/>
              <w:i/>
            </w:rPr>
            <w:fldChar w:fldCharType="separate"/>
          </w:r>
          <w:r w:rsidR="00337078">
            <w:rPr>
              <w:b/>
              <w:i/>
            </w:rPr>
            <w:t>Road Traffic (Vehicles) Regulations 2014</w:t>
          </w:r>
          <w:r>
            <w:rPr>
              <w:b/>
              <w:i/>
            </w:rPr>
            <w:fldChar w:fldCharType="end"/>
          </w:r>
        </w:p>
      </w:tc>
    </w:tr>
    <w:tr w:rsidR="00791964">
      <w:trPr>
        <w:jc w:val="center"/>
      </w:trPr>
      <w:tc>
        <w:tcPr>
          <w:tcW w:w="1548" w:type="dxa"/>
        </w:tcPr>
        <w:p w:rsidR="00791964" w:rsidRDefault="00791964">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791964" w:rsidRDefault="00791964">
          <w:pPr>
            <w:pStyle w:val="Header"/>
            <w:spacing w:before="40"/>
          </w:pPr>
          <w:r>
            <w:fldChar w:fldCharType="begin"/>
          </w:r>
          <w:r>
            <w:instrText xml:space="preserve"> styleref CharPartText </w:instrText>
          </w:r>
          <w:r>
            <w:fldChar w:fldCharType="end"/>
          </w:r>
        </w:p>
      </w:tc>
    </w:tr>
    <w:tr w:rsidR="00791964">
      <w:trPr>
        <w:jc w:val="center"/>
      </w:trPr>
      <w:tc>
        <w:tcPr>
          <w:tcW w:w="1548" w:type="dxa"/>
        </w:tcPr>
        <w:p w:rsidR="00791964" w:rsidRDefault="00791964">
          <w:pPr>
            <w:pStyle w:val="Header"/>
            <w:spacing w:before="40"/>
          </w:pPr>
          <w:r>
            <w:rPr>
              <w:b/>
            </w:rPr>
            <w:fldChar w:fldCharType="begin"/>
          </w:r>
          <w:r>
            <w:rPr>
              <w:b/>
            </w:rPr>
            <w:instrText xml:space="preserve"> styleref CharDivNo </w:instrText>
          </w:r>
          <w:r>
            <w:rPr>
              <w:b/>
            </w:rPr>
            <w:fldChar w:fldCharType="end"/>
          </w:r>
        </w:p>
      </w:tc>
      <w:tc>
        <w:tcPr>
          <w:tcW w:w="5715" w:type="dxa"/>
        </w:tcPr>
        <w:p w:rsidR="00791964" w:rsidRDefault="00791964">
          <w:pPr>
            <w:pStyle w:val="Header"/>
            <w:spacing w:before="40"/>
          </w:pPr>
          <w:r>
            <w:fldChar w:fldCharType="begin"/>
          </w:r>
          <w:r>
            <w:instrText xml:space="preserve"> styleref CharDivText </w:instrText>
          </w:r>
          <w:r>
            <w:fldChar w:fldCharType="end"/>
          </w:r>
        </w:p>
      </w:tc>
    </w:tr>
    <w:tr w:rsidR="00791964">
      <w:trPr>
        <w:cantSplit/>
        <w:jc w:val="center"/>
      </w:trPr>
      <w:tc>
        <w:tcPr>
          <w:tcW w:w="7258" w:type="dxa"/>
          <w:gridSpan w:val="2"/>
        </w:tcPr>
        <w:p w:rsidR="00791964" w:rsidRDefault="00791964">
          <w:pPr>
            <w:pStyle w:val="Header"/>
            <w:spacing w:before="40"/>
          </w:pPr>
          <w:r>
            <w:rPr>
              <w:b/>
            </w:rPr>
            <w:t xml:space="preserve">r. </w:t>
          </w:r>
          <w:r>
            <w:rPr>
              <w:b/>
            </w:rPr>
            <w:fldChar w:fldCharType="begin"/>
          </w:r>
          <w:r>
            <w:rPr>
              <w:b/>
            </w:rPr>
            <w:instrText>styleref CharSectno</w:instrText>
          </w:r>
          <w:r>
            <w:rPr>
              <w:b/>
            </w:rPr>
            <w:fldChar w:fldCharType="separate"/>
          </w:r>
          <w:r w:rsidR="00337078">
            <w:rPr>
              <w:b/>
            </w:rPr>
            <w:t>1</w:t>
          </w:r>
          <w:r>
            <w:rPr>
              <w:b/>
            </w:rPr>
            <w:fldChar w:fldCharType="end"/>
          </w:r>
        </w:p>
      </w:tc>
    </w:tr>
  </w:tbl>
  <w:p w:rsidR="00791964" w:rsidRDefault="00791964">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91964">
      <w:trPr>
        <w:cantSplit/>
        <w:jc w:val="center"/>
      </w:trPr>
      <w:tc>
        <w:tcPr>
          <w:tcW w:w="7258" w:type="dxa"/>
          <w:gridSpan w:val="2"/>
        </w:tcPr>
        <w:p w:rsidR="00791964" w:rsidRDefault="00791964">
          <w:pPr>
            <w:pStyle w:val="Header"/>
            <w:ind w:right="17"/>
            <w:jc w:val="right"/>
          </w:pPr>
          <w:r>
            <w:rPr>
              <w:b/>
              <w:i/>
            </w:rPr>
            <w:fldChar w:fldCharType="begin"/>
          </w:r>
          <w:r>
            <w:rPr>
              <w:b/>
              <w:i/>
            </w:rPr>
            <w:instrText>Styleref "Name of Act/Reg"</w:instrText>
          </w:r>
          <w:r>
            <w:rPr>
              <w:b/>
              <w:i/>
            </w:rPr>
            <w:fldChar w:fldCharType="separate"/>
          </w:r>
          <w:r w:rsidR="00337078">
            <w:rPr>
              <w:b/>
              <w:i/>
            </w:rPr>
            <w:t>Road Traffic (Vehicles) Regulations 2014</w:t>
          </w:r>
          <w:r>
            <w:rPr>
              <w:b/>
              <w:i/>
            </w:rPr>
            <w:fldChar w:fldCharType="end"/>
          </w:r>
        </w:p>
      </w:tc>
    </w:tr>
    <w:tr w:rsidR="00791964">
      <w:trPr>
        <w:jc w:val="center"/>
      </w:trPr>
      <w:tc>
        <w:tcPr>
          <w:tcW w:w="5715" w:type="dxa"/>
        </w:tcPr>
        <w:p w:rsidR="00791964" w:rsidRDefault="00791964">
          <w:pPr>
            <w:pStyle w:val="Header"/>
            <w:spacing w:before="40"/>
            <w:jc w:val="right"/>
          </w:pPr>
          <w:r>
            <w:fldChar w:fldCharType="begin"/>
          </w:r>
          <w:r>
            <w:instrText xml:space="preserve"> styleref CharPartText </w:instrText>
          </w:r>
          <w:r>
            <w:fldChar w:fldCharType="end"/>
          </w:r>
        </w:p>
      </w:tc>
      <w:tc>
        <w:tcPr>
          <w:tcW w:w="1548" w:type="dxa"/>
        </w:tcPr>
        <w:p w:rsidR="00791964" w:rsidRDefault="00791964">
          <w:pPr>
            <w:pStyle w:val="Header"/>
            <w:spacing w:before="40"/>
            <w:ind w:right="17"/>
            <w:jc w:val="right"/>
          </w:pPr>
          <w:r>
            <w:rPr>
              <w:b/>
            </w:rPr>
            <w:fldChar w:fldCharType="begin"/>
          </w:r>
          <w:r>
            <w:rPr>
              <w:b/>
            </w:rPr>
            <w:instrText xml:space="preserve"> styleref CharPartNo </w:instrText>
          </w:r>
          <w:r>
            <w:rPr>
              <w:b/>
            </w:rPr>
            <w:fldChar w:fldCharType="end"/>
          </w:r>
        </w:p>
      </w:tc>
    </w:tr>
    <w:tr w:rsidR="00791964">
      <w:trPr>
        <w:jc w:val="center"/>
      </w:trPr>
      <w:tc>
        <w:tcPr>
          <w:tcW w:w="5715" w:type="dxa"/>
        </w:tcPr>
        <w:p w:rsidR="00791964" w:rsidRDefault="00791964">
          <w:pPr>
            <w:pStyle w:val="Header"/>
            <w:spacing w:before="40"/>
            <w:jc w:val="right"/>
          </w:pPr>
          <w:r>
            <w:fldChar w:fldCharType="begin"/>
          </w:r>
          <w:r>
            <w:instrText xml:space="preserve"> styleref CharDivText </w:instrText>
          </w:r>
          <w:r>
            <w:fldChar w:fldCharType="end"/>
          </w:r>
        </w:p>
      </w:tc>
      <w:tc>
        <w:tcPr>
          <w:tcW w:w="1548" w:type="dxa"/>
        </w:tcPr>
        <w:p w:rsidR="00791964" w:rsidRDefault="00791964">
          <w:pPr>
            <w:pStyle w:val="Header"/>
            <w:spacing w:before="40"/>
            <w:ind w:right="17"/>
            <w:jc w:val="right"/>
          </w:pPr>
          <w:r>
            <w:rPr>
              <w:b/>
            </w:rPr>
            <w:fldChar w:fldCharType="begin"/>
          </w:r>
          <w:r>
            <w:rPr>
              <w:b/>
            </w:rPr>
            <w:instrText xml:space="preserve"> styleref CharDivNo </w:instrText>
          </w:r>
          <w:r>
            <w:rPr>
              <w:b/>
            </w:rPr>
            <w:fldChar w:fldCharType="end"/>
          </w:r>
        </w:p>
      </w:tc>
    </w:tr>
    <w:tr w:rsidR="00791964">
      <w:trPr>
        <w:cantSplit/>
        <w:jc w:val="center"/>
      </w:trPr>
      <w:tc>
        <w:tcPr>
          <w:tcW w:w="7258" w:type="dxa"/>
          <w:gridSpan w:val="2"/>
        </w:tcPr>
        <w:p w:rsidR="00791964" w:rsidRDefault="00791964">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337078">
            <w:rPr>
              <w:b/>
            </w:rPr>
            <w:t>1</w:t>
          </w:r>
          <w:r>
            <w:rPr>
              <w:b/>
            </w:rPr>
            <w:fldChar w:fldCharType="end"/>
          </w:r>
        </w:p>
      </w:tc>
    </w:tr>
  </w:tbl>
  <w:p w:rsidR="00791964" w:rsidRDefault="00791964">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64" w:rsidRDefault="00791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935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092712"/>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 w:name="WAFER_20210520090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708_GUID" w:val="47171b18-c8e1-4da9-8c31-ab6e0672d703"/>
    <w:docVar w:name="WAFER_2021061612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2652_GUID" w:val="cbe72fd1-c131-4142-9acd-883dc88ef213"/>
    <w:docVar w:name="WAFER_20210624092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4092712_GUID" w:val="a5fff62d-dd8d-4fdf-800a-f95a7841ee57"/>
  </w:docVars>
  <w:rsids>
    <w:rsidRoot w:val="00964ED0"/>
    <w:rsid w:val="00034D58"/>
    <w:rsid w:val="000D230E"/>
    <w:rsid w:val="002058DC"/>
    <w:rsid w:val="00337078"/>
    <w:rsid w:val="00413CCF"/>
    <w:rsid w:val="00591574"/>
    <w:rsid w:val="005A57CD"/>
    <w:rsid w:val="006724FB"/>
    <w:rsid w:val="006C5153"/>
    <w:rsid w:val="00791964"/>
    <w:rsid w:val="00857959"/>
    <w:rsid w:val="00864502"/>
    <w:rsid w:val="00964ED0"/>
    <w:rsid w:val="00A1144F"/>
    <w:rsid w:val="00A75C28"/>
    <w:rsid w:val="00A87B73"/>
    <w:rsid w:val="00AC63C5"/>
    <w:rsid w:val="00B33F4B"/>
    <w:rsid w:val="00D34E84"/>
    <w:rsid w:val="00E0545F"/>
    <w:rsid w:val="00E1452C"/>
    <w:rsid w:val="00F31ABE"/>
    <w:rsid w:val="00F97023"/>
    <w:rsid w:val="00FF23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image" Target="media/image2.png"/><Relationship Id="rId42" Type="http://schemas.openxmlformats.org/officeDocument/2006/relationships/image" Target="media/image23.jpeg"/><Relationship Id="rId47" Type="http://schemas.openxmlformats.org/officeDocument/2006/relationships/image" Target="media/image28.png"/><Relationship Id="rId63" Type="http://schemas.openxmlformats.org/officeDocument/2006/relationships/header" Target="header10.xml"/><Relationship Id="rId6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wmf"/><Relationship Id="rId53" Type="http://schemas.openxmlformats.org/officeDocument/2006/relationships/image" Target="media/image34.wmf"/><Relationship Id="rId58" Type="http://schemas.openxmlformats.org/officeDocument/2006/relationships/image" Target="media/image39.wmf"/><Relationship Id="rId66" Type="http://schemas.openxmlformats.org/officeDocument/2006/relationships/header" Target="header13.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jpeg"/><Relationship Id="rId43" Type="http://schemas.openxmlformats.org/officeDocument/2006/relationships/image" Target="media/image24.jpe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header" Target="header11.xml"/><Relationship Id="rId69"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image" Target="media/image32.png"/><Relationship Id="rId72"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png"/><Relationship Id="rId33" Type="http://schemas.openxmlformats.org/officeDocument/2006/relationships/image" Target="media/image14.wmf"/><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header" Target="header14.xml"/><Relationship Id="rId20" Type="http://schemas.openxmlformats.org/officeDocument/2006/relationships/footer" Target="footer6.xml"/><Relationship Id="rId41" Type="http://schemas.openxmlformats.org/officeDocument/2006/relationships/image" Target="media/image22.png"/><Relationship Id="rId54" Type="http://schemas.openxmlformats.org/officeDocument/2006/relationships/image" Target="media/image35.wmf"/><Relationship Id="rId62" Type="http://schemas.openxmlformats.org/officeDocument/2006/relationships/header" Target="header9.xml"/><Relationship Id="rId7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png"/><Relationship Id="rId36" Type="http://schemas.openxmlformats.org/officeDocument/2006/relationships/image" Target="media/image17.wmf"/><Relationship Id="rId49" Type="http://schemas.openxmlformats.org/officeDocument/2006/relationships/image" Target="media/image30.png"/><Relationship Id="rId57" Type="http://schemas.openxmlformats.org/officeDocument/2006/relationships/image" Target="media/image38.png"/><Relationship Id="rId10" Type="http://schemas.openxmlformats.org/officeDocument/2006/relationships/header" Target="header2.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header" Target="header7.xml"/><Relationship Id="rId65" Type="http://schemas.openxmlformats.org/officeDocument/2006/relationships/header" Target="header12.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20.png"/><Relationship Id="rId34" Type="http://schemas.openxmlformats.org/officeDocument/2006/relationships/image" Target="media/image15.wmf"/><Relationship Id="rId50" Type="http://schemas.openxmlformats.org/officeDocument/2006/relationships/image" Target="media/image31.png"/><Relationship Id="rId55" Type="http://schemas.openxmlformats.org/officeDocument/2006/relationships/image" Target="media/image36.png"/><Relationship Id="rId7" Type="http://schemas.openxmlformats.org/officeDocument/2006/relationships/endnotes" Target="endnotes.xml"/><Relationship Id="rId7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FB344-9A5D-49E7-9988-70F064B5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88759</Words>
  <Characters>418057</Characters>
  <Application>Microsoft Office Word</Application>
  <DocSecurity>0</DocSecurity>
  <Lines>12295</Lines>
  <Paragraphs>7918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2014 - 01-r0-00</dc:title>
  <dc:subject/>
  <dc:creator/>
  <cp:keywords/>
  <dc:description/>
  <cp:lastModifiedBy>Master Repository Process</cp:lastModifiedBy>
  <cp:revision>4</cp:revision>
  <cp:lastPrinted>2019-06-21T02:58:00Z</cp:lastPrinted>
  <dcterms:created xsi:type="dcterms:W3CDTF">2021-06-30T03:51:00Z</dcterms:created>
  <dcterms:modified xsi:type="dcterms:W3CDTF">2021-06-30T03:51:00Z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AsAtDate">
    <vt:lpwstr>01 Jul 2021</vt:lpwstr>
  </property>
  <property fmtid="{D5CDD505-2E9C-101B-9397-08002B2CF9AE}" pid="7" name="Suffix">
    <vt:lpwstr>01-r0-00</vt:lpwstr>
  </property>
  <property fmtid="{D5CDD505-2E9C-101B-9397-08002B2CF9AE}" pid="8" name="CommencementDate">
    <vt:lpwstr>20210701</vt:lpwstr>
  </property>
</Properties>
</file>