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_Toc77167358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_Toc77167359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_Toc77167360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_Toc77167361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_Toc77167362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_Toc77167363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_Toc77167364 \h </w:instrText>
      </w:r>
      <w:r>
        <w:fldChar w:fldCharType="separate"/>
      </w:r>
      <w:r>
        <w:t>4</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_Toc77167365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_Toc77167366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_Toc77167367 \h </w:instrText>
      </w:r>
      <w:r>
        <w:fldChar w:fldCharType="separate"/>
      </w:r>
      <w:r>
        <w:t>6</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_Toc77167368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_Toc77167369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_Toc77167370 \h </w:instrText>
      </w:r>
      <w:r>
        <w:fldChar w:fldCharType="separate"/>
      </w:r>
      <w:r>
        <w:t>7</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_Toc77167371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_Toc77167372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_Toc77167373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_Toc77167374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_Toc77167375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_Toc77167376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Sentences — approval by Commissioner of suspension of reporting obligations (s. 61)</w:t>
      </w:r>
      <w:r>
        <w:tab/>
      </w:r>
      <w:r>
        <w:fldChar w:fldCharType="begin"/>
      </w:r>
      <w:r>
        <w:instrText xml:space="preserve"> PAGEREF _Toc77167377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_Toc77167378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_Toc77167379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_Toc77167380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_Toc77167381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_Toc77167382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_Toc77167383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_Toc77167384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_Toc77167385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_Toc77167386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_Toc77167387 \h </w:instrText>
      </w:r>
      <w:r>
        <w:fldChar w:fldCharType="separate"/>
      </w:r>
      <w:r>
        <w:t>19</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_Toc77167388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_Toc77167389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_Toc77167390 \h </w:instrText>
      </w:r>
      <w:r>
        <w:fldChar w:fldCharType="separate"/>
      </w:r>
      <w:r>
        <w:t>20</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_Toc77167391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_Toc77167392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_Toc77167393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_Toc77167394 \h </w:instrText>
      </w:r>
      <w:r>
        <w:fldChar w:fldCharType="separate"/>
      </w:r>
      <w:r>
        <w:t>24</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_Toc77167395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_Toc77167397 \h </w:instrText>
      </w:r>
      <w:r>
        <w:fldChar w:fldCharType="separate"/>
      </w:r>
      <w:r>
        <w:t>26</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_Toc77167398 \h </w:instrText>
      </w:r>
      <w:r>
        <w:fldChar w:fldCharType="separate"/>
      </w:r>
      <w:r>
        <w:t>28</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_Toc77167399 \h </w:instrText>
      </w:r>
      <w:r>
        <w:fldChar w:fldCharType="separate"/>
      </w:r>
      <w:r>
        <w:t>30</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_Toc77167400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6.</w:t>
      </w:r>
      <w:r>
        <w:tab/>
        <w:t>Certificate of authorised sample collector (r. 26G(5))</w:t>
      </w:r>
      <w:r>
        <w:tab/>
      </w:r>
      <w:r>
        <w:fldChar w:fldCharType="begin"/>
      </w:r>
      <w:r>
        <w:instrText xml:space="preserve"> PAGEREF _Toc77167401 \h </w:instrText>
      </w:r>
      <w:r>
        <w:fldChar w:fldCharType="separate"/>
      </w:r>
      <w:r>
        <w:t>34</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_Toc77167402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_Toc77167404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Protection (Offender Reporting) Act 2004</w:t>
      </w:r>
    </w:p>
    <w:p>
      <w:pPr>
        <w:pStyle w:val="NameofActReg"/>
      </w:pPr>
      <w:r>
        <w:t>Community Protection (Offender Reporting) Regulations 2004</w:t>
      </w:r>
    </w:p>
    <w:p>
      <w:pPr>
        <w:pStyle w:val="Heading5"/>
        <w:spacing w:before="240"/>
      </w:pPr>
      <w:bookmarkStart w:id="3" w:name="_Toc77167358"/>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77167359"/>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77167360"/>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 SL 2021/57 r. 4.]</w:t>
      </w:r>
    </w:p>
    <w:p>
      <w:pPr>
        <w:pStyle w:val="Heading5"/>
      </w:pPr>
      <w:bookmarkStart w:id="6" w:name="_Toc77167361"/>
      <w:r>
        <w:rPr>
          <w:rStyle w:val="CharSectno"/>
        </w:rPr>
        <w:lastRenderedPageBreak/>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77167362"/>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Queensland;</w:t>
      </w:r>
    </w:p>
    <w:p>
      <w:pPr>
        <w:pStyle w:val="Indenta"/>
        <w:keepNext/>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Gazette 8 Sep 2006 p. 3641; 22 Jun 2007 p. 2862; 28 Mar 2008 p. 914; 25 Nov 2008 p. 4990; 20 Feb 2009 p. 354.]</w:t>
      </w:r>
    </w:p>
    <w:p>
      <w:pPr>
        <w:pStyle w:val="Heading5"/>
      </w:pPr>
      <w:bookmarkStart w:id="8" w:name="_Toc77167363"/>
      <w:r>
        <w:rPr>
          <w:rStyle w:val="CharSectno"/>
        </w:rPr>
        <w:lastRenderedPageBreak/>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Gazette 8 Sep 2006 p. 3642; 22 Jun 2007 p. 2862; 28 Mar 2008 p. 914.]</w:t>
      </w:r>
    </w:p>
    <w:p>
      <w:pPr>
        <w:pStyle w:val="Heading5"/>
      </w:pPr>
      <w:bookmarkStart w:id="9" w:name="_Toc77167364"/>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10" w:name="_Toc77167365"/>
      <w:r>
        <w:rPr>
          <w:rStyle w:val="CharSectno"/>
        </w:rPr>
        <w:lastRenderedPageBreak/>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lastRenderedPageBreak/>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11" w:name="_Toc77167366"/>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12" w:name="_Toc77167367"/>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lastRenderedPageBreak/>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77167368"/>
      <w:r>
        <w:rPr>
          <w:rStyle w:val="CharSectno"/>
        </w:rPr>
        <w:t>10</w:t>
      </w:r>
      <w:r>
        <w:t>.</w:t>
      </w:r>
      <w:r>
        <w:tab/>
        <w:t>Specified date for determining New South Wales reportable offenders (s. 8)</w:t>
      </w:r>
      <w:bookmarkEnd w:id="13"/>
    </w:p>
    <w:p>
      <w:pPr>
        <w:pStyle w:val="Subsection"/>
      </w:pPr>
      <w:r>
        <w:tab/>
      </w:r>
      <w:r>
        <w:tab/>
        <w:t>For the purposes of section 8 of the Act, 1 February 2005 is specified.</w:t>
      </w:r>
    </w:p>
    <w:p>
      <w:pPr>
        <w:pStyle w:val="Heading5"/>
      </w:pPr>
      <w:bookmarkStart w:id="14" w:name="_Toc77167369"/>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1843"/>
      </w:tblGrid>
      <w:tr>
        <w:tc>
          <w:tcPr>
            <w:tcW w:w="1842" w:type="dxa"/>
          </w:tcPr>
          <w:p>
            <w:pPr>
              <w:pStyle w:val="TableNAm"/>
            </w:pPr>
            <w:r>
              <w:t>s. 272.8</w:t>
            </w:r>
          </w:p>
        </w:tc>
        <w:tc>
          <w:tcPr>
            <w:tcW w:w="1843" w:type="dxa"/>
          </w:tcPr>
          <w:p>
            <w:pPr>
              <w:pStyle w:val="TableNAm"/>
            </w:pPr>
            <w:r>
              <w:t>s. 272.10</w:t>
            </w:r>
          </w:p>
        </w:tc>
      </w:tr>
      <w:tr>
        <w:tc>
          <w:tcPr>
            <w:tcW w:w="1842" w:type="dxa"/>
          </w:tcPr>
          <w:p>
            <w:pPr>
              <w:pStyle w:val="TableNAm"/>
            </w:pPr>
            <w:r>
              <w:t>s. 272.11</w:t>
            </w:r>
          </w:p>
        </w:tc>
        <w:tc>
          <w:tcPr>
            <w:tcW w:w="1843" w:type="dxa"/>
          </w:tcPr>
          <w:p>
            <w:pPr>
              <w:pStyle w:val="TableNAm"/>
            </w:pPr>
            <w:r>
              <w:t>s. 272.12</w:t>
            </w:r>
          </w:p>
        </w:tc>
      </w:tr>
    </w:tbl>
    <w:p>
      <w:pPr>
        <w:pStyle w:val="Footnotesection"/>
      </w:pPr>
      <w:r>
        <w:tab/>
        <w:t>[Regulation 11A inserted: Gazette 21 Jan 2011 p. 158; amended: SL 2021/125 r. 4.]</w:t>
      </w:r>
    </w:p>
    <w:p>
      <w:pPr>
        <w:pStyle w:val="Heading5"/>
      </w:pPr>
      <w:bookmarkStart w:id="15" w:name="_Toc77167370"/>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rPr>
          <w:cantSplit/>
        </w:trPr>
        <w:tc>
          <w:tcPr>
            <w:tcW w:w="1795" w:type="dxa"/>
            <w:noWrap/>
          </w:tcPr>
          <w:p>
            <w:pPr>
              <w:pStyle w:val="TableNAm"/>
            </w:pPr>
            <w:r>
              <w:t>s. 271.4</w:t>
            </w:r>
          </w:p>
        </w:tc>
        <w:tc>
          <w:tcPr>
            <w:tcW w:w="1795" w:type="dxa"/>
            <w:noWrap/>
          </w:tcPr>
          <w:p>
            <w:pPr>
              <w:pStyle w:val="TableNAm"/>
            </w:pPr>
            <w:r>
              <w:t>s. 271.7</w:t>
            </w:r>
          </w:p>
        </w:tc>
        <w:tc>
          <w:tcPr>
            <w:tcW w:w="1796" w:type="dxa"/>
            <w:noWrap/>
          </w:tcPr>
          <w:p>
            <w:pPr>
              <w:pStyle w:val="TableNAm"/>
            </w:pPr>
            <w:r>
              <w:t>s. 272.9</w:t>
            </w:r>
          </w:p>
        </w:tc>
      </w:tr>
      <w:tr>
        <w:trPr>
          <w:cantSplit/>
        </w:trPr>
        <w:tc>
          <w:tcPr>
            <w:tcW w:w="1795" w:type="dxa"/>
            <w:noWrap/>
          </w:tcPr>
          <w:p>
            <w:pPr>
              <w:pStyle w:val="TableNAm"/>
            </w:pPr>
            <w:r>
              <w:t>s. 272.13</w:t>
            </w:r>
          </w:p>
        </w:tc>
        <w:tc>
          <w:tcPr>
            <w:tcW w:w="1795" w:type="dxa"/>
            <w:noWrap/>
          </w:tcPr>
          <w:p>
            <w:pPr>
              <w:pStyle w:val="TableNAm"/>
            </w:pPr>
            <w:r>
              <w:t>s. 272.14</w:t>
            </w:r>
          </w:p>
        </w:tc>
        <w:tc>
          <w:tcPr>
            <w:tcW w:w="1796" w:type="dxa"/>
            <w:noWrap/>
          </w:tcPr>
          <w:p>
            <w:pPr>
              <w:pStyle w:val="TableNAm"/>
            </w:pPr>
            <w:r>
              <w:t>s. 272.15</w:t>
            </w:r>
          </w:p>
        </w:tc>
      </w:tr>
      <w:tr>
        <w:trPr>
          <w:cantSplit/>
        </w:trPr>
        <w:tc>
          <w:tcPr>
            <w:tcW w:w="1795" w:type="dxa"/>
            <w:noWrap/>
          </w:tcPr>
          <w:p>
            <w:pPr>
              <w:pStyle w:val="TableNAm"/>
            </w:pPr>
            <w:r>
              <w:t>s. 272.15A</w:t>
            </w:r>
          </w:p>
        </w:tc>
        <w:tc>
          <w:tcPr>
            <w:tcW w:w="1795" w:type="dxa"/>
            <w:noWrap/>
          </w:tcPr>
          <w:p>
            <w:pPr>
              <w:pStyle w:val="TableNAm"/>
            </w:pPr>
            <w:r>
              <w:t>s. 272.18</w:t>
            </w:r>
          </w:p>
        </w:tc>
        <w:tc>
          <w:tcPr>
            <w:tcW w:w="1796" w:type="dxa"/>
            <w:noWrap/>
          </w:tcPr>
          <w:p>
            <w:pPr>
              <w:pStyle w:val="TableNAm"/>
            </w:pPr>
            <w:r>
              <w:t>s. 272.19</w:t>
            </w:r>
          </w:p>
        </w:tc>
      </w:tr>
      <w:tr>
        <w:trPr>
          <w:cantSplit/>
        </w:trPr>
        <w:tc>
          <w:tcPr>
            <w:tcW w:w="1795" w:type="dxa"/>
            <w:noWrap/>
          </w:tcPr>
          <w:p>
            <w:pPr>
              <w:pStyle w:val="TableNAm"/>
            </w:pPr>
            <w:r>
              <w:t>s. 272.20</w:t>
            </w:r>
          </w:p>
        </w:tc>
        <w:tc>
          <w:tcPr>
            <w:tcW w:w="1795" w:type="dxa"/>
            <w:noWrap/>
          </w:tcPr>
          <w:p>
            <w:pPr>
              <w:pStyle w:val="TableNAm"/>
            </w:pPr>
            <w:r>
              <w:t>s. 273.5</w:t>
            </w:r>
          </w:p>
        </w:tc>
        <w:tc>
          <w:tcPr>
            <w:tcW w:w="1796" w:type="dxa"/>
            <w:noWrap/>
          </w:tcPr>
          <w:p>
            <w:pPr>
              <w:pStyle w:val="TableNAm"/>
            </w:pPr>
            <w:r>
              <w:t>s. 273.6</w:t>
            </w:r>
          </w:p>
        </w:tc>
      </w:tr>
      <w:tr>
        <w:trPr>
          <w:cantSplit/>
        </w:trPr>
        <w:tc>
          <w:tcPr>
            <w:tcW w:w="1795" w:type="dxa"/>
            <w:noWrap/>
          </w:tcPr>
          <w:p>
            <w:pPr>
              <w:pStyle w:val="TableNAm"/>
            </w:pPr>
            <w:r>
              <w:t>s. 273.7</w:t>
            </w:r>
          </w:p>
        </w:tc>
        <w:tc>
          <w:tcPr>
            <w:tcW w:w="1795" w:type="dxa"/>
            <w:noWrap/>
          </w:tcPr>
          <w:p>
            <w:pPr>
              <w:pStyle w:val="TableNAm"/>
            </w:pPr>
            <w:r>
              <w:t>s. 273A.1</w:t>
            </w:r>
          </w:p>
        </w:tc>
        <w:tc>
          <w:tcPr>
            <w:tcW w:w="1796" w:type="dxa"/>
            <w:noWrap/>
          </w:tcPr>
          <w:p>
            <w:pPr>
              <w:pStyle w:val="TableNAm"/>
            </w:pPr>
            <w:r>
              <w:t>s. 471.16</w:t>
            </w:r>
          </w:p>
        </w:tc>
      </w:tr>
      <w:tr>
        <w:trPr>
          <w:cantSplit/>
        </w:trPr>
        <w:tc>
          <w:tcPr>
            <w:tcW w:w="1795" w:type="dxa"/>
            <w:noWrap/>
          </w:tcPr>
          <w:p>
            <w:pPr>
              <w:pStyle w:val="TableNAm"/>
            </w:pPr>
            <w:r>
              <w:t>s. 471.17</w:t>
            </w:r>
          </w:p>
        </w:tc>
        <w:tc>
          <w:tcPr>
            <w:tcW w:w="1795" w:type="dxa"/>
            <w:noWrap/>
          </w:tcPr>
          <w:p>
            <w:pPr>
              <w:pStyle w:val="TableNAm"/>
            </w:pPr>
            <w:r>
              <w:t>s. 471.19</w:t>
            </w:r>
          </w:p>
        </w:tc>
        <w:tc>
          <w:tcPr>
            <w:tcW w:w="1796" w:type="dxa"/>
            <w:noWrap/>
          </w:tcPr>
          <w:p>
            <w:pPr>
              <w:pStyle w:val="TableNAm"/>
            </w:pPr>
            <w:r>
              <w:t>s. 471.20</w:t>
            </w:r>
          </w:p>
        </w:tc>
      </w:tr>
      <w:tr>
        <w:trPr>
          <w:cantSplit/>
        </w:trPr>
        <w:tc>
          <w:tcPr>
            <w:tcW w:w="1795" w:type="dxa"/>
            <w:noWrap/>
          </w:tcPr>
          <w:p>
            <w:pPr>
              <w:pStyle w:val="TableNAm"/>
            </w:pPr>
            <w:r>
              <w:t>s. 471.22</w:t>
            </w:r>
          </w:p>
        </w:tc>
        <w:tc>
          <w:tcPr>
            <w:tcW w:w="1795" w:type="dxa"/>
            <w:noWrap/>
          </w:tcPr>
          <w:p>
            <w:pPr>
              <w:pStyle w:val="TableNAm"/>
            </w:pPr>
            <w:r>
              <w:t>s. 471.24</w:t>
            </w:r>
          </w:p>
        </w:tc>
        <w:tc>
          <w:tcPr>
            <w:tcW w:w="1796" w:type="dxa"/>
            <w:noWrap/>
          </w:tcPr>
          <w:p>
            <w:pPr>
              <w:pStyle w:val="TableNAm"/>
            </w:pPr>
            <w:r>
              <w:t>s. 471.25</w:t>
            </w:r>
          </w:p>
        </w:tc>
      </w:tr>
      <w:tr>
        <w:trPr>
          <w:cantSplit/>
        </w:trPr>
        <w:tc>
          <w:tcPr>
            <w:tcW w:w="1795" w:type="dxa"/>
            <w:noWrap/>
          </w:tcPr>
          <w:p>
            <w:pPr>
              <w:pStyle w:val="TableNAm"/>
            </w:pPr>
            <w:r>
              <w:t>s. 471.25A</w:t>
            </w:r>
          </w:p>
        </w:tc>
        <w:tc>
          <w:tcPr>
            <w:tcW w:w="1795" w:type="dxa"/>
            <w:noWrap/>
          </w:tcPr>
          <w:p>
            <w:pPr>
              <w:pStyle w:val="TableNAm"/>
            </w:pPr>
            <w:r>
              <w:t>s. 471.26</w:t>
            </w:r>
          </w:p>
        </w:tc>
        <w:tc>
          <w:tcPr>
            <w:tcW w:w="1796" w:type="dxa"/>
            <w:noWrap/>
          </w:tcPr>
          <w:p>
            <w:pPr>
              <w:pStyle w:val="TableNAm"/>
            </w:pPr>
            <w:r>
              <w:t>s. 474.19</w:t>
            </w:r>
          </w:p>
        </w:tc>
      </w:tr>
      <w:tr>
        <w:trPr>
          <w:cantSplit/>
        </w:trPr>
        <w:tc>
          <w:tcPr>
            <w:tcW w:w="1795" w:type="dxa"/>
            <w:noWrap/>
          </w:tcPr>
          <w:p>
            <w:pPr>
              <w:pStyle w:val="TableNAm"/>
            </w:pPr>
            <w:r>
              <w:t>s. 474.20</w:t>
            </w:r>
          </w:p>
        </w:tc>
        <w:tc>
          <w:tcPr>
            <w:tcW w:w="1795" w:type="dxa"/>
            <w:noWrap/>
          </w:tcPr>
          <w:p>
            <w:pPr>
              <w:pStyle w:val="TableNAm"/>
            </w:pPr>
            <w:r>
              <w:t>s. 474.22</w:t>
            </w:r>
          </w:p>
        </w:tc>
        <w:tc>
          <w:tcPr>
            <w:tcW w:w="1796" w:type="dxa"/>
            <w:noWrap/>
          </w:tcPr>
          <w:p>
            <w:pPr>
              <w:pStyle w:val="TableNAm"/>
            </w:pPr>
            <w:r>
              <w:t>s. 474.22A</w:t>
            </w:r>
          </w:p>
        </w:tc>
      </w:tr>
      <w:tr>
        <w:trPr>
          <w:cantSplit/>
        </w:trPr>
        <w:tc>
          <w:tcPr>
            <w:tcW w:w="1795" w:type="dxa"/>
            <w:noWrap/>
          </w:tcPr>
          <w:p>
            <w:pPr>
              <w:pStyle w:val="TableNAm"/>
            </w:pPr>
            <w:r>
              <w:t>s. 474.23</w:t>
            </w:r>
          </w:p>
        </w:tc>
        <w:tc>
          <w:tcPr>
            <w:tcW w:w="1795" w:type="dxa"/>
            <w:noWrap/>
          </w:tcPr>
          <w:p>
            <w:pPr>
              <w:pStyle w:val="TableNAm"/>
            </w:pPr>
            <w:r>
              <w:t>s. 474.23A</w:t>
            </w:r>
          </w:p>
        </w:tc>
        <w:tc>
          <w:tcPr>
            <w:tcW w:w="1796" w:type="dxa"/>
            <w:noWrap/>
          </w:tcPr>
          <w:p>
            <w:pPr>
              <w:pStyle w:val="TableNAm"/>
            </w:pPr>
            <w:r>
              <w:t>s. 474.24A</w:t>
            </w:r>
          </w:p>
        </w:tc>
      </w:tr>
      <w:tr>
        <w:trPr>
          <w:cantSplit/>
        </w:trPr>
        <w:tc>
          <w:tcPr>
            <w:tcW w:w="1795" w:type="dxa"/>
            <w:noWrap/>
          </w:tcPr>
          <w:p>
            <w:pPr>
              <w:pStyle w:val="TableNAm"/>
            </w:pPr>
            <w:r>
              <w:t>s. 474.25A</w:t>
            </w:r>
          </w:p>
        </w:tc>
        <w:tc>
          <w:tcPr>
            <w:tcW w:w="1795" w:type="dxa"/>
            <w:noWrap/>
          </w:tcPr>
          <w:p>
            <w:pPr>
              <w:pStyle w:val="TableNAm"/>
            </w:pPr>
            <w:r>
              <w:t>s. 474.25B</w:t>
            </w:r>
          </w:p>
        </w:tc>
        <w:tc>
          <w:tcPr>
            <w:tcW w:w="1796" w:type="dxa"/>
            <w:noWrap/>
          </w:tcPr>
          <w:p>
            <w:pPr>
              <w:pStyle w:val="TableNAm"/>
            </w:pPr>
            <w:r>
              <w:t>s. 474.26</w:t>
            </w:r>
          </w:p>
        </w:tc>
      </w:tr>
      <w:tr>
        <w:trPr>
          <w:cantSplit/>
        </w:trPr>
        <w:tc>
          <w:tcPr>
            <w:tcW w:w="1795" w:type="dxa"/>
            <w:noWrap/>
          </w:tcPr>
          <w:p>
            <w:pPr>
              <w:pStyle w:val="TableNAm"/>
            </w:pPr>
            <w:r>
              <w:t>s. 474.27</w:t>
            </w:r>
          </w:p>
        </w:tc>
        <w:tc>
          <w:tcPr>
            <w:tcW w:w="1795" w:type="dxa"/>
            <w:noWrap/>
          </w:tcPr>
          <w:p>
            <w:pPr>
              <w:pStyle w:val="TableNAm"/>
            </w:pPr>
            <w:r>
              <w:t>s. 474.27AA</w:t>
            </w:r>
          </w:p>
        </w:tc>
        <w:tc>
          <w:tcPr>
            <w:tcW w:w="1796" w:type="dxa"/>
            <w:noWrap/>
          </w:tcPr>
          <w:p>
            <w:pPr>
              <w:pStyle w:val="TableNAm"/>
            </w:pPr>
            <w:r>
              <w:t>s. 474.27A</w:t>
            </w:r>
          </w:p>
        </w:tc>
      </w:tr>
    </w:tbl>
    <w:p>
      <w:pPr>
        <w:pStyle w:val="Footnotesection"/>
      </w:pPr>
      <w:r>
        <w:tab/>
        <w:t>[Regulation 11 inserted: Gazette 21 Jan 2011 p. 158; amended: SL 2021/125 r. 5.]</w:t>
      </w:r>
    </w:p>
    <w:p>
      <w:pPr>
        <w:pStyle w:val="Heading5"/>
      </w:pPr>
      <w:bookmarkStart w:id="16" w:name="_Toc77167371"/>
      <w:r>
        <w:rPr>
          <w:rStyle w:val="CharSectno"/>
        </w:rPr>
        <w:t>12</w:t>
      </w:r>
      <w:r>
        <w:t>.</w:t>
      </w:r>
      <w:r>
        <w:tab/>
        <w:t>Means of contacting authorised person for certain persons entering Western Australia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lastRenderedPageBreak/>
        <w:tab/>
        <w:t>(2)</w:t>
      </w:r>
      <w:r>
        <w:tab/>
        <w:t>The Commissioner is to nominate the relevant facsimile number, email address and postal address for the purposes of subregulation (1).</w:t>
      </w:r>
    </w:p>
    <w:p>
      <w:pPr>
        <w:pStyle w:val="Heading5"/>
      </w:pPr>
      <w:bookmarkStart w:id="17" w:name="_Toc77167372"/>
      <w:r>
        <w:rPr>
          <w:rStyle w:val="CharSectno"/>
        </w:rPr>
        <w:t>13</w:t>
      </w:r>
      <w:r>
        <w:t>.</w:t>
      </w:r>
      <w:r>
        <w:tab/>
        <w:t>Manner of reporting change of reportable offender’s travel plans while out of Western Australia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77167373"/>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77167374"/>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20" w:name="_Toc77167375"/>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77167376"/>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lastRenderedPageBreak/>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22" w:name="_Toc77167377"/>
      <w:r>
        <w:rPr>
          <w:rStyle w:val="CharSectno"/>
        </w:rPr>
        <w:lastRenderedPageBreak/>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23" w:name="_Toc77167378"/>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lastRenderedPageBreak/>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24" w:name="_Toc77167379"/>
      <w:r>
        <w:rPr>
          <w:rStyle w:val="CharSectno"/>
        </w:rPr>
        <w:lastRenderedPageBreak/>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77167380"/>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lastRenderedPageBreak/>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Gazette 14 Nov 2008 p. 4878; 25 Nov 2008 p. 4990; 30 Nov 2012 p. 5802; 8 Nov 2013 p.</w:t>
      </w:r>
      <w:r>
        <w:rPr>
          <w:sz w:val="19"/>
        </w:rPr>
        <w:t> </w:t>
      </w:r>
      <w:r>
        <w:t>4998; 13 Jan 2017 p. 360.]</w:t>
      </w:r>
    </w:p>
    <w:p>
      <w:pPr>
        <w:pStyle w:val="Heading5"/>
      </w:pPr>
      <w:bookmarkStart w:id="26" w:name="_Toc77167381"/>
      <w:r>
        <w:rPr>
          <w:rStyle w:val="CharSectno"/>
        </w:rPr>
        <w:t>22</w:t>
      </w:r>
      <w:r>
        <w:t>.</w:t>
      </w:r>
      <w:r>
        <w:tab/>
        <w:t>Application for recognition of corresponding protection orders (s. 108(2)(a))</w:t>
      </w:r>
      <w:bookmarkEnd w:id="26"/>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27" w:name="_Toc77167382"/>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keepNext/>
      </w:pPr>
      <w:r>
        <w:lastRenderedPageBreak/>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28" w:name="_Toc77167383"/>
      <w:r>
        <w:rPr>
          <w:rStyle w:val="CharSectno"/>
        </w:rPr>
        <w:t>24</w:t>
      </w:r>
      <w:r>
        <w:t>.</w:t>
      </w:r>
      <w:r>
        <w:tab/>
        <w:t>Effect of recognition of corresponding protection orders (s. 108(2)(d))</w:t>
      </w:r>
      <w:bookmarkEnd w:id="28"/>
    </w:p>
    <w:p>
      <w:pPr>
        <w:pStyle w:val="Subsection"/>
        <w:keepNext/>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lastRenderedPageBreak/>
        <w:tab/>
        <w:t>(b)</w:t>
      </w:r>
      <w:r>
        <w:tab/>
        <w:t>the service of such an order or variation on the person who is subject to the order.</w:t>
      </w:r>
    </w:p>
    <w:p>
      <w:pPr>
        <w:pStyle w:val="Footnotesection"/>
      </w:pPr>
      <w:r>
        <w:tab/>
        <w:t>[Regulation 24 inserted: Gazette 1 Jun 2007 p. 2527; amended: Gazette 8 Nov 2013 p. 4999.]</w:t>
      </w:r>
    </w:p>
    <w:p>
      <w:pPr>
        <w:pStyle w:val="Heading5"/>
      </w:pPr>
      <w:bookmarkStart w:id="29" w:name="_Toc77167384"/>
      <w:r>
        <w:rPr>
          <w:rStyle w:val="CharSectno"/>
        </w:rPr>
        <w:t>25</w:t>
      </w:r>
      <w:r>
        <w:t>.</w:t>
      </w:r>
      <w:r>
        <w:tab/>
        <w:t>Variation or revocation of recognised order in a foreign jurisdiction</w:t>
      </w:r>
      <w:bookmarkEnd w:id="29"/>
    </w:p>
    <w:p>
      <w:pPr>
        <w:pStyle w:val="Subsection"/>
        <w:keepNext/>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30" w:name="_Toc77167385"/>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w:t>
      </w:r>
      <w:r>
        <w:lastRenderedPageBreak/>
        <w:t xml:space="preserve">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 xml:space="preserve">If required by the Commissioner to do so, a reportable offender making a request under this regulation must provide the </w:t>
      </w:r>
      <w:r>
        <w:lastRenderedPageBreak/>
        <w:t>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31" w:name="_Toc77167386"/>
      <w:r>
        <w:rPr>
          <w:rStyle w:val="CharSectno"/>
        </w:rPr>
        <w:t>26B</w:t>
      </w:r>
      <w:r>
        <w:t>.</w:t>
      </w:r>
      <w:r>
        <w:tab/>
        <w:t>Reports by persons providing assessment or administering treatment (s. 94A(5)(c))</w:t>
      </w:r>
      <w:bookmarkEnd w:id="31"/>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lastRenderedPageBreak/>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32" w:name="_Toc77167387"/>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33" w:name="_Toc77167388"/>
      <w:r>
        <w:rPr>
          <w:rStyle w:val="CharSectno"/>
        </w:rPr>
        <w:t>26D</w:t>
      </w:r>
      <w:r>
        <w:t>.</w:t>
      </w:r>
      <w:r>
        <w:tab/>
        <w:t>Manner of conducting breath test (s. 94B(8)(b))</w:t>
      </w:r>
      <w:bookmarkEnd w:id="33"/>
    </w:p>
    <w:p>
      <w:pPr>
        <w:pStyle w:val="Subsection"/>
      </w:pPr>
      <w:r>
        <w:tab/>
        <w:t>(1)</w:t>
      </w:r>
      <w:r>
        <w:tab/>
        <w:t xml:space="preserve">In this regulation — </w:t>
      </w:r>
    </w:p>
    <w:p>
      <w:pPr>
        <w:pStyle w:val="Defstart"/>
      </w:pPr>
      <w:r>
        <w:tab/>
      </w:r>
      <w:r>
        <w:rPr>
          <w:rStyle w:val="CharDefText"/>
        </w:rPr>
        <w:t>authorised breath tester</w:t>
      </w:r>
      <w:r>
        <w:t xml:space="preserve"> means an authorised person as defined in the </w:t>
      </w:r>
      <w:r>
        <w:rPr>
          <w:i/>
        </w:rPr>
        <w:t>Road Traffic Act 1974</w:t>
      </w:r>
      <w:r>
        <w:t xml:space="preserve"> section 65. </w:t>
      </w:r>
    </w:p>
    <w:p>
      <w:pPr>
        <w:pStyle w:val="Subsection"/>
        <w:spacing w:before="120"/>
      </w:pPr>
      <w:r>
        <w:tab/>
        <w:t>(2)</w:t>
      </w:r>
      <w:r>
        <w:tab/>
        <w:t>A breath test may be conducted only by an authorised breath tester in the presence of an authorised police officer.</w:t>
      </w:r>
    </w:p>
    <w:p>
      <w:pPr>
        <w:pStyle w:val="Subsection"/>
      </w:pPr>
      <w:r>
        <w:tab/>
        <w:t>(3)</w:t>
      </w:r>
      <w:r>
        <w:tab/>
        <w:t>A sample of a reportable offender’s breath may only be tested for the purposes of a breath test by breath testing equipment that is operated in accordance with the instructions set out in the Breath Analysis Regulations Schedule 2.</w:t>
      </w:r>
    </w:p>
    <w:p>
      <w:pPr>
        <w:pStyle w:val="Subsection"/>
        <w:spacing w:before="120"/>
      </w:pPr>
      <w:r>
        <w:lastRenderedPageBreak/>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Ednotesubsection"/>
      </w:pPr>
      <w:r>
        <w:tab/>
        <w:t>[(6)</w:t>
      </w:r>
      <w:r>
        <w:noBreakHyphen/>
        <w:t>(8)</w:t>
      </w:r>
      <w:r>
        <w:tab/>
        <w:t>deleted]</w:t>
      </w:r>
    </w:p>
    <w:p>
      <w:pPr>
        <w:pStyle w:val="Footnotesection"/>
      </w:pPr>
      <w:r>
        <w:tab/>
        <w:t>[Regulation 26D inserted: Gazette 8 Nov 2013 p.</w:t>
      </w:r>
      <w:r>
        <w:rPr>
          <w:sz w:val="19"/>
        </w:rPr>
        <w:t> </w:t>
      </w:r>
      <w:r>
        <w:t>5002</w:t>
      </w:r>
      <w:r>
        <w:noBreakHyphen/>
        <w:t>3; amended: SL 2021/57 r. 5.]</w:t>
      </w:r>
    </w:p>
    <w:p>
      <w:pPr>
        <w:pStyle w:val="Heading5"/>
      </w:pPr>
      <w:bookmarkStart w:id="34" w:name="_Toc77167389"/>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35" w:name="_Toc77167390"/>
      <w:r>
        <w:rPr>
          <w:rStyle w:val="CharSectno"/>
        </w:rPr>
        <w:t>26F</w:t>
      </w:r>
      <w:r>
        <w:t>.</w:t>
      </w:r>
      <w:r>
        <w:tab/>
        <w:t>Manner of taking sample of blood or collecting sample of urine (s. 94B(8)(b))</w:t>
      </w:r>
      <w:bookmarkEnd w:id="35"/>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lastRenderedPageBreak/>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keepNext/>
      </w:pPr>
      <w:r>
        <w:lastRenderedPageBreak/>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36" w:name="_Toc77167391"/>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keepNext/>
      </w:pPr>
      <w:r>
        <w:lastRenderedPageBreak/>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37" w:name="_Toc77167392"/>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38" w:name="_Toc77167393"/>
      <w:r>
        <w:rPr>
          <w:rStyle w:val="CharSectno"/>
        </w:rPr>
        <w:lastRenderedPageBreak/>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Ednotesection"/>
      </w:pPr>
      <w:r>
        <w:t>[</w:t>
      </w:r>
      <w:r>
        <w:rPr>
          <w:b/>
        </w:rPr>
        <w:t>26J.</w:t>
      </w:r>
      <w:r>
        <w:tab/>
        <w:t>Deleted: SL 2021/57 r. 6.]</w:t>
      </w:r>
    </w:p>
    <w:p>
      <w:pPr>
        <w:pStyle w:val="Heading5"/>
      </w:pPr>
      <w:bookmarkStart w:id="39" w:name="_Toc77167394"/>
      <w:r>
        <w:rPr>
          <w:rStyle w:val="CharSectno"/>
        </w:rPr>
        <w:t>26K</w:t>
      </w:r>
      <w:r>
        <w:t>.</w:t>
      </w:r>
      <w:r>
        <w:tab/>
        <w:t>Certificate evidence (s. 94B(8)(i))</w:t>
      </w:r>
      <w:bookmarkEnd w:id="39"/>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lastRenderedPageBreak/>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40" w:name="_Toc77167395"/>
      <w:r>
        <w:rPr>
          <w:rStyle w:val="CharSectno"/>
        </w:rPr>
        <w:t>26</w:t>
      </w:r>
      <w:r>
        <w:t>.</w:t>
      </w:r>
      <w:r>
        <w:tab/>
        <w:t>Forms</w:t>
      </w:r>
      <w:bookmarkEnd w:id="40"/>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77147767"/>
      <w:bookmarkStart w:id="42" w:name="_Toc77148629"/>
      <w:bookmarkStart w:id="43" w:name="_Toc77167039"/>
      <w:bookmarkStart w:id="44" w:name="_Toc77167396"/>
      <w:r>
        <w:rPr>
          <w:rStyle w:val="CharSchNo"/>
        </w:rPr>
        <w:lastRenderedPageBreak/>
        <w:t>Schedule 1</w:t>
      </w:r>
      <w:r>
        <w:rPr>
          <w:rStyle w:val="CharSDivNo"/>
        </w:rPr>
        <w:t> </w:t>
      </w:r>
      <w:r>
        <w:t>—</w:t>
      </w:r>
      <w:r>
        <w:rPr>
          <w:rStyle w:val="CharSDivText"/>
        </w:rPr>
        <w:t> </w:t>
      </w:r>
      <w:r>
        <w:rPr>
          <w:rStyle w:val="CharSchText"/>
        </w:rPr>
        <w:t>Forms</w:t>
      </w:r>
      <w:bookmarkEnd w:id="41"/>
      <w:bookmarkEnd w:id="42"/>
      <w:bookmarkEnd w:id="43"/>
      <w:bookmarkEnd w:id="44"/>
    </w:p>
    <w:p>
      <w:pPr>
        <w:pStyle w:val="yShoulderClause"/>
      </w:pPr>
      <w:r>
        <w:t>[r. 26]</w:t>
      </w:r>
    </w:p>
    <w:p>
      <w:pPr>
        <w:pStyle w:val="yFootnotesection"/>
      </w:pPr>
      <w:r>
        <w:tab/>
        <w:t>[Heading inserted: Gazette 9 Dec 2005 p. 5888; amended: Gazette 1 Jun 2007 p. 2528.]</w:t>
      </w:r>
    </w:p>
    <w:p>
      <w:pPr>
        <w:pStyle w:val="yHeading5"/>
        <w:spacing w:after="80"/>
      </w:pPr>
      <w:bookmarkStart w:id="45" w:name="_Toc77167397"/>
      <w:r>
        <w:rPr>
          <w:rStyle w:val="CharSClsNo"/>
        </w:rPr>
        <w:t>1</w:t>
      </w:r>
      <w:r>
        <w:t>.</w:t>
      </w:r>
      <w:r>
        <w:tab/>
        <w:t>Summons: Application for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lastRenderedPageBreak/>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46" w:name="_Toc77167398"/>
      <w:r>
        <w:rPr>
          <w:rStyle w:val="CharSClsNo"/>
        </w:rPr>
        <w:lastRenderedPageBreak/>
        <w:t>2</w:t>
      </w:r>
      <w:r>
        <w:t>.</w:t>
      </w:r>
      <w:r>
        <w:tab/>
        <w:t>Summons: Further hearing after interim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lastRenderedPageBreak/>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47" w:name="_Toc77167399"/>
      <w:r>
        <w:rPr>
          <w:rStyle w:val="CharSClsNo"/>
        </w:rPr>
        <w:lastRenderedPageBreak/>
        <w:t>3</w:t>
      </w:r>
      <w:r>
        <w:t>.</w:t>
      </w:r>
      <w:r>
        <w:tab/>
        <w:t>Summons: Application to vary or revoke child protection order</w:t>
      </w:r>
      <w:bookmarkEnd w:id="4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gridSpan w:val="2"/>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gridSpan w:val="2"/>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gridSpan w:val="2"/>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4"/>
            <w:tcBorders>
              <w:left w:val="nil"/>
              <w:bottom w:val="nil"/>
              <w:right w:val="nil"/>
            </w:tcBorders>
            <w:tcMar>
              <w:top w:w="0" w:type="dxa"/>
              <w:bottom w:w="0" w:type="dxa"/>
            </w:tcMar>
          </w:tcPr>
          <w:p>
            <w:pPr>
              <w:pStyle w:val="yTableNAm"/>
              <w:tabs>
                <w:tab w:val="left" w:pos="2994"/>
              </w:tabs>
              <w:spacing w:before="0"/>
              <w:rPr>
                <w:sz w:val="20"/>
              </w:rPr>
            </w:pPr>
          </w:p>
        </w:tc>
      </w:tr>
      <w:tr>
        <w:trPr>
          <w:cantSplit/>
        </w:trPr>
        <w:tc>
          <w:tcPr>
            <w:tcW w:w="7080" w:type="dxa"/>
            <w:gridSpan w:val="4"/>
            <w:tcBorders>
              <w:top w:val="single" w:sz="4" w:space="0" w:color="auto"/>
            </w:tcBorders>
            <w:shd w:val="clear" w:color="auto" w:fill="E6E6E6"/>
          </w:tcPr>
          <w:p>
            <w:pPr>
              <w:pStyle w:val="yTableNAm"/>
              <w:keepNext/>
              <w:tabs>
                <w:tab w:val="left" w:pos="2994"/>
              </w:tabs>
              <w:spacing w:before="0"/>
              <w:jc w:val="center"/>
              <w:rPr>
                <w:sz w:val="20"/>
              </w:rPr>
            </w:pPr>
            <w:r>
              <w:rPr>
                <w:b/>
                <w:bCs/>
                <w:sz w:val="20"/>
              </w:rPr>
              <w:lastRenderedPageBreak/>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gridSpan w:val="3"/>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gridSpan w:val="3"/>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gridSpan w:val="3"/>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gridSpan w:val="3"/>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Ednotesection"/>
      </w:pPr>
      <w:r>
        <w:t>[Form 4</w:t>
      </w:r>
      <w:r>
        <w:tab/>
        <w:t>Deleted: SL 2021/57 r. 7.]</w:t>
      </w:r>
    </w:p>
    <w:p>
      <w:pPr>
        <w:pStyle w:val="yHeading5"/>
        <w:spacing w:after="80"/>
      </w:pPr>
      <w:bookmarkStart w:id="48" w:name="_Toc77167400"/>
      <w:r>
        <w:rPr>
          <w:rStyle w:val="CharSClsNo"/>
        </w:rPr>
        <w:lastRenderedPageBreak/>
        <w:t>5</w:t>
      </w:r>
      <w:r>
        <w:t>.</w:t>
      </w:r>
      <w:r>
        <w:tab/>
        <w:t>Request to take sample of blood or urine (r. 26F(2))</w:t>
      </w:r>
      <w:bookmarkEnd w:id="4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keepNext/>
              <w:spacing w:before="60"/>
              <w:jc w:val="center"/>
            </w:pPr>
            <w:r>
              <w:rPr>
                <w:i/>
              </w:rPr>
              <w:t>Community Protection (Offender Reporting) Act 2004</w:t>
            </w:r>
          </w:p>
          <w:p>
            <w:pPr>
              <w:pStyle w:val="yTableNAm"/>
              <w:keepNext/>
              <w:widowControl w:val="0"/>
              <w:jc w:val="center"/>
            </w:pPr>
            <w:r>
              <w:rPr>
                <w:b/>
                <w:bCs/>
                <w:sz w:val="28"/>
              </w:rPr>
              <w:t>Request to take sample of blood or urine</w:t>
            </w:r>
          </w:p>
        </w:tc>
      </w:tr>
      <w:tr>
        <w:trPr>
          <w:trHeight w:val="807"/>
        </w:trPr>
        <w:tc>
          <w:tcPr>
            <w:tcW w:w="1509" w:type="dxa"/>
            <w:shd w:val="clear" w:color="auto" w:fill="E6E6E6"/>
          </w:tcPr>
          <w:p>
            <w:pPr>
              <w:pStyle w:val="yTableNAm"/>
              <w:keepNext/>
            </w:pPr>
            <w:r>
              <w:rPr>
                <w:b/>
                <w:bCs/>
              </w:rPr>
              <w:t xml:space="preserve">To </w:t>
            </w:r>
          </w:p>
        </w:tc>
        <w:tc>
          <w:tcPr>
            <w:tcW w:w="5579" w:type="dxa"/>
          </w:tcPr>
          <w:p>
            <w:pPr>
              <w:pStyle w:val="yTableNAm"/>
              <w:keepNext/>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keepNext/>
            </w:pPr>
            <w:r>
              <w:rPr>
                <w:b/>
                <w:bCs/>
              </w:rPr>
              <w:t>Place where sample is to be taken</w:t>
            </w:r>
          </w:p>
        </w:tc>
        <w:tc>
          <w:tcPr>
            <w:tcW w:w="5579" w:type="dxa"/>
          </w:tcPr>
          <w:p>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keepNext/>
              <w:rPr>
                <w:b/>
                <w:bCs/>
              </w:rPr>
            </w:pPr>
            <w:r>
              <w:rPr>
                <w:b/>
                <w:bCs/>
              </w:rPr>
              <w:t>Date and time sample is to be taken</w:t>
            </w:r>
          </w:p>
        </w:tc>
        <w:tc>
          <w:tcPr>
            <w:tcW w:w="5579" w:type="dxa"/>
          </w:tcPr>
          <w:p>
            <w:pPr>
              <w:pStyle w:val="yTableNAm"/>
              <w:keepNext/>
              <w:rPr>
                <w:snapToGrid w:val="0"/>
              </w:rPr>
            </w:pPr>
          </w:p>
        </w:tc>
      </w:tr>
      <w:tr>
        <w:tc>
          <w:tcPr>
            <w:tcW w:w="1509" w:type="dxa"/>
            <w:shd w:val="clear" w:color="auto" w:fill="E6E6E6"/>
          </w:tcPr>
          <w:p>
            <w:pPr>
              <w:pStyle w:val="yTableNAm"/>
              <w:keepNext/>
              <w:widowControl w:val="0"/>
            </w:pPr>
            <w:r>
              <w:rPr>
                <w:b/>
                <w:bCs/>
              </w:rPr>
              <w:t>Request for sample to be taken</w:t>
            </w:r>
          </w:p>
        </w:tc>
        <w:tc>
          <w:tcPr>
            <w:tcW w:w="5579" w:type="dxa"/>
          </w:tcPr>
          <w:p>
            <w:pPr>
              <w:pStyle w:val="yTableNAm"/>
              <w:keepNext/>
            </w:pPr>
            <w:r>
              <w:rPr>
                <w:snapToGrid w:val="0"/>
              </w:rPr>
              <w:t xml:space="preserve">Under the </w:t>
            </w:r>
            <w:r>
              <w:rPr>
                <w:i/>
              </w:rPr>
              <w:t>Community Protection (Offender Reporting) Regulations 2004</w:t>
            </w:r>
            <w:r>
              <w:t xml:space="preserve"> regulation 26F(2), I request you, a </w:t>
            </w:r>
          </w:p>
          <w:p>
            <w:pPr>
              <w:pStyle w:val="yTableNAm"/>
              <w:keepNext/>
              <w:rPr>
                <w:snapToGrid w:val="0"/>
              </w:rPr>
            </w:pPr>
            <w:r>
              <w:rPr>
                <w:snapToGrid w:val="0"/>
              </w:rPr>
              <w:t>...................................................................................................</w:t>
            </w:r>
          </w:p>
          <w:p>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keepNext/>
              <w:rPr>
                <w:snapToGrid w:val="0"/>
              </w:rPr>
            </w:pPr>
            <w:r>
              <w:rPr>
                <w:snapToGrid w:val="0"/>
              </w:rPr>
              <w:t xml:space="preserve">to take — </w:t>
            </w:r>
          </w:p>
          <w:p>
            <w:pPr>
              <w:pStyle w:val="yTableNAm"/>
              <w:keepNext/>
              <w:rPr>
                <w:snapToGrid w:val="0"/>
              </w:rPr>
            </w:pPr>
            <w:r>
              <w:rPr>
                <w:snapToGrid w:val="0"/>
              </w:rPr>
              <w:t>(a)</w:t>
            </w:r>
            <w:r>
              <w:rPr>
                <w:snapToGrid w:val="0"/>
              </w:rPr>
              <w:tab/>
              <w:t>a blood sample*;</w:t>
            </w:r>
          </w:p>
          <w:p>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keepNext/>
              <w:rPr>
                <w:snapToGrid w:val="0"/>
              </w:rPr>
            </w:pPr>
            <w:r>
              <w:rPr>
                <w:snapToGrid w:val="0"/>
              </w:rPr>
              <w:t xml:space="preserve">from — </w:t>
            </w:r>
          </w:p>
          <w:p>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lastRenderedPageBreak/>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49" w:name="_Toc77167401"/>
      <w:r>
        <w:rPr>
          <w:rStyle w:val="CharSClsNo"/>
        </w:rPr>
        <w:lastRenderedPageBreak/>
        <w:t>6</w:t>
      </w:r>
      <w:r>
        <w:t>.</w:t>
      </w:r>
      <w:r>
        <w:tab/>
        <w:t>Certificate of authorised sample collector (r. 26G(5))</w:t>
      </w:r>
      <w:bookmarkEnd w:id="49"/>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lastRenderedPageBreak/>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50" w:name="_Toc77167402"/>
      <w:r>
        <w:rPr>
          <w:rStyle w:val="CharSClsNo"/>
        </w:rPr>
        <w:lastRenderedPageBreak/>
        <w:t>7</w:t>
      </w:r>
      <w:r>
        <w:t>.</w:t>
      </w:r>
      <w:r>
        <w:tab/>
        <w:t>Certificate of analyst (r. 26I(3))</w:t>
      </w:r>
      <w:bookmarkEnd w:id="5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lastRenderedPageBreak/>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52" w:name="_Toc77147774"/>
      <w:bookmarkStart w:id="53" w:name="_Toc77148636"/>
      <w:bookmarkStart w:id="54" w:name="_Toc77167046"/>
      <w:bookmarkStart w:id="55" w:name="_Toc77167403"/>
      <w:r>
        <w:lastRenderedPageBreak/>
        <w:t>Notes</w:t>
      </w:r>
      <w:bookmarkEnd w:id="52"/>
      <w:bookmarkEnd w:id="53"/>
      <w:bookmarkEnd w:id="54"/>
      <w:bookmarkEnd w:id="55"/>
    </w:p>
    <w:p>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p>
    <w:p>
      <w:pPr>
        <w:pStyle w:val="nHeading3"/>
      </w:pPr>
      <w:bookmarkStart w:id="56" w:name="_Toc77167404"/>
      <w:r>
        <w:t>Compilation table</w:t>
      </w:r>
      <w:bookmarkEnd w:id="5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347"/>
        <w:gridCol w:w="2622"/>
      </w:tblGrid>
      <w:tr>
        <w:trPr>
          <w:tblHeader/>
        </w:trPr>
        <w:tc>
          <w:tcPr>
            <w:tcW w:w="3119" w:type="dxa"/>
          </w:tcPr>
          <w:p>
            <w:pPr>
              <w:pStyle w:val="nTable"/>
              <w:spacing w:after="40"/>
              <w:rPr>
                <w:b/>
              </w:rPr>
            </w:pPr>
            <w:r>
              <w:rPr>
                <w:b/>
              </w:rPr>
              <w:t>Citation</w:t>
            </w:r>
          </w:p>
        </w:tc>
        <w:tc>
          <w:tcPr>
            <w:tcW w:w="1347" w:type="dxa"/>
          </w:tcPr>
          <w:p>
            <w:pPr>
              <w:pStyle w:val="nTable"/>
              <w:spacing w:after="40"/>
              <w:rPr>
                <w:b/>
              </w:rPr>
            </w:pPr>
            <w:r>
              <w:rPr>
                <w:b/>
              </w:rPr>
              <w:t>Published</w:t>
            </w:r>
          </w:p>
        </w:tc>
        <w:tc>
          <w:tcPr>
            <w:tcW w:w="26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Community Protection (Offender Reporting) Regulations 2004</w:t>
            </w:r>
          </w:p>
        </w:tc>
        <w:tc>
          <w:tcPr>
            <w:tcW w:w="1347" w:type="dxa"/>
            <w:tcBorders>
              <w:top w:val="single" w:sz="8" w:space="0" w:color="auto"/>
            </w:tcBorders>
          </w:tcPr>
          <w:p>
            <w:pPr>
              <w:pStyle w:val="nTable"/>
              <w:spacing w:after="40"/>
            </w:pPr>
            <w:r>
              <w:t>31 Dec 2004 p. 7025</w:t>
            </w:r>
            <w:r>
              <w:noBreakHyphen/>
              <w:t>39</w:t>
            </w:r>
          </w:p>
        </w:tc>
        <w:tc>
          <w:tcPr>
            <w:tcW w:w="2622" w:type="dxa"/>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2005</w:t>
            </w:r>
          </w:p>
        </w:tc>
        <w:tc>
          <w:tcPr>
            <w:tcW w:w="1347" w:type="dxa"/>
          </w:tcPr>
          <w:p>
            <w:pPr>
              <w:pStyle w:val="nTable"/>
              <w:spacing w:after="40"/>
            </w:pPr>
            <w:r>
              <w:t>9 Dec 2005 p. 5886</w:t>
            </w:r>
            <w:r>
              <w:noBreakHyphen/>
              <w:t>7</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2005</w:t>
            </w:r>
          </w:p>
        </w:tc>
        <w:tc>
          <w:tcPr>
            <w:tcW w:w="1347" w:type="dxa"/>
          </w:tcPr>
          <w:p>
            <w:pPr>
              <w:pStyle w:val="nTable"/>
              <w:spacing w:after="40"/>
            </w:pPr>
            <w:r>
              <w:t>9 Dec 2005 p. 5887</w:t>
            </w:r>
            <w:r>
              <w:noBreakHyphen/>
              <w:t>91</w:t>
            </w:r>
          </w:p>
        </w:tc>
        <w:tc>
          <w:tcPr>
            <w:tcW w:w="2622" w:type="dxa"/>
          </w:tcPr>
          <w:p>
            <w:pPr>
              <w:pStyle w:val="nTable"/>
              <w:spacing w:after="40"/>
            </w:pPr>
            <w:r>
              <w:t>9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2006</w:t>
            </w:r>
          </w:p>
        </w:tc>
        <w:tc>
          <w:tcPr>
            <w:tcW w:w="1347" w:type="dxa"/>
          </w:tcPr>
          <w:p>
            <w:pPr>
              <w:pStyle w:val="nTable"/>
              <w:spacing w:after="40"/>
            </w:pPr>
            <w:r>
              <w:t>8 Sep 2006 p. 3641</w:t>
            </w:r>
            <w:r>
              <w:noBreakHyphen/>
              <w:t>2</w:t>
            </w:r>
          </w:p>
        </w:tc>
        <w:tc>
          <w:tcPr>
            <w:tcW w:w="2622" w:type="dxa"/>
          </w:tcPr>
          <w:p>
            <w:pPr>
              <w:pStyle w:val="nTable"/>
              <w:spacing w:after="40"/>
            </w:pPr>
            <w:r>
              <w:t>8 Sep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2007</w:t>
            </w:r>
          </w:p>
        </w:tc>
        <w:tc>
          <w:tcPr>
            <w:tcW w:w="1347" w:type="dxa"/>
          </w:tcPr>
          <w:p>
            <w:pPr>
              <w:pStyle w:val="nTable"/>
              <w:spacing w:after="40"/>
            </w:pPr>
            <w:r>
              <w:t>1 Jun 2007 p. 2525</w:t>
            </w:r>
            <w:r>
              <w:noBreakHyphen/>
              <w:t>8</w:t>
            </w:r>
          </w:p>
        </w:tc>
        <w:tc>
          <w:tcPr>
            <w:tcW w:w="2622" w:type="dxa"/>
          </w:tcPr>
          <w:p>
            <w:pPr>
              <w:pStyle w:val="nTable"/>
              <w:spacing w:after="40"/>
            </w:pPr>
            <w:r>
              <w:t>1 Jun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2007</w:t>
            </w:r>
          </w:p>
        </w:tc>
        <w:tc>
          <w:tcPr>
            <w:tcW w:w="1347" w:type="dxa"/>
          </w:tcPr>
          <w:p>
            <w:pPr>
              <w:pStyle w:val="nTable"/>
              <w:spacing w:after="40"/>
            </w:pPr>
            <w:r>
              <w:t>22 Jun 2007 p. 2862</w:t>
            </w:r>
          </w:p>
        </w:tc>
        <w:tc>
          <w:tcPr>
            <w:tcW w:w="2622"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2008</w:t>
            </w:r>
          </w:p>
        </w:tc>
        <w:tc>
          <w:tcPr>
            <w:tcW w:w="1347" w:type="dxa"/>
          </w:tcPr>
          <w:p>
            <w:pPr>
              <w:pStyle w:val="nTable"/>
              <w:spacing w:after="40"/>
            </w:pPr>
            <w:r>
              <w:t>28 Mar 2008 p. 913-14</w:t>
            </w:r>
          </w:p>
        </w:tc>
        <w:tc>
          <w:tcPr>
            <w:tcW w:w="2622"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2) 2008</w:t>
            </w:r>
          </w:p>
        </w:tc>
        <w:tc>
          <w:tcPr>
            <w:tcW w:w="1347" w:type="dxa"/>
          </w:tcPr>
          <w:p>
            <w:pPr>
              <w:pStyle w:val="nTable"/>
              <w:spacing w:after="40"/>
            </w:pPr>
            <w:r>
              <w:t>14 Nov 2008 p. 4878</w:t>
            </w:r>
          </w:p>
        </w:tc>
        <w:tc>
          <w:tcPr>
            <w:tcW w:w="2622" w:type="dxa"/>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Community Protection (Offender Reporting) Amendment Regulations (No. 3) 2008</w:t>
            </w:r>
          </w:p>
        </w:tc>
        <w:tc>
          <w:tcPr>
            <w:tcW w:w="1347" w:type="dxa"/>
          </w:tcPr>
          <w:p>
            <w:pPr>
              <w:pStyle w:val="nTable"/>
              <w:spacing w:after="40"/>
            </w:pPr>
            <w:r>
              <w:t>25 Nov 2008 p. 4989-90</w:t>
            </w:r>
          </w:p>
        </w:tc>
        <w:tc>
          <w:tcPr>
            <w:tcW w:w="2622" w:type="dxa"/>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lastRenderedPageBreak/>
              <w:t>Community Protection (Offender Reporting) Amendment Regulations 2009</w:t>
            </w:r>
          </w:p>
        </w:tc>
        <w:tc>
          <w:tcPr>
            <w:tcW w:w="1347" w:type="dxa"/>
          </w:tcPr>
          <w:p>
            <w:pPr>
              <w:pStyle w:val="nTable"/>
              <w:spacing w:after="40"/>
            </w:pPr>
            <w:r>
              <w:t>20 Feb 2009 p. 353-4</w:t>
            </w:r>
          </w:p>
        </w:tc>
        <w:tc>
          <w:tcPr>
            <w:tcW w:w="2622" w:type="dxa"/>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Community Protection (Offender Reporting) Amendment Regulations 2010</w:t>
            </w:r>
          </w:p>
        </w:tc>
        <w:tc>
          <w:tcPr>
            <w:tcW w:w="1347" w:type="dxa"/>
          </w:tcPr>
          <w:p>
            <w:pPr>
              <w:pStyle w:val="nTable"/>
              <w:spacing w:after="40"/>
            </w:pPr>
            <w:r>
              <w:t>21 Jan 2011 p. 157-8</w:t>
            </w:r>
          </w:p>
        </w:tc>
        <w:tc>
          <w:tcPr>
            <w:tcW w:w="2622" w:type="dxa"/>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347" w:type="dxa"/>
          </w:tcPr>
          <w:p>
            <w:pPr>
              <w:pStyle w:val="nTable"/>
              <w:spacing w:after="40"/>
            </w:pPr>
            <w:r>
              <w:t>1 Jul 2011 p. 2746</w:t>
            </w:r>
            <w:r>
              <w:noBreakHyphen/>
              <w:t xml:space="preserve">7 </w:t>
            </w:r>
          </w:p>
        </w:tc>
        <w:tc>
          <w:tcPr>
            <w:tcW w:w="2622" w:type="dxa"/>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noProof/>
                <w:snapToGrid w:val="0"/>
              </w:rPr>
            </w:pPr>
            <w:r>
              <w:rPr>
                <w:i/>
                <w:noProof/>
                <w:snapToGrid w:val="0"/>
              </w:rPr>
              <w:t xml:space="preserve">Community Protection (Offender Reporting) Amendment Regulations 2012 </w:t>
            </w:r>
          </w:p>
        </w:tc>
        <w:tc>
          <w:tcPr>
            <w:tcW w:w="1347" w:type="dxa"/>
          </w:tcPr>
          <w:p>
            <w:pPr>
              <w:pStyle w:val="nTable"/>
              <w:spacing w:after="40"/>
            </w:pPr>
            <w:r>
              <w:t>30 Nov 2012 p. 5802</w:t>
            </w:r>
          </w:p>
        </w:tc>
        <w:tc>
          <w:tcPr>
            <w:tcW w:w="2622"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2013</w:t>
            </w:r>
          </w:p>
        </w:tc>
        <w:tc>
          <w:tcPr>
            <w:tcW w:w="1347" w:type="dxa"/>
            <w:shd w:val="clear" w:color="auto" w:fill="auto"/>
          </w:tcPr>
          <w:p>
            <w:pPr>
              <w:pStyle w:val="nTable"/>
              <w:spacing w:after="40"/>
            </w:pPr>
            <w:r>
              <w:t>8 Nov 2013 p. 4995</w:t>
            </w:r>
            <w:r>
              <w:noBreakHyphen/>
              <w:t>5015</w:t>
            </w:r>
          </w:p>
        </w:tc>
        <w:tc>
          <w:tcPr>
            <w:tcW w:w="2622" w:type="dxa"/>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Community Protection (Offender Reporting) Amendment Regulations 2014</w:t>
            </w:r>
          </w:p>
        </w:tc>
        <w:tc>
          <w:tcPr>
            <w:tcW w:w="1347" w:type="dxa"/>
            <w:shd w:val="clear" w:color="auto" w:fill="auto"/>
          </w:tcPr>
          <w:p>
            <w:pPr>
              <w:pStyle w:val="nTable"/>
              <w:spacing w:after="40"/>
            </w:pPr>
            <w:r>
              <w:t>5 Aug 2014 p. 2830</w:t>
            </w:r>
          </w:p>
        </w:tc>
        <w:tc>
          <w:tcPr>
            <w:tcW w:w="2622" w:type="dxa"/>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Community Protection (Offender Reporting) Amendment Regulations 2015</w:t>
            </w:r>
          </w:p>
        </w:tc>
        <w:tc>
          <w:tcPr>
            <w:tcW w:w="1347" w:type="dxa"/>
            <w:shd w:val="clear" w:color="auto" w:fill="auto"/>
          </w:tcPr>
          <w:p>
            <w:pPr>
              <w:pStyle w:val="nTable"/>
              <w:spacing w:after="40"/>
            </w:pPr>
            <w:r>
              <w:t>16 Jun 2015 p. 2077</w:t>
            </w:r>
            <w:r>
              <w:noBreakHyphen/>
              <w:t>8</w:t>
            </w:r>
          </w:p>
        </w:tc>
        <w:tc>
          <w:tcPr>
            <w:tcW w:w="2622" w:type="dxa"/>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Police Service Regulations Amendment (Public Health) Regulations 2016 </w:t>
            </w:r>
            <w:r>
              <w:t>Pt. 2 </w:t>
            </w:r>
          </w:p>
        </w:tc>
        <w:tc>
          <w:tcPr>
            <w:tcW w:w="1347" w:type="dxa"/>
            <w:shd w:val="clear" w:color="auto" w:fill="auto"/>
          </w:tcPr>
          <w:p>
            <w:pPr>
              <w:pStyle w:val="nTable"/>
              <w:spacing w:after="40"/>
            </w:pPr>
            <w:r>
              <w:t>10 Jan 2017 p. 221-4</w:t>
            </w:r>
          </w:p>
        </w:tc>
        <w:tc>
          <w:tcPr>
            <w:tcW w:w="2622"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Community Protection (Offender Reporting) Amendment Regulations 2017</w:t>
            </w:r>
          </w:p>
        </w:tc>
        <w:tc>
          <w:tcPr>
            <w:tcW w:w="1347" w:type="dxa"/>
            <w:shd w:val="clear" w:color="auto" w:fill="auto"/>
          </w:tcPr>
          <w:p>
            <w:pPr>
              <w:pStyle w:val="nTable"/>
              <w:spacing w:after="40"/>
            </w:pPr>
            <w:r>
              <w:t>13 Jan 2017 p. 359</w:t>
            </w:r>
            <w:r>
              <w:noBreakHyphen/>
              <w:t>60</w:t>
            </w:r>
          </w:p>
        </w:tc>
        <w:tc>
          <w:tcPr>
            <w:tcW w:w="2622" w:type="dxa"/>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cantSplit/>
        </w:trPr>
        <w:tc>
          <w:tcPr>
            <w:tcW w:w="3119" w:type="dxa"/>
            <w:tcBorders>
              <w:top w:val="nil"/>
              <w:bottom w:val="nil"/>
            </w:tcBorders>
            <w:shd w:val="clear" w:color="auto" w:fill="auto"/>
          </w:tcPr>
          <w:p>
            <w:pPr>
              <w:pStyle w:val="nTable"/>
              <w:spacing w:after="40"/>
              <w:rPr>
                <w:i/>
              </w:rPr>
            </w:pPr>
            <w:r>
              <w:rPr>
                <w:i/>
              </w:rPr>
              <w:t>Community Protection (Offender Reporting) Amendment Regulations 2018</w:t>
            </w:r>
          </w:p>
        </w:tc>
        <w:tc>
          <w:tcPr>
            <w:tcW w:w="1347" w:type="dxa"/>
            <w:tcBorders>
              <w:top w:val="nil"/>
              <w:bottom w:val="nil"/>
            </w:tcBorders>
            <w:shd w:val="clear" w:color="auto" w:fill="auto"/>
          </w:tcPr>
          <w:p>
            <w:pPr>
              <w:pStyle w:val="nTable"/>
              <w:spacing w:after="40"/>
            </w:pPr>
            <w:r>
              <w:t>13 Nov 2018 p. 4432-3</w:t>
            </w:r>
          </w:p>
        </w:tc>
        <w:tc>
          <w:tcPr>
            <w:tcW w:w="2622" w:type="dxa"/>
            <w:tcBorders>
              <w:top w:val="nil"/>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rPr>
          <w:cantSplit/>
        </w:trPr>
        <w:tc>
          <w:tcPr>
            <w:tcW w:w="3119" w:type="dxa"/>
            <w:tcBorders>
              <w:top w:val="nil"/>
              <w:bottom w:val="nil"/>
            </w:tcBorders>
            <w:shd w:val="clear" w:color="auto" w:fill="auto"/>
          </w:tcPr>
          <w:p>
            <w:pPr>
              <w:pStyle w:val="nTable"/>
              <w:spacing w:after="40"/>
            </w:pPr>
            <w:r>
              <w:rPr>
                <w:i/>
              </w:rPr>
              <w:t>Community Protection (Offender Reporting) Amendment Regulations 2021</w:t>
            </w:r>
          </w:p>
        </w:tc>
        <w:tc>
          <w:tcPr>
            <w:tcW w:w="1347" w:type="dxa"/>
            <w:tcBorders>
              <w:top w:val="nil"/>
              <w:bottom w:val="nil"/>
            </w:tcBorders>
            <w:shd w:val="clear" w:color="auto" w:fill="auto"/>
          </w:tcPr>
          <w:p>
            <w:pPr>
              <w:pStyle w:val="nTable"/>
              <w:spacing w:after="40"/>
            </w:pPr>
            <w:r>
              <w:t>SL 2021/57 21 May 2021</w:t>
            </w:r>
          </w:p>
        </w:tc>
        <w:tc>
          <w:tcPr>
            <w:tcW w:w="2622" w:type="dxa"/>
            <w:tcBorders>
              <w:top w:val="nil"/>
              <w:bottom w:val="nil"/>
            </w:tcBorders>
            <w:shd w:val="clear" w:color="auto" w:fill="auto"/>
          </w:tcPr>
          <w:p>
            <w:pPr>
              <w:pStyle w:val="nTable"/>
              <w:spacing w:after="40"/>
              <w:rPr>
                <w:snapToGrid w:val="0"/>
              </w:rPr>
            </w:pPr>
            <w:r>
              <w:rPr>
                <w:snapToGrid w:val="0"/>
              </w:rPr>
              <w:t>r. 1 and 2: 21 May 2021 (see r. 2(a));</w:t>
            </w:r>
            <w:r>
              <w:rPr>
                <w:snapToGrid w:val="0"/>
              </w:rPr>
              <w:br/>
              <w:t>r. 3 and 5(1): 22 May 2021 (see r. 2(b));</w:t>
            </w:r>
            <w:r>
              <w:rPr>
                <w:snapToGrid w:val="0"/>
              </w:rPr>
              <w:br/>
            </w:r>
            <w:r>
              <w:t>r. 4, 5(2) and (3), 6 and 7: 1 Jul 2021 (see r. 2(c) and SL 2021/54 cl.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noProof/>
                <w:snapToGrid w:val="0"/>
              </w:rPr>
              <w:t>Community Protection (Offender Reporting) Amendment Regulations (No. 2) 2021</w:t>
            </w:r>
          </w:p>
        </w:tc>
        <w:tc>
          <w:tcPr>
            <w:tcW w:w="1347" w:type="dxa"/>
            <w:tcBorders>
              <w:bottom w:val="single" w:sz="4" w:space="0" w:color="auto"/>
            </w:tcBorders>
            <w:shd w:val="clear" w:color="auto" w:fill="auto"/>
          </w:tcPr>
          <w:p>
            <w:pPr>
              <w:pStyle w:val="nTable"/>
              <w:spacing w:after="40"/>
            </w:pPr>
            <w:r>
              <w:t>SL 2021/125 16 Jul 2021</w:t>
            </w:r>
          </w:p>
        </w:tc>
        <w:tc>
          <w:tcPr>
            <w:tcW w:w="2622" w:type="dxa"/>
            <w:tcBorders>
              <w:bottom w:val="single" w:sz="4" w:space="0" w:color="auto"/>
            </w:tcBorders>
            <w:shd w:val="clear" w:color="auto" w:fill="auto"/>
          </w:tcPr>
          <w:p>
            <w:pPr>
              <w:pStyle w:val="nTable"/>
              <w:spacing w:after="40"/>
              <w:rPr>
                <w:snapToGrid w:val="0"/>
              </w:rPr>
            </w:pPr>
            <w:r>
              <w:rPr>
                <w:snapToGrid w:val="0"/>
              </w:rPr>
              <w:t xml:space="preserve">r. 1 and 2: </w:t>
            </w:r>
            <w:r>
              <w:t>16 Jul 2021</w:t>
            </w:r>
            <w:r>
              <w:rPr>
                <w:snapToGrid w:val="0"/>
              </w:rPr>
              <w:t xml:space="preserve"> (see r. 2(a));</w:t>
            </w:r>
            <w:r>
              <w:rPr>
                <w:snapToGrid w:val="0"/>
              </w:rPr>
              <w:br/>
              <w:t xml:space="preserve">Regulations other than r. 1 and 2: </w:t>
            </w:r>
            <w:r>
              <w:t>17 Jul 2021</w:t>
            </w:r>
            <w:r>
              <w:rPr>
                <w:noProof/>
              </w:rPr>
              <w:t xml:space="preserve">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8" w:name="_Toc77147776"/>
      <w:bookmarkStart w:id="59" w:name="_Toc77148638"/>
      <w:bookmarkStart w:id="60" w:name="_Toc77167048"/>
      <w:bookmarkStart w:id="61" w:name="_Toc77167405"/>
      <w:r>
        <w:rPr>
          <w:sz w:val="28"/>
        </w:rPr>
        <w:lastRenderedPageBreak/>
        <w:t>Defined terms</w:t>
      </w:r>
      <w:bookmarkEnd w:id="58"/>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Commission</w:t>
      </w:r>
      <w:r>
        <w:tab/>
        <w:t>7(5)</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resident</w:t>
      </w:r>
      <w:r>
        <w:tab/>
        <w:t>7(5)</w:t>
      </w:r>
    </w:p>
    <w:p>
      <w:pPr>
        <w:pStyle w:val="DefinedTerms"/>
      </w:pPr>
      <w:r>
        <w:t>sample</w:t>
      </w:r>
      <w:r>
        <w:tab/>
        <w:t>26F(1)</w:t>
      </w:r>
    </w:p>
    <w:p>
      <w:pPr>
        <w:pStyle w:val="DefinedTerms"/>
      </w:pPr>
      <w:r>
        <w:t>urine sampling equipment</w:t>
      </w:r>
      <w:r>
        <w:tab/>
        <w:t>3, 26F(1)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08541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 w:name="WAFER_20210714085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85419_GUID" w:val="0fa4e0e7-633b-4f63-9af0-16efa8efe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3FC0-FFBD-4987-9A58-0B9EA5F3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8567</Words>
  <Characters>46694</Characters>
  <Application>Microsoft Office Word</Application>
  <DocSecurity>0</DocSecurity>
  <Lines>1506</Lines>
  <Paragraphs>952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2004 - 03-l0-00</dc:title>
  <dc:subject/>
  <dc:creator/>
  <cp:keywords/>
  <dc:description/>
  <cp:lastModifiedBy>Master Repository Process</cp:lastModifiedBy>
  <cp:revision>4</cp:revision>
  <cp:lastPrinted>2014-04-04T05:23:00Z</cp:lastPrinted>
  <dcterms:created xsi:type="dcterms:W3CDTF">2021-07-15T06:55:00Z</dcterms:created>
  <dcterms:modified xsi:type="dcterms:W3CDTF">2021-07-15T06:55:00Z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AsAtDate">
    <vt:lpwstr>17 Jul 2021</vt:lpwstr>
  </property>
  <property fmtid="{D5CDD505-2E9C-101B-9397-08002B2CF9AE}" pid="8" name="Suffix">
    <vt:lpwstr>03-l0-00</vt:lpwstr>
  </property>
  <property fmtid="{D5CDD505-2E9C-101B-9397-08002B2CF9AE}" pid="9" name="CommencementDate">
    <vt:lpwstr>20210717</vt:lpwstr>
  </property>
</Properties>
</file>