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Liquor Control Act 1988</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Liquor Control (Ngurrawaana Restricted Area) Regulations 2018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Liquor Control (Ngurrawaana Restricted Area) Regulations 2018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_Toc78442831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_Toc78442832 \h </w:instrText>
      </w:r>
      <w:r>
        <w:fldChar w:fldCharType="separate"/>
      </w:r>
      <w:r>
        <w:t>1</w:t>
      </w:r>
      <w:r>
        <w:fldChar w:fldCharType="end"/>
      </w:r>
    </w:p>
    <w:p>
      <w:pPr>
        <w:pStyle w:val="TOC8"/>
        <w:rPr>
          <w:rFonts w:asciiTheme="minorHAnsi" w:eastAsiaTheme="minorEastAsia" w:hAnsiTheme="minorHAnsi" w:cstheme="minorBidi"/>
          <w:szCs w:val="22"/>
        </w:rPr>
      </w:pPr>
      <w:r>
        <w:t>3.</w:t>
      </w:r>
      <w:r>
        <w:tab/>
        <w:t>Term used: Ngurrawaana Community</w:t>
      </w:r>
      <w:r>
        <w:tab/>
      </w:r>
      <w:r>
        <w:fldChar w:fldCharType="begin"/>
      </w:r>
      <w:r>
        <w:instrText xml:space="preserve"> PAGEREF _Toc78442833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Restricted area</w:t>
      </w:r>
    </w:p>
    <w:p>
      <w:pPr>
        <w:pStyle w:val="TOC8"/>
        <w:rPr>
          <w:rFonts w:asciiTheme="minorHAnsi" w:eastAsiaTheme="minorEastAsia" w:hAnsiTheme="minorHAnsi" w:cstheme="minorBidi"/>
          <w:szCs w:val="22"/>
        </w:rPr>
      </w:pPr>
      <w:r>
        <w:t>5.</w:t>
      </w:r>
      <w:r>
        <w:tab/>
        <w:t>Declaration of restricted area</w:t>
      </w:r>
      <w:r>
        <w:tab/>
      </w:r>
      <w:r>
        <w:fldChar w:fldCharType="begin"/>
      </w:r>
      <w:r>
        <w:instrText xml:space="preserve"> PAGEREF _Toc78442835 \h </w:instrText>
      </w:r>
      <w:r>
        <w:fldChar w:fldCharType="separate"/>
      </w:r>
      <w:r>
        <w:t>2</w:t>
      </w:r>
      <w:r>
        <w:fldChar w:fldCharType="end"/>
      </w:r>
    </w:p>
    <w:p>
      <w:pPr>
        <w:pStyle w:val="TOC8"/>
        <w:rPr>
          <w:rFonts w:asciiTheme="minorHAnsi" w:eastAsiaTheme="minorEastAsia" w:hAnsiTheme="minorHAnsi" w:cstheme="minorBidi"/>
          <w:szCs w:val="22"/>
        </w:rPr>
      </w:pPr>
      <w:r>
        <w:t>6.</w:t>
      </w:r>
      <w:r>
        <w:tab/>
        <w:t>Notice of restricted area</w:t>
      </w:r>
      <w:r>
        <w:tab/>
      </w:r>
      <w:r>
        <w:fldChar w:fldCharType="begin"/>
      </w:r>
      <w:r>
        <w:instrText xml:space="preserve"> PAGEREF _Toc78442836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3 — Prohibitions and related provisions</w:t>
      </w:r>
    </w:p>
    <w:p>
      <w:pPr>
        <w:pStyle w:val="TOC8"/>
        <w:rPr>
          <w:rFonts w:asciiTheme="minorHAnsi" w:eastAsiaTheme="minorEastAsia" w:hAnsiTheme="minorHAnsi" w:cstheme="minorBidi"/>
          <w:szCs w:val="22"/>
        </w:rPr>
      </w:pPr>
      <w:r>
        <w:t>7.</w:t>
      </w:r>
      <w:r>
        <w:tab/>
        <w:t>Prohibitions as to liquor in the Ngurrawaana Community</w:t>
      </w:r>
      <w:r>
        <w:tab/>
      </w:r>
      <w:r>
        <w:fldChar w:fldCharType="begin"/>
      </w:r>
      <w:r>
        <w:instrText xml:space="preserve"> PAGEREF _Toc78442838 \h </w:instrText>
      </w:r>
      <w:r>
        <w:fldChar w:fldCharType="separate"/>
      </w:r>
      <w:r>
        <w:t>3</w:t>
      </w:r>
      <w:r>
        <w:fldChar w:fldCharType="end"/>
      </w:r>
    </w:p>
    <w:p>
      <w:pPr>
        <w:pStyle w:val="TOC8"/>
        <w:rPr>
          <w:rFonts w:asciiTheme="minorHAnsi" w:eastAsiaTheme="minorEastAsia" w:hAnsiTheme="minorHAnsi" w:cstheme="minorBidi"/>
          <w:szCs w:val="22"/>
        </w:rPr>
      </w:pPr>
      <w:r>
        <w:t>8.</w:t>
      </w:r>
      <w:r>
        <w:tab/>
        <w:t>Seizure and disposal of containers of liquor</w:t>
      </w:r>
      <w:r>
        <w:tab/>
      </w:r>
      <w:r>
        <w:fldChar w:fldCharType="begin"/>
      </w:r>
      <w:r>
        <w:instrText xml:space="preserve"> PAGEREF _Toc78442839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4 — Period of effect</w:t>
      </w:r>
    </w:p>
    <w:p>
      <w:pPr>
        <w:pStyle w:val="TOC8"/>
        <w:rPr>
          <w:rFonts w:asciiTheme="minorHAnsi" w:eastAsiaTheme="minorEastAsia" w:hAnsiTheme="minorHAnsi" w:cstheme="minorBidi"/>
          <w:szCs w:val="22"/>
        </w:rPr>
      </w:pPr>
      <w:r>
        <w:t>9.</w:t>
      </w:r>
      <w:r>
        <w:tab/>
        <w:t>Period during which these regulations have effect</w:t>
      </w:r>
      <w:r>
        <w:tab/>
      </w:r>
      <w:r>
        <w:fldChar w:fldCharType="begin"/>
      </w:r>
      <w:r>
        <w:instrText xml:space="preserve"> PAGEREF _Toc78442841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5 — </w:t>
      </w:r>
      <w:r>
        <w:rPr>
          <w:i/>
        </w:rPr>
        <w:t>Liquor Control Regulations 1989</w:t>
      </w:r>
      <w:r>
        <w:t xml:space="preserve"> amended</w:t>
      </w:r>
    </w:p>
    <w:p>
      <w:pPr>
        <w:pStyle w:val="TOC8"/>
        <w:rPr>
          <w:rFonts w:asciiTheme="minorHAnsi" w:eastAsiaTheme="minorEastAsia" w:hAnsiTheme="minorHAnsi" w:cstheme="minorBidi"/>
          <w:szCs w:val="22"/>
        </w:rPr>
      </w:pPr>
      <w:r>
        <w:t>10.</w:t>
      </w:r>
      <w:r>
        <w:tab/>
        <w:t>Regulations amended</w:t>
      </w:r>
      <w:r>
        <w:tab/>
      </w:r>
      <w:r>
        <w:fldChar w:fldCharType="begin"/>
      </w:r>
      <w:r>
        <w:instrText xml:space="preserve"> PAGEREF _Toc78442843 \h </w:instrText>
      </w:r>
      <w:r>
        <w:fldChar w:fldCharType="separate"/>
      </w:r>
      <w:r>
        <w:t>5</w:t>
      </w:r>
      <w:r>
        <w:fldChar w:fldCharType="end"/>
      </w:r>
    </w:p>
    <w:p>
      <w:pPr>
        <w:pStyle w:val="TOC8"/>
        <w:rPr>
          <w:rFonts w:asciiTheme="minorHAnsi" w:eastAsiaTheme="minorEastAsia" w:hAnsiTheme="minorHAnsi" w:cstheme="minorBidi"/>
          <w:szCs w:val="22"/>
        </w:rPr>
      </w:pPr>
      <w:r>
        <w:t>11.</w:t>
      </w:r>
      <w:r>
        <w:tab/>
        <w:t>Regulation 27 amended</w:t>
      </w:r>
      <w:r>
        <w:tab/>
      </w:r>
      <w:r>
        <w:fldChar w:fldCharType="begin"/>
      </w:r>
      <w:r>
        <w:instrText xml:space="preserve"> PAGEREF _Toc78442844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_Toc78442846 \h </w:instrText>
      </w:r>
      <w:r>
        <w:fldChar w:fldCharType="separate"/>
      </w:r>
      <w:r>
        <w:t>6</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_Toc78442847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pPr>
      <w:r>
        <w:lastRenderedPageBreak/>
        <w:t>Liquor Control Act 1988</w:t>
      </w:r>
    </w:p>
    <w:p>
      <w:pPr>
        <w:pStyle w:val="NameofActReg"/>
      </w:pPr>
      <w:r>
        <w:t>Liquor Control (Ngurrawaana Restricted Area) Regulations 2018</w:t>
      </w:r>
    </w:p>
    <w:p>
      <w:pPr>
        <w:pStyle w:val="Heading2"/>
        <w:keepNext w:val="0"/>
        <w:pageBreakBefore w:val="0"/>
        <w:spacing w:before="240"/>
      </w:pPr>
      <w:bookmarkStart w:id="3" w:name="_Toc78372070"/>
      <w:bookmarkStart w:id="4" w:name="_Toc78372105"/>
      <w:bookmarkStart w:id="5" w:name="_Toc78372525"/>
      <w:bookmarkStart w:id="6" w:name="_Toc78442830"/>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p>
    <w:p>
      <w:pPr>
        <w:pStyle w:val="Heading5"/>
      </w:pPr>
      <w:bookmarkStart w:id="7" w:name="_Toc78442831"/>
      <w:r>
        <w:rPr>
          <w:rStyle w:val="CharSectno"/>
        </w:rPr>
        <w:t>1</w:t>
      </w:r>
      <w:r>
        <w:t>.</w:t>
      </w:r>
      <w:r>
        <w:tab/>
        <w:t>Citation</w:t>
      </w:r>
      <w:bookmarkEnd w:id="7"/>
    </w:p>
    <w:p>
      <w:pPr>
        <w:pStyle w:val="Subsection"/>
      </w:pPr>
      <w:r>
        <w:tab/>
      </w:r>
      <w:r>
        <w:tab/>
      </w:r>
      <w:bookmarkStart w:id="8" w:name="Start_Cursor"/>
      <w:bookmarkEnd w:id="8"/>
      <w:r>
        <w:t xml:space="preserve">These </w:t>
      </w:r>
      <w:r>
        <w:rPr>
          <w:spacing w:val="-2"/>
        </w:rPr>
        <w:t>regulations</w:t>
      </w:r>
      <w:r>
        <w:t xml:space="preserve"> are the </w:t>
      </w:r>
      <w:r>
        <w:rPr>
          <w:i/>
        </w:rPr>
        <w:t>Liquor Control (Ngurrawaana Restricted Area) Regulations 2018</w:t>
      </w:r>
      <w:r>
        <w:t>.</w:t>
      </w:r>
    </w:p>
    <w:p>
      <w:pPr>
        <w:pStyle w:val="Heading5"/>
      </w:pPr>
      <w:bookmarkStart w:id="9" w:name="_Toc78442832"/>
      <w:r>
        <w:rPr>
          <w:rStyle w:val="CharSectno"/>
        </w:rPr>
        <w:t>2</w:t>
      </w:r>
      <w:r>
        <w:t>.</w:t>
      </w:r>
      <w:r>
        <w:tab/>
        <w:t>Commencement</w:t>
      </w:r>
      <w:bookmarkEnd w:id="9"/>
    </w:p>
    <w:p>
      <w:pPr>
        <w:pStyle w:val="Subsection"/>
      </w:pPr>
      <w:r>
        <w:rPr>
          <w:spacing w:val="-2"/>
        </w:rPr>
        <w:tab/>
      </w:r>
      <w:r>
        <w:rPr>
          <w:spacing w:val="-2"/>
        </w:rPr>
        <w:tab/>
      </w:r>
      <w:r>
        <w:t xml:space="preserve">These </w:t>
      </w:r>
      <w:r>
        <w:rPr>
          <w:spacing w:val="-2"/>
        </w:rPr>
        <w:t>regulations come into operation as follows</w:t>
      </w:r>
      <w:r>
        <w:t> —</w:t>
      </w:r>
    </w:p>
    <w:p>
      <w:pPr>
        <w:pStyle w:val="Indenta"/>
      </w:pPr>
      <w:r>
        <w:tab/>
        <w:t>(a)</w:t>
      </w:r>
      <w:r>
        <w:tab/>
      </w:r>
      <w:r>
        <w:rPr>
          <w:spacing w:val="-2"/>
        </w:rPr>
        <w:t>Part 1</w:t>
      </w:r>
      <w:r>
        <w:t xml:space="preserve"> — on the day on which these </w:t>
      </w:r>
      <w:r>
        <w:rPr>
          <w:spacing w:val="-2"/>
        </w:rPr>
        <w:t>regulations</w:t>
      </w:r>
      <w:r>
        <w:t xml:space="preserve"> are published in the </w:t>
      </w:r>
      <w:r>
        <w:rPr>
          <w:i/>
          <w:iCs/>
        </w:rPr>
        <w:t>Gazette</w:t>
      </w:r>
      <w:r>
        <w:t>;</w:t>
      </w:r>
    </w:p>
    <w:p>
      <w:pPr>
        <w:pStyle w:val="Indenta"/>
      </w:pPr>
      <w:r>
        <w:tab/>
        <w:t>(b)</w:t>
      </w:r>
      <w:r>
        <w:tab/>
        <w:t xml:space="preserve">the rest of the </w:t>
      </w:r>
      <w:r>
        <w:rPr>
          <w:spacing w:val="-2"/>
        </w:rPr>
        <w:t>regulations</w:t>
      </w:r>
      <w:r>
        <w:t> — on the day after that day.</w:t>
      </w:r>
    </w:p>
    <w:p>
      <w:pPr>
        <w:pStyle w:val="Heading5"/>
      </w:pPr>
      <w:bookmarkStart w:id="10" w:name="_Toc78442833"/>
      <w:r>
        <w:rPr>
          <w:rStyle w:val="CharSectno"/>
        </w:rPr>
        <w:t>3</w:t>
      </w:r>
      <w:r>
        <w:t>.</w:t>
      </w:r>
      <w:r>
        <w:tab/>
        <w:t>Term used: Ngurrawaana Community</w:t>
      </w:r>
      <w:bookmarkEnd w:id="10"/>
    </w:p>
    <w:p>
      <w:pPr>
        <w:pStyle w:val="Subsection"/>
      </w:pPr>
      <w:r>
        <w:tab/>
      </w:r>
      <w:r>
        <w:tab/>
        <w:t xml:space="preserve">In these regulations — </w:t>
      </w:r>
    </w:p>
    <w:p>
      <w:pPr>
        <w:pStyle w:val="Defstart"/>
      </w:pPr>
      <w:r>
        <w:tab/>
      </w:r>
      <w:r>
        <w:rPr>
          <w:rStyle w:val="CharDefText"/>
        </w:rPr>
        <w:t>Ngurrawaana Community</w:t>
      </w:r>
      <w:r>
        <w:t xml:space="preserve"> means the area of land described as Crown Reserve 40617 being Lot 244 on Deposited Plan 91689 and being the whole of the land in Certificate of Title Volume 3063 Folio 848.</w:t>
      </w:r>
    </w:p>
    <w:p>
      <w:pPr>
        <w:pStyle w:val="Ednotesection"/>
      </w:pPr>
      <w:r>
        <w:t>[</w:t>
      </w:r>
      <w:r>
        <w:rPr>
          <w:b/>
        </w:rPr>
        <w:t>4.</w:t>
      </w:r>
      <w:r>
        <w:tab/>
        <w:t>Deleted: SL 2021/142 r. 8.]</w:t>
      </w:r>
    </w:p>
    <w:p>
      <w:pPr>
        <w:pStyle w:val="Heading2"/>
      </w:pPr>
      <w:bookmarkStart w:id="11" w:name="_Toc78372075"/>
      <w:bookmarkStart w:id="12" w:name="_Toc78372110"/>
      <w:bookmarkStart w:id="13" w:name="_Toc78372529"/>
      <w:bookmarkStart w:id="14" w:name="_Toc78442834"/>
      <w:r>
        <w:rPr>
          <w:rStyle w:val="CharPartNo"/>
        </w:rPr>
        <w:lastRenderedPageBreak/>
        <w:t>Part 2</w:t>
      </w:r>
      <w:r>
        <w:rPr>
          <w:rStyle w:val="CharDivNo"/>
        </w:rPr>
        <w:t> </w:t>
      </w:r>
      <w:r>
        <w:t>—</w:t>
      </w:r>
      <w:r>
        <w:rPr>
          <w:rStyle w:val="CharDivText"/>
        </w:rPr>
        <w:t> </w:t>
      </w:r>
      <w:r>
        <w:rPr>
          <w:rStyle w:val="CharPartText"/>
        </w:rPr>
        <w:t>Restricted area</w:t>
      </w:r>
      <w:bookmarkEnd w:id="11"/>
      <w:bookmarkEnd w:id="12"/>
      <w:bookmarkEnd w:id="13"/>
      <w:bookmarkEnd w:id="14"/>
    </w:p>
    <w:p>
      <w:pPr>
        <w:pStyle w:val="Heading5"/>
      </w:pPr>
      <w:bookmarkStart w:id="15" w:name="_Toc78442835"/>
      <w:r>
        <w:rPr>
          <w:rStyle w:val="CharSectno"/>
        </w:rPr>
        <w:t>5</w:t>
      </w:r>
      <w:r>
        <w:t>.</w:t>
      </w:r>
      <w:r>
        <w:tab/>
        <w:t>Declaration of restricted area</w:t>
      </w:r>
      <w:bookmarkEnd w:id="15"/>
    </w:p>
    <w:p>
      <w:pPr>
        <w:pStyle w:val="Subsection"/>
      </w:pPr>
      <w:r>
        <w:tab/>
      </w:r>
      <w:r>
        <w:tab/>
        <w:t>The Ngurrawaana Community is declared to be a restricted area for the purposes of section 175(1a) of the Act.</w:t>
      </w:r>
    </w:p>
    <w:p>
      <w:pPr>
        <w:pStyle w:val="Heading5"/>
      </w:pPr>
      <w:bookmarkStart w:id="16" w:name="_Toc78442836"/>
      <w:r>
        <w:rPr>
          <w:rStyle w:val="CharSectno"/>
        </w:rPr>
        <w:t>6</w:t>
      </w:r>
      <w:r>
        <w:t>.</w:t>
      </w:r>
      <w:r>
        <w:tab/>
        <w:t>Notice of restricted area</w:t>
      </w:r>
      <w:bookmarkEnd w:id="16"/>
    </w:p>
    <w:p>
      <w:pPr>
        <w:pStyle w:val="Subsection"/>
      </w:pPr>
      <w:r>
        <w:tab/>
        <w:t>(1)</w:t>
      </w:r>
      <w:r>
        <w:tab/>
        <w:t xml:space="preserve">The Director of Liquor Licensing must take all reasonable steps to cause to be posted, and while the Ngurrawaana Community continues to be a restricted area by operation of regulation 5 to be kept posted, at each place where a customary access route enters the Ngurrawaana Community a notice — </w:t>
      </w:r>
    </w:p>
    <w:p>
      <w:pPr>
        <w:pStyle w:val="Indenta"/>
      </w:pPr>
      <w:r>
        <w:tab/>
        <w:t>(a)</w:t>
      </w:r>
      <w:r>
        <w:tab/>
        <w:t>describing the offences set out in regulation 7; and</w:t>
      </w:r>
    </w:p>
    <w:p>
      <w:pPr>
        <w:pStyle w:val="Indenta"/>
      </w:pPr>
      <w:r>
        <w:tab/>
        <w:t>(b)</w:t>
      </w:r>
      <w:r>
        <w:tab/>
        <w:t>specifying the penalties for those offences.</w:t>
      </w:r>
    </w:p>
    <w:p>
      <w:pPr>
        <w:pStyle w:val="Subsection"/>
      </w:pPr>
      <w:r>
        <w:tab/>
        <w:t>(2)</w:t>
      </w:r>
      <w:r>
        <w:tab/>
        <w:t>A failure to comply with subregulation (1) does not invalidate the declaration in regulation 5.</w:t>
      </w:r>
    </w:p>
    <w:p>
      <w:pPr>
        <w:pStyle w:val="Heading2"/>
      </w:pPr>
      <w:bookmarkStart w:id="17" w:name="_Toc78372078"/>
      <w:bookmarkStart w:id="18" w:name="_Toc78372113"/>
      <w:bookmarkStart w:id="19" w:name="_Toc78372532"/>
      <w:bookmarkStart w:id="20" w:name="_Toc78442837"/>
      <w:r>
        <w:rPr>
          <w:rStyle w:val="CharPartNo"/>
        </w:rPr>
        <w:lastRenderedPageBreak/>
        <w:t>Part 3</w:t>
      </w:r>
      <w:r>
        <w:rPr>
          <w:rStyle w:val="CharDivNo"/>
        </w:rPr>
        <w:t> </w:t>
      </w:r>
      <w:r>
        <w:t>—</w:t>
      </w:r>
      <w:r>
        <w:rPr>
          <w:rStyle w:val="CharDivText"/>
        </w:rPr>
        <w:t> </w:t>
      </w:r>
      <w:r>
        <w:rPr>
          <w:rStyle w:val="CharPartText"/>
        </w:rPr>
        <w:t>Prohibitions and related provisions</w:t>
      </w:r>
      <w:bookmarkEnd w:id="17"/>
      <w:bookmarkEnd w:id="18"/>
      <w:bookmarkEnd w:id="19"/>
      <w:bookmarkEnd w:id="20"/>
    </w:p>
    <w:p>
      <w:pPr>
        <w:pStyle w:val="Heading5"/>
      </w:pPr>
      <w:bookmarkStart w:id="21" w:name="_Toc78442838"/>
      <w:r>
        <w:rPr>
          <w:rStyle w:val="CharSectno"/>
        </w:rPr>
        <w:t>7</w:t>
      </w:r>
      <w:r>
        <w:t>.</w:t>
      </w:r>
      <w:r>
        <w:tab/>
        <w:t>Prohibitions as to liquor in the Ngurrawaana Community</w:t>
      </w:r>
      <w:bookmarkEnd w:id="21"/>
    </w:p>
    <w:p>
      <w:pPr>
        <w:pStyle w:val="Subsection"/>
      </w:pPr>
      <w:r>
        <w:tab/>
        <w:t>(1)</w:t>
      </w:r>
      <w:r>
        <w:tab/>
        <w:t xml:space="preserve">A person commits an offence if the person — </w:t>
      </w:r>
    </w:p>
    <w:p>
      <w:pPr>
        <w:pStyle w:val="Indenta"/>
      </w:pPr>
      <w:r>
        <w:tab/>
        <w:t>(a)</w:t>
      </w:r>
      <w:r>
        <w:tab/>
        <w:t>brings liquor into, or causes liquor to be brought into, the Ngurrawaana Community; or</w:t>
      </w:r>
    </w:p>
    <w:p>
      <w:pPr>
        <w:pStyle w:val="Indenta"/>
        <w:rPr>
          <w:rStyle w:val="DraftersNotes"/>
          <w:b w:val="0"/>
          <w:i w:val="0"/>
          <w:sz w:val="24"/>
        </w:rPr>
      </w:pPr>
      <w:r>
        <w:tab/>
        <w:t>(b)</w:t>
      </w:r>
      <w:r>
        <w:tab/>
        <w:t>possesses liquor in the Ngurrawaana Community.</w:t>
      </w:r>
    </w:p>
    <w:p>
      <w:pPr>
        <w:pStyle w:val="Penstart"/>
      </w:pPr>
      <w:r>
        <w:tab/>
        <w:t>Penalty for this subregulation:</w:t>
      </w:r>
    </w:p>
    <w:p>
      <w:pPr>
        <w:pStyle w:val="Penpara"/>
      </w:pPr>
      <w:r>
        <w:tab/>
        <w:t>(a)</w:t>
      </w:r>
      <w:r>
        <w:tab/>
        <w:t>if subregulation (2) applies — a fine of $5 000;</w:t>
      </w:r>
    </w:p>
    <w:p>
      <w:pPr>
        <w:pStyle w:val="Penpara"/>
        <w:rPr>
          <w:rStyle w:val="DraftersNotes"/>
          <w:b w:val="0"/>
          <w:i w:val="0"/>
          <w:sz w:val="24"/>
        </w:rPr>
      </w:pPr>
      <w:r>
        <w:tab/>
        <w:t>(b)</w:t>
      </w:r>
      <w:r>
        <w:tab/>
        <w:t>in any other case — a fine of $2 000.</w:t>
      </w:r>
    </w:p>
    <w:p>
      <w:pPr>
        <w:pStyle w:val="Subsection"/>
        <w:rPr>
          <w:rStyle w:val="DraftersNotes"/>
          <w:b w:val="0"/>
          <w:i w:val="0"/>
          <w:sz w:val="24"/>
        </w:rPr>
      </w:pPr>
      <w:r>
        <w:tab/>
        <w:t>(2)</w:t>
      </w:r>
      <w:r>
        <w:tab/>
        <w:t>This subregulation applies to an offence under subregulation (1) committed by a licensee, a manager of licensed premises or a director of a body corporate that holds a licence.</w:t>
      </w:r>
    </w:p>
    <w:p>
      <w:pPr>
        <w:pStyle w:val="Heading5"/>
      </w:pPr>
      <w:bookmarkStart w:id="22" w:name="_Toc78442839"/>
      <w:r>
        <w:rPr>
          <w:rStyle w:val="CharSectno"/>
        </w:rPr>
        <w:t>8</w:t>
      </w:r>
      <w:r>
        <w:t>.</w:t>
      </w:r>
      <w:r>
        <w:tab/>
        <w:t>Seizure and disposal of containers of liquor</w:t>
      </w:r>
      <w:bookmarkEnd w:id="22"/>
    </w:p>
    <w:p>
      <w:pPr>
        <w:pStyle w:val="Subsection"/>
      </w:pPr>
      <w:r>
        <w:tab/>
      </w:r>
      <w:r>
        <w:tab/>
        <w:t>Despite section 155(4) and (5) of the Act, a member of the Police Force may seize and, as soon as is practicable, dispose of any opened or unopened container of liquor suspected on reasonable grounds to be the subject of an offence under regulation 7.</w:t>
      </w:r>
    </w:p>
    <w:p>
      <w:pPr>
        <w:pStyle w:val="Heading2"/>
      </w:pPr>
      <w:bookmarkStart w:id="23" w:name="_Toc78372081"/>
      <w:bookmarkStart w:id="24" w:name="_Toc78372116"/>
      <w:bookmarkStart w:id="25" w:name="_Toc78372535"/>
      <w:bookmarkStart w:id="26" w:name="_Toc78442840"/>
      <w:r>
        <w:rPr>
          <w:rStyle w:val="CharPartNo"/>
        </w:rPr>
        <w:lastRenderedPageBreak/>
        <w:t>Part 4</w:t>
      </w:r>
      <w:r>
        <w:rPr>
          <w:rStyle w:val="CharDivNo"/>
        </w:rPr>
        <w:t> </w:t>
      </w:r>
      <w:r>
        <w:t>—</w:t>
      </w:r>
      <w:r>
        <w:rPr>
          <w:rStyle w:val="CharDivText"/>
        </w:rPr>
        <w:t> </w:t>
      </w:r>
      <w:r>
        <w:rPr>
          <w:rStyle w:val="CharPartText"/>
        </w:rPr>
        <w:t>Period of effect</w:t>
      </w:r>
      <w:bookmarkEnd w:id="23"/>
      <w:bookmarkEnd w:id="24"/>
      <w:bookmarkEnd w:id="25"/>
      <w:bookmarkEnd w:id="26"/>
    </w:p>
    <w:p>
      <w:pPr>
        <w:pStyle w:val="Heading5"/>
      </w:pPr>
      <w:bookmarkStart w:id="27" w:name="_Toc78442841"/>
      <w:r>
        <w:rPr>
          <w:rStyle w:val="CharSectno"/>
        </w:rPr>
        <w:t>9</w:t>
      </w:r>
      <w:r>
        <w:t>.</w:t>
      </w:r>
      <w:r>
        <w:tab/>
        <w:t>Period during which these regulations have effect</w:t>
      </w:r>
      <w:bookmarkEnd w:id="27"/>
    </w:p>
    <w:p>
      <w:pPr>
        <w:pStyle w:val="Subsection"/>
      </w:pPr>
      <w:r>
        <w:tab/>
      </w:r>
      <w:r>
        <w:tab/>
        <w:t>Unless sooner repealed, these regulations have effect for the period that ends at the close of 14 September 2026.</w:t>
      </w:r>
    </w:p>
    <w:p>
      <w:pPr>
        <w:pStyle w:val="Footnotesection"/>
      </w:pPr>
      <w:r>
        <w:tab/>
        <w:t>[Regulation 9 inserted: SL 2021/142 r. 9.]</w:t>
      </w:r>
    </w:p>
    <w:p>
      <w:pPr>
        <w:pStyle w:val="Heading2"/>
      </w:pPr>
      <w:bookmarkStart w:id="28" w:name="_Toc78372083"/>
      <w:bookmarkStart w:id="29" w:name="_Toc78372118"/>
      <w:bookmarkStart w:id="30" w:name="_Toc78372537"/>
      <w:bookmarkStart w:id="31" w:name="_Toc78442842"/>
      <w:r>
        <w:rPr>
          <w:rStyle w:val="CharPartNo"/>
        </w:rPr>
        <w:lastRenderedPageBreak/>
        <w:t>Part 5</w:t>
      </w:r>
      <w:r>
        <w:rPr>
          <w:rStyle w:val="CharDivNo"/>
        </w:rPr>
        <w:t> </w:t>
      </w:r>
      <w:r>
        <w:t>—</w:t>
      </w:r>
      <w:r>
        <w:rPr>
          <w:rStyle w:val="CharDivText"/>
        </w:rPr>
        <w:t> </w:t>
      </w:r>
      <w:r>
        <w:rPr>
          <w:rStyle w:val="CharPartText"/>
          <w:i/>
        </w:rPr>
        <w:t>Liquor Control Regulations 1989</w:t>
      </w:r>
      <w:r>
        <w:rPr>
          <w:rStyle w:val="CharPartText"/>
        </w:rPr>
        <w:t xml:space="preserve"> amended</w:t>
      </w:r>
      <w:bookmarkEnd w:id="28"/>
      <w:bookmarkEnd w:id="29"/>
      <w:bookmarkEnd w:id="30"/>
      <w:bookmarkEnd w:id="31"/>
    </w:p>
    <w:p>
      <w:pPr>
        <w:pStyle w:val="Heading5"/>
      </w:pPr>
      <w:bookmarkStart w:id="32" w:name="_Toc78442843"/>
      <w:r>
        <w:rPr>
          <w:rStyle w:val="CharSectno"/>
        </w:rPr>
        <w:t>10</w:t>
      </w:r>
      <w:r>
        <w:t>.</w:t>
      </w:r>
      <w:r>
        <w:tab/>
        <w:t>Regulations amended</w:t>
      </w:r>
      <w:bookmarkEnd w:id="32"/>
    </w:p>
    <w:p>
      <w:pPr>
        <w:pStyle w:val="Subsection"/>
      </w:pPr>
      <w:r>
        <w:tab/>
      </w:r>
      <w:r>
        <w:tab/>
        <w:t xml:space="preserve">This Part amends the </w:t>
      </w:r>
      <w:r>
        <w:rPr>
          <w:i/>
        </w:rPr>
        <w:t>Liquor Control Regulations 1989</w:t>
      </w:r>
      <w:r>
        <w:t>.</w:t>
      </w:r>
    </w:p>
    <w:p>
      <w:pPr>
        <w:pStyle w:val="Heading5"/>
      </w:pPr>
      <w:bookmarkStart w:id="33" w:name="_Toc78442844"/>
      <w:r>
        <w:rPr>
          <w:rStyle w:val="CharSectno"/>
        </w:rPr>
        <w:t>11</w:t>
      </w:r>
      <w:r>
        <w:t>.</w:t>
      </w:r>
      <w:r>
        <w:tab/>
        <w:t>Regulation 27 amended</w:t>
      </w:r>
      <w:bookmarkEnd w:id="33"/>
    </w:p>
    <w:p>
      <w:pPr>
        <w:pStyle w:val="Subsection"/>
      </w:pPr>
      <w:r>
        <w:tab/>
      </w:r>
      <w:r>
        <w:tab/>
        <w:t>In regulation 27(4) in the Table insert in alphabetical order:</w:t>
      </w:r>
    </w:p>
    <w:p>
      <w:pPr>
        <w:pStyle w:val="BlankOpen"/>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528"/>
      </w:tblGrid>
      <w:tr>
        <w:trPr>
          <w:tblHeader/>
        </w:trPr>
        <w:tc>
          <w:tcPr>
            <w:tcW w:w="5528" w:type="dxa"/>
          </w:tcPr>
          <w:p>
            <w:pPr>
              <w:pStyle w:val="zTableNAm"/>
              <w:rPr>
                <w:bCs/>
              </w:rPr>
            </w:pPr>
            <w:r>
              <w:rPr>
                <w:bCs/>
                <w:i/>
              </w:rPr>
              <w:t>Liquor Control (Ngurrawaana Restricted Area) Regulations 2018</w:t>
            </w:r>
            <w:r>
              <w:rPr>
                <w:bCs/>
              </w:rPr>
              <w:t xml:space="preserve"> regulation 7(1)</w:t>
            </w:r>
          </w:p>
        </w:tc>
      </w:tr>
    </w:tbl>
    <w:p>
      <w:pPr>
        <w:pStyle w:val="BlankClose"/>
      </w:pP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2"/>
          <w:headerReference w:type="default" r:id="rId23"/>
          <w:endnotePr>
            <w:numFmt w:val="decimal"/>
          </w:endnotePr>
          <w:pgSz w:w="11907" w:h="16840" w:code="9"/>
          <w:pgMar w:top="2381" w:right="2410" w:bottom="3544" w:left="2410" w:header="720" w:footer="3544" w:gutter="0"/>
          <w:pgNumType w:start="1"/>
          <w:cols w:space="720"/>
          <w:noEndnote/>
          <w:titlePg/>
        </w:sectPr>
      </w:pPr>
      <w:bookmarkStart w:id="34" w:name="_Toc78372540"/>
      <w:bookmarkStart w:id="35" w:name="_Toc78372088"/>
      <w:bookmarkStart w:id="36" w:name="_Toc78372123"/>
    </w:p>
    <w:p>
      <w:pPr>
        <w:pStyle w:val="nHeading2"/>
      </w:pPr>
      <w:bookmarkStart w:id="37" w:name="_Toc78442845"/>
      <w:r>
        <w:lastRenderedPageBreak/>
        <w:t>Notes</w:t>
      </w:r>
      <w:bookmarkEnd w:id="34"/>
      <w:bookmarkEnd w:id="37"/>
    </w:p>
    <w:p>
      <w:pPr>
        <w:pStyle w:val="nStatement"/>
      </w:pPr>
      <w:r>
        <w:t xml:space="preserve">This is a compilation of the </w:t>
      </w:r>
      <w:r>
        <w:rPr>
          <w:i/>
          <w:noProof/>
        </w:rPr>
        <w:t>Liquor Control (Ngurrawaana Restricted Area) Regulations 2018</w:t>
      </w:r>
      <w:r>
        <w:t xml:space="preserve"> and includes amendments made by other written laws. For provisions that have come into operation see the compilation table.</w:t>
      </w:r>
    </w:p>
    <w:p>
      <w:pPr>
        <w:pStyle w:val="nHeading3"/>
      </w:pPr>
      <w:bookmarkStart w:id="38" w:name="_Toc78442846"/>
      <w:r>
        <w:t>Compilation table</w:t>
      </w:r>
      <w:bookmarkEnd w:id="38"/>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pPr>
            <w:r>
              <w:rPr>
                <w:i/>
                <w:noProof/>
              </w:rPr>
              <w:t>Liquor Control (Ngurrawaana Restricted Area) Regulations 2018</w:t>
            </w:r>
            <w:r>
              <w:rPr>
                <w:noProof/>
                <w:vertAlign w:val="superscript"/>
              </w:rPr>
              <w:t> 1</w:t>
            </w:r>
          </w:p>
        </w:tc>
        <w:tc>
          <w:tcPr>
            <w:tcW w:w="1276" w:type="dxa"/>
            <w:tcBorders>
              <w:bottom w:val="nil"/>
            </w:tcBorders>
          </w:tcPr>
          <w:p>
            <w:pPr>
              <w:pStyle w:val="nTable"/>
              <w:spacing w:after="40"/>
            </w:pPr>
            <w:r>
              <w:t>14 Sep 2018 p. 3317</w:t>
            </w:r>
            <w:r>
              <w:noBreakHyphen/>
              <w:t>19</w:t>
            </w:r>
          </w:p>
        </w:tc>
        <w:tc>
          <w:tcPr>
            <w:tcW w:w="2693" w:type="dxa"/>
            <w:tcBorders>
              <w:bottom w:val="nil"/>
            </w:tcBorders>
          </w:tcPr>
          <w:p>
            <w:pPr>
              <w:pStyle w:val="nTable"/>
              <w:spacing w:after="40"/>
            </w:pPr>
            <w:r>
              <w:t>Pt. 1: 14 Sep 2018 (see r. 2(a));</w:t>
            </w:r>
            <w:r>
              <w:br/>
              <w:t>Regulations other than Pt. 1: 15 Sep 2018 (see r. 2(b))</w:t>
            </w:r>
          </w:p>
        </w:tc>
      </w:tr>
      <w:tr>
        <w:tc>
          <w:tcPr>
            <w:tcW w:w="3118" w:type="dxa"/>
            <w:tcBorders>
              <w:top w:val="nil"/>
              <w:bottom w:val="single" w:sz="4" w:space="0" w:color="auto"/>
            </w:tcBorders>
          </w:tcPr>
          <w:p>
            <w:pPr>
              <w:pStyle w:val="nTable"/>
              <w:spacing w:after="40"/>
              <w:rPr>
                <w:noProof/>
              </w:rPr>
            </w:pPr>
            <w:r>
              <w:rPr>
                <w:i/>
              </w:rPr>
              <w:t>Racing and Gaming Regulations Amendment (Liquor Control) Regulations (No. 2) 2021</w:t>
            </w:r>
            <w:r>
              <w:t xml:space="preserve"> Pt. 3</w:t>
            </w:r>
          </w:p>
        </w:tc>
        <w:tc>
          <w:tcPr>
            <w:tcW w:w="1276" w:type="dxa"/>
            <w:tcBorders>
              <w:top w:val="nil"/>
              <w:bottom w:val="single" w:sz="4" w:space="0" w:color="auto"/>
            </w:tcBorders>
          </w:tcPr>
          <w:p>
            <w:pPr>
              <w:pStyle w:val="nTable"/>
              <w:spacing w:after="40"/>
            </w:pPr>
            <w:r>
              <w:t>SL 2021/142 30 Jul 2021</w:t>
            </w:r>
          </w:p>
        </w:tc>
        <w:tc>
          <w:tcPr>
            <w:tcW w:w="2693" w:type="dxa"/>
            <w:tcBorders>
              <w:top w:val="nil"/>
              <w:bottom w:val="single" w:sz="4" w:space="0" w:color="auto"/>
            </w:tcBorders>
          </w:tcPr>
          <w:p>
            <w:pPr>
              <w:pStyle w:val="nTable"/>
              <w:spacing w:after="40"/>
            </w:pPr>
            <w:r>
              <w:t>31 Jul 2021 (see r. 2(b))</w:t>
            </w:r>
          </w:p>
        </w:tc>
      </w:tr>
    </w:tbl>
    <w:p>
      <w:pPr>
        <w:pStyle w:val="nHeading3"/>
      </w:pPr>
      <w:bookmarkStart w:id="39" w:name="_Toc78442847"/>
      <w:r>
        <w:t>Other notes</w:t>
      </w:r>
      <w:bookmarkEnd w:id="39"/>
    </w:p>
    <w:p>
      <w:pPr>
        <w:pStyle w:val="nNote"/>
      </w:pPr>
      <w:r>
        <w:rPr>
          <w:vertAlign w:val="superscript"/>
        </w:rPr>
        <w:t>1</w:t>
      </w:r>
      <w:r>
        <w:tab/>
        <w:t>These regulations expire at the close of 14 September 2026 (see r. 9).</w:t>
      </w:r>
    </w:p>
    <w:bookmarkEnd w:id="35"/>
    <w:bookmarkEnd w:id="36"/>
    <w:p>
      <w:pPr>
        <w:sectPr>
          <w:headerReference w:type="even" r:id="rId24"/>
          <w:headerReference w:type="default" r:id="rId25"/>
          <w:pgSz w:w="11907" w:h="16840" w:code="9"/>
          <w:pgMar w:top="2376" w:right="2404" w:bottom="3544" w:left="2404" w:header="720" w:footer="3380" w:gutter="0"/>
          <w:cols w:space="720"/>
          <w:noEndnote/>
          <w:docGrid w:linePitch="326"/>
        </w:sectPr>
      </w:pPr>
    </w:p>
    <w:p>
      <w:pPr>
        <w:pStyle w:val="nHeading2"/>
        <w:rPr>
          <w:sz w:val="28"/>
        </w:rPr>
      </w:pPr>
      <w:bookmarkStart w:id="41" w:name="_Toc78442848"/>
      <w:r>
        <w:rPr>
          <w:sz w:val="28"/>
        </w:rPr>
        <w:lastRenderedPageBreak/>
        <w:t>Defined terms</w:t>
      </w:r>
      <w:bookmarkEnd w:id="4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Ngurrawaana Community</w:t>
      </w:r>
      <w:r>
        <w:tab/>
        <w:t>3</w:t>
      </w:r>
    </w:p>
    <w:p/>
    <w:p>
      <w:pPr>
        <w:sectPr>
          <w:headerReference w:type="even" r:id="rId26"/>
          <w:headerReference w:type="defaul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31 Jul 2021</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31 Jul 2021</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Liquor Control (Ngurrawaana Restricted Area) Regulations 2018</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40" w:name="Compilation"/>
    <w:bookmarkEnd w:id="40"/>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Liquor Control (Ngurrawaana Restricted Area) Regulations 2018</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Liquor Control (Ngurrawaana Restricted Area) Regulations 2018</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2" w:name="DefinedTerms"/>
    <w:bookmarkEnd w:id="42"/>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3" w:name="Coversheet"/>
    <w:bookmarkEnd w:id="4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Liquor Control (Ngurrawaana Restricted Area) Regulations 2018</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Liquor Control (Ngurrawaana Restricted Area) Regulations 2018</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Liquor Control (Ngurrawaana Restricted Area) Regulations 2018</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spacing w:before="40"/>
            <w:jc w:val="right"/>
          </w:pPr>
          <w:r>
            <w:rPr>
              <w:b/>
              <w:i/>
            </w:rPr>
            <w:fldChar w:fldCharType="begin"/>
          </w:r>
          <w:r>
            <w:rPr>
              <w:b/>
              <w:i/>
            </w:rPr>
            <w:instrText xml:space="preserve"> STYLEREF "Name of Act/Reg" </w:instrText>
          </w:r>
          <w:r>
            <w:rPr>
              <w:b/>
              <w:i/>
            </w:rPr>
            <w:fldChar w:fldCharType="separate"/>
          </w:r>
          <w:r>
            <w:rPr>
              <w:b/>
              <w:i/>
            </w:rPr>
            <w:t>Liquor Control (Ngurrawaana Restricted Area) Regulations 2018</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jc w:val="right"/>
          </w:pPr>
          <w:r>
            <w:rPr>
              <w:b/>
            </w:rPr>
            <w:fldChar w:fldCharType="begin"/>
          </w:r>
          <w:r>
            <w:rPr>
              <w:b/>
            </w:rPr>
            <w:instrText>STYLEREF CharPartNo</w:instrText>
          </w:r>
          <w:r>
            <w:rPr>
              <w:b/>
            </w:rPr>
            <w:fldChar w:fldCharType="end"/>
          </w:r>
        </w:p>
      </w:tc>
    </w:tr>
    <w:tr>
      <w:trPr>
        <w:jc w:val="center"/>
      </w:trPr>
      <w:tc>
        <w:tcPr>
          <w:tcW w:w="5715" w:type="dxa"/>
          <w:vAlign w:val="bottom"/>
        </w:tcPr>
        <w:p>
          <w:pPr>
            <w:pStyle w:val="Header"/>
            <w:jc w:val="right"/>
          </w:pPr>
          <w:r>
            <w:rPr>
              <w:b/>
            </w:rPr>
            <w:fldChar w:fldCharType="begin"/>
          </w:r>
          <w:r>
            <w:rPr>
              <w:b/>
            </w:rPr>
            <w:instrText xml:space="preserve"> styleref CharDivText </w:instrText>
          </w:r>
          <w:r>
            <w:rPr>
              <w:b/>
            </w:rPr>
            <w:fldChar w:fldCharType="end"/>
          </w:r>
        </w:p>
      </w:tc>
      <w:tc>
        <w:tcPr>
          <w:tcW w:w="1548" w:type="dxa"/>
        </w:tcPr>
        <w:p>
          <w:pPr>
            <w:pStyle w:val="Header"/>
            <w:spacing w:before="40"/>
            <w:jc w:val="right"/>
          </w:pPr>
          <w:r>
            <w:rPr>
              <w:b/>
            </w:rPr>
            <w:fldChar w:fldCharType="begin"/>
          </w:r>
          <w:r>
            <w:rPr>
              <w:b/>
            </w:rPr>
            <w:instrText>STYLEREF CharDivNo</w:instrText>
          </w:r>
          <w:r>
            <w:rPr>
              <w:b/>
            </w:rPr>
            <w:fldChar w:fldCharType="end"/>
          </w:r>
        </w:p>
      </w:tc>
    </w:tr>
    <w:tr>
      <w:trPr>
        <w:cantSplit/>
        <w:jc w:val="center"/>
      </w:trPr>
      <w:tc>
        <w:tcPr>
          <w:tcW w:w="7263" w:type="dxa"/>
          <w:gridSpan w:val="2"/>
        </w:tcPr>
        <w:p>
          <w:pPr>
            <w:pStyle w:val="Header"/>
            <w:spacing w:before="40"/>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Liquor Control (Ngurrawaana Restricted Area) Regulations 2018</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3"/>
  </w:num>
  <w:num w:numId="3">
    <w:abstractNumId w:val="14"/>
  </w:num>
  <w:num w:numId="4">
    <w:abstractNumId w:val="21"/>
  </w:num>
  <w:num w:numId="5">
    <w:abstractNumId w:val="12"/>
  </w:num>
  <w:num w:numId="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728123156"/>
    <w:docVar w:name="WAFER_20150206084300" w:val="ResetPageSize"/>
    <w:docVar w:name="WAFER_20150206084300_GUID" w:val="de2fbc3d-acf0-43f4-a0fa-d2631ba8b5df"/>
    <w:docVar w:name="WAFER_20151016170500" w:val="UpdateStyles"/>
    <w:docVar w:name="WAFER_20151016170500_GUID" w:val="b265764f-9cc9-4051-b597-28966bcc0033"/>
    <w:docVar w:name="WAFER_20151016171156" w:val="UsedStyles"/>
    <w:docVar w:name="WAFER_20151016171156_GUID" w:val="65b8bf31-20ff-4e33-a7f5-3e8a982d38e1"/>
    <w:docVar w:name="WAFER_20151016171216" w:val="UpdateStyles"/>
    <w:docVar w:name="WAFER_20151016171216_GUID" w:val="6c2db7ef-daac-4b3e-9dc6-438f5d0ef0de"/>
    <w:docVar w:name="WAFER_20151019113755" w:val="UpdateStyles,UsedStyles"/>
    <w:docVar w:name="WAFER_20151019113755_GUID" w:val="94d94bff-48d8-4137-a72c-5fd727eea17c"/>
    <w:docVar w:name="WAFER_20151102150240" w:val="UpdateStyles,UsedStyles"/>
    <w:docVar w:name="WAFER_20151102150240_GUID" w:val="2391df09-cb41-4aa3-adeb-85763481adf4"/>
    <w:docVar w:name="WAFER_20180828145730" w:val="RemoveTocBookmarks,RemoveUnusedBookmarks,RemoveLanguageTags,UsedStyles,ResetPageSize"/>
    <w:docVar w:name="WAFER_20180828145730_GUID" w:val="435d7983-c164-4ec9-9d64-e7c5129bf050"/>
    <w:docVar w:name="WAFER_20180828153052" w:val="RemoveTocBookmarks,RunningHeaders"/>
    <w:docVar w:name="WAFER_20180828153052_GUID" w:val="6c752f82-56d8-4ef8-8295-6babf621acaf"/>
    <w:docVar w:name="WAFER_20180829110007" w:val="RemoveTocBookmarks,RemoveUnusedBookmarks,RemoveLanguageTags,UpdateStyles,UsedStyles,ResetPageSize"/>
    <w:docVar w:name="WAFER_20180829110007_GUID" w:val="b305be2a-3a70-4727-b8e5-4ec64b0cb170"/>
    <w:docVar w:name="WAFER_2021072812315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0728123156_GUID" w:val="d83368b7-a83f-4f72-b11b-8ee678ea5cc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B23863A-9409-4655-82B4-DF07F08E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389D-AAD3-4E67-948B-E5445F12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4417</Characters>
  <Application>Microsoft Office Word</Application>
  <DocSecurity>0</DocSecurity>
  <Lines>157</Lines>
  <Paragraphs>119</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(Ngurrawaana Restricted Area) Regulations 2018 - 00-b0-00</dc:title>
  <dc:subject/>
  <dc:creator/>
  <cp:keywords/>
  <dc:description/>
  <cp:lastModifiedBy>Master Repository Process</cp:lastModifiedBy>
  <cp:revision>4</cp:revision>
  <cp:lastPrinted>2018-09-14T07:49:00Z</cp:lastPrinted>
  <dcterms:created xsi:type="dcterms:W3CDTF">2021-07-29T06:15:00Z</dcterms:created>
  <dcterms:modified xsi:type="dcterms:W3CDTF">2021-07-29T06:15:00Z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Reg</vt:lpwstr>
  </property>
  <property fmtid="{D5CDD505-2E9C-101B-9397-08002B2CF9AE}" pid="3" name="AsAtDate">
    <vt:lpwstr>31 Jul 2021</vt:lpwstr>
  </property>
  <property fmtid="{D5CDD505-2E9C-101B-9397-08002B2CF9AE}" pid="4" name="Suffix">
    <vt:lpwstr>00-b0-00</vt:lpwstr>
  </property>
  <property fmtid="{D5CDD505-2E9C-101B-9397-08002B2CF9AE}" pid="5" name="CommencementDate">
    <vt:lpwstr>20210731</vt:lpwstr>
  </property>
</Properties>
</file>