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_Toc78456907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_Toc78456908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_Toc78456909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_Toc78456911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_Toc78456912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_Toc78456913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_Toc78456914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_Toc78456916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_Toc78456917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_Toc78456918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_Toc78456919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_Toc78456920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_Toc78456921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_Toc78456922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_Toc78456923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_Toc78456924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_Toc78456925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_Toc78456926 \h </w:instrText>
      </w:r>
      <w:r>
        <w:fldChar w:fldCharType="separate"/>
      </w:r>
      <w:r>
        <w:t>15</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_Toc78456927 \h </w:instrText>
      </w:r>
      <w:r>
        <w:fldChar w:fldCharType="separate"/>
      </w:r>
      <w:r>
        <w:t>16</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_Toc78456928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_Toc78456930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_Toc78456931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_Toc78456933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_Toc78456934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_Toc78456935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_Toc78456936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_Toc78456945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_Toc78456946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_Toc78456947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78366657"/>
      <w:bookmarkStart w:id="4" w:name="_Toc78366917"/>
      <w:bookmarkStart w:id="5" w:name="_Toc7845690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456907"/>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784569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78456909"/>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78366661"/>
      <w:bookmarkStart w:id="11" w:name="_Toc78366921"/>
      <w:bookmarkStart w:id="12" w:name="_Toc78456910"/>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78456911"/>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78456912"/>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78456913"/>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78456914"/>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78366666"/>
      <w:bookmarkStart w:id="18" w:name="_Toc78366926"/>
      <w:bookmarkStart w:id="19" w:name="_Toc78456915"/>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78456916"/>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78456917"/>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78456918"/>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78456919"/>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78456920"/>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78456921"/>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78456922"/>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78456923"/>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yTableNAmBold11pt"/>
            </w:pPr>
            <w:r>
              <w:t>758.00</w:t>
            </w:r>
          </w:p>
        </w:tc>
        <w:tc>
          <w:tcPr>
            <w:tcW w:w="1307" w:type="dxa"/>
            <w:tcBorders>
              <w:bottom w:val="nil"/>
            </w:tcBorders>
            <w:noWrap/>
            <w:vAlign w:val="bottom"/>
          </w:tcPr>
          <w:p>
            <w:pPr>
              <w:pStyle w:val="yTableNAmBold11pt"/>
              <w:ind w:right="205"/>
            </w:pPr>
            <w:r>
              <w:t>1 382.00</w:t>
            </w:r>
          </w:p>
        </w:tc>
        <w:tc>
          <w:tcPr>
            <w:tcW w:w="1242" w:type="dxa"/>
            <w:tcBorders>
              <w:bottom w:val="nil"/>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yTableNAmBold11pt"/>
            </w:pPr>
            <w:r>
              <w:t>693.00</w:t>
            </w:r>
          </w:p>
        </w:tc>
        <w:tc>
          <w:tcPr>
            <w:tcW w:w="1307" w:type="dxa"/>
            <w:tcBorders>
              <w:top w:val="single" w:sz="4" w:space="0" w:color="auto"/>
              <w:bottom w:val="single" w:sz="4" w:space="0" w:color="auto"/>
            </w:tcBorders>
            <w:noWrap/>
            <w:vAlign w:val="bottom"/>
          </w:tcPr>
          <w:p>
            <w:pPr>
              <w:pStyle w:val="yTableNAmBold11pt"/>
              <w:ind w:right="205"/>
            </w:pPr>
            <w:r>
              <w:t>897.00</w:t>
            </w:r>
          </w:p>
        </w:tc>
        <w:tc>
          <w:tcPr>
            <w:tcW w:w="1242" w:type="dxa"/>
            <w:tcBorders>
              <w:top w:val="single" w:sz="4" w:space="0" w:color="auto"/>
              <w:bottom w:val="single" w:sz="4" w:space="0" w:color="auto"/>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yTableNAmBold11pt"/>
              <w:ind w:left="-84" w:right="0"/>
              <w:jc w:val="center"/>
            </w:pPr>
            <w:r>
              <w:t>274.00 plus assessment fee of 2.50% of the costs claimed in the application</w:t>
            </w:r>
          </w:p>
        </w:tc>
        <w:tc>
          <w:tcPr>
            <w:tcW w:w="1307" w:type="dxa"/>
            <w:tcBorders>
              <w:top w:val="single" w:sz="4" w:space="0" w:color="auto"/>
              <w:bottom w:val="single" w:sz="4" w:space="0" w:color="auto"/>
            </w:tcBorders>
            <w:noWrap/>
          </w:tcPr>
          <w:p>
            <w:pPr>
              <w:pStyle w:val="yTableNAmBold11pt"/>
              <w:ind w:left="-116" w:right="-78"/>
              <w:jc w:val="center"/>
            </w:pPr>
            <w:r>
              <w:t>411.00 plus assessment fee of 2.50% of the costs claimed in the application</w:t>
            </w:r>
          </w:p>
        </w:tc>
        <w:tc>
          <w:tcPr>
            <w:tcW w:w="1242" w:type="dxa"/>
            <w:tcBorders>
              <w:top w:val="single" w:sz="4" w:space="0" w:color="auto"/>
              <w:bottom w:val="single" w:sz="4" w:space="0" w:color="auto"/>
            </w:tcBorders>
            <w:noWrap/>
          </w:tcPr>
          <w:p>
            <w:pPr>
              <w:pStyle w:val="yTableNAmBold11pt"/>
              <w:ind w:right="184"/>
            </w:pPr>
            <w: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yTableNAmBold11pt"/>
            </w:pPr>
            <w:r>
              <w:t>139.00</w:t>
            </w:r>
          </w:p>
        </w:tc>
        <w:tc>
          <w:tcPr>
            <w:tcW w:w="1417" w:type="dxa"/>
            <w:tcBorders>
              <w:bottom w:val="nil"/>
            </w:tcBorders>
            <w:vAlign w:val="bottom"/>
          </w:tcPr>
          <w:p>
            <w:pPr>
              <w:pStyle w:val="yTableNAmBold11pt"/>
            </w:pPr>
            <w:r>
              <w:t>139.00</w:t>
            </w:r>
          </w:p>
        </w:tc>
        <w:tc>
          <w:tcPr>
            <w:tcW w:w="1276" w:type="dxa"/>
            <w:tcBorders>
              <w:bottom w:val="nil"/>
            </w:tcBorders>
            <w:vAlign w:val="bottom"/>
          </w:tcPr>
          <w:p>
            <w:pPr>
              <w:pStyle w:val="yTableNAmBold11pt"/>
            </w:pPr>
            <w:r>
              <w:t>41.70</w:t>
            </w:r>
          </w:p>
        </w:tc>
      </w:tr>
      <w:tr>
        <w:trPr>
          <w:cantSplit/>
        </w:trPr>
        <w:tc>
          <w:tcPr>
            <w:tcW w:w="767" w:type="dxa"/>
            <w:tcBorders>
              <w:top w:val="single" w:sz="4" w:space="0" w:color="auto"/>
              <w:bottom w:val="single" w:sz="4" w:space="0" w:color="auto"/>
            </w:tcBorders>
          </w:tcPr>
          <w:p>
            <w:pPr>
              <w:pStyle w:val="TableNAm"/>
              <w:rPr>
                <w:sz w:val="22"/>
              </w:rPr>
            </w:pPr>
            <w:r>
              <w:rPr>
                <w:sz w:val="22"/>
              </w:rPr>
              <w:lastRenderedPageBreak/>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yTableNAmBold11pt"/>
            </w:pPr>
            <w:r>
              <w:t>275.00</w:t>
            </w:r>
          </w:p>
        </w:tc>
        <w:tc>
          <w:tcPr>
            <w:tcW w:w="1417" w:type="dxa"/>
            <w:tcBorders>
              <w:top w:val="single" w:sz="4" w:space="0" w:color="auto"/>
              <w:bottom w:val="single" w:sz="4" w:space="0" w:color="auto"/>
            </w:tcBorders>
            <w:vAlign w:val="bottom"/>
          </w:tcPr>
          <w:p>
            <w:pPr>
              <w:pStyle w:val="yTableNAmBold11pt"/>
            </w:pPr>
            <w:r>
              <w:t>275.00</w:t>
            </w:r>
          </w:p>
        </w:tc>
        <w:tc>
          <w:tcPr>
            <w:tcW w:w="1276" w:type="dxa"/>
            <w:tcBorders>
              <w:top w:val="single" w:sz="4" w:space="0" w:color="auto"/>
              <w:bottom w:val="single" w:sz="4" w:space="0" w:color="auto"/>
            </w:tcBorders>
            <w:vAlign w:val="bottom"/>
          </w:tcPr>
          <w:p>
            <w:pPr>
              <w:pStyle w:val="yTableNAmBold11pt"/>
            </w:pPr>
            <w: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yTableNAmBold11pt"/>
              <w:ind w:left="-84" w:right="0"/>
              <w:jc w:val="center"/>
            </w:pPr>
            <w:r>
              <w:t>134.50 plus assessment fee of 2.50% of the costs claimed in the application</w:t>
            </w:r>
          </w:p>
        </w:tc>
        <w:tc>
          <w:tcPr>
            <w:tcW w:w="1417" w:type="dxa"/>
            <w:tcBorders>
              <w:top w:val="single" w:sz="4" w:space="0" w:color="auto"/>
              <w:bottom w:val="single" w:sz="4" w:space="0" w:color="auto"/>
            </w:tcBorders>
          </w:tcPr>
          <w:p>
            <w:pPr>
              <w:pStyle w:val="yTableNAmBold11pt"/>
              <w:ind w:left="-84" w:right="0"/>
              <w:jc w:val="center"/>
            </w:pPr>
            <w:r>
              <w:t>199.50 plus assessment fee of 2.50% of the costs claimed in the application</w:t>
            </w:r>
          </w:p>
        </w:tc>
        <w:tc>
          <w:tcPr>
            <w:tcW w:w="1276" w:type="dxa"/>
            <w:tcBorders>
              <w:top w:val="single" w:sz="4" w:space="0" w:color="auto"/>
              <w:bottom w:val="single" w:sz="4" w:space="0" w:color="auto"/>
            </w:tcBorders>
          </w:tcPr>
          <w:p>
            <w:pPr>
              <w:pStyle w:val="yTableNAmBold11pt"/>
            </w:pPr>
            <w: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pPr>
      <w:bookmarkStart w:id="28" w:name="_Toc78456924"/>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lastRenderedPageBreak/>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758.00</w:t>
            </w:r>
          </w:p>
        </w:tc>
        <w:tc>
          <w:tcPr>
            <w:tcW w:w="1451" w:type="dxa"/>
            <w:tcBorders>
              <w:bottom w:val="nil"/>
            </w:tcBorders>
            <w:noWrap/>
            <w:vAlign w:val="bottom"/>
          </w:tcPr>
          <w:p>
            <w:pPr>
              <w:pStyle w:val="yTableNAmBold11pt"/>
            </w:pPr>
            <w:r>
              <w:t>758.00</w:t>
            </w:r>
          </w:p>
        </w:tc>
        <w:tc>
          <w:tcPr>
            <w:tcW w:w="1242" w:type="dxa"/>
            <w:tcBorders>
              <w:bottom w:val="nil"/>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lastRenderedPageBreak/>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693.00</w:t>
            </w:r>
          </w:p>
        </w:tc>
        <w:tc>
          <w:tcPr>
            <w:tcW w:w="1451" w:type="dxa"/>
            <w:tcBorders>
              <w:top w:val="single" w:sz="4" w:space="0" w:color="auto"/>
              <w:bottom w:val="single" w:sz="4" w:space="0" w:color="auto"/>
            </w:tcBorders>
            <w:noWrap/>
            <w:vAlign w:val="bottom"/>
          </w:tcPr>
          <w:p>
            <w:pPr>
              <w:pStyle w:val="yTableNAmBold11pt"/>
            </w:pPr>
            <w:r>
              <w:t>693.00</w:t>
            </w:r>
          </w:p>
        </w:tc>
        <w:tc>
          <w:tcPr>
            <w:tcW w:w="1242" w:type="dxa"/>
            <w:tcBorders>
              <w:top w:val="single" w:sz="4" w:space="0" w:color="auto"/>
              <w:bottom w:val="single" w:sz="4" w:space="0" w:color="auto"/>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102" w:right="0"/>
              <w:jc w:val="center"/>
            </w:pPr>
            <w:r>
              <w:t>274.00 plus assessment fee of 2.50% of the costs claimed in the application</w:t>
            </w:r>
          </w:p>
        </w:tc>
        <w:tc>
          <w:tcPr>
            <w:tcW w:w="1451" w:type="dxa"/>
            <w:tcBorders>
              <w:top w:val="single" w:sz="4" w:space="0" w:color="auto"/>
              <w:bottom w:val="single" w:sz="4" w:space="0" w:color="auto"/>
            </w:tcBorders>
            <w:noWrap/>
          </w:tcPr>
          <w:p>
            <w:pPr>
              <w:pStyle w:val="yTableNAmBold11pt"/>
              <w:ind w:left="-111" w:right="0"/>
              <w:jc w:val="center"/>
            </w:pPr>
            <w:r>
              <w:t>274.00 plus assessment fee of 2.50% of the costs claimed in the application</w:t>
            </w:r>
          </w:p>
        </w:tc>
        <w:tc>
          <w:tcPr>
            <w:tcW w:w="1242" w:type="dxa"/>
            <w:tcBorders>
              <w:top w:val="single" w:sz="4" w:space="0" w:color="auto"/>
              <w:bottom w:val="single" w:sz="4" w:space="0" w:color="auto"/>
            </w:tcBorders>
            <w:noWrap/>
          </w:tcPr>
          <w:p>
            <w:pPr>
              <w:pStyle w:val="yTableNAmBold11pt"/>
            </w:pPr>
            <w: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1 382.00</w:t>
            </w:r>
          </w:p>
        </w:tc>
        <w:tc>
          <w:tcPr>
            <w:tcW w:w="1429" w:type="dxa"/>
            <w:tcBorders>
              <w:bottom w:val="nil"/>
            </w:tcBorders>
            <w:noWrap/>
            <w:vAlign w:val="bottom"/>
          </w:tcPr>
          <w:p>
            <w:pPr>
              <w:pStyle w:val="yTableNAmBold11pt"/>
            </w:pPr>
            <w:r>
              <w:t>1 382.00</w:t>
            </w:r>
          </w:p>
        </w:tc>
        <w:tc>
          <w:tcPr>
            <w:tcW w:w="1264" w:type="dxa"/>
            <w:tcBorders>
              <w:bottom w:val="nil"/>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897.00</w:t>
            </w:r>
          </w:p>
        </w:tc>
        <w:tc>
          <w:tcPr>
            <w:tcW w:w="1429" w:type="dxa"/>
            <w:tcBorders>
              <w:top w:val="single" w:sz="4" w:space="0" w:color="auto"/>
              <w:bottom w:val="single" w:sz="4" w:space="0" w:color="auto"/>
            </w:tcBorders>
            <w:noWrap/>
            <w:vAlign w:val="bottom"/>
          </w:tcPr>
          <w:p>
            <w:pPr>
              <w:pStyle w:val="yTableNAmBold11pt"/>
            </w:pPr>
            <w:r>
              <w:t>897.00</w:t>
            </w:r>
          </w:p>
        </w:tc>
        <w:tc>
          <w:tcPr>
            <w:tcW w:w="1264" w:type="dxa"/>
            <w:tcBorders>
              <w:top w:val="single" w:sz="4" w:space="0" w:color="auto"/>
              <w:bottom w:val="single" w:sz="4" w:space="0" w:color="auto"/>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429"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264" w:type="dxa"/>
            <w:tcBorders>
              <w:top w:val="single" w:sz="4" w:space="0" w:color="auto"/>
              <w:bottom w:val="single" w:sz="4" w:space="0" w:color="auto"/>
            </w:tcBorders>
            <w:noWrap/>
          </w:tcPr>
          <w:p>
            <w:pPr>
              <w:pStyle w:val="yTableNAmBold11pt"/>
            </w:pPr>
            <w: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w:t>
      </w:r>
    </w:p>
    <w:p>
      <w:pPr>
        <w:pStyle w:val="Heading5"/>
        <w:keepNext w:val="0"/>
        <w:keepLines w:val="0"/>
      </w:pPr>
      <w:bookmarkStart w:id="29" w:name="_Toc78456925"/>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keepNext w:val="0"/>
        <w:keepLines w:val="0"/>
      </w:pPr>
      <w:bookmarkStart w:id="30" w:name="_Toc78456926"/>
      <w:r>
        <w:rPr>
          <w:rStyle w:val="CharSectno"/>
        </w:rPr>
        <w:t>11B</w:t>
      </w:r>
      <w:r>
        <w:t>.</w:t>
      </w:r>
      <w:r>
        <w:tab/>
        <w:t>Fees relating to application not covered by r. 9, 10 or 11A</w:t>
      </w:r>
      <w:bookmarkEnd w:id="3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lastRenderedPageBreak/>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78456927"/>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lastRenderedPageBreak/>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78456928"/>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78366680"/>
      <w:bookmarkStart w:id="34" w:name="_Toc78366940"/>
      <w:bookmarkStart w:id="35" w:name="_Toc7845692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78456930"/>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78456931"/>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78366683"/>
      <w:bookmarkStart w:id="39" w:name="_Toc78366943"/>
      <w:bookmarkStart w:id="40" w:name="_Toc78456932"/>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78456933"/>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78456934"/>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78456935"/>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78456936"/>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78366688"/>
      <w:bookmarkStart w:id="46" w:name="_Toc78366948"/>
      <w:bookmarkStart w:id="47" w:name="_Toc7845693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78366689"/>
      <w:bookmarkStart w:id="50" w:name="_Toc78366949"/>
      <w:bookmarkStart w:id="51" w:name="_Toc78456938"/>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78366690"/>
      <w:bookmarkStart w:id="53" w:name="_Toc78366950"/>
      <w:bookmarkStart w:id="54" w:name="_Toc78456939"/>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bookmarkStart w:id="55" w:name="_Hlk78365110"/>
      <w:r>
        <w:rPr>
          <w:i/>
        </w:rPr>
        <w:t>Community Titles Act 2018</w:t>
      </w:r>
      <w:r>
        <w:t xml:space="preserve"> s. 150(1) or 152(1)</w:t>
      </w:r>
    </w:p>
    <w:bookmarkEnd w:id="55"/>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6" w:name="_Toc78366691"/>
      <w:bookmarkStart w:id="57" w:name="_Toc78366951"/>
      <w:bookmarkStart w:id="58" w:name="_Toc78456940"/>
      <w:r>
        <w:rPr>
          <w:rStyle w:val="CharSchNo"/>
        </w:rPr>
        <w:lastRenderedPageBreak/>
        <w:t>Schedule 4</w:t>
      </w:r>
      <w:r>
        <w:t> — </w:t>
      </w:r>
      <w:r>
        <w:rPr>
          <w:rStyle w:val="CharSchText"/>
        </w:rPr>
        <w:t>Provision under which application made</w:t>
      </w:r>
      <w:bookmarkEnd w:id="56"/>
      <w:bookmarkEnd w:id="57"/>
      <w:bookmarkEnd w:id="5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bookmarkStart w:id="59" w:name="_Hlk78365745"/>
      <w:r>
        <w:rPr>
          <w:i/>
        </w:rPr>
        <w:t xml:space="preserve">Community Titles Act 2018 </w:t>
      </w:r>
      <w:r>
        <w:t xml:space="preserve">s. 34(1)(a) or (b) or (6) </w:t>
      </w:r>
    </w:p>
    <w:bookmarkEnd w:id="59"/>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60" w:name="_Toc78366692"/>
      <w:bookmarkStart w:id="61" w:name="_Toc78366952"/>
      <w:bookmarkStart w:id="62" w:name="_Toc78456941"/>
      <w:r>
        <w:rPr>
          <w:rStyle w:val="CharSchNo"/>
        </w:rPr>
        <w:lastRenderedPageBreak/>
        <w:t>Schedule 6</w:t>
      </w:r>
      <w:r>
        <w:t> — </w:t>
      </w:r>
      <w:r>
        <w:rPr>
          <w:rStyle w:val="CharSchText"/>
        </w:rPr>
        <w:t>Provision under which application made</w:t>
      </w:r>
      <w:bookmarkEnd w:id="60"/>
      <w:bookmarkEnd w:id="61"/>
      <w:bookmarkEnd w:id="62"/>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bookmarkStart w:id="63" w:name="_Hlk78365779"/>
      <w:r>
        <w:rPr>
          <w:i/>
          <w:iCs/>
        </w:rPr>
        <w:t>Community Titles Act 2018</w:t>
      </w:r>
      <w:r>
        <w:rPr>
          <w:iCs/>
        </w:rPr>
        <w:t xml:space="preserve"> s. 40(2), 42(2), 48(1)(b) or (3)(a), (b), (c) or (d), 74(1), 83(3), 102(6), 141(2)(c), 145(2)(b), 162(4), 163(1) or 172(1)</w:t>
      </w:r>
    </w:p>
    <w:bookmarkEnd w:id="63"/>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w:t>
      </w:r>
    </w:p>
    <w:p>
      <w:pPr>
        <w:pStyle w:val="yScheduleHeading"/>
      </w:pPr>
      <w:bookmarkStart w:id="64" w:name="_Toc78366693"/>
      <w:bookmarkStart w:id="65" w:name="_Toc78366953"/>
      <w:bookmarkStart w:id="66" w:name="_Toc78456942"/>
      <w:r>
        <w:rPr>
          <w:rStyle w:val="CharSchNo"/>
        </w:rPr>
        <w:lastRenderedPageBreak/>
        <w:t>Schedule 7</w:t>
      </w:r>
      <w:r>
        <w:t> — </w:t>
      </w:r>
      <w:r>
        <w:rPr>
          <w:rStyle w:val="CharSchText"/>
        </w:rPr>
        <w:t>Enactment under which application made</w:t>
      </w:r>
      <w:bookmarkEnd w:id="64"/>
      <w:bookmarkEnd w:id="65"/>
      <w:bookmarkEnd w:id="66"/>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7" w:name="_Toc78366694"/>
      <w:bookmarkStart w:id="68" w:name="_Toc78366954"/>
      <w:bookmarkStart w:id="69" w:name="_Toc78456943"/>
      <w:r>
        <w:rPr>
          <w:rStyle w:val="CharSchNo"/>
        </w:rPr>
        <w:lastRenderedPageBreak/>
        <w:t>Schedule 20</w:t>
      </w:r>
      <w:r>
        <w:t> — </w:t>
      </w:r>
      <w:r>
        <w:rPr>
          <w:rStyle w:val="CharSchText"/>
        </w:rPr>
        <w:t>Other fees</w:t>
      </w:r>
      <w:bookmarkEnd w:id="67"/>
      <w:bookmarkEnd w:id="68"/>
      <w:bookmarkEnd w:id="69"/>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Bold11pt"/>
              <w:ind w:right="2"/>
              <w:jc w:val="center"/>
              <w:rPr>
                <w:b/>
              </w:rPr>
            </w:pPr>
            <w:r>
              <w:rPr>
                <w:b/>
              </w:rPr>
              <w:t>Item</w:t>
            </w:r>
          </w:p>
        </w:tc>
        <w:tc>
          <w:tcPr>
            <w:tcW w:w="2302" w:type="dxa"/>
            <w:tcBorders>
              <w:left w:val="nil"/>
              <w:bottom w:val="single" w:sz="4" w:space="0" w:color="auto"/>
              <w:right w:val="nil"/>
            </w:tcBorders>
            <w:noWrap/>
          </w:tcPr>
          <w:p>
            <w:pPr>
              <w:pStyle w:val="yTableNAmBold11pt"/>
              <w:ind w:right="2"/>
              <w:jc w:val="center"/>
              <w:rPr>
                <w:b/>
              </w:rPr>
            </w:pPr>
            <w:r>
              <w:rPr>
                <w:b/>
              </w:rPr>
              <w:t>Matter</w:t>
            </w:r>
          </w:p>
        </w:tc>
        <w:tc>
          <w:tcPr>
            <w:tcW w:w="1275" w:type="dxa"/>
            <w:tcBorders>
              <w:left w:val="nil"/>
              <w:bottom w:val="single" w:sz="4" w:space="0" w:color="auto"/>
              <w:right w:val="nil"/>
            </w:tcBorders>
            <w:noWrap/>
          </w:tcPr>
          <w:p>
            <w:pPr>
              <w:pStyle w:val="yTableNAmBold11pt"/>
              <w:ind w:right="2"/>
              <w:jc w:val="center"/>
              <w:rPr>
                <w:b/>
              </w:rPr>
            </w:pPr>
            <w:r>
              <w:rPr>
                <w:b/>
              </w:rPr>
              <w:t>Column A</w:t>
            </w:r>
          </w:p>
          <w:p>
            <w:pPr>
              <w:pStyle w:val="yTableNAmBold11pt"/>
              <w:ind w:right="2"/>
              <w:jc w:val="center"/>
              <w:rPr>
                <w:b/>
              </w:rPr>
            </w:pPr>
            <w:r>
              <w:t>Fee for individual or eligible entity</w:t>
            </w:r>
            <w:r>
              <w:br/>
              <w:t>$</w:t>
            </w:r>
          </w:p>
        </w:tc>
        <w:tc>
          <w:tcPr>
            <w:tcW w:w="1276" w:type="dxa"/>
            <w:tcBorders>
              <w:left w:val="nil"/>
              <w:bottom w:val="single" w:sz="4" w:space="0" w:color="auto"/>
              <w:right w:val="nil"/>
            </w:tcBorders>
            <w:noWrap/>
          </w:tcPr>
          <w:p>
            <w:pPr>
              <w:pStyle w:val="yTableNAmBold11pt"/>
              <w:ind w:right="2"/>
              <w:jc w:val="center"/>
              <w:rPr>
                <w:b/>
              </w:rPr>
            </w:pPr>
            <w:r>
              <w:rPr>
                <w:b/>
              </w:rPr>
              <w:t>Column B</w:t>
            </w:r>
          </w:p>
          <w:p>
            <w:pPr>
              <w:pStyle w:val="yTableNAmBold11pt"/>
              <w:ind w:right="2"/>
              <w:jc w:val="center"/>
              <w:rPr>
                <w:b/>
              </w:rPr>
            </w:pPr>
            <w:r>
              <w:t>Fee for entity</w:t>
            </w:r>
            <w:r>
              <w:br/>
            </w:r>
            <w:r>
              <w:br/>
            </w:r>
            <w:r>
              <w:br/>
              <w:t>$</w:t>
            </w:r>
          </w:p>
        </w:tc>
        <w:tc>
          <w:tcPr>
            <w:tcW w:w="1276" w:type="dxa"/>
            <w:tcBorders>
              <w:left w:val="nil"/>
              <w:bottom w:val="single" w:sz="4" w:space="0" w:color="auto"/>
              <w:right w:val="nil"/>
            </w:tcBorders>
            <w:noWrap/>
          </w:tcPr>
          <w:p>
            <w:pPr>
              <w:pStyle w:val="yTableNAmBold11pt"/>
              <w:ind w:right="2"/>
              <w:jc w:val="center"/>
              <w:rPr>
                <w:b/>
              </w:rPr>
            </w:pPr>
            <w:r>
              <w:rPr>
                <w:b/>
              </w:rPr>
              <w:t>Column C</w:t>
            </w:r>
          </w:p>
          <w:p>
            <w:pPr>
              <w:pStyle w:val="yTableNAmBold11pt"/>
              <w:ind w:right="2"/>
              <w:jc w:val="center"/>
              <w:rPr>
                <w:b/>
              </w:rPr>
            </w:pPr>
            <w:r>
              <w:t>Fee for eligible individual</w:t>
            </w:r>
            <w:r>
              <w:br/>
            </w:r>
            <w:r>
              <w:br/>
              <w:t>$</w:t>
            </w:r>
          </w:p>
        </w:tc>
      </w:tr>
      <w:tr>
        <w:trPr>
          <w:cantSplit/>
          <w:tblHeader/>
        </w:trPr>
        <w:tc>
          <w:tcPr>
            <w:tcW w:w="767" w:type="dxa"/>
            <w:tcBorders>
              <w:top w:val="single" w:sz="4" w:space="0" w:color="auto"/>
              <w:left w:val="nil"/>
              <w:bottom w:val="nil"/>
              <w:right w:val="nil"/>
            </w:tcBorders>
            <w:noWrap/>
          </w:tcPr>
          <w:p>
            <w:pPr>
              <w:pStyle w:val="zyTableNAmBold"/>
              <w:spacing w:before="0"/>
              <w:rPr>
                <w:sz w:val="2"/>
                <w:szCs w:val="2"/>
              </w:rPr>
            </w:pPr>
          </w:p>
        </w:tc>
        <w:tc>
          <w:tcPr>
            <w:tcW w:w="2302" w:type="dxa"/>
            <w:tcBorders>
              <w:top w:val="single" w:sz="4" w:space="0" w:color="auto"/>
              <w:left w:val="nil"/>
              <w:bottom w:val="nil"/>
              <w:right w:val="nil"/>
            </w:tcBorders>
            <w:noWrap/>
          </w:tcPr>
          <w:p>
            <w:pPr>
              <w:pStyle w:val="zyTableNAmBold"/>
              <w:spacing w:before="0"/>
              <w:rPr>
                <w:sz w:val="2"/>
                <w:szCs w:val="2"/>
              </w:rPr>
            </w:pPr>
          </w:p>
        </w:tc>
        <w:tc>
          <w:tcPr>
            <w:tcW w:w="1275"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70" w:name="_Toc78366695"/>
      <w:bookmarkStart w:id="71" w:name="_Toc78366955"/>
      <w:bookmarkStart w:id="72" w:name="_Toc78456944"/>
      <w:r>
        <w:lastRenderedPageBreak/>
        <w:t>Notes</w:t>
      </w:r>
      <w:bookmarkEnd w:id="70"/>
      <w:bookmarkEnd w:id="71"/>
      <w:bookmarkEnd w:id="72"/>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3" w:name="_Toc78456945"/>
      <w:r>
        <w:t>Compilation table</w:t>
      </w:r>
      <w:bookmarkEnd w:id="73"/>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6"/>
        <w:gridCol w:w="28"/>
        <w:gridCol w:w="1248"/>
        <w:gridCol w:w="28"/>
        <w:gridCol w:w="2780"/>
      </w:tblGrid>
      <w:tr>
        <w:trPr>
          <w:cantSplit/>
          <w:tblHeader/>
        </w:trPr>
        <w:tc>
          <w:tcPr>
            <w:tcW w:w="3146"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0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74"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8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80"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8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8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8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8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8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pPr>
            <w:r>
              <w:rPr>
                <w:i/>
                <w:iCs/>
              </w:rPr>
              <w:t>Statutes (Repeals and Minor Amendments) Act 2009</w:t>
            </w:r>
            <w:r>
              <w:t xml:space="preserve"> s. 10 assented to 3 Dec 2009</w:t>
            </w:r>
          </w:p>
        </w:tc>
        <w:tc>
          <w:tcPr>
            <w:tcW w:w="278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8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lastRenderedPageBreak/>
              <w:t>State Administrative Tribunal Amendment Regulations 2011</w:t>
            </w:r>
          </w:p>
        </w:tc>
        <w:tc>
          <w:tcPr>
            <w:tcW w:w="1276" w:type="dxa"/>
            <w:gridSpan w:val="2"/>
          </w:tcPr>
          <w:p>
            <w:pPr>
              <w:pStyle w:val="nTable"/>
              <w:spacing w:after="40"/>
            </w:pPr>
            <w:r>
              <w:t>8 Mar 2011 p. 792</w:t>
            </w:r>
            <w:r>
              <w:noBreakHyphen/>
              <w:t>5</w:t>
            </w:r>
          </w:p>
        </w:tc>
        <w:tc>
          <w:tcPr>
            <w:tcW w:w="278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8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8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8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8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8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8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8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8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lastRenderedPageBreak/>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8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8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8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8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8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8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8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8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8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8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lastRenderedPageBreak/>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8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780"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780"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780"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780"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780"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780"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80"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80" w:type="dxa"/>
            <w:shd w:val="clear" w:color="auto" w:fill="auto"/>
          </w:tcPr>
          <w:p>
            <w:pPr>
              <w:pStyle w:val="nTable"/>
              <w:keepNext/>
              <w:spacing w:after="40"/>
            </w:pPr>
            <w:r>
              <w:t>r. 1 and 2: 27 Sep 2019 (see r. 2(a));</w:t>
            </w:r>
            <w:r>
              <w:br/>
              <w:t>Regulations other than r. 1 and 2: 1 Oct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80"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780"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74" w:type="dxa"/>
            <w:gridSpan w:val="2"/>
            <w:tcBorders>
              <w:top w:val="nil"/>
              <w:bottom w:val="nil"/>
            </w:tcBorders>
            <w:shd w:val="clear" w:color="auto" w:fill="auto"/>
          </w:tcPr>
          <w:p>
            <w:pPr>
              <w:pStyle w:val="nTable"/>
              <w:spacing w:after="40"/>
              <w:rPr>
                <w:i/>
              </w:rPr>
            </w:pPr>
            <w:r>
              <w:rPr>
                <w:i/>
              </w:rPr>
              <w:lastRenderedPageBreak/>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780"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780" w:type="dxa"/>
            <w:tcBorders>
              <w:top w:val="nil"/>
              <w:bottom w:val="nil"/>
            </w:tcBorders>
            <w:shd w:val="clear" w:color="auto" w:fill="auto"/>
          </w:tcPr>
          <w:p>
            <w:pPr>
              <w:pStyle w:val="nTable"/>
              <w:spacing w:after="40"/>
            </w:pPr>
            <w:r>
              <w:t>1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780"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780"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780"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2021</w:t>
            </w:r>
            <w:r>
              <w:t xml:space="preserve"> Pt. 10</w:t>
            </w:r>
          </w:p>
        </w:tc>
        <w:tc>
          <w:tcPr>
            <w:tcW w:w="1276" w:type="dxa"/>
            <w:gridSpan w:val="2"/>
            <w:tcBorders>
              <w:top w:val="nil"/>
              <w:bottom w:val="nil"/>
            </w:tcBorders>
            <w:shd w:val="clear" w:color="auto" w:fill="auto"/>
          </w:tcPr>
          <w:p>
            <w:pPr>
              <w:pStyle w:val="nTable"/>
              <w:spacing w:after="40"/>
            </w:pPr>
            <w:r>
              <w:t>SL 2021/101 29 Jun 2021</w:t>
            </w:r>
          </w:p>
        </w:tc>
        <w:tc>
          <w:tcPr>
            <w:tcW w:w="2780" w:type="dxa"/>
            <w:tcBorders>
              <w:top w:val="nil"/>
              <w:bottom w:val="nil"/>
            </w:tcBorders>
            <w:shd w:val="clear" w:color="auto" w:fill="auto"/>
          </w:tcPr>
          <w:p>
            <w:pPr>
              <w:pStyle w:val="nTable"/>
              <w:spacing w:after="40"/>
            </w:pPr>
            <w:r>
              <w:t>1 Jul 2021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gridSpan w:val="2"/>
            <w:tcBorders>
              <w:top w:val="nil"/>
              <w:bottom w:val="nil"/>
            </w:tcBorders>
            <w:shd w:val="clear" w:color="auto" w:fill="auto"/>
          </w:tcPr>
          <w:p>
            <w:pPr>
              <w:pStyle w:val="nTable"/>
              <w:spacing w:after="40"/>
            </w:pPr>
            <w:r>
              <w:t>SL 2021/102 29 Jun 2021</w:t>
            </w:r>
          </w:p>
        </w:tc>
        <w:tc>
          <w:tcPr>
            <w:tcW w:w="2780"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74" w:type="dxa"/>
            <w:gridSpan w:val="2"/>
            <w:tcBorders>
              <w:top w:val="nil"/>
              <w:bottom w:val="single" w:sz="4" w:space="0" w:color="auto"/>
            </w:tcBorders>
            <w:shd w:val="clear" w:color="auto" w:fill="auto"/>
          </w:tcPr>
          <w:p>
            <w:pPr>
              <w:pStyle w:val="nTable"/>
              <w:spacing w:after="40"/>
              <w:rPr>
                <w:i/>
              </w:rPr>
            </w:pPr>
            <w:r>
              <w:rPr>
                <w:i/>
              </w:rPr>
              <w:t>State Administrative Tribunal Amendment Regulations (No. 2) 2021 </w:t>
            </w:r>
            <w:r>
              <w:rPr>
                <w:vertAlign w:val="superscript"/>
              </w:rPr>
              <w:t>11</w:t>
            </w:r>
          </w:p>
        </w:tc>
        <w:tc>
          <w:tcPr>
            <w:tcW w:w="1276" w:type="dxa"/>
            <w:gridSpan w:val="2"/>
            <w:tcBorders>
              <w:top w:val="nil"/>
              <w:bottom w:val="single" w:sz="4" w:space="0" w:color="auto"/>
            </w:tcBorders>
            <w:shd w:val="clear" w:color="auto" w:fill="auto"/>
          </w:tcPr>
          <w:p>
            <w:pPr>
              <w:pStyle w:val="nTable"/>
              <w:spacing w:after="40"/>
            </w:pPr>
            <w:r>
              <w:t>SL 2021/138 30 Jul 2021</w:t>
            </w:r>
          </w:p>
        </w:tc>
        <w:tc>
          <w:tcPr>
            <w:tcW w:w="2780" w:type="dxa"/>
            <w:tcBorders>
              <w:top w:val="nil"/>
              <w:bottom w:val="single" w:sz="4" w:space="0" w:color="auto"/>
            </w:tcBorders>
            <w:shd w:val="clear" w:color="auto" w:fill="auto"/>
          </w:tcPr>
          <w:p>
            <w:pPr>
              <w:pStyle w:val="nTable"/>
              <w:spacing w:after="40"/>
            </w:pPr>
            <w:r>
              <w:t>r. 1 and 2: 30 Jul 2021 (see r. 2(a));</w:t>
            </w:r>
            <w:r>
              <w:br/>
              <w:t>Regulations other than r. 1 and 2: 31 Jul 2021 (see r. 2(b))</w:t>
            </w:r>
          </w:p>
        </w:tc>
      </w:tr>
    </w:tbl>
    <w:p>
      <w:pPr>
        <w:pStyle w:val="nHeading3"/>
      </w:pPr>
      <w:bookmarkStart w:id="74" w:name="_Toc78456946"/>
      <w:r>
        <w:t>Uncommenced provisions table</w:t>
      </w:r>
      <w:bookmarkEnd w:id="7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(Swan Valley Planning Scheme) Regulations 2021</w:t>
            </w:r>
            <w:r>
              <w:t xml:space="preserve"> Pt. 3</w:t>
            </w:r>
          </w:p>
        </w:tc>
        <w:tc>
          <w:tcPr>
            <w:tcW w:w="1276" w:type="dxa"/>
          </w:tcPr>
          <w:p>
            <w:pPr>
              <w:pStyle w:val="nTable"/>
              <w:spacing w:after="40"/>
            </w:pPr>
            <w:r>
              <w:t>SL 2021/127</w:t>
            </w:r>
            <w:r>
              <w:br/>
              <w:t>16 Jul 2021</w:t>
            </w:r>
          </w:p>
        </w:tc>
        <w:tc>
          <w:tcPr>
            <w:tcW w:w="2693" w:type="dxa"/>
          </w:tcPr>
          <w:p>
            <w:pPr>
              <w:pStyle w:val="nTable"/>
              <w:spacing w:after="40"/>
            </w:pPr>
            <w:r>
              <w:t>1 Aug 2021 (see r. 2(b) and SL 2021/124 cl. 2)</w:t>
            </w:r>
          </w:p>
        </w:tc>
      </w:tr>
    </w:tbl>
    <w:p>
      <w:pPr>
        <w:pStyle w:val="nHeading3"/>
      </w:pPr>
      <w:bookmarkStart w:id="75" w:name="_Toc78456947"/>
      <w:r>
        <w:lastRenderedPageBreak/>
        <w:t>Other notes</w:t>
      </w:r>
      <w:bookmarkEnd w:id="75"/>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rPr>
          <w:vertAlign w:val="superscript"/>
        </w:rPr>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7" w:name="_Toc78366699"/>
      <w:bookmarkStart w:id="78" w:name="_Toc78366959"/>
      <w:bookmarkStart w:id="79" w:name="_Toc78456948"/>
      <w:r>
        <w:rPr>
          <w:sz w:val="28"/>
        </w:rPr>
        <w:lastRenderedPageBreak/>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2095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8120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0953_GUID" w:val="856dc0cb-c094-4971-a37c-2fb93b437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ableNAmBold11pt">
    <w:name w:val="yTableNAm + Bold + 11 pt"/>
    <w:aliases w:val="Centered"/>
    <w:basedOn w:val="zTableNAm"/>
    <w:pPr>
      <w:tabs>
        <w:tab w:val="clear" w:pos="567"/>
      </w:tabs>
      <w:ind w:right="265"/>
      <w:jc w:val="right"/>
    </w:pPr>
    <w:rPr>
      <w:sz w:val="22"/>
      <w:szCs w:val="22"/>
    </w:rPr>
  </w:style>
  <w:style w:type="paragraph" w:customStyle="1" w:styleId="zyTableNAmBold">
    <w:name w:val="zyTableNAm + Bold"/>
    <w:basedOn w:val="z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B5B0-14DD-43A4-B8C4-D7DBA6EF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8979</Words>
  <Characters>42561</Characters>
  <Application>Microsoft Office Word</Application>
  <DocSecurity>0</DocSecurity>
  <Lines>1850</Lines>
  <Paragraphs>1030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2004 - 05-y0-00</dc:title>
  <dc:subject/>
  <dc:creator/>
  <cp:keywords/>
  <dc:description/>
  <cp:lastModifiedBy>Master Repository Process</cp:lastModifiedBy>
  <cp:revision>4</cp:revision>
  <cp:lastPrinted>2021-03-23T06:07:00Z</cp:lastPrinted>
  <dcterms:created xsi:type="dcterms:W3CDTF">2021-07-29T06:31:00Z</dcterms:created>
  <dcterms:modified xsi:type="dcterms:W3CDTF">2021-07-29T06:31:00Z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31 Jul 2021</vt:lpwstr>
  </property>
  <property fmtid="{D5CDD505-2E9C-101B-9397-08002B2CF9AE}" pid="8" name="Suffix">
    <vt:lpwstr>05-y0-00</vt:lpwstr>
  </property>
  <property fmtid="{D5CDD505-2E9C-101B-9397-08002B2CF9AE}" pid="9" name="CommencementDate">
    <vt:lpwstr>20210731</vt:lpwstr>
  </property>
</Properties>
</file>