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_Toc78296950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_Toc78296951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_Toc78296952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_Toc78296953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_Toc78296954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_Toc78296955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_Toc78296956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_Toc78296957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_Toc78296958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_Toc78296959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_Toc78296960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_Toc78296961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_Toc78296962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_Toc78296963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_Toc78296964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_Toc78296965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_Toc78296966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_Toc78296967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_Toc78296968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_Toc78296969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_Toc78296970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_Toc78296971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_Toc78296972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_Toc78296973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Advisory Committee, members and procedure of etc.</w:t>
      </w:r>
      <w:r>
        <w:tab/>
      </w:r>
      <w:r>
        <w:fldChar w:fldCharType="begin"/>
      </w:r>
      <w:r>
        <w:instrText xml:space="preserve"> PAGEREF _Toc78296974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_Toc78296975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_Toc78296976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_Toc78296977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_Toc78296978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_Toc78296979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_Toc78296980 \h </w:instrText>
      </w:r>
      <w:r>
        <w:fldChar w:fldCharType="separate"/>
      </w:r>
      <w:r>
        <w:t>28</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_Toc78296981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_Toc78296982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_Toc78296983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_Toc78296984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_Toc78296985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_Toc78296986 \h </w:instrText>
      </w:r>
      <w:r>
        <w:fldChar w:fldCharType="separate"/>
      </w:r>
      <w:r>
        <w:t>34</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_Toc78296987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_Toc78296988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_Toc78296989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_Toc78296990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_Toc78296991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_Toc78296992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persons</w:t>
      </w:r>
      <w:r>
        <w:tab/>
      </w:r>
      <w:r>
        <w:fldChar w:fldCharType="begin"/>
      </w:r>
      <w:r>
        <w:instrText xml:space="preserve"> PAGEREF _Toc78296993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_Toc78296994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_Toc78296995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_Toc78296996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_Toc78296997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_Toc78296998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_Toc78296999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_Toc78297000 \h </w:instrText>
      </w:r>
      <w:r>
        <w:fldChar w:fldCharType="separate"/>
      </w:r>
      <w:r>
        <w:t>50</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Model local laws, Governor may make</w:t>
      </w:r>
      <w:r>
        <w:tab/>
      </w:r>
      <w:r>
        <w:fldChar w:fldCharType="begin"/>
      </w:r>
      <w:r>
        <w:instrText xml:space="preserve"> PAGEREF _Toc78297001 \h </w:instrText>
      </w:r>
      <w:r>
        <w:fldChar w:fldCharType="separate"/>
      </w:r>
      <w:r>
        <w:t>50</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Local laws, Governor may amend or repeal</w:t>
      </w:r>
      <w:r>
        <w:tab/>
      </w:r>
      <w:r>
        <w:fldChar w:fldCharType="begin"/>
      </w:r>
      <w:r>
        <w:instrText xml:space="preserve"> PAGEREF _Toc78297002 \h </w:instrText>
      </w:r>
      <w:r>
        <w:fldChar w:fldCharType="separate"/>
      </w:r>
      <w:r>
        <w:t>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_Toc78297003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_Toc78297004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_Toc78297005 \h </w:instrText>
      </w:r>
      <w:r>
        <w:fldChar w:fldCharType="separate"/>
      </w:r>
      <w:r>
        <w:t>53</w:t>
      </w:r>
      <w:r>
        <w:fldChar w:fldCharType="end"/>
      </w:r>
    </w:p>
    <w:p>
      <w:pPr>
        <w:pStyle w:val="TOC8"/>
        <w:rPr>
          <w:rFonts w:asciiTheme="minorHAnsi" w:eastAsiaTheme="minorEastAsia" w:hAnsiTheme="minorHAnsi" w:cstheme="minorBidi"/>
          <w:szCs w:val="22"/>
        </w:rPr>
      </w:pPr>
      <w:r>
        <w:lastRenderedPageBreak/>
        <w:t>49.</w:t>
      </w:r>
      <w:r>
        <w:tab/>
        <w:t xml:space="preserve">Transitional provision for </w:t>
      </w:r>
      <w:r>
        <w:rPr>
          <w:i/>
        </w:rPr>
        <w:t>Local Government Legislation Amendment Act 2019</w:t>
      </w:r>
      <w:r>
        <w:tab/>
      </w:r>
      <w:r>
        <w:fldChar w:fldCharType="begin"/>
      </w:r>
      <w:r>
        <w:instrText xml:space="preserve"> PAGEREF _Toc78297006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_Toc78297008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_Toc78297009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_Toc78297010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7829695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7829695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78296952"/>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lastRenderedPageBreak/>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6" w:name="_Toc78296953"/>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78296954"/>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78296955"/>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78296956"/>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0" w:name="_Toc78296957"/>
      <w:r>
        <w:rPr>
          <w:rStyle w:val="CharSectno"/>
        </w:rPr>
        <w:lastRenderedPageBreak/>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78296958"/>
      <w:r>
        <w:rPr>
          <w:rStyle w:val="CharSectno"/>
        </w:rPr>
        <w:lastRenderedPageBreak/>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78296959"/>
      <w:r>
        <w:rPr>
          <w:rStyle w:val="CharSectno"/>
        </w:rPr>
        <w:lastRenderedPageBreak/>
        <w:t>8</w:t>
      </w:r>
      <w:r>
        <w:rPr>
          <w:snapToGrid w:val="0"/>
        </w:rPr>
        <w:t>.</w:t>
      </w:r>
      <w:r>
        <w:rPr>
          <w:snapToGrid w:val="0"/>
        </w:rPr>
        <w:tab/>
        <w:t>Exceptions to s. 6(1) and (2), 9A, 9B and 9C</w:t>
      </w:r>
      <w:bookmarkEnd w:id="12"/>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lastRenderedPageBreak/>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13" w:name="_Toc78296960"/>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 xml:space="preserve">A person shall not drive or use on any land to which this Act applies any vehicle so constructed or in such a condition as to be </w:t>
      </w:r>
      <w:r>
        <w:rPr>
          <w:snapToGrid w:val="0"/>
        </w:rPr>
        <w:lastRenderedPageBreak/>
        <w:t>likely to occasion danger to any person or damage to any property.</w:t>
      </w:r>
    </w:p>
    <w:p>
      <w:pPr>
        <w:pStyle w:val="Penstart"/>
        <w:rPr>
          <w:snapToGrid w:val="0"/>
        </w:rPr>
      </w:pPr>
      <w:r>
        <w:rPr>
          <w:snapToGrid w:val="0"/>
        </w:rPr>
        <w:tab/>
        <w:t>Penalty: $500.</w:t>
      </w:r>
    </w:p>
    <w:p>
      <w:pPr>
        <w:pStyle w:val="Heading5"/>
        <w:rPr>
          <w:snapToGrid w:val="0"/>
        </w:rPr>
      </w:pPr>
      <w:bookmarkStart w:id="14" w:name="_Toc78296961"/>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78296962"/>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 xml:space="preserve">A person shall not, while occupying a seat position in a motor vehicle to which this section applies and to which a seat belt has been fitted for that seat position, drive or travel as a passenger in an area to which this section applies unless he is wearing that </w:t>
      </w:r>
      <w:r>
        <w:rPr>
          <w:snapToGrid w:val="0"/>
        </w:rPr>
        <w:lastRenderedPageBreak/>
        <w:t>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lastRenderedPageBreak/>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78296963"/>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78296964"/>
      <w:r>
        <w:rPr>
          <w:rStyle w:val="CharSectno"/>
        </w:rPr>
        <w:lastRenderedPageBreak/>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18" w:name="_Toc78296965"/>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78296966"/>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lastRenderedPageBreak/>
        <w:tab/>
        <w:t>[Section 13 amended: No. 14 of 1996 s. 4.]</w:t>
      </w:r>
    </w:p>
    <w:p>
      <w:pPr>
        <w:pStyle w:val="Heading5"/>
        <w:spacing w:before="240"/>
        <w:rPr>
          <w:snapToGrid w:val="0"/>
        </w:rPr>
      </w:pPr>
      <w:bookmarkStart w:id="20" w:name="_Toc78296967"/>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78296968"/>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78296969"/>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lastRenderedPageBreak/>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lastRenderedPageBreak/>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23" w:name="_Toc78296970"/>
      <w:r>
        <w:rPr>
          <w:rStyle w:val="CharSectno"/>
        </w:rPr>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 xml:space="preserve">The Minister may give to the Committee directions of a general character as to the exercise of its functions, and the Committee </w:t>
      </w:r>
      <w:r>
        <w:rPr>
          <w:snapToGrid w:val="0"/>
        </w:rPr>
        <w:lastRenderedPageBreak/>
        <w:t>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78296971"/>
      <w:r>
        <w:rPr>
          <w:rStyle w:val="CharSectno"/>
        </w:rPr>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lastRenderedPageBreak/>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t>
      </w:r>
      <w:r>
        <w:rPr>
          <w:snapToGrid w:val="0"/>
        </w:rPr>
        <w:lastRenderedPageBreak/>
        <w:t>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78296972"/>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78296973"/>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 xml:space="preserve">shall not have effect in or in relation to any part of the State, and if in force in relation to any such area shall cease to have effect, where under the provisions of any other Act or law of the State or of the Commonwealth </w:t>
      </w:r>
      <w:r>
        <w:rPr>
          <w:snapToGrid w:val="0"/>
        </w:rPr>
        <w:lastRenderedPageBreak/>
        <w:t>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78296974"/>
      <w:r>
        <w:rPr>
          <w:rStyle w:val="CharSectno"/>
        </w:rPr>
        <w:lastRenderedPageBreak/>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lastRenderedPageBreak/>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lastRenderedPageBreak/>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lastRenderedPageBreak/>
        <w:t>[</w:t>
      </w:r>
      <w:r>
        <w:rPr>
          <w:b/>
        </w:rPr>
        <w:t>22.</w:t>
      </w:r>
      <w:r>
        <w:tab/>
        <w:t>Deleted: No. 28 of 2006 s. 358.]</w:t>
      </w:r>
    </w:p>
    <w:p>
      <w:pPr>
        <w:pStyle w:val="Heading5"/>
        <w:rPr>
          <w:snapToGrid w:val="0"/>
        </w:rPr>
      </w:pPr>
      <w:bookmarkStart w:id="28" w:name="_Toc78296975"/>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78296976"/>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78296977"/>
      <w:r>
        <w:rPr>
          <w:rStyle w:val="CharSectno"/>
        </w:rPr>
        <w:lastRenderedPageBreak/>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78296978"/>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32" w:name="_Toc78296979"/>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78296980"/>
      <w:r>
        <w:rPr>
          <w:rStyle w:val="CharSectno"/>
        </w:rPr>
        <w:lastRenderedPageBreak/>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lastRenderedPageBreak/>
        <w:tab/>
        <w:t>[Section 28 amended: No. 106 of 1981 s. 34; No. 76 of 1996 s. 27; No. 39 of 2000 s. 51; No. 7 of 2002 s. 8.]</w:t>
      </w:r>
    </w:p>
    <w:p>
      <w:pPr>
        <w:pStyle w:val="Heading5"/>
      </w:pPr>
      <w:bookmarkStart w:id="34" w:name="_Toc78296981"/>
      <w:r>
        <w:rPr>
          <w:rStyle w:val="CharSectno"/>
        </w:rPr>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lastRenderedPageBreak/>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35" w:name="_Toc78296982"/>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 xml:space="preserve">Where an application for the renewal of the registration of a vehicle is made after the expiration of the period of 15 days immediately succeeding the day on which the registration expired, the Director General may renew the registration for a </w:t>
      </w:r>
      <w:r>
        <w:rPr>
          <w:snapToGrid w:val="0"/>
        </w:rPr>
        <w:lastRenderedPageBreak/>
        <w:t>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78296983"/>
      <w:r>
        <w:rPr>
          <w:rStyle w:val="CharSectno"/>
        </w:rPr>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xml:space="preserve">, within </w:t>
      </w:r>
      <w:r>
        <w:rPr>
          <w:snapToGrid w:val="0"/>
        </w:rPr>
        <w:lastRenderedPageBreak/>
        <w:t>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lastRenderedPageBreak/>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78296984"/>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 xml:space="preserve">may recover the deficiency in a court of competent jurisdiction from the person to whom the certificate of registration was issued, if that person fails to pay the deficiency to the Director General within 7 days after </w:t>
      </w:r>
      <w:r>
        <w:rPr>
          <w:snapToGrid w:val="0"/>
        </w:rPr>
        <w:lastRenderedPageBreak/>
        <w:t>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38" w:name="_Toc78296985"/>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78296986"/>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lastRenderedPageBreak/>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40" w:name="_Toc78296987"/>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78296988"/>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78296989"/>
      <w:r>
        <w:rPr>
          <w:rStyle w:val="CharSectno"/>
        </w:rPr>
        <w:lastRenderedPageBreak/>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43" w:name="_Toc78296990"/>
      <w:r>
        <w:rPr>
          <w:rStyle w:val="CharSectno"/>
        </w:rPr>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 xml:space="preserve">use on any vehicle a number plate not issued in respect of that vehicle, or any counterfeit or false number plate </w:t>
      </w:r>
      <w:r>
        <w:rPr>
          <w:snapToGrid w:val="0"/>
        </w:rPr>
        <w:lastRenderedPageBreak/>
        <w:t>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78296991"/>
      <w:r>
        <w:rPr>
          <w:rStyle w:val="CharSectno"/>
        </w:rPr>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45" w:name="_Toc78296992"/>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lastRenderedPageBreak/>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lastRenderedPageBreak/>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 xml:space="preserve">Regulations or local laws made under this Act may make provision in respect of the issue and use of infringement notices </w:t>
      </w:r>
      <w:r>
        <w:rPr>
          <w:snapToGrid w:val="0"/>
        </w:rPr>
        <w:lastRenderedPageBreak/>
        <w:t>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46" w:name="_Toc78296993"/>
      <w:r>
        <w:rPr>
          <w:rStyle w:val="CharSectno"/>
        </w:rPr>
        <w:t>38</w:t>
      </w:r>
      <w:r>
        <w:rPr>
          <w:snapToGrid w:val="0"/>
        </w:rPr>
        <w:t>.</w:t>
      </w:r>
      <w:r>
        <w:rPr>
          <w:snapToGrid w:val="0"/>
        </w:rPr>
        <w:tab/>
        <w:t>Authorised persons</w:t>
      </w:r>
      <w:bookmarkEnd w:id="46"/>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lastRenderedPageBreak/>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t>
      </w:r>
      <w:r>
        <w:rPr>
          <w:snapToGrid w:val="0"/>
        </w:rPr>
        <w:lastRenderedPageBreak/>
        <w:t>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w:t>
      </w:r>
      <w:r>
        <w:rPr>
          <w:snapToGrid w:val="0"/>
        </w:rPr>
        <w:lastRenderedPageBreak/>
        <w:t>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lastRenderedPageBreak/>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lastRenderedPageBreak/>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person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p>
    <w:p>
      <w:pPr>
        <w:pStyle w:val="Heading5"/>
        <w:rPr>
          <w:snapToGrid w:val="0"/>
        </w:rPr>
      </w:pPr>
      <w:bookmarkStart w:id="47" w:name="_Toc78296994"/>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 xml:space="preserve">any place at which a vehicle is alleged to have been driven or used is, or is not, as the averment </w:t>
      </w:r>
      <w:r>
        <w:rPr>
          <w:snapToGrid w:val="0"/>
        </w:rPr>
        <w:lastRenderedPageBreak/>
        <w:t>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lastRenderedPageBreak/>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78296995"/>
      <w:r>
        <w:rPr>
          <w:rStyle w:val="CharSectno"/>
        </w:rPr>
        <w:t>40</w:t>
      </w:r>
      <w:r>
        <w:rPr>
          <w:snapToGrid w:val="0"/>
        </w:rPr>
        <w:t>.</w:t>
      </w:r>
      <w:r>
        <w:rPr>
          <w:snapToGrid w:val="0"/>
        </w:rPr>
        <w:tab/>
        <w:t>Prosecutions, who may commence</w:t>
      </w:r>
      <w:bookmarkEnd w:id="48"/>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49" w:name="_Toc78296996"/>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78296997"/>
      <w:r>
        <w:rPr>
          <w:rStyle w:val="CharSectno"/>
        </w:rPr>
        <w:lastRenderedPageBreak/>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lastRenderedPageBreak/>
        <w:tab/>
        <w:t>[Section 42 amended: No. 106 of 1981 s. 34; No. 14 of 1996 s. 4; No. 76 of 1996 s. 27; No. 39 of 2000 s. 59; No. 59 of 2004 s. 141.]</w:t>
      </w:r>
    </w:p>
    <w:p>
      <w:pPr>
        <w:pStyle w:val="Heading5"/>
        <w:rPr>
          <w:snapToGrid w:val="0"/>
        </w:rPr>
      </w:pPr>
      <w:bookmarkStart w:id="51" w:name="_Toc78296998"/>
      <w:r>
        <w:rPr>
          <w:rStyle w:val="CharSectno"/>
        </w:rPr>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78296999"/>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lastRenderedPageBreak/>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78297000"/>
      <w:r>
        <w:rPr>
          <w:rStyle w:val="CharSectno"/>
        </w:rPr>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78297001"/>
      <w:r>
        <w:rPr>
          <w:rStyle w:val="CharSectno"/>
        </w:rPr>
        <w:t>45A</w:t>
      </w:r>
      <w:r>
        <w:rPr>
          <w:snapToGrid w:val="0"/>
        </w:rPr>
        <w:t xml:space="preserve">. </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78297002"/>
      <w:r>
        <w:rPr>
          <w:rStyle w:val="CharSectno"/>
        </w:rPr>
        <w:lastRenderedPageBreak/>
        <w:t>45B</w:t>
      </w:r>
      <w:r>
        <w:rPr>
          <w:snapToGrid w:val="0"/>
        </w:rPr>
        <w:t xml:space="preserve">. </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56" w:name="_Toc78297003"/>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 xml:space="preserve">as to provide that in specified cases, or a specified class of case, or specified classes of cases, whether on </w:t>
      </w:r>
      <w:r>
        <w:rPr>
          <w:snapToGrid w:val="0"/>
        </w:rPr>
        <w:lastRenderedPageBreak/>
        <w:t>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78297004"/>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 xml:space="preserve">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w:t>
      </w:r>
      <w:r>
        <w:rPr>
          <w:snapToGrid w:val="0"/>
        </w:rPr>
        <w:lastRenderedPageBreak/>
        <w:t>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58" w:name="_Toc78297005"/>
      <w:r>
        <w:rPr>
          <w:rStyle w:val="CharSectno"/>
        </w:rPr>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59" w:name="_Toc78297006"/>
      <w:r>
        <w:rPr>
          <w:rStyle w:val="CharSectno"/>
        </w:rPr>
        <w:t>49</w:t>
      </w:r>
      <w:r>
        <w:t>.</w:t>
      </w:r>
      <w:r>
        <w:tab/>
        <w:t xml:space="preserve">Transitional provision for </w:t>
      </w:r>
      <w:r>
        <w:rPr>
          <w:i/>
        </w:rPr>
        <w:t>Local Government Legislation Amendment Act 2019</w:t>
      </w:r>
      <w:bookmarkEnd w:id="59"/>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w:t>
      </w:r>
      <w:r>
        <w:lastRenderedPageBreak/>
        <w:t>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0" w:name="_Toc78276887"/>
      <w:bookmarkStart w:id="61" w:name="_Toc78277141"/>
      <w:bookmarkStart w:id="62" w:name="_Toc78297007"/>
      <w:r>
        <w:lastRenderedPageBreak/>
        <w:t>Notes</w:t>
      </w:r>
      <w:bookmarkEnd w:id="60"/>
      <w:bookmarkEnd w:id="61"/>
      <w:bookmarkEnd w:id="62"/>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 w:name="_Toc78297008"/>
      <w:r>
        <w:t>Compilation table</w:t>
      </w:r>
      <w:bookmarkEnd w:id="63"/>
    </w:p>
    <w:tbl>
      <w:tblPr>
        <w:tblW w:w="7103"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67"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67"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67"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67"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67"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67"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67"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67"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67"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67"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lastRenderedPageBreak/>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67"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67"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67"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67"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67"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67"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67"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67"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67"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67"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67"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lastRenderedPageBreak/>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67"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6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67"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6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67"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67"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67"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67"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lastRenderedPageBreak/>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6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67"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67"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268"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67" w:type="dxa"/>
            <w:tcBorders>
              <w:top w:val="nil"/>
              <w:bottom w:val="nil"/>
            </w:tcBorders>
            <w:shd w:val="clear" w:color="auto" w:fill="auto"/>
          </w:tcPr>
          <w:p>
            <w:pPr>
              <w:pStyle w:val="nTable"/>
              <w:spacing w:after="40"/>
            </w:pPr>
            <w:r>
              <w:t>7 Nov 2020 (see s. 2(b) and SL 2020/212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bottom w:val="single" w:sz="4" w:space="0" w:color="auto"/>
            </w:tcBorders>
          </w:tcPr>
          <w:p>
            <w:pPr>
              <w:pStyle w:val="nTable"/>
              <w:spacing w:after="40"/>
            </w:pPr>
            <w:r>
              <w:t>45 of 2020</w:t>
            </w:r>
          </w:p>
        </w:tc>
        <w:tc>
          <w:tcPr>
            <w:tcW w:w="1134" w:type="dxa"/>
            <w:tcBorders>
              <w:bottom w:val="single" w:sz="4" w:space="0" w:color="auto"/>
            </w:tcBorders>
            <w:shd w:val="clear" w:color="auto" w:fill="auto"/>
          </w:tcPr>
          <w:p>
            <w:pPr>
              <w:pStyle w:val="nTable"/>
              <w:spacing w:after="40"/>
            </w:pPr>
            <w:r>
              <w:t>9 Dec 2020</w:t>
            </w:r>
          </w:p>
        </w:tc>
        <w:tc>
          <w:tcPr>
            <w:tcW w:w="2567" w:type="dxa"/>
            <w:tcBorders>
              <w:bottom w:val="single" w:sz="4" w:space="0" w:color="auto"/>
            </w:tcBorders>
            <w:shd w:val="clear" w:color="auto" w:fill="auto"/>
          </w:tcPr>
          <w:p>
            <w:pPr>
              <w:pStyle w:val="nTable"/>
              <w:spacing w:after="40"/>
            </w:pPr>
            <w:r>
              <w:rPr>
                <w:snapToGrid w:val="0"/>
              </w:rPr>
              <w:t>1 Aug 2021 (see s. 2(1)(e) and SL 2021/124 cl. 2)</w:t>
            </w:r>
          </w:p>
        </w:tc>
      </w:tr>
    </w:tbl>
    <w:p>
      <w:pPr>
        <w:pStyle w:val="nHeading3"/>
      </w:pPr>
      <w:bookmarkStart w:id="64" w:name="_Toc78297009"/>
      <w:r>
        <w:t>Uncommenced provisions table</w:t>
      </w:r>
      <w:bookmarkEnd w:id="6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52"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bl>
    <w:p>
      <w:pPr>
        <w:pStyle w:val="nHeading3"/>
      </w:pPr>
      <w:bookmarkStart w:id="65" w:name="_Toc78297010"/>
      <w:r>
        <w:t>Other notes</w:t>
      </w:r>
      <w:bookmarkEnd w:id="65"/>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lastRenderedPageBreak/>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7" w:name="_Toc78276891"/>
      <w:bookmarkStart w:id="68" w:name="_Toc78277145"/>
      <w:bookmarkStart w:id="69" w:name="_Toc78297011"/>
      <w:r>
        <w:rPr>
          <w:sz w:val="28"/>
        </w:rPr>
        <w:lastRenderedPageBreak/>
        <w:t>Defined terms</w:t>
      </w:r>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person</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040"/>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17759</Words>
  <Characters>81339</Characters>
  <Application>Microsoft Office Word</Application>
  <DocSecurity>0</DocSecurity>
  <Lines>2198</Lines>
  <Paragraphs>1021</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1978 - 05-g0-00</dc:title>
  <dc:subject/>
  <dc:creator/>
  <cp:keywords/>
  <dc:description/>
  <cp:lastModifiedBy>Master Repository Process</cp:lastModifiedBy>
  <cp:revision>4</cp:revision>
  <cp:lastPrinted>2012-09-13T06:31:00Z</cp:lastPrinted>
  <dcterms:created xsi:type="dcterms:W3CDTF">2021-07-30T02:41:00Z</dcterms:created>
  <dcterms:modified xsi:type="dcterms:W3CDTF">2021-07-30T02:41:00Z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AsAtDate">
    <vt:lpwstr>01 Aug 2021</vt:lpwstr>
  </property>
  <property fmtid="{D5CDD505-2E9C-101B-9397-08002B2CF9AE}" pid="8" name="Suffix">
    <vt:lpwstr>05-g0-00</vt:lpwstr>
  </property>
  <property fmtid="{D5CDD505-2E9C-101B-9397-08002B2CF9AE}" pid="9" name="CommencementDate">
    <vt:lpwstr>20210801</vt:lpwstr>
  </property>
</Properties>
</file>