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_Toc78368735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_Toc78368736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_Toc78368737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_Toc78368738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_Toc78368739 \h </w:instrText>
      </w:r>
      <w:r>
        <w:fldChar w:fldCharType="separate"/>
      </w:r>
      <w:r>
        <w:t>3</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_Toc78368740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_Toc78368741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_Toc78368742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_Toc78368743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_Toc78368744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_Toc78368745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_Toc78368746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_Toc78368747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_Toc78368748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_Toc78368749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_Toc78368750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_Toc78368751 \h </w:instrText>
      </w:r>
      <w:r>
        <w:fldChar w:fldCharType="separate"/>
      </w:r>
      <w:r>
        <w:t>10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_Toc78368752 \h </w:instrText>
      </w:r>
      <w:r>
        <w:fldChar w:fldCharType="separate"/>
      </w:r>
      <w:r>
        <w:t>10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_Toc78368753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_Toc78368754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_Toc78368755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_Toc78368757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_Toc78368758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3" w:name="_Toc7836873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7836873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78368737"/>
      <w:r>
        <w:rPr>
          <w:rStyle w:val="CharSectno"/>
        </w:rPr>
        <w:t>3</w:t>
      </w:r>
      <w:r>
        <w:rPr>
          <w:snapToGrid w:val="0"/>
        </w:rPr>
        <w:t>.</w:t>
      </w:r>
      <w:r>
        <w:rPr>
          <w:snapToGrid w:val="0"/>
        </w:rPr>
        <w:tab/>
        <w:t>Terms used in this Act</w:t>
      </w:r>
      <w:bookmarkEnd w:id="5"/>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lastRenderedPageBreak/>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6" w:name="_Toc78368738"/>
      <w:r>
        <w:rPr>
          <w:rStyle w:val="CharSectno"/>
        </w:rPr>
        <w:t>4</w:t>
      </w:r>
      <w:r>
        <w:rPr>
          <w:snapToGrid w:val="0"/>
        </w:rPr>
        <w:t>.</w:t>
      </w:r>
      <w:r>
        <w:rPr>
          <w:snapToGrid w:val="0"/>
        </w:rPr>
        <w:tab/>
        <w:t>Officers and employees</w:t>
      </w:r>
      <w:bookmarkEnd w:id="6"/>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7" w:name="_Toc78368739"/>
      <w:r>
        <w:rPr>
          <w:rStyle w:val="CharSectno"/>
        </w:rPr>
        <w:lastRenderedPageBreak/>
        <w:t>5</w:t>
      </w:r>
      <w:r>
        <w:rPr>
          <w:snapToGrid w:val="0"/>
        </w:rPr>
        <w:t>.</w:t>
      </w:r>
      <w:r>
        <w:rPr>
          <w:snapToGrid w:val="0"/>
        </w:rPr>
        <w:tab/>
        <w:t>Functions of the Department</w:t>
      </w:r>
      <w:bookmarkEnd w:id="7"/>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lastRenderedPageBreak/>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w:t>
      </w:r>
      <w:r>
        <w:rPr>
          <w:snapToGrid w:val="0"/>
        </w:rPr>
        <w:lastRenderedPageBreak/>
        <w:t>dam, or any reclamation of land from the sea or a river, or excavation, deepening, dredging or widening of any channel, basin or other part of a harbour.</w:t>
      </w:r>
    </w:p>
    <w:p>
      <w:pPr>
        <w:pStyle w:val="Footnotesection"/>
      </w:pPr>
      <w:r>
        <w:tab/>
        <w:t>[Section 5 amended: No. 2 of 2019 s. 25.]</w:t>
      </w:r>
    </w:p>
    <w:p>
      <w:pPr>
        <w:pStyle w:val="Ednotesection"/>
      </w:pPr>
      <w:r>
        <w:t>[</w:t>
      </w:r>
      <w:r>
        <w:rPr>
          <w:b/>
        </w:rPr>
        <w:t>5A.</w:t>
      </w:r>
      <w:r>
        <w:tab/>
        <w:t>Deleted: No. 2 of 2019 s. 34.]</w:t>
      </w:r>
    </w:p>
    <w:p>
      <w:pPr>
        <w:pStyle w:val="Heading5"/>
        <w:rPr>
          <w:snapToGrid w:val="0"/>
        </w:rPr>
      </w:pPr>
      <w:bookmarkStart w:id="8" w:name="_Toc78368740"/>
      <w:r>
        <w:rPr>
          <w:rStyle w:val="CharSectno"/>
        </w:rPr>
        <w:t>5B</w:t>
      </w:r>
      <w:r>
        <w:rPr>
          <w:snapToGrid w:val="0"/>
        </w:rPr>
        <w:t>.</w:t>
      </w:r>
      <w:r>
        <w:rPr>
          <w:snapToGrid w:val="0"/>
        </w:rPr>
        <w:tab/>
        <w:t>Erection of notices and signs</w:t>
      </w:r>
      <w:bookmarkEnd w:id="8"/>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9" w:name="_Toc78368741"/>
      <w:r>
        <w:rPr>
          <w:rStyle w:val="CharSectno"/>
        </w:rPr>
        <w:lastRenderedPageBreak/>
        <w:t>6</w:t>
      </w:r>
      <w:r>
        <w:rPr>
          <w:snapToGrid w:val="0"/>
        </w:rPr>
        <w:t>.</w:t>
      </w:r>
      <w:r>
        <w:rPr>
          <w:snapToGrid w:val="0"/>
        </w:rPr>
        <w:tab/>
        <w:t>Power of Minister to contract</w:t>
      </w:r>
      <w:bookmarkEnd w:id="9"/>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0" w:name="_Toc78368742"/>
      <w:r>
        <w:rPr>
          <w:rStyle w:val="CharSectno"/>
        </w:rPr>
        <w:t>6A</w:t>
      </w:r>
      <w:r>
        <w:rPr>
          <w:snapToGrid w:val="0"/>
        </w:rPr>
        <w:t>.</w:t>
      </w:r>
      <w:r>
        <w:rPr>
          <w:snapToGrid w:val="0"/>
        </w:rPr>
        <w:tab/>
        <w:t>Provision of services etc. other than in connection with this Act</w:t>
      </w:r>
      <w:bookmarkEnd w:id="1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1" w:name="_Toc78368743"/>
      <w:r>
        <w:rPr>
          <w:rStyle w:val="CharSectno"/>
        </w:rPr>
        <w:lastRenderedPageBreak/>
        <w:t>7</w:t>
      </w:r>
      <w:r>
        <w:rPr>
          <w:snapToGrid w:val="0"/>
        </w:rPr>
        <w:t>.</w:t>
      </w:r>
      <w:r>
        <w:rPr>
          <w:snapToGrid w:val="0"/>
        </w:rPr>
        <w:tab/>
        <w:t>Power to appoint agents</w:t>
      </w:r>
      <w:bookmarkEnd w:id="11"/>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12" w:name="_Toc78368744"/>
      <w:r>
        <w:rPr>
          <w:rStyle w:val="CharSectno"/>
        </w:rPr>
        <w:t>8</w:t>
      </w:r>
      <w:r>
        <w:rPr>
          <w:snapToGrid w:val="0"/>
        </w:rPr>
        <w:t>.</w:t>
      </w:r>
      <w:r>
        <w:rPr>
          <w:snapToGrid w:val="0"/>
        </w:rPr>
        <w:tab/>
        <w:t>Minister to be body corporate</w:t>
      </w:r>
      <w:bookmarkEnd w:id="12"/>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13" w:name="_Toc78368745"/>
      <w:r>
        <w:rPr>
          <w:rStyle w:val="CharSectno"/>
        </w:rPr>
        <w:t>9</w:t>
      </w:r>
      <w:r>
        <w:rPr>
          <w:snapToGrid w:val="0"/>
        </w:rPr>
        <w:t>.</w:t>
      </w:r>
      <w:r>
        <w:rPr>
          <w:snapToGrid w:val="0"/>
        </w:rPr>
        <w:tab/>
        <w:t>Vesting by proclamation of Governor</w:t>
      </w:r>
      <w:bookmarkEnd w:id="13"/>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14" w:name="_Toc78368746"/>
      <w:r>
        <w:rPr>
          <w:rStyle w:val="CharSectno"/>
        </w:rPr>
        <w:lastRenderedPageBreak/>
        <w:t>10</w:t>
      </w:r>
      <w:r>
        <w:rPr>
          <w:snapToGrid w:val="0"/>
        </w:rPr>
        <w:t>.</w:t>
      </w:r>
      <w:r>
        <w:rPr>
          <w:snapToGrid w:val="0"/>
        </w:rPr>
        <w:tab/>
        <w:t>Compulsory acquisition of land</w:t>
      </w:r>
      <w:bookmarkEnd w:id="14"/>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15" w:name="_Toc78368747"/>
      <w:r>
        <w:rPr>
          <w:rStyle w:val="CharSectno"/>
        </w:rPr>
        <w:t>11</w:t>
      </w:r>
      <w:r>
        <w:rPr>
          <w:snapToGrid w:val="0"/>
        </w:rPr>
        <w:t>.</w:t>
      </w:r>
      <w:r>
        <w:rPr>
          <w:snapToGrid w:val="0"/>
        </w:rPr>
        <w:tab/>
        <w:t>Exemption from rates etc.</w:t>
      </w:r>
      <w:bookmarkEnd w:id="15"/>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16" w:name="_Toc78368748"/>
      <w:r>
        <w:rPr>
          <w:rStyle w:val="CharSectno"/>
        </w:rPr>
        <w:t>12</w:t>
      </w:r>
      <w:r>
        <w:rPr>
          <w:snapToGrid w:val="0"/>
        </w:rPr>
        <w:t>.</w:t>
      </w:r>
      <w:r>
        <w:rPr>
          <w:snapToGrid w:val="0"/>
        </w:rPr>
        <w:tab/>
        <w:t>Leases of vested land</w:t>
      </w:r>
      <w:bookmarkEnd w:id="16"/>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lastRenderedPageBreak/>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w:t>
      </w:r>
      <w:r>
        <w:rPr>
          <w:i/>
        </w:rPr>
        <w:t>2006</w:t>
      </w:r>
      <w:r>
        <w:t>, or under the Metropolitan Region Scheme or the Swan Valley Planning Scheme as those terms are</w:t>
      </w:r>
      <w:r>
        <w:rPr>
          <w:i/>
          <w:iCs/>
        </w:rPr>
        <w:t xml:space="preserve"> </w:t>
      </w:r>
      <w:r>
        <w:t xml:space="preserve">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 No. 45 of 2020 s. 115.]</w:t>
      </w:r>
    </w:p>
    <w:p>
      <w:pPr>
        <w:pStyle w:val="Heading5"/>
        <w:rPr>
          <w:snapToGrid w:val="0"/>
        </w:rPr>
      </w:pPr>
      <w:bookmarkStart w:id="17" w:name="_Toc78368749"/>
      <w:r>
        <w:rPr>
          <w:rStyle w:val="CharSectno"/>
        </w:rPr>
        <w:t>13</w:t>
      </w:r>
      <w:r>
        <w:rPr>
          <w:snapToGrid w:val="0"/>
        </w:rPr>
        <w:t>.</w:t>
      </w:r>
      <w:r>
        <w:rPr>
          <w:snapToGrid w:val="0"/>
        </w:rPr>
        <w:tab/>
        <w:t>Revenue to be paid to Consolidated Account</w:t>
      </w:r>
      <w:bookmarkEnd w:id="17"/>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18" w:name="_Toc78368750"/>
      <w:r>
        <w:rPr>
          <w:rStyle w:val="CharSectno"/>
        </w:rPr>
        <w:lastRenderedPageBreak/>
        <w:t>14</w:t>
      </w:r>
      <w:r>
        <w:rPr>
          <w:snapToGrid w:val="0"/>
        </w:rPr>
        <w:t>.</w:t>
      </w:r>
      <w:r>
        <w:rPr>
          <w:snapToGrid w:val="0"/>
        </w:rPr>
        <w:tab/>
        <w:t>Agency special purpose accounts</w:t>
      </w:r>
      <w:bookmarkEnd w:id="18"/>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Ednotesection"/>
      </w:pPr>
      <w:r>
        <w:t>[</w:t>
      </w:r>
      <w:r>
        <w:rPr>
          <w:b/>
        </w:rPr>
        <w:t>14A.</w:t>
      </w:r>
      <w:r>
        <w:tab/>
        <w:t>Deleted: No. 2 of 2019 s. 35.]</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19" w:name="_Toc78368751"/>
      <w:r>
        <w:rPr>
          <w:rStyle w:val="CharSectno"/>
        </w:rPr>
        <w:t>18</w:t>
      </w:r>
      <w:r>
        <w:rPr>
          <w:snapToGrid w:val="0"/>
        </w:rPr>
        <w:t>.</w:t>
      </w:r>
      <w:r>
        <w:rPr>
          <w:snapToGrid w:val="0"/>
        </w:rPr>
        <w:tab/>
        <w:t>Delegation</w:t>
      </w:r>
      <w:bookmarkEnd w:id="19"/>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20" w:name="_Toc78368752"/>
      <w:r>
        <w:rPr>
          <w:rStyle w:val="CharSectno"/>
        </w:rPr>
        <w:t>18A</w:t>
      </w:r>
      <w:r>
        <w:rPr>
          <w:snapToGrid w:val="0"/>
        </w:rPr>
        <w:t>.</w:t>
      </w:r>
      <w:r>
        <w:rPr>
          <w:snapToGrid w:val="0"/>
        </w:rPr>
        <w:tab/>
        <w:t>Infringement notices</w:t>
      </w:r>
      <w:bookmarkEnd w:id="20"/>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w:t>
      </w:r>
      <w:r>
        <w:rPr>
          <w:snapToGrid w:val="0"/>
        </w:rPr>
        <w:lastRenderedPageBreak/>
        <w:t xml:space="preserve">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 xml:space="preserve">When the modified penalty specified in an infringement notice has been paid within the period of 28 days or that period as extended and the infringement notice has not been withdrawn, </w:t>
      </w:r>
      <w:r>
        <w:rPr>
          <w:snapToGrid w:val="0"/>
        </w:rPr>
        <w:lastRenderedPageBreak/>
        <w:t>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t>
      </w:r>
      <w:r>
        <w:lastRenderedPageBreak/>
        <w:t>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21" w:name="_Toc78368753"/>
      <w:r>
        <w:rPr>
          <w:rStyle w:val="CharSectno"/>
        </w:rPr>
        <w:t>18B</w:t>
      </w:r>
      <w:r>
        <w:rPr>
          <w:snapToGrid w:val="0"/>
        </w:rPr>
        <w:t>.</w:t>
      </w:r>
      <w:r>
        <w:rPr>
          <w:snapToGrid w:val="0"/>
        </w:rPr>
        <w:tab/>
        <w:t>Owner onus in relation to motor vehicles</w:t>
      </w:r>
      <w:bookmarkEnd w:id="21"/>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lastRenderedPageBreak/>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22" w:name="_Toc78368754"/>
      <w:r>
        <w:rPr>
          <w:rStyle w:val="CharSectno"/>
        </w:rPr>
        <w:t>19</w:t>
      </w:r>
      <w:r>
        <w:rPr>
          <w:snapToGrid w:val="0"/>
        </w:rPr>
        <w:t>.</w:t>
      </w:r>
      <w:r>
        <w:rPr>
          <w:snapToGrid w:val="0"/>
        </w:rPr>
        <w:tab/>
        <w:t>Power to make regulations</w:t>
      </w:r>
      <w:bookmarkEnd w:id="22"/>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 xml:space="preserve">providing for the preservation of order on or in relation to departmental land and installations vested in, acquired by, or managed by the Department including provisions </w:t>
      </w:r>
      <w:r>
        <w:rPr>
          <w:snapToGrid w:val="0"/>
        </w:rPr>
        <w:lastRenderedPageBreak/>
        <w:t>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 xml:space="preserve">any use of a departmental area, or a facility within it, including, but not limited to, the </w:t>
      </w:r>
      <w:r>
        <w:lastRenderedPageBreak/>
        <w:t>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lastRenderedPageBreak/>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23" w:name="_Toc78368755"/>
      <w:r>
        <w:rPr>
          <w:rStyle w:val="CharSectno"/>
        </w:rPr>
        <w:t>20</w:t>
      </w:r>
      <w:r>
        <w:rPr>
          <w:snapToGrid w:val="0"/>
        </w:rPr>
        <w:t>.</w:t>
      </w:r>
      <w:r>
        <w:rPr>
          <w:snapToGrid w:val="0"/>
        </w:rPr>
        <w:tab/>
        <w:t>References to former departments and offices</w:t>
      </w:r>
      <w:bookmarkEnd w:id="23"/>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lastRenderedPageBreak/>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78282273"/>
      <w:bookmarkStart w:id="25" w:name="_Toc78282299"/>
      <w:bookmarkStart w:id="26" w:name="_Toc78368756"/>
      <w:r>
        <w:lastRenderedPageBreak/>
        <w:t>Notes</w:t>
      </w:r>
      <w:bookmarkEnd w:id="24"/>
      <w:bookmarkEnd w:id="25"/>
      <w:bookmarkEnd w:id="26"/>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w:t>
      </w:r>
    </w:p>
    <w:p>
      <w:pPr>
        <w:pStyle w:val="nHeading3"/>
      </w:pPr>
      <w:bookmarkStart w:id="27" w:name="_Toc78368757"/>
      <w:r>
        <w:t>Compilation table</w:t>
      </w:r>
      <w:bookmarkEnd w:id="27"/>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lastRenderedPageBreak/>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8"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i/>
                <w:snapToGrid w:val="0"/>
              </w:rPr>
            </w:pPr>
            <w:r>
              <w:rPr>
                <w:i/>
              </w:rPr>
              <w:t>Ports Legislation Amendment Act 2019</w:t>
            </w:r>
            <w:r>
              <w:t xml:space="preserve"> Pt. 4</w:t>
            </w:r>
          </w:p>
        </w:tc>
        <w:tc>
          <w:tcPr>
            <w:tcW w:w="1126" w:type="dxa"/>
            <w:gridSpan w:val="2"/>
            <w:tcBorders>
              <w:top w:val="nil"/>
              <w:bottom w:val="nil"/>
            </w:tcBorders>
          </w:tcPr>
          <w:p>
            <w:pPr>
              <w:pStyle w:val="nTable"/>
              <w:spacing w:after="40"/>
              <w:rPr>
                <w:snapToGrid w:val="0"/>
              </w:rPr>
            </w:pPr>
            <w:r>
              <w:rPr>
                <w:snapToGrid w:val="0"/>
              </w:rPr>
              <w:t>2 of 2019</w:t>
            </w:r>
          </w:p>
        </w:tc>
        <w:tc>
          <w:tcPr>
            <w:tcW w:w="1142" w:type="dxa"/>
            <w:gridSpan w:val="2"/>
            <w:tcBorders>
              <w:top w:val="nil"/>
              <w:bottom w:val="nil"/>
            </w:tcBorders>
          </w:tcPr>
          <w:p>
            <w:pPr>
              <w:pStyle w:val="nTable"/>
              <w:spacing w:after="40"/>
            </w:pPr>
            <w:r>
              <w:t>26 Feb 2019</w:t>
            </w:r>
          </w:p>
        </w:tc>
        <w:tc>
          <w:tcPr>
            <w:tcW w:w="2538" w:type="dxa"/>
            <w:tcBorders>
              <w:top w:val="nil"/>
              <w:bottom w:val="nil"/>
            </w:tcBorders>
          </w:tcPr>
          <w:p>
            <w:pPr>
              <w:pStyle w:val="nTable"/>
              <w:spacing w:after="40"/>
              <w:rPr>
                <w:snapToGrid w:val="0"/>
              </w:rPr>
            </w:pPr>
            <w:r>
              <w:rPr>
                <w:snapToGrid w:val="0"/>
              </w:rPr>
              <w:t>Pt. 4 (other than Div. 3): 27 Feb 2019 (see s. 2(b));</w:t>
            </w:r>
            <w:r>
              <w:rPr>
                <w:snapToGrid w:val="0"/>
              </w:rPr>
              <w:br/>
              <w:t xml:space="preserve">Pt. 4 Div. 3: 1 Jul 2021 </w:t>
            </w:r>
            <w:r>
              <w:t>(see s. 2(c) and (e) and SL 2021/50 cl. 2)</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rPr>
            </w:pPr>
            <w:r>
              <w:rPr>
                <w:i/>
              </w:rPr>
              <w:t>Swan Valley Planning Act 2020</w:t>
            </w:r>
            <w:r>
              <w:t xml:space="preserve"> Pt. 10 Div. 8</w:t>
            </w:r>
          </w:p>
        </w:tc>
        <w:tc>
          <w:tcPr>
            <w:tcW w:w="1126" w:type="dxa"/>
            <w:gridSpan w:val="2"/>
            <w:tcBorders>
              <w:top w:val="nil"/>
              <w:bottom w:val="single" w:sz="4" w:space="0" w:color="auto"/>
            </w:tcBorders>
          </w:tcPr>
          <w:p>
            <w:pPr>
              <w:pStyle w:val="nTable"/>
              <w:spacing w:after="40"/>
              <w:rPr>
                <w:snapToGrid w:val="0"/>
              </w:rPr>
            </w:pPr>
            <w:r>
              <w:rPr>
                <w:snapToGrid w:val="0"/>
              </w:rPr>
              <w:t>45 of 2020</w:t>
            </w:r>
          </w:p>
        </w:tc>
        <w:tc>
          <w:tcPr>
            <w:tcW w:w="1142" w:type="dxa"/>
            <w:gridSpan w:val="2"/>
            <w:tcBorders>
              <w:top w:val="nil"/>
              <w:bottom w:val="single" w:sz="4" w:space="0" w:color="auto"/>
            </w:tcBorders>
          </w:tcPr>
          <w:p>
            <w:pPr>
              <w:pStyle w:val="nTable"/>
              <w:spacing w:after="40"/>
            </w:pPr>
            <w:r>
              <w:t>9 Dec 2020</w:t>
            </w:r>
          </w:p>
        </w:tc>
        <w:tc>
          <w:tcPr>
            <w:tcW w:w="2538" w:type="dxa"/>
            <w:tcBorders>
              <w:top w:val="nil"/>
              <w:bottom w:val="single" w:sz="4" w:space="0" w:color="auto"/>
            </w:tcBorders>
          </w:tcPr>
          <w:p>
            <w:pPr>
              <w:pStyle w:val="nTable"/>
              <w:spacing w:after="40"/>
              <w:rPr>
                <w:snapToGrid w:val="0"/>
              </w:rPr>
            </w:pPr>
            <w:r>
              <w:t>1 Aug 2021 (see s. 2(1)(e) and SL 2021/124 cl. 2)</w:t>
            </w:r>
          </w:p>
        </w:tc>
      </w:tr>
    </w:tbl>
    <w:p>
      <w:pPr>
        <w:pStyle w:val="nHeading3"/>
      </w:pPr>
      <w:bookmarkStart w:id="28" w:name="_Toc78368758"/>
      <w:r>
        <w:t>Other notes</w:t>
      </w:r>
      <w:bookmarkEnd w:id="28"/>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lastRenderedPageBreak/>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0" w:name="_Toc78282277"/>
      <w:bookmarkStart w:id="31" w:name="_Toc78282302"/>
      <w:bookmarkStart w:id="32" w:name="_Toc78368759"/>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harbour</w:t>
      </w:r>
      <w:r>
        <w:tab/>
        <w:t>3</w:t>
      </w:r>
    </w:p>
    <w:p>
      <w:pPr>
        <w:pStyle w:val="DefinedTerms"/>
      </w:pPr>
      <w:r>
        <w:t>infringement notice</w:t>
      </w:r>
      <w:r>
        <w:tab/>
        <w:t>3</w:t>
      </w:r>
    </w:p>
    <w:p>
      <w:pPr>
        <w:pStyle w:val="DefinedTerms"/>
      </w:pPr>
      <w:r>
        <w:t>inspector</w:t>
      </w:r>
      <w:r>
        <w:tab/>
        <w:t>3</w:t>
      </w:r>
    </w:p>
    <w:p>
      <w:pPr>
        <w:pStyle w:val="DefinedTerms"/>
      </w:pPr>
      <w:r>
        <w:t>motor vehicle</w:t>
      </w:r>
      <w:r>
        <w:tab/>
        <w:t>18B(3)</w:t>
      </w:r>
    </w:p>
    <w:p>
      <w:pPr>
        <w:pStyle w:val="DefinedTerms"/>
      </w:pPr>
      <w:r>
        <w:t>port</w:t>
      </w:r>
      <w:r>
        <w:tab/>
        <w:t>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38"/>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 w:name="WAFER_20210727115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38_GUID" w:val="5d1cf4b6-2e4c-470e-a560-e9461cb628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5605</Words>
  <Characters>26517</Characters>
  <Application>Microsoft Office Word</Application>
  <DocSecurity>0</DocSecurity>
  <Lines>803</Lines>
  <Paragraphs>452</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1981 - 03-g0-00</dc:title>
  <dc:subject/>
  <dc:creator/>
  <cp:keywords/>
  <dc:description/>
  <cp:lastModifiedBy>Master Repository Process</cp:lastModifiedBy>
  <cp:revision>4</cp:revision>
  <cp:lastPrinted>2008-03-06T02:32:00Z</cp:lastPrinted>
  <dcterms:created xsi:type="dcterms:W3CDTF">2021-07-30T02:57:00Z</dcterms:created>
  <dcterms:modified xsi:type="dcterms:W3CDTF">2021-07-30T02:57:00Z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AsAtDate">
    <vt:lpwstr>01 Aug 2021</vt:lpwstr>
  </property>
  <property fmtid="{D5CDD505-2E9C-101B-9397-08002B2CF9AE}" pid="8" name="Suffix">
    <vt:lpwstr>03-g0-00</vt:lpwstr>
  </property>
  <property fmtid="{D5CDD505-2E9C-101B-9397-08002B2CF9AE}" pid="9" name="CommencementDate">
    <vt:lpwstr>20210801</vt:lpwstr>
  </property>
</Properties>
</file>