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46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Amendment (Safe Access Zones)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Amendment (Safe Access Zones)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_Toc80171081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_Toc80171082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_Toc80171083 \h </w:instrText>
      </w:r>
      <w:r>
        <w:fldChar w:fldCharType="separate"/>
      </w:r>
      <w:r>
        <w:t>2</w:t>
      </w:r>
      <w:r>
        <w:fldChar w:fldCharType="end"/>
      </w:r>
    </w:p>
    <w:p>
      <w:pPr>
        <w:pStyle w:val="TOC8"/>
        <w:rPr>
          <w:rFonts w:asciiTheme="minorHAnsi" w:eastAsiaTheme="minorEastAsia" w:hAnsiTheme="minorHAnsi" w:cstheme="minorBidi"/>
          <w:szCs w:val="22"/>
        </w:rPr>
      </w:pPr>
      <w:r>
        <w:t>4.</w:t>
      </w:r>
      <w:r>
        <w:tab/>
        <w:t>Part 12C inserted</w:t>
      </w:r>
      <w:r>
        <w:tab/>
      </w:r>
      <w:r>
        <w:fldChar w:fldCharType="begin"/>
      </w:r>
      <w:r>
        <w:instrText xml:space="preserve"> PAGEREF _Toc80171084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12C</w:t>
      </w:r>
      <w:r>
        <w:rPr>
          <w:b w:val="0"/>
        </w:rPr>
        <w:t> </w:t>
      </w:r>
      <w:r>
        <w:t>—</w:t>
      </w:r>
      <w:r>
        <w:rPr>
          <w:b w:val="0"/>
        </w:rPr>
        <w:t> </w:t>
      </w:r>
      <w:r>
        <w:t>Safe access to premises at which abortions are provided</w:t>
      </w:r>
    </w:p>
    <w:p>
      <w:pPr>
        <w:pStyle w:val="TOC9"/>
        <w:rPr>
          <w:rFonts w:asciiTheme="minorHAnsi" w:eastAsiaTheme="minorEastAsia" w:hAnsiTheme="minorHAnsi" w:cstheme="minorBidi"/>
          <w:noProof/>
          <w:sz w:val="22"/>
          <w:szCs w:val="22"/>
        </w:rPr>
      </w:pPr>
      <w:r>
        <w:rPr>
          <w:noProof/>
        </w:rPr>
        <w:t>202N.</w:t>
      </w:r>
      <w:r>
        <w:rPr>
          <w:noProof/>
        </w:rPr>
        <w:tab/>
        <w:t>Purpose</w:t>
      </w:r>
      <w:r>
        <w:rPr>
          <w:noProof/>
        </w:rPr>
        <w:tab/>
      </w:r>
      <w:r>
        <w:rPr>
          <w:noProof/>
        </w:rPr>
        <w:fldChar w:fldCharType="begin"/>
      </w:r>
      <w:r>
        <w:rPr>
          <w:noProof/>
        </w:rPr>
        <w:instrText xml:space="preserve"> PAGEREF _Toc80171086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202O.</w:t>
      </w:r>
      <w:r>
        <w:rPr>
          <w:noProof/>
        </w:rPr>
        <w:tab/>
        <w:t>Terms used</w:t>
      </w:r>
      <w:r>
        <w:rPr>
          <w:noProof/>
        </w:rPr>
        <w:tab/>
      </w:r>
      <w:r>
        <w:rPr>
          <w:noProof/>
        </w:rPr>
        <w:fldChar w:fldCharType="begin"/>
      </w:r>
      <w:r>
        <w:rPr>
          <w:noProof/>
        </w:rPr>
        <w:instrText xml:space="preserve"> PAGEREF _Toc80171087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202P.</w:t>
      </w:r>
      <w:r>
        <w:rPr>
          <w:noProof/>
        </w:rPr>
        <w:tab/>
        <w:t>Offence to engage in prohibited behaviour within safe access zone</w:t>
      </w:r>
      <w:r>
        <w:rPr>
          <w:noProof/>
        </w:rPr>
        <w:tab/>
      </w:r>
      <w:r>
        <w:rPr>
          <w:noProof/>
        </w:rPr>
        <w:fldChar w:fldCharType="begin"/>
      </w:r>
      <w:r>
        <w:rPr>
          <w:noProof/>
        </w:rPr>
        <w:instrText xml:space="preserve"> PAGEREF _Toc80171088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202Q.</w:t>
      </w:r>
      <w:r>
        <w:rPr>
          <w:noProof/>
        </w:rPr>
        <w:tab/>
        <w:t>Offence to publish or distribute recording</w:t>
      </w:r>
      <w:r>
        <w:rPr>
          <w:noProof/>
        </w:rPr>
        <w:tab/>
      </w:r>
      <w:r>
        <w:rPr>
          <w:noProof/>
        </w:rPr>
        <w:fldChar w:fldCharType="begin"/>
      </w:r>
      <w:r>
        <w:rPr>
          <w:noProof/>
        </w:rPr>
        <w:instrText xml:space="preserve"> PAGEREF _Toc80171089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5.</w:t>
      </w:r>
      <w:r>
        <w:tab/>
        <w:t>Section 306B inserted</w:t>
      </w:r>
      <w:r>
        <w:tab/>
      </w:r>
      <w:r>
        <w:fldChar w:fldCharType="begin"/>
      </w:r>
      <w:r>
        <w:instrText xml:space="preserve"> PAGEREF _Toc80171090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306B.</w:t>
      </w:r>
      <w:r>
        <w:rPr>
          <w:noProof/>
        </w:rPr>
        <w:tab/>
        <w:t xml:space="preserve">Review of amendments made by </w:t>
      </w:r>
      <w:r>
        <w:rPr>
          <w:i/>
          <w:noProof/>
        </w:rPr>
        <w:t>Public Health Amendment (Safe Access Zones) Act 2021</w:t>
      </w:r>
      <w:r>
        <w:rPr>
          <w:noProof/>
        </w:rPr>
        <w:tab/>
      </w:r>
      <w:r>
        <w:rPr>
          <w:noProof/>
        </w:rPr>
        <w:fldChar w:fldCharType="begin"/>
      </w:r>
      <w:r>
        <w:rPr>
          <w:noProof/>
        </w:rPr>
        <w:instrText xml:space="preserve"> PAGEREF _Toc80171091 \h </w:instrText>
      </w:r>
      <w:r>
        <w:rPr>
          <w:noProof/>
        </w:rPr>
      </w:r>
      <w:r>
        <w:rPr>
          <w:noProof/>
        </w:rPr>
        <w:fldChar w:fldCharType="separate"/>
      </w:r>
      <w:r>
        <w:rPr>
          <w:noProof/>
        </w:rPr>
        <w:t>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8480"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ParlHouse"/>
        <w:spacing w:after="2400"/>
      </w:pPr>
    </w:p>
    <w:p>
      <w:pPr>
        <w:pStyle w:val="NameofActReg"/>
      </w:pPr>
      <w:r>
        <w:t>Public Health Amendment (Safe Access Zones) Act 2021</w:t>
      </w:r>
    </w:p>
    <w:p>
      <w:pPr>
        <w:pStyle w:val="ABillFor"/>
        <w:pBdr>
          <w:top w:val="single" w:sz="4" w:space="6" w:color="auto"/>
          <w:bottom w:val="single" w:sz="4" w:space="6" w:color="auto"/>
        </w:pBdr>
        <w:spacing w:before="0" w:after="240"/>
        <w:ind w:left="2551" w:right="2551"/>
      </w:pPr>
      <w:bookmarkStart w:id="3" w:name="BillCited"/>
      <w:bookmarkEnd w:id="3"/>
      <w:r>
        <w:t>No. 9 of 2021</w:t>
      </w:r>
    </w:p>
    <w:p>
      <w:pPr>
        <w:pStyle w:val="LongTitle"/>
      </w:pPr>
      <w:r>
        <w:t xml:space="preserve">An Act to amend the </w:t>
      </w:r>
      <w:r>
        <w:rPr>
          <w:i/>
        </w:rPr>
        <w:t>Public Health Act 2016</w:t>
      </w:r>
      <w:r>
        <w:t>.</w:t>
      </w:r>
    </w:p>
    <w:p>
      <w:pPr>
        <w:pStyle w:val="AssentDate"/>
        <w:spacing w:before="240" w:after="480"/>
      </w:pPr>
      <w:r>
        <w:t>[</w:t>
      </w:r>
      <w:r>
        <w:rPr>
          <w:i/>
        </w:rPr>
        <w:t>Assented to 17 August 2021</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80171081"/>
      <w:r>
        <w:rPr>
          <w:rStyle w:val="CharSectno"/>
        </w:rPr>
        <w:lastRenderedPageBreak/>
        <w:t>1</w:t>
      </w:r>
      <w:r>
        <w:t>.</w:t>
      </w:r>
      <w:r>
        <w:tab/>
        <w:t>Short title</w:t>
      </w:r>
      <w:bookmarkEnd w:id="4"/>
    </w:p>
    <w:p>
      <w:pPr>
        <w:pStyle w:val="Subsection"/>
      </w:pPr>
      <w:r>
        <w:tab/>
      </w:r>
      <w:r>
        <w:tab/>
        <w:t>This is the</w:t>
      </w:r>
      <w:r>
        <w:rPr>
          <w:i/>
        </w:rPr>
        <w:t xml:space="preserve"> Public Health Amendment (Safe Access Zones) Act 2021</w:t>
      </w:r>
      <w:r>
        <w:t>.</w:t>
      </w:r>
    </w:p>
    <w:p>
      <w:pPr>
        <w:pStyle w:val="Heading5"/>
      </w:pPr>
      <w:bookmarkStart w:id="5" w:name="_Toc80171082"/>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80171083"/>
      <w:r>
        <w:rPr>
          <w:rStyle w:val="CharSectno"/>
        </w:rPr>
        <w:t>3</w:t>
      </w:r>
      <w:r>
        <w:rPr>
          <w:snapToGrid w:val="0"/>
        </w:rPr>
        <w:t>.</w:t>
      </w:r>
      <w:r>
        <w:rPr>
          <w:snapToGrid w:val="0"/>
        </w:rPr>
        <w:tab/>
        <w:t>Act amended</w:t>
      </w:r>
      <w:bookmarkEnd w:id="6"/>
    </w:p>
    <w:p>
      <w:pPr>
        <w:pStyle w:val="Subsection"/>
      </w:pPr>
      <w:r>
        <w:tab/>
      </w:r>
      <w:r>
        <w:tab/>
        <w:t xml:space="preserve">This Act amends the </w:t>
      </w:r>
      <w:r>
        <w:rPr>
          <w:i/>
        </w:rPr>
        <w:t>Public Health Act 2016</w:t>
      </w:r>
      <w:r>
        <w:t>.</w:t>
      </w:r>
    </w:p>
    <w:p>
      <w:pPr>
        <w:pStyle w:val="Heading5"/>
      </w:pPr>
      <w:bookmarkStart w:id="7" w:name="_Toc80171084"/>
      <w:r>
        <w:rPr>
          <w:rStyle w:val="CharSectno"/>
        </w:rPr>
        <w:t>4</w:t>
      </w:r>
      <w:r>
        <w:t>.</w:t>
      </w:r>
      <w:r>
        <w:tab/>
        <w:t>Part 12C inserted</w:t>
      </w:r>
      <w:bookmarkEnd w:id="7"/>
    </w:p>
    <w:p>
      <w:pPr>
        <w:pStyle w:val="Subsection"/>
      </w:pPr>
      <w:r>
        <w:tab/>
      </w:r>
      <w:r>
        <w:tab/>
        <w:t>After section 202M insert:</w:t>
      </w:r>
    </w:p>
    <w:p>
      <w:pPr>
        <w:pStyle w:val="BlankOpen"/>
      </w:pPr>
    </w:p>
    <w:p>
      <w:pPr>
        <w:pStyle w:val="zHeading2"/>
      </w:pPr>
      <w:bookmarkStart w:id="8" w:name="_Toc80171008"/>
      <w:bookmarkStart w:id="9" w:name="_Toc80171034"/>
      <w:bookmarkStart w:id="10" w:name="_Toc80171085"/>
      <w:r>
        <w:t>Part 12C</w:t>
      </w:r>
      <w:r>
        <w:rPr>
          <w:b w:val="0"/>
        </w:rPr>
        <w:t> </w:t>
      </w:r>
      <w:r>
        <w:t>—</w:t>
      </w:r>
      <w:r>
        <w:rPr>
          <w:b w:val="0"/>
        </w:rPr>
        <w:t> </w:t>
      </w:r>
      <w:r>
        <w:t>Safe access to premises at which abortions are provided</w:t>
      </w:r>
      <w:bookmarkEnd w:id="8"/>
      <w:bookmarkEnd w:id="9"/>
      <w:bookmarkEnd w:id="10"/>
    </w:p>
    <w:p>
      <w:pPr>
        <w:pStyle w:val="zHeading5"/>
      </w:pPr>
      <w:bookmarkStart w:id="11" w:name="_Toc80171086"/>
      <w:r>
        <w:t>202N.</w:t>
      </w:r>
      <w:r>
        <w:tab/>
        <w:t>Purpose</w:t>
      </w:r>
      <w:bookmarkEnd w:id="11"/>
    </w:p>
    <w:p>
      <w:pPr>
        <w:pStyle w:val="zSubsection"/>
      </w:pPr>
      <w:r>
        <w:tab/>
      </w:r>
      <w:r>
        <w:tab/>
        <w:t xml:space="preserve">The purpose of this Part is — </w:t>
      </w:r>
    </w:p>
    <w:p>
      <w:pPr>
        <w:pStyle w:val="zIndenta"/>
      </w:pPr>
      <w:r>
        <w:tab/>
        <w:t>(a)</w:t>
      </w:r>
      <w:r>
        <w:tab/>
        <w:t xml:space="preserve">to provide for safe access zones around premises at which abortions are provided so as to protect the safety and wellbeing, and respect the privacy and dignity, of — </w:t>
      </w:r>
    </w:p>
    <w:p>
      <w:pPr>
        <w:pStyle w:val="zIndenti"/>
      </w:pPr>
      <w:r>
        <w:tab/>
        <w:t>(i)</w:t>
      </w:r>
      <w:r>
        <w:tab/>
        <w:t>persons accessing the services provided at those premises; and</w:t>
      </w:r>
    </w:p>
    <w:p>
      <w:pPr>
        <w:pStyle w:val="zIndenti"/>
      </w:pPr>
      <w:r>
        <w:tab/>
        <w:t>(ii)</w:t>
      </w:r>
      <w:r>
        <w:tab/>
        <w:t>employees and other persons who need to access those premises in the course of their duties and responsibilities;</w:t>
      </w:r>
    </w:p>
    <w:p>
      <w:pPr>
        <w:pStyle w:val="zIndenta"/>
      </w:pPr>
      <w:r>
        <w:tab/>
      </w:r>
      <w:r>
        <w:tab/>
        <w:t>and</w:t>
      </w:r>
    </w:p>
    <w:p>
      <w:pPr>
        <w:pStyle w:val="zIndenta"/>
      </w:pPr>
      <w:r>
        <w:lastRenderedPageBreak/>
        <w:tab/>
        <w:t>(b)</w:t>
      </w:r>
      <w:r>
        <w:tab/>
        <w:t>to prohibit publication and distribution of certain recordings.</w:t>
      </w:r>
    </w:p>
    <w:p>
      <w:pPr>
        <w:pStyle w:val="zHeading5"/>
      </w:pPr>
      <w:bookmarkStart w:id="12" w:name="_Toc80171087"/>
      <w:r>
        <w:t>202O.</w:t>
      </w:r>
      <w:r>
        <w:tab/>
        <w:t>Terms used</w:t>
      </w:r>
      <w:bookmarkEnd w:id="12"/>
    </w:p>
    <w:p>
      <w:pPr>
        <w:pStyle w:val="zSubsection"/>
      </w:pPr>
      <w:r>
        <w:tab/>
      </w:r>
      <w:r>
        <w:tab/>
        <w:t xml:space="preserve">In this Part — </w:t>
      </w:r>
    </w:p>
    <w:p>
      <w:pPr>
        <w:pStyle w:val="zDefstart"/>
      </w:pPr>
      <w:r>
        <w:tab/>
      </w:r>
      <w:r>
        <w:rPr>
          <w:rStyle w:val="CharDefText"/>
        </w:rPr>
        <w:t>distribute</w:t>
      </w:r>
      <w:r>
        <w:t xml:space="preserve"> includes — </w:t>
      </w:r>
    </w:p>
    <w:p>
      <w:pPr>
        <w:pStyle w:val="zDefpara"/>
      </w:pPr>
      <w:r>
        <w:tab/>
        <w:t>(a)</w:t>
      </w:r>
      <w:r>
        <w:tab/>
        <w:t>communicate, exhibit, send, supply, offer or transmit, whether to a particular person or not; and</w:t>
      </w:r>
    </w:p>
    <w:p>
      <w:pPr>
        <w:pStyle w:val="zDefpara"/>
      </w:pPr>
      <w:r>
        <w:tab/>
        <w:t>(b)</w:t>
      </w:r>
      <w:r>
        <w:tab/>
        <w:t>make available for access, whether by a particular person or not; and</w:t>
      </w:r>
    </w:p>
    <w:p>
      <w:pPr>
        <w:pStyle w:val="zDefpara"/>
      </w:pPr>
      <w:r>
        <w:tab/>
        <w:t>(c)</w:t>
      </w:r>
      <w:r>
        <w:tab/>
        <w:t>enter into an agreement or arrangement to do anything referred to in paragraph (a) or (b); and</w:t>
      </w:r>
    </w:p>
    <w:p>
      <w:pPr>
        <w:pStyle w:val="zDefpara"/>
      </w:pPr>
      <w:r>
        <w:tab/>
        <w:t>(d)</w:t>
      </w:r>
      <w:r>
        <w:tab/>
        <w:t>attempt to distribute;</w:t>
      </w:r>
    </w:p>
    <w:p>
      <w:pPr>
        <w:pStyle w:val="zDefstart"/>
      </w:pPr>
      <w:r>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zDefstart"/>
      </w:pPr>
      <w:r>
        <w:tab/>
      </w:r>
      <w:r>
        <w:rPr>
          <w:rStyle w:val="CharDefText"/>
        </w:rPr>
        <w:t>publish</w:t>
      </w:r>
      <w:r>
        <w:t xml:space="preserve"> means to disseminate to the public or a section of the public by any means, including — </w:t>
      </w:r>
    </w:p>
    <w:p>
      <w:pPr>
        <w:pStyle w:val="zDefpara"/>
      </w:pPr>
      <w:r>
        <w:tab/>
        <w:t>(a)</w:t>
      </w:r>
      <w:r>
        <w:tab/>
        <w:t>in a book, newspaper, magazine or other written publication; and</w:t>
      </w:r>
    </w:p>
    <w:p>
      <w:pPr>
        <w:pStyle w:val="zDefpara"/>
      </w:pPr>
      <w:r>
        <w:tab/>
        <w:t>(b)</w:t>
      </w:r>
      <w:r>
        <w:tab/>
        <w:t>by radio broadcast, television, a website, an online facility or other electronic means;</w:t>
      </w:r>
    </w:p>
    <w:p>
      <w:pPr>
        <w:pStyle w:val="zDefstart"/>
      </w:pPr>
      <w:r>
        <w:tab/>
      </w:r>
      <w:r>
        <w:rPr>
          <w:rStyle w:val="CharDefText"/>
        </w:rPr>
        <w:t>recording</w:t>
      </w:r>
      <w:r>
        <w:t xml:space="preserve"> includes a photograph or digital image;</w:t>
      </w:r>
    </w:p>
    <w:p>
      <w:pPr>
        <w:pStyle w:val="zDefstart"/>
      </w:pPr>
      <w:r>
        <w:tab/>
      </w:r>
      <w:r>
        <w:rPr>
          <w:rStyle w:val="CharDefText"/>
        </w:rPr>
        <w:t>safe access zone</w:t>
      </w:r>
      <w:r>
        <w:t xml:space="preserve"> means the area — </w:t>
      </w:r>
    </w:p>
    <w:p>
      <w:pPr>
        <w:pStyle w:val="zDefpara"/>
      </w:pPr>
      <w:r>
        <w:tab/>
        <w:t>(a)</w:t>
      </w:r>
      <w:r>
        <w:tab/>
        <w:t>within the boundary of premises at which abortions are provided; and</w:t>
      </w:r>
    </w:p>
    <w:p>
      <w:pPr>
        <w:pStyle w:val="zDefpara"/>
      </w:pPr>
      <w:r>
        <w:tab/>
        <w:t>(b)</w:t>
      </w:r>
      <w:r>
        <w:tab/>
        <w:t>within 150 m outside the boundary.</w:t>
      </w:r>
    </w:p>
    <w:p>
      <w:pPr>
        <w:pStyle w:val="zHeading5"/>
      </w:pPr>
      <w:bookmarkStart w:id="13" w:name="_Toc80171088"/>
      <w:r>
        <w:lastRenderedPageBreak/>
        <w:t>202P.</w:t>
      </w:r>
      <w:r>
        <w:tab/>
        <w:t>Offence to engage in prohibited behaviour within safe access zone</w:t>
      </w:r>
      <w:bookmarkEnd w:id="13"/>
    </w:p>
    <w:p>
      <w:pPr>
        <w:pStyle w:val="zSubsection"/>
        <w:keepNext/>
      </w:pPr>
      <w:r>
        <w:tab/>
        <w:t>(1)</w:t>
      </w:r>
      <w:r>
        <w:tab/>
        <w:t>A person must not engage in prohibited behaviour within a safe access zone.</w:t>
      </w:r>
    </w:p>
    <w:p>
      <w:pPr>
        <w:pStyle w:val="zPenstart"/>
      </w:pPr>
      <w:r>
        <w:tab/>
        <w:t>Penalty for this subsection: imprisonment for 1 year and a fine of $12 000.</w:t>
      </w:r>
    </w:p>
    <w:p>
      <w:pPr>
        <w:pStyle w:val="zSubsection"/>
      </w:pPr>
      <w:r>
        <w:tab/>
        <w:t>(2)</w:t>
      </w:r>
      <w:r>
        <w:tab/>
        <w:t xml:space="preserve">For the purposes of subsection (1), a person engages in prohibited behaviour if the person — </w:t>
      </w:r>
    </w:p>
    <w:p>
      <w:pPr>
        <w:pStyle w:val="zIndenta"/>
      </w:pPr>
      <w:r>
        <w:tab/>
        <w:t>(a)</w:t>
      </w:r>
      <w:r>
        <w:tab/>
        <w:t>besets, harasses, intimidates, interferes with, threatens, hinders, obstructs or impedes a person accessing, attempting to access or leaving premises at which abortions are provided; or</w:t>
      </w:r>
    </w:p>
    <w:p>
      <w:pPr>
        <w:pStyle w:val="zIndenta"/>
      </w:pPr>
      <w:r>
        <w:tab/>
        <w:t>(b)</w:t>
      </w:r>
      <w:r>
        <w:tab/>
        <w:t xml:space="preserve">subject to subsection (3), communicates by any means in relation to abortion in a manner that is — </w:t>
      </w:r>
    </w:p>
    <w:p>
      <w:pPr>
        <w:pStyle w:val="zIndenti"/>
      </w:pPr>
      <w:r>
        <w:tab/>
        <w:t>(i)</w:t>
      </w:r>
      <w:r>
        <w:tab/>
        <w:t>able to be seen or heard by a person accessing, attempting to access or leaving premises at which abortions are provided; and</w:t>
      </w:r>
    </w:p>
    <w:p>
      <w:pPr>
        <w:pStyle w:val="zIndenti"/>
      </w:pPr>
      <w:r>
        <w:tab/>
        <w:t>(ii)</w:t>
      </w:r>
      <w:r>
        <w:tab/>
        <w:t>reasonably likely to cause distress or anxiety;</w:t>
      </w:r>
    </w:p>
    <w:p>
      <w:pPr>
        <w:pStyle w:val="zIndenta"/>
      </w:pPr>
      <w:r>
        <w:tab/>
      </w:r>
      <w:r>
        <w:tab/>
        <w:t>or</w:t>
      </w:r>
    </w:p>
    <w:p>
      <w:pPr>
        <w:pStyle w:val="zIndenta"/>
      </w:pPr>
      <w:r>
        <w:tab/>
        <w:t>(c)</w:t>
      </w:r>
      <w:r>
        <w:tab/>
        <w:t>without reasonable excuse, interferes with or impedes a footpath, road or vehicle in relation to abortion; or</w:t>
      </w:r>
    </w:p>
    <w:p>
      <w:pPr>
        <w:pStyle w:val="zIndenta"/>
      </w:pPr>
      <w:r>
        <w:tab/>
        <w:t>(d)</w:t>
      </w:r>
      <w:r>
        <w:tab/>
        <w:t>without reasonable excuse, makes a recording by any means of another person accessing, attempting to access or leaving premises at which abortions are provided, without the other person’s consent; or</w:t>
      </w:r>
    </w:p>
    <w:p>
      <w:pPr>
        <w:pStyle w:val="zIndenta"/>
      </w:pPr>
      <w:r>
        <w:lastRenderedPageBreak/>
        <w:tab/>
        <w:t>(e)</w:t>
      </w:r>
      <w:r>
        <w:tab/>
        <w:t>engages in any other behaviour prescribed by the regulations for the purposes of this paragraph.</w:t>
      </w:r>
    </w:p>
    <w:p>
      <w:pPr>
        <w:pStyle w:val="zSubsection"/>
      </w:pPr>
      <w:r>
        <w:tab/>
        <w:t>(3)</w:t>
      </w:r>
      <w:r>
        <w:tab/>
        <w:t>Subsection (2)(b) does not apply if the person communicating in relation to abortion is an employee or other person who provides services at the premises.</w:t>
      </w:r>
    </w:p>
    <w:p>
      <w:pPr>
        <w:pStyle w:val="zHeading5"/>
      </w:pPr>
      <w:bookmarkStart w:id="14" w:name="_Toc80171089"/>
      <w:r>
        <w:t>202Q.</w:t>
      </w:r>
      <w:r>
        <w:tab/>
        <w:t>Offence to publish or distribute recording</w:t>
      </w:r>
      <w:bookmarkEnd w:id="14"/>
    </w:p>
    <w:p>
      <w:pPr>
        <w:pStyle w:val="z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zIndenta"/>
      </w:pPr>
      <w:r>
        <w:tab/>
        <w:t>(a)</w:t>
      </w:r>
      <w:r>
        <w:tab/>
        <w:t>the other person; and</w:t>
      </w:r>
    </w:p>
    <w:p>
      <w:pPr>
        <w:pStyle w:val="zIndenta"/>
      </w:pPr>
      <w:r>
        <w:tab/>
        <w:t>(b)</w:t>
      </w:r>
      <w:r>
        <w:tab/>
        <w:t>the other person as a person accessing premises at which abortions are provided.</w:t>
      </w:r>
    </w:p>
    <w:p>
      <w:pPr>
        <w:pStyle w:val="zPenstart"/>
      </w:pPr>
      <w:r>
        <w:tab/>
        <w:t>Penalty: imprisonment for 1 year and a fine of $12 000.</w:t>
      </w:r>
    </w:p>
    <w:p>
      <w:pPr>
        <w:pStyle w:val="BlankClose"/>
      </w:pPr>
    </w:p>
    <w:p>
      <w:pPr>
        <w:pStyle w:val="Heading5"/>
      </w:pPr>
      <w:bookmarkStart w:id="15" w:name="_Toc80171090"/>
      <w:r>
        <w:rPr>
          <w:rStyle w:val="CharSectno"/>
        </w:rPr>
        <w:t>5</w:t>
      </w:r>
      <w:r>
        <w:t>.</w:t>
      </w:r>
      <w:r>
        <w:tab/>
        <w:t>Section 306B inserted</w:t>
      </w:r>
      <w:bookmarkEnd w:id="15"/>
    </w:p>
    <w:p>
      <w:pPr>
        <w:pStyle w:val="Subsection"/>
      </w:pPr>
      <w:r>
        <w:tab/>
      </w:r>
      <w:r>
        <w:tab/>
        <w:t>At the end of Part 19 Division 6 insert:</w:t>
      </w:r>
    </w:p>
    <w:p>
      <w:pPr>
        <w:pStyle w:val="BlankOpen"/>
      </w:pPr>
    </w:p>
    <w:p>
      <w:pPr>
        <w:pStyle w:val="zHeading5"/>
      </w:pPr>
      <w:bookmarkStart w:id="16" w:name="_Toc80171091"/>
      <w:r>
        <w:t>306B.</w:t>
      </w:r>
      <w:r>
        <w:tab/>
        <w:t xml:space="preserve">Review of amendments made by </w:t>
      </w:r>
      <w:r>
        <w:rPr>
          <w:i/>
        </w:rPr>
        <w:t>Public Health Amendment (Safe Access Zones) Act 2021</w:t>
      </w:r>
      <w:bookmarkEnd w:id="16"/>
    </w:p>
    <w:p>
      <w:pPr>
        <w:pStyle w:val="z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zSubsection"/>
        <w:rPr>
          <w:snapToGrid w:val="0"/>
        </w:rPr>
      </w:pPr>
      <w:r>
        <w:lastRenderedPageBreak/>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bottom</wp:align>
                </wp:positionV>
                <wp:extent cx="127000" cy="2921000"/>
                <wp:effectExtent l="0" t="0" r="1905" b="0"/>
                <wp:wrapNone/>
                <wp:docPr id="6"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72576;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S3oA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9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Amendment (Safe Access Zones)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Amendment (Safe Access Zones)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Amendment (Safe Access Zones)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Amendment (Safe Access Zones)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Amendment (Safe Access Zones)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Amendment (Safe Access Zones)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1809220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4090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090439_GUID" w:val="bee3f5cb-59ed-4ca0-a645-22d1dc46a33d"/>
    <w:docVar w:name="WAFER_20210818092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18092201_GUID" w:val="0f77abf8-f36d-4150-a43b-807f899816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CE382-E51A-4735-9E75-085566B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E6A2-AF7E-47DA-B564-5A72A18B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5003</Characters>
  <Application>Microsoft Office Word</Application>
  <DocSecurity>0</DocSecurity>
  <Lines>185</Lines>
  <Paragraphs>107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Amendment (Safe Access Zones) Act 2021 - 00-00-00</dc:title>
  <dc:subject/>
  <dc:creator/>
  <cp:keywords/>
  <dc:description/>
  <cp:lastModifiedBy>Master Repository Process</cp:lastModifiedBy>
  <cp:revision>4</cp:revision>
  <cp:lastPrinted>2021-08-18T01:10:00Z</cp:lastPrinted>
  <dcterms:created xsi:type="dcterms:W3CDTF">2021-08-18T01:52:00Z</dcterms:created>
  <dcterms:modified xsi:type="dcterms:W3CDTF">2021-08-18T01:52:00Z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2021</vt:lpwstr>
  </property>
  <property fmtid="{D5CDD505-2E9C-101B-9397-08002B2CF9AE}" pid="3" name="DocumentType">
    <vt:lpwstr>Act</vt:lpwstr>
  </property>
  <property fmtid="{D5CDD505-2E9C-101B-9397-08002B2CF9AE}" pid="4" name="AsAtDate">
    <vt:lpwstr>17 Aug 2021</vt:lpwstr>
  </property>
  <property fmtid="{D5CDD505-2E9C-101B-9397-08002B2CF9AE}" pid="5" name="Suffix">
    <vt:lpwstr>00-00-00</vt:lpwstr>
  </property>
  <property fmtid="{D5CDD505-2E9C-101B-9397-08002B2CF9AE}" pid="6" name="ActNoFooter">
    <vt:lpwstr>No. 9 of 2021</vt:lpwstr>
  </property>
  <property fmtid="{D5CDD505-2E9C-101B-9397-08002B2CF9AE}" pid="7" name="CommencementDate">
    <vt:lpwstr>20210817</vt:lpwstr>
  </property>
</Properties>
</file>