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Legislation Act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Legislation Act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_Toc136530766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_Toc136530767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Object of this Act</w:t>
      </w:r>
      <w:r>
        <w:tab/>
      </w:r>
      <w:r>
        <w:fldChar w:fldCharType="begin"/>
      </w:r>
      <w:r>
        <w:instrText xml:space="preserve"> PAGEREF _Toc136530768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Terms used</w:t>
      </w:r>
      <w:r>
        <w:tab/>
      </w:r>
      <w:r>
        <w:fldChar w:fldCharType="begin"/>
      </w:r>
      <w:r>
        <w:instrText xml:space="preserve"> PAGEREF _Toc136530769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Act binds Crown</w:t>
      </w:r>
      <w:r>
        <w:tab/>
      </w:r>
      <w:r>
        <w:fldChar w:fldCharType="begin"/>
      </w:r>
      <w:r>
        <w:instrText xml:space="preserve"> PAGEREF _Toc136530770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Application of this Act</w:t>
      </w:r>
      <w:r>
        <w:tab/>
      </w:r>
      <w:r>
        <w:fldChar w:fldCharType="begin"/>
      </w:r>
      <w:r>
        <w:instrText xml:space="preserve"> PAGEREF _Toc136530771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Relationship with other Acts</w:t>
      </w:r>
      <w:r>
        <w:tab/>
      </w:r>
      <w:r>
        <w:fldChar w:fldCharType="begin"/>
      </w:r>
      <w:r>
        <w:instrText xml:space="preserve"> PAGEREF _Toc136530772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_Toc136530774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_Toc136530775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Legislation Act 2021</w:t>
      </w:r>
    </w:p>
    <w:p>
      <w:pPr>
        <w:pStyle w:val="LongTitle"/>
      </w:pPr>
      <w:bookmarkStart w:id="3" w:name="BillCited"/>
      <w:bookmarkEnd w:id="3"/>
      <w:r>
        <w:t xml:space="preserve">An Act — </w:t>
      </w:r>
    </w:p>
    <w:p>
      <w:pPr>
        <w:pStyle w:val="LongTitle"/>
        <w:numPr>
          <w:ilvl w:val="0"/>
          <w:numId w:val="2"/>
        </w:numPr>
        <w:ind w:left="426" w:hanging="426"/>
      </w:pPr>
      <w:r>
        <w:t>to provide for public access to Western Australian legislation; and</w:t>
      </w:r>
    </w:p>
    <w:p>
      <w:pPr>
        <w:pStyle w:val="LongTitle"/>
        <w:numPr>
          <w:ilvl w:val="0"/>
          <w:numId w:val="2"/>
        </w:numPr>
        <w:ind w:left="426" w:hanging="426"/>
      </w:pPr>
      <w:r>
        <w:t>to provide for the official status of published versions of Western Australian legislation; and</w:t>
      </w:r>
    </w:p>
    <w:p>
      <w:pPr>
        <w:pStyle w:val="LongTitle"/>
        <w:numPr>
          <w:ilvl w:val="0"/>
          <w:numId w:val="2"/>
        </w:numPr>
        <w:ind w:left="426" w:hanging="426"/>
      </w:pPr>
      <w:r>
        <w:t>to provide for Western Australian legislation to be kept in an up</w:t>
      </w:r>
      <w:r>
        <w:noBreakHyphen/>
        <w:t>to</w:t>
      </w:r>
      <w:r>
        <w:noBreakHyphen/>
        <w:t>date form and consistent with current drafting practice; and</w:t>
      </w:r>
    </w:p>
    <w:p>
      <w:pPr>
        <w:pStyle w:val="LongTitle"/>
        <w:numPr>
          <w:ilvl w:val="0"/>
          <w:numId w:val="2"/>
        </w:numPr>
        <w:ind w:left="426" w:hanging="426"/>
      </w:pPr>
      <w:r>
        <w:t xml:space="preserve">to repeal the </w:t>
      </w:r>
      <w:r>
        <w:rPr>
          <w:i/>
        </w:rPr>
        <w:t>Reprints Act 1984</w:t>
      </w:r>
      <w:r>
        <w:t>; and</w:t>
      </w:r>
    </w:p>
    <w:p>
      <w:pPr>
        <w:pStyle w:val="LongTitle"/>
        <w:numPr>
          <w:ilvl w:val="0"/>
          <w:numId w:val="2"/>
        </w:numPr>
        <w:ind w:left="426" w:hanging="426"/>
      </w:pPr>
      <w:r>
        <w:t>for related purposes.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136529958"/>
      <w:bookmarkStart w:id="5" w:name="_Toc136530765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</w:p>
    <w:p>
      <w:pPr>
        <w:pStyle w:val="Heading5"/>
      </w:pPr>
      <w:bookmarkStart w:id="6" w:name="_Toc136530766"/>
      <w:r>
        <w:rPr>
          <w:rStyle w:val="CharSectno"/>
        </w:rPr>
        <w:t>1</w:t>
      </w:r>
      <w:r>
        <w:t>.</w:t>
      </w:r>
      <w:r>
        <w:tab/>
        <w:t>Short title</w:t>
      </w:r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Legislation Act 2021</w:t>
      </w:r>
      <w:r>
        <w:t>.</w:t>
      </w:r>
    </w:p>
    <w:p>
      <w:pPr>
        <w:pStyle w:val="Heading5"/>
      </w:pPr>
      <w:bookmarkStart w:id="7" w:name="_Toc136530767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proclamation.</w:t>
      </w:r>
    </w:p>
    <w:p>
      <w:pPr>
        <w:pStyle w:val="Heading5"/>
      </w:pPr>
      <w:bookmarkStart w:id="8" w:name="_Toc136530768"/>
      <w:r>
        <w:rPr>
          <w:rStyle w:val="CharSectno"/>
        </w:rPr>
        <w:t>3</w:t>
      </w:r>
      <w:r>
        <w:t>.</w:t>
      </w:r>
      <w:r>
        <w:tab/>
        <w:t>Object of this Act</w:t>
      </w:r>
      <w:bookmarkEnd w:id="8"/>
    </w:p>
    <w:p>
      <w:pPr>
        <w:pStyle w:val="Subsection"/>
      </w:pPr>
      <w:r>
        <w:tab/>
        <w:t>(1)</w:t>
      </w:r>
      <w:r>
        <w:tab/>
        <w:t>The object of this Act is for Western Australian legislation to be easy to find, use and understand.</w:t>
      </w:r>
    </w:p>
    <w:p>
      <w:pPr>
        <w:pStyle w:val="Subsection"/>
      </w:pPr>
      <w:r>
        <w:tab/>
        <w:t>(2)</w:t>
      </w:r>
      <w:r>
        <w:tab/>
        <w:t xml:space="preserve">This object is to be achieved by — </w:t>
      </w:r>
    </w:p>
    <w:p>
      <w:pPr>
        <w:pStyle w:val="Indenta"/>
      </w:pPr>
      <w:r>
        <w:tab/>
        <w:t>(a)</w:t>
      </w:r>
      <w:r>
        <w:tab/>
        <w:t>providing for Western Australian legislation to be made publicly available; and</w:t>
      </w:r>
    </w:p>
    <w:p>
      <w:pPr>
        <w:pStyle w:val="Indenta"/>
      </w:pPr>
      <w:r>
        <w:tab/>
        <w:t>(b)</w:t>
      </w:r>
      <w:r>
        <w:tab/>
        <w:t>giving official status to Western Australian legislation in both hard copy and electronic form; and</w:t>
      </w:r>
    </w:p>
    <w:p>
      <w:pPr>
        <w:pStyle w:val="Indenta"/>
      </w:pPr>
      <w:r>
        <w:tab/>
        <w:t>(c)</w:t>
      </w:r>
      <w:r>
        <w:tab/>
        <w:t>conferring power on the Parliamentary Counsel to make editorial changes so that, in appropriate cases, Western Australian legislation can be kept up</w:t>
      </w:r>
      <w:r>
        <w:noBreakHyphen/>
        <w:t>to</w:t>
      </w:r>
      <w:r>
        <w:noBreakHyphen/>
        <w:t>date, modernised and simplified, and errors can be corrected, without the need for the changes to be enacted by Parliament.</w:t>
      </w:r>
    </w:p>
    <w:p>
      <w:pPr>
        <w:pStyle w:val="Heading5"/>
      </w:pPr>
      <w:bookmarkStart w:id="9" w:name="_Toc136530769"/>
      <w:r>
        <w:rPr>
          <w:rStyle w:val="CharSectno"/>
        </w:rPr>
        <w:t>4</w:t>
      </w:r>
      <w:r>
        <w:t>.</w:t>
      </w:r>
      <w:r>
        <w:tab/>
        <w:t>Terms used</w:t>
      </w:r>
      <w:bookmarkEnd w:id="9"/>
    </w:p>
    <w:p>
      <w:pPr>
        <w:pStyle w:val="Subsection"/>
        <w:spacing w:before="120"/>
      </w:pPr>
      <w:r>
        <w:tab/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amend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 xml:space="preserve">has the meaning given in the </w:t>
      </w:r>
      <w:r>
        <w:rPr>
          <w:i/>
        </w:rPr>
        <w:t>Interpretation Act 1984</w:t>
      </w:r>
      <w:r>
        <w:t xml:space="preserve"> section 5; and</w:t>
      </w:r>
    </w:p>
    <w:p>
      <w:pPr>
        <w:pStyle w:val="Defpara"/>
        <w:keepNext/>
      </w:pPr>
      <w:r>
        <w:lastRenderedPageBreak/>
        <w:tab/>
        <w:t>(b)</w:t>
      </w:r>
      <w:r>
        <w:tab/>
        <w:t xml:space="preserve">includes — </w:t>
      </w:r>
    </w:p>
    <w:p>
      <w:pPr>
        <w:pStyle w:val="Defsubpara"/>
      </w:pPr>
      <w:r>
        <w:tab/>
        <w:t>(i)</w:t>
      </w:r>
      <w:r>
        <w:tab/>
        <w:t>repeal as defined in that section; and</w:t>
      </w:r>
    </w:p>
    <w:p>
      <w:pPr>
        <w:pStyle w:val="Defsubpara"/>
      </w:pPr>
      <w:r>
        <w:tab/>
        <w:t>(ii)</w:t>
      </w:r>
      <w:r>
        <w:tab/>
        <w:t>relocate;</w:t>
      </w:r>
    </w:p>
    <w:p>
      <w:pPr>
        <w:pStyle w:val="Defstart"/>
      </w:pPr>
      <w:r>
        <w:tab/>
      </w:r>
      <w:r>
        <w:rPr>
          <w:rStyle w:val="CharDefText"/>
        </w:rPr>
        <w:t>current drafting practice</w:t>
      </w:r>
      <w:r>
        <w:t xml:space="preserve"> means the legislative drafting practice for the time being adopted by PCO;</w:t>
      </w:r>
    </w:p>
    <w:p>
      <w:pPr>
        <w:pStyle w:val="Defstart"/>
      </w:pPr>
      <w:r>
        <w:tab/>
      </w:r>
      <w:r>
        <w:rPr>
          <w:rStyle w:val="CharDefText"/>
        </w:rPr>
        <w:t>editorial change</w:t>
      </w:r>
      <w:r>
        <w:t xml:space="preserve"> means a change authorised by Part 3 Division 2;</w:t>
      </w:r>
    </w:p>
    <w:p>
      <w:pPr>
        <w:pStyle w:val="Defstart"/>
      </w:pPr>
      <w:r>
        <w:tab/>
      </w:r>
      <w:r>
        <w:rPr>
          <w:rStyle w:val="CharDefText"/>
        </w:rPr>
        <w:t>Imperial enactment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an Act of the Parliament of England, or of the Parliament of Great Britain or of the Parliament of the United Kingdom; or</w:t>
      </w:r>
    </w:p>
    <w:p>
      <w:pPr>
        <w:pStyle w:val="Defpara"/>
      </w:pPr>
      <w:r>
        <w:tab/>
        <w:t>(b)</w:t>
      </w:r>
      <w:r>
        <w:tab/>
        <w:t>an Order in Council, regulation, rule or other legislative instrument made under an Act referred to in paragraph (a);</w:t>
      </w:r>
    </w:p>
    <w:p>
      <w:pPr>
        <w:pStyle w:val="Defstart"/>
      </w:pPr>
      <w:r>
        <w:tab/>
      </w:r>
      <w:r>
        <w:rPr>
          <w:rStyle w:val="CharDefText"/>
        </w:rPr>
        <w:t>law</w:t>
      </w:r>
      <w:r>
        <w:t xml:space="preserve"> means the whole or a part of — </w:t>
      </w:r>
    </w:p>
    <w:p>
      <w:pPr>
        <w:pStyle w:val="Defpara"/>
      </w:pPr>
      <w:r>
        <w:tab/>
        <w:t>(a)</w:t>
      </w:r>
      <w:r>
        <w:tab/>
        <w:t>a written law; or</w:t>
      </w:r>
    </w:p>
    <w:p>
      <w:pPr>
        <w:pStyle w:val="Defpara"/>
      </w:pPr>
      <w:r>
        <w:tab/>
        <w:t>(b)</w:t>
      </w:r>
      <w:r>
        <w:tab/>
        <w:t xml:space="preserve">an Imperial enactment that is part of the law of Western Australia because — </w:t>
      </w:r>
    </w:p>
    <w:p>
      <w:pPr>
        <w:pStyle w:val="Defsubpara"/>
      </w:pPr>
      <w:r>
        <w:tab/>
        <w:t>(i)</w:t>
      </w:r>
      <w:r>
        <w:tab/>
        <w:t>an Act of Western Australia adopts the Imperial enactment or the Act under which the Imperial enactment is made; or</w:t>
      </w:r>
    </w:p>
    <w:p>
      <w:pPr>
        <w:pStyle w:val="Defsubpara"/>
      </w:pPr>
      <w:r>
        <w:tab/>
        <w:t>(ii)</w:t>
      </w:r>
      <w:r>
        <w:tab/>
        <w:t>the Imperial enactment applies by paramount force (that is, it expressly or impliedly applies in Western Australia); or</w:t>
      </w:r>
    </w:p>
    <w:p>
      <w:pPr>
        <w:pStyle w:val="Defsubpara"/>
      </w:pPr>
      <w:r>
        <w:tab/>
        <w:t>(iii)</w:t>
      </w:r>
      <w:r>
        <w:tab/>
        <w:t>the Imperial enactment became part of the law of Western Australia on 1 June 1829;</w:t>
      </w:r>
    </w:p>
    <w:p>
      <w:pPr>
        <w:pStyle w:val="Defpara"/>
      </w:pPr>
      <w:r>
        <w:tab/>
      </w:r>
      <w:r>
        <w:tab/>
        <w:t>or</w:t>
      </w:r>
    </w:p>
    <w:p>
      <w:pPr>
        <w:pStyle w:val="Defpara"/>
      </w:pPr>
      <w:r>
        <w:tab/>
        <w:t>(c)</w:t>
      </w:r>
      <w:r>
        <w:tab/>
        <w:t>a proclamation that brings 1 or more provisions of an Act into operation; or</w:t>
      </w:r>
    </w:p>
    <w:p>
      <w:pPr>
        <w:pStyle w:val="Defpara"/>
        <w:keepNext/>
      </w:pPr>
      <w:r>
        <w:lastRenderedPageBreak/>
        <w:tab/>
        <w:t>(d)</w:t>
      </w:r>
      <w:r>
        <w:tab/>
        <w:t>an instrument made under the Royal prerogative that applies in Western Australia and has legislative effect;</w:t>
      </w:r>
    </w:p>
    <w:p>
      <w:pPr>
        <w:pStyle w:val="PermNoteHeading"/>
      </w:pPr>
      <w:r>
        <w:tab/>
        <w:t>Note for this definition:</w:t>
      </w:r>
    </w:p>
    <w:p>
      <w:pPr>
        <w:pStyle w:val="PermNoteText"/>
      </w:pPr>
      <w:r>
        <w:tab/>
      </w:r>
      <w:r>
        <w:tab/>
        <w:t xml:space="preserve">The term </w:t>
      </w:r>
      <w:r>
        <w:rPr>
          <w:b/>
          <w:i/>
        </w:rPr>
        <w:t>written law</w:t>
      </w:r>
      <w:r>
        <w:t xml:space="preserve"> is defined in the </w:t>
      </w:r>
      <w:r>
        <w:rPr>
          <w:i/>
        </w:rPr>
        <w:t xml:space="preserve">Interpretation Act 1984 </w:t>
      </w:r>
      <w:r>
        <w:t>section 5.</w:t>
      </w:r>
    </w:p>
    <w:p>
      <w:pPr>
        <w:pStyle w:val="Defstart"/>
        <w:rPr>
          <w:szCs w:val="24"/>
        </w:rPr>
      </w:pPr>
      <w:r>
        <w:rPr>
          <w:szCs w:val="24"/>
        </w:rPr>
        <w:tab/>
      </w:r>
      <w:r>
        <w:rPr>
          <w:rStyle w:val="CharDefText"/>
          <w:szCs w:val="24"/>
        </w:rPr>
        <w:t>official version</w:t>
      </w:r>
      <w:r>
        <w:rPr>
          <w:szCs w:val="24"/>
        </w:rPr>
        <w:t xml:space="preserve">, of a law, means — </w:t>
      </w:r>
    </w:p>
    <w:p>
      <w:pPr>
        <w:pStyle w:val="Defpara"/>
        <w:rPr>
          <w:szCs w:val="24"/>
        </w:rPr>
      </w:pPr>
      <w:r>
        <w:rPr>
          <w:szCs w:val="24"/>
        </w:rPr>
        <w:tab/>
        <w:t>(a)</w:t>
      </w:r>
      <w:r>
        <w:rPr>
          <w:szCs w:val="24"/>
        </w:rPr>
        <w:tab/>
        <w:t>an electronic version of the law that is an official version under section 15; or</w:t>
      </w:r>
    </w:p>
    <w:p>
      <w:pPr>
        <w:pStyle w:val="Defpara"/>
        <w:rPr>
          <w:szCs w:val="24"/>
        </w:rPr>
      </w:pPr>
      <w:r>
        <w:rPr>
          <w:szCs w:val="24"/>
        </w:rPr>
        <w:tab/>
        <w:t>(b)</w:t>
      </w:r>
      <w:r>
        <w:rPr>
          <w:szCs w:val="24"/>
        </w:rPr>
        <w:tab/>
        <w:t>a hard copy version of the law that is an official version under section 16;</w:t>
      </w:r>
    </w:p>
    <w:p>
      <w:pPr>
        <w:pStyle w:val="Defstart"/>
      </w:pPr>
      <w:r>
        <w:tab/>
      </w:r>
      <w:r>
        <w:rPr>
          <w:rStyle w:val="CharDefText"/>
        </w:rPr>
        <w:t>PCO</w:t>
      </w:r>
      <w:r>
        <w:t xml:space="preserve"> means the Parliamentary Counsel’s Office of Western Australia;</w:t>
      </w:r>
    </w:p>
    <w:p>
      <w:pPr>
        <w:pStyle w:val="Defstart"/>
      </w:pPr>
      <w:r>
        <w:tab/>
      </w:r>
      <w:r>
        <w:rPr>
          <w:rStyle w:val="CharDefText"/>
        </w:rPr>
        <w:t>prescribed</w:t>
      </w:r>
      <w:r>
        <w:t xml:space="preserve"> means prescribed by the regulations;</w:t>
      </w:r>
    </w:p>
    <w:p>
      <w:pPr>
        <w:pStyle w:val="Defstart"/>
      </w:pPr>
      <w:r>
        <w:tab/>
      </w:r>
      <w:r>
        <w:rPr>
          <w:rStyle w:val="CharDefText"/>
        </w:rPr>
        <w:t>WA legislation website</w:t>
      </w:r>
      <w:r>
        <w:t xml:space="preserve"> has the meaning given in section 8(1).</w:t>
      </w:r>
    </w:p>
    <w:p>
      <w:pPr>
        <w:pStyle w:val="Heading5"/>
      </w:pPr>
      <w:bookmarkStart w:id="10" w:name="_Toc136530770"/>
      <w:r>
        <w:rPr>
          <w:rStyle w:val="CharSectno"/>
        </w:rPr>
        <w:t>5</w:t>
      </w:r>
      <w:r>
        <w:t>.</w:t>
      </w:r>
      <w:r>
        <w:tab/>
        <w:t>Act binds Crown</w:t>
      </w:r>
      <w:bookmarkEnd w:id="10"/>
    </w:p>
    <w:p>
      <w:pPr>
        <w:pStyle w:val="Subsection"/>
        <w:spacing w:before="120"/>
      </w:pPr>
      <w:r>
        <w:tab/>
      </w:r>
      <w:r>
        <w:tab/>
        <w:t>This Act binds the Crown in right of Western Australia and, so far as the legislative power of the Parliament permits, the Crown in all its other capacities.</w:t>
      </w:r>
    </w:p>
    <w:p>
      <w:pPr>
        <w:pStyle w:val="Heading5"/>
      </w:pPr>
      <w:bookmarkStart w:id="11" w:name="_Toc136530771"/>
      <w:r>
        <w:rPr>
          <w:rStyle w:val="CharSectno"/>
        </w:rPr>
        <w:t>6</w:t>
      </w:r>
      <w:r>
        <w:t>.</w:t>
      </w:r>
      <w:r>
        <w:tab/>
        <w:t>Application of this Act</w:t>
      </w:r>
      <w:bookmarkEnd w:id="11"/>
    </w:p>
    <w:p>
      <w:pPr>
        <w:pStyle w:val="Subsection"/>
        <w:spacing w:before="120"/>
      </w:pPr>
      <w:r>
        <w:tab/>
      </w:r>
      <w:r>
        <w:tab/>
        <w:t>This Act applies to laws (including this Act) whether passed or made before or after this section comes into operation.</w:t>
      </w:r>
    </w:p>
    <w:p>
      <w:pPr>
        <w:pStyle w:val="PermNoteHeading"/>
      </w:pPr>
      <w:r>
        <w:tab/>
        <w:t>Note for this section:</w:t>
      </w:r>
    </w:p>
    <w:p>
      <w:pPr>
        <w:pStyle w:val="PermNoteText"/>
      </w:pPr>
      <w:r>
        <w:tab/>
      </w:r>
      <w:r>
        <w:tab/>
        <w:t>Section 10(3) extends the application of this Act to other material if it is published on the WA legislation website.</w:t>
      </w:r>
    </w:p>
    <w:p>
      <w:pPr>
        <w:pStyle w:val="Heading5"/>
        <w:pageBreakBefore/>
        <w:spacing w:before="0"/>
      </w:pPr>
      <w:bookmarkStart w:id="12" w:name="_Toc136530772"/>
      <w:r>
        <w:rPr>
          <w:rStyle w:val="CharSectno"/>
        </w:rPr>
        <w:lastRenderedPageBreak/>
        <w:t>7</w:t>
      </w:r>
      <w:r>
        <w:t>.</w:t>
      </w:r>
      <w:r>
        <w:tab/>
        <w:t>Relationship with other Acts</w:t>
      </w:r>
      <w:bookmarkEnd w:id="12"/>
    </w:p>
    <w:p>
      <w:pPr>
        <w:pStyle w:val="Subsection"/>
        <w:spacing w:before="120"/>
      </w:pPr>
      <w:r>
        <w:tab/>
      </w:r>
      <w:r>
        <w:tab/>
        <w:t>This Act is in addition to, and does not limit the operation of, other Acts that contain provisions about the publication or effect of Western Australian legislation.</w:t>
      </w:r>
    </w:p>
    <w:p>
      <w:pPr>
        <w:pStyle w:val="PermNoteHeading"/>
      </w:pPr>
      <w:r>
        <w:tab/>
        <w:t>Note for this section:</w:t>
      </w:r>
    </w:p>
    <w:p>
      <w:pPr>
        <w:pStyle w:val="PermNoteText"/>
      </w:pPr>
      <w:r>
        <w:tab/>
      </w:r>
      <w:r>
        <w:tab/>
        <w:t xml:space="preserve">Those other Acts include the </w:t>
      </w:r>
      <w:r>
        <w:rPr>
          <w:i/>
        </w:rPr>
        <w:t>Interpretation Act 1984</w:t>
      </w:r>
      <w:r>
        <w:t xml:space="preserve">, the </w:t>
      </w:r>
      <w:r>
        <w:rPr>
          <w:i/>
        </w:rPr>
        <w:t>Evidence Act 1906</w:t>
      </w:r>
      <w:r>
        <w:t xml:space="preserve"> and the </w:t>
      </w:r>
      <w:r>
        <w:rPr>
          <w:i/>
        </w:rPr>
        <w:t xml:space="preserve">Local Government Act 1995 </w:t>
      </w:r>
      <w:r>
        <w:t>(which contains provisions about local laws).</w:t>
      </w:r>
    </w:p>
    <w:p>
      <w:pPr>
        <w:pStyle w:val="Ednotepart"/>
      </w:pPr>
      <w:r>
        <w:t>[Parts 2-6 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footerReference w:type="firs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13" w:name="_Toc136529966"/>
      <w:bookmarkStart w:id="14" w:name="_Toc136530773"/>
      <w:r>
        <w:lastRenderedPageBreak/>
        <w:t>Notes</w:t>
      </w:r>
      <w:bookmarkEnd w:id="13"/>
      <w:bookmarkEnd w:id="1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Legislation Act 2021</w:t>
      </w:r>
      <w:r>
        <w:rPr>
          <w:noProof/>
        </w:rPr>
        <w:t>.</w:t>
      </w:r>
      <w:r>
        <w:t xml:space="preserve">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5" w:name="_Toc136530774"/>
      <w:r>
        <w:t>Compilation table</w:t>
      </w:r>
      <w:bookmarkEnd w:id="15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Legislation Act 2021</w:t>
            </w:r>
            <w:r>
              <w:rPr>
                <w:noProof/>
              </w:rPr>
              <w:t xml:space="preserve"> Pt. 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13 of 2021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24 Aug 2021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24 Aug 2021 (see s. 2(a))</w:t>
            </w:r>
          </w:p>
        </w:tc>
      </w:tr>
    </w:tbl>
    <w:p>
      <w:pPr>
        <w:pStyle w:val="nHeading3"/>
      </w:pPr>
      <w:bookmarkStart w:id="16" w:name="_Toc136530775"/>
      <w:r>
        <w:t>Uncommenced provisions table</w:t>
      </w:r>
      <w:bookmarkEnd w:id="16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Acts as passed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Legislation Act 2021</w:t>
            </w:r>
            <w:r>
              <w:rPr>
                <w:noProof/>
              </w:rPr>
              <w:t xml:space="preserve"> Pt. 2</w:t>
            </w:r>
            <w:r>
              <w:rPr>
                <w:noProof/>
              </w:rPr>
              <w:noBreakHyphen/>
              <w:t>6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13 of 2021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24 Aug 2021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 xml:space="preserve"> 1 Jul 2023 (see s. 2(b) and SL 2023/58 cl. 2)</w:t>
            </w:r>
          </w:p>
        </w:tc>
      </w:tr>
    </w:tbl>
    <w:p>
      <w:pPr>
        <w:sectPr>
          <w:headerReference w:type="even" r:id="rId28"/>
          <w:headerReference w:type="default" r:id="rId29"/>
          <w:pgSz w:w="11907" w:h="16840" w:code="9"/>
          <w:pgMar w:top="2376" w:right="2405" w:bottom="3542" w:left="2405" w:header="706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8" w:name="_Toc136529969"/>
      <w:bookmarkStart w:id="19" w:name="_Toc136530776"/>
      <w:r>
        <w:rPr>
          <w:sz w:val="28"/>
        </w:rPr>
        <w:lastRenderedPageBreak/>
        <w:t>Defined terms</w:t>
      </w:r>
      <w:bookmarkEnd w:id="18"/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amend</w:t>
      </w:r>
      <w:r>
        <w:tab/>
        <w:t>4</w:t>
      </w:r>
    </w:p>
    <w:p>
      <w:pPr>
        <w:pStyle w:val="DefinedTerms"/>
      </w:pPr>
      <w:r>
        <w:t>current drafting practice</w:t>
      </w:r>
      <w:r>
        <w:tab/>
        <w:t>4</w:t>
      </w:r>
    </w:p>
    <w:p>
      <w:pPr>
        <w:pStyle w:val="DefinedTerms"/>
      </w:pPr>
      <w:r>
        <w:t>editorial change</w:t>
      </w:r>
      <w:r>
        <w:tab/>
        <w:t>4</w:t>
      </w:r>
    </w:p>
    <w:p>
      <w:pPr>
        <w:pStyle w:val="DefinedTerms"/>
      </w:pPr>
      <w:r>
        <w:t>Imperial enactment</w:t>
      </w:r>
      <w:r>
        <w:tab/>
        <w:t>4</w:t>
      </w:r>
    </w:p>
    <w:p>
      <w:pPr>
        <w:pStyle w:val="DefinedTerms"/>
      </w:pPr>
      <w:r>
        <w:t>law</w:t>
      </w:r>
      <w:r>
        <w:tab/>
        <w:t>4</w:t>
      </w:r>
    </w:p>
    <w:p>
      <w:pPr>
        <w:pStyle w:val="DefinedTerms"/>
      </w:pPr>
      <w:r>
        <w:t>official version</w:t>
      </w:r>
      <w:r>
        <w:tab/>
        <w:t>4</w:t>
      </w:r>
    </w:p>
    <w:p>
      <w:pPr>
        <w:pStyle w:val="DefinedTerms"/>
      </w:pPr>
      <w:r>
        <w:t>PCO</w:t>
      </w:r>
      <w:r>
        <w:tab/>
        <w:t>4</w:t>
      </w:r>
    </w:p>
    <w:p>
      <w:pPr>
        <w:pStyle w:val="DefinedTerms"/>
      </w:pPr>
      <w:r>
        <w:t>prescribed</w:t>
      </w:r>
      <w:r>
        <w:tab/>
        <w:t>4</w:t>
      </w:r>
    </w:p>
    <w:p>
      <w:pPr>
        <w:pStyle w:val="DefinedTerms"/>
      </w:pPr>
      <w:r>
        <w:t>WA legislation website</w:t>
      </w:r>
      <w:r>
        <w:tab/>
        <w:t>4</w:t>
      </w:r>
    </w:p>
    <w:p/>
    <w:p>
      <w:pPr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2021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xvii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5669"/>
        <w:tab w:val="right" w:pos="7088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ActNoFooter</w:instrText>
    </w:r>
    <w:r>
      <w:rPr>
        <w:sz w:val="20"/>
      </w:rPr>
      <w:fldChar w:fldCharType="separate"/>
    </w:r>
    <w:r>
      <w:rPr>
        <w:b/>
        <w:bCs/>
        <w:sz w:val="20"/>
        <w:lang w:val="en-US"/>
      </w:rPr>
      <w:t>Error! Unknown document property name.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Legislation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Legislation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Legislation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Legislation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Legislation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Legislation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Legislation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Legislation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Legislation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Legislation Act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1962010"/>
    <w:multiLevelType w:val="hybridMultilevel"/>
    <w:tmpl w:val="6DA4B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3"/>
  </w:num>
  <w:num w:numId="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0601163607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1042209190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422091900_GUID" w:val="2033ffde-da2a-4bdf-b6da-85eef90ead3a"/>
    <w:docVar w:name="WAFER_202105031942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503194216_GUID" w:val="5769d7f5-28b0-4a86-bc42-dc8e542f1e69"/>
    <w:docVar w:name="WAFER_2021082510264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10825102642_GUID" w:val="32db8b63-8cec-4cf9-9198-bdd2a76654a7"/>
    <w:docVar w:name="WAFER_2023060116360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601163607_GUID" w:val="61854493-f99b-4d07-837b-7c8cea8dc71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E5BA6D-5358-41AB-A05A-3D00053F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6.xml"/><Relationship Id="rId37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header" Target="header14.xml"/><Relationship Id="rId35" Type="http://schemas.openxmlformats.org/officeDocument/2006/relationships/footer" Target="footer9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4156-F5C3-42C9-A899-71A9F243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4950</Characters>
  <Application>Microsoft Office Word</Application>
  <DocSecurity>0</DocSecurity>
  <Lines>198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5804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Act 2021 - 00-a0-01</dc:title>
  <dc:subject/>
  <dc:creator/>
  <cp:keywords/>
  <dc:description/>
  <cp:lastModifiedBy>Master Repository Process</cp:lastModifiedBy>
  <cp:revision>4</cp:revision>
  <cp:lastPrinted>2021-04-27T02:27:00Z</cp:lastPrinted>
  <dcterms:created xsi:type="dcterms:W3CDTF">2023-06-01T09:04:00Z</dcterms:created>
  <dcterms:modified xsi:type="dcterms:W3CDTF">2023-06-01T09:04:00Z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13 of 2021</vt:lpwstr>
  </property>
  <property fmtid="{D5CDD505-2E9C-101B-9397-08002B2CF9AE}" pid="3" name="DocumentType">
    <vt:lpwstr>Act</vt:lpwstr>
  </property>
  <property fmtid="{D5CDD505-2E9C-101B-9397-08002B2CF9AE}" pid="4" name="AsAtDate">
    <vt:lpwstr>24 Aug 2021</vt:lpwstr>
  </property>
  <property fmtid="{D5CDD505-2E9C-101B-9397-08002B2CF9AE}" pid="5" name="Suffix">
    <vt:lpwstr>00-a0-01</vt:lpwstr>
  </property>
  <property fmtid="{D5CDD505-2E9C-101B-9397-08002B2CF9AE}" pid="6" name="CommencementDate">
    <vt:lpwstr>20210824</vt:lpwstr>
  </property>
</Properties>
</file>