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Arts and Culture Trust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Arts and Culture Trust Act 2021</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_Toc106104448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_Toc106104449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_Toc106104450 \h </w:instrText>
      </w:r>
      <w:r>
        <w:fldChar w:fldCharType="separate"/>
      </w:r>
      <w:r>
        <w:t>2</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_Toc106104451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_Toc106104453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_Toc106104454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Arts and Culture Trust Act 2021</w:t>
      </w:r>
    </w:p>
    <w:p>
      <w:pPr>
        <w:pStyle w:val="LongTitle"/>
        <w:rPr>
          <w:snapToGrid w:val="0"/>
        </w:rPr>
      </w:pPr>
      <w:bookmarkStart w:id="3" w:name="BillCited"/>
      <w:bookmarkEnd w:id="3"/>
      <w:r>
        <w:rPr>
          <w:snapToGrid w:val="0"/>
        </w:rPr>
        <w:t xml:space="preserve">An Act — </w:t>
      </w:r>
    </w:p>
    <w:p>
      <w:pPr>
        <w:pStyle w:val="LongTitle"/>
        <w:ind w:left="425" w:hanging="425"/>
        <w:rPr>
          <w:snapToGrid w:val="0"/>
        </w:rPr>
      </w:pPr>
      <w:r>
        <w:rPr>
          <w:snapToGrid w:val="0"/>
        </w:rPr>
        <w:t>●</w:t>
      </w:r>
      <w:r>
        <w:rPr>
          <w:snapToGrid w:val="0"/>
        </w:rPr>
        <w:tab/>
        <w:t>to establish the Arts and Culture Trust; and</w:t>
      </w:r>
    </w:p>
    <w:p>
      <w:pPr>
        <w:pStyle w:val="LongTitle"/>
        <w:ind w:left="425" w:hanging="425"/>
        <w:rPr>
          <w:snapToGrid w:val="0"/>
        </w:rPr>
      </w:pPr>
      <w:r>
        <w:rPr>
          <w:snapToGrid w:val="0"/>
        </w:rPr>
        <w:t>●</w:t>
      </w:r>
      <w:r>
        <w:rPr>
          <w:snapToGrid w:val="0"/>
        </w:rPr>
        <w:tab/>
        <w:t xml:space="preserve">to repeal the </w:t>
      </w:r>
      <w:r>
        <w:rPr>
          <w:i/>
          <w:snapToGrid w:val="0"/>
        </w:rPr>
        <w:t>Perth Theatre Trust Act 1979</w:t>
      </w:r>
      <w:r>
        <w:rPr>
          <w:snapToGrid w:val="0"/>
        </w:rPr>
        <w:t xml:space="preserve"> and the </w:t>
      </w:r>
      <w:r>
        <w:rPr>
          <w:i/>
          <w:snapToGrid w:val="0"/>
        </w:rPr>
        <w:t>Perth Theatre Trust (Common Seal) Regulations 1980</w:t>
      </w:r>
      <w:r>
        <w:rPr>
          <w:snapToGrid w:val="0"/>
        </w:rPr>
        <w:t>; and</w:t>
      </w:r>
    </w:p>
    <w:p>
      <w:pPr>
        <w:pStyle w:val="LongTitle"/>
        <w:ind w:left="425" w:hanging="425"/>
        <w:rPr>
          <w:snapToGrid w:val="0"/>
        </w:rPr>
      </w:pPr>
      <w:r>
        <w:rPr>
          <w:snapToGrid w:val="0"/>
        </w:rPr>
        <w:t>●</w:t>
      </w:r>
      <w:r>
        <w:rPr>
          <w:snapToGrid w:val="0"/>
        </w:rPr>
        <w:tab/>
        <w:t xml:space="preserve">to make consequential amendments to various Acts; and </w:t>
      </w:r>
    </w:p>
    <w:p>
      <w:pPr>
        <w:pStyle w:val="LongTitle"/>
        <w:ind w:left="425" w:hanging="425"/>
        <w:rPr>
          <w:snapToGrid w:val="0"/>
        </w:rPr>
      </w:pPr>
      <w:r>
        <w:rPr>
          <w:snapToGrid w:val="0"/>
        </w:rPr>
        <w:t>●</w:t>
      </w:r>
      <w:r>
        <w:rPr>
          <w:snapToGrid w:val="0"/>
        </w:rPr>
        <w:tab/>
        <w:t>for</w:t>
      </w:r>
      <w:r>
        <w:t xml:space="preserve">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759795"/>
      <w:bookmarkStart w:id="5" w:name="_Toc106104447"/>
      <w:r>
        <w:rPr>
          <w:rStyle w:val="CharPartNo"/>
        </w:rPr>
        <w:lastRenderedPageBreak/>
        <w:t>Part 1</w:t>
      </w:r>
      <w:r>
        <w:t> — </w:t>
      </w:r>
      <w:r>
        <w:rPr>
          <w:rStyle w:val="CharPartText"/>
        </w:rPr>
        <w:t>Preliminary</w:t>
      </w:r>
      <w:bookmarkEnd w:id="4"/>
      <w:bookmarkEnd w:id="5"/>
    </w:p>
    <w:p>
      <w:pPr>
        <w:pStyle w:val="Heading5"/>
      </w:pPr>
      <w:bookmarkStart w:id="6" w:name="_Toc106104448"/>
      <w:r>
        <w:rPr>
          <w:rStyle w:val="CharSectno"/>
        </w:rPr>
        <w:t>1</w:t>
      </w:r>
      <w:r>
        <w:t>.</w:t>
      </w:r>
      <w:r>
        <w:tab/>
        <w:t>Short title</w:t>
      </w:r>
      <w:bookmarkEnd w:id="6"/>
    </w:p>
    <w:p>
      <w:pPr>
        <w:pStyle w:val="Subsection"/>
      </w:pPr>
      <w:r>
        <w:tab/>
      </w:r>
      <w:r>
        <w:tab/>
        <w:t>This is the</w:t>
      </w:r>
      <w:r>
        <w:rPr>
          <w:i/>
        </w:rPr>
        <w:t xml:space="preserve"> Arts and Culture Trust Act 2021</w:t>
      </w:r>
      <w:r>
        <w:t>.</w:t>
      </w:r>
    </w:p>
    <w:p>
      <w:pPr>
        <w:pStyle w:val="Heading5"/>
      </w:pPr>
      <w:bookmarkStart w:id="7" w:name="_Toc106104449"/>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4 and 5) — on the day on which this Act receives the Royal Assent;</w:t>
      </w:r>
    </w:p>
    <w:p>
      <w:pPr>
        <w:pStyle w:val="Indenta"/>
      </w:pPr>
      <w:r>
        <w:tab/>
        <w:t>(b)</w:t>
      </w:r>
      <w:r>
        <w:tab/>
        <w:t>the rest of the Act — on a day fixed by proclamation.</w:t>
      </w:r>
    </w:p>
    <w:p>
      <w:pPr>
        <w:pStyle w:val="Heading5"/>
        <w:rPr>
          <w:snapToGrid w:val="0"/>
        </w:rPr>
      </w:pPr>
      <w:bookmarkStart w:id="8" w:name="_Toc106104450"/>
      <w:r>
        <w:rPr>
          <w:rStyle w:val="CharSectno"/>
        </w:rPr>
        <w:t>3</w:t>
      </w:r>
      <w:r>
        <w:rPr>
          <w:snapToGrid w:val="0"/>
        </w:rPr>
        <w:t>.</w:t>
      </w:r>
      <w:r>
        <w:rPr>
          <w:snapToGrid w:val="0"/>
        </w:rPr>
        <w:tab/>
        <w:t>Terms used</w:t>
      </w:r>
      <w:bookmarkEnd w:id="8"/>
    </w:p>
    <w:p>
      <w:pPr>
        <w:pStyle w:val="Subsection"/>
      </w:pPr>
      <w:r>
        <w:tab/>
      </w:r>
      <w:r>
        <w:tab/>
        <w:t xml:space="preserve">In this Act — </w:t>
      </w:r>
    </w:p>
    <w:p>
      <w:pPr>
        <w:pStyle w:val="Defstart"/>
      </w:pPr>
      <w:r>
        <w:tab/>
      </w:r>
      <w:r>
        <w:rPr>
          <w:rStyle w:val="CharDefText"/>
        </w:rPr>
        <w:t>activity</w:t>
      </w:r>
      <w:r>
        <w:t xml:space="preserve"> includes an event, performance, exhibition, demonstration, lecture, screening and production activity;</w:t>
      </w:r>
    </w:p>
    <w:p>
      <w:pPr>
        <w:pStyle w:val="Defstart"/>
      </w:pPr>
      <w:r>
        <w:tab/>
      </w:r>
      <w:r>
        <w:rPr>
          <w:rStyle w:val="CharDefText"/>
        </w:rPr>
        <w:t>Arts and Culture Trust Account</w:t>
      </w:r>
      <w:r>
        <w:t xml:space="preserve"> means the Arts and Culture Trust Account established under section 60(1);</w:t>
      </w:r>
    </w:p>
    <w:p>
      <w:pPr>
        <w:pStyle w:val="Defstart"/>
      </w:pPr>
      <w:r>
        <w:tab/>
      </w:r>
      <w:r>
        <w:rPr>
          <w:rStyle w:val="CharDefText"/>
        </w:rPr>
        <w:t>arts organisation</w:t>
      </w:r>
      <w:r>
        <w:t xml:space="preserve"> means any incorporated body or unincorporated group (however structured) that is principally engaged in — </w:t>
      </w:r>
    </w:p>
    <w:p>
      <w:pPr>
        <w:pStyle w:val="Defpara"/>
      </w:pPr>
      <w:r>
        <w:tab/>
        <w:t>(a)</w:t>
      </w:r>
      <w:r>
        <w:tab/>
        <w:t>conducting cultural or artistic activities; or</w:t>
      </w:r>
    </w:p>
    <w:p>
      <w:pPr>
        <w:pStyle w:val="Defpara"/>
      </w:pPr>
      <w:r>
        <w:tab/>
        <w:t>(b)</w:t>
      </w:r>
      <w:r>
        <w:tab/>
        <w:t>providing cultural or artistic services;</w:t>
      </w:r>
    </w:p>
    <w:p>
      <w:pPr>
        <w:pStyle w:val="Defstart"/>
      </w:pPr>
      <w:r>
        <w:tab/>
      </w:r>
      <w:r>
        <w:rPr>
          <w:rStyle w:val="CharDefText"/>
        </w:rPr>
        <w:t>Board</w:t>
      </w:r>
      <w:r>
        <w:t xml:space="preserve"> means the Trust’s board provided for in section 16(1);</w:t>
      </w:r>
    </w:p>
    <w:p>
      <w:pPr>
        <w:pStyle w:val="Defstart"/>
      </w:pPr>
      <w:r>
        <w:tab/>
      </w:r>
      <w:r>
        <w:rPr>
          <w:rStyle w:val="CharDefText"/>
        </w:rPr>
        <w:t>Board member</w:t>
      </w:r>
      <w:r>
        <w:t xml:space="preserve"> has the meaning given in section 17(1);</w:t>
      </w:r>
    </w:p>
    <w:p>
      <w:pPr>
        <w:pStyle w:val="Defstart"/>
      </w:pPr>
      <w:r>
        <w:tab/>
      </w:r>
      <w:r>
        <w:rPr>
          <w:rStyle w:val="CharDefText"/>
        </w:rPr>
        <w:t>CEO</w:t>
      </w:r>
      <w:r>
        <w:t xml:space="preserve"> has the meaning given in section 41(1);</w:t>
      </w:r>
    </w:p>
    <w:p>
      <w:pPr>
        <w:pStyle w:val="Defstart"/>
      </w:pPr>
      <w:r>
        <w:tab/>
      </w:r>
      <w:r>
        <w:rPr>
          <w:rStyle w:val="CharDefText"/>
        </w:rPr>
        <w:t>chairperson</w:t>
      </w:r>
      <w:r>
        <w:t xml:space="preserve"> means the person designated under section 18(1) as the chairperson of the Board;</w:t>
      </w:r>
    </w:p>
    <w:p>
      <w:pPr>
        <w:pStyle w:val="Defstart"/>
      </w:pPr>
      <w:r>
        <w:tab/>
      </w:r>
      <w:r>
        <w:rPr>
          <w:rStyle w:val="CharDefText"/>
        </w:rPr>
        <w:t>committee</w:t>
      </w:r>
      <w:r>
        <w:t xml:space="preserve"> means a committee appointed under section 34(1);</w:t>
      </w:r>
    </w:p>
    <w:p>
      <w:pPr>
        <w:pStyle w:val="Defstart"/>
      </w:pPr>
      <w:r>
        <w:tab/>
      </w:r>
      <w:r>
        <w:rPr>
          <w:rStyle w:val="CharDefText"/>
        </w:rPr>
        <w:t>Department CEO</w:t>
      </w:r>
      <w:r>
        <w:t xml:space="preserve"> means the chief executive officer of the department of the Public Service principally assisting in the administration of this Act;</w:t>
      </w:r>
    </w:p>
    <w:p>
      <w:pPr>
        <w:pStyle w:val="Defstart"/>
      </w:pPr>
      <w:r>
        <w:lastRenderedPageBreak/>
        <w:tab/>
      </w:r>
      <w:r>
        <w:rPr>
          <w:rStyle w:val="CharDefText"/>
        </w:rPr>
        <w:t>deputy chairperson</w:t>
      </w:r>
      <w:r>
        <w:t xml:space="preserve"> means the person designated under section 18(1) as the deputy chairperson of the Board;</w:t>
      </w:r>
    </w:p>
    <w:p>
      <w:pPr>
        <w:pStyle w:val="Defstart"/>
      </w:pPr>
      <w:r>
        <w:tab/>
      </w:r>
      <w:r>
        <w:rPr>
          <w:rStyle w:val="CharDefText"/>
        </w:rPr>
        <w:t>LA Act</w:t>
      </w:r>
      <w:r>
        <w:t xml:space="preserve"> means the </w:t>
      </w:r>
      <w:r>
        <w:rPr>
          <w:i/>
        </w:rPr>
        <w:t>Land Administration Act 1997</w:t>
      </w:r>
      <w:r>
        <w:t>;</w:t>
      </w:r>
    </w:p>
    <w:p>
      <w:pPr>
        <w:pStyle w:val="Defstart"/>
        <w:keepNext/>
      </w:pPr>
      <w:r>
        <w:tab/>
      </w:r>
      <w:r>
        <w:rPr>
          <w:rStyle w:val="CharDefText"/>
        </w:rPr>
        <w:t>misconduct</w:t>
      </w:r>
      <w:r>
        <w:t xml:space="preserve">, in relation to a person who holds office as a Board member or the CEO, includes conduct that — </w:t>
      </w:r>
    </w:p>
    <w:p>
      <w:pPr>
        <w:pStyle w:val="Defpara"/>
      </w:pPr>
      <w:r>
        <w:tab/>
        <w:t>(a)</w:t>
      </w:r>
      <w:r>
        <w:tab/>
        <w:t>brings the Trust into disrepute; or</w:t>
      </w:r>
    </w:p>
    <w:p>
      <w:pPr>
        <w:pStyle w:val="Defpara"/>
      </w:pPr>
      <w:r>
        <w:tab/>
        <w:t>(b)</w:t>
      </w:r>
      <w:r>
        <w:tab/>
        <w:t>otherwise renders the person unfit to hold the office even though the conduct does not relate to a duty of the office;</w:t>
      </w:r>
    </w:p>
    <w:p>
      <w:pPr>
        <w:pStyle w:val="Defstart"/>
      </w:pPr>
      <w:r>
        <w:tab/>
      </w:r>
      <w:r>
        <w:rPr>
          <w:rStyle w:val="CharDefText"/>
        </w:rPr>
        <w:t>place</w:t>
      </w:r>
      <w:r>
        <w:t xml:space="preserve"> means any land, building or structure (whether permanent or temporary) or any part of any land, building or structure;</w:t>
      </w:r>
    </w:p>
    <w:p>
      <w:pPr>
        <w:pStyle w:val="Defstart"/>
      </w:pPr>
      <w:r>
        <w:tab/>
      </w:r>
      <w:r>
        <w:rPr>
          <w:rStyle w:val="CharDefText"/>
        </w:rPr>
        <w:t>production activity</w:t>
      </w:r>
      <w:r>
        <w:t xml:space="preserve"> means an activity (whether conducted in private or not) that involves or is related to the production, composition or development of any of the following (whether for display, presentation or distribution to the public or not) — </w:t>
      </w:r>
    </w:p>
    <w:p>
      <w:pPr>
        <w:pStyle w:val="Defpara"/>
      </w:pPr>
      <w:r>
        <w:tab/>
        <w:t>(a)</w:t>
      </w:r>
      <w:r>
        <w:tab/>
        <w:t>audio material, visual material or audio</w:t>
      </w:r>
      <w:r>
        <w:noBreakHyphen/>
        <w:t>visual material;</w:t>
      </w:r>
    </w:p>
    <w:p>
      <w:pPr>
        <w:pStyle w:val="Defpara"/>
      </w:pPr>
      <w:r>
        <w:tab/>
        <w:t>(b)</w:t>
      </w:r>
      <w:r>
        <w:tab/>
        <w:t>a work of art;</w:t>
      </w:r>
    </w:p>
    <w:p>
      <w:pPr>
        <w:pStyle w:val="Defpara"/>
      </w:pPr>
      <w:r>
        <w:tab/>
        <w:t>(c)</w:t>
      </w:r>
      <w:r>
        <w:tab/>
        <w:t>a literary, dramatic or musical work;</w:t>
      </w:r>
    </w:p>
    <w:p>
      <w:pPr>
        <w:pStyle w:val="Defpara"/>
      </w:pPr>
      <w:r>
        <w:tab/>
        <w:t>(d)</w:t>
      </w:r>
      <w:r>
        <w:tab/>
        <w:t>a dance or any other kind of performance;</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resident company</w:t>
      </w:r>
      <w:r>
        <w:t xml:space="preserve"> means an arts organisation declared under section 5 to be a resident company for the purposes of this Act;</w:t>
      </w:r>
    </w:p>
    <w:p>
      <w:pPr>
        <w:pStyle w:val="Defstart"/>
      </w:pPr>
      <w:r>
        <w:tab/>
      </w:r>
      <w:r>
        <w:rPr>
          <w:rStyle w:val="CharDefText"/>
        </w:rPr>
        <w:t>staff member</w:t>
      </w:r>
      <w:r>
        <w:t xml:space="preserve"> means — </w:t>
      </w:r>
    </w:p>
    <w:p>
      <w:pPr>
        <w:pStyle w:val="Defpara"/>
      </w:pPr>
      <w:r>
        <w:tab/>
        <w:t>(a)</w:t>
      </w:r>
      <w:r>
        <w:tab/>
        <w:t>the CEO; or</w:t>
      </w:r>
    </w:p>
    <w:p>
      <w:pPr>
        <w:pStyle w:val="Defpara"/>
      </w:pPr>
      <w:r>
        <w:tab/>
        <w:t>(b)</w:t>
      </w:r>
      <w:r>
        <w:tab/>
        <w:t>a person appointed, employed or engaged as mentioned in section 52;</w:t>
      </w:r>
    </w:p>
    <w:p>
      <w:pPr>
        <w:pStyle w:val="Defstart"/>
      </w:pPr>
      <w:r>
        <w:tab/>
      </w:r>
      <w:r>
        <w:rPr>
          <w:rStyle w:val="CharDefText"/>
        </w:rPr>
        <w:t>ticketing services</w:t>
      </w:r>
      <w:r>
        <w:t>, for an activity, means management services relating to the issue and sale of admission tickets for the activity;</w:t>
      </w:r>
    </w:p>
    <w:p>
      <w:pPr>
        <w:pStyle w:val="Defstart"/>
      </w:pPr>
      <w:r>
        <w:tab/>
      </w:r>
      <w:r>
        <w:rPr>
          <w:rStyle w:val="CharDefText"/>
        </w:rPr>
        <w:t>Trust</w:t>
      </w:r>
      <w:r>
        <w:t xml:space="preserve"> means the Arts and Culture Trust established under section 7(1);</w:t>
      </w:r>
    </w:p>
    <w:p>
      <w:pPr>
        <w:pStyle w:val="Defstart"/>
      </w:pPr>
      <w:r>
        <w:lastRenderedPageBreak/>
        <w:tab/>
      </w:r>
      <w:r>
        <w:rPr>
          <w:rStyle w:val="CharDefText"/>
        </w:rPr>
        <w:t>Trust property</w:t>
      </w:r>
      <w:r>
        <w:t xml:space="preserve"> means — </w:t>
      </w:r>
    </w:p>
    <w:p>
      <w:pPr>
        <w:pStyle w:val="Defpara"/>
      </w:pPr>
      <w:r>
        <w:tab/>
        <w:t>(a)</w:t>
      </w:r>
      <w:r>
        <w:tab/>
        <w:t>any Trust venue; or</w:t>
      </w:r>
    </w:p>
    <w:p>
      <w:pPr>
        <w:pStyle w:val="Defpara"/>
      </w:pPr>
      <w:r>
        <w:tab/>
        <w:t>(b)</w:t>
      </w:r>
      <w:r>
        <w:tab/>
        <w:t xml:space="preserve">any other real or personal property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keepNext/>
      </w:pPr>
      <w:r>
        <w:tab/>
      </w:r>
      <w:r>
        <w:rPr>
          <w:rStyle w:val="CharDefText"/>
        </w:rPr>
        <w:t>Trust venue</w:t>
      </w:r>
      <w:r>
        <w:t xml:space="preserve"> means — </w:t>
      </w:r>
    </w:p>
    <w:p>
      <w:pPr>
        <w:pStyle w:val="Defpara"/>
      </w:pPr>
      <w:r>
        <w:tab/>
        <w:t>(a)</w:t>
      </w:r>
      <w:r>
        <w:tab/>
        <w:t xml:space="preserve">a place referred to in paragraph (a) of the definition of </w:t>
      </w:r>
      <w:r>
        <w:rPr>
          <w:b/>
          <w:i/>
        </w:rPr>
        <w:t>venue</w:t>
      </w:r>
      <w:r>
        <w:t>; or</w:t>
      </w:r>
    </w:p>
    <w:p>
      <w:pPr>
        <w:pStyle w:val="Defpara"/>
      </w:pPr>
      <w:r>
        <w:tab/>
        <w:t>(b)</w:t>
      </w:r>
      <w:r>
        <w:tab/>
        <w:t xml:space="preserve">any venue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pPr>
      <w:r>
        <w:tab/>
      </w:r>
      <w:r>
        <w:rPr>
          <w:rStyle w:val="CharDefText"/>
        </w:rPr>
        <w:t>Trust venue programming</w:t>
      </w:r>
      <w:r>
        <w:t xml:space="preserve"> means the selection, procurement and scheduling of activities at Trust venues;</w:t>
      </w:r>
    </w:p>
    <w:p>
      <w:pPr>
        <w:pStyle w:val="Defstart"/>
      </w:pPr>
      <w:r>
        <w:tab/>
      </w:r>
      <w:r>
        <w:rPr>
          <w:rStyle w:val="CharDefText"/>
        </w:rPr>
        <w:t>unable to act</w:t>
      </w:r>
      <w:r>
        <w:t xml:space="preserve">, in relation to a Board member, means unable to act as a Board member for any reason, including the following — </w:t>
      </w:r>
    </w:p>
    <w:p>
      <w:pPr>
        <w:pStyle w:val="Defpara"/>
      </w:pPr>
      <w:r>
        <w:tab/>
        <w:t>(a)</w:t>
      </w:r>
      <w:r>
        <w:tab/>
        <w:t xml:space="preserve">illness; </w:t>
      </w:r>
    </w:p>
    <w:p>
      <w:pPr>
        <w:pStyle w:val="Defpara"/>
      </w:pPr>
      <w:r>
        <w:tab/>
        <w:t>(b)</w:t>
      </w:r>
      <w:r>
        <w:tab/>
        <w:t xml:space="preserve">absence; </w:t>
      </w:r>
    </w:p>
    <w:p>
      <w:pPr>
        <w:pStyle w:val="Defpara"/>
      </w:pPr>
      <w:r>
        <w:tab/>
        <w:t>(c)</w:t>
      </w:r>
      <w:r>
        <w:tab/>
        <w:t>the operation of section 37;</w:t>
      </w:r>
    </w:p>
    <w:p>
      <w:pPr>
        <w:pStyle w:val="Defstart"/>
      </w:pPr>
      <w:r>
        <w:tab/>
      </w:r>
      <w:r>
        <w:rPr>
          <w:rStyle w:val="CharDefText"/>
        </w:rPr>
        <w:t>venue</w:t>
      </w:r>
      <w:r>
        <w:t xml:space="preserve"> means — </w:t>
      </w:r>
    </w:p>
    <w:p>
      <w:pPr>
        <w:pStyle w:val="Defpara"/>
      </w:pPr>
      <w:r>
        <w:tab/>
        <w:t>(a)</w:t>
      </w:r>
      <w:r>
        <w:tab/>
        <w:t>a place declared under section 4(1) to be a venue used, or intended to be used, wholly or partly for cultural or artistic purposes; or</w:t>
      </w:r>
    </w:p>
    <w:p>
      <w:pPr>
        <w:pStyle w:val="Defpara"/>
      </w:pPr>
      <w:r>
        <w:tab/>
        <w:t>(b)</w:t>
      </w:r>
      <w:r>
        <w:tab/>
        <w:t>any other place used, or intended to be used, wholly or partly for cultural or artistic purposes.</w:t>
      </w:r>
    </w:p>
    <w:p>
      <w:pPr>
        <w:pStyle w:val="Ednotesection"/>
      </w:pPr>
      <w:r>
        <w:t>[</w:t>
      </w:r>
      <w:r>
        <w:rPr>
          <w:b/>
        </w:rPr>
        <w:t>4, 5.</w:t>
      </w:r>
      <w:r>
        <w:tab/>
        <w:t>Have not come into operation.]</w:t>
      </w:r>
    </w:p>
    <w:p>
      <w:pPr>
        <w:pStyle w:val="Heading5"/>
      </w:pPr>
      <w:bookmarkStart w:id="9" w:name="_Toc106104451"/>
      <w:r>
        <w:rPr>
          <w:rStyle w:val="CharSectno"/>
        </w:rPr>
        <w:lastRenderedPageBreak/>
        <w:t>6</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Ednotepart"/>
      </w:pPr>
      <w:r>
        <w:t>[Parts 2</w:t>
      </w:r>
      <w:r>
        <w:noBreakHyphen/>
        <w:t>7 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0" w:name="_Toc105759800"/>
      <w:bookmarkStart w:id="11" w:name="_Toc106104452"/>
      <w:r>
        <w:lastRenderedPageBreak/>
        <w:t>Notes</w:t>
      </w:r>
      <w:bookmarkEnd w:id="10"/>
      <w:bookmarkEnd w:id="11"/>
    </w:p>
    <w:p>
      <w:pPr>
        <w:pStyle w:val="nStatement"/>
      </w:pPr>
      <w:r>
        <w:t xml:space="preserve">This is a compilation of the </w:t>
      </w:r>
      <w:r>
        <w:rPr>
          <w:i/>
          <w:noProof/>
        </w:rPr>
        <w:t>Arts and Culture Trust Act 2021</w:t>
      </w:r>
      <w:r>
        <w:t>. For provisions that have come into operation see the compilation table. For provisions that have not yet come into operation see the uncommenced provisions table.</w:t>
      </w:r>
    </w:p>
    <w:p>
      <w:pPr>
        <w:pStyle w:val="nHeading3"/>
      </w:pPr>
      <w:bookmarkStart w:id="12" w:name="_Toc106104453"/>
      <w: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Arts and Culture Trust Act 2021</w:t>
            </w:r>
            <w:r>
              <w:rPr>
                <w:noProof/>
              </w:rPr>
              <w:t xml:space="preserve"> Pt. 1 (other than s. 4 and 5)</w:t>
            </w:r>
          </w:p>
        </w:tc>
        <w:tc>
          <w:tcPr>
            <w:tcW w:w="1134" w:type="dxa"/>
          </w:tcPr>
          <w:p>
            <w:pPr>
              <w:pStyle w:val="nTable"/>
              <w:spacing w:after="40"/>
            </w:pPr>
            <w:r>
              <w:t>15 of 2021</w:t>
            </w:r>
          </w:p>
        </w:tc>
        <w:tc>
          <w:tcPr>
            <w:tcW w:w="1134" w:type="dxa"/>
          </w:tcPr>
          <w:p>
            <w:pPr>
              <w:pStyle w:val="nTable"/>
              <w:spacing w:after="40"/>
            </w:pPr>
            <w:r>
              <w:t>9 Sep 2021</w:t>
            </w:r>
          </w:p>
        </w:tc>
        <w:tc>
          <w:tcPr>
            <w:tcW w:w="2552" w:type="dxa"/>
          </w:tcPr>
          <w:p>
            <w:pPr>
              <w:pStyle w:val="nTable"/>
              <w:spacing w:after="40"/>
            </w:pPr>
            <w:r>
              <w:t>9 Sep 2021 (see s. 2(a))</w:t>
            </w:r>
          </w:p>
        </w:tc>
      </w:tr>
    </w:tbl>
    <w:p>
      <w:pPr>
        <w:pStyle w:val="nHeading3"/>
      </w:pPr>
      <w:bookmarkStart w:id="13" w:name="_Toc106104454"/>
      <w:r>
        <w:t>Uncommenced provisions table</w:t>
      </w:r>
      <w:bookmarkEnd w:id="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Arts and Culture Trust Act 2021</w:t>
            </w:r>
            <w:r>
              <w:rPr>
                <w:noProof/>
              </w:rPr>
              <w:t xml:space="preserve"> s. 4 and 5 and Pt. 2</w:t>
            </w:r>
            <w:r>
              <w:rPr>
                <w:noProof/>
              </w:rPr>
              <w:noBreakHyphen/>
              <w:t>7</w:t>
            </w:r>
          </w:p>
        </w:tc>
        <w:tc>
          <w:tcPr>
            <w:tcW w:w="1134" w:type="dxa"/>
          </w:tcPr>
          <w:p>
            <w:pPr>
              <w:pStyle w:val="nTable"/>
              <w:spacing w:after="40"/>
            </w:pPr>
            <w:r>
              <w:t>15 of 2021</w:t>
            </w:r>
          </w:p>
        </w:tc>
        <w:tc>
          <w:tcPr>
            <w:tcW w:w="1134" w:type="dxa"/>
          </w:tcPr>
          <w:p>
            <w:pPr>
              <w:pStyle w:val="nTable"/>
              <w:spacing w:after="40"/>
            </w:pPr>
            <w:r>
              <w:t>9 Sep 2021</w:t>
            </w:r>
          </w:p>
        </w:tc>
        <w:tc>
          <w:tcPr>
            <w:tcW w:w="2552" w:type="dxa"/>
          </w:tcPr>
          <w:p>
            <w:pPr>
              <w:pStyle w:val="nTable"/>
              <w:spacing w:after="40"/>
            </w:pPr>
            <w:r>
              <w:t>1 Jul 2022 (see s. 2(b) and SL 2022/77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5" w:name="_Toc105759803"/>
      <w:bookmarkStart w:id="16" w:name="_Toc106104455"/>
      <w:r>
        <w:rPr>
          <w:sz w:val="28"/>
        </w:rPr>
        <w:lastRenderedPageBreak/>
        <w:t>Defined terms</w:t>
      </w:r>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3</w:t>
      </w:r>
    </w:p>
    <w:p>
      <w:pPr>
        <w:pStyle w:val="DefinedTerms"/>
      </w:pPr>
      <w:r>
        <w:t>Arts and Culture Trust Account</w:t>
      </w:r>
      <w:r>
        <w:tab/>
        <w:t>3</w:t>
      </w:r>
    </w:p>
    <w:p>
      <w:pPr>
        <w:pStyle w:val="DefinedTerms"/>
      </w:pPr>
      <w:r>
        <w:t>arts organisation</w:t>
      </w:r>
      <w:r>
        <w:tab/>
        <w:t>3</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chairperson</w:t>
      </w:r>
      <w:r>
        <w:tab/>
        <w:t>3</w:t>
      </w:r>
    </w:p>
    <w:p>
      <w:pPr>
        <w:pStyle w:val="DefinedTerms"/>
      </w:pPr>
      <w:r>
        <w:t>committee</w:t>
      </w:r>
      <w:r>
        <w:tab/>
        <w:t>3</w:t>
      </w:r>
    </w:p>
    <w:p>
      <w:pPr>
        <w:pStyle w:val="DefinedTerms"/>
      </w:pPr>
      <w:r>
        <w:t>Department CEO</w:t>
      </w:r>
      <w:r>
        <w:tab/>
        <w:t>3</w:t>
      </w:r>
    </w:p>
    <w:p>
      <w:pPr>
        <w:pStyle w:val="DefinedTerms"/>
      </w:pPr>
      <w:r>
        <w:t>deputy chairperson</w:t>
      </w:r>
      <w:r>
        <w:tab/>
        <w:t>3</w:t>
      </w:r>
    </w:p>
    <w:p>
      <w:pPr>
        <w:pStyle w:val="DefinedTerms"/>
      </w:pPr>
      <w:r>
        <w:t>LA Act</w:t>
      </w:r>
      <w:r>
        <w:tab/>
        <w:t>3</w:t>
      </w:r>
    </w:p>
    <w:p>
      <w:pPr>
        <w:pStyle w:val="DefinedTerms"/>
      </w:pPr>
      <w:r>
        <w:t>misconduct</w:t>
      </w:r>
      <w:r>
        <w:tab/>
        <w:t>3</w:t>
      </w:r>
    </w:p>
    <w:p>
      <w:pPr>
        <w:pStyle w:val="DefinedTerms"/>
      </w:pPr>
      <w:r>
        <w:t>place</w:t>
      </w:r>
      <w:r>
        <w:tab/>
        <w:t>3</w:t>
      </w:r>
    </w:p>
    <w:p>
      <w:pPr>
        <w:pStyle w:val="DefinedTerms"/>
      </w:pPr>
      <w:r>
        <w:t>production activity</w:t>
      </w:r>
      <w:r>
        <w:tab/>
        <w:t>3</w:t>
      </w:r>
    </w:p>
    <w:p>
      <w:pPr>
        <w:pStyle w:val="DefinedTerms"/>
      </w:pPr>
      <w:r>
        <w:t>remuneration</w:t>
      </w:r>
      <w:r>
        <w:tab/>
        <w:t>3</w:t>
      </w:r>
    </w:p>
    <w:p>
      <w:pPr>
        <w:pStyle w:val="DefinedTerms"/>
      </w:pPr>
      <w:r>
        <w:t>resident company</w:t>
      </w:r>
      <w:r>
        <w:tab/>
        <w:t>3</w:t>
      </w:r>
    </w:p>
    <w:p>
      <w:pPr>
        <w:pStyle w:val="DefinedTerms"/>
      </w:pPr>
      <w:r>
        <w:t>staff member</w:t>
      </w:r>
      <w:r>
        <w:tab/>
        <w:t>3</w:t>
      </w:r>
    </w:p>
    <w:p>
      <w:pPr>
        <w:pStyle w:val="DefinedTerms"/>
      </w:pPr>
      <w:r>
        <w:t>ticketing services</w:t>
      </w:r>
      <w:r>
        <w:tab/>
        <w:t>3</w:t>
      </w:r>
    </w:p>
    <w:p>
      <w:pPr>
        <w:pStyle w:val="DefinedTerms"/>
      </w:pPr>
      <w:r>
        <w:t>Trust</w:t>
      </w:r>
      <w:r>
        <w:tab/>
        <w:t>3</w:t>
      </w:r>
    </w:p>
    <w:p>
      <w:pPr>
        <w:pStyle w:val="DefinedTerms"/>
      </w:pPr>
      <w:r>
        <w:t>Trust property</w:t>
      </w:r>
      <w:r>
        <w:tab/>
        <w:t>3</w:t>
      </w:r>
    </w:p>
    <w:p>
      <w:pPr>
        <w:pStyle w:val="DefinedTerms"/>
      </w:pPr>
      <w:r>
        <w:t>Trust venue</w:t>
      </w:r>
      <w:r>
        <w:tab/>
        <w:t>3</w:t>
      </w:r>
    </w:p>
    <w:p>
      <w:pPr>
        <w:pStyle w:val="DefinedTerms"/>
      </w:pPr>
      <w:r>
        <w:t>Trust venue programming</w:t>
      </w:r>
      <w:r>
        <w:tab/>
        <w:t>3</w:t>
      </w:r>
    </w:p>
    <w:p>
      <w:pPr>
        <w:pStyle w:val="DefinedTerms"/>
      </w:pPr>
      <w:r>
        <w:t>unable to act</w:t>
      </w:r>
      <w:r>
        <w:tab/>
        <w:t>3</w:t>
      </w:r>
    </w:p>
    <w:p>
      <w:pPr>
        <w:pStyle w:val="DefinedTerms"/>
      </w:pPr>
      <w:r>
        <w:t>venue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1013211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8095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095723_GUID" w:val="ab73b96c-933e-4746-aeaf-f26fed151538"/>
    <w:docVar w:name="WAFER_20210616152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52803_GUID" w:val="51f3a555-9586-45fc-9b18-215fad0c0b48"/>
    <w:docVar w:name="WAFER_20210908140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0320_GUID" w:val="41181778-108a-433f-bb45-c07ed634d37c"/>
    <w:docVar w:name="WAFER_20220610132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112_GUID" w:val="a7c0b91f-3e4e-42c8-b2e6-b5b12c572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130BB-8A0D-4081-A661-B4D1AD0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2E66-E341-43BB-A862-3D1E25CA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5316</Characters>
  <Application>Microsoft Office Word</Application>
  <DocSecurity>0</DocSecurity>
  <Lines>212</Lines>
  <Paragraphs>168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Trust Act 2021 - 00-a0-01</dc:title>
  <dc:subject/>
  <dc:creator/>
  <cp:keywords/>
  <dc:description/>
  <cp:lastModifiedBy>Master Repository Process</cp:lastModifiedBy>
  <cp:revision>4</cp:revision>
  <cp:lastPrinted>2021-06-16T07:51:00Z</cp:lastPrinted>
  <dcterms:created xsi:type="dcterms:W3CDTF">2022-06-17T02:57:00Z</dcterms:created>
  <dcterms:modified xsi:type="dcterms:W3CDTF">2022-06-17T02:57:00Z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2021</vt:lpwstr>
  </property>
  <property fmtid="{D5CDD505-2E9C-101B-9397-08002B2CF9AE}" pid="3" name="DocumentType">
    <vt:lpwstr>Act</vt:lpwstr>
  </property>
  <property fmtid="{D5CDD505-2E9C-101B-9397-08002B2CF9AE}" pid="4" name="AsAtDate">
    <vt:lpwstr>09 Sep 2021</vt:lpwstr>
  </property>
  <property fmtid="{D5CDD505-2E9C-101B-9397-08002B2CF9AE}" pid="5" name="Suffix">
    <vt:lpwstr>00-a0-01</vt:lpwstr>
  </property>
  <property fmtid="{D5CDD505-2E9C-101B-9397-08002B2CF9AE}" pid="6" name="CommencementDate">
    <vt:lpwstr>20210909</vt:lpwstr>
  </property>
</Properties>
</file>