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Family Court Amendment Act 2021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Family Court Amendment Act 2021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_Toc82090301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_Toc82090302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</w:r>
      <w:r>
        <w:rPr>
          <w:snapToGrid w:val="0"/>
        </w:rPr>
        <w:t>Act amended</w:t>
      </w:r>
      <w:r>
        <w:tab/>
      </w:r>
      <w:r>
        <w:fldChar w:fldCharType="begin"/>
      </w:r>
      <w:r>
        <w:instrText xml:space="preserve"> PAGEREF _Toc82090303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Part 8 Division 3 inserted</w:t>
      </w:r>
      <w:r>
        <w:tab/>
      </w:r>
      <w:r>
        <w:fldChar w:fldCharType="begin"/>
      </w:r>
      <w:r>
        <w:instrText xml:space="preserve"> PAGEREF _Toc82090304 \h </w:instrText>
      </w:r>
      <w:r>
        <w:fldChar w:fldCharType="separate"/>
      </w:r>
      <w:r>
        <w:t>2</w:t>
      </w:r>
      <w:r>
        <w:fldChar w:fldCharType="end"/>
      </w:r>
    </w:p>
    <w:p>
      <w:pPr>
        <w:pStyle w:val="TOC5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Division 3 — Cross</w:t>
      </w:r>
      <w:r>
        <w:noBreakHyphen/>
        <w:t>examination of parties where allegations of family violence</w:t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219AJ.</w:t>
      </w:r>
      <w:r>
        <w:rPr>
          <w:noProof/>
        </w:rPr>
        <w:tab/>
        <w:t>Application of Division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_Toc82090306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219AK.</w:t>
      </w:r>
      <w:r>
        <w:rPr>
          <w:noProof/>
        </w:rPr>
        <w:tab/>
        <w:t>Mandatory protections for parties in certain cases — FLA s. 102NA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_Toc82090307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219AL.</w:t>
      </w:r>
      <w:r>
        <w:rPr>
          <w:noProof/>
        </w:rPr>
        <w:tab/>
        <w:t>Court</w:t>
      </w:r>
      <w:r>
        <w:rPr>
          <w:noProof/>
        </w:rPr>
        <w:noBreakHyphen/>
        <w:t>ordered protections in other cases — FLA s. 102NB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_Toc82090308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243 amended</w:t>
      </w:r>
      <w:r>
        <w:tab/>
      </w:r>
      <w:r>
        <w:fldChar w:fldCharType="begin"/>
      </w:r>
      <w:r>
        <w:instrText xml:space="preserve"> PAGEREF _Toc82090309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after="4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  <w:suppressLineNumbers/>
      </w:pPr>
      <w:r>
        <w:t>Family Court Amendment Act 2021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16 of 2021</w:t>
      </w:r>
    </w:p>
    <w:p>
      <w:pPr>
        <w:pStyle w:val="LongTitle"/>
        <w:suppressLineNumbers/>
      </w:pPr>
      <w:r>
        <w:t xml:space="preserve">An Act to amend the </w:t>
      </w:r>
      <w:r>
        <w:rPr>
          <w:i/>
        </w:rPr>
        <w:t>Family Court Act 1997</w:t>
      </w:r>
      <w:r>
        <w:t>.</w:t>
      </w:r>
    </w:p>
    <w:p>
      <w:pPr>
        <w:pStyle w:val="AssentDate"/>
        <w:spacing w:before="240" w:after="480"/>
      </w:pPr>
      <w:r>
        <w:t>[</w:t>
      </w:r>
      <w:r>
        <w:rPr>
          <w:i/>
        </w:rPr>
        <w:t>Assented to 9 September 2021</w:t>
      </w:r>
      <w:r>
        <w:t>]</w:t>
      </w:r>
    </w:p>
    <w:p>
      <w:pPr>
        <w:pStyle w:val="Enactment"/>
        <w:suppressLineNumbers/>
        <w:spacing w:before="0"/>
      </w:pPr>
      <w:r>
        <w:t>The Parliament of Western Australia enacts as follows: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82090301"/>
      <w:r>
        <w:rPr>
          <w:rStyle w:val="CharSectno"/>
        </w:rPr>
        <w:lastRenderedPageBreak/>
        <w:t>1</w:t>
      </w:r>
      <w:r>
        <w:t>.</w:t>
      </w:r>
      <w:r>
        <w:tab/>
        <w:t>Short title</w:t>
      </w:r>
      <w:bookmarkEnd w:id="4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Family Court Amendment Act 2021</w:t>
      </w:r>
      <w:r>
        <w:t>.</w:t>
      </w:r>
    </w:p>
    <w:p>
      <w:pPr>
        <w:pStyle w:val="Heading5"/>
      </w:pPr>
      <w:bookmarkStart w:id="5" w:name="_Toc82090302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 — on the day after that day.</w:t>
      </w:r>
    </w:p>
    <w:p>
      <w:pPr>
        <w:pStyle w:val="Heading5"/>
        <w:rPr>
          <w:snapToGrid w:val="0"/>
        </w:rPr>
      </w:pPr>
      <w:bookmarkStart w:id="6" w:name="_Toc82090303"/>
      <w:r>
        <w:rPr>
          <w:rStyle w:val="CharSectno"/>
        </w:rPr>
        <w:t>3</w:t>
      </w:r>
      <w:r>
        <w:t>.</w:t>
      </w:r>
      <w:r>
        <w:tab/>
      </w:r>
      <w:r>
        <w:rPr>
          <w:snapToGrid w:val="0"/>
        </w:rPr>
        <w:t>Act amended</w:t>
      </w:r>
      <w:bookmarkEnd w:id="6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Family Court Act 1997</w:t>
      </w:r>
      <w:r>
        <w:t>.</w:t>
      </w:r>
    </w:p>
    <w:p>
      <w:pPr>
        <w:pStyle w:val="Heading5"/>
      </w:pPr>
      <w:bookmarkStart w:id="7" w:name="_Toc82090304"/>
      <w:r>
        <w:rPr>
          <w:rStyle w:val="CharSectno"/>
        </w:rPr>
        <w:t>4</w:t>
      </w:r>
      <w:r>
        <w:t>.</w:t>
      </w:r>
      <w:r>
        <w:tab/>
        <w:t>Part 8 Division 3 inserted</w:t>
      </w:r>
      <w:bookmarkEnd w:id="7"/>
    </w:p>
    <w:p>
      <w:pPr>
        <w:pStyle w:val="Subsection"/>
      </w:pPr>
      <w:r>
        <w:tab/>
      </w:r>
      <w:r>
        <w:tab/>
        <w:t>At the end of Part 8 insert:</w:t>
      </w:r>
    </w:p>
    <w:p>
      <w:pPr>
        <w:pStyle w:val="BlankOpen"/>
      </w:pPr>
    </w:p>
    <w:p>
      <w:pPr>
        <w:pStyle w:val="zHeading3"/>
      </w:pPr>
      <w:bookmarkStart w:id="8" w:name="_Toc82090127"/>
      <w:bookmarkStart w:id="9" w:name="_Toc82090162"/>
      <w:bookmarkStart w:id="10" w:name="_Toc82090236"/>
      <w:bookmarkStart w:id="11" w:name="_Toc82090305"/>
      <w:r>
        <w:t>Division 3 — Cross</w:t>
      </w:r>
      <w:r>
        <w:noBreakHyphen/>
        <w:t>examination of parties where allegations of family violence</w:t>
      </w:r>
      <w:bookmarkEnd w:id="8"/>
      <w:bookmarkEnd w:id="9"/>
      <w:bookmarkEnd w:id="10"/>
      <w:bookmarkEnd w:id="11"/>
    </w:p>
    <w:p>
      <w:pPr>
        <w:pStyle w:val="zHeading5"/>
      </w:pPr>
      <w:bookmarkStart w:id="12" w:name="_Toc82090306"/>
      <w:r>
        <w:t>219AJ.</w:t>
      </w:r>
      <w:r>
        <w:tab/>
        <w:t>Application of Division</w:t>
      </w:r>
      <w:bookmarkEnd w:id="12"/>
    </w:p>
    <w:p>
      <w:pPr>
        <w:pStyle w:val="zSubsection"/>
      </w:pPr>
      <w:r>
        <w:tab/>
        <w:t>(1)</w:t>
      </w:r>
      <w:r>
        <w:tab/>
        <w:t xml:space="preserve">In this section — </w:t>
      </w:r>
    </w:p>
    <w:p>
      <w:pPr>
        <w:pStyle w:val="zDefstart"/>
      </w:pPr>
      <w:r>
        <w:tab/>
      </w:r>
      <w:r>
        <w:rPr>
          <w:rStyle w:val="CharDefText"/>
        </w:rPr>
        <w:t>commencement day</w:t>
      </w:r>
      <w:r>
        <w:t xml:space="preserve"> means the day on which the </w:t>
      </w:r>
      <w:r>
        <w:rPr>
          <w:i/>
        </w:rPr>
        <w:t>Family Court Amendment Act 2021</w:t>
      </w:r>
      <w:r>
        <w:t xml:space="preserve"> section 4 comes into operation;</w:t>
      </w:r>
    </w:p>
    <w:p>
      <w:pPr>
        <w:pStyle w:val="zDefstart"/>
      </w:pPr>
      <w:r>
        <w:tab/>
      </w:r>
      <w:r>
        <w:rPr>
          <w:rStyle w:val="CharDefText"/>
        </w:rPr>
        <w:t>specified day</w:t>
      </w:r>
      <w:r>
        <w:t xml:space="preserve"> means the day after the period of 90 days beginning on commencement day.</w:t>
      </w:r>
    </w:p>
    <w:p>
      <w:pPr>
        <w:pStyle w:val="zSubsection"/>
      </w:pPr>
      <w:r>
        <w:tab/>
        <w:t>(2)</w:t>
      </w:r>
      <w:r>
        <w:tab/>
        <w:t>This Division applies to cross</w:t>
      </w:r>
      <w:r>
        <w:noBreakHyphen/>
        <w:t>examinations occurring on or after the specified day in proceedings instituted before, on or after the commencement day.</w:t>
      </w:r>
    </w:p>
    <w:p>
      <w:pPr>
        <w:pStyle w:val="zHeading5"/>
      </w:pPr>
      <w:bookmarkStart w:id="13" w:name="_Toc82090307"/>
      <w:r>
        <w:lastRenderedPageBreak/>
        <w:t>219AK.</w:t>
      </w:r>
      <w:r>
        <w:tab/>
        <w:t>Mandatory protections for parties in certain cases — FLA s. 102NA</w:t>
      </w:r>
      <w:bookmarkEnd w:id="13"/>
    </w:p>
    <w:p>
      <w:pPr>
        <w:pStyle w:val="zSubsection"/>
      </w:pPr>
      <w:r>
        <w:tab/>
        <w:t>(1)</w:t>
      </w:r>
      <w:r>
        <w:tab/>
        <w:t xml:space="preserve">The requirements of subsection (2) apply if, in proceedings under this Act — </w:t>
      </w:r>
    </w:p>
    <w:p>
      <w:pPr>
        <w:pStyle w:val="zIndenta"/>
      </w:pPr>
      <w:r>
        <w:tab/>
        <w:t>(a)</w:t>
      </w:r>
      <w:r>
        <w:tab/>
        <w:t xml:space="preserve">a party (the </w:t>
      </w:r>
      <w:r>
        <w:rPr>
          <w:rStyle w:val="CharDefText"/>
        </w:rPr>
        <w:t>examining party</w:t>
      </w:r>
      <w:r>
        <w:t>) intends to cross</w:t>
      </w:r>
      <w:r>
        <w:noBreakHyphen/>
        <w:t xml:space="preserve">examine another party (the </w:t>
      </w:r>
      <w:r>
        <w:rPr>
          <w:rStyle w:val="CharDefText"/>
        </w:rPr>
        <w:t>witness party</w:t>
      </w:r>
      <w:r>
        <w:t xml:space="preserve">); and </w:t>
      </w:r>
    </w:p>
    <w:p>
      <w:pPr>
        <w:pStyle w:val="zIndenta"/>
      </w:pPr>
      <w:r>
        <w:tab/>
        <w:t>(b)</w:t>
      </w:r>
      <w:r>
        <w:tab/>
        <w:t xml:space="preserve">there is an allegation of family violence between the examining party and the witness party; and </w:t>
      </w:r>
    </w:p>
    <w:p>
      <w:pPr>
        <w:pStyle w:val="zIndenta"/>
      </w:pPr>
      <w:r>
        <w:tab/>
        <w:t>(c)</w:t>
      </w:r>
      <w:r>
        <w:tab/>
        <w:t xml:space="preserve">any of the following are satisfied — </w:t>
      </w:r>
    </w:p>
    <w:p>
      <w:pPr>
        <w:pStyle w:val="zIndenti"/>
      </w:pPr>
      <w:r>
        <w:tab/>
        <w:t>(i)</w:t>
      </w:r>
      <w:r>
        <w:tab/>
        <w:t>either party has been convicted of, or is charged with, an offence involving violence, or a threat of violence, to the other party;</w:t>
      </w:r>
    </w:p>
    <w:p>
      <w:pPr>
        <w:pStyle w:val="zIndenti"/>
      </w:pPr>
      <w:r>
        <w:tab/>
        <w:t>(ii)</w:t>
      </w:r>
      <w:r>
        <w:tab/>
        <w:t xml:space="preserve">a family violence order (other than an interim order) applies to both parties; </w:t>
      </w:r>
    </w:p>
    <w:p>
      <w:pPr>
        <w:pStyle w:val="zIndenti"/>
      </w:pPr>
      <w:r>
        <w:tab/>
        <w:t>(iii)</w:t>
      </w:r>
      <w:r>
        <w:tab/>
        <w:t xml:space="preserve">an injunction under section 235 or 235A for the personal protection of either party is directed against the other party; </w:t>
      </w:r>
    </w:p>
    <w:p>
      <w:pPr>
        <w:pStyle w:val="zIndenti"/>
      </w:pPr>
      <w:r>
        <w:tab/>
        <w:t>(iv)</w:t>
      </w:r>
      <w:r>
        <w:tab/>
        <w:t>the court makes an order that the requirements of subsection (2) are to apply to the cross</w:t>
      </w:r>
      <w:r>
        <w:noBreakHyphen/>
        <w:t xml:space="preserve">examination. </w:t>
      </w:r>
    </w:p>
    <w:p>
      <w:pPr>
        <w:pStyle w:val="zSubsection"/>
      </w:pPr>
      <w:r>
        <w:tab/>
        <w:t>(2)</w:t>
      </w:r>
      <w:r>
        <w:tab/>
        <w:t>Both of the following requirements apply to the cross</w:t>
      </w:r>
      <w:r>
        <w:noBreakHyphen/>
        <w:t xml:space="preserve">examination — </w:t>
      </w:r>
    </w:p>
    <w:p>
      <w:pPr>
        <w:pStyle w:val="zIndenta"/>
      </w:pPr>
      <w:r>
        <w:tab/>
        <w:t>(a)</w:t>
      </w:r>
      <w:r>
        <w:tab/>
        <w:t>the examining party must not cross</w:t>
      </w:r>
      <w:r>
        <w:noBreakHyphen/>
        <w:t xml:space="preserve">examine the witness party personally; </w:t>
      </w:r>
    </w:p>
    <w:p>
      <w:pPr>
        <w:pStyle w:val="zIndenta"/>
      </w:pPr>
      <w:r>
        <w:tab/>
        <w:t>(b)</w:t>
      </w:r>
      <w:r>
        <w:tab/>
        <w:t>the cross</w:t>
      </w:r>
      <w:r>
        <w:noBreakHyphen/>
        <w:t>examination must be conducted by an Australian legal practitioner acting on behalf of the examining party.</w:t>
      </w:r>
    </w:p>
    <w:p>
      <w:pPr>
        <w:pStyle w:val="zSubsection"/>
        <w:keepNext/>
      </w:pPr>
      <w:r>
        <w:lastRenderedPageBreak/>
        <w:tab/>
        <w:t>(3)</w:t>
      </w:r>
      <w:r>
        <w:tab/>
        <w:t xml:space="preserve">The court may make an order under subsection (1)(c)(iv) — </w:t>
      </w:r>
    </w:p>
    <w:p>
      <w:pPr>
        <w:pStyle w:val="zIndenta"/>
      </w:pPr>
      <w:r>
        <w:tab/>
        <w:t>(a)</w:t>
      </w:r>
      <w:r>
        <w:tab/>
        <w:t xml:space="preserve">on its own initiative; or </w:t>
      </w:r>
    </w:p>
    <w:p>
      <w:pPr>
        <w:pStyle w:val="zIndenta"/>
      </w:pPr>
      <w:r>
        <w:tab/>
        <w:t>(b)</w:t>
      </w:r>
      <w:r>
        <w:tab/>
        <w:t xml:space="preserve">on the application of — </w:t>
      </w:r>
    </w:p>
    <w:p>
      <w:pPr>
        <w:pStyle w:val="zIndenti"/>
      </w:pPr>
      <w:r>
        <w:tab/>
        <w:t>(i)</w:t>
      </w:r>
      <w:r>
        <w:tab/>
        <w:t xml:space="preserve">the witness party; or </w:t>
      </w:r>
    </w:p>
    <w:p>
      <w:pPr>
        <w:pStyle w:val="zIndenti"/>
      </w:pPr>
      <w:r>
        <w:tab/>
        <w:t>(ii)</w:t>
      </w:r>
      <w:r>
        <w:tab/>
        <w:t xml:space="preserve">the examining party; or </w:t>
      </w:r>
    </w:p>
    <w:p>
      <w:pPr>
        <w:pStyle w:val="zIndenti"/>
      </w:pPr>
      <w:r>
        <w:tab/>
        <w:t>(iii)</w:t>
      </w:r>
      <w:r>
        <w:tab/>
        <w:t>if an independent children’s lawyer has been appointed for a child in relation to the proceedings — that lawyer.</w:t>
      </w:r>
    </w:p>
    <w:p>
      <w:pPr>
        <w:pStyle w:val="zHeading5"/>
      </w:pPr>
      <w:bookmarkStart w:id="14" w:name="_Toc82090308"/>
      <w:r>
        <w:t>219AL.</w:t>
      </w:r>
      <w:r>
        <w:tab/>
        <w:t>Court</w:t>
      </w:r>
      <w:r>
        <w:noBreakHyphen/>
        <w:t>ordered protections in other cases — FLA s. 102NB</w:t>
      </w:r>
      <w:bookmarkEnd w:id="14"/>
    </w:p>
    <w:p>
      <w:pPr>
        <w:pStyle w:val="zSubsection"/>
      </w:pPr>
      <w:r>
        <w:tab/>
        <w:t>(1)</w:t>
      </w:r>
      <w:r>
        <w:tab/>
        <w:t xml:space="preserve">Subsection (2) applies if, in proceedings under this Act — </w:t>
      </w:r>
    </w:p>
    <w:p>
      <w:pPr>
        <w:pStyle w:val="zIndenta"/>
      </w:pPr>
      <w:r>
        <w:tab/>
        <w:t>(a)</w:t>
      </w:r>
      <w:r>
        <w:tab/>
        <w:t xml:space="preserve">a party (the </w:t>
      </w:r>
      <w:r>
        <w:rPr>
          <w:rStyle w:val="CharDefText"/>
        </w:rPr>
        <w:t>examining party</w:t>
      </w:r>
      <w:r>
        <w:t>) intends to cross</w:t>
      </w:r>
      <w:r>
        <w:noBreakHyphen/>
        <w:t xml:space="preserve">examine another party (the </w:t>
      </w:r>
      <w:r>
        <w:rPr>
          <w:rStyle w:val="CharDefText"/>
        </w:rPr>
        <w:t>witness party</w:t>
      </w:r>
      <w:r>
        <w:t xml:space="preserve">) personally; and </w:t>
      </w:r>
    </w:p>
    <w:p>
      <w:pPr>
        <w:pStyle w:val="zIndenta"/>
      </w:pPr>
      <w:r>
        <w:tab/>
        <w:t>(b)</w:t>
      </w:r>
      <w:r>
        <w:tab/>
        <w:t xml:space="preserve">there is an allegation of family violence between the examining party and the witness party; and </w:t>
      </w:r>
    </w:p>
    <w:p>
      <w:pPr>
        <w:pStyle w:val="zIndenta"/>
      </w:pPr>
      <w:r>
        <w:tab/>
        <w:t>(c)</w:t>
      </w:r>
      <w:r>
        <w:tab/>
        <w:t>section 219AK does not apply to prevent the examining party cross</w:t>
      </w:r>
      <w:r>
        <w:noBreakHyphen/>
        <w:t>examining the witness party personally.</w:t>
      </w:r>
    </w:p>
    <w:p>
      <w:pPr>
        <w:pStyle w:val="zSubsection"/>
      </w:pPr>
      <w:r>
        <w:tab/>
        <w:t>(2)</w:t>
      </w:r>
      <w:r>
        <w:tab/>
        <w:t>The court must ensure that during the cross</w:t>
      </w:r>
      <w:r>
        <w:noBreakHyphen/>
        <w:t>examination there are appropriate protections for the party who is the alleged victim of the family violence.</w:t>
      </w:r>
    </w:p>
    <w:p>
      <w:pPr>
        <w:pStyle w:val="Heading5"/>
      </w:pPr>
      <w:bookmarkStart w:id="15" w:name="_Toc82090309"/>
      <w:r>
        <w:rPr>
          <w:rStyle w:val="CharSectno"/>
        </w:rPr>
        <w:lastRenderedPageBreak/>
        <w:t>5</w:t>
      </w:r>
      <w:r>
        <w:t>.</w:t>
      </w:r>
      <w:r>
        <w:tab/>
        <w:t>Section 243 amended</w:t>
      </w:r>
      <w:bookmarkEnd w:id="15"/>
    </w:p>
    <w:p>
      <w:pPr>
        <w:pStyle w:val="Subsection"/>
        <w:keepNext/>
      </w:pPr>
      <w:r>
        <w:tab/>
        <w:t>(1)</w:t>
      </w:r>
      <w:r>
        <w:tab/>
        <w:t>In section 243(1) delete the passage that begins with “A person” and ends with “disseminate”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A person commits a crime if the person publishes in a newspaper or periodical publication or by radio broadcast, television or other electronic means, or otherwise disseminates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>In section 243(1) delete the Penalty and insert:</w:t>
      </w:r>
    </w:p>
    <w:p>
      <w:pPr>
        <w:pStyle w:val="BlankOpen"/>
      </w:pPr>
    </w:p>
    <w:p>
      <w:pPr>
        <w:pStyle w:val="zPenstart"/>
      </w:pPr>
      <w:r>
        <w:tab/>
        <w:t>Penalty for this subsection:</w:t>
      </w:r>
    </w:p>
    <w:p>
      <w:pPr>
        <w:pStyle w:val="zPenpara"/>
      </w:pPr>
      <w:r>
        <w:tab/>
        <w:t>(a)</w:t>
      </w:r>
      <w:r>
        <w:tab/>
        <w:t>for an individual, imprisonment for 12 months and a fine of $5 500;</w:t>
      </w:r>
    </w:p>
    <w:p>
      <w:pPr>
        <w:pStyle w:val="zPenpara"/>
      </w:pPr>
      <w:r>
        <w:tab/>
        <w:t>(b)</w:t>
      </w:r>
      <w:r>
        <w:tab/>
        <w:t>for a body corporate, a fine of $11 000.</w:t>
      </w:r>
    </w:p>
    <w:p>
      <w:pPr>
        <w:pStyle w:val="zPenstart"/>
      </w:pPr>
      <w:r>
        <w:tab/>
        <w:t>Summary conviction penalty for this subsection:</w:t>
      </w:r>
    </w:p>
    <w:p>
      <w:pPr>
        <w:pStyle w:val="zPenpara"/>
      </w:pPr>
      <w:r>
        <w:tab/>
        <w:t>(a)</w:t>
      </w:r>
      <w:r>
        <w:tab/>
        <w:t>for an individual, a fine of $2 750;</w:t>
      </w:r>
    </w:p>
    <w:p>
      <w:pPr>
        <w:pStyle w:val="zPenpara"/>
      </w:pPr>
      <w:r>
        <w:tab/>
        <w:t>(b)</w:t>
      </w:r>
      <w:r>
        <w:tab/>
        <w:t>for a body corporate, a fine of $5 500.</w:t>
      </w:r>
    </w:p>
    <w:p>
      <w:pPr>
        <w:pStyle w:val="BlankClose"/>
      </w:pPr>
    </w:p>
    <w:p>
      <w:pPr>
        <w:pStyle w:val="Subsection"/>
      </w:pPr>
      <w:r>
        <w:tab/>
        <w:t>(3)</w:t>
      </w:r>
      <w:r>
        <w:tab/>
        <w:t>In section 243(2) delete the passage that begins with “A person” and ends with “disseminate”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A person commits a crime if the person, except as permitted by the rules, publishes in a newspaper or periodical publication or by radio broadcast, television or other electronic means, or otherwise disseminates</w:t>
      </w:r>
    </w:p>
    <w:p>
      <w:pPr>
        <w:pStyle w:val="BlankClose"/>
      </w:pPr>
    </w:p>
    <w:p>
      <w:pPr>
        <w:pStyle w:val="Subsection"/>
      </w:pPr>
      <w:r>
        <w:tab/>
        <w:t>(4)</w:t>
      </w:r>
      <w:r>
        <w:tab/>
        <w:t>In section 243(2) delete the Penalty and insert:</w:t>
      </w:r>
    </w:p>
    <w:p>
      <w:pPr>
        <w:pStyle w:val="BlankOpen"/>
      </w:pPr>
    </w:p>
    <w:p>
      <w:pPr>
        <w:pStyle w:val="zPenstart"/>
      </w:pPr>
      <w:r>
        <w:tab/>
        <w:t>Penalty for this subsection:</w:t>
      </w:r>
    </w:p>
    <w:p>
      <w:pPr>
        <w:pStyle w:val="zPenpara"/>
      </w:pPr>
      <w:r>
        <w:tab/>
        <w:t>(a)</w:t>
      </w:r>
      <w:r>
        <w:tab/>
        <w:t>for an individual, imprisonment for 12 months and a fine of $5 500;</w:t>
      </w:r>
    </w:p>
    <w:p>
      <w:pPr>
        <w:pStyle w:val="zPenpara"/>
      </w:pPr>
      <w:r>
        <w:lastRenderedPageBreak/>
        <w:tab/>
        <w:t>(b)</w:t>
      </w:r>
      <w:r>
        <w:tab/>
        <w:t>for a body corporate, a fine of $11 000.</w:t>
      </w:r>
    </w:p>
    <w:p>
      <w:pPr>
        <w:pStyle w:val="zPenstart"/>
      </w:pPr>
      <w:r>
        <w:tab/>
        <w:t>Summary conviction penalty for this subsection:</w:t>
      </w:r>
    </w:p>
    <w:p>
      <w:pPr>
        <w:pStyle w:val="zPenpara"/>
      </w:pPr>
      <w:r>
        <w:tab/>
        <w:t>(a)</w:t>
      </w:r>
      <w:r>
        <w:tab/>
        <w:t>for an individual, a fine of $2 750;</w:t>
      </w:r>
    </w:p>
    <w:p>
      <w:pPr>
        <w:pStyle w:val="zPenpara"/>
      </w:pPr>
      <w:r>
        <w:tab/>
        <w:t>(b)</w:t>
      </w:r>
      <w:r>
        <w:tab/>
        <w:t>for a body corporate, a fine of $5 500.</w:t>
      </w:r>
    </w:p>
    <w:p>
      <w:pPr>
        <w:pStyle w:val="BlankClose"/>
      </w:pPr>
    </w:p>
    <w:p>
      <w:pPr>
        <w:pStyle w:val="Subsection"/>
      </w:pPr>
      <w:r>
        <w:tab/>
        <w:t>(5)</w:t>
      </w:r>
      <w:r>
        <w:tab/>
        <w:t>Delete section 243(5).</w:t>
      </w:r>
    </w:p>
    <w:p>
      <w:pPr>
        <w:pStyle w:val="Subsection"/>
      </w:pPr>
      <w:r>
        <w:tab/>
        <w:t>(6)</w:t>
      </w:r>
      <w:r>
        <w:tab/>
        <w:t>After section 243(8)(a) insert:</w:t>
      </w:r>
    </w:p>
    <w:p>
      <w:pPr>
        <w:pStyle w:val="BlankOpen"/>
      </w:pPr>
    </w:p>
    <w:p>
      <w:pPr>
        <w:pStyle w:val="zIndenta"/>
      </w:pPr>
      <w:r>
        <w:tab/>
        <w:t>(aa)</w:t>
      </w:r>
      <w:r>
        <w:tab/>
        <w:t>the communication of any pleading, transcript of evidence or other document to an authority of a State or Territory that has responsibilities relating to the welfare of children and is prescribed by the regulations for the purposes of this paragraph; or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7000" cy="2921000"/>
                <wp:effectExtent l="0" t="0" r="1905" b="0"/>
                <wp:wrapNone/>
                <wp:docPr id="4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© State of Western Australia 2021.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Attribute work as: © State of Western Australia 2021.</w:t>
                            </w:r>
                          </w:p>
                          <w:p>
                            <w:pPr>
                              <w:pBdr>
                                <w:top w:val="double" w:sz="4" w:space="1" w:color="auto"/>
                              </w:pBd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pt;height:230pt;z-index:25166540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© State of Western Australia 2021.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Attribute work as: © State of Western Australia 2021.</w:t>
                      </w:r>
                    </w:p>
                    <w:p>
                      <w:pPr>
                        <w:pBdr>
                          <w:top w:val="double" w:sz="4" w:space="1" w:color="auto"/>
                        </w:pBd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16 of 2021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Sep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Sep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16 of 2021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Sep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16 of 2021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16 of 2021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Sep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Sep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16 of 2021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Sep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16 of 2021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Family Court Amendment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Family Court Amendment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Family Court Amendment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Family Court Amendment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Family Court Amendment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Family Court Amendment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10909142713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1051109443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511094439_GUID" w:val="d09646a0-9f40-4137-ac5c-204d893e84ce"/>
    <w:docVar w:name="WAFER_2021051309233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513092338_GUID" w:val="efe64a2c-9bf4-49cc-a245-532808d5ac0e"/>
    <w:docVar w:name="WAFER_2021090914271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"/>
    <w:docVar w:name="WAFER_20210909142713_GUID" w:val="80f05d55-f826-4750-a417-5e66a59ee5e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94CA53-A551-4704-A9E9-E6D16784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CE0B-DA56-4A2C-B1AD-654938DA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972</Words>
  <Characters>4895</Characters>
  <Application>Microsoft Office Word</Application>
  <DocSecurity>0</DocSecurity>
  <Lines>181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5757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Court Amendment Act 2021 - 00-00-00</dc:title>
  <dc:subject/>
  <dc:creator/>
  <cp:keywords/>
  <dc:description/>
  <cp:lastModifiedBy>Master Repository Process</cp:lastModifiedBy>
  <cp:revision>4</cp:revision>
  <cp:lastPrinted>2021-05-13T01:47:00Z</cp:lastPrinted>
  <dcterms:created xsi:type="dcterms:W3CDTF">2021-09-09T06:53:00Z</dcterms:created>
  <dcterms:modified xsi:type="dcterms:W3CDTF">2021-09-09T06:53:00Z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16 of 2021</vt:lpwstr>
  </property>
  <property fmtid="{D5CDD505-2E9C-101B-9397-08002B2CF9AE}" pid="3" name="DocumentType">
    <vt:lpwstr>Act</vt:lpwstr>
  </property>
  <property fmtid="{D5CDD505-2E9C-101B-9397-08002B2CF9AE}" pid="4" name="AsAtDate">
    <vt:lpwstr>09 Sep 2021</vt:lpwstr>
  </property>
  <property fmtid="{D5CDD505-2E9C-101B-9397-08002B2CF9AE}" pid="5" name="Suffix">
    <vt:lpwstr>00-00-00</vt:lpwstr>
  </property>
  <property fmtid="{D5CDD505-2E9C-101B-9397-08002B2CF9AE}" pid="6" name="ActNoFooter">
    <vt:lpwstr>No. 16 of 2021</vt:lpwstr>
  </property>
  <property fmtid="{D5CDD505-2E9C-101B-9397-08002B2CF9AE}" pid="7" name="CommencementDate">
    <vt:lpwstr>20210909</vt:lpwstr>
  </property>
</Properties>
</file>