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_Toc81924039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_Toc81924040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_Toc81924041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_Toc81924042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_Toc81924043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_Toc81924044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_Toc81924045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_Toc81924046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_Toc81924047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_Toc81924048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_Toc81924049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_Toc81924050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_Toc81924051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_Toc81924052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_Toc81924053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_Toc81924054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_Toc81924055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_Toc81924056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_Toc81924057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_Toc81924058 \h </w:instrText>
      </w:r>
      <w:r>
        <w:fldChar w:fldCharType="separate"/>
      </w:r>
      <w:r>
        <w:t>13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Registry fees</w:t>
      </w:r>
    </w:p>
    <w:p>
      <w:pPr>
        <w:pStyle w:val="TOC2"/>
        <w:keepNext w:val="0"/>
        <w:tabs>
          <w:tab w:val="right" w:leader="dot" w:pos="7077"/>
        </w:tabs>
        <w:rPr>
          <w:rFonts w:asciiTheme="minorHAnsi" w:eastAsiaTheme="minorEastAsia" w:hAnsiTheme="minorHAnsi" w:cstheme="minorBidi"/>
          <w:b w:val="0"/>
          <w:sz w:val="22"/>
          <w:szCs w:val="22"/>
        </w:rPr>
      </w:pPr>
      <w:r>
        <w:t>Schedule 2 — Sheriff’s fees</w:t>
      </w:r>
    </w:p>
    <w:p>
      <w:pPr>
        <w:pStyle w:val="TOC2"/>
        <w:keepNext w:val="0"/>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_Toc81924063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_Toc81924064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(Fees) Regulations 2002</w:t>
      </w:r>
    </w:p>
    <w:p>
      <w:pPr>
        <w:pStyle w:val="Heading5"/>
      </w:pPr>
      <w:bookmarkStart w:id="3" w:name="_Toc81924039"/>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t>.</w:t>
      </w:r>
    </w:p>
    <w:p>
      <w:pPr>
        <w:pStyle w:val="Heading5"/>
      </w:pPr>
      <w:bookmarkStart w:id="4" w:name="_Toc81924040"/>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81924041"/>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lastRenderedPageBreak/>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6" w:name="_Toc81924042"/>
      <w:r>
        <w:rPr>
          <w:rStyle w:val="CharSectno"/>
        </w:rPr>
        <w:lastRenderedPageBreak/>
        <w:t>4</w:t>
      </w:r>
      <w:r>
        <w:rPr>
          <w:snapToGrid w:val="0"/>
        </w:rPr>
        <w:t>.</w:t>
      </w:r>
      <w:r>
        <w:rPr>
          <w:snapToGrid w:val="0"/>
        </w:rPr>
        <w:tab/>
        <w:t>Fees to be charged</w:t>
      </w:r>
      <w:bookmarkEnd w:id="6"/>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81924043"/>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81924044"/>
      <w:r>
        <w:rPr>
          <w:rStyle w:val="CharSectno"/>
        </w:rPr>
        <w:lastRenderedPageBreak/>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81924045"/>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81924046"/>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lastRenderedPageBreak/>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81924047"/>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81924048"/>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lastRenderedPageBreak/>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81924049"/>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lastRenderedPageBreak/>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81924050"/>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81924051"/>
      <w:r>
        <w:rPr>
          <w:rStyle w:val="CharSectno"/>
        </w:rPr>
        <w:lastRenderedPageBreak/>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81924052"/>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81924053"/>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81924054"/>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lastRenderedPageBreak/>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81924055"/>
      <w:r>
        <w:rPr>
          <w:rStyle w:val="CharSectno"/>
        </w:rPr>
        <w:lastRenderedPageBreak/>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81924056"/>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81924057"/>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lastRenderedPageBreak/>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81924058"/>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 w:name="_Toc81910780"/>
      <w:bookmarkStart w:id="24" w:name="_Toc81911130"/>
      <w:bookmarkStart w:id="25" w:name="_Toc81924059"/>
      <w:r>
        <w:rPr>
          <w:rStyle w:val="CharSchNo"/>
        </w:rPr>
        <w:lastRenderedPageBreak/>
        <w:t>Schedule 1</w:t>
      </w:r>
      <w:r>
        <w:t> — </w:t>
      </w:r>
      <w:r>
        <w:rPr>
          <w:rStyle w:val="CharSchText"/>
        </w:rPr>
        <w:t>Registry fees</w:t>
      </w:r>
      <w:bookmarkEnd w:id="23"/>
      <w:bookmarkEnd w:id="24"/>
      <w:bookmarkEnd w:id="25"/>
    </w:p>
    <w:p>
      <w:pPr>
        <w:pStyle w:val="yShoulderClause"/>
      </w:pPr>
      <w:r>
        <w:t>[r. 4]</w:t>
      </w:r>
    </w:p>
    <w:p>
      <w:pPr>
        <w:pStyle w:val="yFootnoteheading"/>
        <w:spacing w:after="120"/>
      </w:pPr>
      <w:r>
        <w:tab/>
        <w:t>[Heading inserted: SL 2021/101 r. 12.]</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rPr>
                <w:b/>
              </w:rPr>
            </w:pPr>
            <w:r>
              <w:rPr>
                <w:b/>
              </w:rPr>
              <w:t>Item</w:t>
            </w:r>
          </w:p>
        </w:tc>
        <w:tc>
          <w:tcPr>
            <w:tcW w:w="2410" w:type="dxa"/>
            <w:tcBorders>
              <w:top w:val="single" w:sz="4" w:space="0" w:color="auto"/>
              <w:bottom w:val="single" w:sz="4" w:space="0" w:color="auto"/>
            </w:tcBorders>
            <w:noWrap/>
          </w:tcPr>
          <w:p>
            <w:pPr>
              <w:pStyle w:val="yTableNAm"/>
              <w:rPr>
                <w:b/>
              </w:rPr>
            </w:pPr>
            <w:r>
              <w:rPr>
                <w:b/>
              </w:rPr>
              <w:t>Matter</w:t>
            </w:r>
          </w:p>
        </w:tc>
        <w:tc>
          <w:tcPr>
            <w:tcW w:w="1275" w:type="dxa"/>
            <w:tcBorders>
              <w:top w:val="single" w:sz="4" w:space="0" w:color="auto"/>
              <w:bottom w:val="single" w:sz="4" w:space="0" w:color="auto"/>
            </w:tcBorders>
            <w:noWrap/>
          </w:tcPr>
          <w:p>
            <w:pPr>
              <w:pStyle w:val="yTableNAm"/>
              <w:rPr>
                <w:b/>
              </w:rPr>
            </w:pPr>
            <w:r>
              <w:rPr>
                <w:b/>
              </w:rPr>
              <w:t>Column A</w:t>
            </w:r>
          </w:p>
          <w:p>
            <w:pPr>
              <w:pStyle w:val="yTableNAm"/>
            </w:pPr>
            <w:r>
              <w:t>Fee for individual or eligible entity</w:t>
            </w:r>
            <w:r>
              <w:br/>
              <w:t>$</w:t>
            </w:r>
          </w:p>
        </w:tc>
        <w:tc>
          <w:tcPr>
            <w:tcW w:w="1276" w:type="dxa"/>
            <w:tcBorders>
              <w:top w:val="single" w:sz="4" w:space="0" w:color="auto"/>
              <w:bottom w:val="single" w:sz="4" w:space="0" w:color="auto"/>
            </w:tcBorders>
            <w:noWrap/>
          </w:tcPr>
          <w:p>
            <w:pPr>
              <w:pStyle w:val="yTableNAm"/>
              <w:rPr>
                <w:b/>
              </w:rPr>
            </w:pPr>
            <w:r>
              <w:rPr>
                <w:b/>
              </w:rPr>
              <w:t>Column B</w:t>
            </w:r>
          </w:p>
          <w:p>
            <w:pPr>
              <w:pStyle w:val="yTableNAm"/>
            </w:pPr>
            <w:r>
              <w:t>Fee for entity</w:t>
            </w:r>
            <w:r>
              <w:br/>
            </w:r>
            <w:r>
              <w:br/>
            </w:r>
            <w:r>
              <w:br/>
              <w:t>$</w:t>
            </w:r>
          </w:p>
        </w:tc>
        <w:tc>
          <w:tcPr>
            <w:tcW w:w="1275" w:type="dxa"/>
            <w:tcBorders>
              <w:top w:val="single" w:sz="4" w:space="0" w:color="auto"/>
              <w:bottom w:val="single" w:sz="4" w:space="0" w:color="auto"/>
            </w:tcBorders>
            <w:noWrap/>
          </w:tcPr>
          <w:p>
            <w:pPr>
              <w:pStyle w:val="yTableNAm"/>
              <w:rPr>
                <w:b/>
              </w:rPr>
            </w:pPr>
            <w:r>
              <w:rPr>
                <w:b/>
              </w:rPr>
              <w:t>Column C</w:t>
            </w:r>
          </w:p>
          <w:p>
            <w:pPr>
              <w:pStyle w:val="yTableNAm"/>
            </w:pPr>
            <w:r>
              <w:t>Fee for eligible individual</w:t>
            </w:r>
            <w:r>
              <w:br/>
            </w:r>
            <w:r>
              <w:br/>
              <w:t>$</w:t>
            </w:r>
          </w:p>
        </w:tc>
      </w:tr>
      <w:tr>
        <w:trPr>
          <w:cantSplit/>
          <w:tblHeader/>
        </w:trPr>
        <w:tc>
          <w:tcPr>
            <w:tcW w:w="743" w:type="dxa"/>
            <w:tcBorders>
              <w:top w:val="single" w:sz="4" w:space="0" w:color="auto"/>
            </w:tcBorders>
            <w:noWrap/>
          </w:tcPr>
          <w:p>
            <w:pPr>
              <w:rPr>
                <w:sz w:val="2"/>
                <w:szCs w:val="2"/>
              </w:rPr>
            </w:pPr>
          </w:p>
        </w:tc>
        <w:tc>
          <w:tcPr>
            <w:tcW w:w="2410" w:type="dxa"/>
            <w:tcBorders>
              <w:top w:val="single" w:sz="4" w:space="0" w:color="auto"/>
            </w:tcBorders>
            <w:noWrap/>
          </w:tcPr>
          <w:p>
            <w:pPr>
              <w:rPr>
                <w:sz w:val="2"/>
                <w:szCs w:val="2"/>
              </w:rPr>
            </w:pPr>
          </w:p>
        </w:tc>
        <w:tc>
          <w:tcPr>
            <w:tcW w:w="1275" w:type="dxa"/>
            <w:tcBorders>
              <w:top w:val="single" w:sz="4" w:space="0" w:color="auto"/>
            </w:tcBorders>
            <w:noWrap/>
          </w:tcPr>
          <w:p>
            <w:pPr>
              <w:rPr>
                <w:sz w:val="2"/>
                <w:szCs w:val="2"/>
              </w:rPr>
            </w:pPr>
          </w:p>
        </w:tc>
        <w:tc>
          <w:tcPr>
            <w:tcW w:w="1276" w:type="dxa"/>
            <w:tcBorders>
              <w:top w:val="single" w:sz="4" w:space="0" w:color="auto"/>
            </w:tcBorders>
            <w:noWrap/>
          </w:tcPr>
          <w:p>
            <w:pPr>
              <w:rPr>
                <w:sz w:val="2"/>
                <w:szCs w:val="2"/>
              </w:rPr>
            </w:pPr>
          </w:p>
        </w:tc>
        <w:tc>
          <w:tcPr>
            <w:tcW w:w="1275" w:type="dxa"/>
            <w:tcBorders>
              <w:top w:val="single" w:sz="4" w:space="0" w:color="auto"/>
            </w:tcBorders>
            <w:noWrap/>
          </w:tcPr>
          <w:p>
            <w:pPr>
              <w:rPr>
                <w:sz w:val="2"/>
                <w:szCs w:val="2"/>
              </w:rPr>
            </w:pPr>
          </w:p>
        </w:tc>
      </w:tr>
      <w:tr>
        <w:trPr>
          <w:cantSplit/>
        </w:trPr>
        <w:tc>
          <w:tcPr>
            <w:tcW w:w="743" w:type="dxa"/>
            <w:noWrap/>
          </w:tcPr>
          <w:p>
            <w:pPr>
              <w:pStyle w:val="yTableNAm"/>
            </w:pPr>
            <w:r>
              <w:t>1.</w:t>
            </w:r>
          </w:p>
        </w:tc>
        <w:tc>
          <w:tcPr>
            <w:tcW w:w="2410" w:type="dxa"/>
            <w:noWrap/>
          </w:tcPr>
          <w:p>
            <w:pPr>
              <w:pStyle w:val="yTableNAm"/>
            </w:pPr>
            <w:r>
              <w:t>On filing any originating process by which a cause, matter or other proceeding in the Court is commenced, other than proceedings of the kind referred to in item 2, 3, 4, 5 or 9</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tabs>
                <w:tab w:val="clear" w:pos="567"/>
              </w:tabs>
              <w:ind w:right="176"/>
              <w:jc w:val="right"/>
            </w:pPr>
            <w:r>
              <w:rPr>
                <w:szCs w:val="22"/>
              </w:rPr>
              <w:t>255.00</w:t>
            </w:r>
          </w:p>
        </w:tc>
        <w:tc>
          <w:tcPr>
            <w:tcW w:w="1276" w:type="dxa"/>
            <w:noWrap/>
            <w:vAlign w:val="bottom"/>
          </w:tcPr>
          <w:p>
            <w:pPr>
              <w:pStyle w:val="yTableNAm"/>
              <w:tabs>
                <w:tab w:val="clear" w:pos="567"/>
              </w:tabs>
              <w:ind w:right="176"/>
              <w:jc w:val="center"/>
            </w:pPr>
            <w:r>
              <w:t>N/A</w:t>
            </w:r>
          </w:p>
        </w:tc>
        <w:tc>
          <w:tcPr>
            <w:tcW w:w="1275" w:type="dxa"/>
            <w:noWrap/>
            <w:vAlign w:val="bottom"/>
          </w:tcPr>
          <w:p>
            <w:pPr>
              <w:pStyle w:val="yTableNAm"/>
              <w:tabs>
                <w:tab w:val="clear" w:pos="567"/>
              </w:tabs>
              <w:ind w:right="176"/>
              <w:jc w:val="right"/>
            </w:pPr>
            <w:r>
              <w:rPr>
                <w:szCs w:val="22"/>
              </w:rP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tabs>
                <w:tab w:val="clear" w:pos="567"/>
              </w:tabs>
              <w:ind w:right="176"/>
              <w:jc w:val="right"/>
            </w:pPr>
            <w:r>
              <w:t>159.50</w:t>
            </w:r>
          </w:p>
        </w:tc>
        <w:tc>
          <w:tcPr>
            <w:tcW w:w="1276" w:type="dxa"/>
            <w:noWrap/>
            <w:vAlign w:val="bottom"/>
          </w:tcPr>
          <w:p>
            <w:pPr>
              <w:pStyle w:val="yTableNAm"/>
              <w:jc w:val="center"/>
            </w:pPr>
            <w:r>
              <w:t>N/A</w:t>
            </w:r>
          </w:p>
        </w:tc>
        <w:tc>
          <w:tcPr>
            <w:tcW w:w="1275" w:type="dxa"/>
            <w:noWrap/>
            <w:vAlign w:val="bottom"/>
          </w:tcPr>
          <w:p>
            <w:pPr>
              <w:pStyle w:val="yTableNAm"/>
              <w:tabs>
                <w:tab w:val="clear" w:pos="567"/>
              </w:tabs>
              <w:ind w:right="176"/>
              <w:jc w:val="right"/>
            </w:pPr>
            <w:r>
              <w:t>47.90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tabs>
                <w:tab w:val="clear" w:pos="567"/>
              </w:tabs>
              <w:ind w:right="176"/>
              <w:jc w:val="right"/>
            </w:pPr>
          </w:p>
        </w:tc>
        <w:tc>
          <w:tcPr>
            <w:tcW w:w="1276" w:type="dxa"/>
            <w:noWrap/>
          </w:tcPr>
          <w:p>
            <w:pPr>
              <w:pStyle w:val="yTableNAm"/>
              <w:tabs>
                <w:tab w:val="clear" w:pos="567"/>
              </w:tabs>
              <w:ind w:right="176"/>
              <w:jc w:val="right"/>
            </w:pPr>
          </w:p>
        </w:tc>
        <w:tc>
          <w:tcPr>
            <w:tcW w:w="1275" w:type="dxa"/>
            <w:noWrap/>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 counterclaim</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a third party notice </w:t>
            </w:r>
          </w:p>
        </w:tc>
        <w:tc>
          <w:tcPr>
            <w:tcW w:w="1275" w:type="dxa"/>
            <w:noWrap/>
            <w:vAlign w:val="bottom"/>
          </w:tcPr>
          <w:p>
            <w:pPr>
              <w:pStyle w:val="yTableNAm"/>
              <w:tabs>
                <w:tab w:val="clear" w:pos="567"/>
              </w:tabs>
              <w:ind w:right="176"/>
              <w:jc w:val="right"/>
            </w:pPr>
            <w:r>
              <w:t>1 094.00</w:t>
            </w:r>
          </w:p>
        </w:tc>
        <w:tc>
          <w:tcPr>
            <w:tcW w:w="1276" w:type="dxa"/>
            <w:noWrap/>
            <w:vAlign w:val="bottom"/>
          </w:tcPr>
          <w:p>
            <w:pPr>
              <w:pStyle w:val="yTableNAm"/>
              <w:tabs>
                <w:tab w:val="clear" w:pos="567"/>
              </w:tabs>
              <w:ind w:right="176"/>
              <w:jc w:val="right"/>
            </w:pPr>
            <w:r>
              <w:t>2 132.00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 </w:t>
            </w:r>
          </w:p>
          <w:p>
            <w:pPr>
              <w:pStyle w:val="yTableNAm"/>
              <w:tabs>
                <w:tab w:val="clear" w:pos="567"/>
                <w:tab w:val="left" w:pos="742"/>
              </w:tabs>
              <w:ind w:left="742" w:hanging="391"/>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to limit a period of time within which proceedings may be taken</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for leave to serve a writ or notice of a writ out of jurisdiction</w:t>
            </w:r>
          </w:p>
        </w:tc>
        <w:tc>
          <w:tcPr>
            <w:tcW w:w="1275" w:type="dxa"/>
            <w:noWrap/>
            <w:vAlign w:val="bottom"/>
          </w:tcPr>
          <w:p>
            <w:pPr>
              <w:pStyle w:val="yTableNAm"/>
              <w:tabs>
                <w:tab w:val="clear" w:pos="567"/>
              </w:tabs>
              <w:ind w:right="176"/>
              <w:jc w:val="right"/>
            </w:pPr>
            <w:r>
              <w:t>411.00</w:t>
            </w:r>
          </w:p>
        </w:tc>
        <w:tc>
          <w:tcPr>
            <w:tcW w:w="1276" w:type="dxa"/>
            <w:noWrap/>
            <w:vAlign w:val="bottom"/>
          </w:tcPr>
          <w:p>
            <w:pPr>
              <w:pStyle w:val="yTableNAm"/>
              <w:tabs>
                <w:tab w:val="clear" w:pos="567"/>
              </w:tabs>
              <w:ind w:right="176"/>
              <w:jc w:val="right"/>
            </w:pPr>
            <w:r>
              <w:t>710.00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an application for leave to appeal</w:t>
            </w:r>
          </w:p>
        </w:tc>
        <w:tc>
          <w:tcPr>
            <w:tcW w:w="1275" w:type="dxa"/>
            <w:shd w:val="clear" w:color="auto" w:fill="auto"/>
            <w:noWrap/>
            <w:vAlign w:val="bottom"/>
          </w:tcPr>
          <w:p>
            <w:pPr>
              <w:pStyle w:val="yTableNAm"/>
              <w:jc w:val="center"/>
            </w:pPr>
            <w:r>
              <w:t>Nil</w:t>
            </w:r>
          </w:p>
        </w:tc>
        <w:tc>
          <w:tcPr>
            <w:tcW w:w="1276" w:type="dxa"/>
            <w:shd w:val="clear" w:color="auto" w:fill="auto"/>
            <w:noWrap/>
            <w:vAlign w:val="bottom"/>
          </w:tcPr>
          <w:p>
            <w:pPr>
              <w:pStyle w:val="yTableNAm"/>
              <w:jc w:val="center"/>
            </w:pPr>
            <w:r>
              <w:t>Nil</w:t>
            </w:r>
          </w:p>
        </w:tc>
        <w:tc>
          <w:tcPr>
            <w:tcW w:w="1275" w:type="dxa"/>
            <w:shd w:val="clear" w:color="auto" w:fill="auto"/>
            <w:noWrap/>
            <w:vAlign w:val="bottom"/>
          </w:tcPr>
          <w:p>
            <w:pPr>
              <w:pStyle w:val="yTableNAm"/>
              <w:jc w:val="center"/>
            </w:pPr>
            <w:r>
              <w:t>Nil</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pPr>
              <w:pStyle w:val="yTableNAm"/>
              <w:tabs>
                <w:tab w:val="clear" w:pos="567"/>
              </w:tabs>
              <w:ind w:right="176"/>
              <w:jc w:val="right"/>
            </w:pPr>
            <w:r>
              <w:t>411.00</w:t>
            </w:r>
          </w:p>
        </w:tc>
        <w:tc>
          <w:tcPr>
            <w:tcW w:w="1276" w:type="dxa"/>
            <w:shd w:val="clear" w:color="auto" w:fill="auto"/>
            <w:noWrap/>
            <w:vAlign w:val="bottom"/>
          </w:tcPr>
          <w:p>
            <w:pPr>
              <w:pStyle w:val="yTableNAm"/>
              <w:tabs>
                <w:tab w:val="clear" w:pos="567"/>
              </w:tabs>
              <w:ind w:right="176"/>
              <w:jc w:val="right"/>
            </w:pPr>
            <w:r>
              <w:t>710.00</w:t>
            </w:r>
          </w:p>
        </w:tc>
        <w:tc>
          <w:tcPr>
            <w:tcW w:w="1275" w:type="dxa"/>
            <w:shd w:val="clear" w:color="auto" w:fill="auto"/>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 w:val="left" w:pos="351"/>
              </w:tabs>
              <w:ind w:left="351" w:hanging="351"/>
            </w:pPr>
            <w:r>
              <w:t>(a)</w:t>
            </w:r>
            <w:r>
              <w:tab/>
              <w:t>an appeal notice</w:t>
            </w:r>
          </w:p>
        </w:tc>
        <w:tc>
          <w:tcPr>
            <w:tcW w:w="1275" w:type="dxa"/>
            <w:noWrap/>
            <w:vAlign w:val="bottom"/>
          </w:tcPr>
          <w:p>
            <w:pPr>
              <w:pStyle w:val="yTableNAm"/>
              <w:tabs>
                <w:tab w:val="clear" w:pos="567"/>
              </w:tabs>
              <w:ind w:right="176"/>
              <w:jc w:val="right"/>
            </w:pPr>
            <w:r>
              <w:t>620.00</w:t>
            </w:r>
          </w:p>
        </w:tc>
        <w:tc>
          <w:tcPr>
            <w:tcW w:w="1276" w:type="dxa"/>
            <w:noWrap/>
            <w:vAlign w:val="bottom"/>
          </w:tcPr>
          <w:p>
            <w:pPr>
              <w:pStyle w:val="yTableNAm"/>
              <w:tabs>
                <w:tab w:val="clear" w:pos="567"/>
              </w:tabs>
              <w:ind w:right="176"/>
              <w:jc w:val="right"/>
            </w:pPr>
            <w:r>
              <w:t>1 604.00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pPr>
              <w:pStyle w:val="yTableNAm"/>
              <w:tabs>
                <w:tab w:val="clear" w:pos="567"/>
              </w:tabs>
              <w:ind w:right="176"/>
              <w:jc w:val="right"/>
            </w:pPr>
            <w:r>
              <w:t>480.00</w:t>
            </w:r>
          </w:p>
        </w:tc>
        <w:tc>
          <w:tcPr>
            <w:tcW w:w="1276" w:type="dxa"/>
            <w:noWrap/>
            <w:vAlign w:val="bottom"/>
          </w:tcPr>
          <w:p>
            <w:pPr>
              <w:pStyle w:val="yTableNAm"/>
              <w:tabs>
                <w:tab w:val="clear" w:pos="567"/>
              </w:tabs>
              <w:ind w:right="176"/>
              <w:jc w:val="right"/>
            </w:pPr>
            <w:r>
              <w:t>1 249.00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1</w:t>
            </w:r>
            <w:r>
              <w:rPr>
                <w:rFonts w:ascii="Arial" w:hAnsi="Arial" w:cs="Arial"/>
                <w:sz w:val="18"/>
                <w:szCs w:val="18"/>
                <w:vertAlign w:val="superscript"/>
              </w:rPr>
              <w:t>st</w:t>
            </w:r>
            <w:r>
              <w:rPr>
                <w:rFonts w:ascii="Arial" w:hAnsi="Arial" w:cs="Arial"/>
                <w:sz w:val="18"/>
                <w:szCs w:val="18"/>
              </w:rPr>
              <w:t> half day allocated by the District Court for the hearing of the appeal.</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District Court for the hearing of the appeal, that is additional to the first half day of hearing.</w:t>
            </w:r>
          </w:p>
        </w:tc>
      </w:tr>
      <w:tr>
        <w:tblPrEx>
          <w:tblCellMar>
            <w:bottom w:w="113" w:type="dxa"/>
          </w:tblCellMar>
        </w:tblPrEx>
        <w:trPr>
          <w:cantSplit/>
          <w:trHeight w:val="85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keepNext/>
            </w:pPr>
            <w:r>
              <w:t>6.</w:t>
            </w:r>
          </w:p>
        </w:tc>
        <w:tc>
          <w:tcPr>
            <w:tcW w:w="2410" w:type="dxa"/>
            <w:noWrap/>
          </w:tcPr>
          <w:p>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pPr>
              <w:pStyle w:val="yTableNAm"/>
              <w:keepNext/>
              <w:tabs>
                <w:tab w:val="clear" w:pos="567"/>
              </w:tabs>
              <w:ind w:right="176"/>
              <w:jc w:val="right"/>
            </w:pPr>
            <w:r>
              <w:t>1 094.00</w:t>
            </w:r>
          </w:p>
        </w:tc>
        <w:tc>
          <w:tcPr>
            <w:tcW w:w="1276" w:type="dxa"/>
            <w:noWrap/>
            <w:vAlign w:val="bottom"/>
          </w:tcPr>
          <w:p>
            <w:pPr>
              <w:pStyle w:val="yTableNAm"/>
              <w:keepNext/>
              <w:tabs>
                <w:tab w:val="clear" w:pos="567"/>
              </w:tabs>
              <w:ind w:right="176"/>
              <w:jc w:val="right"/>
            </w:pPr>
            <w:r>
              <w:t>2 132.00</w:t>
            </w:r>
          </w:p>
        </w:tc>
        <w:tc>
          <w:tcPr>
            <w:tcW w:w="1275" w:type="dxa"/>
            <w:noWrap/>
            <w:vAlign w:val="bottom"/>
          </w:tcPr>
          <w:p>
            <w:pPr>
              <w:pStyle w:val="yTableNAm"/>
              <w:keepNext/>
              <w:tabs>
                <w:tab w:val="clear" w:pos="567"/>
              </w:tabs>
              <w:ind w:right="176"/>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20"/>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pPr>
            <w:r>
              <w:t>7.</w:t>
            </w:r>
          </w:p>
        </w:tc>
        <w:tc>
          <w:tcPr>
            <w:tcW w:w="2410" w:type="dxa"/>
            <w:noWrap/>
          </w:tcPr>
          <w:p>
            <w:pPr>
              <w:pStyle w:val="yTableNAm"/>
            </w:pPr>
            <w:r>
              <w:t>Allocation of hearing date, for each day allocated</w:t>
            </w:r>
          </w:p>
        </w:tc>
        <w:tc>
          <w:tcPr>
            <w:tcW w:w="1275" w:type="dxa"/>
            <w:noWrap/>
            <w:vAlign w:val="bottom"/>
          </w:tcPr>
          <w:p>
            <w:pPr>
              <w:pStyle w:val="yTableNAm"/>
              <w:tabs>
                <w:tab w:val="clear" w:pos="567"/>
              </w:tabs>
              <w:ind w:right="176"/>
              <w:jc w:val="right"/>
            </w:pPr>
            <w:r>
              <w:t>960.00</w:t>
            </w:r>
          </w:p>
        </w:tc>
        <w:tc>
          <w:tcPr>
            <w:tcW w:w="1276" w:type="dxa"/>
            <w:noWrap/>
            <w:vAlign w:val="bottom"/>
          </w:tcPr>
          <w:p>
            <w:pPr>
              <w:pStyle w:val="yTableNAm"/>
              <w:tabs>
                <w:tab w:val="clear" w:pos="567"/>
              </w:tabs>
              <w:ind w:right="176"/>
              <w:jc w:val="right"/>
            </w:pPr>
            <w:r>
              <w:t>2 500.00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Height w:val="170"/>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6"/>
              <w:jc w:val="right"/>
            </w:pPr>
            <w:r>
              <w:t>960.00</w:t>
            </w:r>
          </w:p>
        </w:tc>
        <w:tc>
          <w:tcPr>
            <w:tcW w:w="1276" w:type="dxa"/>
            <w:noWrap/>
            <w:vAlign w:val="bottom"/>
          </w:tcPr>
          <w:p>
            <w:pPr>
              <w:pStyle w:val="yTableNAm"/>
              <w:tabs>
                <w:tab w:val="clear" w:pos="567"/>
              </w:tabs>
              <w:ind w:right="176"/>
              <w:jc w:val="right"/>
            </w:pPr>
            <w:r>
              <w:t>2 500.00</w:t>
            </w:r>
          </w:p>
        </w:tc>
        <w:tc>
          <w:tcPr>
            <w:tcW w:w="1275" w:type="dxa"/>
            <w:noWrap/>
            <w:vAlign w:val="bottom"/>
          </w:tcPr>
          <w:p>
            <w:pPr>
              <w:pStyle w:val="yTableNAm"/>
              <w:tabs>
                <w:tab w:val="clear" w:pos="567"/>
              </w:tabs>
              <w:ind w:right="176"/>
              <w:jc w:val="right"/>
            </w:pPr>
            <w:r>
              <w:t>100.00</w:t>
            </w:r>
          </w:p>
        </w:tc>
      </w:tr>
      <w:tr>
        <w:trPr>
          <w:cantSplit/>
          <w:trHeight w:val="850"/>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an interlocutory application or summons or motion returnable</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rPr>
                <w:rStyle w:val="CommentReference"/>
                <w:rFonts w:ascii="Times" w:hAnsi="Times"/>
                <w:szCs w:val="22"/>
              </w:rPr>
            </w:pPr>
          </w:p>
        </w:tc>
        <w:tc>
          <w:tcPr>
            <w:tcW w:w="2410" w:type="dxa"/>
            <w:noWrap/>
          </w:tcPr>
          <w:p>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for summary judgment</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Height w:val="96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743" w:type="dxa"/>
            <w:noWrap/>
          </w:tcPr>
          <w:p>
            <w:pPr>
              <w:pStyle w:val="yTableNAm"/>
              <w:keepNext/>
            </w:pPr>
            <w:r>
              <w:t>10.</w:t>
            </w:r>
          </w:p>
        </w:tc>
        <w:tc>
          <w:tcPr>
            <w:tcW w:w="2410" w:type="dxa"/>
            <w:noWrap/>
          </w:tcPr>
          <w:p>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rPr>
          <w:cantSplit/>
        </w:trPr>
        <w:tc>
          <w:tcPr>
            <w:tcW w:w="743" w:type="dxa"/>
            <w:noWrap/>
          </w:tcPr>
          <w:p>
            <w:pPr>
              <w:pStyle w:val="yTableNAm"/>
            </w:pPr>
            <w:r>
              <w:t>11.</w:t>
            </w:r>
          </w:p>
        </w:tc>
        <w:tc>
          <w:tcPr>
            <w:tcW w:w="2410" w:type="dxa"/>
            <w:noWrap/>
          </w:tcPr>
          <w:p>
            <w:pPr>
              <w:pStyle w:val="yTableNAm"/>
            </w:pPr>
            <w:r>
              <w:t xml:space="preserve">On an appointment to tax a bill of costs in a cause or matter or under the </w:t>
            </w:r>
            <w:r>
              <w:rPr>
                <w:i/>
              </w:rPr>
              <w:t>Commercial Arbitration Act 2012</w:t>
            </w:r>
            <w:r>
              <w:t>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lodgment fee</w:t>
            </w:r>
          </w:p>
        </w:tc>
        <w:tc>
          <w:tcPr>
            <w:tcW w:w="1275" w:type="dxa"/>
            <w:noWrap/>
            <w:vAlign w:val="bottom"/>
          </w:tcPr>
          <w:p>
            <w:pPr>
              <w:pStyle w:val="yTableNAm"/>
              <w:tabs>
                <w:tab w:val="clear" w:pos="567"/>
              </w:tabs>
              <w:ind w:right="176"/>
              <w:jc w:val="right"/>
            </w:pPr>
            <w:r>
              <w:t>274.00</w:t>
            </w:r>
          </w:p>
        </w:tc>
        <w:tc>
          <w:tcPr>
            <w:tcW w:w="1276" w:type="dxa"/>
            <w:noWrap/>
            <w:vAlign w:val="bottom"/>
          </w:tcPr>
          <w:p>
            <w:pPr>
              <w:pStyle w:val="yTableNAm"/>
              <w:tabs>
                <w:tab w:val="clear" w:pos="567"/>
              </w:tabs>
              <w:ind w:right="176"/>
              <w:jc w:val="right"/>
            </w:pPr>
            <w:r>
              <w:t>535.00</w:t>
            </w:r>
          </w:p>
        </w:tc>
        <w:tc>
          <w:tcPr>
            <w:tcW w:w="1275" w:type="dxa"/>
            <w:noWrap/>
            <w:vAlign w:val="bottom"/>
          </w:tcPr>
          <w:p>
            <w:pPr>
              <w:pStyle w:val="yTableNAm"/>
              <w:tabs>
                <w:tab w:val="clear" w:pos="567"/>
              </w:tabs>
              <w:ind w:right="176"/>
              <w:jc w:val="right"/>
            </w:pPr>
            <w:r>
              <w:t>82.00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in addition to the lodgment fee — a taxing fee at the rate of</w:t>
            </w:r>
          </w:p>
        </w:tc>
        <w:tc>
          <w:tcPr>
            <w:tcW w:w="1275" w:type="dxa"/>
            <w:noWrap/>
            <w:vAlign w:val="bottom"/>
          </w:tcPr>
          <w:p>
            <w:pPr>
              <w:pStyle w:val="yTableNAm"/>
              <w:tabs>
                <w:tab w:val="clear" w:pos="567"/>
              </w:tabs>
              <w:ind w:right="173"/>
              <w:jc w:val="right"/>
            </w:pPr>
            <w:r>
              <w:t>2.50%</w:t>
            </w:r>
          </w:p>
        </w:tc>
        <w:tc>
          <w:tcPr>
            <w:tcW w:w="1276" w:type="dxa"/>
            <w:noWrap/>
            <w:vAlign w:val="bottom"/>
          </w:tcPr>
          <w:p>
            <w:pPr>
              <w:pStyle w:val="yTableNAm"/>
              <w:tabs>
                <w:tab w:val="clear" w:pos="567"/>
              </w:tabs>
              <w:ind w:right="173"/>
              <w:jc w:val="right"/>
            </w:pPr>
            <w:r>
              <w:t>2.50%</w:t>
            </w:r>
          </w:p>
        </w:tc>
        <w:tc>
          <w:tcPr>
            <w:tcW w:w="1275" w:type="dxa"/>
            <w:noWrap/>
            <w:vAlign w:val="bottom"/>
          </w:tcPr>
          <w:p>
            <w:pPr>
              <w:pStyle w:val="yTableNAm"/>
              <w:tabs>
                <w:tab w:val="clear" w:pos="567"/>
              </w:tabs>
              <w:ind w:right="173"/>
              <w:jc w:val="right"/>
            </w:pPr>
            <w:r>
              <w:t>0.00%</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any record or proceeding</w:t>
            </w:r>
          </w:p>
        </w:tc>
        <w:tc>
          <w:tcPr>
            <w:tcW w:w="1275" w:type="dxa"/>
            <w:noWrap/>
            <w:vAlign w:val="bottom"/>
          </w:tcPr>
          <w:p>
            <w:pPr>
              <w:pStyle w:val="yTableNAm"/>
              <w:tabs>
                <w:tab w:val="clear" w:pos="567"/>
              </w:tabs>
              <w:ind w:right="176"/>
              <w:jc w:val="right"/>
            </w:pPr>
            <w:r>
              <w:t>55.50</w:t>
            </w:r>
          </w:p>
        </w:tc>
        <w:tc>
          <w:tcPr>
            <w:tcW w:w="1276" w:type="dxa"/>
            <w:noWrap/>
            <w:vAlign w:val="bottom"/>
          </w:tcPr>
          <w:p>
            <w:pPr>
              <w:pStyle w:val="yTableNAm"/>
              <w:tabs>
                <w:tab w:val="clear" w:pos="567"/>
              </w:tabs>
              <w:ind w:right="176"/>
              <w:jc w:val="right"/>
            </w:pPr>
            <w:r>
              <w:t>55.50</w:t>
            </w:r>
          </w:p>
        </w:tc>
        <w:tc>
          <w:tcPr>
            <w:tcW w:w="1275" w:type="dxa"/>
            <w:noWrap/>
            <w:vAlign w:val="bottom"/>
          </w:tcPr>
          <w:p>
            <w:pPr>
              <w:pStyle w:val="yTableNAm"/>
              <w:tabs>
                <w:tab w:val="clear" w:pos="567"/>
              </w:tabs>
              <w:ind w:right="176"/>
              <w:jc w:val="right"/>
            </w:pPr>
            <w:r>
              <w:t>16.65</w:t>
            </w:r>
          </w:p>
        </w:tc>
      </w:tr>
      <w:tr>
        <w:trPr>
          <w:cantSplit/>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6"/>
              <w:jc w:val="right"/>
            </w:pPr>
          </w:p>
        </w:tc>
        <w:tc>
          <w:tcPr>
            <w:tcW w:w="1275" w:type="dxa"/>
            <w:noWrap/>
            <w:vAlign w:val="bottom"/>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fee per action or matter provided to recipient</w:t>
            </w:r>
          </w:p>
        </w:tc>
        <w:tc>
          <w:tcPr>
            <w:tcW w:w="1275" w:type="dxa"/>
            <w:noWrap/>
            <w:vAlign w:val="bottom"/>
          </w:tcPr>
          <w:p>
            <w:pPr>
              <w:pStyle w:val="yTableNAm"/>
              <w:tabs>
                <w:tab w:val="clear" w:pos="567"/>
              </w:tabs>
              <w:ind w:right="176"/>
              <w:jc w:val="right"/>
            </w:pPr>
            <w:r>
              <w:t>2.45</w:t>
            </w:r>
          </w:p>
        </w:tc>
        <w:tc>
          <w:tcPr>
            <w:tcW w:w="1276" w:type="dxa"/>
            <w:noWrap/>
            <w:vAlign w:val="bottom"/>
          </w:tcPr>
          <w:p>
            <w:pPr>
              <w:pStyle w:val="yTableNAm"/>
              <w:tabs>
                <w:tab w:val="clear" w:pos="567"/>
              </w:tabs>
              <w:ind w:right="176"/>
              <w:jc w:val="right"/>
            </w:pPr>
            <w:r>
              <w:t>2.45</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tabs>
                <w:tab w:val="clear" w:pos="567"/>
              </w:tabs>
              <w:ind w:right="176"/>
              <w:jc w:val="right"/>
            </w:pPr>
            <w:r>
              <w:t>2 515.00</w:t>
            </w:r>
          </w:p>
        </w:tc>
        <w:tc>
          <w:tcPr>
            <w:tcW w:w="1276" w:type="dxa"/>
            <w:noWrap/>
            <w:vAlign w:val="bottom"/>
          </w:tcPr>
          <w:p>
            <w:pPr>
              <w:pStyle w:val="yTableNAm"/>
              <w:tabs>
                <w:tab w:val="clear" w:pos="567"/>
              </w:tabs>
              <w:ind w:right="176"/>
              <w:jc w:val="right"/>
            </w:pPr>
            <w:r>
              <w:t>2 515.00</w:t>
            </w:r>
          </w:p>
        </w:tc>
        <w:tc>
          <w:tcPr>
            <w:tcW w:w="1275" w:type="dxa"/>
            <w:noWrap/>
            <w:vAlign w:val="bottom"/>
          </w:tcPr>
          <w:p>
            <w:pPr>
              <w:pStyle w:val="yTableNAm"/>
              <w:tabs>
                <w:tab w:val="clear" w:pos="567"/>
              </w:tabs>
              <w:ind w:right="176"/>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6"/>
              <w:jc w:val="right"/>
            </w:pPr>
            <w:r>
              <w:t>81.50</w:t>
            </w:r>
          </w:p>
        </w:tc>
        <w:tc>
          <w:tcPr>
            <w:tcW w:w="1276" w:type="dxa"/>
            <w:noWrap/>
            <w:vAlign w:val="bottom"/>
          </w:tcPr>
          <w:p>
            <w:pPr>
              <w:pStyle w:val="yTableNAm"/>
              <w:tabs>
                <w:tab w:val="clear" w:pos="567"/>
              </w:tabs>
              <w:ind w:right="176"/>
              <w:jc w:val="right"/>
            </w:pPr>
            <w:r>
              <w:t>81.50</w:t>
            </w:r>
          </w:p>
        </w:tc>
        <w:tc>
          <w:tcPr>
            <w:tcW w:w="1275" w:type="dxa"/>
            <w:noWrap/>
            <w:vAlign w:val="bottom"/>
          </w:tcPr>
          <w:p>
            <w:pPr>
              <w:pStyle w:val="yTableNAm"/>
              <w:tabs>
                <w:tab w:val="clear" w:pos="567"/>
              </w:tabs>
              <w:ind w:right="176"/>
              <w:jc w:val="right"/>
            </w:pPr>
            <w:r>
              <w:t>24.40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122.50</w:t>
            </w:r>
          </w:p>
        </w:tc>
        <w:tc>
          <w:tcPr>
            <w:tcW w:w="1276" w:type="dxa"/>
            <w:noWrap/>
            <w:vAlign w:val="bottom"/>
          </w:tcPr>
          <w:p>
            <w:pPr>
              <w:pStyle w:val="yTableNAm"/>
              <w:tabs>
                <w:tab w:val="clear" w:pos="567"/>
              </w:tabs>
              <w:ind w:right="176"/>
              <w:jc w:val="right"/>
            </w:pPr>
            <w:r>
              <w:t>122.50</w:t>
            </w:r>
          </w:p>
        </w:tc>
        <w:tc>
          <w:tcPr>
            <w:tcW w:w="1275" w:type="dxa"/>
            <w:noWrap/>
            <w:vAlign w:val="bottom"/>
          </w:tcPr>
          <w:p>
            <w:pPr>
              <w:pStyle w:val="yTableNAm"/>
              <w:tabs>
                <w:tab w:val="clear" w:pos="567"/>
              </w:tabs>
              <w:ind w:right="176"/>
              <w:jc w:val="right"/>
            </w:pPr>
            <w:r>
              <w:t>36.80</w:t>
            </w:r>
          </w:p>
        </w:tc>
      </w:tr>
      <w:tr>
        <w:trPr>
          <w:cantSplit/>
        </w:trPr>
        <w:tc>
          <w:tcPr>
            <w:tcW w:w="743" w:type="dxa"/>
            <w:noWrap/>
          </w:tcPr>
          <w:p>
            <w:pPr>
              <w:pStyle w:val="yTableNAm"/>
            </w:pPr>
            <w:r>
              <w:lastRenderedPageBreak/>
              <w:t>15.</w:t>
            </w:r>
          </w:p>
        </w:tc>
        <w:tc>
          <w:tcPr>
            <w:tcW w:w="2410" w:type="dxa"/>
            <w:noWrap/>
          </w:tcPr>
          <w:p>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pPr>
              <w:pStyle w:val="yTableNAm"/>
              <w:tabs>
                <w:tab w:val="clear" w:pos="567"/>
              </w:tabs>
              <w:ind w:right="176"/>
              <w:jc w:val="right"/>
            </w:pPr>
            <w:r>
              <w:t>2.30</w:t>
            </w:r>
          </w:p>
        </w:tc>
        <w:tc>
          <w:tcPr>
            <w:tcW w:w="1276" w:type="dxa"/>
            <w:noWrap/>
            <w:vAlign w:val="bottom"/>
          </w:tcPr>
          <w:p>
            <w:pPr>
              <w:pStyle w:val="yTableNAm"/>
              <w:tabs>
                <w:tab w:val="clear" w:pos="567"/>
              </w:tabs>
              <w:ind w:right="176"/>
              <w:jc w:val="right"/>
            </w:pPr>
            <w:r>
              <w:t>2.30</w:t>
            </w:r>
          </w:p>
        </w:tc>
        <w:tc>
          <w:tcPr>
            <w:tcW w:w="1275" w:type="dxa"/>
            <w:noWrap/>
            <w:vAlign w:val="bottom"/>
          </w:tcPr>
          <w:p>
            <w:pPr>
              <w:pStyle w:val="yTableNAm"/>
              <w:tabs>
                <w:tab w:val="clear" w:pos="567"/>
              </w:tabs>
              <w:ind w:right="176"/>
              <w:jc w:val="right"/>
            </w:pPr>
            <w:r>
              <w:t>0.70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19.30</w:t>
            </w:r>
          </w:p>
        </w:tc>
        <w:tc>
          <w:tcPr>
            <w:tcW w:w="1276" w:type="dxa"/>
            <w:noWrap/>
            <w:vAlign w:val="bottom"/>
          </w:tcPr>
          <w:p>
            <w:pPr>
              <w:pStyle w:val="yTableNAm"/>
              <w:tabs>
                <w:tab w:val="clear" w:pos="567"/>
              </w:tabs>
              <w:ind w:right="176"/>
              <w:jc w:val="right"/>
            </w:pPr>
            <w:r>
              <w:t>19.30</w:t>
            </w:r>
          </w:p>
        </w:tc>
        <w:tc>
          <w:tcPr>
            <w:tcW w:w="1275" w:type="dxa"/>
            <w:noWrap/>
            <w:vAlign w:val="bottom"/>
          </w:tcPr>
          <w:p>
            <w:pPr>
              <w:pStyle w:val="yTableNAm"/>
              <w:tabs>
                <w:tab w:val="clear" w:pos="567"/>
              </w:tabs>
              <w:ind w:right="176"/>
              <w:jc w:val="right"/>
            </w:pPr>
            <w:r>
              <w:t>5.80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2.45</w:t>
            </w:r>
          </w:p>
        </w:tc>
        <w:tc>
          <w:tcPr>
            <w:tcW w:w="1276" w:type="dxa"/>
            <w:noWrap/>
            <w:vAlign w:val="bottom"/>
          </w:tcPr>
          <w:p>
            <w:pPr>
              <w:pStyle w:val="yTableNAm"/>
              <w:tabs>
                <w:tab w:val="clear" w:pos="567"/>
              </w:tabs>
              <w:ind w:right="176"/>
              <w:jc w:val="right"/>
            </w:pPr>
            <w:r>
              <w:t>2.45</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For certifying under seal that a document is a true copy — an additional fee of</w:t>
            </w:r>
          </w:p>
        </w:tc>
        <w:tc>
          <w:tcPr>
            <w:tcW w:w="1275" w:type="dxa"/>
            <w:noWrap/>
            <w:vAlign w:val="bottom"/>
          </w:tcPr>
          <w:p>
            <w:pPr>
              <w:pStyle w:val="yTableNAm"/>
              <w:tabs>
                <w:tab w:val="clear" w:pos="567"/>
              </w:tabs>
              <w:ind w:right="176"/>
              <w:jc w:val="right"/>
            </w:pPr>
            <w:r>
              <w:t>26.70</w:t>
            </w:r>
          </w:p>
        </w:tc>
        <w:tc>
          <w:tcPr>
            <w:tcW w:w="1276" w:type="dxa"/>
            <w:noWrap/>
            <w:vAlign w:val="bottom"/>
          </w:tcPr>
          <w:p>
            <w:pPr>
              <w:pStyle w:val="yTableNAm"/>
              <w:tabs>
                <w:tab w:val="clear" w:pos="567"/>
              </w:tabs>
              <w:ind w:right="176"/>
              <w:jc w:val="right"/>
            </w:pPr>
            <w:r>
              <w:t>26.70</w:t>
            </w:r>
          </w:p>
        </w:tc>
        <w:tc>
          <w:tcPr>
            <w:tcW w:w="1275" w:type="dxa"/>
            <w:noWrap/>
            <w:vAlign w:val="bottom"/>
          </w:tcPr>
          <w:p>
            <w:pPr>
              <w:pStyle w:val="yTableNAm"/>
              <w:tabs>
                <w:tab w:val="clear" w:pos="567"/>
              </w:tabs>
              <w:ind w:right="176"/>
              <w:jc w:val="right"/>
            </w:pPr>
            <w:r>
              <w:t>8.00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For a certificate under the hand of a registrar</w:t>
            </w:r>
          </w:p>
        </w:tc>
        <w:tc>
          <w:tcPr>
            <w:tcW w:w="1275" w:type="dxa"/>
            <w:noWrap/>
            <w:vAlign w:val="bottom"/>
          </w:tcPr>
          <w:p>
            <w:pPr>
              <w:pStyle w:val="yTableNAm"/>
              <w:tabs>
                <w:tab w:val="clear" w:pos="567"/>
              </w:tabs>
              <w:ind w:right="176"/>
              <w:jc w:val="right"/>
            </w:pPr>
            <w:r>
              <w:t>51.00</w:t>
            </w:r>
          </w:p>
        </w:tc>
        <w:tc>
          <w:tcPr>
            <w:tcW w:w="1276" w:type="dxa"/>
            <w:noWrap/>
            <w:vAlign w:val="bottom"/>
          </w:tcPr>
          <w:p>
            <w:pPr>
              <w:pStyle w:val="yTableNAm"/>
              <w:tabs>
                <w:tab w:val="clear" w:pos="567"/>
              </w:tabs>
              <w:ind w:right="176"/>
              <w:jc w:val="right"/>
            </w:pPr>
            <w:r>
              <w:t>51.00</w:t>
            </w:r>
          </w:p>
        </w:tc>
        <w:tc>
          <w:tcPr>
            <w:tcW w:w="1275" w:type="dxa"/>
            <w:noWrap/>
            <w:vAlign w:val="bottom"/>
          </w:tcPr>
          <w:p>
            <w:pPr>
              <w:pStyle w:val="yTableNAm"/>
              <w:tabs>
                <w:tab w:val="clear" w:pos="567"/>
              </w:tabs>
              <w:ind w:right="176"/>
              <w:jc w:val="right"/>
            </w:pPr>
            <w:r>
              <w:t>15.30</w:t>
            </w:r>
          </w:p>
        </w:tc>
      </w:tr>
      <w:tr>
        <w:trPr>
          <w:cantSplit/>
        </w:trPr>
        <w:tc>
          <w:tcPr>
            <w:tcW w:w="743" w:type="dxa"/>
            <w:noWrap/>
          </w:tcPr>
          <w:p>
            <w:pPr>
              <w:pStyle w:val="yTableNAm"/>
              <w:keepNext/>
            </w:pPr>
            <w:r>
              <w:t>16.</w:t>
            </w:r>
          </w:p>
        </w:tc>
        <w:tc>
          <w:tcPr>
            <w:tcW w:w="2410"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provided within 1 day after the day on which the fee is paid </w:t>
            </w:r>
          </w:p>
        </w:tc>
        <w:tc>
          <w:tcPr>
            <w:tcW w:w="1275" w:type="dxa"/>
            <w:noWrap/>
          </w:tcPr>
          <w:p>
            <w:pPr>
              <w:pStyle w:val="yTableNAm"/>
              <w:ind w:left="29"/>
            </w:pPr>
            <w:r>
              <w:t>25.60 plus</w:t>
            </w:r>
            <w:r>
              <w:br/>
              <w:t>10.55 per page</w:t>
            </w:r>
          </w:p>
        </w:tc>
        <w:tc>
          <w:tcPr>
            <w:tcW w:w="1276" w:type="dxa"/>
            <w:noWrap/>
          </w:tcPr>
          <w:p>
            <w:pPr>
              <w:pStyle w:val="yTableNAm"/>
              <w:ind w:left="33"/>
            </w:pPr>
            <w:r>
              <w:t>25.60 plus</w:t>
            </w:r>
            <w:r>
              <w:br/>
              <w:t>21.10 per page</w:t>
            </w:r>
          </w:p>
        </w:tc>
        <w:tc>
          <w:tcPr>
            <w:tcW w:w="1275" w:type="dxa"/>
            <w:noWrap/>
          </w:tcPr>
          <w:p>
            <w:pPr>
              <w:pStyle w:val="yTableNAm"/>
              <w:ind w:left="179"/>
            </w:pPr>
            <w:r>
              <w:t>7.70 plus</w:t>
            </w:r>
            <w:r>
              <w:br/>
              <w:t>3.15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 xml:space="preserve">provided within 2 days after the day on which the fee is paid </w:t>
            </w:r>
          </w:p>
        </w:tc>
        <w:tc>
          <w:tcPr>
            <w:tcW w:w="1275" w:type="dxa"/>
            <w:noWrap/>
          </w:tcPr>
          <w:p>
            <w:pPr>
              <w:pStyle w:val="yTableNAm"/>
              <w:ind w:left="29"/>
            </w:pPr>
            <w:r>
              <w:t>25.60 plus</w:t>
            </w:r>
            <w:r>
              <w:br/>
              <w:t>9.70 per page</w:t>
            </w:r>
          </w:p>
        </w:tc>
        <w:tc>
          <w:tcPr>
            <w:tcW w:w="1276" w:type="dxa"/>
            <w:noWrap/>
          </w:tcPr>
          <w:p>
            <w:pPr>
              <w:pStyle w:val="yTableNAm"/>
              <w:ind w:left="33"/>
            </w:pPr>
            <w:r>
              <w:t>25.60 plus</w:t>
            </w:r>
            <w:r>
              <w:br/>
              <w:t>19.30 per page</w:t>
            </w:r>
          </w:p>
        </w:tc>
        <w:tc>
          <w:tcPr>
            <w:tcW w:w="1275" w:type="dxa"/>
            <w:noWrap/>
          </w:tcPr>
          <w:p>
            <w:pPr>
              <w:pStyle w:val="yTableNAm"/>
              <w:ind w:left="179"/>
            </w:pPr>
            <w:r>
              <w:t xml:space="preserve">7.70 plus </w:t>
            </w:r>
            <w:r>
              <w:br/>
              <w:t>2.90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 xml:space="preserve">provided within 4 days after the day on which the fee is paid </w:t>
            </w:r>
          </w:p>
        </w:tc>
        <w:tc>
          <w:tcPr>
            <w:tcW w:w="1275" w:type="dxa"/>
            <w:noWrap/>
          </w:tcPr>
          <w:p>
            <w:pPr>
              <w:pStyle w:val="yTableNAm"/>
              <w:ind w:left="29"/>
            </w:pPr>
            <w:r>
              <w:t>25.60 plus</w:t>
            </w:r>
            <w:r>
              <w:br/>
              <w:t>9.10 per page</w:t>
            </w:r>
          </w:p>
        </w:tc>
        <w:tc>
          <w:tcPr>
            <w:tcW w:w="1276" w:type="dxa"/>
            <w:noWrap/>
          </w:tcPr>
          <w:p>
            <w:pPr>
              <w:pStyle w:val="yTableNAm"/>
              <w:ind w:left="33"/>
            </w:pPr>
            <w:r>
              <w:t>25.60 plus</w:t>
            </w:r>
            <w:r>
              <w:br/>
              <w:t>18.45 per page</w:t>
            </w:r>
          </w:p>
        </w:tc>
        <w:tc>
          <w:tcPr>
            <w:tcW w:w="1275" w:type="dxa"/>
            <w:noWrap/>
          </w:tcPr>
          <w:p>
            <w:pPr>
              <w:pStyle w:val="yTableNAm"/>
              <w:ind w:left="179"/>
            </w:pPr>
            <w:r>
              <w:t xml:space="preserve">7.70 plus </w:t>
            </w:r>
            <w:r>
              <w:br/>
              <w:t>2.75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(iv)</w:t>
            </w:r>
            <w:r>
              <w:tab/>
              <w:t xml:space="preserve">provided within 7 days after the day on which the fee is paid </w:t>
            </w:r>
          </w:p>
        </w:tc>
        <w:tc>
          <w:tcPr>
            <w:tcW w:w="1275" w:type="dxa"/>
            <w:noWrap/>
          </w:tcPr>
          <w:p>
            <w:pPr>
              <w:pStyle w:val="yTableNAm"/>
              <w:ind w:left="29"/>
            </w:pPr>
            <w:r>
              <w:t>25.60 plus</w:t>
            </w:r>
            <w:r>
              <w:br/>
              <w:t>8.80 per page</w:t>
            </w:r>
          </w:p>
        </w:tc>
        <w:tc>
          <w:tcPr>
            <w:tcW w:w="1276" w:type="dxa"/>
            <w:noWrap/>
          </w:tcPr>
          <w:p>
            <w:pPr>
              <w:pStyle w:val="yTableNAm"/>
              <w:ind w:left="33"/>
            </w:pPr>
            <w:r>
              <w:t>25.60 plus</w:t>
            </w:r>
            <w:r>
              <w:br/>
              <w:t>17.50 per page</w:t>
            </w:r>
          </w:p>
        </w:tc>
        <w:tc>
          <w:tcPr>
            <w:tcW w:w="1275" w:type="dxa"/>
            <w:noWrap/>
          </w:tcPr>
          <w:p>
            <w:pPr>
              <w:pStyle w:val="yTableNAm"/>
              <w:ind w:left="179"/>
            </w:pPr>
            <w:r>
              <w:t xml:space="preserve">7.70 plus </w:t>
            </w:r>
            <w:r>
              <w:br/>
              <w:t>2.65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w:t>
            </w:r>
            <w:r>
              <w:tab/>
              <w:t xml:space="preserve">provided within 14 days after the day on which the fee is paid </w:t>
            </w:r>
          </w:p>
        </w:tc>
        <w:tc>
          <w:tcPr>
            <w:tcW w:w="1275" w:type="dxa"/>
            <w:noWrap/>
          </w:tcPr>
          <w:p>
            <w:pPr>
              <w:pStyle w:val="yTableNAm"/>
              <w:ind w:left="29"/>
            </w:pPr>
            <w:r>
              <w:t>25.60 plus</w:t>
            </w:r>
            <w:r>
              <w:br/>
              <w:t>7.45 per page</w:t>
            </w:r>
          </w:p>
        </w:tc>
        <w:tc>
          <w:tcPr>
            <w:tcW w:w="1276" w:type="dxa"/>
            <w:noWrap/>
          </w:tcPr>
          <w:p>
            <w:pPr>
              <w:pStyle w:val="yTableNAm"/>
              <w:ind w:left="33"/>
            </w:pPr>
            <w:r>
              <w:t>25.60 plus</w:t>
            </w:r>
            <w:r>
              <w:br/>
              <w:t>14.95 per page</w:t>
            </w:r>
          </w:p>
        </w:tc>
        <w:tc>
          <w:tcPr>
            <w:tcW w:w="1275" w:type="dxa"/>
            <w:noWrap/>
          </w:tcPr>
          <w:p>
            <w:pPr>
              <w:pStyle w:val="yTableNAm"/>
              <w:ind w:left="179"/>
            </w:pPr>
            <w:r>
              <w:t xml:space="preserve">7.70 plus </w:t>
            </w:r>
            <w:r>
              <w:br/>
              <w:t>2.25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(vi)</w:t>
            </w:r>
            <w:r>
              <w:tab/>
              <w:t>provided on a running basis (i.e. periodically throughout or following the day of the proceedings)</w:t>
            </w:r>
          </w:p>
        </w:tc>
        <w:tc>
          <w:tcPr>
            <w:tcW w:w="1275" w:type="dxa"/>
            <w:noWrap/>
          </w:tcPr>
          <w:p>
            <w:pPr>
              <w:pStyle w:val="yTableNAm"/>
              <w:ind w:left="29"/>
            </w:pPr>
            <w:r>
              <w:t>25.60 plus</w:t>
            </w:r>
            <w:r>
              <w:br/>
              <w:t>11.25 per page</w:t>
            </w:r>
          </w:p>
        </w:tc>
        <w:tc>
          <w:tcPr>
            <w:tcW w:w="1276" w:type="dxa"/>
            <w:noWrap/>
          </w:tcPr>
          <w:p>
            <w:pPr>
              <w:pStyle w:val="yTableNAm"/>
              <w:ind w:left="33"/>
            </w:pPr>
            <w:r>
              <w:t>25.60 plus</w:t>
            </w:r>
            <w:r>
              <w:br/>
              <w:t>22.50 per page</w:t>
            </w:r>
          </w:p>
        </w:tc>
        <w:tc>
          <w:tcPr>
            <w:tcW w:w="1275" w:type="dxa"/>
            <w:noWrap/>
          </w:tcPr>
          <w:p>
            <w:pPr>
              <w:pStyle w:val="yTableNAm"/>
              <w:ind w:left="179"/>
            </w:pPr>
            <w:r>
              <w:t xml:space="preserve">7.70 plus </w:t>
            </w:r>
            <w:r>
              <w:br/>
              <w:t>3.40 per page</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For the provision of a copy of a transcript, or part of a transcript, where the transcript or part has already been provided to the person requesting the copy — </w:t>
            </w:r>
          </w:p>
        </w:tc>
        <w:tc>
          <w:tcPr>
            <w:tcW w:w="1275" w:type="dxa"/>
            <w:noWrap/>
          </w:tcPr>
          <w:p>
            <w:pPr>
              <w:pStyle w:val="yTableNAm"/>
              <w:tabs>
                <w:tab w:val="clear" w:pos="567"/>
              </w:tabs>
              <w:ind w:left="171"/>
            </w:pPr>
          </w:p>
        </w:tc>
        <w:tc>
          <w:tcPr>
            <w:tcW w:w="1276" w:type="dxa"/>
            <w:noWrap/>
          </w:tcPr>
          <w:p>
            <w:pPr>
              <w:pStyle w:val="yTableNAm"/>
              <w:ind w:left="175"/>
            </w:pPr>
          </w:p>
        </w:tc>
        <w:tc>
          <w:tcPr>
            <w:tcW w:w="1275" w:type="dxa"/>
            <w:noWrap/>
          </w:tcPr>
          <w:p>
            <w:pPr>
              <w:pStyle w:val="yTableNAm"/>
              <w:ind w:left="179"/>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electronic format </w:t>
            </w:r>
          </w:p>
        </w:tc>
        <w:tc>
          <w:tcPr>
            <w:tcW w:w="1275" w:type="dxa"/>
            <w:noWrap/>
            <w:vAlign w:val="bottom"/>
          </w:tcPr>
          <w:p>
            <w:pPr>
              <w:pStyle w:val="yTableNAm"/>
              <w:tabs>
                <w:tab w:val="clear" w:pos="567"/>
              </w:tabs>
              <w:ind w:left="171"/>
            </w:pPr>
            <w:r>
              <w:t>26.70 per copy</w:t>
            </w:r>
          </w:p>
        </w:tc>
        <w:tc>
          <w:tcPr>
            <w:tcW w:w="1276" w:type="dxa"/>
            <w:noWrap/>
          </w:tcPr>
          <w:p>
            <w:pPr>
              <w:pStyle w:val="yTableNAm"/>
              <w:ind w:left="175"/>
            </w:pPr>
            <w:r>
              <w:t>26.70 per copy</w:t>
            </w:r>
          </w:p>
        </w:tc>
        <w:tc>
          <w:tcPr>
            <w:tcW w:w="1275" w:type="dxa"/>
            <w:noWrap/>
          </w:tcPr>
          <w:p>
            <w:pPr>
              <w:pStyle w:val="yTableNAm"/>
              <w:ind w:left="179"/>
            </w:pPr>
            <w:r>
              <w:t>8.00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 w:val="left" w:pos="742"/>
              </w:tabs>
              <w:ind w:left="742" w:hanging="391"/>
            </w:pPr>
            <w:r>
              <w:t>(ii)</w:t>
            </w:r>
            <w:r>
              <w:tab/>
              <w:t xml:space="preserve">paper copy </w:t>
            </w:r>
          </w:p>
        </w:tc>
        <w:tc>
          <w:tcPr>
            <w:tcW w:w="1275" w:type="dxa"/>
            <w:tcBorders>
              <w:bottom w:val="single" w:sz="4" w:space="0" w:color="auto"/>
            </w:tcBorders>
            <w:noWrap/>
            <w:vAlign w:val="bottom"/>
          </w:tcPr>
          <w:p>
            <w:pPr>
              <w:pStyle w:val="yTableNAm"/>
              <w:tabs>
                <w:tab w:val="clear" w:pos="567"/>
              </w:tabs>
              <w:ind w:left="171"/>
            </w:pPr>
            <w:r>
              <w:t>2.65 per page</w:t>
            </w:r>
          </w:p>
        </w:tc>
        <w:tc>
          <w:tcPr>
            <w:tcW w:w="1276" w:type="dxa"/>
            <w:tcBorders>
              <w:bottom w:val="single" w:sz="4" w:space="0" w:color="auto"/>
            </w:tcBorders>
            <w:noWrap/>
          </w:tcPr>
          <w:p>
            <w:pPr>
              <w:pStyle w:val="yTableNAm"/>
              <w:ind w:left="175"/>
            </w:pPr>
            <w:r>
              <w:t>2.65 per page</w:t>
            </w:r>
          </w:p>
        </w:tc>
        <w:tc>
          <w:tcPr>
            <w:tcW w:w="1275" w:type="dxa"/>
            <w:tcBorders>
              <w:bottom w:val="single" w:sz="4" w:space="0" w:color="auto"/>
            </w:tcBorders>
            <w:noWrap/>
          </w:tcPr>
          <w:p>
            <w:pPr>
              <w:pStyle w:val="yTableNAm"/>
              <w:ind w:left="179"/>
            </w:pPr>
            <w:r>
              <w:t>0.80 per page</w:t>
            </w:r>
          </w:p>
        </w:tc>
      </w:tr>
    </w:tbl>
    <w:p>
      <w:pPr>
        <w:pStyle w:val="yFootnotesection"/>
      </w:pPr>
      <w:r>
        <w:tab/>
        <w:t>[Schedule 1 inserted: SL 2021/101 r. 12; amended: SL 2021/155 r. 6.]</w:t>
      </w:r>
    </w:p>
    <w:p>
      <w:pPr>
        <w:pStyle w:val="yScheduleHeading"/>
      </w:pPr>
      <w:bookmarkStart w:id="26" w:name="_Toc81910781"/>
      <w:bookmarkStart w:id="27" w:name="_Toc81911131"/>
      <w:bookmarkStart w:id="28" w:name="_Toc81924060"/>
      <w:r>
        <w:rPr>
          <w:rStyle w:val="CharSchNo"/>
        </w:rPr>
        <w:lastRenderedPageBreak/>
        <w:t>Schedule 2</w:t>
      </w:r>
      <w:r>
        <w:t> — </w:t>
      </w:r>
      <w:r>
        <w:rPr>
          <w:rStyle w:val="CharSchText"/>
        </w:rPr>
        <w:t>Sheriff’s fees</w:t>
      </w:r>
      <w:bookmarkEnd w:id="26"/>
      <w:bookmarkEnd w:id="27"/>
      <w:bookmarkEnd w:id="28"/>
    </w:p>
    <w:p>
      <w:pPr>
        <w:pStyle w:val="yShoulderClause"/>
      </w:pPr>
      <w:r>
        <w:t>[r. 4]</w:t>
      </w:r>
    </w:p>
    <w:p>
      <w:pPr>
        <w:pStyle w:val="yFootnoteheading"/>
        <w:spacing w:after="120"/>
      </w:pPr>
      <w:r>
        <w:tab/>
        <w:t>[Heading inserted: SL 2021/101 r. 12.]</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blHeader/>
        </w:trPr>
        <w:tc>
          <w:tcPr>
            <w:tcW w:w="669" w:type="dxa"/>
            <w:tcBorders>
              <w:top w:val="single" w:sz="4" w:space="0" w:color="auto"/>
            </w:tcBorders>
            <w:noWrap/>
          </w:tcPr>
          <w:p>
            <w:pPr>
              <w:pStyle w:val="yTableNAm"/>
              <w:keepNext/>
              <w:keepLines/>
              <w:spacing w:before="0"/>
              <w:jc w:val="center"/>
              <w:rPr>
                <w:b/>
                <w:sz w:val="2"/>
                <w:szCs w:val="2"/>
              </w:rPr>
            </w:pPr>
          </w:p>
        </w:tc>
        <w:tc>
          <w:tcPr>
            <w:tcW w:w="5103" w:type="dxa"/>
            <w:tcBorders>
              <w:top w:val="single" w:sz="4" w:space="0" w:color="auto"/>
            </w:tcBorders>
            <w:noWrap/>
          </w:tcPr>
          <w:p>
            <w:pPr>
              <w:pStyle w:val="yTableNAm"/>
              <w:keepNext/>
              <w:keepLines/>
              <w:spacing w:before="0"/>
              <w:jc w:val="center"/>
              <w:rPr>
                <w:b/>
                <w:sz w:val="2"/>
                <w:szCs w:val="2"/>
              </w:rPr>
            </w:pPr>
          </w:p>
        </w:tc>
        <w:tc>
          <w:tcPr>
            <w:tcW w:w="1208" w:type="dxa"/>
            <w:tcBorders>
              <w:top w:val="single" w:sz="4" w:space="0" w:color="auto"/>
            </w:tcBorders>
            <w:noWrap/>
          </w:tcPr>
          <w:p>
            <w:pPr>
              <w:pStyle w:val="yTableNAm"/>
              <w:keepNext/>
              <w:keepLines/>
              <w:spacing w:before="0"/>
              <w:jc w:val="center"/>
              <w:rPr>
                <w:b/>
                <w:sz w:val="2"/>
                <w:szCs w:val="2"/>
              </w:rPr>
            </w:pPr>
          </w:p>
        </w:tc>
      </w:tr>
      <w:tr>
        <w:trPr>
          <w:cantSplit/>
        </w:trPr>
        <w:tc>
          <w:tcPr>
            <w:tcW w:w="669" w:type="dxa"/>
            <w:noWrap/>
          </w:tcPr>
          <w:p>
            <w:pPr>
              <w:pStyle w:val="yTableNAm"/>
              <w:keepNext/>
              <w:keepLines/>
            </w:pPr>
            <w:r>
              <w:t>1.</w:t>
            </w:r>
          </w:p>
        </w:tc>
        <w:tc>
          <w:tcPr>
            <w:tcW w:w="5103" w:type="dxa"/>
            <w:noWrap/>
          </w:tcPr>
          <w:p>
            <w:pPr>
              <w:pStyle w:val="yTableNAm"/>
              <w:keepNext/>
              <w:keepLines/>
            </w:pPr>
            <w:r>
              <w:t xml:space="preserve">On the execution of an arrest warrant of any kind — </w:t>
            </w:r>
          </w:p>
        </w:tc>
        <w:tc>
          <w:tcPr>
            <w:tcW w:w="1208" w:type="dxa"/>
            <w:noWrap/>
          </w:tcPr>
          <w:p>
            <w:pPr>
              <w:pStyle w:val="yTableNAm"/>
              <w:keepNext/>
              <w:keepLines/>
              <w:tabs>
                <w:tab w:val="clear" w:pos="567"/>
              </w:tabs>
              <w:ind w:right="178"/>
              <w:jc w:val="right"/>
            </w:pPr>
          </w:p>
        </w:tc>
      </w:tr>
      <w:tr>
        <w:trPr>
          <w:cantSplit/>
        </w:trPr>
        <w:tc>
          <w:tcPr>
            <w:tcW w:w="669" w:type="dxa"/>
            <w:noWrap/>
          </w:tcPr>
          <w:p>
            <w:pPr>
              <w:pStyle w:val="yTableNAm"/>
              <w:keepNext/>
              <w:keepLines/>
            </w:pPr>
          </w:p>
        </w:tc>
        <w:tc>
          <w:tcPr>
            <w:tcW w:w="5103" w:type="dxa"/>
            <w:noWrap/>
          </w:tcPr>
          <w:p>
            <w:pPr>
              <w:pStyle w:val="yTableNAm"/>
              <w:keepNext/>
              <w:keepLines/>
              <w:tabs>
                <w:tab w:val="clear" w:pos="567"/>
                <w:tab w:val="left" w:pos="533"/>
              </w:tabs>
              <w:ind w:left="533" w:hanging="533"/>
            </w:pPr>
            <w:r>
              <w:t>(a)</w:t>
            </w:r>
            <w:r>
              <w:tab/>
              <w:t xml:space="preserve">for arresting the person </w:t>
            </w:r>
          </w:p>
        </w:tc>
        <w:tc>
          <w:tcPr>
            <w:tcW w:w="1208" w:type="dxa"/>
            <w:noWrap/>
            <w:vAlign w:val="bottom"/>
          </w:tcPr>
          <w:p>
            <w:pPr>
              <w:pStyle w:val="yTableNAm"/>
              <w:keepNext/>
              <w:keepLines/>
              <w:tabs>
                <w:tab w:val="clear" w:pos="567"/>
              </w:tabs>
              <w:ind w:right="178"/>
              <w:jc w:val="right"/>
            </w:pPr>
            <w:r>
              <w:rPr>
                <w:szCs w:val="22"/>
              </w:rPr>
              <w:t>176.00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tabs>
                <w:tab w:val="clear" w:pos="567"/>
              </w:tabs>
              <w:ind w:right="178"/>
              <w:jc w:val="right"/>
              <w:rPr>
                <w:szCs w:val="22"/>
              </w:rPr>
            </w:pPr>
            <w:r>
              <w:rPr>
                <w:szCs w:val="22"/>
              </w:rPr>
              <w:t>174.50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tabs>
                <w:tab w:val="clear" w:pos="567"/>
              </w:tabs>
              <w:ind w:right="178"/>
              <w:jc w:val="right"/>
              <w:rPr>
                <w:szCs w:val="22"/>
              </w:rPr>
            </w:pPr>
            <w:r>
              <w:rPr>
                <w:szCs w:val="22"/>
              </w:rPr>
              <w:t>46.20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any writ, application, summons, originating process, notice or order of the Court or any other process requiring service </w:t>
            </w:r>
          </w:p>
        </w:tc>
        <w:tc>
          <w:tcPr>
            <w:tcW w:w="1208" w:type="dxa"/>
            <w:noWrap/>
            <w:vAlign w:val="bottom"/>
          </w:tcPr>
          <w:p>
            <w:pPr>
              <w:pStyle w:val="yTableNAm"/>
              <w:tabs>
                <w:tab w:val="clear" w:pos="567"/>
              </w:tabs>
              <w:ind w:right="178"/>
              <w:jc w:val="right"/>
            </w:pPr>
            <w:r>
              <w:rPr>
                <w:szCs w:val="22"/>
              </w:rPr>
              <w:t>98.00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lastRenderedPageBreak/>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tabs>
                <w:tab w:val="clear" w:pos="567"/>
              </w:tabs>
              <w:ind w:right="178"/>
              <w:jc w:val="right"/>
              <w:rPr>
                <w:szCs w:val="22"/>
              </w:rPr>
            </w:pP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pPr>
              <w:pStyle w:val="yTableNAm"/>
              <w:tabs>
                <w:tab w:val="clear" w:pos="567"/>
              </w:tabs>
              <w:ind w:right="178"/>
              <w:jc w:val="right"/>
              <w:rPr>
                <w:szCs w:val="22"/>
              </w:rPr>
            </w:pPr>
            <w:r>
              <w:rPr>
                <w:szCs w:val="22"/>
              </w:rPr>
              <w:t>2.45</w:t>
            </w:r>
          </w:p>
        </w:tc>
      </w:tr>
      <w:tr>
        <w:trPr>
          <w:cantSplit/>
        </w:trPr>
        <w:tc>
          <w:tcPr>
            <w:tcW w:w="669" w:type="dxa"/>
            <w:noWrap/>
          </w:tcPr>
          <w:p>
            <w:pPr>
              <w:pStyle w:val="yTableNAm"/>
              <w:keepNext/>
            </w:pPr>
          </w:p>
        </w:tc>
        <w:tc>
          <w:tcPr>
            <w:tcW w:w="5103" w:type="dxa"/>
            <w:noWrap/>
          </w:tcPr>
          <w:p>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pPr>
              <w:pStyle w:val="yTableNAm"/>
              <w:keepNext/>
              <w:tabs>
                <w:tab w:val="clear" w:pos="567"/>
              </w:tabs>
              <w:ind w:right="178"/>
              <w:jc w:val="right"/>
              <w:rPr>
                <w:szCs w:val="22"/>
              </w:rPr>
            </w:pPr>
            <w:r>
              <w:rPr>
                <w:szCs w:val="22"/>
              </w:rPr>
              <w:t>2.75</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tabs>
                <w:tab w:val="clear" w:pos="567"/>
              </w:tabs>
              <w:ind w:right="178"/>
              <w:jc w:val="right"/>
              <w:rPr>
                <w:szCs w:val="22"/>
              </w:rPr>
            </w:pPr>
            <w:r>
              <w:rPr>
                <w:szCs w:val="22"/>
              </w:rPr>
              <w:t>92.00</w:t>
            </w:r>
          </w:p>
        </w:tc>
      </w:tr>
      <w:tr>
        <w:trPr>
          <w:cantSplit/>
        </w:trPr>
        <w:tc>
          <w:tcPr>
            <w:tcW w:w="669" w:type="dxa"/>
            <w:noWrap/>
          </w:tcPr>
          <w:p>
            <w:pPr>
              <w:pStyle w:val="yTableNAm"/>
            </w:pPr>
            <w:r>
              <w:t>5.</w:t>
            </w:r>
          </w:p>
        </w:tc>
        <w:tc>
          <w:tcPr>
            <w:tcW w:w="5103" w:type="dxa"/>
            <w:noWrap/>
          </w:tcPr>
          <w:p>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pPr>
              <w:pStyle w:val="yTableNAm"/>
              <w:tabs>
                <w:tab w:val="clear" w:pos="567"/>
              </w:tabs>
              <w:ind w:right="178"/>
              <w:jc w:val="right"/>
              <w:rPr>
                <w:szCs w:val="22"/>
              </w:rPr>
            </w:pPr>
            <w:r>
              <w:rPr>
                <w:szCs w:val="22"/>
              </w:rPr>
              <w:t>297.00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pPr>
              <w:pStyle w:val="yTableNAm"/>
              <w:jc w:val="center"/>
            </w:pPr>
            <w:r>
              <w:t>The sum actually and reasonably paid</w:t>
            </w:r>
          </w:p>
        </w:tc>
      </w:tr>
    </w:tbl>
    <w:p>
      <w:pPr>
        <w:pStyle w:val="yFootnotesection"/>
      </w:pPr>
      <w:r>
        <w:tab/>
        <w:t>[Schedule 2 inserted: SL 2021/101 r. 12.]</w:t>
      </w:r>
    </w:p>
    <w:p>
      <w:pPr>
        <w:pStyle w:val="yFootnoteheading"/>
        <w:spacing w:after="120"/>
      </w:pPr>
    </w:p>
    <w:p>
      <w:pPr>
        <w:pStyle w:val="yFootnotesection"/>
      </w:pP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0" w:name="_Toc81910782"/>
      <w:bookmarkStart w:id="31" w:name="_Toc81911132"/>
      <w:bookmarkStart w:id="32" w:name="_Toc81924061"/>
      <w:r>
        <w:rPr>
          <w:rStyle w:val="CharSchNo"/>
        </w:rPr>
        <w:lastRenderedPageBreak/>
        <w:t>Schedule 3</w:t>
      </w:r>
      <w:r>
        <w:t xml:space="preserve"> — </w:t>
      </w:r>
      <w:r>
        <w:rPr>
          <w:rStyle w:val="CharSchText"/>
        </w:rPr>
        <w:t>Forms</w:t>
      </w:r>
      <w:bookmarkEnd w:id="30"/>
      <w:bookmarkEnd w:id="31"/>
      <w:bookmarkEnd w:id="32"/>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lastRenderedPageBreak/>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lastRenderedPageBreak/>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lastRenderedPageBreak/>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lastRenderedPageBreak/>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lastRenderedPageBreak/>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lastRenderedPageBreak/>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lastRenderedPageBreak/>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lastRenderedPageBreak/>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3" w:name="_Toc81910783"/>
      <w:bookmarkStart w:id="34" w:name="_Toc81911133"/>
      <w:bookmarkStart w:id="35" w:name="_Toc81924062"/>
      <w:r>
        <w:lastRenderedPageBreak/>
        <w:t>Notes</w:t>
      </w:r>
      <w:bookmarkEnd w:id="33"/>
      <w:bookmarkEnd w:id="34"/>
      <w:bookmarkEnd w:id="35"/>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6" w:name="_Toc81924063"/>
      <w:r>
        <w:t>Compilation table</w:t>
      </w:r>
      <w:bookmarkEnd w:id="36"/>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lastRenderedPageBreak/>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lastRenderedPageBreak/>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bottom w:val="single" w:sz="4" w:space="0" w:color="auto"/>
            </w:tcBorders>
            <w:shd w:val="clear" w:color="auto" w:fill="auto"/>
          </w:tcPr>
          <w:p>
            <w:pPr>
              <w:pStyle w:val="nTable"/>
              <w:spacing w:after="40"/>
            </w:pPr>
            <w:r>
              <w:t>SL 2021/155 10 Sep 2021</w:t>
            </w:r>
          </w:p>
        </w:tc>
        <w:tc>
          <w:tcPr>
            <w:tcW w:w="2637" w:type="dxa"/>
            <w:tcBorders>
              <w:bottom w:val="single" w:sz="4" w:space="0" w:color="auto"/>
            </w:tcBorders>
            <w:shd w:val="clear" w:color="auto" w:fill="auto"/>
          </w:tcPr>
          <w:p>
            <w:pPr>
              <w:pStyle w:val="nTable"/>
              <w:spacing w:after="40"/>
            </w:pPr>
            <w:r>
              <w:t>11 Sep 2021 (see r. 2(b))</w:t>
            </w:r>
          </w:p>
        </w:tc>
      </w:tr>
    </w:tbl>
    <w:p>
      <w:pPr>
        <w:pStyle w:val="nHeading3"/>
      </w:pPr>
      <w:bookmarkStart w:id="37" w:name="_Toc81924064"/>
      <w:r>
        <w:t>Other notes</w:t>
      </w:r>
      <w:bookmarkEnd w:id="37"/>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9" w:name="_Toc81910786"/>
      <w:bookmarkStart w:id="40" w:name="_Toc81911136"/>
      <w:bookmarkStart w:id="41" w:name="_Toc81924065"/>
      <w:r>
        <w:rPr>
          <w:sz w:val="28"/>
        </w:rPr>
        <w:lastRenderedPageBreak/>
        <w:t>Defined terms</w:t>
      </w:r>
      <w:bookmarkEnd w:id="39"/>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03-t0-00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22329"/>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C893-78E5-490F-8216-5DF565A0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7875</Words>
  <Characters>38354</Characters>
  <Application>Microsoft Office Word</Application>
  <DocSecurity>0</DocSecurity>
  <Lines>1826</Lines>
  <Paragraphs>1075</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2002 - 03-t0-00</dc:title>
  <dc:subject/>
  <dc:creator/>
  <cp:keywords/>
  <dc:description/>
  <cp:lastModifiedBy>Master Repository Process</cp:lastModifiedBy>
  <cp:revision>4</cp:revision>
  <cp:lastPrinted>2016-07-22T01:04:00Z</cp:lastPrinted>
  <dcterms:created xsi:type="dcterms:W3CDTF">2021-09-10T01:32:00Z</dcterms:created>
  <dcterms:modified xsi:type="dcterms:W3CDTF">2021-09-10T01:32:00Z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11 Sep 2021</vt:lpwstr>
  </property>
  <property fmtid="{D5CDD505-2E9C-101B-9397-08002B2CF9AE}" pid="8" name="Suffix">
    <vt:lpwstr>03-t0-00</vt:lpwstr>
  </property>
  <property fmtid="{D5CDD505-2E9C-101B-9397-08002B2CF9AE}" pid="9" name="CommencementDate">
    <vt:lpwstr>20210911</vt:lpwstr>
  </property>
</Properties>
</file>