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_Toc82075682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_Toc82075683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_Toc82075684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_Toc82075685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_Toc82075686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_Toc82075688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_Toc82075689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_Toc82075690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_Toc82075691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_Toc82075692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_Toc82075693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_Toc82075694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_Toc82075695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_Toc82075696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_Toc82075697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_Toc82075698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_Toc82075699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_Toc82075700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_Toc82075701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_Toc82075702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_Toc82075703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_Toc82075704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_Toc82075705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_Toc82075706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_Toc82075707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_Toc82075708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_Toc82075709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_Toc82075710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_Toc82075711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_Toc82075712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_Toc82075713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_Toc82075714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_Toc82075715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_Toc82075716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_Toc82075717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_Toc82075718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_Toc82075720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_Toc82075721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_Toc82075722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_Toc82075723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_Toc82075724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_Toc82075725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_Toc82075726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_Toc82075727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_Toc82075728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_Toc82075729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_Toc82075730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_Toc82075731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_Toc82075732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_Toc82075733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_Toc82075734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_Toc82075735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_Toc82075737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_Toc82075738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_Toc82075739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_Toc82075740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_Toc82075742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_Toc82075743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_Toc82075744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_Toc82075745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_Toc82075746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_Toc82075748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_Toc82075749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_Toc82075750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_Toc82075751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_Toc82075752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_Toc82075753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_Toc82075754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_Toc82075755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_Toc82075756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_Toc82075757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_Toc82075759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_Toc82075760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_Toc82075761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_Toc82075762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_Toc82075763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_Toc82075764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_Toc82075765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_Toc82075766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_Toc82075767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47H</w:t>
      </w:r>
      <w:r>
        <w:rPr>
          <w:iCs/>
        </w:rPr>
        <w:t>.</w:t>
      </w:r>
      <w:r>
        <w:rPr>
          <w:iCs/>
        </w:rPr>
        <w:tab/>
        <w:t>Ticket</w:t>
      </w:r>
      <w:r>
        <w:t xml:space="preserve"> </w:t>
      </w:r>
      <w:r>
        <w:rPr>
          <w:iCs/>
        </w:rPr>
        <w:t>to be produced on request</w:t>
      </w:r>
      <w:r>
        <w:tab/>
      </w:r>
      <w:r>
        <w:fldChar w:fldCharType="begin"/>
      </w:r>
      <w:r>
        <w:instrText xml:space="preserve"> PAGEREF _Toc82075768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_Toc82075769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_Toc82075770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_Toc82075771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_Toc82075772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_Toc82075773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_Toc82075774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_Toc82075775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_Toc82075776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_Toc82075777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_Toc82075778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_Toc82075779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_Toc82075780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_Toc82075781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_Toc82075782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_Toc82075783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_Toc82075784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_Toc82075785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_Toc82075786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_Toc82075787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_Toc82075788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_Toc82075789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_Toc82075790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_Toc82075791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_Toc82075792 \h </w:instrText>
      </w:r>
      <w:r>
        <w:fldChar w:fldCharType="separate"/>
      </w:r>
      <w:r>
        <w:t>67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_Toc82075793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_Toc82075794 \h </w:instrText>
      </w:r>
      <w:r>
        <w:fldChar w:fldCharType="separate"/>
      </w:r>
      <w:r>
        <w:t>69</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_Toc82075795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_Toc82075796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52BAD.</w:t>
      </w:r>
      <w:r>
        <w:tab/>
        <w:t>Owners to ensure recreational paddle craft are equipped with lifejackets, distress signals and emergency beacons</w:t>
      </w:r>
      <w:r>
        <w:tab/>
      </w:r>
      <w:r>
        <w:fldChar w:fldCharType="begin"/>
      </w:r>
      <w:r>
        <w:instrText xml:space="preserve"> PAGEREF _Toc82075797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_Toc82075798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_Toc82075799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_Toc82075800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_Toc82075801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_Toc82075802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_Toc82075803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_Toc82075804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_Toc82075805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_Toc82075806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_Toc82075808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_Toc82075809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_Toc82075810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_Toc82075811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_Toc82075813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_Toc82075816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_Toc82075817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82011394"/>
      <w:bookmarkStart w:id="4" w:name="_Toc82074446"/>
      <w:bookmarkStart w:id="5" w:name="_Toc8207568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82075682"/>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82075683"/>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82075684"/>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82075685"/>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82075686"/>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82011400"/>
      <w:bookmarkStart w:id="12" w:name="_Toc82074452"/>
      <w:bookmarkStart w:id="13" w:name="_Toc82075687"/>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82075688"/>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82075689"/>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82075690"/>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82075691"/>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82075692"/>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82075693"/>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82075694"/>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82075695"/>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82075696"/>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82075697"/>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82075698"/>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8207569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82075700"/>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lastRenderedPageBreak/>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82075701"/>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82075702"/>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82075703"/>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lastRenderedPageBreak/>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82075704"/>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82075705"/>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82075706"/>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3" w:name="_Toc82075707"/>
      <w:r>
        <w:rPr>
          <w:rStyle w:val="CharSectno"/>
        </w:rPr>
        <w:lastRenderedPageBreak/>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82075708"/>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82075709"/>
      <w:r>
        <w:rPr>
          <w:rStyle w:val="CharSectno"/>
        </w:rPr>
        <w:lastRenderedPageBreak/>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82075710"/>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82075711"/>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lastRenderedPageBreak/>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82075712"/>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82075713"/>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w:t>
      </w:r>
      <w:r>
        <w:rPr>
          <w:snapToGrid w:val="0"/>
        </w:rPr>
        <w:lastRenderedPageBreak/>
        <w:t xml:space="preserve">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lastRenderedPageBreak/>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82075714"/>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 xml:space="preserve">If the owner, or person for the time being in charge of the vessel, refuses on demand to identify or supply the name and address of the driver of the vessel he commits an offence unless </w:t>
      </w:r>
      <w:r>
        <w:rPr>
          <w:snapToGrid w:val="0"/>
        </w:rPr>
        <w:lastRenderedPageBreak/>
        <w:t>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82075715"/>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82075716"/>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lastRenderedPageBreak/>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82075717"/>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82075718"/>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82011432"/>
      <w:bookmarkStart w:id="46" w:name="_Toc82074484"/>
      <w:bookmarkStart w:id="47" w:name="_Toc82075719"/>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82075720"/>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82075721"/>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82075722"/>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82075723"/>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82075724"/>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lastRenderedPageBreak/>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82075725"/>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4" w:name="_Toc82075726"/>
      <w:r>
        <w:rPr>
          <w:rStyle w:val="CharSectno"/>
        </w:rPr>
        <w:lastRenderedPageBreak/>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82075727"/>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82075728"/>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82075729"/>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8" w:name="_Toc82075730"/>
      <w:r>
        <w:rPr>
          <w:rStyle w:val="CharSectno"/>
        </w:rPr>
        <w:lastRenderedPageBreak/>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82075731"/>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82075732"/>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82075733"/>
      <w:r>
        <w:rPr>
          <w:rStyle w:val="CharSectno"/>
        </w:rPr>
        <w:lastRenderedPageBreak/>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82075734"/>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82075735"/>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82011449"/>
      <w:bookmarkStart w:id="65" w:name="_Toc82074501"/>
      <w:bookmarkStart w:id="66" w:name="_Toc82075736"/>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82075737"/>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82075738"/>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82075739"/>
      <w:r>
        <w:rPr>
          <w:rStyle w:val="CharSectno"/>
        </w:rPr>
        <w:lastRenderedPageBreak/>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82075740"/>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82011454"/>
      <w:bookmarkStart w:id="72" w:name="_Toc82074506"/>
      <w:bookmarkStart w:id="73" w:name="_Toc82075741"/>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82075742"/>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82075743"/>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82075744"/>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82075745"/>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82075746"/>
      <w:r>
        <w:rPr>
          <w:rStyle w:val="CharSectno"/>
        </w:rPr>
        <w:lastRenderedPageBreak/>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82011460"/>
      <w:bookmarkStart w:id="80" w:name="_Toc82074512"/>
      <w:bookmarkStart w:id="81" w:name="_Toc82075747"/>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82075748"/>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lastRenderedPageBreak/>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3" w:name="_Toc82075749"/>
      <w:r>
        <w:rPr>
          <w:rStyle w:val="CharSectno"/>
        </w:rPr>
        <w:t>45B</w:t>
      </w:r>
      <w:r>
        <w:rPr>
          <w:snapToGrid w:val="0"/>
        </w:rPr>
        <w:t>.</w:t>
      </w:r>
      <w:r>
        <w:rPr>
          <w:snapToGrid w:val="0"/>
        </w:rPr>
        <w:tab/>
        <w:t>Registration of vessels</w:t>
      </w:r>
      <w:bookmarkEnd w:id="8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pPr>
            <w:r>
              <w:rPr>
                <w:szCs w:val="24"/>
              </w:rPr>
              <w:t>133.80</w:t>
            </w:r>
          </w:p>
        </w:tc>
      </w:tr>
      <w:tr>
        <w:tc>
          <w:tcPr>
            <w:tcW w:w="3822" w:type="dxa"/>
          </w:tcPr>
          <w:p>
            <w:pPr>
              <w:pStyle w:val="TableNAm"/>
              <w:ind w:left="592" w:hanging="592"/>
            </w:pPr>
            <w:r>
              <w:t>(ii)</w:t>
            </w:r>
            <w:r>
              <w:tab/>
              <w:t>5 m or more but less than 10 m</w:t>
            </w:r>
          </w:p>
        </w:tc>
        <w:tc>
          <w:tcPr>
            <w:tcW w:w="1553" w:type="dxa"/>
            <w:vAlign w:val="bottom"/>
          </w:tcPr>
          <w:p>
            <w:pPr>
              <w:pStyle w:val="TableNAm"/>
            </w:pPr>
            <w:r>
              <w:rPr>
                <w:szCs w:val="24"/>
              </w:rPr>
              <w:t>284.00</w:t>
            </w:r>
          </w:p>
        </w:tc>
      </w:tr>
      <w:tr>
        <w:tc>
          <w:tcPr>
            <w:tcW w:w="3822" w:type="dxa"/>
          </w:tcPr>
          <w:p>
            <w:pPr>
              <w:pStyle w:val="TableNAm"/>
              <w:ind w:left="592" w:hanging="592"/>
            </w:pPr>
            <w:r>
              <w:t>(iii)</w:t>
            </w:r>
            <w:r>
              <w:tab/>
              <w:t>10 m or more but less than 20 m</w:t>
            </w:r>
          </w:p>
        </w:tc>
        <w:tc>
          <w:tcPr>
            <w:tcW w:w="1553" w:type="dxa"/>
            <w:vAlign w:val="bottom"/>
          </w:tcPr>
          <w:p>
            <w:pPr>
              <w:pStyle w:val="TableNAm"/>
            </w:pPr>
            <w:r>
              <w:rPr>
                <w:szCs w:val="24"/>
              </w:rPr>
              <w:t>569.60</w:t>
            </w:r>
          </w:p>
        </w:tc>
      </w:tr>
      <w:tr>
        <w:tc>
          <w:tcPr>
            <w:tcW w:w="3822" w:type="dxa"/>
          </w:tcPr>
          <w:p>
            <w:pPr>
              <w:pStyle w:val="TableNAm"/>
              <w:ind w:left="592" w:hanging="592"/>
            </w:pPr>
            <w:r>
              <w:t>(iv)</w:t>
            </w:r>
            <w:r>
              <w:tab/>
              <w:t>20 m or more</w:t>
            </w:r>
          </w:p>
        </w:tc>
        <w:tc>
          <w:tcPr>
            <w:tcW w:w="1553" w:type="dxa"/>
            <w:vAlign w:val="bottom"/>
          </w:tcPr>
          <w:p>
            <w:pPr>
              <w:pStyle w:val="TableNAm"/>
            </w:pPr>
            <w:r>
              <w:rPr>
                <w:szCs w:val="24"/>
              </w:rPr>
              <w:t>833.00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$30.50</w:t>
      </w:r>
      <w:r>
        <w:t>.</w:t>
      </w:r>
    </w:p>
    <w:p>
      <w:pPr>
        <w:pStyle w:val="Subsection"/>
        <w:rPr>
          <w:snapToGrid w:val="0"/>
        </w:rPr>
      </w:pPr>
      <w:r>
        <w:rPr>
          <w:snapToGrid w:val="0"/>
        </w:rPr>
        <w:lastRenderedPageBreak/>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w:t>
      </w:r>
      <w:r>
        <w:lastRenderedPageBreak/>
        <w:t xml:space="preserve">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lastRenderedPageBreak/>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$13.25</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where the vessel is a yacht which is or may be propelled by mechanical power, the registration number allotted to </w:t>
      </w:r>
      <w:r>
        <w:rPr>
          <w:snapToGrid w:val="0"/>
        </w:rPr>
        <w:lastRenderedPageBreak/>
        <w:t>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w:t>
      </w:r>
    </w:p>
    <w:p>
      <w:pPr>
        <w:pStyle w:val="Heading5"/>
        <w:rPr>
          <w:snapToGrid w:val="0"/>
        </w:rPr>
      </w:pPr>
      <w:bookmarkStart w:id="84" w:name="_Toc82075750"/>
      <w:r>
        <w:rPr>
          <w:rStyle w:val="CharSectno"/>
        </w:rPr>
        <w:t>45BAA</w:t>
      </w:r>
      <w:r>
        <w:rPr>
          <w:snapToGrid w:val="0"/>
        </w:rPr>
        <w:t>.</w:t>
      </w:r>
      <w:r>
        <w:rPr>
          <w:snapToGrid w:val="0"/>
        </w:rPr>
        <w:tab/>
        <w:t>Registration of foreign pleasure vessels</w:t>
      </w:r>
      <w:bookmarkEnd w:id="84"/>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lastRenderedPageBreak/>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$30.50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4.25</w:t>
            </w:r>
          </w:p>
        </w:tc>
      </w:tr>
      <w:tr>
        <w:tc>
          <w:tcPr>
            <w:tcW w:w="4185" w:type="dxa"/>
          </w:tcPr>
          <w:p>
            <w:pPr>
              <w:pStyle w:val="TableNAm"/>
            </w:pPr>
            <w:r>
              <w:t>(ii)</w:t>
            </w:r>
            <w:r>
              <w:tab/>
              <w:t>5 m or more but less than 10 m</w:t>
            </w:r>
          </w:p>
        </w:tc>
        <w:tc>
          <w:tcPr>
            <w:tcW w:w="1275" w:type="dxa"/>
          </w:tcPr>
          <w:p>
            <w:pPr>
              <w:pStyle w:val="TableNAm"/>
            </w:pPr>
            <w:r>
              <w:rPr>
                <w:szCs w:val="24"/>
              </w:rPr>
              <w:t>7.80</w:t>
            </w:r>
          </w:p>
        </w:tc>
      </w:tr>
      <w:tr>
        <w:tc>
          <w:tcPr>
            <w:tcW w:w="4185" w:type="dxa"/>
          </w:tcPr>
          <w:p>
            <w:pPr>
              <w:pStyle w:val="TableNAm"/>
            </w:pPr>
            <w:r>
              <w:t>(iii)</w:t>
            </w:r>
            <w:r>
              <w:tab/>
              <w:t>10 m or over but less than 20 m</w:t>
            </w:r>
          </w:p>
        </w:tc>
        <w:tc>
          <w:tcPr>
            <w:tcW w:w="1275" w:type="dxa"/>
          </w:tcPr>
          <w:p>
            <w:pPr>
              <w:pStyle w:val="TableNAm"/>
            </w:pPr>
            <w:r>
              <w:rPr>
                <w:szCs w:val="24"/>
              </w:rPr>
              <w:t>10.20</w:t>
            </w:r>
          </w:p>
        </w:tc>
      </w:tr>
      <w:tr>
        <w:tc>
          <w:tcPr>
            <w:tcW w:w="4185" w:type="dxa"/>
          </w:tcPr>
          <w:p>
            <w:pPr>
              <w:pStyle w:val="TableNAm"/>
            </w:pPr>
            <w:r>
              <w:t>(iv)</w:t>
            </w:r>
            <w:r>
              <w:tab/>
              <w:t>20 m or over but less than 30 m</w:t>
            </w:r>
          </w:p>
        </w:tc>
        <w:tc>
          <w:tcPr>
            <w:tcW w:w="1275" w:type="dxa"/>
          </w:tcPr>
          <w:p>
            <w:pPr>
              <w:pStyle w:val="TableNAm"/>
            </w:pPr>
            <w:r>
              <w:rPr>
                <w:szCs w:val="24"/>
              </w:rPr>
              <w:t>20.40</w:t>
            </w:r>
          </w:p>
        </w:tc>
      </w:tr>
      <w:tr>
        <w:tc>
          <w:tcPr>
            <w:tcW w:w="4185" w:type="dxa"/>
          </w:tcPr>
          <w:p>
            <w:pPr>
              <w:pStyle w:val="TableNAm"/>
            </w:pPr>
            <w:r>
              <w:t>(v)</w:t>
            </w:r>
            <w:r>
              <w:tab/>
              <w:t>30 m or over but less than 40 m</w:t>
            </w:r>
          </w:p>
        </w:tc>
        <w:tc>
          <w:tcPr>
            <w:tcW w:w="1275" w:type="dxa"/>
          </w:tcPr>
          <w:p>
            <w:pPr>
              <w:pStyle w:val="TableNAm"/>
            </w:pPr>
            <w:r>
              <w:rPr>
                <w:szCs w:val="24"/>
              </w:rPr>
              <w:t>40.70</w:t>
            </w:r>
          </w:p>
        </w:tc>
      </w:tr>
      <w:tr>
        <w:tc>
          <w:tcPr>
            <w:tcW w:w="4185" w:type="dxa"/>
          </w:tcPr>
          <w:p>
            <w:pPr>
              <w:pStyle w:val="TableNAm"/>
            </w:pPr>
            <w:r>
              <w:t>(vi)</w:t>
            </w:r>
            <w:r>
              <w:tab/>
              <w:t>40 m or over</w:t>
            </w:r>
          </w:p>
        </w:tc>
        <w:tc>
          <w:tcPr>
            <w:tcW w:w="1275" w:type="dxa"/>
          </w:tcPr>
          <w:p>
            <w:pPr>
              <w:pStyle w:val="TableNAm"/>
            </w:pPr>
            <w:r>
              <w:rPr>
                <w:szCs w:val="24"/>
              </w:rPr>
              <w:t>81.45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w:t>
      </w:r>
      <w:r>
        <w:lastRenderedPageBreak/>
        <w:t xml:space="preserve">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w:t>
      </w:r>
    </w:p>
    <w:p>
      <w:pPr>
        <w:pStyle w:val="Heading5"/>
        <w:rPr>
          <w:snapToGrid w:val="0"/>
        </w:rPr>
      </w:pPr>
      <w:bookmarkStart w:id="85" w:name="_Toc82075751"/>
      <w:r>
        <w:rPr>
          <w:rStyle w:val="CharSectno"/>
        </w:rPr>
        <w:t>45BA</w:t>
      </w:r>
      <w:r>
        <w:rPr>
          <w:snapToGrid w:val="0"/>
        </w:rPr>
        <w:t>.</w:t>
      </w:r>
      <w:r>
        <w:rPr>
          <w:snapToGrid w:val="0"/>
        </w:rPr>
        <w:tab/>
        <w:t>Dealers plates</w:t>
      </w:r>
      <w:bookmarkEnd w:id="8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$384.60 </w:t>
      </w:r>
      <w:r>
        <w:t>for the issue of the first set of plates; and</w:t>
      </w:r>
    </w:p>
    <w:p>
      <w:pPr>
        <w:pStyle w:val="Indenta"/>
        <w:spacing w:before="60"/>
        <w:rPr>
          <w:snapToGrid w:val="0"/>
        </w:rPr>
      </w:pPr>
      <w:r>
        <w:tab/>
        <w:t>(b)</w:t>
      </w:r>
      <w:r>
        <w:tab/>
      </w:r>
      <w:r>
        <w:rPr>
          <w:szCs w:val="24"/>
        </w:rPr>
        <w:t xml:space="preserve">$160.75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$292 </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lastRenderedPageBreak/>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$160.75</w:t>
      </w:r>
      <w:r>
        <w:t>.</w:t>
      </w:r>
    </w:p>
    <w:p>
      <w:pPr>
        <w:pStyle w:val="Subsection"/>
        <w:spacing w:before="120"/>
        <w:rPr>
          <w:snapToGrid w:val="0"/>
        </w:rPr>
      </w:pPr>
      <w:r>
        <w:rPr>
          <w:snapToGrid w:val="0"/>
        </w:rPr>
        <w:tab/>
        <w:t>(7)</w:t>
      </w:r>
      <w:r>
        <w:rPr>
          <w:snapToGrid w:val="0"/>
        </w:rPr>
        <w:tab/>
        <w:t xml:space="preserve">The provisions of regulation 45B(1) do not apply to the use of a vessel to which dealers plates are affixed in the manner prescribed by this regulation on any occasion when the use of </w:t>
      </w:r>
      <w:r>
        <w:rPr>
          <w:snapToGrid w:val="0"/>
        </w:rPr>
        <w:lastRenderedPageBreak/>
        <w:t>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w:t>
      </w:r>
    </w:p>
    <w:p>
      <w:pPr>
        <w:pStyle w:val="Heading5"/>
        <w:spacing w:before="240"/>
        <w:rPr>
          <w:snapToGrid w:val="0"/>
        </w:rPr>
      </w:pPr>
      <w:bookmarkStart w:id="86" w:name="_Toc82075752"/>
      <w:r>
        <w:rPr>
          <w:rStyle w:val="CharSectno"/>
        </w:rPr>
        <w:t>45C</w:t>
      </w:r>
      <w:r>
        <w:rPr>
          <w:snapToGrid w:val="0"/>
        </w:rPr>
        <w:t>.</w:t>
      </w:r>
      <w:r>
        <w:rPr>
          <w:snapToGrid w:val="0"/>
        </w:rPr>
        <w:tab/>
        <w:t>Duration of registration etc.</w:t>
      </w:r>
      <w:bookmarkEnd w:id="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 xml:space="preserve">the department shall register the vessel for a period of 12 months and the registration shall be deemed to be a continuation of the previous registration and to have effect on </w:t>
      </w:r>
      <w:r>
        <w:rPr>
          <w:snapToGrid w:val="0"/>
        </w:rPr>
        <w:lastRenderedPageBreak/>
        <w:t>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7" w:name="_Toc82075753"/>
      <w:r>
        <w:rPr>
          <w:rStyle w:val="CharSectno"/>
        </w:rPr>
        <w:t>45D</w:t>
      </w:r>
      <w:r>
        <w:rPr>
          <w:snapToGrid w:val="0"/>
        </w:rPr>
        <w:t>.</w:t>
      </w:r>
      <w:r>
        <w:rPr>
          <w:snapToGrid w:val="0"/>
        </w:rPr>
        <w:tab/>
        <w:t>Owners to furnish particulars of changes of address etc.</w:t>
      </w:r>
      <w:bookmarkEnd w:id="8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8" w:name="_Toc82075754"/>
      <w:r>
        <w:rPr>
          <w:rStyle w:val="CharSectno"/>
        </w:rPr>
        <w:lastRenderedPageBreak/>
        <w:t>45E</w:t>
      </w:r>
      <w:r>
        <w:rPr>
          <w:snapToGrid w:val="0"/>
        </w:rPr>
        <w:t>.</w:t>
      </w:r>
      <w:r>
        <w:rPr>
          <w:snapToGrid w:val="0"/>
        </w:rPr>
        <w:tab/>
        <w:t>Transfers of vessels</w:t>
      </w:r>
      <w:bookmarkEnd w:id="8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$30.50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lastRenderedPageBreak/>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w:t>
      </w:r>
      <w:r>
        <w:lastRenderedPageBreak/>
        <w:t xml:space="preserve">p. 1641; 17 May 2019 p. 1438; SL 2020/60 r. 8; SL 2021/68 r. 14.] </w:t>
      </w:r>
    </w:p>
    <w:p>
      <w:pPr>
        <w:pStyle w:val="Heading5"/>
      </w:pPr>
      <w:bookmarkStart w:id="89" w:name="_Toc82075755"/>
      <w:r>
        <w:rPr>
          <w:rStyle w:val="CharSectno"/>
        </w:rPr>
        <w:t>45EA</w:t>
      </w:r>
      <w:r>
        <w:t>.</w:t>
      </w:r>
      <w:r>
        <w:tab/>
        <w:t>Hull identification number, altering etc. of prohibited</w:t>
      </w:r>
      <w:bookmarkEnd w:id="8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0" w:name="_Toc82075756"/>
      <w:r>
        <w:rPr>
          <w:rStyle w:val="CharSectno"/>
        </w:rPr>
        <w:t>45EB</w:t>
      </w:r>
      <w:r>
        <w:t>.</w:t>
      </w:r>
      <w:r>
        <w:tab/>
        <w:t>Hull identification number altered etc., duty of owner to reaffix</w:t>
      </w:r>
      <w:bookmarkEnd w:id="9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1" w:name="_Toc82075757"/>
      <w:r>
        <w:rPr>
          <w:rStyle w:val="CharSectno"/>
        </w:rPr>
        <w:t>45F</w:t>
      </w:r>
      <w:r>
        <w:t>.</w:t>
      </w:r>
      <w:r>
        <w:tab/>
        <w:t>Penalties</w:t>
      </w:r>
      <w:bookmarkEnd w:id="9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2" w:name="_Toc82011471"/>
      <w:bookmarkStart w:id="93" w:name="_Toc82074523"/>
      <w:bookmarkStart w:id="94" w:name="_Toc82075758"/>
      <w:r>
        <w:rPr>
          <w:rStyle w:val="CharPartNo"/>
        </w:rPr>
        <w:lastRenderedPageBreak/>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pPr>
        <w:pStyle w:val="Heading5"/>
        <w:rPr>
          <w:snapToGrid w:val="0"/>
        </w:rPr>
      </w:pPr>
      <w:bookmarkStart w:id="95" w:name="_Toc82075759"/>
      <w:r>
        <w:rPr>
          <w:rStyle w:val="CharSectno"/>
        </w:rPr>
        <w:t>46</w:t>
      </w:r>
      <w:r>
        <w:rPr>
          <w:snapToGrid w:val="0"/>
        </w:rPr>
        <w:t>.</w:t>
      </w:r>
      <w:r>
        <w:rPr>
          <w:snapToGrid w:val="0"/>
        </w:rPr>
        <w:tab/>
        <w:t>Terms used</w:t>
      </w:r>
      <w:bookmarkEnd w:id="9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lastRenderedPageBreak/>
        <w:t>[Heading deleted: Gazette 1 Jul 1983 p. 2263.]</w:t>
      </w:r>
    </w:p>
    <w:p>
      <w:pPr>
        <w:pStyle w:val="Heading5"/>
        <w:spacing w:before="240"/>
      </w:pPr>
      <w:bookmarkStart w:id="96" w:name="_Toc82075760"/>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lastRenderedPageBreak/>
        <w:t>[</w:t>
      </w:r>
      <w:r>
        <w:rPr>
          <w:b/>
        </w:rPr>
        <w:t>47AA, 47AB.</w:t>
      </w:r>
      <w:r>
        <w:tab/>
        <w:t>Deleted: Gazette 25 Jul 2014 p. 2583.]</w:t>
      </w:r>
    </w:p>
    <w:p>
      <w:pPr>
        <w:pStyle w:val="Heading5"/>
        <w:keepLines w:val="0"/>
      </w:pPr>
      <w:bookmarkStart w:id="97" w:name="_Toc82075761"/>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8" w:name="_Toc82075762"/>
      <w:r>
        <w:rPr>
          <w:rStyle w:val="CharSectno"/>
        </w:rPr>
        <w:lastRenderedPageBreak/>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9" w:name="_Toc82075763"/>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$30.50</w:t>
      </w:r>
      <w:r>
        <w:t>; and</w:t>
      </w:r>
    </w:p>
    <w:p>
      <w:pPr>
        <w:pStyle w:val="Indenta"/>
        <w:keepNext/>
      </w:pPr>
      <w:r>
        <w:lastRenderedPageBreak/>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$23.40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lastRenderedPageBreak/>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w:t>
      </w:r>
    </w:p>
    <w:p>
      <w:pPr>
        <w:pStyle w:val="Ednotesection"/>
        <w:ind w:left="890" w:hanging="890"/>
      </w:pPr>
      <w:r>
        <w:t>[</w:t>
      </w:r>
      <w:r>
        <w:rPr>
          <w:b/>
        </w:rPr>
        <w:t>47CA.</w:t>
      </w:r>
      <w:r>
        <w:tab/>
        <w:t>Deleted: Gazette 25 Jul 2014 p. 2583.]</w:t>
      </w:r>
    </w:p>
    <w:p>
      <w:pPr>
        <w:pStyle w:val="Heading5"/>
      </w:pPr>
      <w:bookmarkStart w:id="100" w:name="_Toc82075764"/>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1" w:name="_Toc82075765"/>
      <w:r>
        <w:rPr>
          <w:rStyle w:val="CharSectno"/>
        </w:rPr>
        <w:t>47E</w:t>
      </w:r>
      <w:r>
        <w:t>.</w:t>
      </w:r>
      <w:r>
        <w:tab/>
        <w:t>Interstate or overseas ticket valid for 3 months</w:t>
      </w:r>
      <w:bookmarkEnd w:id="10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2" w:name="_Toc82075766"/>
      <w:r>
        <w:rPr>
          <w:rStyle w:val="CharSectno"/>
        </w:rPr>
        <w:lastRenderedPageBreak/>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3" w:name="_Toc82075767"/>
      <w:r>
        <w:rPr>
          <w:rStyle w:val="CharSectno"/>
        </w:rPr>
        <w:t>47G</w:t>
      </w:r>
      <w:r>
        <w:t>.</w:t>
      </w:r>
      <w:r>
        <w:tab/>
        <w:t>Recreational skipper’s ticket, CEO may refuse, cancel or suspend</w:t>
      </w:r>
      <w:bookmarkEnd w:id="10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lastRenderedPageBreak/>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4" w:name="_Toc82075768"/>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105" w:name="_Toc82075769"/>
      <w:r>
        <w:rPr>
          <w:rStyle w:val="CharSectno"/>
        </w:rPr>
        <w:lastRenderedPageBreak/>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06" w:name="_Toc82075770"/>
      <w:r>
        <w:rPr>
          <w:rStyle w:val="CharSectno"/>
        </w:rPr>
        <w:t>48</w:t>
      </w:r>
      <w:r>
        <w:rPr>
          <w:snapToGrid w:val="0"/>
        </w:rPr>
        <w:t>.</w:t>
      </w:r>
      <w:r>
        <w:rPr>
          <w:snapToGrid w:val="0"/>
        </w:rPr>
        <w:tab/>
        <w:t>Limitation of speed, water ski-ing and para-sailing</w:t>
      </w:r>
      <w:bookmarkEnd w:id="106"/>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7" w:name="_Toc82075771"/>
      <w:r>
        <w:rPr>
          <w:rStyle w:val="CharSectno"/>
        </w:rPr>
        <w:lastRenderedPageBreak/>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lastRenderedPageBreak/>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82075772"/>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9" w:name="_Toc82075773"/>
      <w:r>
        <w:rPr>
          <w:rStyle w:val="CharSectno"/>
        </w:rPr>
        <w:t>49C</w:t>
      </w:r>
      <w:r>
        <w:rPr>
          <w:snapToGrid w:val="0"/>
        </w:rPr>
        <w:t>.</w:t>
      </w:r>
      <w:r>
        <w:rPr>
          <w:snapToGrid w:val="0"/>
        </w:rPr>
        <w:tab/>
        <w:t>Driving speed boats behind skiers</w:t>
      </w:r>
      <w:bookmarkEnd w:id="109"/>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0" w:name="_Toc82075774"/>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1" w:name="_Toc82075775"/>
      <w:r>
        <w:rPr>
          <w:rStyle w:val="CharSectno"/>
        </w:rPr>
        <w:lastRenderedPageBreak/>
        <w:t>49E</w:t>
      </w:r>
      <w:r>
        <w:rPr>
          <w:snapToGrid w:val="0"/>
        </w:rPr>
        <w:t>.</w:t>
      </w:r>
      <w:r>
        <w:rPr>
          <w:snapToGrid w:val="0"/>
        </w:rPr>
        <w:tab/>
        <w:t>Ski ropes</w:t>
      </w:r>
      <w:bookmarkEnd w:id="111"/>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2" w:name="_Toc82075776"/>
      <w:r>
        <w:rPr>
          <w:rStyle w:val="CharSectno"/>
        </w:rPr>
        <w:t>49F</w:t>
      </w:r>
      <w:r>
        <w:rPr>
          <w:snapToGrid w:val="0"/>
        </w:rPr>
        <w:t>.</w:t>
      </w:r>
      <w:r>
        <w:rPr>
          <w:snapToGrid w:val="0"/>
        </w:rPr>
        <w:tab/>
        <w:t>Towing trick water skiers</w:t>
      </w:r>
      <w:bookmarkEnd w:id="11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3" w:name="_Toc82075777"/>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4" w:name="_Toc82075778"/>
      <w:r>
        <w:rPr>
          <w:rStyle w:val="CharSectno"/>
        </w:rPr>
        <w:t>49H</w:t>
      </w:r>
      <w:r>
        <w:rPr>
          <w:snapToGrid w:val="0"/>
        </w:rPr>
        <w:t>.</w:t>
      </w:r>
      <w:r>
        <w:rPr>
          <w:snapToGrid w:val="0"/>
        </w:rPr>
        <w:tab/>
        <w:t>Ski line to be retrieved</w:t>
      </w:r>
      <w:bookmarkEnd w:id="114"/>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15" w:name="_Toc82075779"/>
      <w:r>
        <w:rPr>
          <w:rStyle w:val="CharSectno"/>
        </w:rPr>
        <w:lastRenderedPageBreak/>
        <w:t>49I</w:t>
      </w:r>
      <w:r>
        <w:rPr>
          <w:snapToGrid w:val="0"/>
        </w:rPr>
        <w:t>.</w:t>
      </w:r>
      <w:r>
        <w:rPr>
          <w:snapToGrid w:val="0"/>
        </w:rPr>
        <w:tab/>
        <w:t>Driver of speed boat not to approach shore where skier has landed</w:t>
      </w:r>
      <w:bookmarkEnd w:id="11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16" w:name="_Toc82075780"/>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7" w:name="_Toc82075781"/>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8" w:name="_Toc8207578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lastRenderedPageBreak/>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9" w:name="_Toc82075783"/>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specified are within the period prescribed in paragraph (a) of </w:t>
      </w:r>
      <w:r>
        <w:rPr>
          <w:snapToGrid w:val="0"/>
        </w:rPr>
        <w:lastRenderedPageBreak/>
        <w:t>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0" w:name="_Toc82075784"/>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1" w:name="_Toc82075785"/>
      <w:r>
        <w:rPr>
          <w:rStyle w:val="CharSectno"/>
        </w:rPr>
        <w:t>50B</w:t>
      </w:r>
      <w:r>
        <w:t>.</w:t>
      </w:r>
      <w:r>
        <w:tab/>
        <w:t>Lifejacket to be worn by driver and passenger of personal watercraft</w:t>
      </w:r>
      <w:bookmarkEnd w:id="121"/>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lastRenderedPageBreak/>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2" w:name="_Toc82075786"/>
      <w:r>
        <w:rPr>
          <w:rStyle w:val="CharSectno"/>
        </w:rPr>
        <w:t>50C</w:t>
      </w:r>
      <w:r>
        <w:t>.</w:t>
      </w:r>
      <w:r>
        <w:tab/>
        <w:t>Restrictions on sailboard riding</w:t>
      </w:r>
      <w:bookmarkEnd w:id="122"/>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3" w:name="_Toc82075787"/>
      <w:r>
        <w:rPr>
          <w:rStyle w:val="CharSectno"/>
        </w:rPr>
        <w:lastRenderedPageBreak/>
        <w:t>51</w:t>
      </w:r>
      <w:r>
        <w:rPr>
          <w:snapToGrid w:val="0"/>
        </w:rPr>
        <w:t>.</w:t>
      </w:r>
      <w:r>
        <w:rPr>
          <w:snapToGrid w:val="0"/>
        </w:rPr>
        <w:tab/>
        <w:t>Silencers on motor boats</w:t>
      </w:r>
      <w:bookmarkEnd w:id="12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4" w:name="_Toc82075788"/>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25" w:name="_Toc82075789"/>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26" w:name="_Toc82075790"/>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lastRenderedPageBreak/>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7" w:name="_Toc82075791"/>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8" w:name="_Toc82075792"/>
      <w:r>
        <w:rPr>
          <w:rStyle w:val="CharSectno"/>
        </w:rPr>
        <w:lastRenderedPageBreak/>
        <w:t>52A</w:t>
      </w:r>
      <w:r>
        <w:rPr>
          <w:snapToGrid w:val="0"/>
        </w:rPr>
        <w:t>.</w:t>
      </w:r>
      <w:r>
        <w:rPr>
          <w:snapToGrid w:val="0"/>
        </w:rPr>
        <w:tab/>
        <w:t>Vessels to be equipped with lifejackets</w:t>
      </w:r>
      <w:bookmarkEnd w:id="128"/>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9" w:name="_Toc82075793"/>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lastRenderedPageBreak/>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0" w:name="_Toc82075794"/>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1" w:name="_Toc82075795"/>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 xml:space="preserve">The owner of a vessel that proceeds more than 2 nautical miles from the mainland, or more than 400 m from an island situated more than 2 nautical miles from the mainland, must ensure that </w:t>
      </w:r>
      <w:r>
        <w:lastRenderedPageBreak/>
        <w:t>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2" w:name="_Toc82075796"/>
      <w:r>
        <w:rPr>
          <w:rStyle w:val="CharSectno"/>
        </w:rPr>
        <w:t>52BAC</w:t>
      </w:r>
      <w:r>
        <w:t>.</w:t>
      </w:r>
      <w:r>
        <w:tab/>
        <w:t>Sailboard riders to carry lifejackets, distress signals and emergency beacons</w:t>
      </w:r>
      <w:bookmarkEnd w:id="132"/>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lastRenderedPageBreak/>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lastRenderedPageBreak/>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3" w:name="_Toc82075797"/>
      <w:r>
        <w:rPr>
          <w:rStyle w:val="CharSectno"/>
        </w:rPr>
        <w:t>52BAD</w:t>
      </w:r>
      <w:r>
        <w:t>.</w:t>
      </w:r>
      <w:r>
        <w:tab/>
        <w:t>Owners to ensure recreational paddle craft are equipped with lifejackets, distress signals and emergency beacons</w:t>
      </w:r>
      <w:bookmarkEnd w:id="133"/>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lastRenderedPageBreak/>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lastRenderedPageBreak/>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lastRenderedPageBreak/>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4" w:name="_Toc82075798"/>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35" w:name="_Toc82075799"/>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lastRenderedPageBreak/>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36" w:name="_Toc82075800"/>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w:t>
      </w:r>
      <w:r>
        <w:rPr>
          <w:snapToGrid w:val="0"/>
        </w:rPr>
        <w:lastRenderedPageBreak/>
        <w:t>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7" w:name="_Toc8207580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lastRenderedPageBreak/>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8" w:name="_Toc82075802"/>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9" w:name="_Toc82075803"/>
      <w:r>
        <w:rPr>
          <w:rStyle w:val="CharSectno"/>
        </w:rPr>
        <w:t>52F</w:t>
      </w:r>
      <w:r>
        <w:rPr>
          <w:snapToGrid w:val="0"/>
        </w:rPr>
        <w:t>.</w:t>
      </w:r>
      <w:r>
        <w:rPr>
          <w:snapToGrid w:val="0"/>
        </w:rPr>
        <w:tab/>
        <w:t>Ventilation of engine compartment</w:t>
      </w:r>
      <w:bookmarkEnd w:id="13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0" w:name="_Toc82075804"/>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1" w:name="_Toc82075805"/>
      <w:r>
        <w:rPr>
          <w:rStyle w:val="CharSectno"/>
        </w:rPr>
        <w:lastRenderedPageBreak/>
        <w:t>52H</w:t>
      </w:r>
      <w:r>
        <w:rPr>
          <w:snapToGrid w:val="0"/>
        </w:rPr>
        <w:t>.</w:t>
      </w:r>
      <w:r>
        <w:rPr>
          <w:snapToGrid w:val="0"/>
        </w:rPr>
        <w:tab/>
        <w:t>Reporting accidents and fires</w:t>
      </w:r>
      <w:bookmarkEnd w:id="14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2" w:name="_Toc82075806"/>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43" w:name="_Toc82011520"/>
      <w:bookmarkStart w:id="144" w:name="_Toc82074572"/>
      <w:bookmarkStart w:id="145" w:name="_Toc82075807"/>
      <w:r>
        <w:rPr>
          <w:rStyle w:val="CharPartNo"/>
        </w:rPr>
        <w:lastRenderedPageBreak/>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Gazette 25 Jul 2014 p. 2590.]</w:t>
      </w:r>
    </w:p>
    <w:p>
      <w:pPr>
        <w:pStyle w:val="Heading5"/>
        <w:rPr>
          <w:snapToGrid w:val="0"/>
        </w:rPr>
      </w:pPr>
      <w:bookmarkStart w:id="146" w:name="_Toc82075808"/>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47" w:name="_Toc82075809"/>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8" w:name="_Toc82075810"/>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9" w:name="_Toc82075811"/>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0" w:name="_Toc82011525"/>
      <w:bookmarkStart w:id="151" w:name="_Toc82074577"/>
      <w:bookmarkStart w:id="152" w:name="_Toc82075812"/>
      <w:r>
        <w:rPr>
          <w:rStyle w:val="CharPartNo"/>
        </w:rPr>
        <w:lastRenderedPageBreak/>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Gazette 25 Jul 2014 p. 2591.]</w:t>
      </w:r>
    </w:p>
    <w:p>
      <w:pPr>
        <w:pStyle w:val="Heading5"/>
        <w:rPr>
          <w:snapToGrid w:val="0"/>
        </w:rPr>
      </w:pPr>
      <w:bookmarkStart w:id="153" w:name="_Toc82075813"/>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4" w:name="_Toc82011527"/>
      <w:bookmarkStart w:id="155" w:name="_Toc82074579"/>
      <w:bookmarkStart w:id="156" w:name="_Toc82075814"/>
      <w:r>
        <w:rPr>
          <w:rStyle w:val="CharSchNo"/>
        </w:rPr>
        <w:lastRenderedPageBreak/>
        <w:t>Schedule 1</w:t>
      </w:r>
      <w:bookmarkEnd w:id="154"/>
      <w:bookmarkEnd w:id="155"/>
      <w:bookmarkEnd w:id="156"/>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8" w:name="_Toc82011528"/>
      <w:bookmarkStart w:id="159" w:name="_Toc82074580"/>
      <w:bookmarkStart w:id="160" w:name="_Toc82075815"/>
      <w:r>
        <w:lastRenderedPageBreak/>
        <w:t>Notes</w:t>
      </w:r>
      <w:bookmarkEnd w:id="158"/>
      <w:bookmarkEnd w:id="159"/>
      <w:bookmarkEnd w:id="160"/>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161" w:name="_Toc82075816"/>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lastRenderedPageBreak/>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2021</w:t>
            </w:r>
          </w:p>
        </w:tc>
        <w:tc>
          <w:tcPr>
            <w:tcW w:w="1276" w:type="dxa"/>
            <w:tcBorders>
              <w:bottom w:val="single" w:sz="4" w:space="0" w:color="auto"/>
            </w:tcBorders>
            <w:shd w:val="clear" w:color="auto" w:fill="auto"/>
          </w:tcPr>
          <w:p>
            <w:pPr>
              <w:pStyle w:val="nTable"/>
              <w:spacing w:after="40"/>
            </w:pPr>
            <w:r>
              <w:t>SL 2021/161 10 Sep 2021</w:t>
            </w:r>
          </w:p>
        </w:tc>
        <w:tc>
          <w:tcPr>
            <w:tcW w:w="2693" w:type="dxa"/>
            <w:tcBorders>
              <w:bottom w:val="single" w:sz="4" w:space="0" w:color="auto"/>
            </w:tcBorders>
            <w:shd w:val="clear" w:color="auto" w:fill="auto"/>
          </w:tcPr>
          <w:p>
            <w:pPr>
              <w:pStyle w:val="nTable"/>
              <w:spacing w:after="40"/>
            </w:pPr>
            <w:r>
              <w:t>r. 1 and 2: 10 Sep 2021 (see r. 2(a));</w:t>
            </w:r>
            <w:r>
              <w:br/>
              <w:t>Regulations other than r. 1 and 2: 11 Sep 2021 (see r. 2(b))</w:t>
            </w:r>
          </w:p>
        </w:tc>
      </w:tr>
    </w:tbl>
    <w:p>
      <w:pPr>
        <w:pStyle w:val="nHeading3"/>
      </w:pPr>
      <w:bookmarkStart w:id="162" w:name="_Toc82075817"/>
      <w:r>
        <w:t>Other notes</w:t>
      </w:r>
      <w:bookmarkEnd w:id="162"/>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64" w:name="_Toc82011531"/>
      <w:bookmarkStart w:id="165" w:name="_Toc82074583"/>
      <w:bookmarkStart w:id="166" w:name="_Toc82075818"/>
      <w:r>
        <w:rPr>
          <w:sz w:val="28"/>
        </w:rPr>
        <w:lastRenderedPageBreak/>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lastRenderedPageBreak/>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54816"/>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1884-4F9C-46B7-A8E8-A62DD2EA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26506</Words>
  <Characters>123258</Characters>
  <Application>Microsoft Office Word</Application>
  <DocSecurity>0</DocSecurity>
  <Lines>3735</Lines>
  <Paragraphs>2202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1958 - 16-s0-00</dc:title>
  <dc:subject/>
  <dc:creator/>
  <cp:keywords/>
  <dc:description/>
  <cp:lastModifiedBy>Master Repository Process</cp:lastModifiedBy>
  <cp:revision>4</cp:revision>
  <cp:lastPrinted>2018-12-03T07:06:00Z</cp:lastPrinted>
  <dcterms:created xsi:type="dcterms:W3CDTF">2021-09-10T01:33:00Z</dcterms:created>
  <dcterms:modified xsi:type="dcterms:W3CDTF">2021-09-10T01:33:00Z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11 Sep 2021</vt:lpwstr>
  </property>
  <property fmtid="{D5CDD505-2E9C-101B-9397-08002B2CF9AE}" pid="8" name="Suffix">
    <vt:lpwstr>16-s0-00</vt:lpwstr>
  </property>
  <property fmtid="{D5CDD505-2E9C-101B-9397-08002B2CF9AE}" pid="9" name="CommencementDate">
    <vt:lpwstr>20210911</vt:lpwstr>
  </property>
</Properties>
</file>