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_Toc82000882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_Toc82000883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_Toc82000884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_Toc82000885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_Toc82000888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_Toc82000889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_Toc82000891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_Toc82000892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_Toc82000893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_Toc82000895 \h </w:instrText>
      </w:r>
      <w:r>
        <w:fldChar w:fldCharType="separate"/>
      </w:r>
      <w:r>
        <w:t>9</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_Toc82000896 \h </w:instrText>
      </w:r>
      <w:r>
        <w:fldChar w:fldCharType="separate"/>
      </w:r>
      <w:r>
        <w:t>14</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_Toc82000897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_Toc82000898 \h </w:instrText>
      </w:r>
      <w:r>
        <w:fldChar w:fldCharType="separate"/>
      </w:r>
      <w:r>
        <w:t>18</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_Toc82000899 \h </w:instrText>
      </w:r>
      <w:r>
        <w:fldChar w:fldCharType="separate"/>
      </w:r>
      <w:r>
        <w:t>21</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_Toc82000900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_Toc82000901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_Toc82000902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_Toc82000904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_Toc82000905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_Toc82000906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_Toc82000907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_Toc82000909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_Toc82000910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_Toc82000912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_Toc82000913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_Toc82000914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_Toc82000915 \h </w:instrText>
      </w:r>
      <w:r>
        <w:fldChar w:fldCharType="separate"/>
      </w:r>
      <w:r>
        <w:t>48</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_Toc82000916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_Toc82000920 \h </w:instrText>
      </w:r>
      <w:r>
        <w:fldChar w:fldCharType="separate"/>
      </w:r>
      <w:r>
        <w:t>117</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_Toc82000921 \h </w:instrText>
      </w:r>
      <w:r>
        <w:fldChar w:fldCharType="separate"/>
      </w:r>
      <w:r>
        <w:t>118</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_Toc82000922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_Toc82000924 \h </w:instrText>
      </w:r>
      <w:r>
        <w:fldChar w:fldCharType="separate"/>
      </w:r>
      <w:r>
        <w:t>120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_Toc82000925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_Toc82000926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3" w:name="_Toc81918521"/>
      <w:bookmarkStart w:id="4" w:name="_Toc81918714"/>
      <w:bookmarkStart w:id="5" w:name="_Toc82000881"/>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82000882"/>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8200088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82000884"/>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82000885"/>
      <w:r>
        <w:rPr>
          <w:rStyle w:val="CharSectno"/>
        </w:rPr>
        <w:lastRenderedPageBreak/>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81918526"/>
      <w:bookmarkStart w:id="11" w:name="_Toc81918719"/>
      <w:bookmarkStart w:id="12" w:name="_Toc82000886"/>
      <w:r>
        <w:rPr>
          <w:rStyle w:val="CharPartNo"/>
        </w:rPr>
        <w:lastRenderedPageBreak/>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81918527"/>
      <w:bookmarkStart w:id="14" w:name="_Toc81918720"/>
      <w:bookmarkStart w:id="15" w:name="_Toc82000887"/>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82000888"/>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lastRenderedPageBreak/>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17" w:name="_Toc82000889"/>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81918530"/>
      <w:bookmarkStart w:id="19" w:name="_Toc81918723"/>
      <w:bookmarkStart w:id="20" w:name="_Toc82000890"/>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82000891"/>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lastRenderedPageBreak/>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82000892"/>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82000893"/>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lastRenderedPageBreak/>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lastRenderedPageBreak/>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lastRenderedPageBreak/>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24" w:name="_Toc81918534"/>
      <w:bookmarkStart w:id="25" w:name="_Toc81918727"/>
      <w:bookmarkStart w:id="26" w:name="_Toc82000894"/>
      <w:r>
        <w:rPr>
          <w:rStyle w:val="CharDivNo"/>
        </w:rPr>
        <w:t>Division 3</w:t>
      </w:r>
      <w:r>
        <w:t> — </w:t>
      </w:r>
      <w:r>
        <w:rPr>
          <w:rStyle w:val="CharDivText"/>
        </w:rPr>
        <w:t>Matters to be included in residence contract</w:t>
      </w:r>
      <w:bookmarkEnd w:id="24"/>
      <w:bookmarkEnd w:id="25"/>
      <w:bookmarkEnd w:id="26"/>
    </w:p>
    <w:p>
      <w:pPr>
        <w:pStyle w:val="Footnoteheading"/>
        <w:keepNext/>
      </w:pPr>
      <w:r>
        <w:tab/>
        <w:t>[Heading inserted: Gazette 24 Mar 2015 p. 999.]</w:t>
      </w:r>
    </w:p>
    <w:p>
      <w:pPr>
        <w:pStyle w:val="Heading5"/>
      </w:pPr>
      <w:bookmarkStart w:id="27" w:name="_Toc82000895"/>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lastRenderedPageBreak/>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lastRenderedPageBreak/>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lastRenderedPageBreak/>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28" w:name="_Toc82000896"/>
      <w:r>
        <w:rPr>
          <w:rStyle w:val="CharSectno"/>
        </w:rPr>
        <w:lastRenderedPageBreak/>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lastRenderedPageBreak/>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82000897"/>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lastRenderedPageBreak/>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82000898"/>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lastRenderedPageBreak/>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82000899"/>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lastRenderedPageBreak/>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32" w:name="_Toc82000900"/>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lastRenderedPageBreak/>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lastRenderedPageBreak/>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82000901"/>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lastRenderedPageBreak/>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82000902"/>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lastRenderedPageBreak/>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35" w:name="_Toc81918543"/>
      <w:bookmarkStart w:id="36" w:name="_Toc81918736"/>
      <w:bookmarkStart w:id="37" w:name="_Toc82000903"/>
      <w:r>
        <w:rPr>
          <w:rStyle w:val="CharDivNo"/>
        </w:rPr>
        <w:lastRenderedPageBreak/>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82000904"/>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lastRenderedPageBreak/>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82000905"/>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82000906"/>
      <w:r>
        <w:rPr>
          <w:rStyle w:val="CharSectno"/>
        </w:rPr>
        <w:lastRenderedPageBreak/>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82000907"/>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81918548"/>
      <w:bookmarkStart w:id="43" w:name="_Toc81918741"/>
      <w:bookmarkStart w:id="44" w:name="_Toc82000908"/>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82000909"/>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82000910"/>
      <w:r>
        <w:rPr>
          <w:rStyle w:val="CharSectno"/>
        </w:rPr>
        <w:lastRenderedPageBreak/>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81918551"/>
      <w:bookmarkStart w:id="48" w:name="_Toc81918744"/>
      <w:bookmarkStart w:id="49" w:name="_Toc82000911"/>
      <w:r>
        <w:rPr>
          <w:rStyle w:val="CharPartNo"/>
        </w:rPr>
        <w:lastRenderedPageBreak/>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82000912"/>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lastRenderedPageBreak/>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lastRenderedPageBreak/>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lastRenderedPageBreak/>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82000913"/>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82000914"/>
      <w:r>
        <w:rPr>
          <w:rStyle w:val="CharSectno"/>
        </w:rPr>
        <w:lastRenderedPageBreak/>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lastRenderedPageBreak/>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82000915"/>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lastRenderedPageBreak/>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54" w:name="_Toc82000916"/>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lastRenderedPageBreak/>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81918557"/>
      <w:bookmarkStart w:id="57" w:name="_Toc81918750"/>
      <w:bookmarkStart w:id="58" w:name="_Toc82000917"/>
      <w:bookmarkEnd w:id="55"/>
      <w:r>
        <w:rPr>
          <w:rStyle w:val="CharSchNo"/>
        </w:rPr>
        <w:lastRenderedPageBreak/>
        <w:t>Schedule 1</w:t>
      </w:r>
      <w:bookmarkEnd w:id="56"/>
      <w:bookmarkEnd w:id="57"/>
      <w:bookmarkEnd w:id="58"/>
    </w:p>
    <w:p>
      <w:pPr>
        <w:pStyle w:val="yHeading2"/>
        <w:outlineLvl w:val="9"/>
        <w:rPr>
          <w:b w:val="0"/>
          <w:snapToGrid/>
          <w:sz w:val="24"/>
        </w:rPr>
      </w:pPr>
      <w:bookmarkStart w:id="59" w:name="_Toc81918558"/>
      <w:bookmarkStart w:id="60" w:name="_Toc81918751"/>
      <w:bookmarkStart w:id="61" w:name="_Toc82000918"/>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lastRenderedPageBreak/>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lastRenderedPageBreak/>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lastRenderedPageBreak/>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lastRenderedPageBreak/>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lastRenderedPageBreak/>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lastRenderedPageBreak/>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lastRenderedPageBreak/>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lastRenderedPageBreak/>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lastRenderedPageBreak/>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lastRenderedPageBreak/>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lastRenderedPageBreak/>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lastRenderedPageBreak/>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lastRenderedPageBreak/>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lastRenderedPageBreak/>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lastRenderedPageBreak/>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lastRenderedPageBreak/>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lastRenderedPageBreak/>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lastRenderedPageBreak/>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lastRenderedPageBreak/>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lastRenderedPageBreak/>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 xml:space="preserve">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lastRenderedPageBreak/>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lastRenderedPageBreak/>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lastRenderedPageBreak/>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w:t>
      </w:r>
    </w:p>
    <w:p>
      <w:pPr>
        <w:pStyle w:val="yMiscellaneousHeading"/>
        <w:pageBreakBefore/>
        <w:rPr>
          <w:b/>
        </w:rPr>
      </w:pPr>
      <w:r>
        <w:rPr>
          <w:b/>
        </w:rPr>
        <w:lastRenderedPageBreak/>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lastRenderedPageBreak/>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lastRenderedPageBreak/>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lastRenderedPageBreak/>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lastRenderedPageBreak/>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lastRenderedPageBreak/>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lastRenderedPageBreak/>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lastRenderedPageBreak/>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lastRenderedPageBreak/>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lastRenderedPageBreak/>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lastRenderedPageBreak/>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lastRenderedPageBreak/>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lastRenderedPageBreak/>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3" w:name="_Toc81918559"/>
      <w:bookmarkStart w:id="64" w:name="_Toc81918752"/>
      <w:bookmarkStart w:id="65" w:name="_Toc82000919"/>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82000920"/>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82000921"/>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82000922"/>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9" w:name="_Toc81918563"/>
      <w:bookmarkStart w:id="70" w:name="_Toc81918756"/>
      <w:bookmarkStart w:id="71" w:name="_Toc82000923"/>
      <w:r>
        <w:lastRenderedPageBreak/>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82000924"/>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73" w:name="_Toc82000925"/>
      <w:r>
        <w:lastRenderedPageBreak/>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Retirement Villages Amendment Regulations (No. 2) 2021</w:t>
            </w:r>
            <w:r>
              <w:t xml:space="preserve"> </w:t>
            </w:r>
            <w:r>
              <w:rPr>
                <w:noProof/>
              </w:rPr>
              <w:t>r. 3</w:t>
            </w:r>
            <w:r>
              <w:rPr>
                <w:noProof/>
              </w:rPr>
              <w:noBreakHyphen/>
              <w:t>6</w:t>
            </w:r>
          </w:p>
        </w:tc>
        <w:tc>
          <w:tcPr>
            <w:tcW w:w="1276" w:type="dxa"/>
          </w:tcPr>
          <w:p>
            <w:pPr>
              <w:pStyle w:val="nTable"/>
              <w:spacing w:after="40"/>
            </w:pPr>
            <w:r>
              <w:t>SL 2021/158 10 Sep 2021</w:t>
            </w:r>
          </w:p>
        </w:tc>
        <w:tc>
          <w:tcPr>
            <w:tcW w:w="2693" w:type="dxa"/>
          </w:tcPr>
          <w:p>
            <w:pPr>
              <w:pStyle w:val="nTable"/>
              <w:spacing w:after="40"/>
            </w:pPr>
            <w:r>
              <w:t>1 Oct 2021 (see r. 2(b))</w:t>
            </w:r>
          </w:p>
        </w:tc>
      </w:tr>
    </w:tbl>
    <w:p>
      <w:pPr>
        <w:pStyle w:val="nHeading3"/>
      </w:pPr>
      <w:bookmarkStart w:id="74" w:name="_Toc82000926"/>
      <w:r>
        <w:t>Other notes</w:t>
      </w:r>
      <w:bookmarkEnd w:id="74"/>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6" w:name="_Toc81918566"/>
      <w:bookmarkStart w:id="77" w:name="_Toc81918760"/>
      <w:bookmarkStart w:id="78" w:name="_Toc82000927"/>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belongs</w:t>
      </w:r>
      <w:r>
        <w:tab/>
        <w:t>6(3)</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community corporation</w:t>
      </w:r>
      <w:r>
        <w:tab/>
        <w:t>6(3)</w:t>
      </w:r>
    </w:p>
    <w:p>
      <w:pPr>
        <w:pStyle w:val="DefinedTerms"/>
      </w:pPr>
      <w:r>
        <w:t>community titles scheme</w:t>
      </w:r>
      <w:r>
        <w:tab/>
        <w:t>6(3)</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scheme by-laws</w:t>
      </w:r>
      <w:r>
        <w:tab/>
        <w:t>6(3)</w:t>
      </w:r>
    </w:p>
    <w:p>
      <w:pPr>
        <w:pStyle w:val="DefinedTerms"/>
      </w:pPr>
      <w:r>
        <w:t>scheme plan</w:t>
      </w:r>
      <w:r>
        <w:tab/>
        <w:t>6(3)</w:t>
      </w:r>
    </w:p>
    <w:p>
      <w:pPr>
        <w:pStyle w:val="DefinedTerms"/>
      </w:pPr>
      <w:r>
        <w:t>security interest</w:t>
      </w:r>
      <w:r>
        <w:tab/>
        <w:t>11(1)</w:t>
      </w:r>
    </w:p>
    <w:p>
      <w:pPr>
        <w:pStyle w:val="DefinedTerms"/>
      </w:pPr>
      <w:r>
        <w:t>short-term residence contract</w:t>
      </w:r>
      <w:r>
        <w:tab/>
        <w:t>4A</w:t>
      </w:r>
    </w:p>
    <w:p>
      <w:pPr>
        <w:pStyle w:val="DefinedTerms"/>
      </w:pPr>
      <w:r>
        <w:t>short-term section 13 statement</w:t>
      </w:r>
      <w:r>
        <w:tab/>
        <w:t>13(1)</w:t>
      </w:r>
    </w:p>
    <w:p>
      <w:pPr>
        <w:pStyle w:val="DefinedTerms"/>
      </w:pPr>
      <w:r>
        <w:t>special resolution</w:t>
      </w:r>
      <w:r>
        <w:tab/>
        <w:t>11(1)</w:t>
      </w:r>
    </w:p>
    <w:p>
      <w:pPr>
        <w:pStyle w:val="DefinedTerms"/>
      </w:pPr>
      <w:r>
        <w:t>specified</w:t>
      </w:r>
      <w:r>
        <w:tab/>
        <w:t>4A</w:t>
      </w:r>
    </w:p>
    <w:p>
      <w:pPr>
        <w:pStyle w:val="DefinedTerms"/>
      </w:pPr>
      <w:r>
        <w:t>tier 2 scheme</w:t>
      </w:r>
      <w:r>
        <w:tab/>
        <w:t>6(3)</w:t>
      </w:r>
    </w:p>
    <w:p>
      <w:pPr>
        <w:pStyle w:val="DefinedTerms"/>
      </w:pPr>
      <w:r>
        <w:t>tier 3 scheme</w:t>
      </w:r>
      <w:r>
        <w:tab/>
        <w:t>6(3)</w:t>
      </w:r>
    </w:p>
    <w:p>
      <w:pPr>
        <w:pStyle w:val="DefinedTerms"/>
      </w:pPr>
      <w:r>
        <w:t>transitional period</w:t>
      </w:r>
      <w:r>
        <w:tab/>
        <w:t>13(1)</w:t>
      </w:r>
    </w:p>
    <w:p>
      <w:pPr>
        <w:pStyle w:val="DefinedTerms"/>
      </w:pPr>
      <w:r>
        <w:lastRenderedPageBreak/>
        <w:t>urgent repair</w:t>
      </w:r>
      <w:r>
        <w:tab/>
        <w:t>7H(1)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4470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F990-0CD0-4141-9A71-17244990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21831</Words>
  <Characters>112215</Characters>
  <Application>Microsoft Office Word</Application>
  <DocSecurity>0</DocSecurity>
  <Lines>4878</Lines>
  <Paragraphs>2437</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1992 - 02-r0-00</dc:title>
  <dc:subject/>
  <dc:creator/>
  <cp:keywords/>
  <dc:description/>
  <cp:lastModifiedBy>Master Repository Process</cp:lastModifiedBy>
  <cp:revision>4</cp:revision>
  <cp:lastPrinted>2017-02-16T08:31:00Z</cp:lastPrinted>
  <dcterms:created xsi:type="dcterms:W3CDTF">2021-09-10T01:35:00Z</dcterms:created>
  <dcterms:modified xsi:type="dcterms:W3CDTF">2021-09-10T01:36:00Z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10 Sep 2021</vt:lpwstr>
  </property>
  <property fmtid="{D5CDD505-2E9C-101B-9397-08002B2CF9AE}" pid="8" name="Suffix">
    <vt:lpwstr>02-r0-00</vt:lpwstr>
  </property>
  <property fmtid="{D5CDD505-2E9C-101B-9397-08002B2CF9AE}" pid="9" name="CommencementDate">
    <vt:lpwstr>20210910</vt:lpwstr>
  </property>
</Properties>
</file>