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7155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Regulations 1989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_Toc82689605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_Toc82689606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prescribed etc. (Sch. 1)</w:t>
      </w:r>
      <w:r>
        <w:tab/>
      </w:r>
      <w:r>
        <w:fldChar w:fldCharType="begin"/>
      </w:r>
      <w:r>
        <w:instrText xml:space="preserve"> PAGEREF _Toc82689607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Terms used</w:t>
      </w:r>
      <w:r>
        <w:tab/>
      </w:r>
      <w:r>
        <w:fldChar w:fldCharType="begin"/>
      </w:r>
      <w:r>
        <w:instrText xml:space="preserve"> PAGEREF _Toc82689608 \h </w:instrText>
      </w:r>
      <w:r>
        <w:fldChar w:fldCharType="separate"/>
      </w:r>
      <w:r>
        <w:t>2</w:t>
      </w:r>
      <w:r>
        <w:fldChar w:fldCharType="end"/>
      </w:r>
    </w:p>
    <w:p>
      <w:pPr>
        <w:pStyle w:val="TOC8"/>
        <w:rPr>
          <w:rFonts w:asciiTheme="minorHAnsi" w:eastAsiaTheme="minorEastAsia" w:hAnsiTheme="minorHAnsi" w:cstheme="minorBidi"/>
          <w:szCs w:val="22"/>
        </w:rPr>
      </w:pPr>
      <w:r>
        <w:t>3AB.</w:t>
      </w:r>
      <w:r>
        <w:tab/>
        <w:t xml:space="preserve">Kind of liquor prescribed (mist containing ethanol) (Act s. 3(1) </w:t>
      </w:r>
      <w:r>
        <w:rPr>
          <w:i/>
        </w:rPr>
        <w:t>kind</w:t>
      </w:r>
      <w:r>
        <w:t>)</w:t>
      </w:r>
      <w:r>
        <w:tab/>
      </w:r>
      <w:r>
        <w:fldChar w:fldCharType="begin"/>
      </w:r>
      <w:r>
        <w:instrText xml:space="preserve"> PAGEREF _Toc82689609 \h </w:instrText>
      </w:r>
      <w:r>
        <w:fldChar w:fldCharType="separate"/>
      </w:r>
      <w:r>
        <w:t>4</w:t>
      </w:r>
      <w:r>
        <w:fldChar w:fldCharType="end"/>
      </w:r>
    </w:p>
    <w:p>
      <w:pPr>
        <w:pStyle w:val="TOC8"/>
        <w:rPr>
          <w:rFonts w:asciiTheme="minorHAnsi" w:eastAsiaTheme="minorEastAsia" w:hAnsiTheme="minorHAnsi" w:cstheme="minorBidi"/>
          <w:szCs w:val="22"/>
        </w:rPr>
      </w:pPr>
      <w:r>
        <w:t>3AC.</w:t>
      </w:r>
      <w:r>
        <w:tab/>
        <w:t xml:space="preserve">Kind of liquor prescribed (aerosol containing ethanol) (Act s. 3(1) </w:t>
      </w:r>
      <w:r>
        <w:rPr>
          <w:i/>
        </w:rPr>
        <w:t>kind</w:t>
      </w:r>
      <w:r>
        <w:t>)</w:t>
      </w:r>
      <w:r>
        <w:tab/>
      </w:r>
      <w:r>
        <w:fldChar w:fldCharType="begin"/>
      </w:r>
      <w:r>
        <w:instrText xml:space="preserve"> PAGEREF _Toc82689610 \h </w:instrText>
      </w:r>
      <w:r>
        <w:fldChar w:fldCharType="separate"/>
      </w:r>
      <w:r>
        <w:t>4</w:t>
      </w:r>
      <w:r>
        <w:fldChar w:fldCharType="end"/>
      </w:r>
    </w:p>
    <w:p>
      <w:pPr>
        <w:pStyle w:val="TOC8"/>
        <w:rPr>
          <w:rFonts w:asciiTheme="minorHAnsi" w:eastAsiaTheme="minorEastAsia" w:hAnsiTheme="minorHAnsi" w:cstheme="minorBidi"/>
          <w:szCs w:val="22"/>
        </w:rPr>
      </w:pPr>
      <w:r>
        <w:t>3AD.</w:t>
      </w:r>
      <w:r>
        <w:tab/>
        <w:t xml:space="preserve">Kind of liquor prescribed (powdered alcohol) (Act s. 3(1) </w:t>
      </w:r>
      <w:r>
        <w:rPr>
          <w:i/>
        </w:rPr>
        <w:t>kind</w:t>
      </w:r>
      <w:r>
        <w:t>)</w:t>
      </w:r>
      <w:r>
        <w:tab/>
      </w:r>
      <w:r>
        <w:fldChar w:fldCharType="begin"/>
      </w:r>
      <w:r>
        <w:instrText xml:space="preserve"> PAGEREF _Toc82689611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Level prescribed </w:t>
      </w:r>
      <w:r>
        <w:t xml:space="preserve">(Act s. 3(1) </w:t>
      </w:r>
      <w:r>
        <w:rPr>
          <w:i/>
        </w:rPr>
        <w:t>low alcohol liquor</w:t>
      </w:r>
      <w:r>
        <w:t>)</w:t>
      </w:r>
      <w:r>
        <w:tab/>
      </w:r>
      <w:r>
        <w:fldChar w:fldCharType="begin"/>
      </w:r>
      <w:r>
        <w:instrText xml:space="preserve"> PAGEREF _Toc82689612 \h </w:instrText>
      </w:r>
      <w:r>
        <w:fldChar w:fldCharType="separate"/>
      </w:r>
      <w:r>
        <w:t>4</w:t>
      </w:r>
      <w:r>
        <w:fldChar w:fldCharType="end"/>
      </w:r>
    </w:p>
    <w:p>
      <w:pPr>
        <w:pStyle w:val="TOC8"/>
        <w:rPr>
          <w:rFonts w:asciiTheme="minorHAnsi" w:eastAsiaTheme="minorEastAsia" w:hAnsiTheme="minorHAnsi" w:cstheme="minorBidi"/>
          <w:szCs w:val="22"/>
        </w:rPr>
      </w:pPr>
      <w:r>
        <w:t>4AA</w:t>
      </w:r>
      <w:r>
        <w:rPr>
          <w:snapToGrid w:val="0"/>
        </w:rPr>
        <w:t>.</w:t>
      </w:r>
      <w:r>
        <w:rPr>
          <w:snapToGrid w:val="0"/>
        </w:rPr>
        <w:tab/>
      </w:r>
      <w:r>
        <w:t>P</w:t>
      </w:r>
      <w:r>
        <w:rPr>
          <w:snapToGrid w:val="0"/>
        </w:rPr>
        <w:t xml:space="preserve">roportion of ethanol prescribed </w:t>
      </w:r>
      <w:r>
        <w:t xml:space="preserve">(Act s. 3(1) </w:t>
      </w:r>
      <w:r>
        <w:rPr>
          <w:i/>
        </w:rPr>
        <w:t>liquor</w:t>
      </w:r>
      <w:r>
        <w:t>)</w:t>
      </w:r>
      <w:r>
        <w:tab/>
      </w:r>
      <w:r>
        <w:fldChar w:fldCharType="begin"/>
      </w:r>
      <w:r>
        <w:instrText xml:space="preserve"> PAGEREF _Toc82689613 \h </w:instrText>
      </w:r>
      <w:r>
        <w:fldChar w:fldCharType="separate"/>
      </w:r>
      <w:r>
        <w:t>5</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Substances prescribed (food items) </w:t>
      </w:r>
      <w:r>
        <w:t xml:space="preserve">(Act s. 3(1) </w:t>
      </w:r>
      <w:r>
        <w:rPr>
          <w:i/>
        </w:rPr>
        <w:t>liquor</w:t>
      </w:r>
      <w:r>
        <w:t>)</w:t>
      </w:r>
      <w:r>
        <w:tab/>
      </w:r>
      <w:r>
        <w:fldChar w:fldCharType="begin"/>
      </w:r>
      <w:r>
        <w:instrText xml:space="preserve"> PAGEREF _Toc82689614 \h </w:instrText>
      </w:r>
      <w:r>
        <w:fldChar w:fldCharType="separate"/>
      </w:r>
      <w:r>
        <w:t>5</w:t>
      </w:r>
      <w:r>
        <w:fldChar w:fldCharType="end"/>
      </w:r>
    </w:p>
    <w:p>
      <w:pPr>
        <w:pStyle w:val="TOC8"/>
        <w:rPr>
          <w:rFonts w:asciiTheme="minorHAnsi" w:eastAsiaTheme="minorEastAsia" w:hAnsiTheme="minorHAnsi" w:cstheme="minorBidi"/>
          <w:szCs w:val="22"/>
        </w:rPr>
      </w:pPr>
      <w:r>
        <w:t>4AB.</w:t>
      </w:r>
      <w:r>
        <w:tab/>
        <w:t>Substance prescribed (mist containing ethanol) (Act s. 3(1) </w:t>
      </w:r>
      <w:r>
        <w:rPr>
          <w:i/>
        </w:rPr>
        <w:t>liquor</w:t>
      </w:r>
      <w:r>
        <w:t>)</w:t>
      </w:r>
      <w:r>
        <w:tab/>
      </w:r>
      <w:r>
        <w:fldChar w:fldCharType="begin"/>
      </w:r>
      <w:r>
        <w:instrText xml:space="preserve"> PAGEREF _Toc82689615 \h </w:instrText>
      </w:r>
      <w:r>
        <w:fldChar w:fldCharType="separate"/>
      </w:r>
      <w:r>
        <w:t>6</w:t>
      </w:r>
      <w:r>
        <w:fldChar w:fldCharType="end"/>
      </w:r>
    </w:p>
    <w:p>
      <w:pPr>
        <w:pStyle w:val="TOC8"/>
        <w:rPr>
          <w:rFonts w:asciiTheme="minorHAnsi" w:eastAsiaTheme="minorEastAsia" w:hAnsiTheme="minorHAnsi" w:cstheme="minorBidi"/>
          <w:szCs w:val="22"/>
        </w:rPr>
      </w:pPr>
      <w:r>
        <w:t>4AC.</w:t>
      </w:r>
      <w:r>
        <w:tab/>
        <w:t xml:space="preserve">Substance prescribed (aerosol containing ethanol) (Act s. 3(1) </w:t>
      </w:r>
      <w:r>
        <w:rPr>
          <w:i/>
        </w:rPr>
        <w:t>liquor</w:t>
      </w:r>
      <w:r>
        <w:t>)</w:t>
      </w:r>
      <w:r>
        <w:tab/>
      </w:r>
      <w:r>
        <w:fldChar w:fldCharType="begin"/>
      </w:r>
      <w:r>
        <w:instrText xml:space="preserve"> PAGEREF _Toc82689616 \h </w:instrText>
      </w:r>
      <w:r>
        <w:fldChar w:fldCharType="separate"/>
      </w:r>
      <w:r>
        <w:t>6</w:t>
      </w:r>
      <w:r>
        <w:fldChar w:fldCharType="end"/>
      </w:r>
    </w:p>
    <w:p>
      <w:pPr>
        <w:pStyle w:val="TOC8"/>
        <w:rPr>
          <w:rFonts w:asciiTheme="minorHAnsi" w:eastAsiaTheme="minorEastAsia" w:hAnsiTheme="minorHAnsi" w:cstheme="minorBidi"/>
          <w:szCs w:val="22"/>
        </w:rPr>
      </w:pPr>
      <w:r>
        <w:t>4AD.</w:t>
      </w:r>
      <w:r>
        <w:tab/>
        <w:t xml:space="preserve">Substance prescribed (powdered alcohol) (Act s. 3(1) </w:t>
      </w:r>
      <w:r>
        <w:rPr>
          <w:i/>
        </w:rPr>
        <w:t>liquor</w:t>
      </w:r>
      <w:r>
        <w:t>)</w:t>
      </w:r>
      <w:r>
        <w:tab/>
      </w:r>
      <w:r>
        <w:fldChar w:fldCharType="begin"/>
      </w:r>
      <w:r>
        <w:instrText xml:space="preserve"> PAGEREF _Toc82689617 \h </w:instrText>
      </w:r>
      <w:r>
        <w:fldChar w:fldCharType="separate"/>
      </w:r>
      <w:r>
        <w:t>6</w:t>
      </w:r>
      <w:r>
        <w:fldChar w:fldCharType="end"/>
      </w:r>
    </w:p>
    <w:p>
      <w:pPr>
        <w:pStyle w:val="TOC8"/>
        <w:rPr>
          <w:rFonts w:asciiTheme="minorHAnsi" w:eastAsiaTheme="minorEastAsia" w:hAnsiTheme="minorHAnsi" w:cstheme="minorBidi"/>
          <w:szCs w:val="22"/>
        </w:rPr>
      </w:pPr>
      <w:r>
        <w:t>4AE.</w:t>
      </w:r>
      <w:r>
        <w:tab/>
        <w:t>Substance prescribed (liqueur chocolate) (Act s. 3(1) liquor)</w:t>
      </w:r>
      <w:r>
        <w:tab/>
      </w:r>
      <w:r>
        <w:fldChar w:fldCharType="begin"/>
      </w:r>
      <w:r>
        <w:instrText xml:space="preserve"> PAGEREF _Toc82689618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r>
        <w:tab/>
      </w:r>
      <w:r>
        <w:fldChar w:fldCharType="begin"/>
      </w:r>
      <w:r>
        <w:instrText xml:space="preserve"> PAGEREF _Toc82689619 \h </w:instrText>
      </w:r>
      <w:r>
        <w:fldChar w:fldCharType="separate"/>
      </w:r>
      <w:r>
        <w:t>7</w:t>
      </w:r>
      <w:r>
        <w:fldChar w:fldCharType="end"/>
      </w:r>
    </w:p>
    <w:p>
      <w:pPr>
        <w:pStyle w:val="TOC8"/>
        <w:rPr>
          <w:rFonts w:asciiTheme="minorHAnsi" w:eastAsiaTheme="minorEastAsia" w:hAnsiTheme="minorHAnsi" w:cstheme="minorBidi"/>
          <w:szCs w:val="22"/>
        </w:rPr>
      </w:pPr>
      <w:r>
        <w:t>5A.</w:t>
      </w:r>
      <w:r>
        <w:tab/>
        <w:t xml:space="preserve">Quantities prescribed </w:t>
      </w:r>
      <w:r>
        <w:rPr>
          <w:snapToGrid w:val="0"/>
        </w:rPr>
        <w:t>(Act s.</w:t>
      </w:r>
      <w:r>
        <w:t xml:space="preserve"> 3(1) </w:t>
      </w:r>
      <w:r>
        <w:rPr>
          <w:i/>
        </w:rPr>
        <w:t>sample</w:t>
      </w:r>
      <w:r>
        <w:t>)</w:t>
      </w:r>
      <w:r>
        <w:tab/>
      </w:r>
      <w:r>
        <w:fldChar w:fldCharType="begin"/>
      </w:r>
      <w:r>
        <w:instrText xml:space="preserve"> PAGEREF _Toc82689620 \h </w:instrText>
      </w:r>
      <w:r>
        <w:fldChar w:fldCharType="separate"/>
      </w:r>
      <w:r>
        <w:t>9</w:t>
      </w:r>
      <w:r>
        <w:fldChar w:fldCharType="end"/>
      </w:r>
    </w:p>
    <w:p>
      <w:pPr>
        <w:pStyle w:val="TOC8"/>
        <w:rPr>
          <w:rFonts w:asciiTheme="minorHAnsi" w:eastAsiaTheme="minorEastAsia" w:hAnsiTheme="minorHAnsi" w:cstheme="minorBidi"/>
          <w:szCs w:val="22"/>
        </w:rPr>
      </w:pPr>
      <w:r>
        <w:t>5B.</w:t>
      </w:r>
      <w:r>
        <w:tab/>
        <w:t xml:space="preserve">Positions of authority in body corporate prescribed </w:t>
      </w:r>
      <w:r>
        <w:rPr>
          <w:snapToGrid w:val="0"/>
        </w:rPr>
        <w:t>(Act s.</w:t>
      </w:r>
      <w:r>
        <w:t> 3(4)(d))</w:t>
      </w:r>
      <w:r>
        <w:tab/>
      </w:r>
      <w:r>
        <w:fldChar w:fldCharType="begin"/>
      </w:r>
      <w:r>
        <w:instrText xml:space="preserve"> PAGEREF _Toc82689621 \h </w:instrText>
      </w:r>
      <w:r>
        <w:fldChar w:fldCharType="separate"/>
      </w:r>
      <w:r>
        <w:t>9</w:t>
      </w:r>
      <w:r>
        <w:fldChar w:fldCharType="end"/>
      </w:r>
    </w:p>
    <w:p>
      <w:pPr>
        <w:pStyle w:val="TOC8"/>
        <w:rPr>
          <w:rFonts w:asciiTheme="minorHAnsi" w:eastAsiaTheme="minorEastAsia" w:hAnsiTheme="minorHAnsi" w:cstheme="minorBidi"/>
          <w:szCs w:val="22"/>
        </w:rPr>
      </w:pPr>
      <w:r>
        <w:lastRenderedPageBreak/>
        <w:t>5C.</w:t>
      </w:r>
      <w:r>
        <w:tab/>
        <w:t>Types of special facility licence prescribed (Act s. 4(6))</w:t>
      </w:r>
      <w:r>
        <w:tab/>
      </w:r>
      <w:r>
        <w:fldChar w:fldCharType="begin"/>
      </w:r>
      <w:r>
        <w:instrText xml:space="preserve"> PAGEREF _Toc82689622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Approved courses (Act s. 6(1)(c))</w:t>
      </w:r>
      <w:r>
        <w:tab/>
      </w:r>
      <w:r>
        <w:fldChar w:fldCharType="begin"/>
      </w:r>
      <w:r>
        <w:instrText xml:space="preserve"> PAGEREF _Toc82689623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 from Act, certain sales etc.</w:t>
      </w:r>
      <w:r>
        <w:tab/>
      </w:r>
      <w:r>
        <w:fldChar w:fldCharType="begin"/>
      </w:r>
      <w:r>
        <w:instrText xml:space="preserve"> PAGEREF _Toc82689624 \h </w:instrText>
      </w:r>
      <w:r>
        <w:fldChar w:fldCharType="separate"/>
      </w:r>
      <w:r>
        <w:t>11</w:t>
      </w:r>
      <w:r>
        <w:fldChar w:fldCharType="end"/>
      </w:r>
    </w:p>
    <w:p>
      <w:pPr>
        <w:pStyle w:val="TOC8"/>
        <w:rPr>
          <w:rFonts w:asciiTheme="minorHAnsi" w:eastAsiaTheme="minorEastAsia" w:hAnsiTheme="minorHAnsi" w:cstheme="minorBidi"/>
          <w:szCs w:val="22"/>
        </w:rPr>
      </w:pPr>
      <w:r>
        <w:t>8A.</w:t>
      </w:r>
      <w:r>
        <w:tab/>
        <w:t>Exemption from Act, consumption at live entertainment venues</w:t>
      </w:r>
      <w:r>
        <w:tab/>
      </w:r>
      <w:r>
        <w:fldChar w:fldCharType="begin"/>
      </w:r>
      <w:r>
        <w:instrText xml:space="preserve"> PAGEREF _Toc82689625 \h </w:instrText>
      </w:r>
      <w:r>
        <w:fldChar w:fldCharType="separate"/>
      </w:r>
      <w:r>
        <w:t>16</w:t>
      </w:r>
      <w:r>
        <w:fldChar w:fldCharType="end"/>
      </w:r>
    </w:p>
    <w:p>
      <w:pPr>
        <w:pStyle w:val="TOC8"/>
        <w:rPr>
          <w:rFonts w:asciiTheme="minorHAnsi" w:eastAsiaTheme="minorEastAsia" w:hAnsiTheme="minorHAnsi" w:cstheme="minorBidi"/>
          <w:szCs w:val="22"/>
        </w:rPr>
      </w:pPr>
      <w:r>
        <w:t>8B.</w:t>
      </w:r>
      <w:r>
        <w:tab/>
        <w:t>Exemption from Act, sales etc. at certain functions</w:t>
      </w:r>
      <w:r>
        <w:tab/>
      </w:r>
      <w:r>
        <w:fldChar w:fldCharType="begin"/>
      </w:r>
      <w:r>
        <w:instrText xml:space="preserve"> PAGEREF _Toc82689626 \h </w:instrText>
      </w:r>
      <w:r>
        <w:fldChar w:fldCharType="separate"/>
      </w:r>
      <w:r>
        <w:t>21</w:t>
      </w:r>
      <w:r>
        <w:fldChar w:fldCharType="end"/>
      </w:r>
    </w:p>
    <w:p>
      <w:pPr>
        <w:pStyle w:val="TOC8"/>
        <w:rPr>
          <w:rFonts w:asciiTheme="minorHAnsi" w:eastAsiaTheme="minorEastAsia" w:hAnsiTheme="minorHAnsi" w:cstheme="minorBidi"/>
          <w:szCs w:val="22"/>
        </w:rPr>
      </w:pPr>
      <w:r>
        <w:t>8C.</w:t>
      </w:r>
      <w:r>
        <w:tab/>
        <w:t>Exemption from Act, complimentary supply by business</w:t>
      </w:r>
      <w:r>
        <w:tab/>
      </w:r>
      <w:r>
        <w:fldChar w:fldCharType="begin"/>
      </w:r>
      <w:r>
        <w:instrText xml:space="preserve"> PAGEREF _Toc82689627 \h </w:instrText>
      </w:r>
      <w:r>
        <w:fldChar w:fldCharType="separate"/>
      </w:r>
      <w:r>
        <w:t>23</w:t>
      </w:r>
      <w:r>
        <w:fldChar w:fldCharType="end"/>
      </w:r>
    </w:p>
    <w:p>
      <w:pPr>
        <w:pStyle w:val="TOC8"/>
        <w:rPr>
          <w:rFonts w:asciiTheme="minorHAnsi" w:eastAsiaTheme="minorEastAsia" w:hAnsiTheme="minorHAnsi" w:cstheme="minorBidi"/>
          <w:szCs w:val="22"/>
        </w:rPr>
      </w:pPr>
      <w:r>
        <w:t>8CA.</w:t>
      </w:r>
      <w:r>
        <w:tab/>
        <w:t>Exemption for complimentary supply by tourism businesses</w:t>
      </w:r>
      <w:r>
        <w:tab/>
      </w:r>
      <w:r>
        <w:fldChar w:fldCharType="begin"/>
      </w:r>
      <w:r>
        <w:instrText xml:space="preserve"> PAGEREF _Toc82689628 \h </w:instrText>
      </w:r>
      <w:r>
        <w:fldChar w:fldCharType="separate"/>
      </w:r>
      <w:r>
        <w:t>23</w:t>
      </w:r>
      <w:r>
        <w:fldChar w:fldCharType="end"/>
      </w:r>
    </w:p>
    <w:p>
      <w:pPr>
        <w:pStyle w:val="TOC8"/>
        <w:rPr>
          <w:rFonts w:asciiTheme="minorHAnsi" w:eastAsiaTheme="minorEastAsia" w:hAnsiTheme="minorHAnsi" w:cstheme="minorBidi"/>
          <w:szCs w:val="22"/>
        </w:rPr>
      </w:pPr>
      <w:r>
        <w:t>8D.</w:t>
      </w:r>
      <w:r>
        <w:tab/>
        <w:t>Exemption from Act, sales etc. at farmers’ markets</w:t>
      </w:r>
      <w:r>
        <w:tab/>
      </w:r>
      <w:r>
        <w:fldChar w:fldCharType="begin"/>
      </w:r>
      <w:r>
        <w:instrText xml:space="preserve"> PAGEREF _Toc82689629 \h </w:instrText>
      </w:r>
      <w:r>
        <w:fldChar w:fldCharType="separate"/>
      </w:r>
      <w:r>
        <w:t>25</w:t>
      </w:r>
      <w:r>
        <w:fldChar w:fldCharType="end"/>
      </w:r>
    </w:p>
    <w:p>
      <w:pPr>
        <w:pStyle w:val="TOC8"/>
        <w:rPr>
          <w:rFonts w:asciiTheme="minorHAnsi" w:eastAsiaTheme="minorEastAsia" w:hAnsiTheme="minorHAnsi" w:cstheme="minorBidi"/>
          <w:szCs w:val="22"/>
        </w:rPr>
      </w:pPr>
      <w:r>
        <w:t>8E.</w:t>
      </w:r>
      <w:r>
        <w:tab/>
        <w:t>Exemption from Act, sales etc. at functions on licensed premises</w:t>
      </w:r>
      <w:r>
        <w:tab/>
      </w:r>
      <w:r>
        <w:fldChar w:fldCharType="begin"/>
      </w:r>
      <w:r>
        <w:instrText xml:space="preserve"> PAGEREF _Toc82689630 \h </w:instrText>
      </w:r>
      <w:r>
        <w:fldChar w:fldCharType="separate"/>
      </w:r>
      <w:r>
        <w:t>26</w:t>
      </w:r>
      <w:r>
        <w:fldChar w:fldCharType="end"/>
      </w:r>
    </w:p>
    <w:p>
      <w:pPr>
        <w:pStyle w:val="TOC8"/>
        <w:rPr>
          <w:rFonts w:asciiTheme="minorHAnsi" w:eastAsiaTheme="minorEastAsia" w:hAnsiTheme="minorHAnsi" w:cstheme="minorBidi"/>
          <w:szCs w:val="22"/>
        </w:rPr>
      </w:pPr>
      <w:r>
        <w:t>8F.</w:t>
      </w:r>
      <w:r>
        <w:tab/>
        <w:t>Exemption from Act for consumption in on</w:t>
      </w:r>
      <w:r>
        <w:noBreakHyphen/>
        <w:t>demand charter vehicle (Act s. 6(1)(o))</w:t>
      </w:r>
      <w:r>
        <w:tab/>
      </w:r>
      <w:r>
        <w:fldChar w:fldCharType="begin"/>
      </w:r>
      <w:r>
        <w:instrText xml:space="preserve"> PAGEREF _Toc82689631 \h </w:instrText>
      </w:r>
      <w:r>
        <w:fldChar w:fldCharType="separate"/>
      </w:r>
      <w:r>
        <w:t>27</w:t>
      </w:r>
      <w:r>
        <w:fldChar w:fldCharType="end"/>
      </w:r>
    </w:p>
    <w:p>
      <w:pPr>
        <w:pStyle w:val="TOC8"/>
        <w:rPr>
          <w:rFonts w:asciiTheme="minorHAnsi" w:eastAsiaTheme="minorEastAsia" w:hAnsiTheme="minorHAnsi" w:cstheme="minorBidi"/>
          <w:szCs w:val="22"/>
        </w:rPr>
      </w:pPr>
      <w:r>
        <w:t>8G.</w:t>
      </w:r>
      <w:r>
        <w:tab/>
        <w:t>Exemption from Act in relation to liquor competition (Act s. 6(1)(o))</w:t>
      </w:r>
      <w:r>
        <w:tab/>
      </w:r>
      <w:r>
        <w:fldChar w:fldCharType="begin"/>
      </w:r>
      <w:r>
        <w:instrText xml:space="preserve"> PAGEREF _Toc82689632 \h </w:instrText>
      </w:r>
      <w:r>
        <w:fldChar w:fldCharType="separate"/>
      </w:r>
      <w:r>
        <w:t>28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Persons who may take and administer oaths and affirmations (Act s. 18(3)(c))</w:t>
      </w:r>
      <w:r>
        <w:tab/>
      </w:r>
      <w:r>
        <w:fldChar w:fldCharType="begin"/>
      </w:r>
      <w:r>
        <w:instrText xml:space="preserve"> PAGEREF _Toc82689633 \h </w:instrText>
      </w:r>
      <w:r>
        <w:fldChar w:fldCharType="separate"/>
      </w:r>
      <w:r>
        <w:t>30</w:t>
      </w:r>
      <w:r>
        <w:fldChar w:fldCharType="end"/>
      </w:r>
    </w:p>
    <w:p>
      <w:pPr>
        <w:pStyle w:val="TOC8"/>
        <w:rPr>
          <w:rFonts w:asciiTheme="minorHAnsi" w:eastAsiaTheme="minorEastAsia" w:hAnsiTheme="minorHAnsi" w:cstheme="minorBidi"/>
          <w:szCs w:val="22"/>
        </w:rPr>
      </w:pPr>
      <w:r>
        <w:t>9AA.</w:t>
      </w:r>
      <w:r>
        <w:tab/>
        <w:t xml:space="preserve">Distance prescribed </w:t>
      </w:r>
      <w:r>
        <w:rPr>
          <w:snapToGrid w:val="0"/>
        </w:rPr>
        <w:t>(Act s.</w:t>
      </w:r>
      <w:r>
        <w:t> 36A(2)(b))</w:t>
      </w:r>
      <w:r>
        <w:tab/>
      </w:r>
      <w:r>
        <w:fldChar w:fldCharType="begin"/>
      </w:r>
      <w:r>
        <w:instrText xml:space="preserve"> PAGEREF _Toc82689634 \h </w:instrText>
      </w:r>
      <w:r>
        <w:fldChar w:fldCharType="separate"/>
      </w:r>
      <w:r>
        <w:t>30</w:t>
      </w:r>
      <w:r>
        <w:fldChar w:fldCharType="end"/>
      </w:r>
    </w:p>
    <w:p>
      <w:pPr>
        <w:pStyle w:val="TOC8"/>
        <w:rPr>
          <w:rFonts w:asciiTheme="minorHAnsi" w:eastAsiaTheme="minorEastAsia" w:hAnsiTheme="minorHAnsi" w:cstheme="minorBidi"/>
          <w:szCs w:val="22"/>
        </w:rPr>
      </w:pPr>
      <w:r>
        <w:t>9AAA.</w:t>
      </w:r>
      <w:r>
        <w:tab/>
        <w:t>Area prescribed (Act s. 36B)</w:t>
      </w:r>
      <w:r>
        <w:tab/>
      </w:r>
      <w:r>
        <w:fldChar w:fldCharType="begin"/>
      </w:r>
      <w:r>
        <w:instrText xml:space="preserve"> PAGEREF _Toc82689635 \h </w:instrText>
      </w:r>
      <w:r>
        <w:fldChar w:fldCharType="separate"/>
      </w:r>
      <w:r>
        <w:t>30</w:t>
      </w:r>
      <w:r>
        <w:fldChar w:fldCharType="end"/>
      </w:r>
    </w:p>
    <w:p>
      <w:pPr>
        <w:pStyle w:val="TOC8"/>
        <w:rPr>
          <w:rFonts w:asciiTheme="minorHAnsi" w:eastAsiaTheme="minorEastAsia" w:hAnsiTheme="minorHAnsi" w:cstheme="minorBidi"/>
          <w:szCs w:val="22"/>
        </w:rPr>
      </w:pPr>
      <w:r>
        <w:t>9AAB.</w:t>
      </w:r>
      <w:r>
        <w:tab/>
        <w:t>Distance prescribed (Act s. 36B)</w:t>
      </w:r>
      <w:r>
        <w:tab/>
      </w:r>
      <w:r>
        <w:fldChar w:fldCharType="begin"/>
      </w:r>
      <w:r>
        <w:instrText xml:space="preserve"> PAGEREF _Toc82689636 \h </w:instrText>
      </w:r>
      <w:r>
        <w:fldChar w:fldCharType="separate"/>
      </w:r>
      <w:r>
        <w:t>31</w:t>
      </w:r>
      <w:r>
        <w:fldChar w:fldCharType="end"/>
      </w:r>
    </w:p>
    <w:p>
      <w:pPr>
        <w:pStyle w:val="TOC8"/>
        <w:rPr>
          <w:rFonts w:asciiTheme="minorHAnsi" w:eastAsiaTheme="minorEastAsia" w:hAnsiTheme="minorHAnsi" w:cstheme="minorBidi"/>
          <w:szCs w:val="22"/>
        </w:rPr>
      </w:pPr>
      <w:r>
        <w:t>9A.</w:t>
      </w:r>
      <w:r>
        <w:tab/>
      </w:r>
      <w:r>
        <w:rPr>
          <w:snapToGrid w:val="0"/>
        </w:rPr>
        <w:t>Special facility licence, purposes for which may be granted</w:t>
      </w:r>
      <w:r>
        <w:tab/>
      </w:r>
      <w:r>
        <w:fldChar w:fldCharType="begin"/>
      </w:r>
      <w:r>
        <w:instrText xml:space="preserve"> PAGEREF _Toc82689637 \h </w:instrText>
      </w:r>
      <w:r>
        <w:fldChar w:fldCharType="separate"/>
      </w:r>
      <w:r>
        <w:t>31</w:t>
      </w:r>
      <w:r>
        <w:fldChar w:fldCharType="end"/>
      </w:r>
    </w:p>
    <w:p>
      <w:pPr>
        <w:pStyle w:val="TOC8"/>
        <w:rPr>
          <w:rFonts w:asciiTheme="minorHAnsi" w:eastAsiaTheme="minorEastAsia" w:hAnsiTheme="minorHAnsi" w:cstheme="minorBidi"/>
          <w:szCs w:val="22"/>
        </w:rPr>
      </w:pPr>
      <w:r>
        <w:t>9AB.</w:t>
      </w:r>
      <w:r>
        <w:tab/>
        <w:t xml:space="preserve">Kind of extended trading permit prescribed </w:t>
      </w:r>
      <w:r>
        <w:rPr>
          <w:snapToGrid w:val="0"/>
        </w:rPr>
        <w:t>(Act s.</w:t>
      </w:r>
      <w:r>
        <w:t> 25(5a))</w:t>
      </w:r>
      <w:r>
        <w:tab/>
      </w:r>
      <w:r>
        <w:fldChar w:fldCharType="begin"/>
      </w:r>
      <w:r>
        <w:instrText xml:space="preserve"> PAGEREF _Toc82689638 \h </w:instrText>
      </w:r>
      <w:r>
        <w:fldChar w:fldCharType="separate"/>
      </w:r>
      <w:r>
        <w:t>39</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Special facility licence, effect of as to sale of packaged liquor</w:t>
      </w:r>
      <w:r>
        <w:tab/>
      </w:r>
      <w:r>
        <w:fldChar w:fldCharType="begin"/>
      </w:r>
      <w:r>
        <w:instrText xml:space="preserve"> PAGEREF _Toc82689639 \h </w:instrText>
      </w:r>
      <w:r>
        <w:fldChar w:fldCharType="separate"/>
      </w:r>
      <w:r>
        <w:t>39</w:t>
      </w:r>
      <w:r>
        <w:fldChar w:fldCharType="end"/>
      </w:r>
    </w:p>
    <w:p>
      <w:pPr>
        <w:pStyle w:val="TOC8"/>
        <w:rPr>
          <w:rFonts w:asciiTheme="minorHAnsi" w:eastAsiaTheme="minorEastAsia" w:hAnsiTheme="minorHAnsi" w:cstheme="minorBidi"/>
          <w:szCs w:val="22"/>
        </w:rPr>
      </w:pPr>
      <w:r>
        <w:t>9C.</w:t>
      </w:r>
      <w:r>
        <w:tab/>
        <w:t>Types of special facility licence prescribed (Act s. 46(6))</w:t>
      </w:r>
      <w:r>
        <w:tab/>
      </w:r>
      <w:r>
        <w:fldChar w:fldCharType="begin"/>
      </w:r>
      <w:r>
        <w:instrText xml:space="preserve"> PAGEREF _Toc82689640 \h </w:instrText>
      </w:r>
      <w:r>
        <w:fldChar w:fldCharType="separate"/>
      </w:r>
      <w:r>
        <w:t>39</w:t>
      </w:r>
      <w:r>
        <w:fldChar w:fldCharType="end"/>
      </w:r>
    </w:p>
    <w:p>
      <w:pPr>
        <w:pStyle w:val="TOC8"/>
        <w:rPr>
          <w:rFonts w:asciiTheme="minorHAnsi" w:eastAsiaTheme="minorEastAsia" w:hAnsiTheme="minorHAnsi" w:cstheme="minorBidi"/>
          <w:szCs w:val="22"/>
        </w:rPr>
      </w:pPr>
      <w:r>
        <w:t>9D.</w:t>
      </w:r>
      <w:r>
        <w:tab/>
      </w:r>
      <w:r>
        <w:rPr>
          <w:snapToGrid w:val="0"/>
        </w:rPr>
        <w:t>Act s.</w:t>
      </w:r>
      <w:r>
        <w:t> 33(6b) modified as to occasional licences</w:t>
      </w:r>
      <w:r>
        <w:tab/>
      </w:r>
      <w:r>
        <w:fldChar w:fldCharType="begin"/>
      </w:r>
      <w:r>
        <w:instrText xml:space="preserve"> PAGEREF _Toc82689641 \h </w:instrText>
      </w:r>
      <w:r>
        <w:fldChar w:fldCharType="separate"/>
      </w:r>
      <w:r>
        <w:t>40</w:t>
      </w:r>
      <w:r>
        <w:fldChar w:fldCharType="end"/>
      </w:r>
    </w:p>
    <w:p>
      <w:pPr>
        <w:pStyle w:val="TOC8"/>
        <w:rPr>
          <w:rFonts w:asciiTheme="minorHAnsi" w:eastAsiaTheme="minorEastAsia" w:hAnsiTheme="minorHAnsi" w:cstheme="minorBidi"/>
          <w:szCs w:val="22"/>
        </w:rPr>
      </w:pPr>
      <w:r>
        <w:t>9E.</w:t>
      </w:r>
      <w:r>
        <w:tab/>
        <w:t>Period prescribed (Act s. 33(6D)(b))</w:t>
      </w:r>
      <w:r>
        <w:tab/>
      </w:r>
      <w:r>
        <w:fldChar w:fldCharType="begin"/>
      </w:r>
      <w:r>
        <w:instrText xml:space="preserve"> PAGEREF _Toc82689642 \h </w:instrText>
      </w:r>
      <w:r>
        <w:fldChar w:fldCharType="separate"/>
      </w:r>
      <w:r>
        <w:t>41</w:t>
      </w:r>
      <w:r>
        <w:fldChar w:fldCharType="end"/>
      </w:r>
    </w:p>
    <w:p>
      <w:pPr>
        <w:pStyle w:val="TOC8"/>
        <w:rPr>
          <w:rFonts w:asciiTheme="minorHAnsi" w:eastAsiaTheme="minorEastAsia" w:hAnsiTheme="minorHAnsi" w:cstheme="minorBidi"/>
          <w:szCs w:val="22"/>
        </w:rPr>
      </w:pPr>
      <w:r>
        <w:t>9EA.</w:t>
      </w:r>
      <w:r>
        <w:tab/>
        <w:t>Kinds of licence prescribed (Act s. 38(1)(a))</w:t>
      </w:r>
      <w:r>
        <w:tab/>
      </w:r>
      <w:r>
        <w:fldChar w:fldCharType="begin"/>
      </w:r>
      <w:r>
        <w:instrText xml:space="preserve"> PAGEREF _Toc82689643 \h </w:instrText>
      </w:r>
      <w:r>
        <w:fldChar w:fldCharType="separate"/>
      </w:r>
      <w:r>
        <w:t>41</w:t>
      </w:r>
      <w:r>
        <w:fldChar w:fldCharType="end"/>
      </w:r>
    </w:p>
    <w:p>
      <w:pPr>
        <w:pStyle w:val="TOC8"/>
        <w:rPr>
          <w:rFonts w:asciiTheme="minorHAnsi" w:eastAsiaTheme="minorEastAsia" w:hAnsiTheme="minorHAnsi" w:cstheme="minorBidi"/>
          <w:szCs w:val="22"/>
        </w:rPr>
      </w:pPr>
      <w:r>
        <w:t>9F.</w:t>
      </w:r>
      <w:r>
        <w:tab/>
        <w:t>Kinds of permit prescribed (Act s. 38(1)(b))</w:t>
      </w:r>
      <w:r>
        <w:tab/>
      </w:r>
      <w:r>
        <w:fldChar w:fldCharType="begin"/>
      </w:r>
      <w:r>
        <w:instrText xml:space="preserve"> PAGEREF _Toc82689644 \h </w:instrText>
      </w:r>
      <w:r>
        <w:fldChar w:fldCharType="separate"/>
      </w:r>
      <w:r>
        <w:t>41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Requirements prescribed (Act s. </w:t>
      </w:r>
      <w:r>
        <w:t>57(2)(d)</w:t>
      </w:r>
      <w:r>
        <w:rPr>
          <w:snapToGrid w:val="0"/>
        </w:rPr>
        <w:t>)</w:t>
      </w:r>
      <w:r>
        <w:tab/>
      </w:r>
      <w:r>
        <w:fldChar w:fldCharType="begin"/>
      </w:r>
      <w:r>
        <w:instrText xml:space="preserve"> PAGEREF _Toc82689645 \h </w:instrText>
      </w:r>
      <w:r>
        <w:fldChar w:fldCharType="separate"/>
      </w:r>
      <w:r>
        <w:t>41</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Condition prescribed (Act s. 55(2))</w:t>
      </w:r>
      <w:r>
        <w:tab/>
      </w:r>
      <w:r>
        <w:fldChar w:fldCharType="begin"/>
      </w:r>
      <w:r>
        <w:instrText xml:space="preserve"> PAGEREF _Toc82689646 \h </w:instrText>
      </w:r>
      <w:r>
        <w:fldChar w:fldCharType="separate"/>
      </w:r>
      <w:r>
        <w:t>42</w:t>
      </w:r>
      <w:r>
        <w:fldChar w:fldCharType="end"/>
      </w:r>
    </w:p>
    <w:p>
      <w:pPr>
        <w:pStyle w:val="TOC8"/>
        <w:rPr>
          <w:rFonts w:asciiTheme="minorHAnsi" w:eastAsiaTheme="minorEastAsia" w:hAnsiTheme="minorHAnsi" w:cstheme="minorBidi"/>
          <w:szCs w:val="22"/>
        </w:rPr>
      </w:pPr>
      <w:r>
        <w:t>10B.</w:t>
      </w:r>
      <w:r>
        <w:tab/>
        <w:t>Days for making application prescribed (Act s. 64(1BA))</w:t>
      </w:r>
      <w:r>
        <w:tab/>
      </w:r>
      <w:r>
        <w:fldChar w:fldCharType="begin"/>
      </w:r>
      <w:r>
        <w:instrText xml:space="preserve"> PAGEREF _Toc82689647 \h </w:instrText>
      </w:r>
      <w:r>
        <w:fldChar w:fldCharType="separate"/>
      </w:r>
      <w:r>
        <w:t>42</w:t>
      </w:r>
      <w:r>
        <w:fldChar w:fldCharType="end"/>
      </w:r>
    </w:p>
    <w:p>
      <w:pPr>
        <w:pStyle w:val="TOC8"/>
        <w:rPr>
          <w:rFonts w:asciiTheme="minorHAnsi" w:eastAsiaTheme="minorEastAsia" w:hAnsiTheme="minorHAnsi" w:cstheme="minorBidi"/>
          <w:szCs w:val="22"/>
        </w:rPr>
      </w:pPr>
      <w:r>
        <w:lastRenderedPageBreak/>
        <w:t>11</w:t>
      </w:r>
      <w:r>
        <w:rPr>
          <w:snapToGrid w:val="0"/>
        </w:rPr>
        <w:t>.</w:t>
      </w:r>
      <w:r>
        <w:rPr>
          <w:snapToGrid w:val="0"/>
        </w:rPr>
        <w:tab/>
        <w:t>Plans and specifications, requirements for (Act s. 66(4) and (5))</w:t>
      </w:r>
      <w:r>
        <w:tab/>
      </w:r>
      <w:r>
        <w:fldChar w:fldCharType="begin"/>
      </w:r>
      <w:r>
        <w:instrText xml:space="preserve"> PAGEREF _Toc82689648 \h </w:instrText>
      </w:r>
      <w:r>
        <w:fldChar w:fldCharType="separate"/>
      </w:r>
      <w:r>
        <w:t>43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Records as to applicant, requirements for (Act s. 68(1)(b))</w:t>
      </w:r>
      <w:r>
        <w:tab/>
      </w:r>
      <w:r>
        <w:fldChar w:fldCharType="begin"/>
      </w:r>
      <w:r>
        <w:instrText xml:space="preserve"> PAGEREF _Toc82689649 \h </w:instrText>
      </w:r>
      <w:r>
        <w:fldChar w:fldCharType="separate"/>
      </w:r>
      <w:r>
        <w:t>45</w:t>
      </w:r>
      <w:r>
        <w:fldChar w:fldCharType="end"/>
      </w:r>
    </w:p>
    <w:p>
      <w:pPr>
        <w:pStyle w:val="TOC8"/>
        <w:rPr>
          <w:rFonts w:asciiTheme="minorHAnsi" w:eastAsiaTheme="minorEastAsia" w:hAnsiTheme="minorHAnsi" w:cstheme="minorBidi"/>
          <w:szCs w:val="22"/>
        </w:rPr>
      </w:pPr>
      <w:r>
        <w:t>14A.</w:t>
      </w:r>
      <w:r>
        <w:tab/>
        <w:t xml:space="preserve">Types etc. of premises prescribed </w:t>
      </w:r>
      <w:r>
        <w:rPr>
          <w:snapToGrid w:val="0"/>
        </w:rPr>
        <w:t>(Act s. 77(5a)(b))</w:t>
      </w:r>
      <w:r>
        <w:tab/>
      </w:r>
      <w:r>
        <w:fldChar w:fldCharType="begin"/>
      </w:r>
      <w:r>
        <w:instrText xml:space="preserve"> PAGEREF _Toc82689650 \h </w:instrText>
      </w:r>
      <w:r>
        <w:fldChar w:fldCharType="separate"/>
      </w:r>
      <w:r>
        <w:t>46</w:t>
      </w:r>
      <w:r>
        <w:fldChar w:fldCharType="end"/>
      </w:r>
    </w:p>
    <w:p>
      <w:pPr>
        <w:pStyle w:val="TOC8"/>
        <w:rPr>
          <w:rFonts w:asciiTheme="minorHAnsi" w:eastAsiaTheme="minorEastAsia" w:hAnsiTheme="minorHAnsi" w:cstheme="minorBidi"/>
          <w:szCs w:val="22"/>
        </w:rPr>
      </w:pPr>
      <w:r>
        <w:t>14AA.</w:t>
      </w:r>
      <w:r>
        <w:tab/>
        <w:t>Area prescribed (Act s. 77A)</w:t>
      </w:r>
      <w:r>
        <w:tab/>
      </w:r>
      <w:r>
        <w:fldChar w:fldCharType="begin"/>
      </w:r>
      <w:r>
        <w:instrText xml:space="preserve"> PAGEREF _Toc82689651 \h </w:instrText>
      </w:r>
      <w:r>
        <w:fldChar w:fldCharType="separate"/>
      </w:r>
      <w:r>
        <w:t>46</w:t>
      </w:r>
      <w:r>
        <w:fldChar w:fldCharType="end"/>
      </w:r>
    </w:p>
    <w:p>
      <w:pPr>
        <w:pStyle w:val="TOC8"/>
        <w:rPr>
          <w:rFonts w:asciiTheme="minorHAnsi" w:eastAsiaTheme="minorEastAsia" w:hAnsiTheme="minorHAnsi" w:cstheme="minorBidi"/>
          <w:szCs w:val="22"/>
        </w:rPr>
      </w:pPr>
      <w:r>
        <w:t>14AAA.</w:t>
      </w:r>
      <w:r>
        <w:tab/>
        <w:t>Distance prescribed (Act s. 77A)</w:t>
      </w:r>
      <w:r>
        <w:tab/>
      </w:r>
      <w:r>
        <w:fldChar w:fldCharType="begin"/>
      </w:r>
      <w:r>
        <w:instrText xml:space="preserve"> PAGEREF _Toc82689652 \h </w:instrText>
      </w:r>
      <w:r>
        <w:fldChar w:fldCharType="separate"/>
      </w:r>
      <w:r>
        <w:t>46</w:t>
      </w:r>
      <w:r>
        <w:fldChar w:fldCharType="end"/>
      </w:r>
    </w:p>
    <w:p>
      <w:pPr>
        <w:pStyle w:val="TOC8"/>
        <w:rPr>
          <w:rFonts w:asciiTheme="minorHAnsi" w:eastAsiaTheme="minorEastAsia" w:hAnsiTheme="minorHAnsi" w:cstheme="minorBidi"/>
          <w:szCs w:val="22"/>
        </w:rPr>
      </w:pPr>
      <w:r>
        <w:t>14AB.</w:t>
      </w:r>
      <w:r>
        <w:tab/>
        <w:t xml:space="preserve">Requirement for lodgment of application prescribed </w:t>
      </w:r>
      <w:r>
        <w:rPr>
          <w:snapToGrid w:val="0"/>
        </w:rPr>
        <w:t>(Act s. </w:t>
      </w:r>
      <w:r>
        <w:t>75(1)(b))</w:t>
      </w:r>
      <w:r>
        <w:tab/>
      </w:r>
      <w:r>
        <w:fldChar w:fldCharType="begin"/>
      </w:r>
      <w:r>
        <w:instrText xml:space="preserve"> PAGEREF _Toc82689653 \h </w:instrText>
      </w:r>
      <w:r>
        <w:fldChar w:fldCharType="separate"/>
      </w:r>
      <w:r>
        <w:t>47</w:t>
      </w:r>
      <w:r>
        <w:fldChar w:fldCharType="end"/>
      </w:r>
    </w:p>
    <w:p>
      <w:pPr>
        <w:pStyle w:val="TOC8"/>
        <w:rPr>
          <w:rFonts w:asciiTheme="minorHAnsi" w:eastAsiaTheme="minorEastAsia" w:hAnsiTheme="minorHAnsi" w:cstheme="minorBidi"/>
          <w:szCs w:val="22"/>
        </w:rPr>
      </w:pPr>
      <w:r>
        <w:t>14AC.</w:t>
      </w:r>
      <w:r>
        <w:tab/>
        <w:t xml:space="preserve">Requirement for lodgment of application prescribed </w:t>
      </w:r>
      <w:r>
        <w:rPr>
          <w:snapToGrid w:val="0"/>
        </w:rPr>
        <w:t>(Act s. </w:t>
      </w:r>
      <w:r>
        <w:t>76(1)(b))</w:t>
      </w:r>
      <w:r>
        <w:tab/>
      </w:r>
      <w:r>
        <w:fldChar w:fldCharType="begin"/>
      </w:r>
      <w:r>
        <w:instrText xml:space="preserve"> PAGEREF _Toc82689654 \h </w:instrText>
      </w:r>
      <w:r>
        <w:fldChar w:fldCharType="separate"/>
      </w:r>
      <w:r>
        <w:t>47</w:t>
      </w:r>
      <w:r>
        <w:fldChar w:fldCharType="end"/>
      </w:r>
    </w:p>
    <w:p>
      <w:pPr>
        <w:pStyle w:val="TOC8"/>
        <w:rPr>
          <w:rFonts w:asciiTheme="minorHAnsi" w:eastAsiaTheme="minorEastAsia" w:hAnsiTheme="minorHAnsi" w:cstheme="minorBidi"/>
          <w:szCs w:val="22"/>
        </w:rPr>
      </w:pPr>
      <w:r>
        <w:t>14ADA.</w:t>
      </w:r>
      <w:r>
        <w:tab/>
        <w:t>Manager’s approval, application for (Act s. 102B)</w:t>
      </w:r>
      <w:r>
        <w:tab/>
      </w:r>
      <w:r>
        <w:fldChar w:fldCharType="begin"/>
      </w:r>
      <w:r>
        <w:instrText xml:space="preserve"> PAGEREF _Toc82689655 \h </w:instrText>
      </w:r>
      <w:r>
        <w:fldChar w:fldCharType="separate"/>
      </w:r>
      <w:r>
        <w:t>48</w:t>
      </w:r>
      <w:r>
        <w:fldChar w:fldCharType="end"/>
      </w:r>
    </w:p>
    <w:p>
      <w:pPr>
        <w:pStyle w:val="TOC8"/>
        <w:rPr>
          <w:rFonts w:asciiTheme="minorHAnsi" w:eastAsiaTheme="minorEastAsia" w:hAnsiTheme="minorHAnsi" w:cstheme="minorBidi"/>
          <w:szCs w:val="22"/>
        </w:rPr>
      </w:pPr>
      <w:r>
        <w:t>14ADB.</w:t>
      </w:r>
      <w:r>
        <w:tab/>
        <w:t>Manager’s approval, conditions on (Act s. 102C)</w:t>
      </w:r>
      <w:r>
        <w:tab/>
      </w:r>
      <w:r>
        <w:fldChar w:fldCharType="begin"/>
      </w:r>
      <w:r>
        <w:instrText xml:space="preserve"> PAGEREF _Toc82689656 \h </w:instrText>
      </w:r>
      <w:r>
        <w:fldChar w:fldCharType="separate"/>
      </w:r>
      <w:r>
        <w:t>48</w:t>
      </w:r>
      <w:r>
        <w:fldChar w:fldCharType="end"/>
      </w:r>
    </w:p>
    <w:p>
      <w:pPr>
        <w:pStyle w:val="TOC8"/>
        <w:rPr>
          <w:rFonts w:asciiTheme="minorHAnsi" w:eastAsiaTheme="minorEastAsia" w:hAnsiTheme="minorHAnsi" w:cstheme="minorBidi"/>
          <w:szCs w:val="22"/>
        </w:rPr>
      </w:pPr>
      <w:r>
        <w:t>14ADC.</w:t>
      </w:r>
      <w:r>
        <w:tab/>
        <w:t>Manager’s approval, duration of (Act s. 102D)</w:t>
      </w:r>
      <w:r>
        <w:tab/>
      </w:r>
      <w:r>
        <w:fldChar w:fldCharType="begin"/>
      </w:r>
      <w:r>
        <w:instrText xml:space="preserve"> PAGEREF _Toc82689657 \h </w:instrText>
      </w:r>
      <w:r>
        <w:fldChar w:fldCharType="separate"/>
      </w:r>
      <w:r>
        <w:t>49</w:t>
      </w:r>
      <w:r>
        <w:fldChar w:fldCharType="end"/>
      </w:r>
    </w:p>
    <w:p>
      <w:pPr>
        <w:pStyle w:val="TOC8"/>
        <w:rPr>
          <w:rFonts w:asciiTheme="minorHAnsi" w:eastAsiaTheme="minorEastAsia" w:hAnsiTheme="minorHAnsi" w:cstheme="minorBidi"/>
          <w:szCs w:val="22"/>
        </w:rPr>
      </w:pPr>
      <w:r>
        <w:t>14ADD.</w:t>
      </w:r>
      <w:r>
        <w:tab/>
        <w:t>Manager’s approval, renewal of (Act s. 102E)</w:t>
      </w:r>
      <w:r>
        <w:tab/>
      </w:r>
      <w:r>
        <w:fldChar w:fldCharType="begin"/>
      </w:r>
      <w:r>
        <w:instrText xml:space="preserve"> PAGEREF _Toc82689658 \h </w:instrText>
      </w:r>
      <w:r>
        <w:fldChar w:fldCharType="separate"/>
      </w:r>
      <w:r>
        <w:t>49</w:t>
      </w:r>
      <w:r>
        <w:fldChar w:fldCharType="end"/>
      </w:r>
    </w:p>
    <w:p>
      <w:pPr>
        <w:pStyle w:val="TOC8"/>
        <w:rPr>
          <w:rFonts w:asciiTheme="minorHAnsi" w:eastAsiaTheme="minorEastAsia" w:hAnsiTheme="minorHAnsi" w:cstheme="minorBidi"/>
          <w:szCs w:val="22"/>
        </w:rPr>
      </w:pPr>
      <w:r>
        <w:t>14ADE.</w:t>
      </w:r>
      <w:r>
        <w:tab/>
        <w:t>Approved manager, identification card for</w:t>
      </w:r>
      <w:r>
        <w:tab/>
      </w:r>
      <w:r>
        <w:fldChar w:fldCharType="begin"/>
      </w:r>
      <w:r>
        <w:instrText xml:space="preserve"> PAGEREF _Toc82689659 \h </w:instrText>
      </w:r>
      <w:r>
        <w:fldChar w:fldCharType="separate"/>
      </w:r>
      <w:r>
        <w:t>50</w:t>
      </w:r>
      <w:r>
        <w:fldChar w:fldCharType="end"/>
      </w:r>
    </w:p>
    <w:p>
      <w:pPr>
        <w:pStyle w:val="TOC8"/>
        <w:rPr>
          <w:rFonts w:asciiTheme="minorHAnsi" w:eastAsiaTheme="minorEastAsia" w:hAnsiTheme="minorHAnsi" w:cstheme="minorBidi"/>
          <w:szCs w:val="22"/>
        </w:rPr>
      </w:pPr>
      <w:r>
        <w:t>14ADF.</w:t>
      </w:r>
      <w:r>
        <w:tab/>
        <w:t>Lost etc. identification card, replacement of</w:t>
      </w:r>
      <w:r>
        <w:tab/>
      </w:r>
      <w:r>
        <w:fldChar w:fldCharType="begin"/>
      </w:r>
      <w:r>
        <w:instrText xml:space="preserve"> PAGEREF _Toc82689660 \h </w:instrText>
      </w:r>
      <w:r>
        <w:fldChar w:fldCharType="separate"/>
      </w:r>
      <w:r>
        <w:t>51</w:t>
      </w:r>
      <w:r>
        <w:fldChar w:fldCharType="end"/>
      </w:r>
    </w:p>
    <w:p>
      <w:pPr>
        <w:pStyle w:val="TOC8"/>
        <w:rPr>
          <w:rFonts w:asciiTheme="minorHAnsi" w:eastAsiaTheme="minorEastAsia" w:hAnsiTheme="minorHAnsi" w:cstheme="minorBidi"/>
          <w:szCs w:val="22"/>
        </w:rPr>
      </w:pPr>
      <w:r>
        <w:t>14ADG.</w:t>
      </w:r>
      <w:r>
        <w:tab/>
        <w:t>Transitioned approvals (Act Sch. 1B)</w:t>
      </w:r>
      <w:r>
        <w:tab/>
      </w:r>
      <w:r>
        <w:fldChar w:fldCharType="begin"/>
      </w:r>
      <w:r>
        <w:instrText xml:space="preserve"> PAGEREF _Toc82689661 \h </w:instrText>
      </w:r>
      <w:r>
        <w:fldChar w:fldCharType="separate"/>
      </w:r>
      <w:r>
        <w:t>51</w:t>
      </w:r>
      <w:r>
        <w:fldChar w:fldCharType="end"/>
      </w:r>
    </w:p>
    <w:p>
      <w:pPr>
        <w:pStyle w:val="TOC8"/>
        <w:rPr>
          <w:rFonts w:asciiTheme="minorHAnsi" w:eastAsiaTheme="minorEastAsia" w:hAnsiTheme="minorHAnsi" w:cstheme="minorBidi"/>
          <w:szCs w:val="22"/>
        </w:rPr>
      </w:pPr>
      <w:r>
        <w:t>14AD.</w:t>
      </w:r>
      <w:r>
        <w:tab/>
        <w:t xml:space="preserve">Responsible practices in selling etc. liquor, courses on required </w:t>
      </w:r>
      <w:r>
        <w:rPr>
          <w:snapToGrid w:val="0"/>
        </w:rPr>
        <w:t>(Act s. </w:t>
      </w:r>
      <w:r>
        <w:t>103A(1)(a))</w:t>
      </w:r>
      <w:r>
        <w:tab/>
      </w:r>
      <w:r>
        <w:fldChar w:fldCharType="begin"/>
      </w:r>
      <w:r>
        <w:instrText xml:space="preserve"> PAGEREF _Toc82689662 \h </w:instrText>
      </w:r>
      <w:r>
        <w:fldChar w:fldCharType="separate"/>
      </w:r>
      <w:r>
        <w:t>52</w:t>
      </w:r>
      <w:r>
        <w:fldChar w:fldCharType="end"/>
      </w:r>
    </w:p>
    <w:p>
      <w:pPr>
        <w:pStyle w:val="TOC8"/>
        <w:rPr>
          <w:rFonts w:asciiTheme="minorHAnsi" w:eastAsiaTheme="minorEastAsia" w:hAnsiTheme="minorHAnsi" w:cstheme="minorBidi"/>
          <w:szCs w:val="22"/>
        </w:rPr>
      </w:pPr>
      <w:r>
        <w:t>14AE.</w:t>
      </w:r>
      <w:r>
        <w:tab/>
        <w:t>Offences for r. 14AD</w:t>
      </w:r>
      <w:r>
        <w:tab/>
      </w:r>
      <w:r>
        <w:fldChar w:fldCharType="begin"/>
      </w:r>
      <w:r>
        <w:instrText xml:space="preserve"> PAGEREF _Toc82689663 \h </w:instrText>
      </w:r>
      <w:r>
        <w:fldChar w:fldCharType="separate"/>
      </w:r>
      <w:r>
        <w:t>54</w:t>
      </w:r>
      <w:r>
        <w:fldChar w:fldCharType="end"/>
      </w:r>
    </w:p>
    <w:p>
      <w:pPr>
        <w:pStyle w:val="TOC8"/>
        <w:rPr>
          <w:rFonts w:asciiTheme="minorHAnsi" w:eastAsiaTheme="minorEastAsia" w:hAnsiTheme="minorHAnsi" w:cstheme="minorBidi"/>
          <w:szCs w:val="22"/>
        </w:rPr>
      </w:pPr>
      <w:r>
        <w:t>14AG.</w:t>
      </w:r>
      <w:r>
        <w:tab/>
        <w:t>Licensee to maintain register </w:t>
      </w:r>
      <w:r>
        <w:rPr>
          <w:snapToGrid w:val="0"/>
        </w:rPr>
        <w:t>(Act s. </w:t>
      </w:r>
      <w:r>
        <w:t>103A(1)(b))</w:t>
      </w:r>
      <w:r>
        <w:tab/>
      </w:r>
      <w:r>
        <w:fldChar w:fldCharType="begin"/>
      </w:r>
      <w:r>
        <w:instrText xml:space="preserve"> PAGEREF _Toc82689664 \h </w:instrText>
      </w:r>
      <w:r>
        <w:fldChar w:fldCharType="separate"/>
      </w:r>
      <w:r>
        <w:t>55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Amount of liability prescribed (Act s. 107)</w:t>
      </w:r>
      <w:r>
        <w:tab/>
      </w:r>
      <w:r>
        <w:fldChar w:fldCharType="begin"/>
      </w:r>
      <w:r>
        <w:instrText xml:space="preserve"> PAGEREF _Toc82689665 \h </w:instrText>
      </w:r>
      <w:r>
        <w:fldChar w:fldCharType="separate"/>
      </w:r>
      <w:r>
        <w:t>55</w:t>
      </w:r>
      <w:r>
        <w:fldChar w:fldCharType="end"/>
      </w:r>
    </w:p>
    <w:p>
      <w:pPr>
        <w:pStyle w:val="TOC8"/>
        <w:rPr>
          <w:rFonts w:asciiTheme="minorHAnsi" w:eastAsiaTheme="minorEastAsia" w:hAnsiTheme="minorHAnsi" w:cstheme="minorBidi"/>
          <w:szCs w:val="22"/>
        </w:rPr>
      </w:pPr>
      <w:r>
        <w:t>16AA.</w:t>
      </w:r>
      <w:r>
        <w:tab/>
        <w:t>Quantity and area for offence (Act s. 109A)</w:t>
      </w:r>
      <w:r>
        <w:tab/>
      </w:r>
      <w:r>
        <w:fldChar w:fldCharType="begin"/>
      </w:r>
      <w:r>
        <w:instrText xml:space="preserve"> PAGEREF _Toc82689666 \h </w:instrText>
      </w:r>
      <w:r>
        <w:fldChar w:fldCharType="separate"/>
      </w:r>
      <w:r>
        <w:t>56</w:t>
      </w:r>
      <w:r>
        <w:fldChar w:fldCharType="end"/>
      </w:r>
    </w:p>
    <w:p>
      <w:pPr>
        <w:pStyle w:val="TOC8"/>
        <w:rPr>
          <w:rFonts w:asciiTheme="minorHAnsi" w:eastAsiaTheme="minorEastAsia" w:hAnsiTheme="minorHAnsi" w:cstheme="minorBidi"/>
          <w:szCs w:val="22"/>
        </w:rPr>
      </w:pPr>
      <w:r>
        <w:t>16AB.</w:t>
      </w:r>
      <w:r>
        <w:tab/>
        <w:t>Persons of prescribed class (Act s. 109A(4)(b))</w:t>
      </w:r>
      <w:r>
        <w:tab/>
      </w:r>
      <w:r>
        <w:fldChar w:fldCharType="begin"/>
      </w:r>
      <w:r>
        <w:instrText xml:space="preserve"> PAGEREF _Toc82689667 \h </w:instrText>
      </w:r>
      <w:r>
        <w:fldChar w:fldCharType="separate"/>
      </w:r>
      <w:r>
        <w:t>58</w:t>
      </w:r>
      <w:r>
        <w:fldChar w:fldCharType="end"/>
      </w:r>
    </w:p>
    <w:p>
      <w:pPr>
        <w:pStyle w:val="TOC8"/>
        <w:rPr>
          <w:rFonts w:asciiTheme="minorHAnsi" w:eastAsiaTheme="minorEastAsia" w:hAnsiTheme="minorHAnsi" w:cstheme="minorBidi"/>
          <w:szCs w:val="22"/>
        </w:rPr>
      </w:pPr>
      <w:r>
        <w:t>16AC.</w:t>
      </w:r>
      <w:r>
        <w:tab/>
        <w:t>Vehicles of prescribed class (Act s. 109A(4)(c))</w:t>
      </w:r>
      <w:r>
        <w:tab/>
      </w:r>
      <w:r>
        <w:fldChar w:fldCharType="begin"/>
      </w:r>
      <w:r>
        <w:instrText xml:space="preserve"> PAGEREF _Toc82689668 \h </w:instrText>
      </w:r>
      <w:r>
        <w:fldChar w:fldCharType="separate"/>
      </w:r>
      <w:r>
        <w:t>59</w:t>
      </w:r>
      <w:r>
        <w:fldChar w:fldCharType="end"/>
      </w:r>
    </w:p>
    <w:p>
      <w:pPr>
        <w:pStyle w:val="TOC8"/>
        <w:rPr>
          <w:rFonts w:asciiTheme="minorHAnsi" w:eastAsiaTheme="minorEastAsia" w:hAnsiTheme="minorHAnsi" w:cstheme="minorBidi"/>
          <w:szCs w:val="22"/>
        </w:rPr>
      </w:pPr>
      <w:r>
        <w:t>16AD.</w:t>
      </w:r>
      <w:r>
        <w:tab/>
        <w:t>Prescribed circumstance (Act s. 109A(4)(d))</w:t>
      </w:r>
      <w:r>
        <w:tab/>
      </w:r>
      <w:r>
        <w:fldChar w:fldCharType="begin"/>
      </w:r>
      <w:r>
        <w:instrText xml:space="preserve"> PAGEREF _Toc82689669 \h </w:instrText>
      </w:r>
      <w:r>
        <w:fldChar w:fldCharType="separate"/>
      </w:r>
      <w:r>
        <w:t>59</w:t>
      </w:r>
      <w:r>
        <w:fldChar w:fldCharType="end"/>
      </w:r>
    </w:p>
    <w:p>
      <w:pPr>
        <w:pStyle w:val="TOC8"/>
        <w:rPr>
          <w:rFonts w:asciiTheme="minorHAnsi" w:eastAsiaTheme="minorEastAsia" w:hAnsiTheme="minorHAnsi" w:cstheme="minorBidi"/>
          <w:szCs w:val="22"/>
        </w:rPr>
      </w:pPr>
      <w:r>
        <w:t>16A.</w:t>
      </w:r>
      <w:r>
        <w:tab/>
        <w:t xml:space="preserve">Sports arenas prescribed (Act s. 110(4B) </w:t>
      </w:r>
      <w:r>
        <w:rPr>
          <w:i/>
        </w:rPr>
        <w:t>sports arena</w:t>
      </w:r>
      <w:r>
        <w:t>)</w:t>
      </w:r>
      <w:r>
        <w:tab/>
      </w:r>
      <w:r>
        <w:fldChar w:fldCharType="begin"/>
      </w:r>
      <w:r>
        <w:instrText xml:space="preserve"> PAGEREF _Toc82689670 \h </w:instrText>
      </w:r>
      <w:r>
        <w:fldChar w:fldCharType="separate"/>
      </w:r>
      <w:r>
        <w:t>60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Out of bounds area, notice for (Act s. 121(6))</w:t>
      </w:r>
      <w:r>
        <w:tab/>
      </w:r>
      <w:r>
        <w:fldChar w:fldCharType="begin"/>
      </w:r>
      <w:r>
        <w:instrText xml:space="preserve"> PAGEREF _Toc82689671 \h </w:instrText>
      </w:r>
      <w:r>
        <w:fldChar w:fldCharType="separate"/>
      </w:r>
      <w:r>
        <w:t>61</w:t>
      </w:r>
      <w:r>
        <w:fldChar w:fldCharType="end"/>
      </w:r>
    </w:p>
    <w:p>
      <w:pPr>
        <w:pStyle w:val="TOC8"/>
        <w:rPr>
          <w:rFonts w:asciiTheme="minorHAnsi" w:eastAsiaTheme="minorEastAsia" w:hAnsiTheme="minorHAnsi" w:cstheme="minorBidi"/>
          <w:szCs w:val="22"/>
        </w:rPr>
      </w:pPr>
      <w:r>
        <w:t>18.</w:t>
      </w:r>
      <w:r>
        <w:tab/>
        <w:t>Premises prescribed to be regulated premises (Act s. 122(1)(f))</w:t>
      </w:r>
      <w:r>
        <w:tab/>
      </w:r>
      <w:r>
        <w:fldChar w:fldCharType="begin"/>
      </w:r>
      <w:r>
        <w:instrText xml:space="preserve"> PAGEREF _Toc82689672 \h </w:instrText>
      </w:r>
      <w:r>
        <w:fldChar w:fldCharType="separate"/>
      </w:r>
      <w:r>
        <w:t>61</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Documents prescribed as evidence of age etc. (Act s. 126(1)(b)(i)(III) and s. 160(1))</w:t>
      </w:r>
      <w:r>
        <w:tab/>
      </w:r>
      <w:r>
        <w:fldChar w:fldCharType="begin"/>
      </w:r>
      <w:r>
        <w:instrText xml:space="preserve"> PAGEREF _Toc82689673 \h </w:instrText>
      </w:r>
      <w:r>
        <w:fldChar w:fldCharType="separate"/>
      </w:r>
      <w:r>
        <w:t>62</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Proof of age card, issue of etc.</w:t>
      </w:r>
      <w:r>
        <w:tab/>
      </w:r>
      <w:r>
        <w:fldChar w:fldCharType="begin"/>
      </w:r>
      <w:r>
        <w:instrText xml:space="preserve"> PAGEREF _Toc82689674 \h </w:instrText>
      </w:r>
      <w:r>
        <w:fldChar w:fldCharType="separate"/>
      </w:r>
      <w:r>
        <w:t>63</w:t>
      </w:r>
      <w:r>
        <w:fldChar w:fldCharType="end"/>
      </w:r>
    </w:p>
    <w:p>
      <w:pPr>
        <w:pStyle w:val="TOC8"/>
        <w:rPr>
          <w:rFonts w:asciiTheme="minorHAnsi" w:eastAsiaTheme="minorEastAsia" w:hAnsiTheme="minorHAnsi" w:cstheme="minorBidi"/>
          <w:szCs w:val="22"/>
        </w:rPr>
      </w:pPr>
      <w:r>
        <w:t>18C</w:t>
      </w:r>
      <w:r>
        <w:rPr>
          <w:snapToGrid w:val="0"/>
        </w:rPr>
        <w:t>.</w:t>
      </w:r>
      <w:r>
        <w:rPr>
          <w:snapToGrid w:val="0"/>
        </w:rPr>
        <w:tab/>
        <w:t>Proof of age card, form etc. of (r. 18B)</w:t>
      </w:r>
      <w:r>
        <w:tab/>
      </w:r>
      <w:r>
        <w:fldChar w:fldCharType="begin"/>
      </w:r>
      <w:r>
        <w:instrText xml:space="preserve"> PAGEREF _Toc82689675 \h </w:instrText>
      </w:r>
      <w:r>
        <w:fldChar w:fldCharType="separate"/>
      </w:r>
      <w:r>
        <w:t>64</w:t>
      </w:r>
      <w:r>
        <w:fldChar w:fldCharType="end"/>
      </w:r>
    </w:p>
    <w:p>
      <w:pPr>
        <w:pStyle w:val="TOC8"/>
        <w:rPr>
          <w:rFonts w:asciiTheme="minorHAnsi" w:eastAsiaTheme="minorEastAsia" w:hAnsiTheme="minorHAnsi" w:cstheme="minorBidi"/>
          <w:szCs w:val="22"/>
        </w:rPr>
      </w:pPr>
      <w:r>
        <w:t>18D</w:t>
      </w:r>
      <w:r>
        <w:rPr>
          <w:snapToGrid w:val="0"/>
        </w:rPr>
        <w:t>.</w:t>
      </w:r>
      <w:r>
        <w:rPr>
          <w:snapToGrid w:val="0"/>
        </w:rPr>
        <w:tab/>
        <w:t>Lost etc. proof of age card, replacement of</w:t>
      </w:r>
      <w:r>
        <w:tab/>
      </w:r>
      <w:r>
        <w:fldChar w:fldCharType="begin"/>
      </w:r>
      <w:r>
        <w:instrText xml:space="preserve"> PAGEREF _Toc82689676 \h </w:instrText>
      </w:r>
      <w:r>
        <w:fldChar w:fldCharType="separate"/>
      </w:r>
      <w:r>
        <w:t>65</w:t>
      </w:r>
      <w:r>
        <w:fldChar w:fldCharType="end"/>
      </w:r>
    </w:p>
    <w:p>
      <w:pPr>
        <w:pStyle w:val="TOC8"/>
        <w:rPr>
          <w:rFonts w:asciiTheme="minorHAnsi" w:eastAsiaTheme="minorEastAsia" w:hAnsiTheme="minorHAnsi" w:cstheme="minorBidi"/>
          <w:szCs w:val="22"/>
        </w:rPr>
      </w:pPr>
      <w:r>
        <w:t>18E</w:t>
      </w:r>
      <w:r>
        <w:rPr>
          <w:snapToGrid w:val="0"/>
        </w:rPr>
        <w:t>.</w:t>
      </w:r>
      <w:r>
        <w:rPr>
          <w:snapToGrid w:val="0"/>
        </w:rPr>
        <w:tab/>
        <w:t>Agreement or arrangement prescribed (Act s. 104(2))</w:t>
      </w:r>
      <w:r>
        <w:tab/>
      </w:r>
      <w:r>
        <w:fldChar w:fldCharType="begin"/>
      </w:r>
      <w:r>
        <w:instrText xml:space="preserve"> PAGEREF _Toc82689677 \h </w:instrText>
      </w:r>
      <w:r>
        <w:fldChar w:fldCharType="separate"/>
      </w:r>
      <w:r>
        <w:t>65</w:t>
      </w:r>
      <w:r>
        <w:fldChar w:fldCharType="end"/>
      </w:r>
    </w:p>
    <w:p>
      <w:pPr>
        <w:pStyle w:val="TOC8"/>
        <w:rPr>
          <w:rFonts w:asciiTheme="minorHAnsi" w:eastAsiaTheme="minorEastAsia" w:hAnsiTheme="minorHAnsi" w:cstheme="minorBidi"/>
          <w:szCs w:val="22"/>
        </w:rPr>
      </w:pPr>
      <w:r>
        <w:lastRenderedPageBreak/>
        <w:t>18EA.</w:t>
      </w:r>
      <w:r>
        <w:tab/>
        <w:t>Information prescribed for websites (Act s. 113A)</w:t>
      </w:r>
      <w:r>
        <w:tab/>
      </w:r>
      <w:r>
        <w:fldChar w:fldCharType="begin"/>
      </w:r>
      <w:r>
        <w:instrText xml:space="preserve"> PAGEREF _Toc82689678 \h </w:instrText>
      </w:r>
      <w:r>
        <w:fldChar w:fldCharType="separate"/>
      </w:r>
      <w:r>
        <w:t>65</w:t>
      </w:r>
      <w:r>
        <w:fldChar w:fldCharType="end"/>
      </w:r>
    </w:p>
    <w:p>
      <w:pPr>
        <w:pStyle w:val="TOC8"/>
        <w:rPr>
          <w:rFonts w:asciiTheme="minorHAnsi" w:eastAsiaTheme="minorEastAsia" w:hAnsiTheme="minorHAnsi" w:cstheme="minorBidi"/>
          <w:szCs w:val="22"/>
        </w:rPr>
      </w:pPr>
      <w:r>
        <w:t>18EBA.</w:t>
      </w:r>
      <w:r>
        <w:tab/>
        <w:t xml:space="preserve">Persons prescribed (Act s. 115AC(1A) </w:t>
      </w:r>
      <w:r>
        <w:rPr>
          <w:i/>
        </w:rPr>
        <w:t>secure webpage</w:t>
      </w:r>
      <w:r>
        <w:t>)</w:t>
      </w:r>
      <w:r>
        <w:tab/>
      </w:r>
      <w:r>
        <w:fldChar w:fldCharType="begin"/>
      </w:r>
      <w:r>
        <w:instrText xml:space="preserve"> PAGEREF _Toc82689679 \h </w:instrText>
      </w:r>
      <w:r>
        <w:fldChar w:fldCharType="separate"/>
      </w:r>
      <w:r>
        <w:t>66</w:t>
      </w:r>
      <w:r>
        <w:fldChar w:fldCharType="end"/>
      </w:r>
    </w:p>
    <w:p>
      <w:pPr>
        <w:pStyle w:val="TOC8"/>
        <w:rPr>
          <w:rFonts w:asciiTheme="minorHAnsi" w:eastAsiaTheme="minorEastAsia" w:hAnsiTheme="minorHAnsi" w:cstheme="minorBidi"/>
          <w:szCs w:val="22"/>
        </w:rPr>
      </w:pPr>
      <w:r>
        <w:t>18EB.</w:t>
      </w:r>
      <w:r>
        <w:tab/>
        <w:t>Incidents and information prescribed for register (Act s. 116A)</w:t>
      </w:r>
      <w:r>
        <w:tab/>
      </w:r>
      <w:r>
        <w:fldChar w:fldCharType="begin"/>
      </w:r>
      <w:r>
        <w:instrText xml:space="preserve"> PAGEREF _Toc82689680 \h </w:instrText>
      </w:r>
      <w:r>
        <w:fldChar w:fldCharType="separate"/>
      </w:r>
      <w:r>
        <w:t>67</w:t>
      </w:r>
      <w:r>
        <w:fldChar w:fldCharType="end"/>
      </w:r>
    </w:p>
    <w:p>
      <w:pPr>
        <w:pStyle w:val="TOC8"/>
        <w:rPr>
          <w:rFonts w:asciiTheme="minorHAnsi" w:eastAsiaTheme="minorEastAsia" w:hAnsiTheme="minorHAnsi" w:cstheme="minorBidi"/>
          <w:szCs w:val="22"/>
        </w:rPr>
      </w:pPr>
      <w:r>
        <w:t>18EC.</w:t>
      </w:r>
      <w:r>
        <w:tab/>
        <w:t>Prescribed incidents involving physical force</w:t>
      </w:r>
      <w:r>
        <w:tab/>
      </w:r>
      <w:r>
        <w:fldChar w:fldCharType="begin"/>
      </w:r>
      <w:r>
        <w:instrText xml:space="preserve"> PAGEREF _Toc82689681 \h </w:instrText>
      </w:r>
      <w:r>
        <w:fldChar w:fldCharType="separate"/>
      </w:r>
      <w:r>
        <w:t>68</w:t>
      </w:r>
      <w:r>
        <w:fldChar w:fldCharType="end"/>
      </w:r>
    </w:p>
    <w:p>
      <w:pPr>
        <w:pStyle w:val="TOC8"/>
        <w:rPr>
          <w:rFonts w:asciiTheme="minorHAnsi" w:eastAsiaTheme="minorEastAsia" w:hAnsiTheme="minorHAnsi" w:cstheme="minorBidi"/>
          <w:szCs w:val="22"/>
        </w:rPr>
      </w:pPr>
      <w:r>
        <w:t>18F.</w:t>
      </w:r>
      <w:r>
        <w:tab/>
        <w:t>Training courses prescribed (Act s. 121(11)(d))</w:t>
      </w:r>
      <w:r>
        <w:tab/>
      </w:r>
      <w:r>
        <w:fldChar w:fldCharType="begin"/>
      </w:r>
      <w:r>
        <w:instrText xml:space="preserve"> PAGEREF _Toc82689682 \h </w:instrText>
      </w:r>
      <w:r>
        <w:fldChar w:fldCharType="separate"/>
      </w:r>
      <w:r>
        <w:t>70</w:t>
      </w:r>
      <w:r>
        <w:fldChar w:fldCharType="end"/>
      </w:r>
    </w:p>
    <w:p>
      <w:pPr>
        <w:pStyle w:val="TOC8"/>
        <w:rPr>
          <w:rFonts w:asciiTheme="minorHAnsi" w:eastAsiaTheme="minorEastAsia" w:hAnsiTheme="minorHAnsi" w:cstheme="minorBidi"/>
          <w:szCs w:val="22"/>
        </w:rPr>
      </w:pPr>
      <w:r>
        <w:t>18G.</w:t>
      </w:r>
      <w:r>
        <w:tab/>
        <w:t>Confiscated document, how to be dealt with (Act s. 126(2b))</w:t>
      </w:r>
      <w:r>
        <w:tab/>
      </w:r>
      <w:r>
        <w:fldChar w:fldCharType="begin"/>
      </w:r>
      <w:r>
        <w:instrText xml:space="preserve"> PAGEREF _Toc82689683 \h </w:instrText>
      </w:r>
      <w:r>
        <w:fldChar w:fldCharType="separate"/>
      </w:r>
      <w:r>
        <w:t>70</w:t>
      </w:r>
      <w:r>
        <w:fldChar w:fldCharType="end"/>
      </w:r>
    </w:p>
    <w:p>
      <w:pPr>
        <w:pStyle w:val="TOC8"/>
        <w:rPr>
          <w:rFonts w:asciiTheme="minorHAnsi" w:eastAsiaTheme="minorEastAsia" w:hAnsiTheme="minorHAnsi" w:cstheme="minorBidi"/>
          <w:szCs w:val="22"/>
        </w:rPr>
      </w:pPr>
      <w:r>
        <w:t>18H.</w:t>
      </w:r>
      <w:r>
        <w:tab/>
        <w:t>Provisions prescribed (Act s. 126E(4))</w:t>
      </w:r>
      <w:r>
        <w:tab/>
      </w:r>
      <w:r>
        <w:fldChar w:fldCharType="begin"/>
      </w:r>
      <w:r>
        <w:instrText xml:space="preserve"> PAGEREF _Toc82689684 \h </w:instrText>
      </w:r>
      <w:r>
        <w:fldChar w:fldCharType="separate"/>
      </w:r>
      <w:r>
        <w:t>71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Subsidy, application for</w:t>
      </w:r>
      <w:r>
        <w:tab/>
      </w:r>
      <w:r>
        <w:fldChar w:fldCharType="begin"/>
      </w:r>
      <w:r>
        <w:instrText xml:space="preserve"> PAGEREF _Toc82689685 \h </w:instrText>
      </w:r>
      <w:r>
        <w:fldChar w:fldCharType="separate"/>
      </w:r>
      <w:r>
        <w:t>71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Persons prescribed (Act s. 129 </w:t>
      </w:r>
      <w:r>
        <w:rPr>
          <w:i/>
          <w:snapToGrid w:val="0"/>
        </w:rPr>
        <w:t>wholesaler</w:t>
      </w:r>
      <w:r>
        <w:rPr>
          <w:snapToGrid w:val="0"/>
        </w:rPr>
        <w:t>)</w:t>
      </w:r>
      <w:r>
        <w:tab/>
      </w:r>
      <w:r>
        <w:fldChar w:fldCharType="begin"/>
      </w:r>
      <w:r>
        <w:instrText xml:space="preserve"> PAGEREF _Toc82689686 \h </w:instrText>
      </w:r>
      <w:r>
        <w:fldChar w:fldCharType="separate"/>
      </w:r>
      <w:r>
        <w:t>71</w:t>
      </w:r>
      <w:r>
        <w:fldChar w:fldCharType="end"/>
      </w:r>
    </w:p>
    <w:p>
      <w:pPr>
        <w:pStyle w:val="TOC8"/>
        <w:rPr>
          <w:rFonts w:asciiTheme="minorHAnsi" w:eastAsiaTheme="minorEastAsia" w:hAnsiTheme="minorHAnsi" w:cstheme="minorBidi"/>
          <w:szCs w:val="22"/>
        </w:rPr>
      </w:pPr>
      <w:r>
        <w:t>21.</w:t>
      </w:r>
      <w:r>
        <w:tab/>
        <w:t>Wholesaler, subsidy for (Act s. 130)</w:t>
      </w:r>
      <w:r>
        <w:tab/>
      </w:r>
      <w:r>
        <w:fldChar w:fldCharType="begin"/>
      </w:r>
      <w:r>
        <w:instrText xml:space="preserve"> PAGEREF _Toc82689687 \h </w:instrText>
      </w:r>
      <w:r>
        <w:fldChar w:fldCharType="separate"/>
      </w:r>
      <w:r>
        <w:t>72</w:t>
      </w:r>
      <w:r>
        <w:fldChar w:fldCharType="end"/>
      </w:r>
    </w:p>
    <w:p>
      <w:pPr>
        <w:pStyle w:val="TOC8"/>
        <w:rPr>
          <w:rFonts w:asciiTheme="minorHAnsi" w:eastAsiaTheme="minorEastAsia" w:hAnsiTheme="minorHAnsi" w:cstheme="minorBidi"/>
          <w:szCs w:val="22"/>
        </w:rPr>
      </w:pPr>
      <w:r>
        <w:t>21A.</w:t>
      </w:r>
      <w:r>
        <w:tab/>
        <w:t>Wine producer, subsidy for (Act s. 130)</w:t>
      </w:r>
      <w:r>
        <w:tab/>
      </w:r>
      <w:r>
        <w:fldChar w:fldCharType="begin"/>
      </w:r>
      <w:r>
        <w:instrText xml:space="preserve"> PAGEREF _Toc82689688 \h </w:instrText>
      </w:r>
      <w:r>
        <w:fldChar w:fldCharType="separate"/>
      </w:r>
      <w:r>
        <w:t>73</w:t>
      </w:r>
      <w:r>
        <w:fldChar w:fldCharType="end"/>
      </w:r>
    </w:p>
    <w:p>
      <w:pPr>
        <w:pStyle w:val="TOC8"/>
        <w:rPr>
          <w:rFonts w:asciiTheme="minorHAnsi" w:eastAsiaTheme="minorEastAsia" w:hAnsiTheme="minorHAnsi" w:cstheme="minorBidi"/>
          <w:szCs w:val="22"/>
        </w:rPr>
      </w:pPr>
      <w:r>
        <w:t>21AC</w:t>
      </w:r>
      <w:r>
        <w:rPr>
          <w:snapToGrid w:val="0"/>
        </w:rPr>
        <w:t>.</w:t>
      </w:r>
      <w:r>
        <w:rPr>
          <w:snapToGrid w:val="0"/>
        </w:rPr>
        <w:tab/>
        <w:t>Subsidy payable once in respect of sale of liquor</w:t>
      </w:r>
      <w:r>
        <w:tab/>
      </w:r>
      <w:r>
        <w:fldChar w:fldCharType="begin"/>
      </w:r>
      <w:r>
        <w:instrText xml:space="preserve"> PAGEREF _Toc82689689 \h </w:instrText>
      </w:r>
      <w:r>
        <w:fldChar w:fldCharType="separate"/>
      </w:r>
      <w:r>
        <w:t>74</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 xml:space="preserve">Subsidy, conditions imposed by Director as to </w:t>
      </w:r>
      <w:r>
        <w:t>(Act s. 130(2))</w:t>
      </w:r>
      <w:r>
        <w:tab/>
      </w:r>
      <w:r>
        <w:fldChar w:fldCharType="begin"/>
      </w:r>
      <w:r>
        <w:instrText xml:space="preserve"> PAGEREF _Toc82689690 \h </w:instrText>
      </w:r>
      <w:r>
        <w:fldChar w:fldCharType="separate"/>
      </w:r>
      <w:r>
        <w:t>74</w:t>
      </w:r>
      <w:r>
        <w:fldChar w:fldCharType="end"/>
      </w:r>
    </w:p>
    <w:p>
      <w:pPr>
        <w:pStyle w:val="TOC8"/>
        <w:rPr>
          <w:rFonts w:asciiTheme="minorHAnsi" w:eastAsiaTheme="minorEastAsia" w:hAnsiTheme="minorHAnsi" w:cstheme="minorBidi"/>
          <w:szCs w:val="22"/>
        </w:rPr>
      </w:pPr>
      <w:r>
        <w:t>21C</w:t>
      </w:r>
      <w:r>
        <w:rPr>
          <w:snapToGrid w:val="0"/>
        </w:rPr>
        <w:t>.</w:t>
      </w:r>
      <w:r>
        <w:rPr>
          <w:snapToGrid w:val="0"/>
        </w:rPr>
        <w:tab/>
        <w:t>Licensees prescribed </w:t>
      </w:r>
      <w:r>
        <w:t>(Act s. </w:t>
      </w:r>
      <w:r>
        <w:rPr>
          <w:snapToGrid w:val="0"/>
        </w:rPr>
        <w:t>145(1))</w:t>
      </w:r>
      <w:r>
        <w:tab/>
      </w:r>
      <w:r>
        <w:fldChar w:fldCharType="begin"/>
      </w:r>
      <w:r>
        <w:instrText xml:space="preserve"> PAGEREF _Toc82689691 \h </w:instrText>
      </w:r>
      <w:r>
        <w:fldChar w:fldCharType="separate"/>
      </w:r>
      <w:r>
        <w:t>74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Records prescribed etc. </w:t>
      </w:r>
      <w:r>
        <w:t>(Act s. </w:t>
      </w:r>
      <w:r>
        <w:rPr>
          <w:snapToGrid w:val="0"/>
        </w:rPr>
        <w:t>145)</w:t>
      </w:r>
      <w:r>
        <w:tab/>
      </w:r>
      <w:r>
        <w:fldChar w:fldCharType="begin"/>
      </w:r>
      <w:r>
        <w:instrText xml:space="preserve"> PAGEREF _Toc82689692 \h </w:instrText>
      </w:r>
      <w:r>
        <w:fldChar w:fldCharType="separate"/>
      </w:r>
      <w:r>
        <w:t>74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Returns, verification and lodgment of </w:t>
      </w:r>
      <w:r>
        <w:t>(Act s. 146)</w:t>
      </w:r>
      <w:r>
        <w:tab/>
      </w:r>
      <w:r>
        <w:fldChar w:fldCharType="begin"/>
      </w:r>
      <w:r>
        <w:instrText xml:space="preserve"> PAGEREF _Toc82689693 \h </w:instrText>
      </w:r>
      <w:r>
        <w:fldChar w:fldCharType="separate"/>
      </w:r>
      <w:r>
        <w:t>77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 xml:space="preserve">Return of information required etc. </w:t>
      </w:r>
      <w:r>
        <w:t>(Act s. 145)</w:t>
      </w:r>
      <w:r>
        <w:tab/>
      </w:r>
      <w:r>
        <w:fldChar w:fldCharType="begin"/>
      </w:r>
      <w:r>
        <w:instrText xml:space="preserve"> PAGEREF _Toc82689694 \h </w:instrText>
      </w:r>
      <w:r>
        <w:fldChar w:fldCharType="separate"/>
      </w:r>
      <w:r>
        <w:t>78</w:t>
      </w:r>
      <w:r>
        <w:fldChar w:fldCharType="end"/>
      </w:r>
    </w:p>
    <w:p>
      <w:pPr>
        <w:pStyle w:val="TOC8"/>
        <w:rPr>
          <w:rFonts w:asciiTheme="minorHAnsi" w:eastAsiaTheme="minorEastAsia" w:hAnsiTheme="minorHAnsi" w:cstheme="minorBidi"/>
          <w:szCs w:val="22"/>
        </w:rPr>
      </w:pPr>
      <w:r>
        <w:t>25A.</w:t>
      </w:r>
      <w:r>
        <w:tab/>
        <w:t>Class of persons prescribed (Act s. 152P(4)(b))</w:t>
      </w:r>
      <w:r>
        <w:tab/>
      </w:r>
      <w:r>
        <w:fldChar w:fldCharType="begin"/>
      </w:r>
      <w:r>
        <w:instrText xml:space="preserve"> PAGEREF _Toc82689695 \h </w:instrText>
      </w:r>
      <w:r>
        <w:fldChar w:fldCharType="separate"/>
      </w:r>
      <w:r>
        <w:t>80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Money payable under Act, how payable</w:t>
      </w:r>
      <w:r>
        <w:tab/>
      </w:r>
      <w:r>
        <w:fldChar w:fldCharType="begin"/>
      </w:r>
      <w:r>
        <w:instrText xml:space="preserve"> PAGEREF _Toc82689696 \h </w:instrText>
      </w:r>
      <w:r>
        <w:fldChar w:fldCharType="separate"/>
      </w:r>
      <w:r>
        <w:t>80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Fees generally (Sch. 3)</w:t>
      </w:r>
      <w:r>
        <w:tab/>
      </w:r>
      <w:r>
        <w:fldChar w:fldCharType="begin"/>
      </w:r>
      <w:r>
        <w:instrText xml:space="preserve"> PAGEREF _Toc82689697 \h </w:instrText>
      </w:r>
      <w:r>
        <w:fldChar w:fldCharType="separate"/>
      </w:r>
      <w:r>
        <w:t>80</w:t>
      </w:r>
      <w:r>
        <w:fldChar w:fldCharType="end"/>
      </w:r>
    </w:p>
    <w:p>
      <w:pPr>
        <w:pStyle w:val="TOC8"/>
        <w:rPr>
          <w:rFonts w:asciiTheme="minorHAnsi" w:eastAsiaTheme="minorEastAsia" w:hAnsiTheme="minorHAnsi" w:cstheme="minorBidi"/>
          <w:szCs w:val="22"/>
        </w:rPr>
      </w:pPr>
      <w:r>
        <w:t>27A.</w:t>
      </w:r>
      <w:r>
        <w:tab/>
        <w:t>Reduction in licence fee for new licences</w:t>
      </w:r>
      <w:r>
        <w:tab/>
      </w:r>
      <w:r>
        <w:fldChar w:fldCharType="begin"/>
      </w:r>
      <w:r>
        <w:instrText xml:space="preserve"> PAGEREF _Toc82689698 \h </w:instrText>
      </w:r>
      <w:r>
        <w:fldChar w:fldCharType="separate"/>
      </w:r>
      <w:r>
        <w:t>82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r>
      <w:r>
        <w:t>Prescribed offences for infringement notices (Act s. 167(2))</w:t>
      </w:r>
      <w:r>
        <w:tab/>
      </w:r>
      <w:r>
        <w:fldChar w:fldCharType="begin"/>
      </w:r>
      <w:r>
        <w:instrText xml:space="preserve"> PAGEREF _Toc82689699 \h </w:instrText>
      </w:r>
      <w:r>
        <w:fldChar w:fldCharType="separate"/>
      </w:r>
      <w:r>
        <w:t>82</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w:t>
      </w:r>
    </w:p>
    <w:p>
      <w:pPr>
        <w:pStyle w:val="TOC2"/>
        <w:keepNext w:val="0"/>
        <w:tabs>
          <w:tab w:val="right" w:leader="dot" w:pos="7077"/>
        </w:tabs>
        <w:rPr>
          <w:rFonts w:asciiTheme="minorHAnsi" w:eastAsiaTheme="minorEastAsia" w:hAnsiTheme="minorHAnsi" w:cstheme="minorBidi"/>
          <w:b w:val="0"/>
          <w:sz w:val="22"/>
          <w:szCs w:val="22"/>
        </w:rPr>
      </w:pPr>
      <w:r>
        <w:t>Forms</w:t>
      </w:r>
    </w:p>
    <w:p>
      <w:pPr>
        <w:pStyle w:val="TOC2"/>
        <w:keepNext w:val="0"/>
        <w:tabs>
          <w:tab w:val="right" w:leader="dot" w:pos="7077"/>
        </w:tabs>
        <w:rPr>
          <w:rFonts w:asciiTheme="minorHAnsi" w:eastAsiaTheme="minorEastAsia" w:hAnsiTheme="minorHAnsi" w:cstheme="minorBidi"/>
          <w:b w:val="0"/>
          <w:sz w:val="22"/>
          <w:szCs w:val="22"/>
        </w:rPr>
      </w:pPr>
      <w:r>
        <w:t>Schedule 2</w:t>
      </w:r>
    </w:p>
    <w:p>
      <w:pPr>
        <w:pStyle w:val="TOC2"/>
        <w:keepNext w:val="0"/>
        <w:tabs>
          <w:tab w:val="right" w:leader="dot" w:pos="7077"/>
        </w:tabs>
        <w:rPr>
          <w:rFonts w:asciiTheme="minorHAnsi" w:eastAsiaTheme="minorEastAsia" w:hAnsiTheme="minorHAnsi" w:cstheme="minorBidi"/>
          <w:b w:val="0"/>
          <w:sz w:val="22"/>
          <w:szCs w:val="22"/>
        </w:rPr>
      </w:pPr>
      <w:r>
        <w:t>Details of applicant</w:t>
      </w:r>
    </w:p>
    <w:p>
      <w:pPr>
        <w:pStyle w:val="TOC2"/>
        <w:keepNext w:val="0"/>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keepNext/>
        <w:rPr>
          <w:rFonts w:asciiTheme="minorHAnsi" w:eastAsiaTheme="minorEastAsia" w:hAnsiTheme="minorHAnsi" w:cstheme="minorBidi"/>
          <w:szCs w:val="22"/>
        </w:rPr>
      </w:pPr>
      <w:r>
        <w:tab/>
        <w:t>Compilation table</w:t>
      </w:r>
      <w:r>
        <w:tab/>
      </w:r>
      <w:r>
        <w:fldChar w:fldCharType="begin"/>
      </w:r>
      <w:r>
        <w:instrText xml:space="preserve"> PAGEREF _Toc82689706 \h </w:instrText>
      </w:r>
      <w:r>
        <w:fldChar w:fldCharType="separate"/>
      </w:r>
      <w:r>
        <w:t>101</w:t>
      </w:r>
      <w:r>
        <w:fldChar w:fldCharType="end"/>
      </w:r>
    </w:p>
    <w:p>
      <w:pPr>
        <w:pStyle w:val="TOC8"/>
        <w:keepNext/>
        <w:rPr>
          <w:rFonts w:asciiTheme="minorHAnsi" w:eastAsiaTheme="minorEastAsia" w:hAnsiTheme="minorHAnsi" w:cstheme="minorBidi"/>
          <w:szCs w:val="22"/>
        </w:rPr>
      </w:pPr>
      <w:r>
        <w:tab/>
        <w:t>Other notes</w:t>
      </w:r>
      <w:r>
        <w:tab/>
      </w:r>
      <w:r>
        <w:fldChar w:fldCharType="begin"/>
      </w:r>
      <w:r>
        <w:instrText xml:space="preserve"> PAGEREF _Toc82689707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Liquor Control Act 1988</w:t>
      </w:r>
    </w:p>
    <w:p>
      <w:pPr>
        <w:pStyle w:val="NameofActReg"/>
      </w:pPr>
      <w:r>
        <w:t>Liquor Control Regulations 1989</w:t>
      </w:r>
    </w:p>
    <w:p>
      <w:pPr>
        <w:pStyle w:val="Heading5"/>
        <w:rPr>
          <w:snapToGrid w:val="0"/>
        </w:rPr>
      </w:pPr>
      <w:bookmarkStart w:id="3" w:name="_Toc82689605"/>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w:t>
      </w:r>
    </w:p>
    <w:p>
      <w:pPr>
        <w:pStyle w:val="Footnotesection"/>
      </w:pPr>
      <w:r>
        <w:tab/>
        <w:t>[Regulation 1 amended: Gazette 1 May 2007 p. 1864.]</w:t>
      </w:r>
    </w:p>
    <w:p>
      <w:pPr>
        <w:pStyle w:val="Heading5"/>
        <w:rPr>
          <w:snapToGrid w:val="0"/>
        </w:rPr>
      </w:pPr>
      <w:bookmarkStart w:id="4" w:name="_Toc82689606"/>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1</w:t>
      </w:r>
      <w:r>
        <w:rPr>
          <w:snapToGrid w:val="0"/>
        </w:rPr>
        <w:t xml:space="preserve"> comes into operation.</w:t>
      </w:r>
    </w:p>
    <w:p>
      <w:pPr>
        <w:pStyle w:val="Heading5"/>
        <w:rPr>
          <w:snapToGrid w:val="0"/>
        </w:rPr>
      </w:pPr>
      <w:bookmarkStart w:id="5" w:name="_Toc82689607"/>
      <w:r>
        <w:rPr>
          <w:rStyle w:val="CharSectno"/>
        </w:rPr>
        <w:t>3</w:t>
      </w:r>
      <w:r>
        <w:rPr>
          <w:snapToGrid w:val="0"/>
        </w:rPr>
        <w:t>.</w:t>
      </w:r>
      <w:r>
        <w:rPr>
          <w:snapToGrid w:val="0"/>
        </w:rPr>
        <w:tab/>
        <w:t>Forms prescribed etc. (Sch. 1)</w:t>
      </w:r>
      <w:bookmarkEnd w:id="5"/>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Gazette 3 Jun 2011 p. 1999.]</w:t>
      </w:r>
    </w:p>
    <w:p>
      <w:pPr>
        <w:pStyle w:val="Heading5"/>
        <w:rPr>
          <w:snapToGrid w:val="0"/>
        </w:rPr>
      </w:pPr>
      <w:bookmarkStart w:id="6" w:name="_Toc82689608"/>
      <w:r>
        <w:rPr>
          <w:rStyle w:val="CharSectno"/>
        </w:rPr>
        <w:lastRenderedPageBreak/>
        <w:t>3A</w:t>
      </w:r>
      <w:r>
        <w:rPr>
          <w:snapToGrid w:val="0"/>
        </w:rPr>
        <w:t>.</w:t>
      </w:r>
      <w:r>
        <w:rPr>
          <w:snapToGrid w:val="0"/>
        </w:rPr>
        <w:tab/>
        <w:t>Terms used</w:t>
      </w:r>
      <w:bookmarkEnd w:id="6"/>
    </w:p>
    <w:p>
      <w:pPr>
        <w:pStyle w:val="Subsection"/>
        <w:keepNext/>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xml:space="preserve"> means, in relation to an application for a permit or licence, or an application to vary a condition of a permit or licence,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crowd controller</w:t>
      </w:r>
      <w:r>
        <w:t xml:space="preserve"> has the meaning given in section 126C(1);</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xml:space="preserve"> means — </w:t>
      </w:r>
    </w:p>
    <w:p>
      <w:pPr>
        <w:pStyle w:val="Defpara"/>
      </w:pPr>
      <w:r>
        <w:tab/>
        <w:t>(a)</w:t>
      </w:r>
      <w:r>
        <w:tab/>
        <w:t>in relation to a day of the period to which an application for a permit or licence relates, the maximum number of patrons that the person making the application reasonably expects to be in the place or on the premises in respect of which the application is made at any one time on that day;</w:t>
      </w:r>
    </w:p>
    <w:p>
      <w:pPr>
        <w:pStyle w:val="Defpara"/>
      </w:pPr>
      <w:r>
        <w:tab/>
        <w:t>(b)</w:t>
      </w:r>
      <w:r>
        <w:tab/>
        <w:t>in relation to a day of the period to which an application to add or vary a condition of a permit or licence relates, the maximum number of patrons that the person making the application reasonably expects to be in the place or on the premises in respect of which the application is made at any one time on that day;</w:t>
      </w:r>
    </w:p>
    <w:p>
      <w:pPr>
        <w:pStyle w:val="Defpara"/>
        <w:rPr>
          <w:rStyle w:val="DraftersNotes"/>
          <w:snapToGrid/>
        </w:rPr>
      </w:pPr>
      <w:r>
        <w:tab/>
        <w:t>(c)</w:t>
      </w:r>
      <w:r>
        <w:tab/>
        <w:t xml:space="preserve">in relation to a day of the period for which an occasional licence is granted, the maximum number of patrons that the licensee reasonably expected (at the time that they applied for the licence) to be on the licensed premises at any one time on that day; </w:t>
      </w:r>
    </w:p>
    <w:p>
      <w:pPr>
        <w:pStyle w:val="Defstart"/>
      </w:pPr>
      <w:r>
        <w:lastRenderedPageBreak/>
        <w:tab/>
      </w:r>
      <w:r>
        <w:rPr>
          <w:rStyle w:val="CharDefText"/>
        </w:rPr>
        <w:t>metropolitan region</w:t>
      </w:r>
      <w:r>
        <w:t xml:space="preserve"> has the meaning given in the </w:t>
      </w:r>
      <w:r>
        <w:rPr>
          <w:i/>
        </w:rPr>
        <w:t>Planning and Development Act 2005</w:t>
      </w:r>
      <w:r>
        <w:t xml:space="preserve"> section 4(1);</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tab/>
      </w:r>
      <w:r>
        <w:rPr>
          <w:rStyle w:val="CharDefText"/>
        </w:rPr>
        <w:t>prescribed incident</w:t>
      </w:r>
      <w:r>
        <w:t xml:space="preserve"> means an incident that is prescribed by regulation 18EB(1) for the purposes of section 116A(1);</w:t>
      </w:r>
    </w:p>
    <w:p>
      <w:pPr>
        <w:pStyle w:val="Defstart"/>
      </w:pPr>
      <w:r>
        <w:rPr>
          <w:b/>
        </w:rPr>
        <w:tab/>
      </w:r>
      <w:r>
        <w:rPr>
          <w:rStyle w:val="CharDefText"/>
        </w:rPr>
        <w:t>producer</w:t>
      </w:r>
      <w:r>
        <w:t xml:space="preserve"> has the meaning given in section 129;</w:t>
      </w:r>
    </w:p>
    <w:p>
      <w:pPr>
        <w:pStyle w:val="Defstart"/>
      </w:pPr>
      <w:r>
        <w:tab/>
      </w:r>
      <w:r>
        <w:rPr>
          <w:rStyle w:val="CharDefText"/>
        </w:rPr>
        <w:t>road</w:t>
      </w:r>
      <w:r>
        <w:t xml:space="preserve"> has the meaning given in the </w:t>
      </w:r>
      <w:r>
        <w:rPr>
          <w:i/>
        </w:rPr>
        <w:t>Road Traffic (Administration) Act 2008</w:t>
      </w:r>
      <w:r>
        <w:t xml:space="preserve"> section 4;</w:t>
      </w:r>
    </w:p>
    <w:p>
      <w:pPr>
        <w:pStyle w:val="Defstart"/>
      </w:pPr>
      <w:r>
        <w:tab/>
      </w:r>
      <w:r>
        <w:rPr>
          <w:rStyle w:val="CharDefText"/>
        </w:rPr>
        <w:t>standard drink</w:t>
      </w:r>
      <w:r>
        <w:t xml:space="preserve"> means a drink containing not more than 10 g of ethanol measured at 20°C;</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keepLines w:val="0"/>
        <w:ind w:left="890" w:hanging="890"/>
      </w:pPr>
      <w:r>
        <w:tab/>
        <w:t>[Regulation 3A inserted: Gazette 30 Jan 1998 p. 561; amended: Gazette 22 May 1998 p. 2940; 28 Jul 2000 p. 4029; 28 Jun 2002 p. 3105</w:t>
      </w:r>
      <w:r>
        <w:noBreakHyphen/>
        <w:t>6; 10 Aug 2004 p. 3186; 1 May 2007 p. 1864 and 1888; 15 Jan 2010 p. 70</w:t>
      </w:r>
      <w:r>
        <w:noBreakHyphen/>
        <w:t>1; 22 Oct 2010 p. 5225; 3 Jun 2011 p. 1994; 6 Sep 2016 p. 3828; 10 Jan 2017 p. 140; 2 Oct 2018 p. 3798</w:t>
      </w:r>
      <w:r>
        <w:noBreakHyphen/>
        <w:t>9; 1 Nov 2019 p. 3858.]</w:t>
      </w:r>
    </w:p>
    <w:p>
      <w:pPr>
        <w:pStyle w:val="Heading5"/>
        <w:keepLines w:val="0"/>
      </w:pPr>
      <w:bookmarkStart w:id="7" w:name="_Toc82689609"/>
      <w:r>
        <w:rPr>
          <w:rStyle w:val="CharSectno"/>
        </w:rPr>
        <w:lastRenderedPageBreak/>
        <w:t>3AB</w:t>
      </w:r>
      <w:r>
        <w:t>.</w:t>
      </w:r>
      <w:r>
        <w:tab/>
        <w:t xml:space="preserve">Kind of liquor prescribed (mist containing ethanol) (Act s. 3(1) </w:t>
      </w:r>
      <w:r>
        <w:rPr>
          <w:i/>
        </w:rPr>
        <w:t>kind</w:t>
      </w:r>
      <w:r>
        <w:t>)</w:t>
      </w:r>
      <w:bookmarkEnd w:id="7"/>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Gazette 11 Jan 2005 p. 98; amended: Gazette 1 May 2007 p. 1888.]</w:t>
      </w:r>
    </w:p>
    <w:p>
      <w:pPr>
        <w:pStyle w:val="Heading5"/>
        <w:keepLines w:val="0"/>
      </w:pPr>
      <w:bookmarkStart w:id="8" w:name="_Toc82689610"/>
      <w:r>
        <w:rPr>
          <w:rStyle w:val="CharSectno"/>
        </w:rPr>
        <w:t>3AC</w:t>
      </w:r>
      <w:r>
        <w:t>.</w:t>
      </w:r>
      <w:r>
        <w:tab/>
        <w:t xml:space="preserve">Kind of liquor prescribed (aerosol containing ethanol) (Act s. 3(1) </w:t>
      </w:r>
      <w:r>
        <w:rPr>
          <w:i/>
        </w:rPr>
        <w:t>kind</w:t>
      </w:r>
      <w:r>
        <w:t>)</w:t>
      </w:r>
      <w:bookmarkEnd w:id="8"/>
    </w:p>
    <w:p>
      <w:pPr>
        <w:pStyle w:val="Subsection"/>
        <w:spacing w:before="120"/>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Gazette 11 Jan 2005 p. 98; amended: Gazette 1 May 2007 p. 1888.]</w:t>
      </w:r>
    </w:p>
    <w:p>
      <w:pPr>
        <w:pStyle w:val="Heading5"/>
        <w:spacing w:before="180"/>
      </w:pPr>
      <w:bookmarkStart w:id="9" w:name="_Toc82689611"/>
      <w:r>
        <w:rPr>
          <w:rStyle w:val="CharSectno"/>
        </w:rPr>
        <w:t>3AD</w:t>
      </w:r>
      <w:r>
        <w:t>.</w:t>
      </w:r>
      <w:r>
        <w:tab/>
        <w:t xml:space="preserve">Kind of liquor prescribed (powdered alcohol) (Act s. 3(1) </w:t>
      </w:r>
      <w:r>
        <w:rPr>
          <w:i/>
        </w:rPr>
        <w:t>kind</w:t>
      </w:r>
      <w:r>
        <w:t>)</w:t>
      </w:r>
      <w:bookmarkEnd w:id="9"/>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pPr>
      <w:r>
        <w:tab/>
        <w:t>[Regulation 3AD inserted: Gazette 7 Aug 2015 p. 3206.]</w:t>
      </w:r>
    </w:p>
    <w:p>
      <w:pPr>
        <w:pStyle w:val="Heading5"/>
        <w:keepLines w:val="0"/>
        <w:spacing w:before="180"/>
        <w:rPr>
          <w:snapToGrid w:val="0"/>
        </w:rPr>
      </w:pPr>
      <w:bookmarkStart w:id="10" w:name="_Toc82689612"/>
      <w:r>
        <w:rPr>
          <w:rStyle w:val="CharSectno"/>
        </w:rPr>
        <w:t>4</w:t>
      </w:r>
      <w:r>
        <w:rPr>
          <w:snapToGrid w:val="0"/>
        </w:rPr>
        <w:t>.</w:t>
      </w:r>
      <w:r>
        <w:rPr>
          <w:snapToGrid w:val="0"/>
        </w:rPr>
        <w:tab/>
        <w:t xml:space="preserve">Level prescribed </w:t>
      </w:r>
      <w:r>
        <w:t xml:space="preserve">(Act s. 3(1) </w:t>
      </w:r>
      <w:r>
        <w:rPr>
          <w:i/>
        </w:rPr>
        <w:t>low alcohol liquor</w:t>
      </w:r>
      <w:r>
        <w:t>)</w:t>
      </w:r>
      <w:bookmarkEnd w:id="10"/>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Gazette 22 May 1998 p. 2940; amended: Gazette 28 Jul 2000 p. 4029; 1 May 2007 p. 1888.]</w:t>
      </w:r>
    </w:p>
    <w:p>
      <w:pPr>
        <w:pStyle w:val="Heading5"/>
        <w:spacing w:before="180"/>
        <w:rPr>
          <w:snapToGrid w:val="0"/>
        </w:rPr>
      </w:pPr>
      <w:bookmarkStart w:id="11" w:name="_Toc82689613"/>
      <w:r>
        <w:rPr>
          <w:rStyle w:val="CharSectno"/>
        </w:rPr>
        <w:lastRenderedPageBreak/>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11"/>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Gazette 22 May 1998 p. 2940; amended: Gazette 6 Oct 1998 p. 5564; 1 May 2007 p. 1888.]</w:t>
      </w:r>
    </w:p>
    <w:p>
      <w:pPr>
        <w:pStyle w:val="Heading5"/>
        <w:keepNext w:val="0"/>
        <w:keepLines w:val="0"/>
        <w:spacing w:before="180"/>
        <w:rPr>
          <w:bCs/>
          <w:snapToGrid w:val="0"/>
        </w:rPr>
      </w:pPr>
      <w:bookmarkStart w:id="12" w:name="_Toc82689614"/>
      <w:r>
        <w:rPr>
          <w:rStyle w:val="CharSectno"/>
        </w:rPr>
        <w:t>4A</w:t>
      </w:r>
      <w:r>
        <w:rPr>
          <w:snapToGrid w:val="0"/>
        </w:rPr>
        <w:t>.</w:t>
      </w:r>
      <w:r>
        <w:rPr>
          <w:snapToGrid w:val="0"/>
        </w:rPr>
        <w:tab/>
        <w:t xml:space="preserve">Substances prescribed (food items) </w:t>
      </w:r>
      <w:r>
        <w:t xml:space="preserve">(Act s. 3(1) </w:t>
      </w:r>
      <w:r>
        <w:rPr>
          <w:i/>
        </w:rPr>
        <w:t>liquor</w:t>
      </w:r>
      <w:r>
        <w:t>)</w:t>
      </w:r>
      <w:bookmarkEnd w:id="12"/>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Gazette 23 Sep 1994 p. 4901; amended: Gazette 30 Dec 1994 p. 7329; 26 Nov 1996 p. 6629; 30 Apr 1999 p. 1820</w:t>
      </w:r>
      <w:r>
        <w:noBreakHyphen/>
        <w:t>1.]</w:t>
      </w:r>
    </w:p>
    <w:p>
      <w:pPr>
        <w:pStyle w:val="Heading5"/>
      </w:pPr>
      <w:bookmarkStart w:id="13" w:name="_Toc82689615"/>
      <w:r>
        <w:rPr>
          <w:rStyle w:val="CharSectno"/>
        </w:rPr>
        <w:lastRenderedPageBreak/>
        <w:t>4AB</w:t>
      </w:r>
      <w:r>
        <w:t>.</w:t>
      </w:r>
      <w:r>
        <w:tab/>
        <w:t>Substance prescribed (mist containing ethanol) (Act s. 3(1) </w:t>
      </w:r>
      <w:r>
        <w:rPr>
          <w:i/>
        </w:rPr>
        <w:t>liquor</w:t>
      </w:r>
      <w:r>
        <w:t>)</w:t>
      </w:r>
      <w:bookmarkEnd w:id="13"/>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Gazette 11 Jan 2005 p. 98</w:t>
      </w:r>
      <w:r>
        <w:noBreakHyphen/>
        <w:t>9; amended: Gazette 1 May 2007 p. 1888</w:t>
      </w:r>
      <w:r>
        <w:noBreakHyphen/>
        <w:t>9.]</w:t>
      </w:r>
    </w:p>
    <w:p>
      <w:pPr>
        <w:pStyle w:val="Heading5"/>
        <w:keepNext w:val="0"/>
        <w:keepLines w:val="0"/>
        <w:spacing w:before="180"/>
        <w:rPr>
          <w:bCs/>
          <w:snapToGrid w:val="0"/>
        </w:rPr>
      </w:pPr>
      <w:bookmarkStart w:id="14" w:name="_Toc82689616"/>
      <w:r>
        <w:rPr>
          <w:rStyle w:val="CharSectno"/>
        </w:rPr>
        <w:t>4AC</w:t>
      </w:r>
      <w:r>
        <w:t>.</w:t>
      </w:r>
      <w:r>
        <w:tab/>
        <w:t xml:space="preserve">Substance prescribed (aerosol containing ethanol) (Act s. 3(1) </w:t>
      </w:r>
      <w:r>
        <w:rPr>
          <w:i/>
        </w:rPr>
        <w:t>liquor</w:t>
      </w:r>
      <w:r>
        <w:t>)</w:t>
      </w:r>
      <w:bookmarkEnd w:id="14"/>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Gazette 11 Jan 2005 p. 99; amended: Gazette 1 May 2007 p. 1888</w:t>
      </w:r>
      <w:r>
        <w:noBreakHyphen/>
        <w:t>9.]</w:t>
      </w:r>
    </w:p>
    <w:p>
      <w:pPr>
        <w:pStyle w:val="Heading5"/>
      </w:pPr>
      <w:bookmarkStart w:id="15" w:name="_Toc82689617"/>
      <w:r>
        <w:rPr>
          <w:rStyle w:val="CharSectno"/>
        </w:rPr>
        <w:t>4AD</w:t>
      </w:r>
      <w:r>
        <w:t>.</w:t>
      </w:r>
      <w:r>
        <w:tab/>
        <w:t xml:space="preserve">Substance prescribed (powdered alcohol) (Act s. 3(1) </w:t>
      </w:r>
      <w:r>
        <w:rPr>
          <w:i/>
        </w:rPr>
        <w:t>liquor</w:t>
      </w:r>
      <w:r>
        <w:t>)</w:t>
      </w:r>
      <w:bookmarkEnd w:id="15"/>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keepNext/>
      </w:pPr>
      <w:r>
        <w:lastRenderedPageBreak/>
        <w:tab/>
        <w:t>(2)</w:t>
      </w:r>
      <w:r>
        <w:tab/>
        <w:t xml:space="preserve">For the purposes of paragraph (b) of the definition of </w:t>
      </w:r>
      <w:r>
        <w:rPr>
          <w:b/>
          <w:bCs/>
          <w:i/>
          <w:iCs/>
        </w:rPr>
        <w:t>liquor</w:t>
      </w:r>
      <w:r>
        <w:t xml:space="preserve"> in section 3(1), powdered alcohol is prescribed as being liquor.</w:t>
      </w:r>
    </w:p>
    <w:p>
      <w:pPr>
        <w:pStyle w:val="Footnotesection"/>
      </w:pPr>
      <w:r>
        <w:tab/>
        <w:t>[Regulation 4AD inserted: Gazette 7 Aug 2015 p. 3206</w:t>
      </w:r>
      <w:r>
        <w:noBreakHyphen/>
        <w:t>7.]</w:t>
      </w:r>
    </w:p>
    <w:p>
      <w:pPr>
        <w:pStyle w:val="Heading5"/>
        <w:rPr>
          <w:rStyle w:val="CharSectno"/>
        </w:rPr>
      </w:pPr>
      <w:bookmarkStart w:id="16" w:name="_Toc82689618"/>
      <w:r>
        <w:rPr>
          <w:rStyle w:val="CharSectno"/>
        </w:rPr>
        <w:t>4AE</w:t>
      </w:r>
      <w:r>
        <w:t>.</w:t>
      </w:r>
      <w:r>
        <w:rPr>
          <w:rStyle w:val="CharSectno"/>
        </w:rPr>
        <w:tab/>
      </w:r>
      <w:r>
        <w:t>Substance prescribed (liqueur chocolate) (Act s. 3(1) liquor)</w:t>
      </w:r>
      <w:bookmarkEnd w:id="16"/>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keepNext/>
      </w:pPr>
      <w:r>
        <w:tab/>
        <w:t>(2)</w:t>
      </w:r>
      <w:r>
        <w:tab/>
        <w:t xml:space="preserve">For the purposes of paragraph (b) of the definition of </w:t>
      </w:r>
      <w:r>
        <w:rPr>
          <w:b/>
          <w:i/>
        </w:rPr>
        <w:t>liquor</w:t>
      </w:r>
      <w:r>
        <w:t xml:space="preserve"> in section 3(1), liqueur chocolate is prescribed as being liquor.</w:t>
      </w:r>
    </w:p>
    <w:p>
      <w:pPr>
        <w:pStyle w:val="Footnotesection"/>
      </w:pPr>
      <w:r>
        <w:tab/>
        <w:t>[Regulation 4AE inserted: Gazette 1 Dec 2015 p. 4821</w:t>
      </w:r>
      <w:r>
        <w:noBreakHyphen/>
        <w:t>2.]</w:t>
      </w:r>
    </w:p>
    <w:p>
      <w:pPr>
        <w:pStyle w:val="Heading5"/>
      </w:pPr>
      <w:bookmarkStart w:id="17" w:name="_Toc82689619"/>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17"/>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lastRenderedPageBreak/>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keepNext/>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2</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lastRenderedPageBreak/>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Gazette 30 Jan 1998 p. 562.]</w:t>
      </w:r>
    </w:p>
    <w:p>
      <w:pPr>
        <w:pStyle w:val="Heading5"/>
        <w:keepNext w:val="0"/>
        <w:keepLines w:val="0"/>
        <w:spacing w:before="180"/>
      </w:pPr>
      <w:bookmarkStart w:id="18" w:name="_Toc82689620"/>
      <w:r>
        <w:rPr>
          <w:rStyle w:val="CharSectno"/>
        </w:rPr>
        <w:t>5A</w:t>
      </w:r>
      <w:r>
        <w:t>.</w:t>
      </w:r>
      <w:r>
        <w:tab/>
        <w:t xml:space="preserve">Quantities prescribed </w:t>
      </w:r>
      <w:r>
        <w:rPr>
          <w:snapToGrid w:val="0"/>
        </w:rPr>
        <w:t>(Act s.</w:t>
      </w:r>
      <w:r>
        <w:t xml:space="preserve"> 3(1) </w:t>
      </w:r>
      <w:r>
        <w:rPr>
          <w:i/>
        </w:rPr>
        <w:t>sample</w:t>
      </w:r>
      <w:r>
        <w:t>)</w:t>
      </w:r>
      <w:bookmarkEnd w:id="18"/>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Gazette 1 May 2007 p. 1865.]</w:t>
      </w:r>
    </w:p>
    <w:p>
      <w:pPr>
        <w:pStyle w:val="Heading5"/>
      </w:pPr>
      <w:bookmarkStart w:id="19" w:name="_Toc82689621"/>
      <w:r>
        <w:rPr>
          <w:rStyle w:val="CharSectno"/>
        </w:rPr>
        <w:t>5B</w:t>
      </w:r>
      <w:r>
        <w:t>.</w:t>
      </w:r>
      <w:r>
        <w:tab/>
        <w:t xml:space="preserve">Positions of authority in body corporate prescribed </w:t>
      </w:r>
      <w:r>
        <w:rPr>
          <w:snapToGrid w:val="0"/>
        </w:rPr>
        <w:t>(Act s.</w:t>
      </w:r>
      <w:r>
        <w:t> 3(4)(d))</w:t>
      </w:r>
      <w:bookmarkEnd w:id="19"/>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lastRenderedPageBreak/>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keepNext/>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Gazette 1 May 2007 p. 1865</w:t>
      </w:r>
      <w:r>
        <w:noBreakHyphen/>
        <w:t>6.]</w:t>
      </w:r>
    </w:p>
    <w:p>
      <w:pPr>
        <w:pStyle w:val="Heading5"/>
      </w:pPr>
      <w:bookmarkStart w:id="20" w:name="_Toc82689622"/>
      <w:r>
        <w:rPr>
          <w:rStyle w:val="CharSectno"/>
        </w:rPr>
        <w:t>5C</w:t>
      </w:r>
      <w:r>
        <w:t>.</w:t>
      </w:r>
      <w:r>
        <w:tab/>
        <w:t>Types of special facility licence prescribed (Act s. 4(6))</w:t>
      </w:r>
      <w:bookmarkEnd w:id="20"/>
    </w:p>
    <w:p>
      <w:pPr>
        <w:pStyle w:val="Subsection"/>
      </w:pPr>
      <w:r>
        <w:tab/>
      </w:r>
      <w:r>
        <w:tab/>
        <w:t xml:space="preserve">For the purposes of section 4(6) a special facility licence is of a prescribed type if — </w:t>
      </w:r>
    </w:p>
    <w:p>
      <w:pPr>
        <w:pStyle w:val="Indenta"/>
      </w:pPr>
      <w:r>
        <w:tab/>
        <w:t>(a)</w:t>
      </w:r>
      <w:r>
        <w:tab/>
        <w:t xml:space="preserve">it is granted for a purpose described in 1 of the following regulations — </w:t>
      </w:r>
    </w:p>
    <w:p>
      <w:pPr>
        <w:pStyle w:val="Indenti"/>
      </w:pPr>
      <w:r>
        <w:tab/>
        <w:t>(i)</w:t>
      </w:r>
      <w:r>
        <w:tab/>
        <w:t>regulation 9A(7) — tourism;</w:t>
      </w:r>
    </w:p>
    <w:p>
      <w:pPr>
        <w:pStyle w:val="Indenti"/>
      </w:pPr>
      <w:r>
        <w:tab/>
        <w:t>(ii)</w:t>
      </w:r>
      <w:r>
        <w:tab/>
        <w:t>regulation 9A(22) — auction;</w:t>
      </w:r>
    </w:p>
    <w:p>
      <w:pPr>
        <w:pStyle w:val="Indenti"/>
        <w:keepNext/>
      </w:pPr>
      <w:r>
        <w:lastRenderedPageBreak/>
        <w:tab/>
        <w:t>(iii)</w:t>
      </w:r>
      <w:r>
        <w:tab/>
        <w:t>regulation 9A(24) — online wine sales;</w:t>
      </w:r>
    </w:p>
    <w:p>
      <w:pPr>
        <w:pStyle w:val="Indenta"/>
      </w:pPr>
      <w:r>
        <w:tab/>
      </w:r>
      <w:r>
        <w:tab/>
        <w:t>or</w:t>
      </w:r>
    </w:p>
    <w:p>
      <w:pPr>
        <w:pStyle w:val="Indenta"/>
      </w:pPr>
      <w:r>
        <w:tab/>
        <w:t>(b)</w:t>
      </w:r>
      <w:r>
        <w:tab/>
        <w:t>it remains in force by operation of Schedule 1 clause 20 of the Act.</w:t>
      </w:r>
    </w:p>
    <w:p>
      <w:pPr>
        <w:pStyle w:val="Footnotesection"/>
      </w:pPr>
      <w:r>
        <w:tab/>
        <w:t>[Regulation 5C inserted: Gazette 2 Oct 2018 p. 3799.]</w:t>
      </w:r>
    </w:p>
    <w:p>
      <w:pPr>
        <w:pStyle w:val="Ednotesection"/>
        <w:rPr>
          <w:szCs w:val="24"/>
        </w:rPr>
      </w:pPr>
      <w:r>
        <w:rPr>
          <w:szCs w:val="24"/>
        </w:rPr>
        <w:t>[</w:t>
      </w:r>
      <w:r>
        <w:rPr>
          <w:b/>
          <w:bCs/>
          <w:szCs w:val="24"/>
        </w:rPr>
        <w:t>6.</w:t>
      </w:r>
      <w:r>
        <w:rPr>
          <w:szCs w:val="24"/>
        </w:rPr>
        <w:tab/>
        <w:t>Deleted: Gazette 1 May 2007 p. 1867.]</w:t>
      </w:r>
    </w:p>
    <w:p>
      <w:pPr>
        <w:pStyle w:val="Heading5"/>
        <w:rPr>
          <w:snapToGrid w:val="0"/>
        </w:rPr>
      </w:pPr>
      <w:bookmarkStart w:id="21" w:name="_Toc82689623"/>
      <w:r>
        <w:rPr>
          <w:rStyle w:val="CharSectno"/>
        </w:rPr>
        <w:t>7</w:t>
      </w:r>
      <w:r>
        <w:rPr>
          <w:snapToGrid w:val="0"/>
        </w:rPr>
        <w:t>.</w:t>
      </w:r>
      <w:r>
        <w:rPr>
          <w:snapToGrid w:val="0"/>
        </w:rPr>
        <w:tab/>
        <w:t>Approved courses (Act s. 6(1)(c))</w:t>
      </w:r>
      <w:bookmarkEnd w:id="21"/>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Gazette 16 May 1995 p. 1859; amended: Gazette 1 May 2007 p. 1867 and 1888</w:t>
      </w:r>
      <w:r>
        <w:noBreakHyphen/>
        <w:t>9; 15 Jan 2010 p. 71.]</w:t>
      </w:r>
    </w:p>
    <w:p>
      <w:pPr>
        <w:pStyle w:val="Heading5"/>
        <w:rPr>
          <w:snapToGrid w:val="0"/>
        </w:rPr>
      </w:pPr>
      <w:bookmarkStart w:id="22" w:name="_Toc82689624"/>
      <w:r>
        <w:rPr>
          <w:rStyle w:val="CharSectno"/>
        </w:rPr>
        <w:t>8</w:t>
      </w:r>
      <w:r>
        <w:rPr>
          <w:snapToGrid w:val="0"/>
        </w:rPr>
        <w:t>.</w:t>
      </w:r>
      <w:r>
        <w:rPr>
          <w:snapToGrid w:val="0"/>
        </w:rPr>
        <w:tab/>
        <w:t>Exemption from Act, certain sales etc.</w:t>
      </w:r>
      <w:bookmarkEnd w:id="22"/>
    </w:p>
    <w:p>
      <w:pPr>
        <w:pStyle w:val="Subsection"/>
        <w:rPr>
          <w:snapToGrid w:val="0"/>
        </w:rPr>
      </w:pPr>
      <w:r>
        <w:rPr>
          <w:snapToGrid w:val="0"/>
        </w:rPr>
        <w:tab/>
        <w:t>(1)</w:t>
      </w:r>
      <w:r>
        <w:rPr>
          <w:snapToGrid w:val="0"/>
        </w:rPr>
        <w:tab/>
        <w:t xml:space="preserve">The following sales </w:t>
      </w:r>
      <w:r>
        <w:t>and supplies</w:t>
      </w:r>
      <w:r>
        <w:rPr>
          <w:snapToGrid w:val="0"/>
        </w:rPr>
        <w:t xml:space="preserve">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keepNext/>
      </w:pPr>
      <w:r>
        <w:lastRenderedPageBreak/>
        <w:tab/>
        <w:t>(c)</w:t>
      </w:r>
      <w:r>
        <w:tab/>
        <w:t xml:space="preserve">the sale or supply of liquor together with flowers, food or other products,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lastRenderedPageBreak/>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w:t>
      </w:r>
      <w:r>
        <w:t xml:space="preserve">a nursing home as defined in the </w:t>
      </w:r>
      <w:r>
        <w:rPr>
          <w:i/>
        </w:rPr>
        <w:t xml:space="preserve">Private Hospitals and Health Services Act 1927 </w:t>
      </w:r>
      <w:r>
        <w:t>section 2(1),</w:t>
      </w:r>
      <w:r>
        <w:rPr>
          <w:snapToGrid w:val="0"/>
        </w:rPr>
        <w:t xml:space="preserve"> to a person who is a patient and resident of the nursing </w:t>
      </w:r>
      <w:r>
        <w:t>home or to a guest of the patient and resident; or</w:t>
      </w:r>
    </w:p>
    <w:p>
      <w:pPr>
        <w:pStyle w:val="Indenti"/>
        <w:rPr>
          <w:snapToGrid w:val="0"/>
        </w:rPr>
      </w:pPr>
      <w:r>
        <w:tab/>
        <w:t>(ia)</w:t>
      </w:r>
      <w:r>
        <w:tab/>
        <w:t xml:space="preserve">by a person who conducts or manages a hospital, within the meaning of the </w:t>
      </w:r>
      <w:r>
        <w:rPr>
          <w:i/>
        </w:rPr>
        <w:t>Health Services Act 2016</w:t>
      </w:r>
      <w:r>
        <w:t>, to a patient of that hospital; or</w:t>
      </w:r>
    </w:p>
    <w:p>
      <w:pPr>
        <w:pStyle w:val="Indenti"/>
        <w:rPr>
          <w:snapToGrid w:val="0"/>
        </w:rPr>
      </w:pPr>
      <w:r>
        <w:rPr>
          <w:snapToGrid w:val="0"/>
        </w:rPr>
        <w:tab/>
        <w:t>(ii)</w:t>
      </w:r>
      <w:r>
        <w:rPr>
          <w:snapToGrid w:val="0"/>
        </w:rPr>
        <w:tab/>
        <w:t xml:space="preserve">by a person who conducts or manages </w:t>
      </w:r>
      <w:r>
        <w:t xml:space="preserve">a private psychiatric hostel, as defined in the </w:t>
      </w:r>
      <w:r>
        <w:rPr>
          <w:i/>
        </w:rPr>
        <w:t xml:space="preserve">Private Hospitals and Health Services Act 1927 </w:t>
      </w:r>
      <w:r>
        <w:t>section 2(1),</w:t>
      </w:r>
      <w:r>
        <w:rPr>
          <w:snapToGrid w:val="0"/>
        </w:rPr>
        <w:t xml:space="preserve"> to a person who is a resident of the private psychiatric hostel; or</w:t>
      </w:r>
    </w:p>
    <w:p>
      <w:pPr>
        <w:pStyle w:val="Indenti"/>
      </w:pPr>
      <w:r>
        <w:tab/>
        <w:t>(iii)</w:t>
      </w:r>
      <w:r>
        <w:tab/>
        <w:t xml:space="preserve">by a person who is an approved provider providing residential care, to a person (the </w:t>
      </w:r>
      <w:r>
        <w:rPr>
          <w:rStyle w:val="CharDefText"/>
        </w:rPr>
        <w:t>resident</w:t>
      </w:r>
      <w:r>
        <w:t>) who is accommodated in the residential facility where that residential care is provided or to a guest of the resident; or</w:t>
      </w:r>
    </w:p>
    <w:p>
      <w:pPr>
        <w:pStyle w:val="Indenti"/>
      </w:pPr>
      <w:r>
        <w:tab/>
        <w:t>(iv)</w:t>
      </w:r>
      <w:r>
        <w:tab/>
        <w:t>by a person who owns or operates a retirement village, to a resident of the retirement village or a guest of the resident; or</w:t>
      </w:r>
    </w:p>
    <w:p>
      <w:pPr>
        <w:pStyle w:val="Indenti"/>
      </w:pPr>
      <w:r>
        <w:tab/>
        <w:t>(v)</w:t>
      </w:r>
      <w:r>
        <w:tab/>
        <w:t xml:space="preserve">by a resident of a retirement village who is a member of a residents’ committee, subcommittee, incorporated association or other body of residents, to a resident of the retirement village or a guest of the resident; </w:t>
      </w:r>
    </w:p>
    <w:p>
      <w:pPr>
        <w:pStyle w:val="Indenta"/>
      </w:pPr>
      <w:r>
        <w:tab/>
        <w:t>(i)</w:t>
      </w:r>
      <w:r>
        <w:tab/>
        <w:t>the sale of liquor on an aircraft in the course of a flight of the aircraft;</w:t>
      </w:r>
    </w:p>
    <w:p>
      <w:pPr>
        <w:pStyle w:val="Indenta"/>
      </w:pPr>
      <w:r>
        <w:tab/>
        <w:t>(ja)</w:t>
      </w:r>
      <w:r>
        <w:tab/>
        <w:t>the sale of liquor on a commercial vessel in the course of an inter</w:t>
      </w:r>
      <w:r>
        <w:noBreakHyphen/>
        <w:t>State voyage or overseas voyage of the vessel;</w:t>
      </w:r>
    </w:p>
    <w:p>
      <w:pPr>
        <w:pStyle w:val="Indenta"/>
      </w:pPr>
      <w:r>
        <w:tab/>
        <w:t>(jb)</w:t>
      </w:r>
      <w:r>
        <w:tab/>
        <w:t>the sale of liquor on a cruise ship in the course of a qualifying intra</w:t>
      </w:r>
      <w:r>
        <w:noBreakHyphen/>
        <w:t>State voyage to a qualifying person for consumption on board the cruise ship;</w:t>
      </w:r>
    </w:p>
    <w:p>
      <w:pPr>
        <w:pStyle w:val="Indenta"/>
        <w:keepNext/>
        <w:keepLines/>
      </w:pPr>
      <w:r>
        <w:lastRenderedPageBreak/>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pPr>
      <w:r>
        <w:tab/>
        <w:t>(2)</w:t>
      </w:r>
      <w:r>
        <w:tab/>
        <w:t>In subregulation (1)(h)(iii) —</w:t>
      </w:r>
    </w:p>
    <w:p>
      <w:pPr>
        <w:pStyle w:val="Defstart"/>
      </w:pPr>
      <w:r>
        <w:tab/>
      </w:r>
      <w:r>
        <w:rPr>
          <w:rStyle w:val="CharDefText"/>
        </w:rPr>
        <w:t>approved provider</w:t>
      </w:r>
      <w:r>
        <w:t xml:space="preserve"> has the meaning given in the </w:t>
      </w:r>
      <w:r>
        <w:rPr>
          <w:i/>
        </w:rPr>
        <w:t xml:space="preserve">Aged Care Act 1997 </w:t>
      </w:r>
      <w:r>
        <w:t>(Commonwealth) Schedule 1 clause 1;</w:t>
      </w:r>
    </w:p>
    <w:p>
      <w:pPr>
        <w:pStyle w:val="Defstart"/>
      </w:pPr>
      <w:r>
        <w:tab/>
      </w:r>
      <w:r>
        <w:rPr>
          <w:rStyle w:val="CharDefText"/>
        </w:rPr>
        <w:t>residential care</w:t>
      </w:r>
      <w:r>
        <w:t xml:space="preserve"> has the meaning given in the </w:t>
      </w:r>
      <w:r>
        <w:rPr>
          <w:i/>
        </w:rPr>
        <w:t xml:space="preserve">Aged Care Act 1997 </w:t>
      </w:r>
      <w:r>
        <w:t>(Commonwealth) section 41</w:t>
      </w:r>
      <w:r>
        <w:noBreakHyphen/>
        <w:t>3.</w:t>
      </w:r>
    </w:p>
    <w:p>
      <w:pPr>
        <w:pStyle w:val="Defstart"/>
      </w:pPr>
      <w:r>
        <w:t>(2A)</w:t>
      </w:r>
      <w:r>
        <w:tab/>
        <w:t xml:space="preserve">In subregulation (1)(h)(iv) and (v) — </w:t>
      </w:r>
    </w:p>
    <w:p>
      <w:pPr>
        <w:pStyle w:val="Defstart"/>
      </w:pPr>
      <w:r>
        <w:tab/>
      </w:r>
      <w:r>
        <w:rPr>
          <w:rStyle w:val="CharDefText"/>
        </w:rPr>
        <w:t>resident</w:t>
      </w:r>
      <w:r>
        <w:t xml:space="preserve"> has the meaning given in the </w:t>
      </w:r>
      <w:r>
        <w:rPr>
          <w:i/>
        </w:rPr>
        <w:t>Retirement Villages Act 1992</w:t>
      </w:r>
      <w:r>
        <w:t xml:space="preserve"> section 3(1);</w:t>
      </w:r>
    </w:p>
    <w:p>
      <w:pPr>
        <w:pStyle w:val="Defstart"/>
      </w:pPr>
      <w:r>
        <w:lastRenderedPageBreak/>
        <w:tab/>
      </w:r>
      <w:r>
        <w:rPr>
          <w:rStyle w:val="CharDefText"/>
        </w:rPr>
        <w:t>retirement village</w:t>
      </w:r>
      <w:r>
        <w:t xml:space="preserve"> has the meaning given in the </w:t>
      </w:r>
      <w:r>
        <w:rPr>
          <w:i/>
        </w:rPr>
        <w:t>Retirement Villages Act 1992</w:t>
      </w:r>
      <w:r>
        <w:t xml:space="preserve"> section 3(1).</w:t>
      </w:r>
    </w:p>
    <w:p>
      <w:pPr>
        <w:pStyle w:val="Subsection"/>
      </w:pPr>
      <w:r>
        <w:tab/>
        <w:t>(3)</w:t>
      </w:r>
      <w:r>
        <w:tab/>
        <w:t>In subregulation (1)(ja) and (jb)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cruise ship</w:t>
      </w:r>
      <w:r>
        <w:t xml:space="preserve"> means a vessel that — </w:t>
      </w:r>
    </w:p>
    <w:p>
      <w:pPr>
        <w:pStyle w:val="Defpara"/>
      </w:pPr>
      <w:r>
        <w:tab/>
        <w:t>(a)</w:t>
      </w:r>
      <w:r>
        <w:tab/>
        <w:t>is suitable for deep water cruising; and</w:t>
      </w:r>
    </w:p>
    <w:p>
      <w:pPr>
        <w:pStyle w:val="Defpara"/>
      </w:pPr>
      <w:r>
        <w:tab/>
        <w:t>(b)</w:t>
      </w:r>
      <w:r>
        <w:tab/>
        <w:t>has a minimum capacity of 100 passenger berths;</w:t>
      </w:r>
    </w:p>
    <w:p>
      <w:pPr>
        <w:pStyle w:val="Defstart"/>
      </w:pPr>
      <w:r>
        <w:tab/>
      </w:r>
      <w:r>
        <w:rPr>
          <w:rStyle w:val="CharDefText"/>
        </w:rPr>
        <w:t>inter</w:t>
      </w:r>
      <w:r>
        <w:rPr>
          <w:rStyle w:val="CharDefText"/>
        </w:rPr>
        <w:noBreakHyphen/>
        <w:t>State voyage</w:t>
      </w:r>
      <w:r>
        <w:t xml:space="preserve"> means a voyage between a port in the State and a port in another State or Territory, whether or not the vessel travels between 2 or more ports in the State in the course of the voyage;</w:t>
      </w:r>
    </w:p>
    <w:p>
      <w:pPr>
        <w:pStyle w:val="Defstart"/>
      </w:pPr>
      <w:r>
        <w:tab/>
      </w:r>
      <w:r>
        <w:rPr>
          <w:rStyle w:val="CharDefText"/>
        </w:rPr>
        <w:t>overseas voyage</w:t>
      </w:r>
      <w:r>
        <w:t xml:space="preserve"> has the meaning given in the </w:t>
      </w:r>
      <w:r>
        <w:rPr>
          <w:i/>
        </w:rPr>
        <w:t xml:space="preserve">Navigation Act 2012 </w:t>
      </w:r>
      <w:r>
        <w:t>(Commonwealth) section 16;</w:t>
      </w:r>
    </w:p>
    <w:p>
      <w:pPr>
        <w:pStyle w:val="Defstart"/>
      </w:pPr>
      <w:r>
        <w:tab/>
      </w:r>
      <w:r>
        <w:rPr>
          <w:rStyle w:val="CharDefText"/>
        </w:rPr>
        <w:t>qualifying intra</w:t>
      </w:r>
      <w:r>
        <w:rPr>
          <w:rStyle w:val="CharDefText"/>
        </w:rPr>
        <w:noBreakHyphen/>
        <w:t>State voyage</w:t>
      </w:r>
      <w:r>
        <w:t xml:space="preserve"> means a scheduled deep water voyage — </w:t>
      </w:r>
    </w:p>
    <w:p>
      <w:pPr>
        <w:pStyle w:val="Defpara"/>
      </w:pPr>
      <w:r>
        <w:tab/>
        <w:t>(a)</w:t>
      </w:r>
      <w:r>
        <w:tab/>
        <w:t>that is not an inter</w:t>
      </w:r>
      <w:r>
        <w:noBreakHyphen/>
        <w:t>State voyage or an overseas voyage; and</w:t>
      </w:r>
    </w:p>
    <w:p>
      <w:pPr>
        <w:pStyle w:val="Defpara"/>
      </w:pPr>
      <w:r>
        <w:tab/>
        <w:t>(b)</w:t>
      </w:r>
      <w:r>
        <w:tab/>
        <w:t>that continues over at least 1 night;</w:t>
      </w:r>
    </w:p>
    <w:p>
      <w:pPr>
        <w:pStyle w:val="Defstart"/>
      </w:pPr>
      <w:r>
        <w:tab/>
      </w:r>
      <w:r>
        <w:rPr>
          <w:rStyle w:val="CharDefText"/>
        </w:rPr>
        <w:t>qualifying person</w:t>
      </w:r>
      <w:r>
        <w:t xml:space="preserve"> means a fare</w:t>
      </w:r>
      <w:r>
        <w:noBreakHyphen/>
        <w:t xml:space="preserve">paying passenger or a crew member on a cruise ship who — </w:t>
      </w:r>
    </w:p>
    <w:p>
      <w:pPr>
        <w:pStyle w:val="Defpara"/>
      </w:pPr>
      <w:r>
        <w:tab/>
        <w:t>(a)</w:t>
      </w:r>
      <w:r>
        <w:tab/>
        <w:t>has attained 18 years of age; and</w:t>
      </w:r>
    </w:p>
    <w:p>
      <w:pPr>
        <w:pStyle w:val="Defpara"/>
      </w:pPr>
      <w:r>
        <w:tab/>
        <w:t>(b)</w:t>
      </w:r>
      <w:r>
        <w:tab/>
        <w:t>is not drunk.</w:t>
      </w:r>
    </w:p>
    <w:p>
      <w:pPr>
        <w:pStyle w:val="Footnotesection"/>
        <w:keepLines w:val="0"/>
      </w:pPr>
      <w:r>
        <w:tab/>
        <w:t>[Regulation 8 amended: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 24 Jun 2016 p. 2340-1; 10 Jan 2017 p. 140</w:t>
      </w:r>
      <w:r>
        <w:noBreakHyphen/>
        <w:t>1; 3 Oct 2017 p. 5050; 20 Jul 2018 p. 2632.]</w:t>
      </w:r>
    </w:p>
    <w:p>
      <w:pPr>
        <w:pStyle w:val="Heading5"/>
      </w:pPr>
      <w:bookmarkStart w:id="23" w:name="_Toc82689625"/>
      <w:r>
        <w:rPr>
          <w:rStyle w:val="CharSectno"/>
        </w:rPr>
        <w:lastRenderedPageBreak/>
        <w:t>8A</w:t>
      </w:r>
      <w:r>
        <w:t>.</w:t>
      </w:r>
      <w:r>
        <w:tab/>
        <w:t>Exemption from Act, consumption at live entertainment venues</w:t>
      </w:r>
      <w:bookmarkEnd w:id="23"/>
    </w:p>
    <w:p>
      <w:pPr>
        <w:pStyle w:val="Subsection"/>
        <w:keepNext/>
        <w:keepLines/>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lastRenderedPageBreak/>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 xml:space="preserve">a refusal of an application under section 87 for the grant of a protection order, if the ground, or one of the grounds, for the refusal of the application was that the </w:t>
      </w:r>
      <w:r>
        <w:lastRenderedPageBreak/>
        <w:t>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w:t>
      </w:r>
      <w:r>
        <w:lastRenderedPageBreak/>
        <w:t xml:space="preserve">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spacing w:before="60"/>
      </w:pPr>
      <w:r>
        <w:tab/>
        <w:t>(a)</w:t>
      </w:r>
      <w:r>
        <w:tab/>
        <w:t>the liquor is consumed on premises while live entertainment is being provided on the premises; and</w:t>
      </w:r>
    </w:p>
    <w:p>
      <w:pPr>
        <w:pStyle w:val="Indenta"/>
        <w:spacing w:before="60"/>
      </w:pPr>
      <w:r>
        <w:tab/>
        <w:t>(b)</w:t>
      </w:r>
      <w:r>
        <w:tab/>
        <w:t>the primary purpose of the premises is to facilitate the provision of live entertainment; and</w:t>
      </w:r>
    </w:p>
    <w:p>
      <w:pPr>
        <w:pStyle w:val="Indenta"/>
        <w:spacing w:before="60"/>
      </w:pPr>
      <w:r>
        <w:tab/>
        <w:t>(c)</w:t>
      </w:r>
      <w:r>
        <w:tab/>
        <w:t>the consumption of liquor on the premises is ancillary to the live entertainment being provided; and</w:t>
      </w:r>
    </w:p>
    <w:p>
      <w:pPr>
        <w:pStyle w:val="Indenta"/>
        <w:spacing w:before="6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60"/>
      </w:pPr>
      <w:r>
        <w:tab/>
        <w:t>(e)</w:t>
      </w:r>
      <w:r>
        <w:tab/>
        <w:t xml:space="preserve">neither the person in charge of the premises, nor any person who is an employee, contractor or agent of that person and is providing services on the premises — </w:t>
      </w:r>
    </w:p>
    <w:p>
      <w:pPr>
        <w:pStyle w:val="Indenti"/>
        <w:spacing w:before="60"/>
      </w:pPr>
      <w:r>
        <w:tab/>
        <w:t>(i)</w:t>
      </w:r>
      <w:r>
        <w:tab/>
        <w:t>has a current negative determination; or</w:t>
      </w:r>
    </w:p>
    <w:p>
      <w:pPr>
        <w:pStyle w:val="Indenti"/>
        <w:spacing w:before="60"/>
      </w:pPr>
      <w:r>
        <w:tab/>
        <w:t>(ii)</w:t>
      </w:r>
      <w:r>
        <w:tab/>
        <w:t>is the holder of a licence or protection order the operation of which is suspended under section 96(1)(d) or (4); or</w:t>
      </w:r>
    </w:p>
    <w:p>
      <w:pPr>
        <w:pStyle w:val="Indenti"/>
        <w:spacing w:before="60"/>
      </w:pPr>
      <w:r>
        <w:lastRenderedPageBreak/>
        <w:tab/>
        <w:t>(iii)</w:t>
      </w:r>
      <w:r>
        <w:tab/>
        <w:t>has had a licence or protection order held by the person cancelled under section 96(1)(e) or (4), unless since that cancellation the person has been granted a licence or protection order; or</w:t>
      </w:r>
    </w:p>
    <w:p>
      <w:pPr>
        <w:pStyle w:val="Indenti"/>
        <w:spacing w:before="60"/>
      </w:pPr>
      <w:r>
        <w:tab/>
        <w:t>(iv)</w:t>
      </w:r>
      <w:r>
        <w:tab/>
        <w:t>is disqualified under section 96(1)(f) from holding a licence; or</w:t>
      </w:r>
    </w:p>
    <w:p>
      <w:pPr>
        <w:pStyle w:val="Indenti"/>
        <w:spacing w:before="60"/>
      </w:pPr>
      <w:r>
        <w:tab/>
        <w:t>(v)</w:t>
      </w:r>
      <w:r>
        <w:tab/>
        <w:t>is disqualified under section 96(1)(g)(i) from being the holder of a position of authority in a body corporate that holds a licence; or</w:t>
      </w:r>
    </w:p>
    <w:p>
      <w:pPr>
        <w:pStyle w:val="Indenti"/>
        <w:spacing w:before="60"/>
      </w:pPr>
      <w:r>
        <w:tab/>
        <w:t>(vi)</w:t>
      </w:r>
      <w:r>
        <w:tab/>
        <w:t>is disqualified under section 96(1)(g)(ii) from being interested in, or in the profits or proceeds of, a business carried on under a licence; or</w:t>
      </w:r>
    </w:p>
    <w:p>
      <w:pPr>
        <w:pStyle w:val="Indenti"/>
        <w:spacing w:before="6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lastRenderedPageBreak/>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Gazette 15 Jul 2011 p. 2956</w:t>
      </w:r>
      <w:r>
        <w:noBreakHyphen/>
        <w:t>60.]</w:t>
      </w:r>
    </w:p>
    <w:p>
      <w:pPr>
        <w:pStyle w:val="Heading5"/>
      </w:pPr>
      <w:bookmarkStart w:id="24" w:name="_Toc82689626"/>
      <w:r>
        <w:rPr>
          <w:rStyle w:val="CharSectno"/>
        </w:rPr>
        <w:t>8B</w:t>
      </w:r>
      <w:r>
        <w:t>.</w:t>
      </w:r>
      <w:r>
        <w:tab/>
        <w:t>Exemption from Act, sales etc. at certain functions</w:t>
      </w:r>
      <w:bookmarkEnd w:id="24"/>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lastRenderedPageBreak/>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Gazette 15 Jul 2011 p. 2960</w:t>
      </w:r>
      <w:r>
        <w:noBreakHyphen/>
        <w:t>1.]</w:t>
      </w:r>
    </w:p>
    <w:p>
      <w:pPr>
        <w:pStyle w:val="Heading5"/>
      </w:pPr>
      <w:bookmarkStart w:id="25" w:name="_Toc82689627"/>
      <w:r>
        <w:rPr>
          <w:rStyle w:val="CharSectno"/>
        </w:rPr>
        <w:lastRenderedPageBreak/>
        <w:t>8C</w:t>
      </w:r>
      <w:r>
        <w:t>.</w:t>
      </w:r>
      <w:r>
        <w:tab/>
        <w:t>Exemption from Act, complimentary supply by business</w:t>
      </w:r>
      <w:bookmarkEnd w:id="25"/>
    </w:p>
    <w:p>
      <w:pPr>
        <w:pStyle w:val="Ednotesubsection"/>
        <w:keepNext/>
      </w:pPr>
      <w:r>
        <w:tab/>
        <w:t>[(1)</w:t>
      </w:r>
      <w:r>
        <w:tab/>
        <w:t>deleted]</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Gazette 15 Jul 2011 p. 2961</w:t>
      </w:r>
      <w:r>
        <w:noBreakHyphen/>
        <w:t>2; amended: Gazette 6 Sep 2016 p. 3828.]</w:t>
      </w:r>
    </w:p>
    <w:p>
      <w:pPr>
        <w:pStyle w:val="Heading5"/>
      </w:pPr>
      <w:bookmarkStart w:id="26" w:name="_Toc82689628"/>
      <w:r>
        <w:rPr>
          <w:rStyle w:val="CharSectno"/>
        </w:rPr>
        <w:t>8CA</w:t>
      </w:r>
      <w:r>
        <w:t>.</w:t>
      </w:r>
      <w:r>
        <w:tab/>
        <w:t>Exemption for complimentary supply by tourism businesses</w:t>
      </w:r>
      <w:bookmarkEnd w:id="26"/>
    </w:p>
    <w:p>
      <w:pPr>
        <w:pStyle w:val="Subsection"/>
      </w:pPr>
      <w:r>
        <w:tab/>
        <w:t>(1)</w:t>
      </w:r>
      <w:r>
        <w:tab/>
        <w:t xml:space="preserve">In this regulation — </w:t>
      </w:r>
    </w:p>
    <w:p>
      <w:pPr>
        <w:pStyle w:val="Defstart"/>
      </w:pPr>
      <w:r>
        <w:tab/>
      </w:r>
      <w:r>
        <w:rPr>
          <w:rStyle w:val="CharDefText"/>
        </w:rPr>
        <w:t>tourism business</w:t>
      </w:r>
      <w:r>
        <w:t xml:space="preserve"> means a business that is accredited under the Australian Tourism Accreditation Program.</w:t>
      </w:r>
    </w:p>
    <w:p>
      <w:pPr>
        <w:pStyle w:val="Subsection"/>
        <w:keepNext/>
      </w:pPr>
      <w:r>
        <w:lastRenderedPageBreak/>
        <w:tab/>
        <w:t>(2)</w:t>
      </w:r>
      <w:r>
        <w:tab/>
        <w:t>The supply of liquor to a person who is at least 18 years of age is exempted from the application of the Act if —</w:t>
      </w:r>
    </w:p>
    <w:p>
      <w:pPr>
        <w:pStyle w:val="Indenta"/>
      </w:pPr>
      <w:r>
        <w:tab/>
        <w:t>(a)</w:t>
      </w:r>
      <w:r>
        <w:tab/>
        <w:t>the liquor is supplied by a person who carries on a tourism business, or by an employee, contractor or agent of such a person; and</w:t>
      </w:r>
    </w:p>
    <w:p>
      <w:pPr>
        <w:pStyle w:val="Indenta"/>
      </w:pPr>
      <w:r>
        <w:tab/>
        <w:t>(b)</w:t>
      </w:r>
      <w:r>
        <w:tab/>
        <w:t>the liquor is supplied to a customer of the tourism business in the course of providing a tourism service to the customer; and</w:t>
      </w:r>
    </w:p>
    <w:p>
      <w:pPr>
        <w:pStyle w:val="Indenta"/>
      </w:pPr>
      <w:r>
        <w:tab/>
        <w:t>(ba)</w:t>
      </w:r>
      <w:r>
        <w:tab/>
        <w:t>the person who supplies the liquor to the customer has completed successfully a course of training or an assessment, approved by the Director for the purposes of this paragraph, in responsible practices in the sale, supply and service of liquor; and</w:t>
      </w:r>
    </w:p>
    <w:p>
      <w:pPr>
        <w:pStyle w:val="Indenta"/>
      </w:pPr>
      <w:r>
        <w:tab/>
        <w:t>(c)</w:t>
      </w:r>
      <w:r>
        <w:tab/>
        <w:t xml:space="preserve">the supply of the liquor — </w:t>
      </w:r>
    </w:p>
    <w:p>
      <w:pPr>
        <w:pStyle w:val="Indenti"/>
      </w:pPr>
      <w:r>
        <w:tab/>
        <w:t>(i)</w:t>
      </w:r>
      <w:r>
        <w:tab/>
        <w:t>is ancillary to the tourism business; and</w:t>
      </w:r>
    </w:p>
    <w:p>
      <w:pPr>
        <w:pStyle w:val="Indenti"/>
      </w:pPr>
      <w:r>
        <w:tab/>
        <w:t>(ii)</w:t>
      </w:r>
      <w:r>
        <w:tab/>
        <w:t>is without charge;</w:t>
      </w:r>
    </w:p>
    <w:p>
      <w:pPr>
        <w:pStyle w:val="Indenta"/>
      </w:pPr>
      <w:r>
        <w:tab/>
      </w:r>
      <w:r>
        <w:tab/>
        <w:t>and</w:t>
      </w:r>
    </w:p>
    <w:p>
      <w:pPr>
        <w:pStyle w:val="Indenta"/>
      </w:pPr>
      <w:r>
        <w:tab/>
        <w:t>(d)</w:t>
      </w:r>
      <w:r>
        <w:tab/>
        <w:t xml:space="preserve">the liquor is not supplied or consumed at a place that is, or on premises that are, any of the following — </w:t>
      </w:r>
    </w:p>
    <w:p>
      <w:pPr>
        <w:pStyle w:val="Indenti"/>
      </w:pPr>
      <w:r>
        <w:tab/>
        <w:t>(i)</w:t>
      </w:r>
      <w:r>
        <w:tab/>
        <w:t>licensed premises;</w:t>
      </w:r>
    </w:p>
    <w:p>
      <w:pPr>
        <w:pStyle w:val="Indenti"/>
      </w:pPr>
      <w:r>
        <w:tab/>
        <w:t>(ii)</w:t>
      </w:r>
      <w:r>
        <w:tab/>
        <w:t xml:space="preserve">a road as defined in the </w:t>
      </w:r>
      <w:r>
        <w:rPr>
          <w:i/>
        </w:rPr>
        <w:t>Road Traffic (Administration) Act 2008</w:t>
      </w:r>
      <w:r>
        <w:t xml:space="preserve"> section 4;</w:t>
      </w:r>
    </w:p>
    <w:p>
      <w:pPr>
        <w:pStyle w:val="Indenti"/>
      </w:pPr>
      <w:r>
        <w:tab/>
        <w:t>(iii)</w:t>
      </w:r>
      <w:r>
        <w:tab/>
        <w:t>an area of the State declared to be a restricted area for the purposes of section 175(1a) of the Act;</w:t>
      </w:r>
    </w:p>
    <w:p>
      <w:pPr>
        <w:pStyle w:val="Indenta"/>
      </w:pPr>
      <w:r>
        <w:tab/>
      </w:r>
      <w:r>
        <w:tab/>
        <w:t>and</w:t>
      </w:r>
    </w:p>
    <w:p>
      <w:pPr>
        <w:pStyle w:val="Indenta"/>
      </w:pPr>
      <w:r>
        <w:tab/>
        <w:t>(e)</w:t>
      </w:r>
      <w:r>
        <w:tab/>
        <w:t>the liquor is not supplied or consumed at that place, or on those premises, without the consent of the occupier, or of the person or authority having control, of that place or those premises; and</w:t>
      </w:r>
    </w:p>
    <w:p>
      <w:pPr>
        <w:pStyle w:val="Ednotepara"/>
      </w:pPr>
      <w:r>
        <w:tab/>
        <w:t>[(f)</w:t>
      </w:r>
      <w:r>
        <w:tab/>
        <w:t>deleted]</w:t>
      </w:r>
    </w:p>
    <w:p>
      <w:pPr>
        <w:pStyle w:val="Indenta"/>
      </w:pPr>
      <w:r>
        <w:tab/>
        <w:t>(g)</w:t>
      </w:r>
      <w:r>
        <w:tab/>
        <w:t>the liquor is not supplied to a drunk person; and</w:t>
      </w:r>
    </w:p>
    <w:p>
      <w:pPr>
        <w:pStyle w:val="Indenta"/>
      </w:pPr>
      <w:r>
        <w:lastRenderedPageBreak/>
        <w:tab/>
        <w:t>(h)</w:t>
      </w:r>
      <w:r>
        <w:tab/>
        <w:t>a drunk person is not allowed to consume the liquor at that place or on those premises.</w:t>
      </w:r>
    </w:p>
    <w:p>
      <w:pPr>
        <w:pStyle w:val="Footnotesection"/>
      </w:pPr>
      <w:r>
        <w:tab/>
        <w:t>[Regulation 8CA inserted: Gazette 6 Sep 2016 p. 3828-9; amended: Gazette 12 Sep 2017 p. 4735</w:t>
      </w:r>
      <w:r>
        <w:noBreakHyphen/>
        <w:t>6.]</w:t>
      </w:r>
    </w:p>
    <w:p>
      <w:pPr>
        <w:pStyle w:val="Heading5"/>
        <w:spacing w:before="180"/>
      </w:pPr>
      <w:bookmarkStart w:id="27" w:name="_Toc82689629"/>
      <w:r>
        <w:rPr>
          <w:rStyle w:val="CharSectno"/>
        </w:rPr>
        <w:t>8D</w:t>
      </w:r>
      <w:r>
        <w:t>.</w:t>
      </w:r>
      <w:r>
        <w:tab/>
        <w:t>Exemption from Act, sales etc. at farmers’ markets</w:t>
      </w:r>
      <w:bookmarkEnd w:id="27"/>
    </w:p>
    <w:p>
      <w:pPr>
        <w:pStyle w:val="Subsection"/>
        <w:spacing w:before="120"/>
      </w:pPr>
      <w:r>
        <w:tab/>
        <w:t>(1)</w:t>
      </w:r>
      <w:r>
        <w:tab/>
        <w:t xml:space="preserve">In this regulation — </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liquor producer</w:t>
      </w:r>
      <w:r>
        <w:t xml:space="preserve"> means a producer of liquor, whether or not a primary producer;</w:t>
      </w:r>
    </w:p>
    <w:p>
      <w:pPr>
        <w:pStyle w:val="Defstart"/>
      </w:pPr>
      <w:r>
        <w:tab/>
      </w:r>
      <w:r>
        <w:rPr>
          <w:rStyle w:val="CharDefText"/>
        </w:rPr>
        <w:t>primary producer</w:t>
      </w:r>
      <w:r>
        <w:t xml:space="preserve"> means a person who carries on a business of agriculture, pastoral pursuits, horticulture, grazing, dairy farming, beekeeping,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 xml:space="preserve">the liquor is sold or supplied from a stall at a farmers’ market; and </w:t>
      </w:r>
    </w:p>
    <w:p>
      <w:pPr>
        <w:pStyle w:val="Indenta"/>
      </w:pPr>
      <w:r>
        <w:tab/>
        <w:t>(b)</w:t>
      </w:r>
      <w:r>
        <w:tab/>
        <w:t xml:space="preserve">the stall is provided by 1 or more liquor producers or by a producers’ association for the benefit of 1 or more liquor producers; and </w:t>
      </w:r>
    </w:p>
    <w:p>
      <w:pPr>
        <w:pStyle w:val="Indenta"/>
      </w:pPr>
      <w:r>
        <w:tab/>
        <w:t>(c)</w:t>
      </w:r>
      <w:r>
        <w:tab/>
        <w:t>the liquor supplied or sold has been produced by a liquor producer by whom or for whose benefit the stall is provided; and</w:t>
      </w:r>
    </w:p>
    <w:p>
      <w:pPr>
        <w:pStyle w:val="Indenta"/>
        <w:keepNext/>
      </w:pPr>
      <w:r>
        <w:lastRenderedPageBreak/>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9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Gazette 15 Jul 2011 p. 2962</w:t>
      </w:r>
      <w:r>
        <w:noBreakHyphen/>
        <w:t>3; amended: Gazette 10 Jan 2017 p. 142.]</w:t>
      </w:r>
    </w:p>
    <w:p>
      <w:pPr>
        <w:pStyle w:val="Heading5"/>
      </w:pPr>
      <w:bookmarkStart w:id="28" w:name="_Toc82689630"/>
      <w:r>
        <w:rPr>
          <w:rStyle w:val="CharSectno"/>
        </w:rPr>
        <w:t>8E</w:t>
      </w:r>
      <w:r>
        <w:t>.</w:t>
      </w:r>
      <w:r>
        <w:tab/>
        <w:t>Exemption from Act, sales etc. at functions on licensed premises</w:t>
      </w:r>
      <w:bookmarkEnd w:id="28"/>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lastRenderedPageBreak/>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Gazette 15 Jul 2011 p. 2963</w:t>
      </w:r>
      <w:r>
        <w:noBreakHyphen/>
        <w:t>4.]</w:t>
      </w:r>
    </w:p>
    <w:p>
      <w:pPr>
        <w:pStyle w:val="Heading5"/>
      </w:pPr>
      <w:bookmarkStart w:id="29" w:name="_Toc82689631"/>
      <w:r>
        <w:rPr>
          <w:rStyle w:val="CharSectno"/>
        </w:rPr>
        <w:t>8F</w:t>
      </w:r>
      <w:r>
        <w:t>.</w:t>
      </w:r>
      <w:r>
        <w:tab/>
        <w:t>Exemption from Act for consumption in on</w:t>
      </w:r>
      <w:r>
        <w:noBreakHyphen/>
        <w:t>demand charter vehicle (Act s. 6(1)(o))</w:t>
      </w:r>
      <w:bookmarkEnd w:id="29"/>
    </w:p>
    <w:p>
      <w:pPr>
        <w:pStyle w:val="Subsection"/>
        <w:keepNext/>
        <w:keepLines/>
      </w:pPr>
      <w:r>
        <w:tab/>
        <w:t>(1)</w:t>
      </w:r>
      <w:r>
        <w:tab/>
        <w:t xml:space="preserve">In this regulation — </w:t>
      </w:r>
    </w:p>
    <w:p>
      <w:pPr>
        <w:pStyle w:val="Defstart"/>
      </w:pPr>
      <w:r>
        <w:tab/>
      </w:r>
      <w:r>
        <w:rPr>
          <w:rStyle w:val="CharDefText"/>
        </w:rPr>
        <w:t>function</w:t>
      </w:r>
      <w:r>
        <w:t xml:space="preserve"> means a gathering, occasion or event;</w:t>
      </w:r>
    </w:p>
    <w:p>
      <w:pPr>
        <w:pStyle w:val="Defstart"/>
      </w:pPr>
      <w:r>
        <w:tab/>
      </w:r>
      <w:r>
        <w:rPr>
          <w:rStyle w:val="CharDefText"/>
        </w:rPr>
        <w:t>on</w:t>
      </w:r>
      <w:r>
        <w:rPr>
          <w:rStyle w:val="CharDefText"/>
        </w:rPr>
        <w:noBreakHyphen/>
        <w:t>demand charter vehicle authorisation</w:t>
      </w:r>
      <w:r>
        <w:t xml:space="preserve"> means a passenger transport vehicle authorisation that authorises the operation of the vehicle for use in providing an on</w:t>
      </w:r>
      <w:r>
        <w:noBreakHyphen/>
        <w:t xml:space="preserve">demand charter passenger transport service under the </w:t>
      </w:r>
      <w:r>
        <w:rPr>
          <w:i/>
        </w:rPr>
        <w:t>Transport (Road Passenger Services) Act 2018</w:t>
      </w:r>
      <w:r>
        <w: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Subsection"/>
        <w:keepNext/>
      </w:pPr>
      <w:r>
        <w:lastRenderedPageBreak/>
        <w:tab/>
        <w:t>(2)</w:t>
      </w:r>
      <w:r>
        <w:tab/>
        <w:t xml:space="preserve">The consumption of liquor by a person who is at least 18 years of age is exempted from the application of the Act if — </w:t>
      </w:r>
    </w:p>
    <w:p>
      <w:pPr>
        <w:pStyle w:val="Indenta"/>
      </w:pPr>
      <w:r>
        <w:tab/>
        <w:t>(a)</w:t>
      </w:r>
      <w:r>
        <w:tab/>
        <w:t>at the time of the consumption the person is a passenger in a vehicle in relation to which an on</w:t>
      </w:r>
      <w:r>
        <w:noBreakHyphen/>
        <w:t>demand charter vehicle authorisation is in force; and</w:t>
      </w:r>
    </w:p>
    <w:p>
      <w:pPr>
        <w:pStyle w:val="Indenta"/>
      </w:pPr>
      <w:r>
        <w:tab/>
        <w:t>(aa)</w:t>
      </w:r>
      <w:r>
        <w:tab/>
        <w:t>the vehicle is being hired for a continuous period of not less than one hour; and</w:t>
      </w:r>
    </w:p>
    <w:p>
      <w:pPr>
        <w:pStyle w:val="Indenta"/>
      </w:pPr>
      <w:r>
        <w:tab/>
        <w:t>(ab)</w:t>
      </w:r>
      <w:r>
        <w:tab/>
        <w:t>the hiring of the vehicle, and the period of hire, was arranged before the journey commenced; and</w:t>
      </w:r>
    </w:p>
    <w:p>
      <w:pPr>
        <w:pStyle w:val="Indenta"/>
      </w:pPr>
      <w:r>
        <w:tab/>
        <w:t>(ac)</w:t>
      </w:r>
      <w:r>
        <w:tab/>
        <w:t>the vehicle is equipped to carry not more than 14 adult passengers, excluding the driver;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spacing w:before="200"/>
      </w:pPr>
      <w:r>
        <w:tab/>
        <w:t>(3)</w:t>
      </w:r>
      <w:r>
        <w:tab/>
        <w:t>The exemption conferred by subregulation (2) does not apply if the vehicle is being hired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spacing w:before="160"/>
        <w:ind w:left="890" w:hanging="890"/>
      </w:pPr>
      <w:r>
        <w:tab/>
        <w:t>[Regulation 8F inserted: Gazette 15 Jul 2011 p. 2964</w:t>
      </w:r>
      <w:r>
        <w:noBreakHyphen/>
        <w:t>5; amended: Gazette 6 Sep 2016 p. 3830-1; 28 Jun 2019 p. 2491</w:t>
      </w:r>
      <w:r>
        <w:noBreakHyphen/>
        <w:t>2.]</w:t>
      </w:r>
    </w:p>
    <w:p>
      <w:pPr>
        <w:pStyle w:val="Heading5"/>
      </w:pPr>
      <w:bookmarkStart w:id="30" w:name="_Toc82689632"/>
      <w:r>
        <w:rPr>
          <w:rStyle w:val="CharSectno"/>
        </w:rPr>
        <w:t>8G</w:t>
      </w:r>
      <w:r>
        <w:t>.</w:t>
      </w:r>
      <w:r>
        <w:tab/>
        <w:t>Exemption from Act in relation to liquor competition (Act s. 6(1)(o))</w:t>
      </w:r>
      <w:bookmarkEnd w:id="30"/>
    </w:p>
    <w:p>
      <w:pPr>
        <w:pStyle w:val="Subsection"/>
      </w:pPr>
      <w:r>
        <w:tab/>
        <w:t>(1)</w:t>
      </w:r>
      <w:r>
        <w:tab/>
        <w:t xml:space="preserve">In this regulation — </w:t>
      </w:r>
    </w:p>
    <w:p>
      <w:pPr>
        <w:pStyle w:val="Defstart"/>
      </w:pPr>
      <w:r>
        <w:tab/>
      </w:r>
      <w:r>
        <w:rPr>
          <w:rStyle w:val="CharDefText"/>
        </w:rPr>
        <w:t>judge</w:t>
      </w:r>
      <w:r>
        <w:t>, in relation to a liquor competition, means a person who has expertise or expert knowledge in relation to the particular kind and type of liquor entered into the competition;</w:t>
      </w:r>
    </w:p>
    <w:p>
      <w:pPr>
        <w:pStyle w:val="Defstart"/>
      </w:pPr>
      <w:r>
        <w:lastRenderedPageBreak/>
        <w:tab/>
      </w:r>
      <w:r>
        <w:rPr>
          <w:rStyle w:val="CharDefText"/>
        </w:rPr>
        <w:t>liquor competition</w:t>
      </w:r>
      <w:r>
        <w:t xml:space="preserve"> means a competition which has all of the following characteristics — </w:t>
      </w:r>
    </w:p>
    <w:p>
      <w:pPr>
        <w:pStyle w:val="Defpara"/>
      </w:pPr>
      <w:r>
        <w:tab/>
        <w:t>(a)</w:t>
      </w:r>
      <w:r>
        <w:tab/>
        <w:t xml:space="preserve">liquor of a particular kind and type is assessed by a judge in a systematic manner against certain criteria (for example, criteria in relation to colour, appearance, aroma and taste); </w:t>
      </w:r>
    </w:p>
    <w:p>
      <w:pPr>
        <w:pStyle w:val="Defpara"/>
      </w:pPr>
      <w:r>
        <w:tab/>
        <w:t>(b)</w:t>
      </w:r>
      <w:r>
        <w:tab/>
        <w:t>after judgment the liquor is allocated a score;</w:t>
      </w:r>
    </w:p>
    <w:p>
      <w:pPr>
        <w:pStyle w:val="Defpara"/>
      </w:pPr>
      <w:r>
        <w:tab/>
        <w:t>(c)</w:t>
      </w:r>
      <w:r>
        <w:tab/>
        <w:t>a prize or acknowledgment is given in relation to liquor entered into the competition;</w:t>
      </w:r>
    </w:p>
    <w:p>
      <w:pPr>
        <w:pStyle w:val="Defpara"/>
      </w:pPr>
      <w:r>
        <w:tab/>
        <w:t>(d)</w:t>
      </w:r>
      <w:r>
        <w:tab/>
        <w:t>the purposes of the competition include to highlight liquor producers whose liquor exhibits the best quality and to provide a forum to educate liquor producers.</w:t>
      </w:r>
    </w:p>
    <w:p>
      <w:pPr>
        <w:pStyle w:val="Subsection"/>
      </w:pPr>
      <w:r>
        <w:tab/>
        <w:t>(2)</w:t>
      </w:r>
      <w:r>
        <w:tab/>
        <w:t xml:space="preserve">The sale or supply of liquor to, and the consumption of liquor by, a judge who is at least 18 years of age is exempted from the application of the Act if — </w:t>
      </w:r>
    </w:p>
    <w:p>
      <w:pPr>
        <w:pStyle w:val="Indenta"/>
      </w:pPr>
      <w:r>
        <w:tab/>
        <w:t>(a)</w:t>
      </w:r>
      <w:r>
        <w:tab/>
        <w:t xml:space="preserve">the judge is not drunk; and </w:t>
      </w:r>
    </w:p>
    <w:p>
      <w:pPr>
        <w:pStyle w:val="Indenta"/>
      </w:pPr>
      <w:r>
        <w:tab/>
        <w:t>(b)</w:t>
      </w:r>
      <w:r>
        <w:tab/>
        <w:t>the judge is judging a liquor competition; and</w:t>
      </w:r>
    </w:p>
    <w:p>
      <w:pPr>
        <w:pStyle w:val="Indenta"/>
      </w:pPr>
      <w:r>
        <w:tab/>
        <w:t>(c)</w:t>
      </w:r>
      <w:r>
        <w:tab/>
        <w:t>the liquor is sold or supplied by way of sample; and</w:t>
      </w:r>
    </w:p>
    <w:p>
      <w:pPr>
        <w:pStyle w:val="Indenta"/>
      </w:pPr>
      <w:r>
        <w:tab/>
        <w:t>(d)</w:t>
      </w:r>
      <w:r>
        <w:tab/>
        <w:t>the liquor is sold or supplied, and consumed, only for the purposes of the competition.</w:t>
      </w:r>
    </w:p>
    <w:p>
      <w:pPr>
        <w:pStyle w:val="Subsection"/>
      </w:pPr>
      <w:r>
        <w:tab/>
        <w:t>(3)</w:t>
      </w:r>
      <w:r>
        <w:tab/>
        <w:t xml:space="preserve">The sale or supply of liquor to, and the consumption of liquor by, a person who is at least 18 years of age is exempted from the application of the Act if — </w:t>
      </w:r>
    </w:p>
    <w:p>
      <w:pPr>
        <w:pStyle w:val="Indenta"/>
      </w:pPr>
      <w:r>
        <w:tab/>
        <w:t>(a)</w:t>
      </w:r>
      <w:r>
        <w:tab/>
        <w:t>the person is not drunk; and</w:t>
      </w:r>
    </w:p>
    <w:p>
      <w:pPr>
        <w:pStyle w:val="Indenta"/>
      </w:pPr>
      <w:r>
        <w:tab/>
        <w:t>(b)</w:t>
      </w:r>
      <w:r>
        <w:tab/>
        <w:t xml:space="preserve">the person is — </w:t>
      </w:r>
    </w:p>
    <w:p>
      <w:pPr>
        <w:pStyle w:val="Indenti"/>
      </w:pPr>
      <w:r>
        <w:tab/>
        <w:t>(i)</w:t>
      </w:r>
      <w:r>
        <w:tab/>
        <w:t>a liquor producer who entered liquor into a liquor competition; or</w:t>
      </w:r>
    </w:p>
    <w:p>
      <w:pPr>
        <w:pStyle w:val="Indenti"/>
      </w:pPr>
      <w:r>
        <w:tab/>
        <w:t>(ii)</w:t>
      </w:r>
      <w:r>
        <w:tab/>
        <w:t>employed or engaged as a steward for the purposes of a liquor competition;</w:t>
      </w:r>
    </w:p>
    <w:p>
      <w:pPr>
        <w:pStyle w:val="Indenta"/>
      </w:pPr>
      <w:r>
        <w:tab/>
      </w:r>
      <w:r>
        <w:tab/>
        <w:t>and</w:t>
      </w:r>
    </w:p>
    <w:p>
      <w:pPr>
        <w:pStyle w:val="Indenta"/>
        <w:keepNext/>
      </w:pPr>
      <w:r>
        <w:lastRenderedPageBreak/>
        <w:tab/>
        <w:t>(c)</w:t>
      </w:r>
      <w:r>
        <w:tab/>
        <w:t>the liquor is sold or supplied by way of sample; and</w:t>
      </w:r>
    </w:p>
    <w:p>
      <w:pPr>
        <w:pStyle w:val="Indenta"/>
      </w:pPr>
      <w:r>
        <w:tab/>
        <w:t>(d)</w:t>
      </w:r>
      <w:r>
        <w:tab/>
        <w:t>the sale or supply, and consumption, of the liquor is incidental to the competition.</w:t>
      </w:r>
    </w:p>
    <w:p>
      <w:pPr>
        <w:pStyle w:val="Footnotesection"/>
        <w:spacing w:before="160"/>
        <w:ind w:left="890" w:hanging="890"/>
      </w:pPr>
      <w:r>
        <w:tab/>
        <w:t>[Regulation 8G inserted: SL 2021/94 r. 4.]</w:t>
      </w:r>
    </w:p>
    <w:p>
      <w:pPr>
        <w:pStyle w:val="Heading5"/>
        <w:spacing w:before="240"/>
        <w:rPr>
          <w:snapToGrid w:val="0"/>
        </w:rPr>
      </w:pPr>
      <w:bookmarkStart w:id="31" w:name="_Toc82689633"/>
      <w:r>
        <w:rPr>
          <w:rStyle w:val="CharSectno"/>
        </w:rPr>
        <w:t>9</w:t>
      </w:r>
      <w:r>
        <w:rPr>
          <w:snapToGrid w:val="0"/>
        </w:rPr>
        <w:t>.</w:t>
      </w:r>
      <w:r>
        <w:rPr>
          <w:snapToGrid w:val="0"/>
        </w:rPr>
        <w:tab/>
        <w:t>Persons who may take and administer oaths and affirmations (Act s. 18(3)(c))</w:t>
      </w:r>
      <w:bookmarkEnd w:id="31"/>
    </w:p>
    <w:p>
      <w:pPr>
        <w:pStyle w:val="Subsection"/>
        <w:spacing w:before="180"/>
        <w:rPr>
          <w:snapToGrid w:val="0"/>
        </w:rPr>
      </w:pPr>
      <w:r>
        <w:rPr>
          <w:snapToGrid w:val="0"/>
        </w:rPr>
        <w:tab/>
      </w:r>
      <w:r>
        <w:rPr>
          <w:snapToGrid w:val="0"/>
        </w:rPr>
        <w:tab/>
        <w:t>For the purposes of section 18(3)(c) the following persons are prescribed —</w:t>
      </w:r>
    </w:p>
    <w:p>
      <w:pPr>
        <w:pStyle w:val="Indenta"/>
        <w:spacing w:before="100"/>
      </w:pPr>
      <w:r>
        <w:tab/>
        <w:t>(a)</w:t>
      </w:r>
      <w:r>
        <w:tab/>
        <w:t>the chairperson or deputy chairperson; and</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the Director; and</w:t>
      </w:r>
    </w:p>
    <w:p>
      <w:pPr>
        <w:pStyle w:val="Indenta"/>
        <w:spacing w:before="100"/>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Gazette 22 May 1998 p. 2941; 28 Sep 2007 p. 4928.]</w:t>
      </w:r>
    </w:p>
    <w:p>
      <w:pPr>
        <w:pStyle w:val="Heading5"/>
      </w:pPr>
      <w:bookmarkStart w:id="32" w:name="_Toc82689634"/>
      <w:r>
        <w:rPr>
          <w:rStyle w:val="CharSectno"/>
        </w:rPr>
        <w:t>9AA</w:t>
      </w:r>
      <w:r>
        <w:t>.</w:t>
      </w:r>
      <w:r>
        <w:tab/>
        <w:t xml:space="preserve">Distance prescribed </w:t>
      </w:r>
      <w:r>
        <w:rPr>
          <w:snapToGrid w:val="0"/>
        </w:rPr>
        <w:t>(Act s.</w:t>
      </w:r>
      <w:r>
        <w:t> 36A(2)(b))</w:t>
      </w:r>
      <w:bookmarkEnd w:id="32"/>
    </w:p>
    <w:p>
      <w:pPr>
        <w:pStyle w:val="Subsection"/>
      </w:pPr>
      <w:r>
        <w:tab/>
      </w:r>
      <w:r>
        <w:tab/>
        <w:t>For the purpose of section 36A(2)(b) a distance of 25 km is prescribed.</w:t>
      </w:r>
    </w:p>
    <w:p>
      <w:pPr>
        <w:pStyle w:val="Footnotesection"/>
        <w:ind w:left="890" w:hanging="890"/>
      </w:pPr>
      <w:r>
        <w:tab/>
        <w:t>[Regulation 9AA inserted: Gazette 29 Sep 2000 p. 5549; amended: Gazette 1 May 2007 p. 1888</w:t>
      </w:r>
      <w:r>
        <w:noBreakHyphen/>
        <w:t>9.]</w:t>
      </w:r>
    </w:p>
    <w:p>
      <w:pPr>
        <w:pStyle w:val="Heading5"/>
      </w:pPr>
      <w:bookmarkStart w:id="33" w:name="_Toc82689635"/>
      <w:r>
        <w:rPr>
          <w:rStyle w:val="CharSectno"/>
        </w:rPr>
        <w:t>9AAA</w:t>
      </w:r>
      <w:r>
        <w:t>.</w:t>
      </w:r>
      <w:r>
        <w:tab/>
        <w:t>Area prescribed (Act s. 36B)</w:t>
      </w:r>
      <w:bookmarkEnd w:id="33"/>
    </w:p>
    <w:p>
      <w:pPr>
        <w:pStyle w:val="Subsection"/>
      </w:pPr>
      <w:r>
        <w:tab/>
      </w:r>
      <w:r>
        <w:tab/>
        <w:t>For the purposes of section 36B, the area of 400 m</w:t>
      </w:r>
      <w:r>
        <w:rPr>
          <w:vertAlign w:val="superscript"/>
        </w:rPr>
        <w:t>2</w:t>
      </w:r>
      <w:r>
        <w:t xml:space="preserve"> is prescribed.</w:t>
      </w:r>
    </w:p>
    <w:p>
      <w:pPr>
        <w:pStyle w:val="Footnotesection"/>
        <w:ind w:left="890" w:hanging="890"/>
      </w:pPr>
      <w:r>
        <w:tab/>
        <w:t>[Regulation 9AAA inserted: Gazette 1 Nov 2019 p. 3858.]</w:t>
      </w:r>
    </w:p>
    <w:p>
      <w:pPr>
        <w:pStyle w:val="Heading5"/>
      </w:pPr>
      <w:bookmarkStart w:id="34" w:name="_Toc82689636"/>
      <w:r>
        <w:rPr>
          <w:rStyle w:val="CharSectno"/>
        </w:rPr>
        <w:lastRenderedPageBreak/>
        <w:t>9AAB</w:t>
      </w:r>
      <w:r>
        <w:t>.</w:t>
      </w:r>
      <w:r>
        <w:tab/>
        <w:t>Distance prescribed (Act s. 36B)</w:t>
      </w:r>
      <w:bookmarkEnd w:id="34"/>
    </w:p>
    <w:p>
      <w:pPr>
        <w:pStyle w:val="Subsection"/>
        <w:keepNext/>
      </w:pPr>
      <w:r>
        <w:tab/>
        <w:t>(1)</w:t>
      </w:r>
      <w:r>
        <w:tab/>
        <w:t xml:space="preserve">For the purposes of section 36B, the following distances are prescribed — </w:t>
      </w:r>
    </w:p>
    <w:p>
      <w:pPr>
        <w:pStyle w:val="Indenta"/>
      </w:pPr>
      <w:r>
        <w:tab/>
        <w:t>(a)</w:t>
      </w:r>
      <w:r>
        <w:tab/>
        <w:t>for packaged liquor premises in the metropolitan region — 5 km;</w:t>
      </w:r>
    </w:p>
    <w:p>
      <w:pPr>
        <w:pStyle w:val="Indenta"/>
      </w:pPr>
      <w:r>
        <w:tab/>
        <w:t>(b)</w:t>
      </w:r>
      <w:r>
        <w:tab/>
        <w:t>for all other packaged liquor premises — 12 km.</w:t>
      </w:r>
    </w:p>
    <w:p>
      <w:pPr>
        <w:pStyle w:val="Subsection"/>
      </w:pPr>
      <w:r>
        <w:tab/>
        <w:t>(2)</w:t>
      </w:r>
      <w:r>
        <w:tab/>
        <w:t>The distances referred to in subregulation (1) are to be calculated using the shortest route by road.</w:t>
      </w:r>
    </w:p>
    <w:p>
      <w:pPr>
        <w:pStyle w:val="Footnotesection"/>
        <w:ind w:left="890" w:hanging="890"/>
      </w:pPr>
      <w:r>
        <w:tab/>
        <w:t>[Regulation 9AAB inserted: Gazette 1 Nov 2019 p. 3859.]</w:t>
      </w:r>
    </w:p>
    <w:p>
      <w:pPr>
        <w:pStyle w:val="Heading5"/>
        <w:rPr>
          <w:snapToGrid w:val="0"/>
        </w:rPr>
      </w:pPr>
      <w:bookmarkStart w:id="35" w:name="_Toc82689637"/>
      <w:r>
        <w:rPr>
          <w:rStyle w:val="CharSectno"/>
        </w:rPr>
        <w:t>9A</w:t>
      </w:r>
      <w:r>
        <w:t>.</w:t>
      </w:r>
      <w:r>
        <w:tab/>
      </w:r>
      <w:r>
        <w:rPr>
          <w:snapToGrid w:val="0"/>
        </w:rPr>
        <w:t>Special facility licence, purposes for which may be granted</w:t>
      </w:r>
      <w:bookmarkEnd w:id="35"/>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lastRenderedPageBreak/>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lastRenderedPageBreak/>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lastRenderedPageBreak/>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lastRenderedPageBreak/>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lastRenderedPageBreak/>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lastRenderedPageBreak/>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MiscellaneousHeading"/>
        <w:jc w:val="left"/>
      </w:pPr>
      <w:r>
        <w:rPr>
          <w:b/>
        </w:rPr>
        <w:lastRenderedPageBreak/>
        <w:t>Online wine sales</w:t>
      </w:r>
    </w:p>
    <w:p>
      <w:pPr>
        <w:pStyle w:val="Subsection"/>
      </w:pPr>
      <w:r>
        <w:tab/>
        <w:t>(24)</w:t>
      </w:r>
      <w:r>
        <w:tab/>
        <w:t>A special facility licence may be granted for the purpose of allowing the online sale of wine from premises specified in the special facility licence in sealed containers for consumption off the licensed premises.</w:t>
      </w:r>
    </w:p>
    <w:p>
      <w:pPr>
        <w:pStyle w:val="Subsection"/>
      </w:pPr>
      <w:r>
        <w:tab/>
        <w:t>(25)</w:t>
      </w:r>
      <w:r>
        <w:tab/>
        <w:t>A special facility licence may be granted for the purpose referred to in subregulation (24) only if the licence is subject to all of the following conditions —</w:t>
      </w:r>
    </w:p>
    <w:p>
      <w:pPr>
        <w:pStyle w:val="Indenta"/>
      </w:pPr>
      <w:r>
        <w:tab/>
        <w:t>(a)</w:t>
      </w:r>
      <w:r>
        <w:tab/>
        <w:t>the licensee may only sell wine produced by a holder of a producer’s licence;</w:t>
      </w:r>
    </w:p>
    <w:p>
      <w:pPr>
        <w:pStyle w:val="Indenta"/>
        <w:keepNext/>
      </w:pPr>
      <w:r>
        <w:tab/>
        <w:t>(b)</w:t>
      </w:r>
      <w:r>
        <w:tab/>
        <w:t xml:space="preserve">the licensee may only sell wine in satisfaction of an order that is — </w:t>
      </w:r>
    </w:p>
    <w:p>
      <w:pPr>
        <w:pStyle w:val="Indenti"/>
      </w:pPr>
      <w:r>
        <w:tab/>
        <w:t>(i)</w:t>
      </w:r>
      <w:r>
        <w:tab/>
        <w:t>placed through a website maintained by the licensee for the purpose; and</w:t>
      </w:r>
    </w:p>
    <w:p>
      <w:pPr>
        <w:pStyle w:val="Indenti"/>
      </w:pPr>
      <w:r>
        <w:tab/>
        <w:t>(ii)</w:t>
      </w:r>
      <w:r>
        <w:tab/>
        <w:t>accepted by the licensee at the licensed premises;</w:t>
      </w:r>
    </w:p>
    <w:p>
      <w:pPr>
        <w:pStyle w:val="Indenta"/>
      </w:pPr>
      <w:r>
        <w:tab/>
        <w:t>(c)</w:t>
      </w:r>
      <w:r>
        <w:tab/>
        <w:t xml:space="preserve">the licensee must dispatch the wine sold — </w:t>
      </w:r>
    </w:p>
    <w:p>
      <w:pPr>
        <w:pStyle w:val="Indenti"/>
      </w:pPr>
      <w:r>
        <w:tab/>
        <w:t>(i)</w:t>
      </w:r>
      <w:r>
        <w:tab/>
        <w:t>from the licensed premises; or</w:t>
      </w:r>
    </w:p>
    <w:p>
      <w:pPr>
        <w:pStyle w:val="Indenti"/>
      </w:pPr>
      <w:r>
        <w:tab/>
        <w:t>(ii)</w:t>
      </w:r>
      <w:r>
        <w:tab/>
        <w:t>from premises which are approved for the purposes of section 4(6) and which are not licensed premises in relation to any other licence;</w:t>
      </w:r>
    </w:p>
    <w:p>
      <w:pPr>
        <w:pStyle w:val="Indenta"/>
      </w:pPr>
      <w:r>
        <w:tab/>
        <w:t>(d)</w:t>
      </w:r>
      <w:r>
        <w:tab/>
        <w:t xml:space="preserve">the licensee must dispatch the wine for delivery — </w:t>
      </w:r>
    </w:p>
    <w:p>
      <w:pPr>
        <w:pStyle w:val="Indenti"/>
      </w:pPr>
      <w:r>
        <w:tab/>
        <w:t>(i)</w:t>
      </w:r>
      <w:r>
        <w:tab/>
        <w:t>at a delivery address nominated by the purchaser, to a person who is not a juvenile; or</w:t>
      </w:r>
    </w:p>
    <w:p>
      <w:pPr>
        <w:pStyle w:val="Indenti"/>
      </w:pPr>
      <w:r>
        <w:tab/>
        <w:t>(ii)</w:t>
      </w:r>
      <w:r>
        <w:tab/>
        <w:t>at a post office, parcel depot or similar facility, to a person who is not a juvenile and who is either the purchaser or a person nominated by the purchaser to accept delivery of the wine;</w:t>
      </w:r>
    </w:p>
    <w:p>
      <w:pPr>
        <w:pStyle w:val="Indenta"/>
      </w:pPr>
      <w:r>
        <w:tab/>
        <w:t>(e)</w:t>
      </w:r>
      <w:r>
        <w:tab/>
        <w:t xml:space="preserve">the licensee must arrange that, if the wine is delivered at a delivery address nominated by the purchaser, it is delivered — </w:t>
      </w:r>
    </w:p>
    <w:p>
      <w:pPr>
        <w:pStyle w:val="Indenti"/>
      </w:pPr>
      <w:r>
        <w:tab/>
        <w:t>(i)</w:t>
      </w:r>
      <w:r>
        <w:tab/>
        <w:t>between 7 am and 7 pm on a day which is not ANZAC Day, Good Friday or Christmas day; or</w:t>
      </w:r>
    </w:p>
    <w:p>
      <w:pPr>
        <w:pStyle w:val="Indenti"/>
      </w:pPr>
      <w:r>
        <w:lastRenderedPageBreak/>
        <w:tab/>
        <w:t>(ii)</w:t>
      </w:r>
      <w:r>
        <w:tab/>
        <w:t>between 12 noon and 7 pm on ANZAC day;</w:t>
      </w:r>
    </w:p>
    <w:p>
      <w:pPr>
        <w:pStyle w:val="Indenta"/>
      </w:pPr>
      <w:r>
        <w:tab/>
        <w:t>(f)</w:t>
      </w:r>
      <w:r>
        <w:tab/>
        <w:t>the licensee must not invite or admit a purchaser or prospective purchaser of wine to the licensed premises or to any premises or place where the licensee stores wine intended for sale by the licensee under the special facility licence.</w:t>
      </w:r>
    </w:p>
    <w:p>
      <w:pPr>
        <w:pStyle w:val="Footnotesection"/>
        <w:keepLines w:val="0"/>
        <w:ind w:left="890" w:hanging="890"/>
      </w:pPr>
      <w:r>
        <w:tab/>
        <w:t>[Regulation 9A inserted: Gazette 4 Jan 2002 p. 8</w:t>
      </w:r>
      <w:r>
        <w:noBreakHyphen/>
        <w:t>11; amended: Gazette 28 Mar 2003 p. 984; 10 Oct 2003 p. 4406; 10 Aug 2004 p. 3186; 19 Aug 2005 p. 3874; 1 May 2007 p. 1868</w:t>
      </w:r>
      <w:r>
        <w:noBreakHyphen/>
        <w:t>71; 13 Mar 2009 p. 763; 15 Jan 2010 p. 71</w:t>
      </w:r>
      <w:r>
        <w:noBreakHyphen/>
        <w:t>2; 22 Oct 2010 p. 5226; 7 Oct 2011 p. 4068-9; 6 Jan 2012 p. 48 (disallowed: Gazette 18 Sep 2012 p. 4411); 16 Nov 2012 p. 5658; 10 Jan 2017 p. 142</w:t>
      </w:r>
      <w:r>
        <w:noBreakHyphen/>
        <w:t>3; 3 Feb 2017 p. 1115.]</w:t>
      </w:r>
    </w:p>
    <w:p>
      <w:pPr>
        <w:pStyle w:val="Heading5"/>
      </w:pPr>
      <w:bookmarkStart w:id="36" w:name="_Toc82689638"/>
      <w:r>
        <w:rPr>
          <w:rStyle w:val="CharSectno"/>
        </w:rPr>
        <w:t>9AB</w:t>
      </w:r>
      <w:r>
        <w:t>.</w:t>
      </w:r>
      <w:r>
        <w:tab/>
        <w:t xml:space="preserve">Kind of extended trading permit prescribed </w:t>
      </w:r>
      <w:r>
        <w:rPr>
          <w:snapToGrid w:val="0"/>
        </w:rPr>
        <w:t>(Act s.</w:t>
      </w:r>
      <w:r>
        <w:t> 25(5a))</w:t>
      </w:r>
      <w:bookmarkEnd w:id="36"/>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Gazette 1 May 2007 p. 1871.]</w:t>
      </w:r>
    </w:p>
    <w:p>
      <w:pPr>
        <w:pStyle w:val="Heading5"/>
        <w:rPr>
          <w:snapToGrid w:val="0"/>
        </w:rPr>
      </w:pPr>
      <w:bookmarkStart w:id="37" w:name="_Toc82689639"/>
      <w:r>
        <w:rPr>
          <w:rStyle w:val="CharSectno"/>
        </w:rPr>
        <w:t>9B</w:t>
      </w:r>
      <w:r>
        <w:rPr>
          <w:snapToGrid w:val="0"/>
        </w:rPr>
        <w:t>.</w:t>
      </w:r>
      <w:r>
        <w:rPr>
          <w:snapToGrid w:val="0"/>
        </w:rPr>
        <w:tab/>
        <w:t>Special facility licence, effect of as to sale of packaged liquor</w:t>
      </w:r>
      <w:bookmarkEnd w:id="37"/>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Gazette 4 Jan 2002 p. 11.]</w:t>
      </w:r>
    </w:p>
    <w:p>
      <w:pPr>
        <w:pStyle w:val="Heading5"/>
      </w:pPr>
      <w:bookmarkStart w:id="38" w:name="_Toc82689640"/>
      <w:r>
        <w:rPr>
          <w:rStyle w:val="CharSectno"/>
        </w:rPr>
        <w:t>9C</w:t>
      </w:r>
      <w:r>
        <w:t>.</w:t>
      </w:r>
      <w:r>
        <w:tab/>
        <w:t>Types of special facility licence prescribed (Act s. 46(6))</w:t>
      </w:r>
      <w:bookmarkEnd w:id="38"/>
    </w:p>
    <w:p>
      <w:pPr>
        <w:pStyle w:val="Subsection"/>
      </w:pPr>
      <w:r>
        <w:tab/>
      </w:r>
      <w:r>
        <w:tab/>
        <w:t xml:space="preserve">For the purposes of section 46(6), a special facility licence is a licence of a type prescribed if it is granted for a purpose described in one of the following regulations — </w:t>
      </w:r>
    </w:p>
    <w:p>
      <w:pPr>
        <w:pStyle w:val="Indenta"/>
      </w:pPr>
      <w:r>
        <w:tab/>
        <w:t>(a)</w:t>
      </w:r>
      <w:r>
        <w:tab/>
        <w:t>regulation 9A(1) — works canteen;</w:t>
      </w:r>
    </w:p>
    <w:p>
      <w:pPr>
        <w:pStyle w:val="Indenta"/>
      </w:pPr>
      <w:r>
        <w:lastRenderedPageBreak/>
        <w:tab/>
        <w:t>(b)</w:t>
      </w:r>
      <w:r>
        <w:tab/>
        <w:t>regulation 9A(6) — transport;</w:t>
      </w:r>
    </w:p>
    <w:p>
      <w:pPr>
        <w:pStyle w:val="Indenta"/>
      </w:pPr>
      <w:r>
        <w:tab/>
        <w:t>(c)</w:t>
      </w:r>
      <w:r>
        <w:tab/>
        <w:t>regulation 9A(7) — tourism;</w:t>
      </w:r>
    </w:p>
    <w:p>
      <w:pPr>
        <w:pStyle w:val="Indenta"/>
      </w:pPr>
      <w:r>
        <w:tab/>
        <w:t>(d)</w:t>
      </w:r>
      <w:r>
        <w:tab/>
        <w:t>regulation 9A(10) — education and training institution;</w:t>
      </w:r>
    </w:p>
    <w:p>
      <w:pPr>
        <w:pStyle w:val="Indenta"/>
      </w:pPr>
      <w:r>
        <w:tab/>
        <w:t>(e)</w:t>
      </w:r>
      <w:r>
        <w:tab/>
        <w:t>regulation 9A(10a) — education and training course;</w:t>
      </w:r>
    </w:p>
    <w:p>
      <w:pPr>
        <w:pStyle w:val="Indenta"/>
      </w:pPr>
      <w:r>
        <w:tab/>
        <w:t>(f)</w:t>
      </w:r>
      <w:r>
        <w:tab/>
        <w:t>regulation 9A(10c) — approved viticulture course;</w:t>
      </w:r>
    </w:p>
    <w:p>
      <w:pPr>
        <w:pStyle w:val="Indenta"/>
      </w:pPr>
      <w:r>
        <w:tab/>
        <w:t>(g)</w:t>
      </w:r>
      <w:r>
        <w:tab/>
        <w:t>regulation 9A(11) — sports arena;</w:t>
      </w:r>
    </w:p>
    <w:p>
      <w:pPr>
        <w:pStyle w:val="Indenta"/>
      </w:pPr>
      <w:r>
        <w:tab/>
        <w:t>(h)</w:t>
      </w:r>
      <w:r>
        <w:tab/>
        <w:t>regulation 9A(12) — foodhall;</w:t>
      </w:r>
    </w:p>
    <w:p>
      <w:pPr>
        <w:pStyle w:val="Indenta"/>
      </w:pPr>
      <w:r>
        <w:tab/>
        <w:t>(i)</w:t>
      </w:r>
      <w:r>
        <w:tab/>
        <w:t>regulation 9A(13) — catering;</w:t>
      </w:r>
    </w:p>
    <w:p>
      <w:pPr>
        <w:pStyle w:val="Indenta"/>
      </w:pPr>
      <w:r>
        <w:tab/>
        <w:t>(j)</w:t>
      </w:r>
      <w:r>
        <w:tab/>
        <w:t>regulation 9A(14) — bed and breakfast facility;</w:t>
      </w:r>
    </w:p>
    <w:p>
      <w:pPr>
        <w:pStyle w:val="Indenta"/>
      </w:pPr>
      <w:r>
        <w:tab/>
        <w:t>(k)</w:t>
      </w:r>
      <w:r>
        <w:tab/>
        <w:t>regulation 9A(15) and (16) — room service restaurant;</w:t>
      </w:r>
    </w:p>
    <w:p>
      <w:pPr>
        <w:pStyle w:val="Indenta"/>
      </w:pPr>
      <w:r>
        <w:tab/>
        <w:t>(l)</w:t>
      </w:r>
      <w:r>
        <w:tab/>
        <w:t>regulation 9A(22) — auction.</w:t>
      </w:r>
    </w:p>
    <w:p>
      <w:pPr>
        <w:pStyle w:val="Footnotesection"/>
      </w:pPr>
      <w:r>
        <w:tab/>
        <w:t>[Regulation 9C inserted: Gazette 8 Dec 2017 p. 5850.]</w:t>
      </w:r>
    </w:p>
    <w:p>
      <w:pPr>
        <w:pStyle w:val="Heading5"/>
      </w:pPr>
      <w:bookmarkStart w:id="39" w:name="_Toc82689641"/>
      <w:r>
        <w:rPr>
          <w:rStyle w:val="CharSectno"/>
        </w:rPr>
        <w:t>9D</w:t>
      </w:r>
      <w:r>
        <w:t>.</w:t>
      </w:r>
      <w:r>
        <w:tab/>
      </w:r>
      <w:r>
        <w:rPr>
          <w:snapToGrid w:val="0"/>
        </w:rPr>
        <w:t>Act s.</w:t>
      </w:r>
      <w:r>
        <w:t> 33(6b) modified as to occasional licences</w:t>
      </w:r>
      <w:bookmarkEnd w:id="39"/>
    </w:p>
    <w:p>
      <w:pPr>
        <w:pStyle w:val="Subsection"/>
      </w:pPr>
      <w:r>
        <w:tab/>
        <w:t>(1)</w:t>
      </w:r>
      <w:r>
        <w:tab/>
        <w:t>For the purposes of a determination under section 33(6) in respect of an application for an occasional licence where the maximum number of patrons on any day of the period to which the application relates is greater than 250, section 33(6b) has effect, unless the Director otherwise determines, as if section 33(6b)(c) were deleted.</w:t>
      </w:r>
    </w:p>
    <w:p>
      <w:pPr>
        <w:pStyle w:val="Subsection"/>
        <w:keepLines/>
      </w:pPr>
      <w:r>
        <w:tab/>
        <w:t>(2)</w:t>
      </w:r>
      <w:r>
        <w:tab/>
        <w:t>For the purposes of a determination under section 33(6) in respect of an application for an occasional licence where the maximum number of patrons on any day of the period to which the application relates is not greater than 250, section 33(6b) does not have effect unless the Director otherwise determines.</w:t>
      </w:r>
    </w:p>
    <w:p>
      <w:pPr>
        <w:pStyle w:val="Footnotesection"/>
      </w:pPr>
      <w:r>
        <w:tab/>
        <w:t>[Regulation 9D inserted: Gazette 1 May 2007 p. 1871</w:t>
      </w:r>
      <w:r>
        <w:noBreakHyphen/>
        <w:t>2; amended: Gazette 22 Oct 2010 p. 5226; 2 Oct 2018 p. 3800.]</w:t>
      </w:r>
    </w:p>
    <w:p>
      <w:pPr>
        <w:pStyle w:val="Heading5"/>
      </w:pPr>
      <w:bookmarkStart w:id="40" w:name="_Toc82689642"/>
      <w:r>
        <w:rPr>
          <w:rStyle w:val="CharSectno"/>
        </w:rPr>
        <w:lastRenderedPageBreak/>
        <w:t>9E</w:t>
      </w:r>
      <w:r>
        <w:t>.</w:t>
      </w:r>
      <w:r>
        <w:tab/>
        <w:t>Period prescribed (Act s. 33(6D)(b))</w:t>
      </w:r>
      <w:bookmarkEnd w:id="40"/>
    </w:p>
    <w:p>
      <w:pPr>
        <w:pStyle w:val="Subsection"/>
        <w:keepNext/>
      </w:pPr>
      <w:r>
        <w:tab/>
      </w:r>
      <w:r>
        <w:tab/>
        <w:t>For the purposes of section 33(6D)(b) the period of 3 months is prescribed.</w:t>
      </w:r>
    </w:p>
    <w:p>
      <w:pPr>
        <w:pStyle w:val="Footnotesection"/>
        <w:keepNext/>
        <w:ind w:left="890" w:hanging="890"/>
      </w:pPr>
      <w:r>
        <w:tab/>
        <w:t>[Regulation 9E inserted: Gazette 16 Nov 2012 p. 5658.]</w:t>
      </w:r>
    </w:p>
    <w:p>
      <w:pPr>
        <w:pStyle w:val="Heading5"/>
      </w:pPr>
      <w:bookmarkStart w:id="41" w:name="_Toc82689643"/>
      <w:r>
        <w:rPr>
          <w:rStyle w:val="CharSectno"/>
        </w:rPr>
        <w:t>9EA</w:t>
      </w:r>
      <w:r>
        <w:t>.</w:t>
      </w:r>
      <w:r>
        <w:tab/>
        <w:t>Kinds of licence prescribed (Act s. 38(1)(a))</w:t>
      </w:r>
      <w:bookmarkEnd w:id="41"/>
    </w:p>
    <w:p>
      <w:pPr>
        <w:pStyle w:val="Subsection"/>
      </w:pPr>
      <w:r>
        <w:tab/>
      </w:r>
      <w:r>
        <w:tab/>
        <w:t xml:space="preserve">For the purposes of section 38(1)(a), the following kinds of licence are prescribed — </w:t>
      </w:r>
    </w:p>
    <w:p>
      <w:pPr>
        <w:pStyle w:val="Indenta"/>
      </w:pPr>
      <w:r>
        <w:tab/>
        <w:t>(a)</w:t>
      </w:r>
      <w:r>
        <w:tab/>
        <w:t>a hotel licence;</w:t>
      </w:r>
    </w:p>
    <w:p>
      <w:pPr>
        <w:pStyle w:val="Indenta"/>
      </w:pPr>
      <w:r>
        <w:tab/>
        <w:t>(b)</w:t>
      </w:r>
      <w:r>
        <w:tab/>
        <w:t>a nightclub licence;</w:t>
      </w:r>
    </w:p>
    <w:p>
      <w:pPr>
        <w:pStyle w:val="Indenta"/>
      </w:pPr>
      <w:r>
        <w:tab/>
        <w:t>(c)</w:t>
      </w:r>
      <w:r>
        <w:tab/>
        <w:t>a casino liquor licence;</w:t>
      </w:r>
    </w:p>
    <w:p>
      <w:pPr>
        <w:pStyle w:val="Indenta"/>
      </w:pPr>
      <w:r>
        <w:tab/>
        <w:t>(d)</w:t>
      </w:r>
      <w:r>
        <w:tab/>
        <w:t>a liquor store licence.</w:t>
      </w:r>
    </w:p>
    <w:p>
      <w:pPr>
        <w:pStyle w:val="Footnotesection"/>
        <w:keepNext/>
        <w:ind w:left="890" w:hanging="890"/>
      </w:pPr>
      <w:r>
        <w:tab/>
        <w:t>[Regulation 9EA inserted: Gazette 2 Oct 2018 p. 3800.]</w:t>
      </w:r>
    </w:p>
    <w:p>
      <w:pPr>
        <w:pStyle w:val="Heading5"/>
      </w:pPr>
      <w:bookmarkStart w:id="42" w:name="_Toc82689644"/>
      <w:r>
        <w:rPr>
          <w:rStyle w:val="CharSectno"/>
        </w:rPr>
        <w:t>9F</w:t>
      </w:r>
      <w:r>
        <w:t>.</w:t>
      </w:r>
      <w:r>
        <w:tab/>
        <w:t>Kinds of permit prescribed (Act s. 38(1)(b))</w:t>
      </w:r>
      <w:bookmarkEnd w:id="42"/>
    </w:p>
    <w:p>
      <w:pPr>
        <w:pStyle w:val="Subsection"/>
      </w:pPr>
      <w:r>
        <w:tab/>
      </w:r>
      <w:r>
        <w:tab/>
        <w:t>For the purposes of section 38(1)(b), an extended trading permit to be issued for the purpose referred to in section 60(4)(g) and for a specified period exceeding 3 weeks is prescribed.</w:t>
      </w:r>
    </w:p>
    <w:p>
      <w:pPr>
        <w:pStyle w:val="Footnotesection"/>
        <w:spacing w:before="100"/>
        <w:ind w:left="890" w:hanging="890"/>
      </w:pPr>
      <w:r>
        <w:tab/>
        <w:t>[Regulation 9F inserted: Gazette 2 Oct 2018 p. 3800.]</w:t>
      </w:r>
    </w:p>
    <w:p>
      <w:pPr>
        <w:pStyle w:val="Ednotesection"/>
      </w:pPr>
      <w:r>
        <w:t>[</w:t>
      </w:r>
      <w:r>
        <w:rPr>
          <w:b/>
        </w:rPr>
        <w:t>9G.</w:t>
      </w:r>
      <w:r>
        <w:rPr>
          <w:b/>
        </w:rPr>
        <w:tab/>
      </w:r>
      <w:r>
        <w:t>Deleted: Gazette 2 Oct 2018 p. 3800.]</w:t>
      </w:r>
    </w:p>
    <w:p>
      <w:pPr>
        <w:pStyle w:val="Heading5"/>
        <w:spacing w:before="240"/>
        <w:rPr>
          <w:snapToGrid w:val="0"/>
        </w:rPr>
      </w:pPr>
      <w:bookmarkStart w:id="43" w:name="_Toc82689645"/>
      <w:r>
        <w:rPr>
          <w:rStyle w:val="CharSectno"/>
        </w:rPr>
        <w:t>10</w:t>
      </w:r>
      <w:r>
        <w:rPr>
          <w:snapToGrid w:val="0"/>
        </w:rPr>
        <w:t>.</w:t>
      </w:r>
      <w:r>
        <w:rPr>
          <w:snapToGrid w:val="0"/>
        </w:rPr>
        <w:tab/>
        <w:t>Requirements prescribed (Act s. </w:t>
      </w:r>
      <w:r>
        <w:t>57(2)(d)</w:t>
      </w:r>
      <w:r>
        <w:rPr>
          <w:snapToGrid w:val="0"/>
        </w:rPr>
        <w:t>)</w:t>
      </w:r>
      <w:bookmarkEnd w:id="43"/>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keepNext/>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 xml:space="preserve">which </w:t>
      </w:r>
      <w:r>
        <w:rPr>
          <w:snapToGrid w:val="0"/>
        </w:rPr>
        <w:lastRenderedPageBreak/>
        <w:t>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keepNext/>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Gazette 22 May 1998 p. 2942; amended: Gazette 1 May 2007 p. 1873 and 1888</w:t>
      </w:r>
      <w:r>
        <w:noBreakHyphen/>
        <w:t>9; 6 Feb 2009 p. 248; 3 Jun 2011 p. 1999.]</w:t>
      </w:r>
    </w:p>
    <w:p>
      <w:pPr>
        <w:pStyle w:val="Heading5"/>
        <w:rPr>
          <w:snapToGrid w:val="0"/>
        </w:rPr>
      </w:pPr>
      <w:bookmarkStart w:id="44" w:name="_Toc82689646"/>
      <w:r>
        <w:rPr>
          <w:rStyle w:val="CharSectno"/>
        </w:rPr>
        <w:t>10A</w:t>
      </w:r>
      <w:r>
        <w:rPr>
          <w:snapToGrid w:val="0"/>
        </w:rPr>
        <w:t>.</w:t>
      </w:r>
      <w:r>
        <w:rPr>
          <w:snapToGrid w:val="0"/>
        </w:rPr>
        <w:tab/>
        <w:t>Condition prescribed (Act s. 55(2))</w:t>
      </w:r>
      <w:bookmarkEnd w:id="44"/>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Gazette 22 May 1998 p. 2942; amended: Gazette 1 May 2007 p. 1888</w:t>
      </w:r>
      <w:r>
        <w:noBreakHyphen/>
        <w:t>9.]</w:t>
      </w:r>
    </w:p>
    <w:p>
      <w:pPr>
        <w:pStyle w:val="Heading5"/>
      </w:pPr>
      <w:bookmarkStart w:id="45" w:name="_Toc82689647"/>
      <w:r>
        <w:rPr>
          <w:rStyle w:val="CharSectno"/>
        </w:rPr>
        <w:t>10B</w:t>
      </w:r>
      <w:r>
        <w:t>.</w:t>
      </w:r>
      <w:r>
        <w:tab/>
        <w:t>Days for making application prescribed (Act s. 64(1BA))</w:t>
      </w:r>
      <w:bookmarkEnd w:id="45"/>
    </w:p>
    <w:p>
      <w:pPr>
        <w:pStyle w:val="Subsection"/>
      </w:pPr>
      <w:r>
        <w:tab/>
      </w:r>
      <w:r>
        <w:tab/>
        <w:t xml:space="preserve">For the purposes of section 64(1BA), the prescribed number of days is — </w:t>
      </w:r>
    </w:p>
    <w:p>
      <w:pPr>
        <w:pStyle w:val="Indenta"/>
      </w:pPr>
      <w:r>
        <w:tab/>
        <w:t>(a)</w:t>
      </w:r>
      <w:r>
        <w:tab/>
        <w:t xml:space="preserve">if the condition as varied is proposed to have effect for a period not exceeding 21 days — </w:t>
      </w:r>
    </w:p>
    <w:p>
      <w:pPr>
        <w:pStyle w:val="Indenti"/>
      </w:pPr>
      <w:r>
        <w:tab/>
        <w:t>(i)</w:t>
      </w:r>
      <w:r>
        <w:tab/>
        <w:t>if the anticipated number of patrons is not greater than 500 — 14 days; or</w:t>
      </w:r>
    </w:p>
    <w:p>
      <w:pPr>
        <w:pStyle w:val="Indenti"/>
      </w:pPr>
      <w:r>
        <w:lastRenderedPageBreak/>
        <w:tab/>
        <w:t>(ii)</w:t>
      </w:r>
      <w:r>
        <w:tab/>
        <w:t>if the anticipated number of patrons is greater than 500 but not greater than 5 000 — 60 days; or</w:t>
      </w:r>
    </w:p>
    <w:p>
      <w:pPr>
        <w:pStyle w:val="Indenti"/>
      </w:pPr>
      <w:r>
        <w:tab/>
        <w:t>(iii)</w:t>
      </w:r>
      <w:r>
        <w:tab/>
        <w:t>if the anticipated number of patrons is greater than 5 000 — 90 days;</w:t>
      </w:r>
    </w:p>
    <w:p>
      <w:pPr>
        <w:pStyle w:val="Indenta"/>
      </w:pPr>
      <w:r>
        <w:tab/>
      </w:r>
      <w:r>
        <w:tab/>
        <w:t>or</w:t>
      </w:r>
    </w:p>
    <w:p>
      <w:pPr>
        <w:pStyle w:val="Indenta"/>
      </w:pPr>
      <w:r>
        <w:tab/>
        <w:t>(b)</w:t>
      </w:r>
      <w:r>
        <w:tab/>
        <w:t>if the condition as varied is proposed to have effect for a period exceeding 21 days, or if the condition is proposed to be varied permanently — 30 days.</w:t>
      </w:r>
    </w:p>
    <w:p>
      <w:pPr>
        <w:pStyle w:val="Footnotesection"/>
        <w:ind w:left="890" w:hanging="890"/>
      </w:pPr>
      <w:r>
        <w:tab/>
        <w:t>[Regulation 10B inserted: Gazette 2 Oct 2018 p. 3800</w:t>
      </w:r>
      <w:r>
        <w:noBreakHyphen/>
        <w:t>1; amended: SL 2021/94 r. 5.]</w:t>
      </w:r>
    </w:p>
    <w:p>
      <w:pPr>
        <w:pStyle w:val="Heading5"/>
        <w:rPr>
          <w:snapToGrid w:val="0"/>
        </w:rPr>
      </w:pPr>
      <w:bookmarkStart w:id="46" w:name="_Toc82689648"/>
      <w:r>
        <w:rPr>
          <w:rStyle w:val="CharSectno"/>
        </w:rPr>
        <w:t>11</w:t>
      </w:r>
      <w:r>
        <w:rPr>
          <w:snapToGrid w:val="0"/>
        </w:rPr>
        <w:t>.</w:t>
      </w:r>
      <w:r>
        <w:rPr>
          <w:snapToGrid w:val="0"/>
        </w:rPr>
        <w:tab/>
        <w:t>Plans and specifications, requirements for (Act s. 66(4) and (5))</w:t>
      </w:r>
      <w:bookmarkEnd w:id="46"/>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lastRenderedPageBreak/>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keepNext/>
        <w:rPr>
          <w:snapToGrid w:val="0"/>
        </w:rPr>
      </w:pPr>
      <w:r>
        <w:rPr>
          <w:snapToGrid w:val="0"/>
        </w:rPr>
        <w:lastRenderedPageBreak/>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Gazette 9 Jul 2004 p. 2778</w:t>
      </w:r>
      <w:r>
        <w:noBreakHyphen/>
        <w:t>9; 1 May 2007 p. 1874</w:t>
      </w:r>
      <w:r>
        <w:noBreakHyphen/>
        <w:t>6 and 1888</w:t>
      </w:r>
      <w:r>
        <w:noBreakHyphen/>
        <w:t>9.]</w:t>
      </w:r>
    </w:p>
    <w:p>
      <w:pPr>
        <w:pStyle w:val="Ednotesection"/>
        <w:widowControl w:val="0"/>
        <w:ind w:left="890" w:hanging="890"/>
      </w:pPr>
      <w:r>
        <w:t>[</w:t>
      </w:r>
      <w:r>
        <w:rPr>
          <w:b/>
          <w:bCs/>
        </w:rPr>
        <w:t>12.</w:t>
      </w:r>
      <w:r>
        <w:tab/>
        <w:t>Deleted: Gazette 28 Sep 2007 p. 4928.]</w:t>
      </w:r>
    </w:p>
    <w:p>
      <w:pPr>
        <w:pStyle w:val="Ednotesection"/>
        <w:widowControl w:val="0"/>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47" w:name="_Toc82689649"/>
      <w:r>
        <w:rPr>
          <w:rStyle w:val="CharSectno"/>
        </w:rPr>
        <w:t>13</w:t>
      </w:r>
      <w:r>
        <w:rPr>
          <w:snapToGrid w:val="0"/>
        </w:rPr>
        <w:t>.</w:t>
      </w:r>
      <w:r>
        <w:rPr>
          <w:snapToGrid w:val="0"/>
        </w:rPr>
        <w:tab/>
        <w:t>Records as to applicant, requirements for (Act s. 68(1)(b))</w:t>
      </w:r>
      <w:bookmarkEnd w:id="47"/>
    </w:p>
    <w:p>
      <w:pPr>
        <w:pStyle w:val="Subsection"/>
        <w:rPr>
          <w:snapToGrid w:val="0"/>
        </w:rPr>
      </w:pPr>
      <w:r>
        <w:rPr>
          <w:snapToGrid w:val="0"/>
        </w:rPr>
        <w:tab/>
        <w:t>(1)</w:t>
      </w:r>
      <w:r>
        <w:rPr>
          <w:snapToGrid w:val="0"/>
        </w:rPr>
        <w:tab/>
        <w:t xml:space="preserve">The records required to accompany a notice of application for the grant or transfer of a licence, other than an occasional licence, under section 68(1)(b) shall be in the form of a written statement and shall contain, in respect of each applicant, the </w:t>
      </w:r>
      <w:r>
        <w:rPr>
          <w:snapToGrid w:val="0"/>
        </w:rPr>
        <w:lastRenderedPageBreak/>
        <w:t>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Gazette 28 Sep 2007 p. 4928.]</w:t>
      </w:r>
    </w:p>
    <w:p>
      <w:pPr>
        <w:pStyle w:val="Heading5"/>
      </w:pPr>
      <w:bookmarkStart w:id="48" w:name="_Toc82689650"/>
      <w:r>
        <w:rPr>
          <w:rStyle w:val="CharSectno"/>
        </w:rPr>
        <w:t>14A</w:t>
      </w:r>
      <w:r>
        <w:t>.</w:t>
      </w:r>
      <w:r>
        <w:tab/>
        <w:t xml:space="preserve">Types etc. of premises prescribed </w:t>
      </w:r>
      <w:r>
        <w:rPr>
          <w:snapToGrid w:val="0"/>
        </w:rPr>
        <w:t>(Act s. 77(5a)(b))</w:t>
      </w:r>
      <w:bookmarkEnd w:id="48"/>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Gazette 2 May 2008 p. 1704; amended: Gazette 18 Dec 2012 p. 6596-7.]</w:t>
      </w:r>
    </w:p>
    <w:p>
      <w:pPr>
        <w:pStyle w:val="Heading5"/>
      </w:pPr>
      <w:bookmarkStart w:id="49" w:name="_Toc82689651"/>
      <w:r>
        <w:rPr>
          <w:rStyle w:val="CharSectno"/>
        </w:rPr>
        <w:t>14AA</w:t>
      </w:r>
      <w:r>
        <w:t>.</w:t>
      </w:r>
      <w:r>
        <w:tab/>
        <w:t>Area prescribed (Act s. 77A)</w:t>
      </w:r>
      <w:bookmarkEnd w:id="49"/>
    </w:p>
    <w:p>
      <w:pPr>
        <w:pStyle w:val="Subsection"/>
      </w:pPr>
      <w:r>
        <w:tab/>
      </w:r>
      <w:r>
        <w:tab/>
        <w:t>For the purposes of section 77A, the area of 400 m</w:t>
      </w:r>
      <w:r>
        <w:rPr>
          <w:vertAlign w:val="superscript"/>
        </w:rPr>
        <w:t>2</w:t>
      </w:r>
      <w:r>
        <w:t xml:space="preserve"> is prescribed.</w:t>
      </w:r>
    </w:p>
    <w:p>
      <w:pPr>
        <w:pStyle w:val="Footnotesection"/>
        <w:ind w:left="890" w:hanging="890"/>
      </w:pPr>
      <w:r>
        <w:tab/>
        <w:t>[Regulation 14AA inserted: Gazette 1 Nov 2019 p. 3859.]</w:t>
      </w:r>
    </w:p>
    <w:p>
      <w:pPr>
        <w:pStyle w:val="Heading5"/>
      </w:pPr>
      <w:bookmarkStart w:id="50" w:name="_Toc82689652"/>
      <w:r>
        <w:rPr>
          <w:rStyle w:val="CharSectno"/>
        </w:rPr>
        <w:t>14AAA</w:t>
      </w:r>
      <w:r>
        <w:t>.</w:t>
      </w:r>
      <w:r>
        <w:tab/>
        <w:t>Distance prescribed (Act s. 77A)</w:t>
      </w:r>
      <w:bookmarkEnd w:id="50"/>
    </w:p>
    <w:p>
      <w:pPr>
        <w:pStyle w:val="Subsection"/>
      </w:pPr>
      <w:r>
        <w:tab/>
        <w:t>(1)</w:t>
      </w:r>
      <w:r>
        <w:tab/>
        <w:t xml:space="preserve">For the purposes of section 77A, the following distances are prescribed — </w:t>
      </w:r>
    </w:p>
    <w:p>
      <w:pPr>
        <w:pStyle w:val="Indenta"/>
      </w:pPr>
      <w:r>
        <w:tab/>
        <w:t>(a)</w:t>
      </w:r>
      <w:r>
        <w:tab/>
        <w:t>for packaged liquor premises in the metropolitan region — 5 km;</w:t>
      </w:r>
    </w:p>
    <w:p>
      <w:pPr>
        <w:pStyle w:val="Indenta"/>
      </w:pPr>
      <w:r>
        <w:tab/>
        <w:t>(b)</w:t>
      </w:r>
      <w:r>
        <w:tab/>
        <w:t>for all other packaged liquor premises — 12 km.</w:t>
      </w:r>
    </w:p>
    <w:p>
      <w:pPr>
        <w:pStyle w:val="Subsection"/>
        <w:keepNext/>
      </w:pPr>
      <w:r>
        <w:lastRenderedPageBreak/>
        <w:tab/>
        <w:t>(2)</w:t>
      </w:r>
      <w:r>
        <w:tab/>
        <w:t>The distances referred to in subregulation (1) are to be calculated using the shortest route by road.</w:t>
      </w:r>
    </w:p>
    <w:p>
      <w:pPr>
        <w:pStyle w:val="Footnotesection"/>
        <w:ind w:left="890" w:hanging="890"/>
      </w:pPr>
      <w:r>
        <w:tab/>
        <w:t>[Regulation 9AAA inserted: Gazette 1 Nov 2019 p. 3859.]</w:t>
      </w:r>
    </w:p>
    <w:p>
      <w:pPr>
        <w:pStyle w:val="Heading5"/>
      </w:pPr>
      <w:bookmarkStart w:id="51" w:name="_Toc82689653"/>
      <w:r>
        <w:rPr>
          <w:rStyle w:val="CharSectno"/>
        </w:rPr>
        <w:t>14AB</w:t>
      </w:r>
      <w:r>
        <w:t>.</w:t>
      </w:r>
      <w:r>
        <w:tab/>
        <w:t xml:space="preserve">Requirement for lodgment of application prescribed </w:t>
      </w:r>
      <w:r>
        <w:rPr>
          <w:snapToGrid w:val="0"/>
        </w:rPr>
        <w:t>(Act s. </w:t>
      </w:r>
      <w:r>
        <w:t>75(1)(b))</w:t>
      </w:r>
      <w:bookmarkEnd w:id="51"/>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60 days before the licence is to take effect; or</w:t>
      </w:r>
    </w:p>
    <w:p>
      <w:pPr>
        <w:pStyle w:val="Indenta"/>
        <w:keepNext/>
      </w:pPr>
      <w:r>
        <w:tab/>
        <w:t>(b)</w:t>
      </w:r>
      <w:r>
        <w:tab/>
        <w:t>if the anticipated number of patrons is greater than 5 000 — not later than 90 days before the licence is to take effect.</w:t>
      </w:r>
    </w:p>
    <w:p>
      <w:pPr>
        <w:pStyle w:val="Footnotesection"/>
        <w:ind w:left="890" w:hanging="890"/>
      </w:pPr>
      <w:r>
        <w:tab/>
        <w:t>[Regulation 14AB inserted: Gazette 1 May 2007 p. 1876</w:t>
      </w:r>
      <w:r>
        <w:noBreakHyphen/>
        <w:t>7; amended: Gazette 22 Oct 2010 p. 5227; SL 2021/94 r. 6.]</w:t>
      </w:r>
    </w:p>
    <w:p>
      <w:pPr>
        <w:pStyle w:val="Heading5"/>
      </w:pPr>
      <w:bookmarkStart w:id="52" w:name="_Toc82689654"/>
      <w:r>
        <w:rPr>
          <w:rStyle w:val="CharSectno"/>
        </w:rPr>
        <w:t>14AC</w:t>
      </w:r>
      <w:r>
        <w:t>.</w:t>
      </w:r>
      <w:r>
        <w:tab/>
        <w:t xml:space="preserve">Requirement for lodgment of application prescribed </w:t>
      </w:r>
      <w:r>
        <w:rPr>
          <w:snapToGrid w:val="0"/>
        </w:rPr>
        <w:t>(Act s. </w:t>
      </w:r>
      <w:r>
        <w:t>76(1)(b))</w:t>
      </w:r>
      <w:bookmarkEnd w:id="52"/>
    </w:p>
    <w:p>
      <w:pPr>
        <w:pStyle w:val="Subsection"/>
      </w:pPr>
      <w:r>
        <w:tab/>
        <w:t>(1)</w:t>
      </w:r>
      <w:r>
        <w:tab/>
        <w:t xml:space="preserve">In this regulation — </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60 days before the permit is to take effect; or</w:t>
      </w:r>
    </w:p>
    <w:p>
      <w:pPr>
        <w:pStyle w:val="Indenta"/>
        <w:keepNext/>
      </w:pPr>
      <w:r>
        <w:lastRenderedPageBreak/>
        <w:tab/>
        <w:t>(b)</w:t>
      </w:r>
      <w:r>
        <w:tab/>
        <w:t>if the anticipated number of patrons is greater than 5 000 — not later than 90 days before the permit is to take effect.</w:t>
      </w:r>
    </w:p>
    <w:p>
      <w:pPr>
        <w:pStyle w:val="Footnotesection"/>
        <w:ind w:left="890" w:hanging="890"/>
      </w:pPr>
      <w:r>
        <w:tab/>
        <w:t>[Regulation 14AC inserted: Gazette 1 May 2007 p. 1877; amended: Gazette 22 Oct 2010 p. 5227; 2 Oct 2018 p. 3801; SL 2021/94 r. 7.]</w:t>
      </w:r>
    </w:p>
    <w:p>
      <w:pPr>
        <w:pStyle w:val="Heading5"/>
        <w:spacing w:before="240"/>
      </w:pPr>
      <w:bookmarkStart w:id="53" w:name="_Toc82689655"/>
      <w:r>
        <w:rPr>
          <w:rStyle w:val="CharSectno"/>
        </w:rPr>
        <w:t>14ADA</w:t>
      </w:r>
      <w:r>
        <w:t>.</w:t>
      </w:r>
      <w:r>
        <w:tab/>
        <w:t>Manager’s approval, application for (Act s. 102B)</w:t>
      </w:r>
      <w:bookmarkEnd w:id="53"/>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keepNext/>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keepNext/>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Gazette 3 Jun 2011 p. 1995.]</w:t>
      </w:r>
    </w:p>
    <w:p>
      <w:pPr>
        <w:pStyle w:val="Heading5"/>
      </w:pPr>
      <w:bookmarkStart w:id="54" w:name="_Toc82689656"/>
      <w:r>
        <w:rPr>
          <w:rStyle w:val="CharSectno"/>
        </w:rPr>
        <w:t>14ADB</w:t>
      </w:r>
      <w:r>
        <w:t>.</w:t>
      </w:r>
      <w:r>
        <w:tab/>
        <w:t>Manager’s approval, conditions on (Act s. 102C)</w:t>
      </w:r>
      <w:bookmarkEnd w:id="54"/>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lastRenderedPageBreak/>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Gazette 3 Jun 2011 p. 1995</w:t>
      </w:r>
      <w:r>
        <w:noBreakHyphen/>
        <w:t>6.]</w:t>
      </w:r>
    </w:p>
    <w:p>
      <w:pPr>
        <w:pStyle w:val="Heading5"/>
      </w:pPr>
      <w:bookmarkStart w:id="55" w:name="_Toc82689657"/>
      <w:r>
        <w:rPr>
          <w:rStyle w:val="CharSectno"/>
        </w:rPr>
        <w:t>14ADC</w:t>
      </w:r>
      <w:r>
        <w:t>.</w:t>
      </w:r>
      <w:r>
        <w:tab/>
        <w:t>Manager’s approval, duration of (Act s. 102D)</w:t>
      </w:r>
      <w:bookmarkEnd w:id="55"/>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Gazette 3 Jun 2011 p. 1996.]</w:t>
      </w:r>
    </w:p>
    <w:p>
      <w:pPr>
        <w:pStyle w:val="Heading5"/>
      </w:pPr>
      <w:bookmarkStart w:id="56" w:name="_Toc82689658"/>
      <w:r>
        <w:rPr>
          <w:rStyle w:val="CharSectno"/>
        </w:rPr>
        <w:t>14ADD</w:t>
      </w:r>
      <w:r>
        <w:t>.</w:t>
      </w:r>
      <w:r>
        <w:tab/>
        <w:t>Manager’s approval, renewal of (Act s. 102E)</w:t>
      </w:r>
      <w:bookmarkEnd w:id="56"/>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lastRenderedPageBreak/>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Gazette 3 Jun 2011 p. 1996.]</w:t>
      </w:r>
    </w:p>
    <w:p>
      <w:pPr>
        <w:pStyle w:val="Heading5"/>
      </w:pPr>
      <w:bookmarkStart w:id="57" w:name="_Toc82689659"/>
      <w:r>
        <w:rPr>
          <w:rStyle w:val="CharSectno"/>
        </w:rPr>
        <w:t>14ADE</w:t>
      </w:r>
      <w:r>
        <w:t>.</w:t>
      </w:r>
      <w:r>
        <w:tab/>
        <w:t>Approved manager, identification card for</w:t>
      </w:r>
      <w:bookmarkEnd w:id="57"/>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lastRenderedPageBreak/>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Gazette 3 Jun 2011 p. 1996</w:t>
      </w:r>
      <w:r>
        <w:noBreakHyphen/>
        <w:t>7.]</w:t>
      </w:r>
    </w:p>
    <w:p>
      <w:pPr>
        <w:pStyle w:val="Heading5"/>
      </w:pPr>
      <w:bookmarkStart w:id="58" w:name="_Toc82689660"/>
      <w:r>
        <w:rPr>
          <w:rStyle w:val="CharSectno"/>
        </w:rPr>
        <w:t>14ADF</w:t>
      </w:r>
      <w:r>
        <w:t>.</w:t>
      </w:r>
      <w:r>
        <w:tab/>
        <w:t>Lost etc. identification card, replacement of</w:t>
      </w:r>
      <w:bookmarkEnd w:id="58"/>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keepNext/>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Gazette 3 Jun 2011 p. 1997.]</w:t>
      </w:r>
    </w:p>
    <w:p>
      <w:pPr>
        <w:pStyle w:val="Heading5"/>
      </w:pPr>
      <w:bookmarkStart w:id="59" w:name="_Toc82689661"/>
      <w:r>
        <w:rPr>
          <w:rStyle w:val="CharSectno"/>
        </w:rPr>
        <w:t>14ADG</w:t>
      </w:r>
      <w:r>
        <w:t>.</w:t>
      </w:r>
      <w:r>
        <w:tab/>
        <w:t>Transitioned approvals (Act Sch. 1B)</w:t>
      </w:r>
      <w:bookmarkEnd w:id="59"/>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lastRenderedPageBreak/>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Footnotesection"/>
        <w:ind w:left="890" w:hanging="890"/>
      </w:pPr>
      <w:r>
        <w:tab/>
        <w:t>[Regulation 14ADG inserted: Gazette 3 Jun 2011 p. 1997</w:t>
      </w:r>
      <w:r>
        <w:noBreakHyphen/>
        <w:t>8; amended: Gazette 6 Nov 2015 p. 4584.]</w:t>
      </w:r>
    </w:p>
    <w:p>
      <w:pPr>
        <w:pStyle w:val="Heading5"/>
      </w:pPr>
      <w:bookmarkStart w:id="60" w:name="_Toc82689662"/>
      <w:r>
        <w:rPr>
          <w:rStyle w:val="CharSectno"/>
        </w:rPr>
        <w:t>14AD</w:t>
      </w:r>
      <w:r>
        <w:t>.</w:t>
      </w:r>
      <w:r>
        <w:tab/>
        <w:t xml:space="preserve">Responsible practices in selling etc. liquor, courses on required </w:t>
      </w:r>
      <w:r>
        <w:rPr>
          <w:snapToGrid w:val="0"/>
        </w:rPr>
        <w:t>(Act s. </w:t>
      </w:r>
      <w:r>
        <w:t>103A(1)(a))</w:t>
      </w:r>
      <w:bookmarkEnd w:id="60"/>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 xml:space="preserve">A person employed or engaged in the service of liquor on or from licensed premises under an occasional licence, where the maximum number of patrons on any day of the period for which the licence is granted is greater than 300, is required to have completed successfully, within 6 months before being employed </w:t>
      </w:r>
      <w:r>
        <w:lastRenderedPageBreak/>
        <w:t>or engaged in that capacity, a course of training or an assessment, approved by the Director for the purposes of this subregulation, in responsible practices in the sale, supply and service of liquor.</w:t>
      </w:r>
    </w:p>
    <w:p>
      <w:pPr>
        <w:pStyle w:val="Subsection"/>
      </w:pPr>
      <w:r>
        <w:tab/>
        <w:t>(4A)</w:t>
      </w:r>
      <w:r>
        <w:tab/>
        <w:t>A person employed or engaged as a crowd controller in respect of licenced premises (other than licensed premises under an occasional licence) on or after 1 July 2018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(4B)</w:t>
      </w:r>
      <w:r>
        <w:tab/>
        <w:t>A person employed or engaged as a crowd controller in respect of licenced premises under an occasional licence, where the maximum number of patrons on any day of the period for which the licence is granted is greater than 300, on or after 1 July 2018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(4C)</w:t>
      </w:r>
      <w:r>
        <w:tab/>
        <w:t xml:space="preserve">A person who completes a course of training or assessment approved for the purposes of subregulation (2), (3), (4), (4A) or (4B) is thereafter exempt from that subregulation. </w:t>
      </w:r>
    </w:p>
    <w:p>
      <w:pPr>
        <w:pStyle w:val="Subsection"/>
      </w:pPr>
      <w:r>
        <w:tab/>
        <w:t>(5)</w:t>
      </w:r>
      <w:r>
        <w:tab/>
        <w:t>If the Director determines that a person to whom subregulation (2), (3), (4), (4A) or (4B) would otherwise apply is exempt from that subregulation, that exemption has effect accordingly.</w:t>
      </w:r>
    </w:p>
    <w:p>
      <w:pPr>
        <w:pStyle w:val="Footnotesection"/>
      </w:pPr>
      <w:r>
        <w:tab/>
        <w:t>[Regulation 14AD inserted: Gazette 1 May 2007 p. 1878; amended: Gazette 22 Oct 2010 p. 5227; 3 Jun 2011 p. 1998; 10 Jan 2017 p. 144; 2 Oct 2018 p. 3801.]</w:t>
      </w:r>
    </w:p>
    <w:p>
      <w:pPr>
        <w:pStyle w:val="Heading5"/>
      </w:pPr>
      <w:bookmarkStart w:id="61" w:name="_Toc82689663"/>
      <w:r>
        <w:rPr>
          <w:rStyle w:val="CharSectno"/>
        </w:rPr>
        <w:lastRenderedPageBreak/>
        <w:t>14AE</w:t>
      </w:r>
      <w:r>
        <w:t>.</w:t>
      </w:r>
      <w:r>
        <w:tab/>
        <w:t>Offences for r. 14AD</w:t>
      </w:r>
      <w:bookmarkEnd w:id="61"/>
    </w:p>
    <w:p>
      <w:pPr>
        <w:pStyle w:val="Subsection"/>
        <w:keepNext/>
        <w:keepLines/>
      </w:pPr>
      <w:r>
        <w:tab/>
        <w:t>(1)</w:t>
      </w:r>
      <w:r>
        <w:tab/>
        <w:t>A person who —</w:t>
      </w:r>
    </w:p>
    <w:p>
      <w:pPr>
        <w:pStyle w:val="Indenta"/>
      </w:pPr>
      <w:r>
        <w:tab/>
        <w:t>(a)</w:t>
      </w:r>
      <w:r>
        <w:tab/>
        <w:t xml:space="preserve">has failed to complete successfully a course of training or assessment as required by regulation 14AD(2), (3) or (4A); and </w:t>
      </w:r>
    </w:p>
    <w:p>
      <w:pPr>
        <w:pStyle w:val="Indenta"/>
        <w:keepNext/>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for this subregulation: $2 000.</w:t>
      </w:r>
    </w:p>
    <w:p>
      <w:pPr>
        <w:pStyle w:val="Subsection"/>
        <w:keepNext/>
      </w:pPr>
      <w:r>
        <w:tab/>
        <w:t>(2)</w:t>
      </w:r>
      <w:r>
        <w:tab/>
        <w:t>A person who —</w:t>
      </w:r>
    </w:p>
    <w:p>
      <w:pPr>
        <w:pStyle w:val="Indenta"/>
        <w:spacing w:before="100"/>
      </w:pPr>
      <w:r>
        <w:tab/>
        <w:t>(a)</w:t>
      </w:r>
      <w:r>
        <w:tab/>
        <w:t xml:space="preserve">has failed to complete successfully a course of training or an assessment as required by regulation 14AD(4) or (4B); and </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for this subregulation: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Gazette 1 May 2007 p. 1879; amended: Gazette 2 Oct 2007 p. 4974; 22 Oct 2010 p. 5228; 10 Jan 2017 p. 144</w:t>
      </w:r>
      <w:r>
        <w:noBreakHyphen/>
        <w:t>5.]</w:t>
      </w:r>
    </w:p>
    <w:p>
      <w:pPr>
        <w:pStyle w:val="Ednotesection"/>
      </w:pPr>
      <w:r>
        <w:lastRenderedPageBreak/>
        <w:t>[</w:t>
      </w:r>
      <w:r>
        <w:rPr>
          <w:b/>
        </w:rPr>
        <w:t>14AF.</w:t>
      </w:r>
      <w:r>
        <w:tab/>
        <w:t>Deleted: Gazette 10 Jan 2017 p. 145.]</w:t>
      </w:r>
    </w:p>
    <w:p>
      <w:pPr>
        <w:pStyle w:val="Heading5"/>
        <w:spacing w:before="210"/>
      </w:pPr>
      <w:bookmarkStart w:id="62" w:name="_Toc82689664"/>
      <w:r>
        <w:rPr>
          <w:rStyle w:val="CharSectno"/>
        </w:rPr>
        <w:t>14AG</w:t>
      </w:r>
      <w:r>
        <w:t>.</w:t>
      </w:r>
      <w:r>
        <w:tab/>
        <w:t>Licensee to maintain register </w:t>
      </w:r>
      <w:r>
        <w:rPr>
          <w:snapToGrid w:val="0"/>
        </w:rPr>
        <w:t>(Act s. </w:t>
      </w:r>
      <w:r>
        <w:t>103A(1)(b))</w:t>
      </w:r>
      <w:bookmarkEnd w:id="62"/>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Gazette 1 May 2007 p. 1880; amended: Gazette 28 Sep 2007 p. 4929.]</w:t>
      </w:r>
    </w:p>
    <w:p>
      <w:pPr>
        <w:pStyle w:val="Ednotesection"/>
        <w:spacing w:before="210"/>
      </w:pPr>
      <w:r>
        <w:t>[</w:t>
      </w:r>
      <w:r>
        <w:rPr>
          <w:b/>
          <w:bCs/>
        </w:rPr>
        <w:t>15.</w:t>
      </w:r>
      <w:r>
        <w:tab/>
        <w:t>Deleted: Gazette 28 Sep 2007 p. 4929.]</w:t>
      </w:r>
    </w:p>
    <w:p>
      <w:pPr>
        <w:pStyle w:val="Heading5"/>
        <w:keepLines w:val="0"/>
        <w:widowControl w:val="0"/>
        <w:spacing w:before="210"/>
        <w:rPr>
          <w:snapToGrid w:val="0"/>
        </w:rPr>
      </w:pPr>
      <w:bookmarkStart w:id="63" w:name="_Toc82689665"/>
      <w:r>
        <w:rPr>
          <w:rStyle w:val="CharSectno"/>
        </w:rPr>
        <w:t>16</w:t>
      </w:r>
      <w:r>
        <w:rPr>
          <w:snapToGrid w:val="0"/>
        </w:rPr>
        <w:t>.</w:t>
      </w:r>
      <w:r>
        <w:rPr>
          <w:snapToGrid w:val="0"/>
        </w:rPr>
        <w:tab/>
        <w:t>Amount of liability prescribed (Act s. 107)</w:t>
      </w:r>
      <w:bookmarkEnd w:id="63"/>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pPr>
      <w:bookmarkStart w:id="64" w:name="_Toc82689666"/>
      <w:r>
        <w:rPr>
          <w:rStyle w:val="CharSectno"/>
        </w:rPr>
        <w:lastRenderedPageBreak/>
        <w:t>16AA</w:t>
      </w:r>
      <w:r>
        <w:t>.</w:t>
      </w:r>
      <w:r>
        <w:tab/>
        <w:t>Quantity and area for offence (Act s. 109A)</w:t>
      </w:r>
      <w:bookmarkEnd w:id="64"/>
    </w:p>
    <w:p>
      <w:pPr>
        <w:pStyle w:val="Subsection"/>
      </w:pPr>
      <w:r>
        <w:tab/>
        <w:t>(1)</w:t>
      </w:r>
      <w:r>
        <w:tab/>
        <w:t xml:space="preserve">In this regulation — </w:t>
      </w:r>
    </w:p>
    <w:p>
      <w:pPr>
        <w:pStyle w:val="Defstart"/>
      </w:pPr>
      <w:r>
        <w:tab/>
      </w:r>
      <w:r>
        <w:rPr>
          <w:rStyle w:val="CharDefText"/>
        </w:rPr>
        <w:t>town</w:t>
      </w:r>
      <w:r>
        <w:t xml:space="preserve"> means land that is a townsite as defined in the </w:t>
      </w:r>
      <w:r>
        <w:rPr>
          <w:i/>
        </w:rPr>
        <w:t>Land Administration Act 1997</w:t>
      </w:r>
      <w:r>
        <w:t xml:space="preserve"> section 3(1).</w:t>
      </w:r>
    </w:p>
    <w:p>
      <w:pPr>
        <w:pStyle w:val="Subsection"/>
      </w:pPr>
      <w:r>
        <w:tab/>
        <w:t>(2)</w:t>
      </w:r>
      <w:r>
        <w:tab/>
        <w:t>For the purposes of this regulation, a reference to a town means the town and the area within 20 km of the boundaries of that town.</w:t>
      </w:r>
    </w:p>
    <w:p>
      <w:pPr>
        <w:pStyle w:val="Subsection"/>
      </w:pPr>
      <w:r>
        <w:tab/>
        <w:t>(3)</w:t>
      </w:r>
      <w:r>
        <w:tab/>
        <w:t xml:space="preserve">For the purposes of section 109A(2) of the Act, a kind of liquor specified in the Table, in a quantity corresponding to that kind in the Table, is prescribed for — </w:t>
      </w:r>
    </w:p>
    <w:p>
      <w:pPr>
        <w:pStyle w:val="Indenta"/>
      </w:pPr>
      <w:r>
        <w:tab/>
        <w:t>(a)</w:t>
      </w:r>
      <w:r>
        <w:tab/>
        <w:t>the towns of Broome, Derby, Fitzroy Crossing, Halls Creek, Kununurra and Wyndham; and</w:t>
      </w:r>
    </w:p>
    <w:p>
      <w:pPr>
        <w:pStyle w:val="Indenta"/>
      </w:pPr>
      <w:r>
        <w:tab/>
        <w:t>(b)</w:t>
      </w:r>
      <w:r>
        <w:tab/>
        <w:t xml:space="preserve">the area within 5 km of an area of the State that is — </w:t>
      </w:r>
    </w:p>
    <w:p>
      <w:pPr>
        <w:pStyle w:val="Indenti"/>
      </w:pPr>
      <w:r>
        <w:tab/>
        <w:t>(i)</w:t>
      </w:r>
      <w:r>
        <w:tab/>
        <w:t>within the local government district of Broome, Derby</w:t>
      </w:r>
      <w:r>
        <w:noBreakHyphen/>
        <w:t>West Kimberly, Halls Creek or Wyndham</w:t>
      </w:r>
      <w:r>
        <w:noBreakHyphen/>
        <w:t>East Kimberly; and</w:t>
      </w:r>
    </w:p>
    <w:p>
      <w:pPr>
        <w:pStyle w:val="Indenti"/>
      </w:pPr>
      <w:r>
        <w:tab/>
        <w:t>(ii)</w:t>
      </w:r>
      <w:r>
        <w:tab/>
        <w:t>declared to be a restricted area for the purposes of section 175(1a) of the Act.</w:t>
      </w:r>
    </w:p>
    <w:p>
      <w:pPr>
        <w:pStyle w:val="THeadingNAm"/>
      </w:pPr>
      <w:r>
        <w:t>Table</w:t>
      </w:r>
    </w:p>
    <w:tbl>
      <w:tblPr>
        <w:tblW w:w="5970"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82"/>
        <w:gridCol w:w="1794"/>
        <w:gridCol w:w="1794"/>
      </w:tblGrid>
      <w:tr>
        <w:trPr>
          <w:tblHeader/>
        </w:trPr>
        <w:tc>
          <w:tcPr>
            <w:tcW w:w="2382" w:type="dxa"/>
            <w:vMerge w:val="restart"/>
            <w:noWrap/>
          </w:tcPr>
          <w:p>
            <w:pPr>
              <w:pStyle w:val="TableNAm"/>
              <w:jc w:val="center"/>
              <w:rPr>
                <w:b/>
                <w:bCs/>
                <w:i/>
              </w:rPr>
            </w:pPr>
            <w:r>
              <w:rPr>
                <w:b/>
                <w:bCs/>
                <w:i/>
              </w:rPr>
              <w:t>Kind of liquor</w:t>
            </w:r>
          </w:p>
        </w:tc>
        <w:tc>
          <w:tcPr>
            <w:tcW w:w="3588" w:type="dxa"/>
            <w:gridSpan w:val="2"/>
            <w:noWrap/>
          </w:tcPr>
          <w:p>
            <w:pPr>
              <w:pStyle w:val="TableNAm"/>
              <w:jc w:val="center"/>
              <w:rPr>
                <w:b/>
                <w:bCs/>
                <w:i/>
              </w:rPr>
            </w:pPr>
            <w:r>
              <w:rPr>
                <w:b/>
                <w:bCs/>
                <w:i/>
              </w:rPr>
              <w:t>Quantity of liquor</w:t>
            </w:r>
          </w:p>
        </w:tc>
      </w:tr>
      <w:tr>
        <w:trPr>
          <w:tblHeader/>
        </w:trPr>
        <w:tc>
          <w:tcPr>
            <w:tcW w:w="2382" w:type="dxa"/>
            <w:vMerge/>
            <w:noWrap/>
          </w:tcPr>
          <w:p>
            <w:pPr>
              <w:pStyle w:val="TableNAm"/>
              <w:jc w:val="center"/>
              <w:rPr>
                <w:b/>
                <w:bCs/>
                <w:i/>
              </w:rPr>
            </w:pPr>
          </w:p>
        </w:tc>
        <w:tc>
          <w:tcPr>
            <w:tcW w:w="1794" w:type="dxa"/>
            <w:noWrap/>
          </w:tcPr>
          <w:p>
            <w:pPr>
              <w:pStyle w:val="TableNAm"/>
              <w:jc w:val="center"/>
              <w:rPr>
                <w:bCs/>
              </w:rPr>
            </w:pPr>
            <w:r>
              <w:rPr>
                <w:bCs/>
              </w:rPr>
              <w:t>If carried on its own or with 1 other kind of liquor</w:t>
            </w:r>
          </w:p>
        </w:tc>
        <w:tc>
          <w:tcPr>
            <w:tcW w:w="1794" w:type="dxa"/>
            <w:noWrap/>
          </w:tcPr>
          <w:p>
            <w:pPr>
              <w:pStyle w:val="TableNAm"/>
              <w:jc w:val="center"/>
              <w:rPr>
                <w:bCs/>
              </w:rPr>
            </w:pPr>
            <w:r>
              <w:rPr>
                <w:bCs/>
              </w:rPr>
              <w:t>If carried with 2 or more other kinds of liquor</w:t>
            </w:r>
          </w:p>
        </w:tc>
      </w:tr>
      <w:tr>
        <w:tc>
          <w:tcPr>
            <w:tcW w:w="2382" w:type="dxa"/>
            <w:noWrap/>
          </w:tcPr>
          <w:p>
            <w:pPr>
              <w:pStyle w:val="TableNAm"/>
            </w:pPr>
            <w:r>
              <w:t>Liquor, comprising beer, with an alcohol content greater than 2.7% and up to and including 7%</w:t>
            </w:r>
          </w:p>
        </w:tc>
        <w:tc>
          <w:tcPr>
            <w:tcW w:w="1794" w:type="dxa"/>
            <w:noWrap/>
            <w:vAlign w:val="bottom"/>
          </w:tcPr>
          <w:p>
            <w:pPr>
              <w:pStyle w:val="TableNAm"/>
              <w:tabs>
                <w:tab w:val="clear" w:pos="567"/>
              </w:tabs>
              <w:ind w:right="379"/>
              <w:jc w:val="right"/>
            </w:pPr>
            <w:r>
              <w:t>11.25 L</w:t>
            </w:r>
          </w:p>
        </w:tc>
        <w:tc>
          <w:tcPr>
            <w:tcW w:w="1794" w:type="dxa"/>
            <w:noWrap/>
            <w:vAlign w:val="bottom"/>
          </w:tcPr>
          <w:p>
            <w:pPr>
              <w:pStyle w:val="TableNAm"/>
              <w:ind w:right="613"/>
              <w:jc w:val="right"/>
            </w:pPr>
            <w:r>
              <w:t>0 L</w:t>
            </w:r>
          </w:p>
        </w:tc>
      </w:tr>
      <w:tr>
        <w:trPr>
          <w:cantSplit/>
        </w:trPr>
        <w:tc>
          <w:tcPr>
            <w:tcW w:w="2382" w:type="dxa"/>
            <w:noWrap/>
          </w:tcPr>
          <w:p>
            <w:pPr>
              <w:pStyle w:val="TableNAm"/>
            </w:pPr>
            <w:r>
              <w:lastRenderedPageBreak/>
              <w:t>Liquor, comprising cider, with an alcohol content greater than 2.7% and up to and including 7%</w:t>
            </w:r>
          </w:p>
        </w:tc>
        <w:tc>
          <w:tcPr>
            <w:tcW w:w="1794" w:type="dxa"/>
            <w:noWrap/>
            <w:vAlign w:val="bottom"/>
          </w:tcPr>
          <w:p>
            <w:pPr>
              <w:pStyle w:val="TableNAm"/>
              <w:tabs>
                <w:tab w:val="clear" w:pos="567"/>
              </w:tabs>
              <w:ind w:right="379"/>
              <w:jc w:val="right"/>
            </w:pPr>
            <w:r>
              <w:t>11.25 L</w:t>
            </w:r>
          </w:p>
        </w:tc>
        <w:tc>
          <w:tcPr>
            <w:tcW w:w="1794" w:type="dxa"/>
            <w:noWrap/>
            <w:vAlign w:val="bottom"/>
          </w:tcPr>
          <w:p>
            <w:pPr>
              <w:pStyle w:val="TableNAm"/>
              <w:ind w:right="613"/>
              <w:jc w:val="right"/>
            </w:pPr>
            <w:r>
              <w:t>0 L</w:t>
            </w:r>
          </w:p>
        </w:tc>
      </w:tr>
      <w:tr>
        <w:tc>
          <w:tcPr>
            <w:tcW w:w="2382" w:type="dxa"/>
            <w:noWrap/>
          </w:tcPr>
          <w:p>
            <w:pPr>
              <w:pStyle w:val="TableNAm"/>
            </w:pPr>
            <w:r>
              <w:t>Any other liquor (including pre</w:t>
            </w:r>
            <w:r>
              <w:noBreakHyphen/>
              <w:t>mixed spirits) with an alcohol content greater than 2.7% and up to and including 7%</w:t>
            </w:r>
          </w:p>
        </w:tc>
        <w:tc>
          <w:tcPr>
            <w:tcW w:w="1794" w:type="dxa"/>
            <w:noWrap/>
            <w:vAlign w:val="bottom"/>
          </w:tcPr>
          <w:p>
            <w:pPr>
              <w:pStyle w:val="TableNAm"/>
              <w:tabs>
                <w:tab w:val="clear" w:pos="567"/>
              </w:tabs>
              <w:ind w:right="379"/>
              <w:jc w:val="right"/>
            </w:pPr>
            <w:r>
              <w:t>11.25 L</w:t>
            </w:r>
          </w:p>
        </w:tc>
        <w:tc>
          <w:tcPr>
            <w:tcW w:w="1794" w:type="dxa"/>
            <w:noWrap/>
            <w:vAlign w:val="bottom"/>
          </w:tcPr>
          <w:p>
            <w:pPr>
              <w:pStyle w:val="TableNAm"/>
              <w:ind w:right="613"/>
              <w:jc w:val="right"/>
            </w:pPr>
            <w:r>
              <w:t>0 L</w:t>
            </w:r>
          </w:p>
        </w:tc>
      </w:tr>
      <w:tr>
        <w:tc>
          <w:tcPr>
            <w:tcW w:w="2382" w:type="dxa"/>
            <w:noWrap/>
          </w:tcPr>
          <w:p>
            <w:pPr>
              <w:pStyle w:val="TableNAm"/>
            </w:pPr>
            <w:r>
              <w:t>Liquor (including wine) with an alcohol content of greater than 7% and up to and including 15%</w:t>
            </w:r>
          </w:p>
        </w:tc>
        <w:tc>
          <w:tcPr>
            <w:tcW w:w="1794" w:type="dxa"/>
            <w:noWrap/>
            <w:vAlign w:val="bottom"/>
          </w:tcPr>
          <w:p>
            <w:pPr>
              <w:pStyle w:val="TableNAm"/>
              <w:tabs>
                <w:tab w:val="clear" w:pos="567"/>
              </w:tabs>
              <w:ind w:right="379"/>
              <w:jc w:val="right"/>
            </w:pPr>
            <w:r>
              <w:t>2.25 L</w:t>
            </w:r>
          </w:p>
        </w:tc>
        <w:tc>
          <w:tcPr>
            <w:tcW w:w="1794" w:type="dxa"/>
            <w:noWrap/>
            <w:vAlign w:val="bottom"/>
          </w:tcPr>
          <w:p>
            <w:pPr>
              <w:pStyle w:val="TableNAm"/>
              <w:ind w:right="613"/>
              <w:jc w:val="right"/>
            </w:pPr>
            <w:r>
              <w:t>0 L</w:t>
            </w:r>
          </w:p>
        </w:tc>
      </w:tr>
      <w:tr>
        <w:tc>
          <w:tcPr>
            <w:tcW w:w="2382" w:type="dxa"/>
            <w:noWrap/>
          </w:tcPr>
          <w:p>
            <w:pPr>
              <w:pStyle w:val="TableNAm"/>
            </w:pPr>
            <w:r>
              <w:t>Liquor, comprising fortified wine, with an alcohol content greater than 15%</w:t>
            </w:r>
          </w:p>
        </w:tc>
        <w:tc>
          <w:tcPr>
            <w:tcW w:w="1794" w:type="dxa"/>
            <w:noWrap/>
            <w:vAlign w:val="bottom"/>
          </w:tcPr>
          <w:p>
            <w:pPr>
              <w:pStyle w:val="TableNAm"/>
              <w:tabs>
                <w:tab w:val="clear" w:pos="567"/>
              </w:tabs>
              <w:ind w:right="662"/>
              <w:jc w:val="right"/>
            </w:pPr>
            <w:r>
              <w:t>1 L</w:t>
            </w:r>
          </w:p>
        </w:tc>
        <w:tc>
          <w:tcPr>
            <w:tcW w:w="1794" w:type="dxa"/>
            <w:noWrap/>
            <w:vAlign w:val="bottom"/>
          </w:tcPr>
          <w:p>
            <w:pPr>
              <w:pStyle w:val="TableNAm"/>
              <w:ind w:right="613"/>
              <w:jc w:val="right"/>
            </w:pPr>
            <w:r>
              <w:t>0 L</w:t>
            </w:r>
          </w:p>
        </w:tc>
      </w:tr>
      <w:tr>
        <w:trPr>
          <w:cantSplit/>
        </w:trPr>
        <w:tc>
          <w:tcPr>
            <w:tcW w:w="2382" w:type="dxa"/>
            <w:tcBorders>
              <w:top w:val="single" w:sz="4" w:space="0" w:color="auto"/>
              <w:left w:val="single" w:sz="4" w:space="0" w:color="auto"/>
              <w:bottom w:val="single" w:sz="4" w:space="0" w:color="auto"/>
              <w:right w:val="single" w:sz="4" w:space="0" w:color="auto"/>
            </w:tcBorders>
            <w:noWrap/>
          </w:tcPr>
          <w:p>
            <w:pPr>
              <w:pStyle w:val="TableNAm"/>
            </w:pPr>
            <w:r>
              <w:t>Any other liquor (including spirits) with an alcohol content greater than 15%</w:t>
            </w:r>
          </w:p>
        </w:tc>
        <w:tc>
          <w:tcPr>
            <w:tcW w:w="1794" w:type="dxa"/>
            <w:tcBorders>
              <w:top w:val="single" w:sz="4" w:space="0" w:color="auto"/>
              <w:left w:val="single" w:sz="4" w:space="0" w:color="auto"/>
              <w:bottom w:val="single" w:sz="4" w:space="0" w:color="auto"/>
              <w:right w:val="single" w:sz="4" w:space="0" w:color="auto"/>
            </w:tcBorders>
            <w:noWrap/>
            <w:vAlign w:val="bottom"/>
          </w:tcPr>
          <w:p>
            <w:pPr>
              <w:pStyle w:val="TableNAm"/>
              <w:tabs>
                <w:tab w:val="clear" w:pos="567"/>
              </w:tabs>
              <w:ind w:right="662"/>
              <w:jc w:val="right"/>
            </w:pPr>
            <w:r>
              <w:t>1 L</w:t>
            </w:r>
          </w:p>
        </w:tc>
        <w:tc>
          <w:tcPr>
            <w:tcW w:w="1794" w:type="dxa"/>
            <w:tcBorders>
              <w:top w:val="single" w:sz="4" w:space="0" w:color="auto"/>
              <w:left w:val="single" w:sz="4" w:space="0" w:color="auto"/>
              <w:bottom w:val="single" w:sz="4" w:space="0" w:color="auto"/>
              <w:right w:val="single" w:sz="4" w:space="0" w:color="auto"/>
            </w:tcBorders>
            <w:noWrap/>
            <w:vAlign w:val="bottom"/>
          </w:tcPr>
          <w:p>
            <w:pPr>
              <w:pStyle w:val="TableNAm"/>
              <w:ind w:right="613"/>
              <w:jc w:val="right"/>
            </w:pPr>
            <w:r>
              <w:t>0 L</w:t>
            </w:r>
          </w:p>
        </w:tc>
      </w:tr>
    </w:tbl>
    <w:p>
      <w:pPr>
        <w:pStyle w:val="Footnotesection"/>
      </w:pPr>
      <w:r>
        <w:lastRenderedPageBreak/>
        <w:tab/>
        <w:t>[Regulation 16AA inserted: SL 2021/163 r. 4.]</w:t>
      </w:r>
    </w:p>
    <w:p>
      <w:pPr>
        <w:pStyle w:val="Heading5"/>
      </w:pPr>
      <w:bookmarkStart w:id="65" w:name="_Toc82689667"/>
      <w:r>
        <w:rPr>
          <w:rStyle w:val="CharSectno"/>
        </w:rPr>
        <w:t>16AB</w:t>
      </w:r>
      <w:r>
        <w:t>.</w:t>
      </w:r>
      <w:r>
        <w:tab/>
        <w:t>Persons of prescribed class (Act s. 109A(4)(b))</w:t>
      </w:r>
      <w:bookmarkEnd w:id="65"/>
    </w:p>
    <w:p>
      <w:pPr>
        <w:pStyle w:val="Subsection"/>
      </w:pPr>
      <w:r>
        <w:tab/>
      </w:r>
      <w:r>
        <w:tab/>
        <w:t>For the purposes of section 109A(4)(b) of the Act, the following classes of persons are prescribed —</w:t>
      </w:r>
    </w:p>
    <w:p>
      <w:pPr>
        <w:pStyle w:val="Indenta"/>
      </w:pPr>
      <w:r>
        <w:tab/>
        <w:t>(a)</w:t>
      </w:r>
      <w:r>
        <w:tab/>
        <w:t xml:space="preserve">persons who are — </w:t>
      </w:r>
    </w:p>
    <w:p>
      <w:pPr>
        <w:pStyle w:val="Indenti"/>
      </w:pPr>
      <w:r>
        <w:tab/>
        <w:t>(i)</w:t>
      </w:r>
      <w:r>
        <w:tab/>
        <w:t>staying at a place that is at least 40 km from their usual place of residence for a period of at least 1 night; and</w:t>
      </w:r>
    </w:p>
    <w:p>
      <w:pPr>
        <w:pStyle w:val="Indenti"/>
      </w:pPr>
      <w:r>
        <w:tab/>
        <w:t>(ii)</w:t>
      </w:r>
      <w:r>
        <w:tab/>
        <w:t>intending to stay away from their usual place of residence for a period of less than 12 months; and</w:t>
      </w:r>
    </w:p>
    <w:p>
      <w:pPr>
        <w:pStyle w:val="Indenti"/>
      </w:pPr>
      <w:r>
        <w:tab/>
        <w:t>(iii)</w:t>
      </w:r>
      <w:r>
        <w:tab/>
        <w:t>not in the course of travelling on a regular journey between their usual place of residence and their place of work or education; and</w:t>
      </w:r>
    </w:p>
    <w:p>
      <w:pPr>
        <w:pStyle w:val="Indenti"/>
      </w:pPr>
      <w:r>
        <w:tab/>
        <w:t>(iv)</w:t>
      </w:r>
      <w:r>
        <w:tab/>
        <w:t>travelling in the course of a holiday or for leisure, business, to visit friends or relatives, or for any other reason; and</w:t>
      </w:r>
    </w:p>
    <w:p>
      <w:pPr>
        <w:pStyle w:val="Indenti"/>
      </w:pPr>
      <w:r>
        <w:tab/>
        <w:t>(v)</w:t>
      </w:r>
      <w:r>
        <w:tab/>
        <w:t>not usually residents of the local government district of Broome, Derby</w:t>
      </w:r>
      <w:r>
        <w:noBreakHyphen/>
        <w:t>West Kimberly, Halls Creek or Wyndham</w:t>
      </w:r>
      <w:r>
        <w:noBreakHyphen/>
        <w:t>East Kimberly;</w:t>
      </w:r>
    </w:p>
    <w:p>
      <w:pPr>
        <w:pStyle w:val="Indenta"/>
      </w:pPr>
      <w:r>
        <w:tab/>
        <w:t>(b)</w:t>
      </w:r>
      <w:r>
        <w:tab/>
        <w:t xml:space="preserve">farmers, including — </w:t>
      </w:r>
    </w:p>
    <w:p>
      <w:pPr>
        <w:pStyle w:val="Indenti"/>
      </w:pPr>
      <w:r>
        <w:tab/>
        <w:t>(i)</w:t>
      </w:r>
      <w:r>
        <w:tab/>
        <w:t xml:space="preserve">holders of pastoral leases (as defined in the </w:t>
      </w:r>
      <w:r>
        <w:rPr>
          <w:i/>
        </w:rPr>
        <w:t>Land Administration Act 1997</w:t>
      </w:r>
      <w:r>
        <w:t xml:space="preserve"> section 3(1)); and</w:t>
      </w:r>
    </w:p>
    <w:p>
      <w:pPr>
        <w:pStyle w:val="Indenti"/>
      </w:pPr>
      <w:r>
        <w:tab/>
        <w:t>(ii)</w:t>
      </w:r>
      <w:r>
        <w:tab/>
        <w:t>owners or operators of businesses involving horticulture, viticulture, apiculture, aquaculture, poultry farming, dairy farming or any other form of agriculture or primary production; and</w:t>
      </w:r>
    </w:p>
    <w:p>
      <w:pPr>
        <w:pStyle w:val="Indenti"/>
      </w:pPr>
      <w:r>
        <w:tab/>
        <w:t>(iii)</w:t>
      </w:r>
      <w:r>
        <w:tab/>
        <w:t>employees of persons referred to in subparagraphs (i) and (ii);</w:t>
      </w:r>
    </w:p>
    <w:p>
      <w:pPr>
        <w:pStyle w:val="Indenta"/>
        <w:keepNext/>
      </w:pPr>
      <w:r>
        <w:lastRenderedPageBreak/>
        <w:tab/>
        <w:t>(c)</w:t>
      </w:r>
      <w:r>
        <w:tab/>
        <w:t xml:space="preserve">operators of, or employees or contractors on, worksites — </w:t>
      </w:r>
    </w:p>
    <w:p>
      <w:pPr>
        <w:pStyle w:val="Indenti"/>
      </w:pPr>
      <w:r>
        <w:tab/>
        <w:t>(i)</w:t>
      </w:r>
      <w:r>
        <w:tab/>
        <w:t>in the mining, energy or infrastructure industries; and</w:t>
      </w:r>
    </w:p>
    <w:p>
      <w:pPr>
        <w:pStyle w:val="Indenti"/>
      </w:pPr>
      <w:r>
        <w:tab/>
        <w:t>(ii)</w:t>
      </w:r>
      <w:r>
        <w:tab/>
        <w:t>on which there are no licensed premises.</w:t>
      </w:r>
    </w:p>
    <w:p>
      <w:pPr>
        <w:pStyle w:val="Footnotesection"/>
      </w:pPr>
      <w:r>
        <w:tab/>
        <w:t>[Regulation 16AB inserted: SL 2021/163 r. 4.]</w:t>
      </w:r>
    </w:p>
    <w:p>
      <w:pPr>
        <w:pStyle w:val="Heading5"/>
      </w:pPr>
      <w:bookmarkStart w:id="66" w:name="_Toc82689668"/>
      <w:r>
        <w:rPr>
          <w:rStyle w:val="CharSectno"/>
        </w:rPr>
        <w:t>16AC</w:t>
      </w:r>
      <w:r>
        <w:t>.</w:t>
      </w:r>
      <w:r>
        <w:tab/>
        <w:t>Vehicles of prescribed class (Act s. 109A(4)(c))</w:t>
      </w:r>
      <w:bookmarkEnd w:id="66"/>
    </w:p>
    <w:p>
      <w:pPr>
        <w:pStyle w:val="Subsection"/>
      </w:pPr>
      <w:r>
        <w:tab/>
      </w:r>
      <w:r>
        <w:tab/>
        <w:t xml:space="preserve">For the purposes of section 109A(4)(c) of the Act, the following classes of vehicles are prescribed — </w:t>
      </w:r>
    </w:p>
    <w:p>
      <w:pPr>
        <w:pStyle w:val="Indenta"/>
      </w:pPr>
      <w:r>
        <w:tab/>
        <w:t>(a)</w:t>
      </w:r>
      <w:r>
        <w:tab/>
        <w:t>a vehicle being operated by a licensee;</w:t>
      </w:r>
    </w:p>
    <w:p>
      <w:pPr>
        <w:pStyle w:val="Indenta"/>
      </w:pPr>
      <w:r>
        <w:tab/>
        <w:t>(b)</w:t>
      </w:r>
      <w:r>
        <w:tab/>
        <w:t>a vehicle being operated by a person referred to in regulation 16AB;</w:t>
      </w:r>
    </w:p>
    <w:p>
      <w:pPr>
        <w:pStyle w:val="Indenta"/>
      </w:pPr>
      <w:r>
        <w:tab/>
        <w:t>(c)</w:t>
      </w:r>
      <w:r>
        <w:tab/>
        <w:t>a vehicle being driven by a police officer in the course of duty.</w:t>
      </w:r>
    </w:p>
    <w:p>
      <w:pPr>
        <w:pStyle w:val="Footnotesection"/>
      </w:pPr>
      <w:r>
        <w:tab/>
        <w:t>[Regulation 16AC inserted: SL 2021/163 r. 4.]</w:t>
      </w:r>
    </w:p>
    <w:p>
      <w:pPr>
        <w:pStyle w:val="Heading5"/>
      </w:pPr>
      <w:bookmarkStart w:id="67" w:name="_Toc82689669"/>
      <w:r>
        <w:rPr>
          <w:rStyle w:val="CharSectno"/>
        </w:rPr>
        <w:t>16AD</w:t>
      </w:r>
      <w:r>
        <w:t>.</w:t>
      </w:r>
      <w:r>
        <w:tab/>
        <w:t>Prescribed circumstance (Act s. 109A(4)(d))</w:t>
      </w:r>
      <w:bookmarkEnd w:id="67"/>
    </w:p>
    <w:p>
      <w:pPr>
        <w:pStyle w:val="Subsection"/>
      </w:pPr>
      <w:r>
        <w:tab/>
      </w:r>
      <w:r>
        <w:tab/>
        <w:t xml:space="preserve">For the purposes of section 109A(4)(d) of the Act, the circumstance prescribed is that the liquor was carried in a vehicle in a quantity that does not, for a kind of liquor, exceed the amount calculated using the following formula — </w:t>
      </w:r>
    </w:p>
    <w:p>
      <w:pPr>
        <w:pStyle w:val="Equation"/>
        <w:keepNext/>
        <w:tabs>
          <w:tab w:val="left" w:pos="1418"/>
        </w:tabs>
        <w:spacing w:before="120"/>
      </w:pPr>
      <w:r>
        <w:rPr>
          <w:iCs/>
          <w:noProof w:val="0"/>
        </w:rPr>
        <w:tab/>
      </w:r>
      <m:oMath>
        <m:r>
          <w:rPr>
            <w:rFonts w:ascii="Cambria Math" w:hAnsi="Cambria Math"/>
          </w:rPr>
          <m:t>A</m:t>
        </m:r>
        <m:r>
          <m:rPr>
            <m:sty m:val="p"/>
          </m:rPr>
          <w:rPr>
            <w:rFonts w:ascii="Cambria Math" w:hAnsi="Cambria Math"/>
          </w:rPr>
          <m:t>=</m:t>
        </m:r>
        <m:r>
          <w:rPr>
            <w:rFonts w:ascii="Cambria Math" w:hAnsi="Cambria Math"/>
          </w:rPr>
          <m:t>Q</m:t>
        </m:r>
        <m:r>
          <m:rPr>
            <m:sty m:val="p"/>
          </m:rPr>
          <w:rPr>
            <w:rFonts w:ascii="Cambria Math" w:hAnsi="Cambria Math"/>
          </w:rPr>
          <m:t>×</m:t>
        </m:r>
        <m:r>
          <w:rPr>
            <w:rFonts w:ascii="Cambria Math" w:hAnsi="Cambria Math"/>
          </w:rPr>
          <m:t>O</m:t>
        </m:r>
      </m:oMath>
    </w:p>
    <w:p>
      <w:pPr>
        <w:pStyle w:val="MiscellaneousBody"/>
        <w:ind w:left="1418" w:hanging="851"/>
      </w:pPr>
      <w:r>
        <w:tab/>
        <w:t xml:space="preserve">where — </w:t>
      </w:r>
    </w:p>
    <w:p>
      <w:pPr>
        <w:pStyle w:val="MiscellaneousBody"/>
        <w:tabs>
          <w:tab w:val="left" w:pos="1701"/>
        </w:tabs>
        <w:ind w:left="2127" w:hanging="1277"/>
      </w:pPr>
      <w:r>
        <w:tab/>
        <w:t>A</w:t>
      </w:r>
      <w:r>
        <w:tab/>
        <w:t>is the amount;</w:t>
      </w:r>
    </w:p>
    <w:p>
      <w:pPr>
        <w:pStyle w:val="MiscellaneousBody"/>
        <w:tabs>
          <w:tab w:val="left" w:pos="1701"/>
        </w:tabs>
        <w:ind w:left="2127" w:hanging="1277"/>
      </w:pPr>
      <w:r>
        <w:tab/>
        <w:t>Q</w:t>
      </w:r>
      <w:r>
        <w:tab/>
        <w:t>is the quantity prescribed under regulation 16AA(3) for the kind of liquor;</w:t>
      </w:r>
    </w:p>
    <w:p>
      <w:pPr>
        <w:pStyle w:val="MiscellaneousBody"/>
        <w:tabs>
          <w:tab w:val="left" w:pos="1701"/>
        </w:tabs>
        <w:ind w:left="2127" w:hanging="1277"/>
      </w:pPr>
      <w:r>
        <w:tab/>
        <w:t>O</w:t>
      </w:r>
      <w:r>
        <w:tab/>
        <w:t xml:space="preserve">is — </w:t>
      </w:r>
    </w:p>
    <w:p>
      <w:pPr>
        <w:pStyle w:val="MiscellaneousBody"/>
        <w:tabs>
          <w:tab w:val="left" w:pos="2268"/>
        </w:tabs>
        <w:ind w:left="2835" w:hanging="1985"/>
      </w:pPr>
      <w:r>
        <w:tab/>
        <w:t>(a)</w:t>
      </w:r>
      <w:r>
        <w:tab/>
        <w:t>unless paragraph (b) applies, the number of occupants of the vehicle who are legally entitled to purchase liquor;</w:t>
      </w:r>
    </w:p>
    <w:p>
      <w:pPr>
        <w:pStyle w:val="MiscellaneousBody"/>
        <w:tabs>
          <w:tab w:val="left" w:pos="2268"/>
        </w:tabs>
        <w:ind w:left="2835" w:hanging="1985"/>
      </w:pPr>
      <w:r>
        <w:lastRenderedPageBreak/>
        <w:tab/>
        <w:t>(b)</w:t>
      </w:r>
      <w:r>
        <w:tab/>
        <w:t>if the number of occupants of the vehicle who are legally entitled to purchase liquor exceeds 5 — 5.</w:t>
      </w:r>
    </w:p>
    <w:p>
      <w:pPr>
        <w:pStyle w:val="Footnotesection"/>
      </w:pPr>
      <w:r>
        <w:tab/>
        <w:t>[Regulation 16AD inserted: SL 2021/163 r. 4.]</w:t>
      </w:r>
    </w:p>
    <w:p>
      <w:pPr>
        <w:pStyle w:val="Heading5"/>
      </w:pPr>
      <w:bookmarkStart w:id="68" w:name="_Toc82689670"/>
      <w:r>
        <w:rPr>
          <w:rStyle w:val="CharSectno"/>
        </w:rPr>
        <w:t>16A</w:t>
      </w:r>
      <w:r>
        <w:t>.</w:t>
      </w:r>
      <w:r>
        <w:tab/>
        <w:t xml:space="preserve">Sports arenas prescribed (Act s. 110(4B) </w:t>
      </w:r>
      <w:r>
        <w:rPr>
          <w:i/>
        </w:rPr>
        <w:t>sports arena</w:t>
      </w:r>
      <w:r>
        <w:t>)</w:t>
      </w:r>
      <w:bookmarkEnd w:id="68"/>
    </w:p>
    <w:p>
      <w:pPr>
        <w:pStyle w:val="Subsection"/>
      </w:pPr>
      <w:r>
        <w:tab/>
        <w:t>(1)</w:t>
      </w:r>
      <w:r>
        <w:tab/>
        <w:t xml:space="preserve">For the purposes of the definition of </w:t>
      </w:r>
      <w:r>
        <w:rPr>
          <w:b/>
          <w:i/>
        </w:rPr>
        <w:t>sports arena</w:t>
      </w:r>
      <w:r>
        <w:t xml:space="preserve"> in section 110(4B), the sports arenas, grounds or stadiums known by the following names and located at the following addresses are prescribed —</w:t>
      </w:r>
    </w:p>
    <w:p>
      <w:pPr>
        <w:pStyle w:val="Indenta"/>
      </w:pPr>
      <w:r>
        <w:tab/>
        <w:t>(a)</w:t>
      </w:r>
      <w:r>
        <w:tab/>
        <w:t>Arena Joondalup, Kennedya Drive, Joondalup;</w:t>
      </w:r>
    </w:p>
    <w:p>
      <w:pPr>
        <w:pStyle w:val="Indenta"/>
      </w:pPr>
      <w:r>
        <w:tab/>
        <w:t>(b)</w:t>
      </w:r>
      <w:r>
        <w:tab/>
        <w:t>Ascot Racecourse, Grandstand Road, Ascot;</w:t>
      </w:r>
    </w:p>
    <w:p>
      <w:pPr>
        <w:pStyle w:val="Indenta"/>
      </w:pPr>
      <w:r>
        <w:tab/>
        <w:t>(c)</w:t>
      </w:r>
      <w:r>
        <w:tab/>
        <w:t>Belmont Park Racecourse, Victoria Park Drive, Burswood;</w:t>
      </w:r>
    </w:p>
    <w:p>
      <w:pPr>
        <w:pStyle w:val="Indenta"/>
      </w:pPr>
      <w:r>
        <w:tab/>
        <w:t>(d)</w:t>
      </w:r>
      <w:r>
        <w:tab/>
        <w:t>Gloucester Park, Nelson Crescent, East Perth;</w:t>
      </w:r>
    </w:p>
    <w:p>
      <w:pPr>
        <w:pStyle w:val="Indenta"/>
      </w:pPr>
      <w:r>
        <w:tab/>
        <w:t>(e)</w:t>
      </w:r>
      <w:r>
        <w:tab/>
        <w:t>Greyhounds WA Cannington, Station Street, Cannington;</w:t>
      </w:r>
    </w:p>
    <w:p>
      <w:pPr>
        <w:pStyle w:val="Indenta"/>
      </w:pPr>
      <w:r>
        <w:tab/>
        <w:t>(f)</w:t>
      </w:r>
      <w:r>
        <w:tab/>
        <w:t>HBF Stadium, Stephenson Avenue, Mt Claremont;</w:t>
      </w:r>
    </w:p>
    <w:p>
      <w:pPr>
        <w:pStyle w:val="Indenta"/>
      </w:pPr>
      <w:r>
        <w:tab/>
        <w:t>(g)</w:t>
      </w:r>
      <w:r>
        <w:tab/>
        <w:t>Perth Motorplex, corner of Anketell Road and Rockingham Road, Kwinana Beach;</w:t>
      </w:r>
    </w:p>
    <w:p>
      <w:pPr>
        <w:pStyle w:val="Indenta"/>
      </w:pPr>
      <w:r>
        <w:tab/>
        <w:t>(h)</w:t>
      </w:r>
      <w:r>
        <w:tab/>
        <w:t>Perth Oval, Pier Street, Perth;</w:t>
      </w:r>
    </w:p>
    <w:p>
      <w:pPr>
        <w:pStyle w:val="Indenta"/>
      </w:pPr>
      <w:r>
        <w:tab/>
        <w:t>(i)</w:t>
      </w:r>
      <w:r>
        <w:tab/>
        <w:t>Perth Stadium, Victoria Park Drive, Burswood;</w:t>
      </w:r>
    </w:p>
    <w:p>
      <w:pPr>
        <w:pStyle w:val="Indenta"/>
      </w:pPr>
      <w:r>
        <w:tab/>
        <w:t>(j)</w:t>
      </w:r>
      <w:r>
        <w:tab/>
        <w:t>Western Australian Cricket Association Ground (also known by the name W.A.C.A. Ground), Hale Street, East Perth.</w:t>
      </w:r>
    </w:p>
    <w:p>
      <w:pPr>
        <w:pStyle w:val="Subsection"/>
      </w:pPr>
      <w:r>
        <w:tab/>
        <w:t>(2)</w:t>
      </w:r>
      <w:r>
        <w:tab/>
        <w:t>A change to the name of a sports arena, ground or stadium prescribed in subregulation (1) does not affect the operation of that subregulation.</w:t>
      </w:r>
    </w:p>
    <w:p>
      <w:pPr>
        <w:pStyle w:val="Footnotesection"/>
      </w:pPr>
      <w:r>
        <w:tab/>
        <w:t>[Regulation 16A inserted: Gazette 19 Jan 2018 p. 231</w:t>
      </w:r>
      <w:r>
        <w:noBreakHyphen/>
        <w:t>2.]</w:t>
      </w:r>
    </w:p>
    <w:p>
      <w:pPr>
        <w:pStyle w:val="Ednotesection"/>
      </w:pPr>
      <w:r>
        <w:t>[</w:t>
      </w:r>
      <w:r>
        <w:rPr>
          <w:b/>
        </w:rPr>
        <w:t>17A</w:t>
      </w:r>
      <w:r>
        <w:tab/>
        <w:t>Deleted: Gazette 19 Jan 2018 p. 231.]</w:t>
      </w:r>
    </w:p>
    <w:p>
      <w:pPr>
        <w:pStyle w:val="Heading5"/>
        <w:rPr>
          <w:snapToGrid w:val="0"/>
        </w:rPr>
      </w:pPr>
      <w:bookmarkStart w:id="69" w:name="_Toc82689671"/>
      <w:r>
        <w:rPr>
          <w:rStyle w:val="CharSectno"/>
        </w:rPr>
        <w:lastRenderedPageBreak/>
        <w:t>17</w:t>
      </w:r>
      <w:r>
        <w:rPr>
          <w:snapToGrid w:val="0"/>
        </w:rPr>
        <w:t>.</w:t>
      </w:r>
      <w:r>
        <w:rPr>
          <w:snapToGrid w:val="0"/>
        </w:rPr>
        <w:tab/>
        <w:t>Out of bounds area, notice for (Act s. 121(6))</w:t>
      </w:r>
      <w:bookmarkEnd w:id="69"/>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Gazette 1 May 2007 p. 1881.]</w:t>
      </w:r>
    </w:p>
    <w:p>
      <w:pPr>
        <w:pStyle w:val="Heading5"/>
        <w:keepLines w:val="0"/>
        <w:spacing w:before="160"/>
      </w:pPr>
      <w:bookmarkStart w:id="70" w:name="_Toc82689672"/>
      <w:r>
        <w:rPr>
          <w:rStyle w:val="CharSectno"/>
        </w:rPr>
        <w:t>18</w:t>
      </w:r>
      <w:r>
        <w:t>.</w:t>
      </w:r>
      <w:r>
        <w:tab/>
        <w:t>Premises prescribed to be regulated premises (Act s. 122(1)(f))</w:t>
      </w:r>
      <w:bookmarkEnd w:id="70"/>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 xml:space="preserve">premises consisting of a vehicle in which the consumption of liquor by a person who is at least </w:t>
      </w:r>
      <w:r>
        <w:lastRenderedPageBreak/>
        <w:t>18 years of age is exempted from the application of the Act by regulation 8F;</w:t>
      </w:r>
    </w:p>
    <w:p>
      <w:pPr>
        <w:pStyle w:val="Indenta"/>
        <w:keepLines/>
      </w:pPr>
      <w:r>
        <w:tab/>
        <w:t>(g)</w:t>
      </w:r>
      <w:r>
        <w:tab/>
        <w:t>premises on which the sale or supply of liquor to, and the consumption of liquor by, a person who is at least 18 years of age is exempted from the application of the Act by regulation 8G.</w:t>
      </w:r>
    </w:p>
    <w:p>
      <w:pPr>
        <w:pStyle w:val="Footnotesection"/>
        <w:spacing w:before="80"/>
        <w:ind w:left="890" w:hanging="890"/>
      </w:pPr>
      <w:r>
        <w:tab/>
        <w:t>[Regulation 18 inserted: Gazette 15 Jul 2011 p. 2965</w:t>
      </w:r>
      <w:r>
        <w:noBreakHyphen/>
        <w:t>6; amended: SL 2021/94 r. 8.]</w:t>
      </w:r>
    </w:p>
    <w:p>
      <w:pPr>
        <w:pStyle w:val="Heading5"/>
        <w:rPr>
          <w:snapToGrid w:val="0"/>
        </w:rPr>
      </w:pPr>
      <w:bookmarkStart w:id="71" w:name="_Toc82689673"/>
      <w:r>
        <w:rPr>
          <w:rStyle w:val="CharSectno"/>
        </w:rPr>
        <w:t>18A</w:t>
      </w:r>
      <w:r>
        <w:rPr>
          <w:snapToGrid w:val="0"/>
        </w:rPr>
        <w:t>.</w:t>
      </w:r>
      <w:r>
        <w:rPr>
          <w:snapToGrid w:val="0"/>
        </w:rPr>
        <w:tab/>
        <w:t>Documents prescribed as evidence of age etc. (Act s. 126(1)(b)(i)(III) and s. 160(1))</w:t>
      </w:r>
      <w:bookmarkEnd w:id="71"/>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(1A)</w:t>
      </w:r>
      <w:r>
        <w:tab/>
        <w:t>For the purposes of section 126(1)(b)(i)(III), the following are prescribed documents —</w:t>
      </w:r>
    </w:p>
    <w:p>
      <w:pPr>
        <w:pStyle w:val="Indenta"/>
      </w:pPr>
      <w:r>
        <w:tab/>
        <w:t>(a)</w:t>
      </w:r>
      <w:r>
        <w:tab/>
        <w:t>a proof of age card issued under regulation 18B;</w:t>
      </w:r>
    </w:p>
    <w:p>
      <w:pPr>
        <w:pStyle w:val="Indenta"/>
      </w:pPr>
      <w:r>
        <w:tab/>
        <w:t>(b)</w:t>
      </w:r>
      <w:r>
        <w:tab/>
        <w:t>a current WA photo card;</w:t>
      </w:r>
    </w:p>
    <w:p>
      <w:pPr>
        <w:pStyle w:val="Indenta"/>
      </w:pPr>
      <w:r>
        <w:tab/>
        <w:t>(c)</w:t>
      </w:r>
      <w:r>
        <w:tab/>
        <w:t>a current Australian learner driver permit with a photograph;</w:t>
      </w:r>
    </w:p>
    <w:p>
      <w:pPr>
        <w:pStyle w:val="Indenta"/>
      </w:pPr>
      <w:r>
        <w:tab/>
        <w:t>(d)</w:t>
      </w:r>
      <w:r>
        <w:tab/>
        <w:t xml:space="preserve">a current hard copy proof of age card (known as a “Keypass identity card”) issued by Australia Post, as defined in the </w:t>
      </w:r>
      <w:r>
        <w:rPr>
          <w:i/>
        </w:rPr>
        <w:t>Australian Postal Corporation Act 1989</w:t>
      </w:r>
      <w:r>
        <w:t xml:space="preserve"> (Commonwealth) section 3;</w:t>
      </w:r>
    </w:p>
    <w:p>
      <w:pPr>
        <w:pStyle w:val="Indenta"/>
      </w:pPr>
      <w:r>
        <w:lastRenderedPageBreak/>
        <w:tab/>
        <w:t>(e)</w:t>
      </w:r>
      <w:r>
        <w:tab/>
        <w:t xml:space="preserve">a current photo card issued under the </w:t>
      </w:r>
      <w:r>
        <w:rPr>
          <w:i/>
        </w:rPr>
        <w:t>Photo Card Act 2005</w:t>
      </w:r>
      <w:r>
        <w:t xml:space="preserve"> (New South Wales);</w:t>
      </w:r>
    </w:p>
    <w:p>
      <w:pPr>
        <w:pStyle w:val="Indenta"/>
      </w:pPr>
      <w:r>
        <w:tab/>
        <w:t>(f)</w:t>
      </w:r>
      <w:r>
        <w:tab/>
        <w:t>a current card issued under the law of another State or a Territory that is equivalent to a proof of age card or a photo card referred to in this regulation.</w:t>
      </w:r>
    </w:p>
    <w:p>
      <w:pPr>
        <w:pStyle w:val="Ednotesubsection"/>
      </w:pPr>
      <w:r>
        <w:tab/>
        <w:t>[(2A)</w:t>
      </w:r>
      <w:r>
        <w:tab/>
        <w:t>deleted]</w:t>
      </w:r>
    </w:p>
    <w:p>
      <w:pPr>
        <w:pStyle w:val="Footnotesection"/>
        <w:ind w:left="890" w:hanging="890"/>
      </w:pPr>
      <w:r>
        <w:tab/>
        <w:t>[Regulation 18A inserted: Gazette 22 May 1998 p. 2943; amended: Gazette 1 May 2007 p. 1888</w:t>
      </w:r>
      <w:r>
        <w:noBreakHyphen/>
        <w:t>9; 19 Apr 2013 p. 1570</w:t>
      </w:r>
      <w:r>
        <w:noBreakHyphen/>
        <w:t xml:space="preserve">1; </w:t>
      </w:r>
      <w:r>
        <w:rPr>
          <w:spacing w:val="-4"/>
        </w:rPr>
        <w:t xml:space="preserve">17 Jun 2014 p. 2000; </w:t>
      </w:r>
      <w:r>
        <w:t>27 Jun 2014 p. 2355; 8 Jan 2015 p. 147; 19 Jan 2018 p. 232.]</w:t>
      </w:r>
    </w:p>
    <w:p>
      <w:pPr>
        <w:pStyle w:val="Heading5"/>
        <w:rPr>
          <w:snapToGrid w:val="0"/>
        </w:rPr>
      </w:pPr>
      <w:bookmarkStart w:id="72" w:name="_Toc82689674"/>
      <w:r>
        <w:rPr>
          <w:rStyle w:val="CharSectno"/>
        </w:rPr>
        <w:t>18B</w:t>
      </w:r>
      <w:r>
        <w:rPr>
          <w:snapToGrid w:val="0"/>
        </w:rPr>
        <w:t>.</w:t>
      </w:r>
      <w:r>
        <w:rPr>
          <w:snapToGrid w:val="0"/>
        </w:rPr>
        <w:tab/>
        <w:t>Proof of age card, issue of etc.</w:t>
      </w:r>
      <w:bookmarkEnd w:id="72"/>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3</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 xml:space="preserve">an example of the applicant’s signature in a medium </w:t>
      </w:r>
      <w:r>
        <w:rPr>
          <w:snapToGrid w:val="0"/>
        </w:rPr>
        <w:lastRenderedPageBreak/>
        <w:t>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keepNext/>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Gazette 3 Dec 1996 p. 6690; amended: Gazette 14 Nov 1997 p. 6446; 30 Jun 2003 p. 2612; 28 Sep 2007 p. 4929</w:t>
      </w:r>
      <w:r>
        <w:noBreakHyphen/>
        <w:t>30; 13 Mar 2009 p. 763</w:t>
      </w:r>
      <w:r>
        <w:noBreakHyphen/>
        <w:t xml:space="preserve">4; 22 Oct 2010 p. 5228; </w:t>
      </w:r>
      <w:r>
        <w:rPr>
          <w:spacing w:val="-4"/>
        </w:rPr>
        <w:t>17 Jun 2014 p. 2001</w:t>
      </w:r>
      <w:r>
        <w:t>.]</w:t>
      </w:r>
    </w:p>
    <w:p>
      <w:pPr>
        <w:pStyle w:val="Heading5"/>
        <w:spacing w:before="280"/>
        <w:rPr>
          <w:snapToGrid w:val="0"/>
        </w:rPr>
      </w:pPr>
      <w:bookmarkStart w:id="73" w:name="_Toc82689675"/>
      <w:r>
        <w:rPr>
          <w:rStyle w:val="CharSectno"/>
        </w:rPr>
        <w:t>18C</w:t>
      </w:r>
      <w:r>
        <w:rPr>
          <w:snapToGrid w:val="0"/>
        </w:rPr>
        <w:t>.</w:t>
      </w:r>
      <w:r>
        <w:rPr>
          <w:snapToGrid w:val="0"/>
        </w:rPr>
        <w:tab/>
        <w:t>Proof of age card, form etc. of (r. 18B)</w:t>
      </w:r>
      <w:bookmarkEnd w:id="73"/>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lastRenderedPageBreak/>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Gazette 3 Dec 1996 p. 6690</w:t>
      </w:r>
      <w:r>
        <w:noBreakHyphen/>
        <w:t>1; amended: Gazette 22 Oct 2010 p. 5228.]</w:t>
      </w:r>
    </w:p>
    <w:p>
      <w:pPr>
        <w:pStyle w:val="Heading5"/>
        <w:keepNext w:val="0"/>
        <w:keepLines w:val="0"/>
        <w:spacing w:before="280"/>
        <w:rPr>
          <w:snapToGrid w:val="0"/>
        </w:rPr>
      </w:pPr>
      <w:bookmarkStart w:id="74" w:name="_Toc82689676"/>
      <w:r>
        <w:rPr>
          <w:rStyle w:val="CharSectno"/>
        </w:rPr>
        <w:t>18D</w:t>
      </w:r>
      <w:r>
        <w:rPr>
          <w:snapToGrid w:val="0"/>
        </w:rPr>
        <w:t>.</w:t>
      </w:r>
      <w:r>
        <w:rPr>
          <w:snapToGrid w:val="0"/>
        </w:rPr>
        <w:tab/>
        <w:t>Lost etc. proof of age card, replacement of</w:t>
      </w:r>
      <w:bookmarkEnd w:id="74"/>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Gazette 3 Dec 1996 p. 6691.]</w:t>
      </w:r>
    </w:p>
    <w:p>
      <w:pPr>
        <w:pStyle w:val="Heading5"/>
        <w:keepLines w:val="0"/>
        <w:spacing w:before="280"/>
        <w:rPr>
          <w:snapToGrid w:val="0"/>
        </w:rPr>
      </w:pPr>
      <w:bookmarkStart w:id="75" w:name="_Toc82689677"/>
      <w:r>
        <w:rPr>
          <w:rStyle w:val="CharSectno"/>
        </w:rPr>
        <w:t>18E</w:t>
      </w:r>
      <w:r>
        <w:rPr>
          <w:snapToGrid w:val="0"/>
        </w:rPr>
        <w:t>.</w:t>
      </w:r>
      <w:r>
        <w:rPr>
          <w:snapToGrid w:val="0"/>
        </w:rPr>
        <w:tab/>
        <w:t>Agreement or arrangement prescribed (Act s. 104(2))</w:t>
      </w:r>
      <w:bookmarkEnd w:id="75"/>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Gazette 22 May 1998 p. 2943; amended: Gazette 1 May 2007 p. 1888</w:t>
      </w:r>
      <w:r>
        <w:noBreakHyphen/>
        <w:t>9.]</w:t>
      </w:r>
    </w:p>
    <w:p>
      <w:pPr>
        <w:pStyle w:val="Heading5"/>
      </w:pPr>
      <w:bookmarkStart w:id="76" w:name="_Toc82689678"/>
      <w:r>
        <w:rPr>
          <w:rStyle w:val="CharSectno"/>
        </w:rPr>
        <w:t>18EA</w:t>
      </w:r>
      <w:r>
        <w:t>.</w:t>
      </w:r>
      <w:r>
        <w:tab/>
        <w:t>Information prescribed for websites (Act s. 113A)</w:t>
      </w:r>
      <w:bookmarkEnd w:id="76"/>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lastRenderedPageBreak/>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r>
        <w:br/>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6"/>
      </w:tblGrid>
      <w:tr>
        <w:trPr>
          <w:trHeight w:val="1796"/>
        </w:trPr>
        <w:tc>
          <w:tcPr>
            <w:tcW w:w="574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2"/>
              </w:numPr>
              <w:tabs>
                <w:tab w:val="clear" w:pos="567"/>
                <w:tab w:val="left" w:pos="852"/>
              </w:tabs>
              <w:spacing w:before="60"/>
              <w:ind w:left="819" w:hanging="426"/>
              <w:rPr>
                <w:b/>
                <w:bCs/>
              </w:rPr>
            </w:pPr>
            <w:r>
              <w:rPr>
                <w:b/>
                <w:bCs/>
              </w:rPr>
              <w:t>to sell or supply liquor to a person under the age of 18 years on licensed or regulated premises; or</w:t>
            </w:r>
          </w:p>
          <w:p>
            <w:pPr>
              <w:pStyle w:val="TableNAm"/>
              <w:numPr>
                <w:ilvl w:val="0"/>
                <w:numId w:val="2"/>
              </w:numPr>
              <w:tabs>
                <w:tab w:val="clear" w:pos="567"/>
                <w:tab w:val="left" w:pos="852"/>
              </w:tabs>
              <w:spacing w:before="60"/>
              <w:ind w:left="819" w:hanging="426"/>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Gazette 1 May 2007 p. 1881</w:t>
      </w:r>
      <w:r>
        <w:noBreakHyphen/>
        <w:t>2.]</w:t>
      </w:r>
    </w:p>
    <w:p>
      <w:pPr>
        <w:pStyle w:val="Heading5"/>
      </w:pPr>
      <w:bookmarkStart w:id="77" w:name="_Toc82689679"/>
      <w:r>
        <w:rPr>
          <w:rStyle w:val="CharSectno"/>
        </w:rPr>
        <w:t>18EBA</w:t>
      </w:r>
      <w:r>
        <w:t>.</w:t>
      </w:r>
      <w:r>
        <w:tab/>
        <w:t xml:space="preserve">Persons prescribed (Act s. 115AC(1A) </w:t>
      </w:r>
      <w:r>
        <w:rPr>
          <w:i/>
        </w:rPr>
        <w:t>secure webpage</w:t>
      </w:r>
      <w:r>
        <w:t>)</w:t>
      </w:r>
      <w:bookmarkEnd w:id="77"/>
    </w:p>
    <w:p>
      <w:pPr>
        <w:pStyle w:val="Subsection"/>
        <w:keepNext/>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Gazette 3 Jun 2011 p. 2000.]</w:t>
      </w:r>
    </w:p>
    <w:p>
      <w:pPr>
        <w:pStyle w:val="Heading5"/>
      </w:pPr>
      <w:bookmarkStart w:id="78" w:name="_Toc82689680"/>
      <w:r>
        <w:rPr>
          <w:rStyle w:val="CharSectno"/>
        </w:rPr>
        <w:lastRenderedPageBreak/>
        <w:t>18EB</w:t>
      </w:r>
      <w:r>
        <w:t>.</w:t>
      </w:r>
      <w:r>
        <w:tab/>
        <w:t>Incidents and information prescribed for register (Act s. 116A)</w:t>
      </w:r>
      <w:bookmarkEnd w:id="78"/>
    </w:p>
    <w:p>
      <w:pPr>
        <w:pStyle w:val="Subsection"/>
        <w:keepNext/>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spacing w:before="240"/>
      </w:pPr>
      <w:r>
        <w:lastRenderedPageBreak/>
        <w:tab/>
        <w:t>(2)</w:t>
      </w:r>
      <w:r>
        <w:tab/>
        <w:t>For the purposes of section 116A(2), the following information is prescribed in relation to a prescribed incident that takes place at licensed premises —</w:t>
      </w:r>
    </w:p>
    <w:p>
      <w:pPr>
        <w:pStyle w:val="Indenta"/>
        <w:spacing w:before="100"/>
      </w:pPr>
      <w:r>
        <w:tab/>
        <w:t>(a)</w:t>
      </w:r>
      <w:r>
        <w:tab/>
        <w:t>the name and address of the licensed premises at which the incident takes place;</w:t>
      </w:r>
    </w:p>
    <w:p>
      <w:pPr>
        <w:pStyle w:val="Indenta"/>
        <w:spacing w:before="100"/>
      </w:pPr>
      <w:r>
        <w:tab/>
        <w:t>(b)</w:t>
      </w:r>
      <w:r>
        <w:tab/>
        <w:t>details of the incident;</w:t>
      </w:r>
    </w:p>
    <w:p>
      <w:pPr>
        <w:pStyle w:val="Indenta"/>
        <w:spacing w:before="100"/>
      </w:pPr>
      <w:r>
        <w:tab/>
        <w:t>(c)</w:t>
      </w:r>
      <w:r>
        <w:tab/>
        <w:t>the date and time when the incident took place;</w:t>
      </w:r>
    </w:p>
    <w:p>
      <w:pPr>
        <w:pStyle w:val="Indenta"/>
        <w:spacing w:before="100"/>
      </w:pPr>
      <w:r>
        <w:tab/>
        <w:t>(d)</w:t>
      </w:r>
      <w:r>
        <w:tab/>
        <w:t>the location at the premises where the incident took place;</w:t>
      </w:r>
    </w:p>
    <w:p>
      <w:pPr>
        <w:pStyle w:val="Indenta"/>
        <w:spacing w:before="100"/>
      </w:pPr>
      <w:r>
        <w:tab/>
        <w:t>(da)</w:t>
      </w:r>
      <w:r>
        <w:tab/>
        <w:t>the full name of any manager who was on duty when the incident took place;</w:t>
      </w:r>
    </w:p>
    <w:p>
      <w:pPr>
        <w:pStyle w:val="Indenta"/>
        <w:spacing w:before="100"/>
      </w:pPr>
      <w:r>
        <w:tab/>
        <w:t>(e)</w:t>
      </w:r>
      <w:r>
        <w:tab/>
        <w:t>the full name of any person employed or engaged in the business conducted under the licence, or any crowd controller, who was present when the incident took place;</w:t>
      </w:r>
    </w:p>
    <w:p>
      <w:pPr>
        <w:pStyle w:val="Indenta"/>
        <w:spacing w:before="10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Footnotesection"/>
        <w:ind w:left="890" w:hanging="890"/>
      </w:pPr>
      <w:r>
        <w:tab/>
        <w:t>[Regulation 18EB inserted: Gazette 1 May 2007 p. 1882</w:t>
      </w:r>
      <w:r>
        <w:noBreakHyphen/>
        <w:t>4; amended: Gazette 28 Sep 2007 p. 4930; 22 Oct 2010 p. 5228</w:t>
      </w:r>
      <w:r>
        <w:noBreakHyphen/>
        <w:t>9; 3 Jun 2011 p. 1998; 10 Jan 2017 p. 145.]</w:t>
      </w:r>
    </w:p>
    <w:p>
      <w:pPr>
        <w:pStyle w:val="Heading5"/>
      </w:pPr>
      <w:bookmarkStart w:id="79" w:name="_Toc82689681"/>
      <w:r>
        <w:rPr>
          <w:rStyle w:val="CharSectno"/>
        </w:rPr>
        <w:t>18EC</w:t>
      </w:r>
      <w:r>
        <w:t>.</w:t>
      </w:r>
      <w:r>
        <w:tab/>
        <w:t>Prescribed incidents involving physical force</w:t>
      </w:r>
      <w:bookmarkEnd w:id="79"/>
    </w:p>
    <w:p>
      <w:pPr>
        <w:pStyle w:val="Subsection"/>
      </w:pPr>
      <w:r>
        <w:tab/>
        <w:t>(1)</w:t>
      </w:r>
      <w:r>
        <w:tab/>
        <w:t>This regulation applies to a prescribed incident that takes place at licensed premises, in the course of or in consequence of which a person is physically restrained, physically removed from the premises or physically prevented from entering the premises.</w:t>
      </w:r>
    </w:p>
    <w:p>
      <w:pPr>
        <w:pStyle w:val="Subsection"/>
        <w:keepNext/>
      </w:pPr>
      <w:r>
        <w:lastRenderedPageBreak/>
        <w:tab/>
        <w:t>(2)</w:t>
      </w:r>
      <w:r>
        <w:tab/>
        <w:t xml:space="preserve">Where an incident to which this regulation applies takes place, the licensee must — </w:t>
      </w:r>
    </w:p>
    <w:p>
      <w:pPr>
        <w:pStyle w:val="Indenta"/>
      </w:pPr>
      <w:r>
        <w:tab/>
        <w:t>(a)</w:t>
      </w:r>
      <w:r>
        <w:tab/>
        <w:t>request each crowd controller who made physical contact with the person in the course of or in consequence of the incident to provide the licensee with an account of the incident; and</w:t>
      </w:r>
    </w:p>
    <w:p>
      <w:pPr>
        <w:pStyle w:val="Indenta"/>
      </w:pPr>
      <w:r>
        <w:tab/>
        <w:t>(b)</w:t>
      </w:r>
      <w:r>
        <w:tab/>
        <w:t xml:space="preserve">prepare a written statement of the incident detailing — </w:t>
      </w:r>
    </w:p>
    <w:p>
      <w:pPr>
        <w:pStyle w:val="Indenti"/>
      </w:pPr>
      <w:r>
        <w:tab/>
        <w:t>(i)</w:t>
      </w:r>
      <w:r>
        <w:tab/>
        <w:t>the reason the person was restrained, removed or prevented from entering; and</w:t>
      </w:r>
    </w:p>
    <w:p>
      <w:pPr>
        <w:pStyle w:val="Indenti"/>
      </w:pPr>
      <w:r>
        <w:tab/>
        <w:t>(ii)</w:t>
      </w:r>
      <w:r>
        <w:tab/>
        <w:t>details of the manner in which the person was restrained, removed or prevented from entering; and</w:t>
      </w:r>
    </w:p>
    <w:p>
      <w:pPr>
        <w:pStyle w:val="Indenti"/>
      </w:pPr>
      <w:r>
        <w:tab/>
        <w:t>(iii)</w:t>
      </w:r>
      <w:r>
        <w:tab/>
        <w:t>the name, address and crowd controller’s licence number of each crowd controller who made physical contact with the person in the course of or in consequence of the incident;</w:t>
      </w:r>
    </w:p>
    <w:p>
      <w:pPr>
        <w:pStyle w:val="Indenta"/>
      </w:pPr>
      <w:r>
        <w:tab/>
      </w:r>
      <w:r>
        <w:tab/>
        <w:t>and</w:t>
      </w:r>
    </w:p>
    <w:p>
      <w:pPr>
        <w:pStyle w:val="Indenta"/>
      </w:pPr>
      <w:r>
        <w:tab/>
        <w:t>(c)</w:t>
      </w:r>
      <w:r>
        <w:tab/>
        <w:t>invite each crowd controller named in the statement to confirm the accuracy of the statement; and</w:t>
      </w:r>
    </w:p>
    <w:p>
      <w:pPr>
        <w:pStyle w:val="Indenta"/>
      </w:pPr>
      <w:r>
        <w:tab/>
        <w:t>(d)</w:t>
      </w:r>
      <w:r>
        <w:tab/>
        <w:t>add a note to the statement identifying those crowd controllers who have confirmed it and those who have not; and</w:t>
      </w:r>
    </w:p>
    <w:p>
      <w:pPr>
        <w:pStyle w:val="Indenta"/>
      </w:pPr>
      <w:r>
        <w:tab/>
        <w:t>(e)</w:t>
      </w:r>
      <w:r>
        <w:tab/>
        <w:t>provide copies of the statement and the note to the crowd control agent by whom each of the crowd controllers is engaged.</w:t>
      </w:r>
    </w:p>
    <w:p>
      <w:pPr>
        <w:pStyle w:val="Subsection"/>
      </w:pPr>
      <w:r>
        <w:tab/>
        <w:t>(3)</w:t>
      </w:r>
      <w:r>
        <w:tab/>
        <w:t xml:space="preserve">For the purposes of section 116A(2), the following information is prescribed in relation to an incident to which this regulation applies — </w:t>
      </w:r>
    </w:p>
    <w:p>
      <w:pPr>
        <w:pStyle w:val="Indenta"/>
      </w:pPr>
      <w:r>
        <w:tab/>
        <w:t>(a)</w:t>
      </w:r>
      <w:r>
        <w:tab/>
        <w:t>a copy of the statement prepared in relation to the incident under subregulation (2)(b) and the note prepared under subregulation (2)(d); and</w:t>
      </w:r>
    </w:p>
    <w:p>
      <w:pPr>
        <w:pStyle w:val="Indenta"/>
      </w:pPr>
      <w:r>
        <w:lastRenderedPageBreak/>
        <w:tab/>
        <w:t>(b)</w:t>
      </w:r>
      <w:r>
        <w:tab/>
        <w:t>a statement of the date and time when copies of the statement and note were provided to each crowd control agent under subregulation (2)(e).</w:t>
      </w:r>
    </w:p>
    <w:p>
      <w:pPr>
        <w:pStyle w:val="Footnotesection"/>
      </w:pPr>
      <w:r>
        <w:tab/>
        <w:t>[Regulation 18EC inserted: Gazette 10 Jan 2017 p. 145</w:t>
      </w:r>
      <w:r>
        <w:noBreakHyphen/>
        <w:t>6.]</w:t>
      </w:r>
    </w:p>
    <w:p>
      <w:pPr>
        <w:pStyle w:val="Heading5"/>
      </w:pPr>
      <w:bookmarkStart w:id="80" w:name="_Toc82689682"/>
      <w:r>
        <w:rPr>
          <w:rStyle w:val="CharSectno"/>
        </w:rPr>
        <w:t>18F</w:t>
      </w:r>
      <w:r>
        <w:t>.</w:t>
      </w:r>
      <w:r>
        <w:tab/>
        <w:t>Training courses prescribed (Act s. 121(11)(d))</w:t>
      </w:r>
      <w:bookmarkEnd w:id="80"/>
    </w:p>
    <w:p>
      <w:pPr>
        <w:pStyle w:val="Subsection"/>
        <w:keepNext/>
        <w:keepLines/>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Gazette 9 Jun 2009 p. 1927</w:t>
      </w:r>
      <w:r>
        <w:noBreakHyphen/>
        <w:t>8; amended: Gazette 15 Jan 2010 p. 72; 3 Jun 2011 p. 2000.]</w:t>
      </w:r>
    </w:p>
    <w:p>
      <w:pPr>
        <w:pStyle w:val="Heading5"/>
        <w:keepNext w:val="0"/>
        <w:keepLines w:val="0"/>
      </w:pPr>
      <w:bookmarkStart w:id="81" w:name="_Toc82689683"/>
      <w:r>
        <w:rPr>
          <w:rStyle w:val="CharSectno"/>
        </w:rPr>
        <w:t>18G</w:t>
      </w:r>
      <w:r>
        <w:t>.</w:t>
      </w:r>
      <w:r>
        <w:tab/>
        <w:t>Confiscated document, how to be dealt with (Act s. 126(2b))</w:t>
      </w:r>
      <w:bookmarkEnd w:id="81"/>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keepNext/>
      </w:pPr>
      <w:r>
        <w:tab/>
        <w:t>(b)</w:t>
      </w:r>
      <w:r>
        <w:tab/>
        <w:t>return the document to the person from whom it was confiscated.</w:t>
      </w:r>
    </w:p>
    <w:p>
      <w:pPr>
        <w:pStyle w:val="Footnotesection"/>
        <w:ind w:left="890" w:hanging="890"/>
      </w:pPr>
      <w:r>
        <w:tab/>
        <w:t>[Regulation 18G inserted: Gazette 1 May 2007 p. 1884; amended: Gazette 6 Jan 2012 p. 49 (disallowed: Gazette 18 Sep 2012 p. 4411).]</w:t>
      </w:r>
    </w:p>
    <w:p>
      <w:pPr>
        <w:pStyle w:val="Heading5"/>
      </w:pPr>
      <w:bookmarkStart w:id="82" w:name="_Toc82689684"/>
      <w:r>
        <w:rPr>
          <w:rStyle w:val="CharSectno"/>
        </w:rPr>
        <w:lastRenderedPageBreak/>
        <w:t>18H</w:t>
      </w:r>
      <w:r>
        <w:t>.</w:t>
      </w:r>
      <w:r>
        <w:tab/>
        <w:t>Provisions prescribed (Act s. 126E(4))</w:t>
      </w:r>
      <w:bookmarkEnd w:id="82"/>
    </w:p>
    <w:p>
      <w:pPr>
        <w:pStyle w:val="Subsection"/>
        <w:keepNext/>
        <w:keepLines/>
      </w:pPr>
      <w:r>
        <w:tab/>
      </w:r>
      <w:r>
        <w:tab/>
        <w:t>For the purposes of section 126E(4), sections 155(7) and 50(1a) are prescribed.</w:t>
      </w:r>
    </w:p>
    <w:p>
      <w:pPr>
        <w:pStyle w:val="Footnotesection"/>
        <w:ind w:left="890" w:hanging="890"/>
      </w:pPr>
      <w:r>
        <w:tab/>
        <w:t>[Regulation 18H inserted: Gazette 1 May 2007 p. 1884; amended: Gazette 3 Jun 2011 p. 2000; 27 Sep 2011 p. 3848.]</w:t>
      </w:r>
    </w:p>
    <w:p>
      <w:pPr>
        <w:pStyle w:val="Heading5"/>
        <w:rPr>
          <w:snapToGrid w:val="0"/>
        </w:rPr>
      </w:pPr>
      <w:bookmarkStart w:id="83" w:name="_Toc82689685"/>
      <w:r>
        <w:rPr>
          <w:rStyle w:val="CharSectno"/>
        </w:rPr>
        <w:t>19</w:t>
      </w:r>
      <w:r>
        <w:rPr>
          <w:snapToGrid w:val="0"/>
        </w:rPr>
        <w:t>.</w:t>
      </w:r>
      <w:r>
        <w:rPr>
          <w:snapToGrid w:val="0"/>
        </w:rPr>
        <w:tab/>
        <w:t>Subsidy, application for</w:t>
      </w:r>
      <w:bookmarkEnd w:id="83"/>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ind w:left="890" w:hanging="890"/>
      </w:pPr>
      <w:r>
        <w:tab/>
        <w:t>[Regulation 19 inserted: Gazette 30 Jan 1998 p. 562; amended: Gazette 22 Oct 2002 p. 5255.]</w:t>
      </w:r>
    </w:p>
    <w:p>
      <w:pPr>
        <w:pStyle w:val="Heading5"/>
        <w:keepNext w:val="0"/>
        <w:keepLines w:val="0"/>
        <w:rPr>
          <w:snapToGrid w:val="0"/>
        </w:rPr>
      </w:pPr>
      <w:bookmarkStart w:id="84" w:name="_Toc82689686"/>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84"/>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Gazette 30 Jan 1998 p. 562; amended: Gazette 1 May 2007 p. 1888.]</w:t>
      </w:r>
    </w:p>
    <w:p>
      <w:pPr>
        <w:pStyle w:val="Heading5"/>
      </w:pPr>
      <w:bookmarkStart w:id="85" w:name="_Toc82689687"/>
      <w:r>
        <w:rPr>
          <w:rStyle w:val="CharSectno"/>
        </w:rPr>
        <w:lastRenderedPageBreak/>
        <w:t>21</w:t>
      </w:r>
      <w:r>
        <w:t>.</w:t>
      </w:r>
      <w:r>
        <w:tab/>
        <w:t>Wholesaler, subsidy for (Act s. 130)</w:t>
      </w:r>
      <w:bookmarkEnd w:id="85"/>
    </w:p>
    <w:p>
      <w:pPr>
        <w:pStyle w:val="Subsection"/>
        <w:keepNext/>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spacing w:before="60"/>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spacing w:before="100"/>
        <w:ind w:left="890" w:hanging="890"/>
      </w:pPr>
      <w:r>
        <w:tab/>
        <w:t>[Regulation 21 inserted: Gazette 28 Jul 2000 p. 4030; amended: Gazette 28 Jun 2002 p. 3106</w:t>
      </w:r>
      <w:r>
        <w:rPr>
          <w:rFonts w:ascii="Times" w:hAnsi="Times"/>
        </w:rPr>
        <w:t>; 9</w:t>
      </w:r>
      <w:r>
        <w:t> Jul 2004 p. 2774; 1 May 2007 p. 1888.]</w:t>
      </w:r>
    </w:p>
    <w:p>
      <w:pPr>
        <w:pStyle w:val="Heading5"/>
        <w:keepLines w:val="0"/>
      </w:pPr>
      <w:bookmarkStart w:id="86" w:name="_Toc82689688"/>
      <w:r>
        <w:rPr>
          <w:rStyle w:val="CharSectno"/>
        </w:rPr>
        <w:lastRenderedPageBreak/>
        <w:t>21A</w:t>
      </w:r>
      <w:r>
        <w:t>.</w:t>
      </w:r>
      <w:r>
        <w:tab/>
        <w:t>Wine producer, subsidy for (Act s. 130)</w:t>
      </w:r>
      <w:bookmarkEnd w:id="86"/>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15.35pt" o:ole="">
            <v:imagedata r:id="rId21" o:title=""/>
          </v:shape>
          <o:OLEObject Type="Embed" ProgID="Equation.3" ShapeID="_x0000_i1025" DrawAspect="Content" ObjectID="_1693308549" r:id="rId22"/>
        </w:object>
      </w:r>
    </w:p>
    <w:p>
      <w:pPr>
        <w:pStyle w:val="Subsection"/>
        <w:spacing w:before="8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Lines/>
      </w:pPr>
      <w:r>
        <w:tab/>
        <w:t>(3)</w:t>
      </w:r>
      <w:r>
        <w:tab/>
        <w:t>In subregulation (2) —</w:t>
      </w:r>
    </w:p>
    <w:p>
      <w:pPr>
        <w:pStyle w:val="Defstar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lastRenderedPageBreak/>
        <w:tab/>
        <w:t>[Regulation 21A inserted: Gazette 28 Jul 2000 p. 4030</w:t>
      </w:r>
      <w:r>
        <w:noBreakHyphen/>
        <w:t>1; amended: Gazette 9 Jul 2004 p. 2774; 1 May 2007 p. 1888</w:t>
      </w:r>
      <w:r>
        <w:noBreakHyphen/>
        <w:t>9.]</w:t>
      </w:r>
    </w:p>
    <w:p>
      <w:pPr>
        <w:pStyle w:val="Ednotesection"/>
        <w:rPr>
          <w:b/>
        </w:rPr>
      </w:pPr>
      <w:r>
        <w:t>[</w:t>
      </w:r>
      <w:r>
        <w:rPr>
          <w:b/>
        </w:rPr>
        <w:t>21AB.</w:t>
      </w:r>
      <w:r>
        <w:rPr>
          <w:b/>
        </w:rPr>
        <w:tab/>
      </w:r>
      <w:r>
        <w:t>Deleted: Gazette 28 Jun 2002 p. 3106.]</w:t>
      </w:r>
    </w:p>
    <w:p>
      <w:pPr>
        <w:pStyle w:val="Heading5"/>
        <w:rPr>
          <w:snapToGrid w:val="0"/>
        </w:rPr>
      </w:pPr>
      <w:bookmarkStart w:id="87" w:name="_Toc82689689"/>
      <w:r>
        <w:rPr>
          <w:rStyle w:val="CharSectno"/>
        </w:rPr>
        <w:t>21AC</w:t>
      </w:r>
      <w:r>
        <w:rPr>
          <w:snapToGrid w:val="0"/>
        </w:rPr>
        <w:t>.</w:t>
      </w:r>
      <w:r>
        <w:rPr>
          <w:snapToGrid w:val="0"/>
        </w:rPr>
        <w:tab/>
        <w:t>Subsidy payable once in respect of sale of liquor</w:t>
      </w:r>
      <w:bookmarkEnd w:id="87"/>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Gazette 6 Oct 1998 p. 5565.]</w:t>
      </w:r>
    </w:p>
    <w:p>
      <w:pPr>
        <w:pStyle w:val="Heading5"/>
        <w:rPr>
          <w:snapToGrid w:val="0"/>
        </w:rPr>
      </w:pPr>
      <w:bookmarkStart w:id="88" w:name="_Toc82689690"/>
      <w:r>
        <w:rPr>
          <w:rStyle w:val="CharSectno"/>
        </w:rPr>
        <w:t>21B</w:t>
      </w:r>
      <w:r>
        <w:rPr>
          <w:snapToGrid w:val="0"/>
        </w:rPr>
        <w:t>.</w:t>
      </w:r>
      <w:r>
        <w:rPr>
          <w:snapToGrid w:val="0"/>
        </w:rPr>
        <w:tab/>
        <w:t xml:space="preserve">Subsidy, conditions imposed by Director as to </w:t>
      </w:r>
      <w:r>
        <w:t>(Act s. 130(2))</w:t>
      </w:r>
      <w:bookmarkEnd w:id="88"/>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Gazette 30 Jan 1998 p. 565; amended: Gazette 1 May 2007 p. 1888</w:t>
      </w:r>
      <w:r>
        <w:noBreakHyphen/>
        <w:t>9.]</w:t>
      </w:r>
    </w:p>
    <w:p>
      <w:pPr>
        <w:pStyle w:val="Heading5"/>
        <w:rPr>
          <w:snapToGrid w:val="0"/>
        </w:rPr>
      </w:pPr>
      <w:bookmarkStart w:id="89" w:name="_Toc82689691"/>
      <w:r>
        <w:rPr>
          <w:rStyle w:val="CharSectno"/>
        </w:rPr>
        <w:t>21C</w:t>
      </w:r>
      <w:r>
        <w:rPr>
          <w:snapToGrid w:val="0"/>
        </w:rPr>
        <w:t>.</w:t>
      </w:r>
      <w:r>
        <w:rPr>
          <w:snapToGrid w:val="0"/>
        </w:rPr>
        <w:tab/>
        <w:t>Licensees prescribed </w:t>
      </w:r>
      <w:r>
        <w:t>(Act s. </w:t>
      </w:r>
      <w:r>
        <w:rPr>
          <w:snapToGrid w:val="0"/>
        </w:rPr>
        <w:t>145(1))</w:t>
      </w:r>
      <w:bookmarkEnd w:id="89"/>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rPr>
          <w:snapToGrid w:val="0"/>
        </w:rPr>
      </w:pPr>
      <w:r>
        <w:rPr>
          <w:snapToGrid w:val="0"/>
        </w:rPr>
        <w:tab/>
        <w:t>(c)</w:t>
      </w:r>
      <w:r>
        <w:rPr>
          <w:snapToGrid w:val="0"/>
        </w:rPr>
        <w:tab/>
        <w:t>the holder of a producer’s licence.</w:t>
      </w:r>
    </w:p>
    <w:p>
      <w:pPr>
        <w:pStyle w:val="Footnotesection"/>
        <w:spacing w:before="80"/>
        <w:ind w:left="890" w:hanging="890"/>
      </w:pPr>
      <w:r>
        <w:tab/>
        <w:t>[Regulation 21C inserted: Gazette 30 Jan 1998 p. 565; amended: Gazette 22 May 1998 p. 2943; 6 Oct 1998 p. 5565; 1 May 2007 p. 1888</w:t>
      </w:r>
      <w:r>
        <w:noBreakHyphen/>
        <w:t>9.]</w:t>
      </w:r>
    </w:p>
    <w:p>
      <w:pPr>
        <w:pStyle w:val="Heading5"/>
        <w:spacing w:before="180"/>
        <w:rPr>
          <w:snapToGrid w:val="0"/>
        </w:rPr>
      </w:pPr>
      <w:bookmarkStart w:id="90" w:name="_Toc82689692"/>
      <w:r>
        <w:rPr>
          <w:rStyle w:val="CharSectno"/>
        </w:rPr>
        <w:t>22</w:t>
      </w:r>
      <w:r>
        <w:rPr>
          <w:snapToGrid w:val="0"/>
        </w:rPr>
        <w:t>.</w:t>
      </w:r>
      <w:r>
        <w:rPr>
          <w:snapToGrid w:val="0"/>
        </w:rPr>
        <w:tab/>
        <w:t xml:space="preserve">Records prescribed etc. </w:t>
      </w:r>
      <w:r>
        <w:t>(Act s. </w:t>
      </w:r>
      <w:r>
        <w:rPr>
          <w:snapToGrid w:val="0"/>
        </w:rPr>
        <w:t>145)</w:t>
      </w:r>
      <w:bookmarkEnd w:id="90"/>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 xml:space="preserve">in the case of each transaction involving the sale of liquor by the holder of a special facility licence, a </w:t>
      </w:r>
      <w:r>
        <w:rPr>
          <w:snapToGrid w:val="0"/>
        </w:rPr>
        <w:lastRenderedPageBreak/>
        <w:t>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 and</w:t>
      </w:r>
    </w:p>
    <w:p>
      <w:pPr>
        <w:pStyle w:val="IndentI0"/>
        <w:rPr>
          <w:snapToGrid w:val="0"/>
        </w:rPr>
      </w:pPr>
      <w:r>
        <w:rPr>
          <w:snapToGrid w:val="0"/>
        </w:rPr>
        <w:tab/>
        <w:t>(B)</w:t>
      </w:r>
      <w:r>
        <w:rPr>
          <w:snapToGrid w:val="0"/>
        </w:rPr>
        <w:tab/>
        <w:t>liquor other than low alcohol liquor; and</w:t>
      </w:r>
    </w:p>
    <w:p>
      <w:pPr>
        <w:pStyle w:val="IndentI0"/>
        <w:rPr>
          <w:snapToGrid w:val="0"/>
        </w:rPr>
      </w:pPr>
      <w:r>
        <w:rPr>
          <w:snapToGrid w:val="0"/>
        </w:rPr>
        <w:tab/>
        <w:t>(C)</w:t>
      </w:r>
      <w:r>
        <w:rPr>
          <w:snapToGrid w:val="0"/>
        </w:rPr>
        <w:tab/>
        <w:t>goods other than liquor; and</w:t>
      </w:r>
    </w:p>
    <w:p>
      <w:pPr>
        <w:pStyle w:val="IndentI0"/>
        <w:rPr>
          <w:snapToGrid w:val="0"/>
        </w:rPr>
      </w:pPr>
      <w:r>
        <w:rPr>
          <w:snapToGrid w:val="0"/>
        </w:rPr>
        <w:tab/>
        <w:t>(D)</w:t>
      </w:r>
      <w:r>
        <w:rPr>
          <w:snapToGrid w:val="0"/>
        </w:rPr>
        <w:tab/>
        <w:t>freight and delivery charges, where separate charges are made; and</w:t>
      </w:r>
    </w:p>
    <w:p>
      <w:pPr>
        <w:pStyle w:val="IndentI0"/>
        <w:rPr>
          <w:snapToGrid w:val="0"/>
        </w:rPr>
      </w:pPr>
      <w:r>
        <w:rPr>
          <w:snapToGrid w:val="0"/>
        </w:rPr>
        <w:tab/>
        <w:t>(E)</w:t>
      </w:r>
      <w:r>
        <w:rPr>
          <w:snapToGrid w:val="0"/>
        </w:rPr>
        <w:tab/>
        <w:t>any discount given; and</w:t>
      </w:r>
    </w:p>
    <w:p>
      <w:pPr>
        <w:pStyle w:val="IndentI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keepNext/>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lastRenderedPageBreak/>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Gazette 30 Jan 1998 p. 565</w:t>
      </w:r>
      <w:r>
        <w:noBreakHyphen/>
        <w:t>6; 22 May 1998 p. 2943; 6 Oct 1998 p. 5565</w:t>
      </w:r>
      <w:r>
        <w:noBreakHyphen/>
        <w:t>6; 1 May 2007 p. 1888</w:t>
      </w:r>
      <w:r>
        <w:noBreakHyphen/>
        <w:t>9.]</w:t>
      </w:r>
    </w:p>
    <w:p>
      <w:pPr>
        <w:pStyle w:val="Heading5"/>
        <w:rPr>
          <w:snapToGrid w:val="0"/>
        </w:rPr>
      </w:pPr>
      <w:bookmarkStart w:id="91" w:name="_Toc82689693"/>
      <w:r>
        <w:rPr>
          <w:rStyle w:val="CharSectno"/>
        </w:rPr>
        <w:lastRenderedPageBreak/>
        <w:t>23</w:t>
      </w:r>
      <w:r>
        <w:rPr>
          <w:snapToGrid w:val="0"/>
        </w:rPr>
        <w:t>.</w:t>
      </w:r>
      <w:r>
        <w:rPr>
          <w:snapToGrid w:val="0"/>
        </w:rPr>
        <w:tab/>
        <w:t xml:space="preserve">Returns, verification and lodgment of </w:t>
      </w:r>
      <w:r>
        <w:t>(Act s. 146)</w:t>
      </w:r>
      <w:bookmarkEnd w:id="91"/>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lastRenderedPageBreak/>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Gazette 30 Jan 1998 p. 566; 22 May 1998 p. 2943; 6 Oct 1998 p. 5566.]</w:t>
      </w:r>
    </w:p>
    <w:p>
      <w:pPr>
        <w:pStyle w:val="Heading5"/>
        <w:rPr>
          <w:snapToGrid w:val="0"/>
        </w:rPr>
      </w:pPr>
      <w:bookmarkStart w:id="92" w:name="_Toc82689694"/>
      <w:r>
        <w:rPr>
          <w:rStyle w:val="CharSectno"/>
        </w:rPr>
        <w:t>24</w:t>
      </w:r>
      <w:r>
        <w:rPr>
          <w:snapToGrid w:val="0"/>
        </w:rPr>
        <w:t>.</w:t>
      </w:r>
      <w:r>
        <w:rPr>
          <w:snapToGrid w:val="0"/>
        </w:rPr>
        <w:tab/>
        <w:t xml:space="preserve">Return of information required etc. </w:t>
      </w:r>
      <w:r>
        <w:t>(Act s. 145)</w:t>
      </w:r>
      <w:bookmarkEnd w:id="92"/>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lastRenderedPageBreak/>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Gazette 30 Jan 1998 p. 566</w:t>
      </w:r>
      <w:r>
        <w:noBreakHyphen/>
        <w:t>7; 22 May 1998 p. 2943; 1 May 2007 p. 1888</w:t>
      </w:r>
      <w:r>
        <w:noBreakHyphen/>
        <w:t>9; 4 Mar 2016 p. 630.]</w:t>
      </w:r>
    </w:p>
    <w:p>
      <w:pPr>
        <w:pStyle w:val="Heading5"/>
      </w:pPr>
      <w:bookmarkStart w:id="93" w:name="_Toc82689695"/>
      <w:r>
        <w:rPr>
          <w:rStyle w:val="CharSectno"/>
        </w:rPr>
        <w:lastRenderedPageBreak/>
        <w:t>25A</w:t>
      </w:r>
      <w:r>
        <w:t>.</w:t>
      </w:r>
      <w:r>
        <w:tab/>
        <w:t>Class of persons prescribed (Act s. 152P(4)(b))</w:t>
      </w:r>
      <w:bookmarkEnd w:id="93"/>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Gazette 7 Oct 2011 p. 4069.]</w:t>
      </w:r>
    </w:p>
    <w:p>
      <w:pPr>
        <w:pStyle w:val="Heading5"/>
        <w:rPr>
          <w:snapToGrid w:val="0"/>
        </w:rPr>
      </w:pPr>
      <w:bookmarkStart w:id="94" w:name="_Toc82689696"/>
      <w:r>
        <w:rPr>
          <w:rStyle w:val="CharSectno"/>
        </w:rPr>
        <w:t>25</w:t>
      </w:r>
      <w:r>
        <w:rPr>
          <w:snapToGrid w:val="0"/>
        </w:rPr>
        <w:t>.</w:t>
      </w:r>
      <w:r>
        <w:rPr>
          <w:snapToGrid w:val="0"/>
        </w:rPr>
        <w:tab/>
        <w:t>Money payable under Act, how payable</w:t>
      </w:r>
      <w:bookmarkEnd w:id="94"/>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Gazette 24 Aug 1990 p. 4337; 30 Oct 1998 p. 6015; 1 May 2007 p. 1885.]</w:t>
      </w:r>
    </w:p>
    <w:p>
      <w:pPr>
        <w:pStyle w:val="Heading5"/>
        <w:keepLines w:val="0"/>
        <w:rPr>
          <w:snapToGrid w:val="0"/>
        </w:rPr>
      </w:pPr>
      <w:bookmarkStart w:id="95" w:name="_Toc82689697"/>
      <w:r>
        <w:rPr>
          <w:rStyle w:val="CharSectno"/>
        </w:rPr>
        <w:t>26</w:t>
      </w:r>
      <w:r>
        <w:rPr>
          <w:snapToGrid w:val="0"/>
        </w:rPr>
        <w:t>.</w:t>
      </w:r>
      <w:r>
        <w:rPr>
          <w:snapToGrid w:val="0"/>
        </w:rPr>
        <w:tab/>
        <w:t>Fees generally (Sch. 3)</w:t>
      </w:r>
      <w:bookmarkEnd w:id="95"/>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$289.00; or</w:t>
      </w:r>
    </w:p>
    <w:p>
      <w:pPr>
        <w:pStyle w:val="Indenta"/>
      </w:pPr>
      <w:r>
        <w:tab/>
        <w:t>(b)</w:t>
      </w:r>
      <w:r>
        <w:tab/>
        <w:t>if 3 or more such permits have been issued — an additional amount of $581.50.</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lastRenderedPageBreak/>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keepLines w:val="0"/>
        <w:ind w:left="890" w:hanging="890"/>
      </w:pPr>
      <w:r>
        <w:tab/>
        <w:t>[Regulation 26 amended: Gazette 30 Jan 1998 p. 567</w:t>
      </w:r>
      <w:r>
        <w:noBreakHyphen/>
        <w:t>8; 21 Dec 1999 p. 6419; 28 Jul 2000 p. 4032; 1 May 2007 p. 1885 and 1888</w:t>
      </w:r>
      <w:r>
        <w:noBreakHyphen/>
        <w:t xml:space="preserve">9; 9 Oct 2007 p. 5352; 24 Oct 2008 p. 4683; </w:t>
      </w:r>
      <w:r>
        <w:lastRenderedPageBreak/>
        <w:t>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 28 Oct 2016 p. 4913; 10 Nov 2017 p. 5587; 7 Sep 2018 p. 3196; 22 Oct 2019 p. 3724.]</w:t>
      </w:r>
    </w:p>
    <w:p>
      <w:pPr>
        <w:pStyle w:val="Heading5"/>
      </w:pPr>
      <w:bookmarkStart w:id="96" w:name="_Toc82689698"/>
      <w:r>
        <w:rPr>
          <w:rStyle w:val="CharSectno"/>
        </w:rPr>
        <w:t>27A</w:t>
      </w:r>
      <w:r>
        <w:t>.</w:t>
      </w:r>
      <w:r>
        <w:tab/>
        <w:t>Reduction in licence fee for new licences</w:t>
      </w:r>
      <w:bookmarkEnd w:id="96"/>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keepNext/>
            </w:pPr>
            <w:r>
              <w:t>On or after 1 October but not later than 31 December</w:t>
            </w:r>
          </w:p>
        </w:tc>
        <w:tc>
          <w:tcPr>
            <w:tcW w:w="2764" w:type="dxa"/>
          </w:tcPr>
          <w:p>
            <w:pPr>
              <w:pStyle w:val="TableNAm"/>
              <w:keepNext/>
            </w:pPr>
            <w:r>
              <w:t>75% of the specified licence fee</w:t>
            </w:r>
          </w:p>
        </w:tc>
      </w:tr>
    </w:tbl>
    <w:p>
      <w:pPr>
        <w:pStyle w:val="Footnotesection"/>
        <w:ind w:left="890" w:hanging="890"/>
      </w:pPr>
      <w:r>
        <w:tab/>
        <w:t>[Regulation 27A inserted: Gazette 21 Mar 2014 p. 742.]</w:t>
      </w:r>
    </w:p>
    <w:p>
      <w:pPr>
        <w:pStyle w:val="Heading5"/>
      </w:pPr>
      <w:bookmarkStart w:id="97" w:name="_Toc82689699"/>
      <w:r>
        <w:rPr>
          <w:rStyle w:val="CharSectno"/>
        </w:rPr>
        <w:t>27</w:t>
      </w:r>
      <w:r>
        <w:rPr>
          <w:snapToGrid w:val="0"/>
        </w:rPr>
        <w:t>.</w:t>
      </w:r>
      <w:r>
        <w:rPr>
          <w:snapToGrid w:val="0"/>
        </w:rPr>
        <w:tab/>
      </w:r>
      <w:r>
        <w:t>Prescribed offences for infringement notices (Act s. 167(2))</w:t>
      </w:r>
      <w:bookmarkEnd w:id="97"/>
    </w:p>
    <w:p>
      <w:pPr>
        <w:pStyle w:val="Ednotesubsection"/>
        <w:rPr>
          <w:snapToGrid/>
        </w:rPr>
      </w:pPr>
      <w:r>
        <w:rPr>
          <w:snapToGrid/>
        </w:rPr>
        <w:tab/>
        <w:t>[(1)</w:t>
      </w:r>
      <w:r>
        <w:rPr>
          <w:snapToGrid/>
        </w:rPr>
        <w:tab/>
        <w:t>deleted]</w:t>
      </w:r>
    </w:p>
    <w:p>
      <w:pPr>
        <w:pStyle w:val="Subsection"/>
      </w:pPr>
      <w:r>
        <w:tab/>
        <w:t>(2)</w:t>
      </w:r>
      <w:r>
        <w:tab/>
        <w:t>For the purposes of section 167(2)(a), an offence against a provision of the Act listed in the Table to this subregulation is a prescribed offence.</w:t>
      </w:r>
    </w:p>
    <w:p>
      <w:pPr>
        <w:pStyle w:val="THeading"/>
      </w:pPr>
      <w:r>
        <w:lastRenderedPageBreak/>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lastRenderedPageBreak/>
              <w:t>s. 113A</w:t>
            </w:r>
          </w:p>
          <w:p>
            <w:pPr>
              <w:pStyle w:val="TableNAm"/>
              <w:spacing w:before="100"/>
            </w:pPr>
            <w:r>
              <w:t>s. 115(1)</w:t>
            </w:r>
          </w:p>
          <w:p>
            <w:pPr>
              <w:pStyle w:val="TableNAm"/>
              <w:spacing w:before="100"/>
            </w:pPr>
            <w:r>
              <w:t>s. 115(2)</w:t>
            </w:r>
          </w:p>
          <w:p>
            <w:pPr>
              <w:pStyle w:val="TableNAm"/>
              <w:spacing w:before="100"/>
            </w:pPr>
            <w:r>
              <w:t>s. 115(4B)</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lastRenderedPageBreak/>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lastRenderedPageBreak/>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lastRenderedPageBreak/>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lastRenderedPageBreak/>
              <w:t>Liquor Control (Bungardi Restricted Area) Regulations 2017</w:t>
            </w:r>
            <w:r>
              <w:t xml:space="preserve"> 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keepNext/>
              <w:rPr>
                <w:i/>
              </w:rPr>
            </w:pPr>
            <w:r>
              <w:rPr>
                <w:i/>
              </w:rPr>
              <w:t xml:space="preserve">Liquor Control (Irrungadji Restricted Area) Regulations 2010 </w:t>
            </w:r>
            <w:r>
              <w:t>regulation 7(1)</w:t>
            </w:r>
          </w:p>
        </w:tc>
      </w:tr>
      <w:tr>
        <w:tc>
          <w:tcPr>
            <w:tcW w:w="5245" w:type="dxa"/>
          </w:tcPr>
          <w:p>
            <w:pPr>
              <w:pStyle w:val="TableNAm"/>
              <w:keepNext/>
              <w:rPr>
                <w:i/>
              </w:rPr>
            </w:pPr>
            <w:r>
              <w:rPr>
                <w:i/>
              </w:rPr>
              <w:t>Liquor Control (Jarlmadangah Burru Restricted Area) Regulations 2019</w:t>
            </w:r>
            <w:r>
              <w:t xml:space="preserve"> regulation 7(1)</w:t>
            </w:r>
          </w:p>
        </w:tc>
      </w:tr>
      <w:tr>
        <w:tc>
          <w:tcPr>
            <w:tcW w:w="5245" w:type="dxa"/>
          </w:tcPr>
          <w:p>
            <w:pPr>
              <w:pStyle w:val="TableNAm"/>
              <w:keepNext/>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rPr>
          <w:cantSplit/>
        </w:trPr>
        <w:tc>
          <w:tcPr>
            <w:tcW w:w="5245" w:type="dxa"/>
          </w:tcPr>
          <w:p>
            <w:pPr>
              <w:pStyle w:val="TableNAm"/>
              <w:rPr>
                <w:i/>
              </w:rPr>
            </w:pPr>
            <w:r>
              <w:rPr>
                <w:i/>
              </w:rPr>
              <w:t>Liquor Control (Kadjina Restricted Area) Regulations 2020</w:t>
            </w:r>
            <w:r>
              <w:rPr>
                <w:szCs w:val="24"/>
              </w:rPr>
              <w:t xml:space="preserve"> regulation 6(1)</w:t>
            </w:r>
          </w:p>
        </w:tc>
      </w:tr>
      <w:tr>
        <w:trPr>
          <w:cantSplit/>
        </w:trPr>
        <w:tc>
          <w:tcPr>
            <w:tcW w:w="5245" w:type="dxa"/>
          </w:tcPr>
          <w:p>
            <w:pPr>
              <w:pStyle w:val="TableNAm"/>
              <w:rPr>
                <w:i/>
              </w:rPr>
            </w:pPr>
            <w:r>
              <w:rPr>
                <w:i/>
              </w:rPr>
              <w:t>Liquor Control (Kalumburu Restricted Area) Regulations 2018</w:t>
            </w:r>
            <w:r>
              <w:t xml:space="preserve"> regulation 8(1)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(Ngalingkadji Restricted Area) Regulations 2016 </w:t>
            </w:r>
            <w:r>
              <w:t>regulation 7(1)</w:t>
            </w:r>
          </w:p>
        </w:tc>
      </w:tr>
      <w:tr>
        <w:tc>
          <w:tcPr>
            <w:tcW w:w="5245" w:type="dxa"/>
          </w:tcPr>
          <w:p>
            <w:pPr>
              <w:pStyle w:val="TableNAm"/>
              <w:rPr>
                <w:i/>
              </w:rPr>
            </w:pPr>
            <w:r>
              <w:rPr>
                <w:bCs/>
                <w:i/>
              </w:rPr>
              <w:t>Liquor Control (Ngurrawaana Restricted Area) Regulations 2018</w:t>
            </w:r>
            <w:r>
              <w:rPr>
                <w:bCs/>
              </w:rPr>
              <w:t xml:space="preserve"> regulation 7(1)</w:t>
            </w:r>
          </w:p>
        </w:tc>
      </w:tr>
      <w:tr>
        <w:tc>
          <w:tcPr>
            <w:tcW w:w="5245" w:type="dxa"/>
          </w:tcPr>
          <w:p>
            <w:pPr>
              <w:pStyle w:val="TableNAm"/>
              <w:rPr>
                <w:i/>
              </w:rPr>
            </w:pPr>
            <w:r>
              <w:rPr>
                <w:i/>
              </w:rPr>
              <w:lastRenderedPageBreak/>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szCs w:val="24"/>
              </w:rPr>
              <w:t xml:space="preserve">Liquor Control (Parnngurr Restricted Area) Regulations 2018 </w:t>
            </w:r>
            <w:r>
              <w:rPr>
                <w:szCs w:val="24"/>
              </w:rPr>
              <w:t>regulation 8(1)</w:t>
            </w:r>
          </w:p>
        </w:tc>
      </w:tr>
      <w:tr>
        <w:trPr>
          <w:cantSplit/>
        </w:trPr>
        <w:tc>
          <w:tcPr>
            <w:tcW w:w="5245" w:type="dxa"/>
          </w:tcPr>
          <w:p>
            <w:pPr>
              <w:pStyle w:val="TableNAm"/>
              <w:rPr>
                <w:i/>
                <w:szCs w:val="24"/>
              </w:rPr>
            </w:pPr>
            <w:r>
              <w:rPr>
                <w:i/>
              </w:rPr>
              <w:t>Liquor Control (Parnpajinya Restricted Area) Regulations 2020</w:t>
            </w:r>
            <w:r>
              <w:rPr>
                <w:i/>
                <w:szCs w:val="24"/>
              </w:rPr>
              <w:t xml:space="preserve"> </w:t>
            </w:r>
            <w:r>
              <w:rPr>
                <w:szCs w:val="24"/>
              </w:rPr>
              <w:t>regulation 6(1)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keepNext/>
              <w:rPr>
                <w:i/>
              </w:rPr>
            </w:pPr>
            <w:r>
              <w:rPr>
                <w:i/>
              </w:rPr>
              <w:t>Liquor Control (Transitional Housing and Support Program Restricted Areas) Regulations 2016</w:t>
            </w:r>
            <w:r>
              <w:t xml:space="preserve"> regulation 7(1)</w:t>
            </w:r>
          </w:p>
        </w:tc>
      </w:tr>
      <w:tr>
        <w:tc>
          <w:tcPr>
            <w:tcW w:w="5245" w:type="dxa"/>
          </w:tcPr>
          <w:p>
            <w:pPr>
              <w:pStyle w:val="TableNAm"/>
              <w:keepNext/>
              <w:rPr>
                <w:i/>
              </w:rPr>
            </w:pPr>
            <w:r>
              <w:rPr>
                <w:i/>
                <w:szCs w:val="24"/>
              </w:rPr>
              <w:t xml:space="preserve">Liquor Control (Wakathuni Restricted Area) Regulations 2018 </w:t>
            </w:r>
            <w:r>
              <w:rPr>
                <w:szCs w:val="24"/>
              </w:rPr>
              <w:t>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Liquor Control (Woolah Restricted Area) Regulations 2017</w:t>
            </w:r>
            <w:r>
              <w:t xml:space="preserve"> regulation 7(1)</w:t>
            </w:r>
          </w:p>
        </w:tc>
      </w:tr>
      <w:tr>
        <w:tc>
          <w:tcPr>
            <w:tcW w:w="5245" w:type="dxa"/>
          </w:tcPr>
          <w:p>
            <w:pPr>
              <w:pStyle w:val="TableNAm"/>
              <w:keepNext/>
              <w:rPr>
                <w:i/>
              </w:rPr>
            </w:pPr>
            <w:r>
              <w:rPr>
                <w:i/>
              </w:rPr>
              <w:lastRenderedPageBreak/>
              <w:t xml:space="preserve">Liquor Control (Yakanarra Restricted Area) Regulations 2010 </w:t>
            </w:r>
            <w:r>
              <w:t>regulation 7(1)</w:t>
            </w:r>
          </w:p>
        </w:tc>
      </w:tr>
    </w:tbl>
    <w:p>
      <w:pPr>
        <w:pStyle w:val="Footnotesection"/>
        <w:keepLines w:val="0"/>
        <w:spacing w:before="160"/>
        <w:ind w:left="890" w:hanging="890"/>
      </w:pPr>
      <w:r>
        <w:tab/>
        <w:t>[Regulation 27 amended: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 26 Jul 2016 p. 3154; 18 Aug 2017 p. 4457; 2 Mar 2018 p. 672; 6 Jul 2018 p. 2548; 14 Sep 2018 p. 3319; 2 Oct 2018 p. 3801; 14 Jun 2019 p. 1900; 13 Dec 2019 p. 4243; SL 2020/81 r. 10; SL 2020/218 r. 10; SL 2021/94 r. 9.]</w:t>
      </w:r>
    </w:p>
    <w:p>
      <w:pPr>
        <w:pStyle w:val="Ednotesection"/>
        <w:spacing w:before="180"/>
        <w:ind w:left="890" w:hanging="890"/>
      </w:pPr>
      <w:r>
        <w:t>[</w:t>
      </w:r>
      <w:r>
        <w:rPr>
          <w:b/>
        </w:rPr>
        <w:t>28.</w:t>
      </w:r>
      <w:r>
        <w:rPr>
          <w:b/>
        </w:rPr>
        <w:tab/>
      </w:r>
      <w:r>
        <w:t>Deleted: Gazette 30 Jan 1998 p. 568.]</w:t>
      </w: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98" w:name="_Toc82685904"/>
      <w:bookmarkStart w:id="99" w:name="_Toc82686004"/>
      <w:bookmarkStart w:id="100" w:name="_Toc82687235"/>
      <w:bookmarkStart w:id="101" w:name="_Toc82689700"/>
      <w:r>
        <w:rPr>
          <w:rStyle w:val="CharSchNo"/>
        </w:rPr>
        <w:lastRenderedPageBreak/>
        <w:t>Schedule 1</w:t>
      </w:r>
      <w:bookmarkEnd w:id="98"/>
      <w:bookmarkEnd w:id="99"/>
      <w:bookmarkEnd w:id="100"/>
      <w:bookmarkEnd w:id="101"/>
    </w:p>
    <w:p>
      <w:pPr>
        <w:pStyle w:val="yShoulderClause"/>
        <w:spacing w:before="60"/>
        <w:rPr>
          <w:snapToGrid w:val="0"/>
        </w:rPr>
      </w:pPr>
      <w:r>
        <w:rPr>
          <w:snapToGrid w:val="0"/>
        </w:rPr>
        <w:t>[Regulation 3]</w:t>
      </w:r>
    </w:p>
    <w:p>
      <w:pPr>
        <w:pStyle w:val="yHeading2"/>
        <w:outlineLvl w:val="9"/>
      </w:pPr>
      <w:bookmarkStart w:id="102" w:name="_Toc82685905"/>
      <w:bookmarkStart w:id="103" w:name="_Toc82686005"/>
      <w:bookmarkStart w:id="104" w:name="_Toc82687236"/>
      <w:bookmarkStart w:id="105" w:name="_Toc82689701"/>
      <w:r>
        <w:rPr>
          <w:rStyle w:val="CharSchText"/>
        </w:rPr>
        <w:t>Forms</w:t>
      </w:r>
      <w:bookmarkEnd w:id="102"/>
      <w:bookmarkEnd w:id="103"/>
      <w:bookmarkEnd w:id="104"/>
      <w:bookmarkEnd w:id="105"/>
    </w:p>
    <w:p>
      <w:pPr>
        <w:pStyle w:val="yEdnotedivision"/>
      </w:pPr>
      <w:r>
        <w:t>[Forms 1</w:t>
      </w:r>
      <w:r>
        <w:noBreakHyphen/>
        <w:t>18 deleted: Gazette 1 May 2007 p. 1887.]</w:t>
      </w:r>
    </w:p>
    <w:p>
      <w:pPr>
        <w:pStyle w:val="yMiscellaneousBody"/>
        <w:jc w:val="center"/>
      </w:pPr>
      <w:r>
        <w:rPr>
          <w:rStyle w:val="CharSClsNo"/>
          <w:b/>
        </w:rPr>
        <w:t>Form 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1</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lastRenderedPageBreak/>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Gazette 9 Jul 2004 p. 2774</w:t>
      </w:r>
      <w:r>
        <w:noBreakHyphen/>
        <w:t>5.]</w:t>
      </w:r>
    </w:p>
    <w:p>
      <w:pPr>
        <w:pStyle w:val="yMiscellaneousBody"/>
        <w:pageBreakBefore/>
        <w:jc w:val="center"/>
      </w:pPr>
      <w:r>
        <w:rPr>
          <w:rStyle w:val="CharSClsNo"/>
          <w:b/>
        </w:rPr>
        <w:lastRenderedPageBreak/>
        <w:t>Form 19A</w:t>
      </w:r>
    </w:p>
    <w:p>
      <w:pPr>
        <w:pStyle w:val="yMiscellaneousHeading"/>
        <w:rPr>
          <w:iCs/>
          <w:snapToGrid w:val="0"/>
          <w:sz w:val="20"/>
        </w:rPr>
      </w:pPr>
      <w:r>
        <w:rPr>
          <w:i/>
          <w:iCs/>
          <w:snapToGrid w:val="0"/>
          <w:sz w:val="20"/>
        </w:rPr>
        <w:t>Liquor Control Act 1988 </w:t>
      </w:r>
      <w:r>
        <w:rPr>
          <w:snapToGrid w:val="0"/>
          <w:sz w:val="20"/>
          <w:vertAlign w:val="superscript"/>
        </w:rPr>
        <w:t>1</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lastRenderedPageBreak/>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Gazette 9 Jul 2004 p. 2776</w:t>
      </w:r>
      <w:r>
        <w:noBreakHyphen/>
        <w:t>7.]</w:t>
      </w:r>
    </w:p>
    <w:p>
      <w:pPr>
        <w:pStyle w:val="yMiscellaneousBody"/>
        <w:pageBreakBefore/>
        <w:jc w:val="center"/>
        <w:rPr>
          <w:b/>
          <w:bCs/>
          <w:snapToGrid w:val="0"/>
        </w:rPr>
      </w:pPr>
      <w:r>
        <w:rPr>
          <w:rStyle w:val="CharSClsNo"/>
          <w:b/>
        </w:rPr>
        <w:lastRenderedPageBreak/>
        <w:t>Form 20</w:t>
      </w:r>
    </w:p>
    <w:p>
      <w:pPr>
        <w:pStyle w:val="yMiscellaneousHeading"/>
        <w:keepLines/>
        <w:rPr>
          <w:iCs/>
          <w:snapToGrid w:val="0"/>
          <w:sz w:val="20"/>
        </w:rPr>
      </w:pPr>
      <w:r>
        <w:rPr>
          <w:i/>
          <w:iCs/>
          <w:snapToGrid w:val="0"/>
          <w:sz w:val="20"/>
        </w:rPr>
        <w:t>Liquor Control Act 1988</w:t>
      </w:r>
      <w:r>
        <w:rPr>
          <w:snapToGrid w:val="0"/>
          <w:sz w:val="20"/>
          <w:vertAlign w:val="superscript"/>
        </w:rPr>
        <w:t> 1</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1</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Gazette 28 Sep 2007 p. 4930</w:t>
      </w:r>
      <w:r>
        <w:noBreakHyphen/>
        <w:t>1.]</w:t>
      </w:r>
    </w:p>
    <w:p>
      <w:pPr>
        <w:pStyle w:val="yEdnotesection"/>
      </w:pPr>
      <w:r>
        <w:t>[Forms 21 and 22 deleted: Gazette 2 Oct 2018 p. 3801.]</w:t>
      </w:r>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pPr>
      <w:bookmarkStart w:id="106" w:name="_Toc82685906"/>
      <w:bookmarkStart w:id="107" w:name="_Toc82686006"/>
      <w:bookmarkStart w:id="108" w:name="_Toc82687237"/>
      <w:bookmarkStart w:id="109" w:name="_Toc82689702"/>
      <w:r>
        <w:rPr>
          <w:rStyle w:val="CharSchNo"/>
        </w:rPr>
        <w:lastRenderedPageBreak/>
        <w:t>Schedule 2</w:t>
      </w:r>
      <w:bookmarkEnd w:id="106"/>
      <w:bookmarkEnd w:id="107"/>
      <w:bookmarkEnd w:id="108"/>
      <w:bookmarkEnd w:id="109"/>
    </w:p>
    <w:p>
      <w:pPr>
        <w:pStyle w:val="yShoulderClause"/>
        <w:spacing w:before="60"/>
        <w:rPr>
          <w:snapToGrid w:val="0"/>
        </w:rPr>
      </w:pPr>
      <w:r>
        <w:rPr>
          <w:snapToGrid w:val="0"/>
        </w:rPr>
        <w:t>[Regulation 13]</w:t>
      </w:r>
    </w:p>
    <w:p>
      <w:pPr>
        <w:pStyle w:val="yHeading2"/>
        <w:spacing w:before="120" w:after="80"/>
      </w:pPr>
      <w:bookmarkStart w:id="110" w:name="_Toc82685907"/>
      <w:bookmarkStart w:id="111" w:name="_Toc82686007"/>
      <w:bookmarkStart w:id="112" w:name="_Toc82687238"/>
      <w:bookmarkStart w:id="113" w:name="_Toc82689703"/>
      <w:r>
        <w:rPr>
          <w:rStyle w:val="CharSchText"/>
        </w:rPr>
        <w:t>Details of applicant</w:t>
      </w:r>
      <w:bookmarkEnd w:id="110"/>
      <w:bookmarkEnd w:id="111"/>
      <w:bookmarkEnd w:id="112"/>
      <w:bookmarkEnd w:id="113"/>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Gazette 22 May 1998 p. 2944; 6 Oct 1998 p. 5567; 28 Sep 2001 p. 5357</w:t>
      </w:r>
      <w:r>
        <w:noBreakHyphen/>
        <w:t>8; 30 Jun 2003 p. 2612; 24 Oct 2008 p. 4683</w:t>
      </w:r>
      <w:r>
        <w:noBreakHyphen/>
        <w:t>4.]</w:t>
      </w:r>
    </w:p>
    <w:p>
      <w:pPr>
        <w:pStyle w:val="yScheduleHeading"/>
      </w:pPr>
      <w:bookmarkStart w:id="114" w:name="_Toc82685908"/>
      <w:bookmarkStart w:id="115" w:name="_Toc82686008"/>
      <w:bookmarkStart w:id="116" w:name="_Toc82687239"/>
      <w:bookmarkStart w:id="117" w:name="_Toc82689704"/>
      <w:r>
        <w:rPr>
          <w:rStyle w:val="CharSchNo"/>
        </w:rPr>
        <w:lastRenderedPageBreak/>
        <w:t>Schedule 3</w:t>
      </w:r>
      <w:r>
        <w:t> — </w:t>
      </w:r>
      <w:r>
        <w:rPr>
          <w:rStyle w:val="CharSchText"/>
        </w:rPr>
        <w:t>Fees</w:t>
      </w:r>
      <w:bookmarkEnd w:id="114"/>
      <w:bookmarkEnd w:id="115"/>
      <w:bookmarkEnd w:id="116"/>
      <w:bookmarkEnd w:id="117"/>
    </w:p>
    <w:p>
      <w:pPr>
        <w:pStyle w:val="yShoulderClause"/>
      </w:pPr>
      <w:r>
        <w:t>[r. 11, 14ADF, 18B, 26 and 27A]</w:t>
      </w:r>
    </w:p>
    <w:p>
      <w:pPr>
        <w:pStyle w:val="yFootnoteheading"/>
      </w:pPr>
      <w:r>
        <w:tab/>
        <w:t>[Heading inserted: Gazette 22 Oct 2019 p. 3725.]</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270"/>
        <w:gridCol w:w="1114"/>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270"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Description</w:t>
            </w:r>
          </w:p>
        </w:tc>
        <w:tc>
          <w:tcPr>
            <w:tcW w:w="1114"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b/>
              </w:rPr>
            </w:pPr>
            <w:r>
              <w:rPr>
                <w:b/>
              </w:rPr>
              <w:t>Fee</w:t>
            </w:r>
            <w:r>
              <w:rPr>
                <w:b/>
              </w:rPr>
              <w:b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hotel licence, nightclub licence, casino liquor licence, special facility licence or liquor store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3 620.50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w:t>
            </w:r>
            <w:r>
              <w:rPr>
                <w:szCs w:val="22"/>
              </w:rPr>
              <w:t xml:space="preserve">small bar licence, </w:t>
            </w:r>
            <w:r>
              <w:t xml:space="preserve">club licence, restaurant licence, producer’s licence or wholesaler’s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928.50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transfer of a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889.00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any licence other than a club restricted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612.00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 club restricted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301.00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6.</w:t>
            </w:r>
          </w:p>
        </w:tc>
        <w:tc>
          <w:tcPr>
            <w:tcW w:w="5270" w:type="dxa"/>
            <w:tcBorders>
              <w:top w:val="single" w:sz="4" w:space="0" w:color="auto"/>
              <w:left w:val="single" w:sz="4" w:space="0" w:color="auto"/>
              <w:bottom w:val="nil"/>
              <w:right w:val="single" w:sz="4" w:space="0" w:color="auto"/>
            </w:tcBorders>
          </w:tcPr>
          <w:p>
            <w:pPr>
              <w:pStyle w:val="yTableNAm"/>
              <w:tabs>
                <w:tab w:val="clear" w:pos="567"/>
                <w:tab w:val="left" w:pos="518"/>
                <w:tab w:val="right" w:leader="dot" w:pos="6237"/>
              </w:tabs>
            </w:pPr>
            <w:r>
              <w:t xml:space="preserve">Application for an occasional licence if the anticipated number of patrons is — </w:t>
            </w:r>
          </w:p>
          <w:p>
            <w:pPr>
              <w:pStyle w:val="yTableNAm"/>
              <w:tabs>
                <w:tab w:val="clear" w:pos="567"/>
                <w:tab w:val="left" w:pos="518"/>
                <w:tab w:val="right" w:leader="dot" w:pos="6237"/>
              </w:tabs>
            </w:pPr>
            <w:r>
              <w:t>(a)</w:t>
            </w:r>
            <w:r>
              <w:tab/>
              <w:t xml:space="preserve">up to 250 </w:t>
            </w:r>
            <w:r>
              <w:tab/>
            </w:r>
          </w:p>
          <w:p>
            <w:pPr>
              <w:pStyle w:val="yTableNAm"/>
              <w:tabs>
                <w:tab w:val="clear" w:pos="567"/>
                <w:tab w:val="left" w:pos="518"/>
                <w:tab w:val="right" w:leader="dot" w:pos="6237"/>
              </w:tabs>
            </w:pPr>
            <w:r>
              <w:t>(b)</w:t>
            </w:r>
            <w:r>
              <w:tab/>
              <w:t xml:space="preserve">between 251 and 500 </w:t>
            </w:r>
            <w:r>
              <w:tab/>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p>
            <w:pPr>
              <w:pStyle w:val="yTableNAm"/>
              <w:tabs>
                <w:tab w:val="clear" w:pos="567"/>
                <w:tab w:val="right" w:pos="659"/>
              </w:tabs>
              <w:ind w:right="48"/>
              <w:jc w:val="right"/>
              <w:rPr>
                <w:szCs w:val="22"/>
              </w:rPr>
            </w:pPr>
            <w:r>
              <w:rPr>
                <w:szCs w:val="22"/>
              </w:rPr>
              <w:t>54.50</w:t>
            </w:r>
          </w:p>
          <w:p>
            <w:pPr>
              <w:pStyle w:val="yTableNAm"/>
              <w:tabs>
                <w:tab w:val="clear" w:pos="567"/>
                <w:tab w:val="right" w:pos="659"/>
              </w:tabs>
              <w:ind w:right="48"/>
              <w:jc w:val="right"/>
            </w:pPr>
            <w:r>
              <w:rPr>
                <w:szCs w:val="22"/>
              </w:rPr>
              <w:t>114.50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(c)</w:t>
            </w:r>
            <w:r>
              <w:tab/>
              <w:t xml:space="preserve">between 501 and 1 000 </w:t>
            </w:r>
            <w:r>
              <w:tab/>
            </w:r>
          </w:p>
          <w:p>
            <w:pPr>
              <w:pStyle w:val="yTableNAm"/>
              <w:tabs>
                <w:tab w:val="clear" w:pos="567"/>
                <w:tab w:val="left" w:pos="518"/>
                <w:tab w:val="right" w:leader="dot" w:pos="6237"/>
              </w:tabs>
            </w:pPr>
            <w:r>
              <w:t>(d)</w:t>
            </w:r>
            <w:r>
              <w:tab/>
              <w:t xml:space="preserve">between 1 001 and 5 000 </w:t>
            </w:r>
            <w:r>
              <w:tab/>
            </w:r>
          </w:p>
          <w:p>
            <w:pPr>
              <w:pStyle w:val="yTableNAm"/>
              <w:tabs>
                <w:tab w:val="clear" w:pos="567"/>
                <w:tab w:val="left" w:pos="518"/>
                <w:tab w:val="right" w:leader="dot" w:pos="6237"/>
              </w:tabs>
            </w:pPr>
            <w:r>
              <w:t>(e)</w:t>
            </w:r>
            <w:r>
              <w:tab/>
              <w:t xml:space="preserve">between 5 001 and 10 000 </w:t>
            </w:r>
            <w:r>
              <w:tab/>
            </w:r>
          </w:p>
          <w:p>
            <w:pPr>
              <w:pStyle w:val="yTableNAm"/>
              <w:tabs>
                <w:tab w:val="clear" w:pos="567"/>
                <w:tab w:val="left" w:pos="518"/>
                <w:tab w:val="right" w:leader="dot" w:pos="6237"/>
              </w:tabs>
            </w:pPr>
            <w:r>
              <w:t>(f)</w:t>
            </w:r>
            <w:r>
              <w:tab/>
              <w:t xml:space="preserve">over 10 000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235.00</w:t>
            </w:r>
          </w:p>
          <w:p>
            <w:pPr>
              <w:pStyle w:val="yTableNAm"/>
              <w:tabs>
                <w:tab w:val="clear" w:pos="567"/>
                <w:tab w:val="right" w:pos="659"/>
              </w:tabs>
              <w:ind w:right="48"/>
              <w:jc w:val="right"/>
            </w:pPr>
            <w:r>
              <w:rPr>
                <w:szCs w:val="22"/>
              </w:rPr>
              <w:t>1 190.50</w:t>
            </w:r>
          </w:p>
          <w:p>
            <w:pPr>
              <w:pStyle w:val="yTableNAm"/>
              <w:tabs>
                <w:tab w:val="clear" w:pos="567"/>
                <w:tab w:val="right" w:pos="659"/>
              </w:tabs>
              <w:ind w:right="48"/>
              <w:jc w:val="right"/>
            </w:pPr>
            <w:r>
              <w:rPr>
                <w:szCs w:val="22"/>
              </w:rPr>
              <w:t>2 384.00</w:t>
            </w:r>
          </w:p>
          <w:p>
            <w:pPr>
              <w:pStyle w:val="yTableNAm"/>
              <w:tabs>
                <w:tab w:val="clear" w:pos="567"/>
                <w:tab w:val="right" w:pos="659"/>
              </w:tabs>
              <w:ind w:right="48"/>
              <w:jc w:val="right"/>
            </w:pPr>
            <w:r>
              <w:rPr>
                <w:szCs w:val="22"/>
              </w:rPr>
              <w:t>4 779.50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7.</w:t>
            </w:r>
          </w:p>
        </w:tc>
        <w:tc>
          <w:tcPr>
            <w:tcW w:w="5270"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30" w:hanging="530"/>
            </w:pPr>
            <w:r>
              <w:t>(a)</w:t>
            </w:r>
            <w:r>
              <w:tab/>
              <w:t xml:space="preserve">issued for the purpose referred to in section 60(4)(ca) — </w:t>
            </w:r>
          </w:p>
          <w:p>
            <w:pPr>
              <w:pStyle w:val="yTableNAm"/>
              <w:tabs>
                <w:tab w:val="clear" w:pos="567"/>
                <w:tab w:val="left" w:pos="518"/>
                <w:tab w:val="right" w:leader="dot" w:pos="6237"/>
              </w:tabs>
              <w:ind w:left="941" w:hanging="941"/>
            </w:pPr>
            <w:r>
              <w:tab/>
              <w:t>(i)</w:t>
            </w:r>
            <w:r>
              <w:tab/>
              <w:t xml:space="preserve">if the restaurant licence to which the permit relates is subject to a condition limiting the maximum number of persons (excluding responsible persons and authorised officers) who may be on the licensed premises to 120 </w:t>
            </w:r>
            <w:r>
              <w:tab/>
            </w:r>
          </w:p>
          <w:p>
            <w:pPr>
              <w:pStyle w:val="yTableNAm"/>
              <w:tabs>
                <w:tab w:val="clear" w:pos="567"/>
                <w:tab w:val="left" w:pos="518"/>
                <w:tab w:val="right" w:leader="dot" w:pos="6237"/>
              </w:tabs>
              <w:ind w:left="941" w:hanging="941"/>
            </w:pPr>
            <w:r>
              <w:tab/>
              <w:t>(ii)</w:t>
            </w:r>
            <w:r>
              <w:tab/>
              <w:t>if subparagraph (i) does not apply</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 w:val="right" w:leader="dot" w:pos="6237"/>
              </w:tabs>
              <w:ind w:right="48"/>
              <w:jc w:val="right"/>
            </w:pPr>
          </w:p>
          <w:p>
            <w:pPr>
              <w:pStyle w:val="yTableNAm"/>
              <w:tabs>
                <w:tab w:val="clear" w:pos="567"/>
                <w:tab w:val="right" w:pos="659"/>
                <w:tab w:val="right" w:leader="dot" w:pos="6237"/>
              </w:tabs>
              <w:ind w:right="48"/>
              <w:jc w:val="right"/>
              <w:rPr>
                <w:szCs w:val="22"/>
              </w:rPr>
            </w:pPr>
            <w:r>
              <w:rPr>
                <w:szCs w:val="22"/>
              </w:rPr>
              <w:t>54.50</w:t>
            </w:r>
          </w:p>
          <w:p>
            <w:pPr>
              <w:pStyle w:val="yTableNAm"/>
              <w:tabs>
                <w:tab w:val="clear" w:pos="567"/>
                <w:tab w:val="right" w:pos="659"/>
                <w:tab w:val="right" w:leader="dot" w:pos="6237"/>
              </w:tabs>
              <w:ind w:right="48"/>
              <w:jc w:val="right"/>
            </w:pPr>
            <w:r>
              <w:rPr>
                <w:szCs w:val="22"/>
              </w:rPr>
              <w:t>488.00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16" w:hanging="516"/>
            </w:pPr>
            <w:r>
              <w:t>(b)</w:t>
            </w:r>
            <w:r>
              <w:tab/>
              <w:t xml:space="preserve">issued for the purpose referred to in </w:t>
            </w:r>
            <w:r>
              <w:br/>
              <w:t xml:space="preserve">section 60(4)(e) </w:t>
            </w:r>
            <w:r>
              <w:tab/>
            </w:r>
          </w:p>
          <w:p>
            <w:pPr>
              <w:pStyle w:val="yTableNAm"/>
              <w:tabs>
                <w:tab w:val="clear" w:pos="567"/>
                <w:tab w:val="right" w:leader="dot" w:pos="6237"/>
              </w:tabs>
              <w:ind w:left="516" w:hanging="516"/>
            </w:pPr>
            <w:r>
              <w:t>(c)</w:t>
            </w:r>
            <w:r>
              <w:tab/>
              <w:t xml:space="preserve">issued for the purpose referred to in </w:t>
            </w:r>
            <w:r>
              <w:br/>
              <w:t xml:space="preserve">section 60(4)(h)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364.00</w:t>
            </w:r>
          </w:p>
          <w:p>
            <w:pPr>
              <w:pStyle w:val="yTableNAm"/>
              <w:tabs>
                <w:tab w:val="clear" w:pos="567"/>
                <w:tab w:val="right" w:pos="659"/>
              </w:tabs>
              <w:ind w:right="48"/>
              <w:jc w:val="right"/>
            </w:pPr>
            <w:r>
              <w:br/>
            </w:r>
            <w:r>
              <w:rPr>
                <w:szCs w:val="22"/>
              </w:rPr>
              <w:t>364.00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943"/>
              </w:tabs>
              <w:ind w:left="518" w:hanging="518"/>
            </w:pPr>
            <w:r>
              <w:t>(d)</w:t>
            </w:r>
            <w:r>
              <w:tab/>
              <w:t xml:space="preserve">issued for the purpose referred to in section 60(4)(ia) — </w:t>
            </w:r>
          </w:p>
          <w:p>
            <w:pPr>
              <w:pStyle w:val="yTableNAm"/>
              <w:tabs>
                <w:tab w:val="clear" w:pos="567"/>
                <w:tab w:val="left" w:pos="518"/>
                <w:tab w:val="right" w:leader="dot" w:pos="6237"/>
              </w:tabs>
              <w:ind w:left="941" w:hanging="941"/>
            </w:pPr>
            <w:r>
              <w:tab/>
              <w:t>(i)</w:t>
            </w:r>
            <w:r>
              <w:tab/>
              <w:t xml:space="preserve">if no previous application for that purpose has been made by any licensee in respect of the relevant premises </w:t>
            </w:r>
            <w:r>
              <w:tab/>
            </w:r>
          </w:p>
          <w:p>
            <w:pPr>
              <w:pStyle w:val="yTableNAm"/>
              <w:tabs>
                <w:tab w:val="clear" w:pos="567"/>
                <w:tab w:val="left" w:pos="518"/>
                <w:tab w:val="right" w:leader="dot" w:pos="6237"/>
              </w:tabs>
              <w:ind w:left="941" w:hanging="941"/>
            </w:pPr>
            <w:r>
              <w:tab/>
              <w:t>(ii)</w:t>
            </w:r>
            <w:r>
              <w:tab/>
              <w:t xml:space="preserve">if subparagraph (i) does not apply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rPr>
                <w:szCs w:val="22"/>
              </w:rPr>
            </w:pPr>
            <w:r>
              <w:rPr>
                <w:szCs w:val="22"/>
              </w:rPr>
              <w:t>364.00</w:t>
            </w:r>
          </w:p>
          <w:p>
            <w:pPr>
              <w:pStyle w:val="yTableNAm"/>
              <w:tabs>
                <w:tab w:val="clear" w:pos="567"/>
                <w:tab w:val="right" w:pos="659"/>
              </w:tabs>
              <w:ind w:right="48"/>
              <w:jc w:val="right"/>
              <w:rPr>
                <w:szCs w:val="22"/>
              </w:rPr>
            </w:pPr>
            <w:r>
              <w:rPr>
                <w:szCs w:val="22"/>
              </w:rPr>
              <w:t>306.50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(e)</w:t>
            </w:r>
            <w:r>
              <w:tab/>
              <w:t xml:space="preserve">issued for any other purpose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rPr>
                <w:szCs w:val="22"/>
              </w:rPr>
            </w:pPr>
            <w:r>
              <w:rPr>
                <w:szCs w:val="22"/>
              </w:rPr>
              <w:t>1 224.00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8.</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extended trading permit (in respect of a licence other than a club restricted licence) for a period of 21 days or less if the </w:t>
            </w:r>
            <w:r>
              <w:rPr>
                <w:szCs w:val="22"/>
              </w:rPr>
              <w:t>maximum number of patrons on any day of the period to which the application relates is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(a)</w:t>
            </w:r>
            <w:r>
              <w:tab/>
              <w:t xml:space="preserve">up to 500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114.50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(b)</w:t>
            </w:r>
            <w:r>
              <w:tab/>
              <w:t xml:space="preserve">between 501 and 1 000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235.00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(c)</w:t>
            </w:r>
            <w:r>
              <w:tab/>
              <w:t xml:space="preserve">between 1 001 and 5 000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1 190.50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(d)</w:t>
            </w:r>
            <w:r>
              <w:tab/>
              <w:t xml:space="preserve">between 5 001 and 10 000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2 384.00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44"/>
                <w:tab w:val="right" w:leader="dot" w:pos="6237"/>
              </w:tabs>
            </w:pPr>
            <w:r>
              <w:t>(e)</w:t>
            </w:r>
            <w:r>
              <w:tab/>
              <w:t xml:space="preserve">over 10 000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4 779.50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9.</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extended trading permit (in respect of a club restricted licence) for a period of 21 days or less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44.50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lastRenderedPageBreak/>
              <w:t>10.</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manager’s approval —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(a)</w:t>
            </w:r>
            <w:r>
              <w:tab/>
              <w:t xml:space="preserve">lodged under r. 14ADA(3)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t>186.50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(b)</w:t>
            </w:r>
            <w:r>
              <w:tab/>
              <w:t xml:space="preserve">lodged under r. 14ADA(4)(a)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t>61.50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59"/>
                <w:tab w:val="right" w:leader="dot" w:pos="6237"/>
              </w:tabs>
            </w:pPr>
            <w:r>
              <w:t>(c)</w:t>
            </w:r>
            <w:r>
              <w:tab/>
              <w:t xml:space="preserve">lodged under r. 14ADA(4)(b)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16.00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11.</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renewal of manager’s </w:t>
            </w:r>
            <w:r>
              <w:rPr>
                <w:szCs w:val="22"/>
              </w:rPr>
              <w:t>approval —</w:t>
            </w:r>
            <w:r>
              <w:t xml:space="preserve">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52"/>
                <w:tab w:val="right" w:leader="dot" w:pos="6237"/>
              </w:tabs>
            </w:pPr>
            <w:r>
              <w:t>(a)</w:t>
            </w:r>
            <w:r>
              <w:tab/>
              <w:t xml:space="preserve">lodged under r. 14ADD(3)(a)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168.00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52"/>
                <w:tab w:val="right" w:leader="dot" w:pos="6237"/>
              </w:tabs>
            </w:pPr>
            <w:r>
              <w:t>(b)</w:t>
            </w:r>
            <w:r>
              <w:tab/>
              <w:t xml:space="preserve">lodged under r. 14ADD(3)(b)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131.50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12.</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replacement identification card —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58"/>
                <w:tab w:val="right" w:leader="dot" w:pos="6237"/>
              </w:tabs>
            </w:pPr>
            <w:r>
              <w:t>(a)</w:t>
            </w:r>
            <w:r>
              <w:tab/>
              <w:t xml:space="preserve">lodged under r. 14ADF(2)(b)(i)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t>53.50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lodged under r. 14ADF(2)(b)(ii)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10.00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13.</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for approval of person in position of authority —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58" w:hanging="558"/>
            </w:pPr>
            <w:r>
              <w:t>(a)</w:t>
            </w:r>
            <w:r>
              <w:tab/>
              <w:t xml:space="preserve">under licence other than club licence or club restricted licence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165.00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under club licence or club restricted licence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113.50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for alteration or redefinition of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417.00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15.</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 protection order under section 87(1)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242.50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duplicate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36.50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17.</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change of name of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76.00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18.</w:t>
            </w:r>
          </w:p>
        </w:tc>
        <w:tc>
          <w:tcPr>
            <w:tcW w:w="5270" w:type="dxa"/>
            <w:tcBorders>
              <w:top w:val="single" w:sz="4" w:space="0" w:color="auto"/>
              <w:left w:val="single" w:sz="4" w:space="0" w:color="auto"/>
              <w:bottom w:val="nil"/>
              <w:right w:val="single" w:sz="4" w:space="0" w:color="auto"/>
            </w:tcBorders>
          </w:tcPr>
          <w:p>
            <w:pPr>
              <w:pStyle w:val="yTableNAm"/>
            </w:pPr>
            <w:r>
              <w:t xml:space="preserve">Application to add, vary or cancel condition of licence or permit (other than club restricted licence) — </w:t>
            </w:r>
          </w:p>
        </w:tc>
        <w:tc>
          <w:tcPr>
            <w:tcW w:w="1114" w:type="dxa"/>
            <w:tcBorders>
              <w:top w:val="single" w:sz="4" w:space="0" w:color="auto"/>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(a)</w:t>
            </w:r>
            <w:r>
              <w:tab/>
              <w:t xml:space="preserve">for a period of over 21 days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248.50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(b)</w:t>
            </w:r>
            <w:r>
              <w:tab/>
              <w:t xml:space="preserve">for a period of 21 days or less if the </w:t>
            </w:r>
            <w:r>
              <w:rPr>
                <w:szCs w:val="22"/>
              </w:rPr>
              <w:t>maximum number of patrons on any day of the period to which the application relates is —</w:t>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w:t>
            </w:r>
            <w:r>
              <w:tab/>
              <w:t xml:space="preserve">up to 500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114.50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w:t>
            </w:r>
            <w:r>
              <w:tab/>
              <w:t xml:space="preserve">between 501 and 1 000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235.00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(iii)</w:t>
            </w:r>
            <w:r>
              <w:tab/>
              <w:t xml:space="preserve">between 1 001 and 5 000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1 190.50</w:t>
            </w:r>
          </w:p>
        </w:tc>
      </w:tr>
      <w:tr>
        <w:trPr>
          <w:cantSplit/>
        </w:trPr>
        <w:tc>
          <w:tcPr>
            <w:tcW w:w="684" w:type="dxa"/>
            <w:tcBorders>
              <w:top w:val="nil"/>
              <w:left w:val="single" w:sz="4" w:space="0" w:color="auto"/>
              <w:bottom w:val="nil"/>
              <w:right w:val="single" w:sz="4" w:space="0" w:color="auto"/>
            </w:tcBorders>
          </w:tcPr>
          <w:p>
            <w:pPr>
              <w:pStyle w:val="yTableNAm"/>
            </w:pPr>
          </w:p>
        </w:tc>
        <w:tc>
          <w:tcPr>
            <w:tcW w:w="5270"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(iv)</w:t>
            </w:r>
            <w:r>
              <w:tab/>
              <w:t xml:space="preserve">between 5 001 and 10 000 </w:t>
            </w:r>
            <w:r>
              <w:tab/>
            </w:r>
          </w:p>
        </w:tc>
        <w:tc>
          <w:tcPr>
            <w:tcW w:w="1114" w:type="dxa"/>
            <w:tcBorders>
              <w:top w:val="nil"/>
              <w:left w:val="single" w:sz="4" w:space="0" w:color="auto"/>
              <w:bottom w:val="nil"/>
              <w:right w:val="single" w:sz="4" w:space="0" w:color="auto"/>
            </w:tcBorders>
            <w:vAlign w:val="bottom"/>
          </w:tcPr>
          <w:p>
            <w:pPr>
              <w:pStyle w:val="yTableNAm"/>
              <w:tabs>
                <w:tab w:val="clear" w:pos="567"/>
                <w:tab w:val="right" w:pos="659"/>
              </w:tabs>
              <w:ind w:right="48"/>
              <w:jc w:val="right"/>
            </w:pPr>
            <w:r>
              <w:rPr>
                <w:szCs w:val="22"/>
              </w:rPr>
              <w:t>2 384.00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270" w:type="dxa"/>
            <w:tcBorders>
              <w:top w:val="nil"/>
              <w:left w:val="single" w:sz="4" w:space="0" w:color="auto"/>
              <w:bottom w:val="single" w:sz="4" w:space="0" w:color="auto"/>
              <w:right w:val="single" w:sz="4" w:space="0" w:color="auto"/>
            </w:tcBorders>
          </w:tcPr>
          <w:p>
            <w:pPr>
              <w:pStyle w:val="yTableNAm"/>
              <w:tabs>
                <w:tab w:val="clear" w:pos="567"/>
                <w:tab w:val="left" w:pos="586"/>
                <w:tab w:val="left" w:pos="1011"/>
                <w:tab w:val="right" w:leader="dot" w:pos="6237"/>
              </w:tabs>
            </w:pPr>
            <w:r>
              <w:tab/>
              <w:t>(v)</w:t>
            </w:r>
            <w:r>
              <w:tab/>
              <w:t xml:space="preserve">over 10 000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4 779.50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to add, vary or cancel condition of club restricted licence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45.50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20.</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62(6) to vary any plans or specifications the subject of a condition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289.00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21.</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agreement or arrangement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242.50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22.</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115AD for review of decision to give notice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253.50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23.</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Application under section 119A for approval to conduct non</w:t>
            </w:r>
            <w:r>
              <w:noBreakHyphen/>
              <w:t xml:space="preserve">liquor business on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230.00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24.</w:t>
            </w:r>
          </w:p>
        </w:tc>
        <w:tc>
          <w:tcPr>
            <w:tcW w:w="5270"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152W(3), other than by an occupier of premises, for a liquor restriction declaration in relation to the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276.00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keepNext/>
            </w:pPr>
            <w:r>
              <w:t>25.</w:t>
            </w:r>
          </w:p>
        </w:tc>
        <w:tc>
          <w:tcPr>
            <w:tcW w:w="5270"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leader="dot" w:pos="6237"/>
              </w:tabs>
            </w:pPr>
            <w:r>
              <w:t xml:space="preserve">Application under section 126A for approval of entertainment for juveniles on licensed premises </w:t>
            </w:r>
            <w:r>
              <w:tab/>
            </w:r>
          </w:p>
        </w:tc>
        <w:tc>
          <w:tcPr>
            <w:tcW w:w="1114" w:type="dxa"/>
            <w:tcBorders>
              <w:top w:val="single" w:sz="4" w:space="0" w:color="auto"/>
              <w:left w:val="single" w:sz="4" w:space="0" w:color="auto"/>
              <w:bottom w:val="single" w:sz="4" w:space="0" w:color="auto"/>
              <w:right w:val="single" w:sz="4" w:space="0" w:color="auto"/>
            </w:tcBorders>
            <w:vAlign w:val="bottom"/>
          </w:tcPr>
          <w:p>
            <w:pPr>
              <w:pStyle w:val="yTableNAm"/>
              <w:keepNext/>
              <w:tabs>
                <w:tab w:val="clear" w:pos="567"/>
                <w:tab w:val="right" w:pos="659"/>
              </w:tabs>
              <w:ind w:right="48"/>
              <w:jc w:val="right"/>
            </w:pPr>
            <w:r>
              <w:rPr>
                <w:szCs w:val="22"/>
              </w:rPr>
              <w:t>66.50</w:t>
            </w:r>
          </w:p>
        </w:tc>
      </w:tr>
      <w:tr>
        <w:trPr>
          <w:cantSplit/>
        </w:trPr>
        <w:tc>
          <w:tcPr>
            <w:tcW w:w="684" w:type="dxa"/>
          </w:tcPr>
          <w:p>
            <w:pPr>
              <w:pStyle w:val="yTableNAm"/>
            </w:pPr>
            <w:r>
              <w:t>26.</w:t>
            </w:r>
          </w:p>
        </w:tc>
        <w:tc>
          <w:tcPr>
            <w:tcW w:w="5270" w:type="dxa"/>
          </w:tcPr>
          <w:p>
            <w:pPr>
              <w:pStyle w:val="yTableNAm"/>
              <w:tabs>
                <w:tab w:val="clear" w:pos="567"/>
                <w:tab w:val="right" w:leader="dot" w:pos="6237"/>
              </w:tabs>
            </w:pPr>
            <w:r>
              <w:t xml:space="preserve">Supply of a list of licensed premises or a list of owners of licensed premises </w:t>
            </w:r>
            <w:r>
              <w:tab/>
            </w:r>
          </w:p>
        </w:tc>
        <w:tc>
          <w:tcPr>
            <w:tcW w:w="1114" w:type="dxa"/>
            <w:vAlign w:val="bottom"/>
          </w:tcPr>
          <w:p>
            <w:pPr>
              <w:pStyle w:val="yTableNAm"/>
              <w:tabs>
                <w:tab w:val="clear" w:pos="567"/>
                <w:tab w:val="right" w:pos="659"/>
              </w:tabs>
              <w:ind w:right="48"/>
              <w:jc w:val="right"/>
            </w:pPr>
            <w:r>
              <w:rPr>
                <w:szCs w:val="22"/>
              </w:rPr>
              <w:t>92.00</w:t>
            </w:r>
          </w:p>
        </w:tc>
      </w:tr>
      <w:tr>
        <w:trPr>
          <w:cantSplit/>
        </w:trPr>
        <w:tc>
          <w:tcPr>
            <w:tcW w:w="684" w:type="dxa"/>
          </w:tcPr>
          <w:p>
            <w:pPr>
              <w:pStyle w:val="yTableNAm"/>
            </w:pPr>
            <w:r>
              <w:t>27.</w:t>
            </w:r>
          </w:p>
        </w:tc>
        <w:tc>
          <w:tcPr>
            <w:tcW w:w="5270" w:type="dxa"/>
          </w:tcPr>
          <w:p>
            <w:pPr>
              <w:pStyle w:val="yTableNAm"/>
              <w:tabs>
                <w:tab w:val="clear" w:pos="567"/>
                <w:tab w:val="right" w:leader="dot" w:pos="6237"/>
              </w:tabs>
            </w:pPr>
            <w:r>
              <w:t xml:space="preserve">Supply of a list of licensed premises on computer disk </w:t>
            </w:r>
            <w:r>
              <w:tab/>
            </w:r>
          </w:p>
        </w:tc>
        <w:tc>
          <w:tcPr>
            <w:tcW w:w="1114" w:type="dxa"/>
            <w:vAlign w:val="bottom"/>
          </w:tcPr>
          <w:p>
            <w:pPr>
              <w:pStyle w:val="yTableNAm"/>
              <w:tabs>
                <w:tab w:val="clear" w:pos="567"/>
                <w:tab w:val="right" w:pos="659"/>
              </w:tabs>
              <w:ind w:right="48"/>
              <w:jc w:val="right"/>
              <w:rPr>
                <w:rFonts w:ascii="Arial" w:hAnsi="Arial"/>
              </w:rPr>
            </w:pPr>
            <w:r>
              <w:rPr>
                <w:szCs w:val="22"/>
              </w:rPr>
              <w:t>60.50</w:t>
            </w:r>
          </w:p>
        </w:tc>
      </w:tr>
      <w:tr>
        <w:trPr>
          <w:cantSplit/>
        </w:trPr>
        <w:tc>
          <w:tcPr>
            <w:tcW w:w="684" w:type="dxa"/>
          </w:tcPr>
          <w:p>
            <w:pPr>
              <w:pStyle w:val="yTableNAm"/>
            </w:pPr>
            <w:r>
              <w:t>28.</w:t>
            </w:r>
          </w:p>
        </w:tc>
        <w:tc>
          <w:tcPr>
            <w:tcW w:w="5270" w:type="dxa"/>
          </w:tcPr>
          <w:p>
            <w:pPr>
              <w:pStyle w:val="yTableNAm"/>
              <w:tabs>
                <w:tab w:val="clear" w:pos="567"/>
                <w:tab w:val="right" w:leader="dot" w:pos="6237"/>
              </w:tabs>
            </w:pPr>
            <w:r>
              <w:t xml:space="preserve">Supply of address labels for licensed premises </w:t>
            </w:r>
            <w:r>
              <w:tab/>
            </w:r>
          </w:p>
        </w:tc>
        <w:tc>
          <w:tcPr>
            <w:tcW w:w="1114" w:type="dxa"/>
            <w:vAlign w:val="bottom"/>
          </w:tcPr>
          <w:p>
            <w:pPr>
              <w:pStyle w:val="yTableNAm"/>
              <w:tabs>
                <w:tab w:val="clear" w:pos="567"/>
                <w:tab w:val="right" w:pos="659"/>
              </w:tabs>
              <w:ind w:right="48"/>
              <w:jc w:val="right"/>
            </w:pPr>
            <w:r>
              <w:rPr>
                <w:szCs w:val="22"/>
              </w:rPr>
              <w:t>148.00</w:t>
            </w:r>
          </w:p>
        </w:tc>
      </w:tr>
      <w:tr>
        <w:trPr>
          <w:cantSplit/>
        </w:trPr>
        <w:tc>
          <w:tcPr>
            <w:tcW w:w="684" w:type="dxa"/>
          </w:tcPr>
          <w:p>
            <w:pPr>
              <w:pStyle w:val="yTableNAm"/>
            </w:pPr>
            <w:r>
              <w:t>29.</w:t>
            </w:r>
          </w:p>
        </w:tc>
        <w:tc>
          <w:tcPr>
            <w:tcW w:w="5270" w:type="dxa"/>
          </w:tcPr>
          <w:p>
            <w:pPr>
              <w:pStyle w:val="yTableNAm"/>
              <w:tabs>
                <w:tab w:val="clear" w:pos="567"/>
                <w:tab w:val="right" w:leader="dot" w:pos="6237"/>
              </w:tabs>
            </w:pPr>
            <w:r>
              <w:t xml:space="preserve">Supply of approved heading for advertising an application </w:t>
            </w:r>
            <w:r>
              <w:tab/>
            </w:r>
          </w:p>
        </w:tc>
        <w:tc>
          <w:tcPr>
            <w:tcW w:w="1114" w:type="dxa"/>
            <w:vAlign w:val="bottom"/>
          </w:tcPr>
          <w:p>
            <w:pPr>
              <w:pStyle w:val="yTableNAm"/>
              <w:tabs>
                <w:tab w:val="clear" w:pos="567"/>
                <w:tab w:val="right" w:pos="659"/>
              </w:tabs>
              <w:ind w:right="48"/>
              <w:jc w:val="right"/>
            </w:pPr>
            <w:r>
              <w:t>28.00</w:t>
            </w:r>
          </w:p>
        </w:tc>
      </w:tr>
      <w:tr>
        <w:trPr>
          <w:cantSplit/>
        </w:trPr>
        <w:tc>
          <w:tcPr>
            <w:tcW w:w="684" w:type="dxa"/>
          </w:tcPr>
          <w:p>
            <w:pPr>
              <w:pStyle w:val="yTableNAm"/>
            </w:pPr>
            <w:r>
              <w:t>30.</w:t>
            </w:r>
          </w:p>
        </w:tc>
        <w:tc>
          <w:tcPr>
            <w:tcW w:w="5270" w:type="dxa"/>
          </w:tcPr>
          <w:p>
            <w:pPr>
              <w:pStyle w:val="yTableNAm"/>
              <w:tabs>
                <w:tab w:val="clear" w:pos="567"/>
                <w:tab w:val="right" w:leader="dot" w:pos="6237"/>
              </w:tabs>
            </w:pPr>
            <w:r>
              <w:t xml:space="preserve">Supply of copy of plan — per sheet </w:t>
            </w:r>
            <w:r>
              <w:tab/>
            </w:r>
          </w:p>
        </w:tc>
        <w:tc>
          <w:tcPr>
            <w:tcW w:w="1114" w:type="dxa"/>
            <w:vAlign w:val="bottom"/>
          </w:tcPr>
          <w:p>
            <w:pPr>
              <w:pStyle w:val="yTableNAm"/>
              <w:tabs>
                <w:tab w:val="clear" w:pos="567"/>
                <w:tab w:val="right" w:pos="659"/>
              </w:tabs>
              <w:ind w:right="48"/>
              <w:jc w:val="right"/>
            </w:pPr>
            <w:r>
              <w:t>28.00</w:t>
            </w:r>
            <w:r>
              <w:br/>
              <w:t>(up to a max. of 224.00)</w:t>
            </w:r>
          </w:p>
        </w:tc>
      </w:tr>
      <w:tr>
        <w:trPr>
          <w:cantSplit/>
        </w:trPr>
        <w:tc>
          <w:tcPr>
            <w:tcW w:w="684" w:type="dxa"/>
          </w:tcPr>
          <w:p>
            <w:pPr>
              <w:pStyle w:val="yTableNAm"/>
            </w:pPr>
            <w:r>
              <w:lastRenderedPageBreak/>
              <w:t>31.</w:t>
            </w:r>
          </w:p>
        </w:tc>
        <w:tc>
          <w:tcPr>
            <w:tcW w:w="5270" w:type="dxa"/>
          </w:tcPr>
          <w:p>
            <w:pPr>
              <w:pStyle w:val="yTableNAm"/>
              <w:tabs>
                <w:tab w:val="clear" w:pos="567"/>
                <w:tab w:val="right" w:leader="dot" w:pos="6237"/>
              </w:tabs>
            </w:pPr>
            <w:r>
              <w:t xml:space="preserve">Supply of certified copy of plan defining licensed premises </w:t>
            </w:r>
            <w:r>
              <w:tab/>
            </w:r>
          </w:p>
        </w:tc>
        <w:tc>
          <w:tcPr>
            <w:tcW w:w="1114" w:type="dxa"/>
            <w:vAlign w:val="bottom"/>
          </w:tcPr>
          <w:p>
            <w:pPr>
              <w:pStyle w:val="yTableNAm"/>
              <w:tabs>
                <w:tab w:val="clear" w:pos="567"/>
                <w:tab w:val="right" w:pos="659"/>
              </w:tabs>
              <w:ind w:right="48"/>
              <w:jc w:val="right"/>
            </w:pPr>
            <w:r>
              <w:t>41.50</w:t>
            </w:r>
          </w:p>
        </w:tc>
      </w:tr>
      <w:tr>
        <w:trPr>
          <w:cantSplit/>
        </w:trPr>
        <w:tc>
          <w:tcPr>
            <w:tcW w:w="684" w:type="dxa"/>
          </w:tcPr>
          <w:p>
            <w:pPr>
              <w:pStyle w:val="yTableNAm"/>
            </w:pPr>
            <w:r>
              <w:t>32.</w:t>
            </w:r>
          </w:p>
        </w:tc>
        <w:tc>
          <w:tcPr>
            <w:tcW w:w="5270" w:type="dxa"/>
          </w:tcPr>
          <w:p>
            <w:pPr>
              <w:pStyle w:val="yTableNAm"/>
              <w:tabs>
                <w:tab w:val="clear" w:pos="567"/>
                <w:tab w:val="right" w:leader="dot" w:pos="6237"/>
              </w:tabs>
            </w:pPr>
            <w:r>
              <w:t xml:space="preserve">Supply of copy of a licence, a permit or a decision of the Commission (or the former Liquor Licensing Court) or the Director </w:t>
            </w:r>
            <w:r>
              <w:tab/>
            </w:r>
          </w:p>
        </w:tc>
        <w:tc>
          <w:tcPr>
            <w:tcW w:w="1114" w:type="dxa"/>
            <w:vAlign w:val="bottom"/>
          </w:tcPr>
          <w:p>
            <w:pPr>
              <w:pStyle w:val="yTableNAm"/>
              <w:tabs>
                <w:tab w:val="clear" w:pos="567"/>
                <w:tab w:val="right" w:pos="659"/>
              </w:tabs>
              <w:ind w:right="48"/>
              <w:jc w:val="right"/>
            </w:pPr>
            <w:r>
              <w:t>28.00</w:t>
            </w:r>
          </w:p>
        </w:tc>
      </w:tr>
      <w:tr>
        <w:trPr>
          <w:cantSplit/>
        </w:trPr>
        <w:tc>
          <w:tcPr>
            <w:tcW w:w="684" w:type="dxa"/>
          </w:tcPr>
          <w:p>
            <w:pPr>
              <w:pStyle w:val="yTableNAm"/>
            </w:pPr>
            <w:r>
              <w:t>33.</w:t>
            </w:r>
          </w:p>
        </w:tc>
        <w:tc>
          <w:tcPr>
            <w:tcW w:w="5270" w:type="dxa"/>
          </w:tcPr>
          <w:p>
            <w:pPr>
              <w:pStyle w:val="yTableNAm"/>
              <w:tabs>
                <w:tab w:val="clear" w:pos="567"/>
                <w:tab w:val="right" w:leader="dot" w:pos="6237"/>
              </w:tabs>
            </w:pPr>
            <w:r>
              <w:t xml:space="preserve">For the certification of a copy of a licence, a permit or a decision of the Commission (or the former Liquor Licensing Court) or the Director </w:t>
            </w:r>
            <w:r>
              <w:tab/>
            </w:r>
          </w:p>
          <w:p>
            <w:pPr>
              <w:pStyle w:val="yTableNAm"/>
              <w:tabs>
                <w:tab w:val="clear" w:pos="567"/>
                <w:tab w:val="right" w:leader="dot" w:pos="6237"/>
              </w:tabs>
            </w:pPr>
            <w:r>
              <w:rPr>
                <w:sz w:val="20"/>
              </w:rPr>
              <w:t>[In addition to the fee under item 32]</w:t>
            </w:r>
          </w:p>
        </w:tc>
        <w:tc>
          <w:tcPr>
            <w:tcW w:w="1114" w:type="dxa"/>
            <w:vAlign w:val="bottom"/>
          </w:tcPr>
          <w:p>
            <w:pPr>
              <w:pStyle w:val="yTableNAm"/>
              <w:tabs>
                <w:tab w:val="clear" w:pos="567"/>
                <w:tab w:val="right" w:leader="dot" w:pos="6237"/>
              </w:tabs>
              <w:jc w:val="right"/>
            </w:pPr>
            <w:r>
              <w:t>28.00</w:t>
            </w:r>
          </w:p>
          <w:p>
            <w:pPr>
              <w:pStyle w:val="yTableNAm"/>
              <w:tabs>
                <w:tab w:val="clear" w:pos="567"/>
                <w:tab w:val="right" w:pos="659"/>
              </w:tabs>
              <w:ind w:right="48"/>
              <w:jc w:val="right"/>
            </w:pPr>
          </w:p>
        </w:tc>
      </w:tr>
      <w:tr>
        <w:trPr>
          <w:cantSplit/>
        </w:trPr>
        <w:tc>
          <w:tcPr>
            <w:tcW w:w="684" w:type="dxa"/>
          </w:tcPr>
          <w:p>
            <w:pPr>
              <w:pStyle w:val="yTableNAm"/>
            </w:pPr>
            <w:r>
              <w:t>34.</w:t>
            </w:r>
          </w:p>
        </w:tc>
        <w:tc>
          <w:tcPr>
            <w:tcW w:w="5270" w:type="dxa"/>
          </w:tcPr>
          <w:p>
            <w:pPr>
              <w:pStyle w:val="yTableNAm"/>
              <w:tabs>
                <w:tab w:val="clear" w:pos="567"/>
                <w:tab w:val="right" w:leader="dot" w:pos="6237"/>
              </w:tabs>
            </w:pPr>
            <w:r>
              <w:t xml:space="preserve">Supply of copy of documentation, other than that already prescribed, per page </w:t>
            </w:r>
            <w:r>
              <w:tab/>
            </w:r>
          </w:p>
        </w:tc>
        <w:tc>
          <w:tcPr>
            <w:tcW w:w="1114" w:type="dxa"/>
            <w:vAlign w:val="bottom"/>
          </w:tcPr>
          <w:p>
            <w:pPr>
              <w:pStyle w:val="yTableNAm"/>
              <w:tabs>
                <w:tab w:val="clear" w:pos="567"/>
                <w:tab w:val="right" w:pos="659"/>
              </w:tabs>
              <w:ind w:right="48"/>
              <w:jc w:val="right"/>
            </w:pPr>
            <w:r>
              <w:t>4.00</w:t>
            </w:r>
          </w:p>
        </w:tc>
      </w:tr>
      <w:tr>
        <w:trPr>
          <w:cantSplit/>
        </w:trPr>
        <w:tc>
          <w:tcPr>
            <w:tcW w:w="684" w:type="dxa"/>
          </w:tcPr>
          <w:p>
            <w:pPr>
              <w:pStyle w:val="yTableNAm"/>
            </w:pPr>
            <w:r>
              <w:t>35.</w:t>
            </w:r>
          </w:p>
        </w:tc>
        <w:tc>
          <w:tcPr>
            <w:tcW w:w="5270" w:type="dxa"/>
          </w:tcPr>
          <w:p>
            <w:pPr>
              <w:pStyle w:val="yTableNAm"/>
              <w:tabs>
                <w:tab w:val="clear" w:pos="567"/>
                <w:tab w:val="right" w:leader="dot" w:pos="6237"/>
              </w:tabs>
            </w:pPr>
            <w:r>
              <w:t xml:space="preserve">Issue of a summons to a witness </w:t>
            </w:r>
            <w:r>
              <w:tab/>
            </w:r>
          </w:p>
        </w:tc>
        <w:tc>
          <w:tcPr>
            <w:tcW w:w="1114" w:type="dxa"/>
            <w:vAlign w:val="bottom"/>
          </w:tcPr>
          <w:p>
            <w:pPr>
              <w:pStyle w:val="yTableNAm"/>
              <w:tabs>
                <w:tab w:val="clear" w:pos="567"/>
                <w:tab w:val="right" w:pos="659"/>
              </w:tabs>
              <w:ind w:right="48"/>
              <w:jc w:val="right"/>
            </w:pPr>
            <w:r>
              <w:t>23.00</w:t>
            </w:r>
          </w:p>
        </w:tc>
      </w:tr>
      <w:tr>
        <w:trPr>
          <w:cantSplit/>
        </w:trPr>
        <w:tc>
          <w:tcPr>
            <w:tcW w:w="684" w:type="dxa"/>
          </w:tcPr>
          <w:p>
            <w:pPr>
              <w:pStyle w:val="yTableNAm"/>
            </w:pPr>
            <w:r>
              <w:t>36.</w:t>
            </w:r>
          </w:p>
        </w:tc>
        <w:tc>
          <w:tcPr>
            <w:tcW w:w="5270" w:type="dxa"/>
          </w:tcPr>
          <w:p>
            <w:pPr>
              <w:pStyle w:val="yTableNAm"/>
              <w:tabs>
                <w:tab w:val="clear" w:pos="567"/>
                <w:tab w:val="right" w:leader="dot" w:pos="6237"/>
              </w:tabs>
            </w:pPr>
            <w:r>
              <w:t xml:space="preserve">For a search of the database of records of licences — per licence </w:t>
            </w:r>
            <w:r>
              <w:tab/>
            </w:r>
          </w:p>
        </w:tc>
        <w:tc>
          <w:tcPr>
            <w:tcW w:w="1114" w:type="dxa"/>
            <w:vAlign w:val="bottom"/>
          </w:tcPr>
          <w:p>
            <w:pPr>
              <w:pStyle w:val="yTableNAm"/>
              <w:tabs>
                <w:tab w:val="clear" w:pos="567"/>
                <w:tab w:val="right" w:pos="659"/>
              </w:tabs>
              <w:ind w:right="48"/>
              <w:jc w:val="right"/>
            </w:pPr>
            <w:r>
              <w:t>41.50</w:t>
            </w:r>
          </w:p>
        </w:tc>
      </w:tr>
      <w:tr>
        <w:trPr>
          <w:cantSplit/>
        </w:trPr>
        <w:tc>
          <w:tcPr>
            <w:tcW w:w="684" w:type="dxa"/>
          </w:tcPr>
          <w:p>
            <w:pPr>
              <w:pStyle w:val="yTableNAm"/>
            </w:pPr>
            <w:r>
              <w:t>37.</w:t>
            </w:r>
          </w:p>
        </w:tc>
        <w:tc>
          <w:tcPr>
            <w:tcW w:w="5270" w:type="dxa"/>
          </w:tcPr>
          <w:p>
            <w:pPr>
              <w:pStyle w:val="yTableNAm"/>
              <w:tabs>
                <w:tab w:val="clear" w:pos="567"/>
                <w:tab w:val="right" w:leader="dot" w:pos="6237"/>
              </w:tabs>
            </w:pPr>
            <w:r>
              <w:t xml:space="preserve">For a full search of a licence record </w:t>
            </w:r>
            <w:r>
              <w:tab/>
            </w:r>
          </w:p>
        </w:tc>
        <w:tc>
          <w:tcPr>
            <w:tcW w:w="1114" w:type="dxa"/>
            <w:vAlign w:val="bottom"/>
          </w:tcPr>
          <w:p>
            <w:pPr>
              <w:pStyle w:val="yTableNAm"/>
              <w:tabs>
                <w:tab w:val="clear" w:pos="567"/>
                <w:tab w:val="right" w:pos="659"/>
              </w:tabs>
              <w:ind w:right="48"/>
              <w:jc w:val="right"/>
            </w:pPr>
            <w:r>
              <w:rPr>
                <w:szCs w:val="22"/>
              </w:rPr>
              <w:t>53.50</w:t>
            </w:r>
          </w:p>
        </w:tc>
      </w:tr>
      <w:tr>
        <w:trPr>
          <w:cantSplit/>
        </w:trPr>
        <w:tc>
          <w:tcPr>
            <w:tcW w:w="684" w:type="dxa"/>
            <w:tcBorders>
              <w:bottom w:val="nil"/>
            </w:tcBorders>
          </w:tcPr>
          <w:p>
            <w:pPr>
              <w:pStyle w:val="yTableNAm"/>
            </w:pPr>
            <w:r>
              <w:t>38.</w:t>
            </w:r>
          </w:p>
        </w:tc>
        <w:tc>
          <w:tcPr>
            <w:tcW w:w="5270" w:type="dxa"/>
            <w:tcBorders>
              <w:bottom w:val="nil"/>
            </w:tcBorders>
          </w:tcPr>
          <w:p>
            <w:pPr>
              <w:pStyle w:val="yTableNAm"/>
              <w:tabs>
                <w:tab w:val="clear" w:pos="567"/>
                <w:tab w:val="right" w:leader="dot" w:pos="6237"/>
              </w:tabs>
            </w:pPr>
            <w:r>
              <w:t xml:space="preserve">For a search of postcodes — </w:t>
            </w:r>
          </w:p>
        </w:tc>
        <w:tc>
          <w:tcPr>
            <w:tcW w:w="1114" w:type="dxa"/>
            <w:tcBorders>
              <w:bottom w:val="nil"/>
            </w:tcBorders>
            <w:vAlign w:val="bottom"/>
          </w:tcPr>
          <w:p>
            <w:pPr>
              <w:pStyle w:val="yTableNAm"/>
              <w:tabs>
                <w:tab w:val="clear" w:pos="567"/>
                <w:tab w:val="right" w:pos="659"/>
              </w:tabs>
              <w:ind w:right="48"/>
              <w:jc w:val="right"/>
            </w:pPr>
          </w:p>
        </w:tc>
      </w:tr>
      <w:tr>
        <w:trPr>
          <w:cantSplit/>
        </w:trPr>
        <w:tc>
          <w:tcPr>
            <w:tcW w:w="684" w:type="dxa"/>
            <w:tcBorders>
              <w:top w:val="nil"/>
              <w:bottom w:val="nil"/>
            </w:tcBorders>
          </w:tcPr>
          <w:p>
            <w:pPr>
              <w:pStyle w:val="yTableNAm"/>
            </w:pPr>
          </w:p>
        </w:tc>
        <w:tc>
          <w:tcPr>
            <w:tcW w:w="5270" w:type="dxa"/>
            <w:tcBorders>
              <w:top w:val="nil"/>
              <w:bottom w:val="nil"/>
            </w:tcBorders>
          </w:tcPr>
          <w:p>
            <w:pPr>
              <w:pStyle w:val="yTableNAm"/>
              <w:tabs>
                <w:tab w:val="right" w:leader="dot" w:pos="6237"/>
              </w:tabs>
            </w:pPr>
            <w:r>
              <w:t>(a)</w:t>
            </w:r>
            <w:r>
              <w:tab/>
              <w:t xml:space="preserve">1 to 10 postcodes </w:t>
            </w:r>
            <w:r>
              <w:tab/>
            </w:r>
          </w:p>
        </w:tc>
        <w:tc>
          <w:tcPr>
            <w:tcW w:w="1114" w:type="dxa"/>
            <w:tcBorders>
              <w:top w:val="nil"/>
              <w:bottom w:val="nil"/>
            </w:tcBorders>
            <w:vAlign w:val="bottom"/>
          </w:tcPr>
          <w:p>
            <w:pPr>
              <w:pStyle w:val="yTableNAm"/>
              <w:tabs>
                <w:tab w:val="clear" w:pos="567"/>
                <w:tab w:val="right" w:pos="659"/>
              </w:tabs>
              <w:ind w:right="48"/>
              <w:jc w:val="right"/>
            </w:pPr>
            <w:r>
              <w:t>41.50</w:t>
            </w:r>
          </w:p>
        </w:tc>
      </w:tr>
      <w:tr>
        <w:trPr>
          <w:cantSplit/>
        </w:trPr>
        <w:tc>
          <w:tcPr>
            <w:tcW w:w="684" w:type="dxa"/>
            <w:tcBorders>
              <w:top w:val="nil"/>
            </w:tcBorders>
          </w:tcPr>
          <w:p>
            <w:pPr>
              <w:pStyle w:val="yTableNAm"/>
            </w:pPr>
          </w:p>
        </w:tc>
        <w:tc>
          <w:tcPr>
            <w:tcW w:w="5270" w:type="dxa"/>
            <w:tcBorders>
              <w:top w:val="nil"/>
            </w:tcBorders>
          </w:tcPr>
          <w:p>
            <w:pPr>
              <w:pStyle w:val="yTableNAm"/>
              <w:tabs>
                <w:tab w:val="right" w:leader="dot" w:pos="6237"/>
              </w:tabs>
            </w:pPr>
            <w:r>
              <w:t>(b)</w:t>
            </w:r>
            <w:r>
              <w:tab/>
              <w:t xml:space="preserve">more than 10 postcodes </w:t>
            </w:r>
            <w:r>
              <w:tab/>
            </w:r>
          </w:p>
        </w:tc>
        <w:tc>
          <w:tcPr>
            <w:tcW w:w="1114" w:type="dxa"/>
            <w:tcBorders>
              <w:top w:val="nil"/>
            </w:tcBorders>
            <w:vAlign w:val="bottom"/>
          </w:tcPr>
          <w:p>
            <w:pPr>
              <w:pStyle w:val="yTableNAm"/>
              <w:tabs>
                <w:tab w:val="clear" w:pos="567"/>
                <w:tab w:val="right" w:pos="659"/>
              </w:tabs>
              <w:ind w:right="48"/>
              <w:jc w:val="right"/>
            </w:pPr>
            <w:r>
              <w:rPr>
                <w:szCs w:val="22"/>
              </w:rPr>
              <w:t>91.00</w:t>
            </w:r>
          </w:p>
        </w:tc>
      </w:tr>
      <w:tr>
        <w:trPr>
          <w:cantSplit/>
        </w:trPr>
        <w:tc>
          <w:tcPr>
            <w:tcW w:w="684" w:type="dxa"/>
            <w:tcBorders>
              <w:top w:val="nil"/>
              <w:left w:val="single" w:sz="4" w:space="0" w:color="auto"/>
              <w:bottom w:val="single" w:sz="4" w:space="0" w:color="auto"/>
              <w:right w:val="single" w:sz="4" w:space="0" w:color="auto"/>
            </w:tcBorders>
          </w:tcPr>
          <w:p>
            <w:pPr>
              <w:pStyle w:val="yTableNAm"/>
            </w:pPr>
            <w:r>
              <w:t>39.</w:t>
            </w:r>
          </w:p>
        </w:tc>
        <w:tc>
          <w:tcPr>
            <w:tcW w:w="5270" w:type="dxa"/>
            <w:tcBorders>
              <w:top w:val="nil"/>
              <w:left w:val="single" w:sz="4" w:space="0" w:color="auto"/>
              <w:bottom w:val="single" w:sz="4" w:space="0" w:color="auto"/>
              <w:right w:val="single" w:sz="4" w:space="0" w:color="auto"/>
            </w:tcBorders>
          </w:tcPr>
          <w:p>
            <w:pPr>
              <w:pStyle w:val="yTableNAm"/>
              <w:tabs>
                <w:tab w:val="clear" w:pos="567"/>
                <w:tab w:val="right" w:leader="dot" w:pos="6237"/>
              </w:tabs>
            </w:pPr>
            <w:r>
              <w:t xml:space="preserve">For each person who is a party to an application under the Act and in relation to whom a background check is sought from the Police Service </w:t>
            </w:r>
            <w:r>
              <w:tab/>
            </w:r>
          </w:p>
        </w:tc>
        <w:tc>
          <w:tcPr>
            <w:tcW w:w="1114" w:type="dxa"/>
            <w:tcBorders>
              <w:top w:val="nil"/>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t>154.00</w:t>
            </w:r>
          </w:p>
        </w:tc>
      </w:tr>
    </w:tbl>
    <w:p>
      <w:pPr>
        <w:pStyle w:val="yFootnoteheading"/>
        <w:spacing w:before="80" w:after="80"/>
      </w:pPr>
      <w:r>
        <w:tab/>
        <w:t>[Schedule 3 inserted: Gazette 22 Oct 2019 p. 3725</w:t>
      </w:r>
      <w:r>
        <w:noBreakHyphen/>
        <w:t>8.]</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nHeading2"/>
      </w:pPr>
      <w:bookmarkStart w:id="118" w:name="_Toc82685909"/>
      <w:bookmarkStart w:id="119" w:name="_Toc82686009"/>
      <w:bookmarkStart w:id="120" w:name="_Toc82687240"/>
      <w:bookmarkStart w:id="121" w:name="_Toc82689705"/>
      <w:r>
        <w:lastRenderedPageBreak/>
        <w:t>Notes</w:t>
      </w:r>
      <w:bookmarkEnd w:id="118"/>
      <w:bookmarkEnd w:id="119"/>
      <w:bookmarkEnd w:id="120"/>
      <w:bookmarkEnd w:id="121"/>
    </w:p>
    <w:p>
      <w:pPr>
        <w:pStyle w:val="nStatement"/>
      </w:pPr>
      <w:r>
        <w:t xml:space="preserve">This is a compilation of the </w:t>
      </w:r>
      <w:r>
        <w:rPr>
          <w:i/>
          <w:noProof/>
        </w:rPr>
        <w:t>Liquor Control Regulations 1989</w:t>
      </w:r>
      <w:r>
        <w:t xml:space="preserve"> and includes amendments made by other written laws. For provisions that have come into operation, and for information about any reprints, see the compilation table.</w:t>
      </w:r>
    </w:p>
    <w:p>
      <w:pPr>
        <w:pStyle w:val="nHeading3"/>
      </w:pPr>
      <w:bookmarkStart w:id="122" w:name="_Toc82689706"/>
      <w:r>
        <w:t>Compilation table</w:t>
      </w:r>
      <w:bookmarkEnd w:id="122"/>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Liquor Licensing Regulations 1989</w:t>
            </w:r>
            <w:r>
              <w:rPr>
                <w:iCs/>
                <w:vertAlign w:val="superscript"/>
              </w:rPr>
              <w:t> 4</w:t>
            </w:r>
          </w:p>
        </w:tc>
        <w:tc>
          <w:tcPr>
            <w:tcW w:w="1276" w:type="dxa"/>
          </w:tcPr>
          <w:p>
            <w:pPr>
              <w:pStyle w:val="nTable"/>
              <w:spacing w:after="40"/>
            </w:pPr>
            <w:r>
              <w:t>27 Jan 1989 p. 209</w:t>
            </w:r>
            <w:r>
              <w:noBreakHyphen/>
              <w:t>61</w:t>
            </w:r>
          </w:p>
        </w:tc>
        <w:tc>
          <w:tcPr>
            <w:tcW w:w="2693" w:type="dxa"/>
          </w:tcPr>
          <w:p>
            <w:pPr>
              <w:pStyle w:val="nTable"/>
              <w:spacing w:after="40"/>
            </w:pPr>
            <w:r>
              <w:t xml:space="preserve">1 Feb 1989 (see r.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1990</w:t>
            </w:r>
          </w:p>
        </w:tc>
        <w:tc>
          <w:tcPr>
            <w:tcW w:w="1276" w:type="dxa"/>
          </w:tcPr>
          <w:p>
            <w:pPr>
              <w:pStyle w:val="nTable"/>
              <w:spacing w:after="40"/>
            </w:pPr>
            <w:r>
              <w:t>3 Aug 1990 p. 3791</w:t>
            </w:r>
          </w:p>
        </w:tc>
        <w:tc>
          <w:tcPr>
            <w:tcW w:w="2693" w:type="dxa"/>
          </w:tcPr>
          <w:p>
            <w:pPr>
              <w:pStyle w:val="nTable"/>
              <w:spacing w:after="40"/>
            </w:pPr>
            <w:r>
              <w:t>3 Aug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(No. 2) Regulations 1990</w:t>
            </w:r>
          </w:p>
        </w:tc>
        <w:tc>
          <w:tcPr>
            <w:tcW w:w="1276" w:type="dxa"/>
          </w:tcPr>
          <w:p>
            <w:pPr>
              <w:pStyle w:val="nTable"/>
              <w:spacing w:after="40"/>
            </w:pPr>
            <w:r>
              <w:t>24 Aug 1990 p. 4337</w:t>
            </w:r>
          </w:p>
        </w:tc>
        <w:tc>
          <w:tcPr>
            <w:tcW w:w="2693" w:type="dxa"/>
          </w:tcPr>
          <w:p>
            <w:pPr>
              <w:pStyle w:val="nTable"/>
              <w:spacing w:after="40"/>
            </w:pPr>
            <w:r>
              <w:t>24 Aug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Liquor Licensing Amendment Regulations 1991</w:t>
            </w:r>
            <w:r>
              <w:rPr>
                <w:vertAlign w:val="superscript"/>
              </w:rPr>
              <w:t> 5</w:t>
            </w:r>
          </w:p>
        </w:tc>
        <w:tc>
          <w:tcPr>
            <w:tcW w:w="1276" w:type="dxa"/>
          </w:tcPr>
          <w:p>
            <w:pPr>
              <w:pStyle w:val="nTable"/>
              <w:spacing w:after="40"/>
            </w:pPr>
            <w:r>
              <w:t>8 Nov 1991 p. 5768</w:t>
            </w:r>
            <w:r>
              <w:noBreakHyphen/>
              <w:t>9</w:t>
            </w:r>
          </w:p>
        </w:tc>
        <w:tc>
          <w:tcPr>
            <w:tcW w:w="2693" w:type="dxa"/>
          </w:tcPr>
          <w:p>
            <w:pPr>
              <w:pStyle w:val="nTable"/>
              <w:spacing w:after="40"/>
            </w:pPr>
            <w:r>
              <w:t>8 Nov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1992</w:t>
            </w:r>
          </w:p>
        </w:tc>
        <w:tc>
          <w:tcPr>
            <w:tcW w:w="1276" w:type="dxa"/>
          </w:tcPr>
          <w:p>
            <w:pPr>
              <w:pStyle w:val="nTable"/>
              <w:spacing w:after="40"/>
            </w:pPr>
            <w:r>
              <w:t>21 Feb 1992 p. 933</w:t>
            </w:r>
            <w:r>
              <w:noBreakHyphen/>
              <w:t>4</w:t>
            </w:r>
          </w:p>
        </w:tc>
        <w:tc>
          <w:tcPr>
            <w:tcW w:w="2693" w:type="dxa"/>
          </w:tcPr>
          <w:p>
            <w:pPr>
              <w:pStyle w:val="nTable"/>
              <w:spacing w:after="40"/>
            </w:pPr>
            <w:r>
              <w:t>21 Feb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2) 1992</w:t>
            </w:r>
          </w:p>
        </w:tc>
        <w:tc>
          <w:tcPr>
            <w:tcW w:w="1276" w:type="dxa"/>
          </w:tcPr>
          <w:p>
            <w:pPr>
              <w:pStyle w:val="nTable"/>
              <w:spacing w:after="40"/>
            </w:pPr>
            <w:r>
              <w:t>20 Nov 1992 p. 5695</w:t>
            </w:r>
          </w:p>
        </w:tc>
        <w:tc>
          <w:tcPr>
            <w:tcW w:w="2693" w:type="dxa"/>
          </w:tcPr>
          <w:p>
            <w:pPr>
              <w:pStyle w:val="nTable"/>
              <w:spacing w:after="40"/>
            </w:pPr>
            <w:r>
              <w:t>1 Jan 1993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1994</w:t>
            </w:r>
          </w:p>
        </w:tc>
        <w:tc>
          <w:tcPr>
            <w:tcW w:w="1276" w:type="dxa"/>
          </w:tcPr>
          <w:p>
            <w:pPr>
              <w:pStyle w:val="nTable"/>
              <w:spacing w:after="40"/>
            </w:pPr>
            <w:r>
              <w:t>23 Sep 1994 p. 4901</w:t>
            </w:r>
          </w:p>
        </w:tc>
        <w:tc>
          <w:tcPr>
            <w:tcW w:w="2693" w:type="dxa"/>
          </w:tcPr>
          <w:p>
            <w:pPr>
              <w:pStyle w:val="nTable"/>
              <w:spacing w:after="40"/>
            </w:pPr>
            <w:r>
              <w:t>23 Sep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2) 1994</w:t>
            </w:r>
          </w:p>
        </w:tc>
        <w:tc>
          <w:tcPr>
            <w:tcW w:w="1276" w:type="dxa"/>
          </w:tcPr>
          <w:p>
            <w:pPr>
              <w:pStyle w:val="nTable"/>
              <w:spacing w:after="40"/>
            </w:pPr>
            <w:r>
              <w:t>30 Dec 1994 p. 7329</w:t>
            </w:r>
            <w:r>
              <w:noBreakHyphen/>
              <w:t>30</w:t>
            </w:r>
          </w:p>
        </w:tc>
        <w:tc>
          <w:tcPr>
            <w:tcW w:w="2693" w:type="dxa"/>
          </w:tcPr>
          <w:p>
            <w:pPr>
              <w:pStyle w:val="nTable"/>
              <w:spacing w:after="40"/>
            </w:pPr>
            <w:r>
              <w:t>30 Dec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1995</w:t>
            </w:r>
          </w:p>
        </w:tc>
        <w:tc>
          <w:tcPr>
            <w:tcW w:w="1276" w:type="dxa"/>
          </w:tcPr>
          <w:p>
            <w:pPr>
              <w:pStyle w:val="nTable"/>
              <w:spacing w:after="40"/>
            </w:pPr>
            <w:r>
              <w:t>16 May 1995 p. 1859</w:t>
            </w:r>
          </w:p>
        </w:tc>
        <w:tc>
          <w:tcPr>
            <w:tcW w:w="2693" w:type="dxa"/>
          </w:tcPr>
          <w:p>
            <w:pPr>
              <w:pStyle w:val="nTable"/>
              <w:spacing w:after="40"/>
            </w:pPr>
            <w:r>
              <w:t>16 May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1996</w:t>
            </w:r>
          </w:p>
        </w:tc>
        <w:tc>
          <w:tcPr>
            <w:tcW w:w="1276" w:type="dxa"/>
          </w:tcPr>
          <w:p>
            <w:pPr>
              <w:pStyle w:val="nTable"/>
              <w:spacing w:after="40"/>
            </w:pPr>
            <w:r>
              <w:t>26 Nov 1996 p. 6629</w:t>
            </w:r>
            <w:r>
              <w:noBreakHyphen/>
              <w:t>30</w:t>
            </w:r>
          </w:p>
        </w:tc>
        <w:tc>
          <w:tcPr>
            <w:tcW w:w="2693" w:type="dxa"/>
          </w:tcPr>
          <w:p>
            <w:pPr>
              <w:pStyle w:val="nTable"/>
              <w:spacing w:after="40"/>
            </w:pPr>
            <w:r>
              <w:t>26 Nov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2) 1996</w:t>
            </w:r>
          </w:p>
        </w:tc>
        <w:tc>
          <w:tcPr>
            <w:tcW w:w="1276" w:type="dxa"/>
          </w:tcPr>
          <w:p>
            <w:pPr>
              <w:pStyle w:val="nTable"/>
              <w:spacing w:after="40"/>
            </w:pPr>
            <w:r>
              <w:t>3 Dec 1996 p. 6689</w:t>
            </w:r>
            <w:r>
              <w:noBreakHyphen/>
              <w:t>91</w:t>
            </w:r>
          </w:p>
        </w:tc>
        <w:tc>
          <w:tcPr>
            <w:tcW w:w="2693" w:type="dxa"/>
          </w:tcPr>
          <w:p>
            <w:pPr>
              <w:pStyle w:val="nTable"/>
              <w:spacing w:after="40"/>
            </w:pPr>
            <w:r>
              <w:t>3 Dec 1996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1997</w:t>
            </w:r>
          </w:p>
        </w:tc>
        <w:tc>
          <w:tcPr>
            <w:tcW w:w="1276" w:type="dxa"/>
          </w:tcPr>
          <w:p>
            <w:pPr>
              <w:pStyle w:val="nTable"/>
              <w:spacing w:after="40"/>
            </w:pPr>
            <w:r>
              <w:t>14 Nov 1997 p. 6446</w:t>
            </w:r>
            <w:r>
              <w:noBreakHyphen/>
              <w:t>8</w:t>
            </w:r>
          </w:p>
        </w:tc>
        <w:tc>
          <w:tcPr>
            <w:tcW w:w="2693" w:type="dxa"/>
          </w:tcPr>
          <w:p>
            <w:pPr>
              <w:pStyle w:val="nTable"/>
              <w:spacing w:after="40"/>
            </w:pPr>
            <w:r>
              <w:t>1 Jan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1998</w:t>
            </w:r>
          </w:p>
        </w:tc>
        <w:tc>
          <w:tcPr>
            <w:tcW w:w="1276" w:type="dxa"/>
          </w:tcPr>
          <w:p>
            <w:pPr>
              <w:pStyle w:val="nTable"/>
              <w:spacing w:after="40"/>
            </w:pPr>
            <w:r>
              <w:t>30 Jan 1998 p. 559</w:t>
            </w:r>
            <w:r>
              <w:noBreakHyphen/>
              <w:t>73</w:t>
            </w:r>
            <w:r>
              <w:br/>
              <w:t>(correction 6 Feb 1998 p. 662)</w:t>
            </w:r>
          </w:p>
        </w:tc>
        <w:tc>
          <w:tcPr>
            <w:tcW w:w="2693" w:type="dxa"/>
          </w:tcPr>
          <w:p>
            <w:pPr>
              <w:pStyle w:val="nTable"/>
              <w:spacing w:after="40"/>
            </w:pPr>
            <w:r>
              <w:t xml:space="preserve">31 Jan 1998 (see r. 2 and </w:t>
            </w:r>
            <w:r>
              <w:rPr>
                <w:i/>
              </w:rPr>
              <w:t>Gazette</w:t>
            </w:r>
            <w:r>
              <w:t xml:space="preserve"> 30 Jan 1998 p. 577)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lastRenderedPageBreak/>
              <w:t>Liquor Licensing Amendment Regulations (No. 2) 1998</w:t>
            </w:r>
          </w:p>
        </w:tc>
        <w:tc>
          <w:tcPr>
            <w:tcW w:w="1276" w:type="dxa"/>
          </w:tcPr>
          <w:p>
            <w:pPr>
              <w:pStyle w:val="nTable"/>
              <w:spacing w:after="40"/>
            </w:pPr>
            <w:r>
              <w:t>28 Apr 1998</w:t>
            </w:r>
            <w:r>
              <w:br/>
              <w:t>p. 2198</w:t>
            </w:r>
          </w:p>
        </w:tc>
        <w:tc>
          <w:tcPr>
            <w:tcW w:w="2693" w:type="dxa"/>
          </w:tcPr>
          <w:p>
            <w:pPr>
              <w:pStyle w:val="nTable"/>
              <w:spacing w:after="40"/>
            </w:pPr>
            <w:r>
              <w:t>28 Apr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3) 1998</w:t>
            </w:r>
          </w:p>
        </w:tc>
        <w:tc>
          <w:tcPr>
            <w:tcW w:w="1276" w:type="dxa"/>
          </w:tcPr>
          <w:p>
            <w:pPr>
              <w:pStyle w:val="nTable"/>
              <w:spacing w:after="40"/>
            </w:pPr>
            <w:r>
              <w:t>22 May 1998 p. 2940</w:t>
            </w:r>
            <w:r>
              <w:noBreakHyphen/>
              <w:t>4</w:t>
            </w:r>
          </w:p>
        </w:tc>
        <w:tc>
          <w:tcPr>
            <w:tcW w:w="2693" w:type="dxa"/>
          </w:tcPr>
          <w:p>
            <w:pPr>
              <w:pStyle w:val="nTable"/>
              <w:spacing w:after="40"/>
            </w:pPr>
            <w:r>
              <w:t xml:space="preserve">23 May 1998 (see r. 2 and </w:t>
            </w:r>
            <w:r>
              <w:rPr>
                <w:i/>
              </w:rPr>
              <w:t>Gazette</w:t>
            </w:r>
            <w:r>
              <w:t xml:space="preserve"> 22 May 1998 p. 2921)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4) 1998</w:t>
            </w:r>
          </w:p>
        </w:tc>
        <w:tc>
          <w:tcPr>
            <w:tcW w:w="1276" w:type="dxa"/>
          </w:tcPr>
          <w:p>
            <w:pPr>
              <w:pStyle w:val="nTable"/>
              <w:spacing w:after="40"/>
            </w:pPr>
            <w:r>
              <w:t>6 Oct 1998 p. 5563</w:t>
            </w:r>
            <w:r>
              <w:noBreakHyphen/>
              <w:t>7</w:t>
            </w:r>
          </w:p>
        </w:tc>
        <w:tc>
          <w:tcPr>
            <w:tcW w:w="2693" w:type="dxa"/>
          </w:tcPr>
          <w:p>
            <w:pPr>
              <w:pStyle w:val="nTable"/>
              <w:spacing w:after="40"/>
            </w:pPr>
            <w:r>
              <w:t>6 Oct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5) 1998</w:t>
            </w:r>
          </w:p>
        </w:tc>
        <w:tc>
          <w:tcPr>
            <w:tcW w:w="1276" w:type="dxa"/>
          </w:tcPr>
          <w:p>
            <w:pPr>
              <w:pStyle w:val="nTable"/>
              <w:spacing w:after="40"/>
            </w:pPr>
            <w:r>
              <w:t>30 Oct 1998 p. 6015</w:t>
            </w:r>
          </w:p>
        </w:tc>
        <w:tc>
          <w:tcPr>
            <w:tcW w:w="2693" w:type="dxa"/>
          </w:tcPr>
          <w:p>
            <w:pPr>
              <w:pStyle w:val="nTable"/>
              <w:spacing w:after="40"/>
            </w:pPr>
            <w:r>
              <w:t>1 Dec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1999</w:t>
            </w:r>
          </w:p>
        </w:tc>
        <w:tc>
          <w:tcPr>
            <w:tcW w:w="1276" w:type="dxa"/>
          </w:tcPr>
          <w:p>
            <w:pPr>
              <w:pStyle w:val="nTable"/>
              <w:spacing w:after="40"/>
            </w:pPr>
            <w:r>
              <w:t>30 Apr 1999 p. 1820</w:t>
            </w:r>
            <w:r>
              <w:noBreakHyphen/>
              <w:t>1</w:t>
            </w:r>
          </w:p>
        </w:tc>
        <w:tc>
          <w:tcPr>
            <w:tcW w:w="2693" w:type="dxa"/>
          </w:tcPr>
          <w:p>
            <w:pPr>
              <w:pStyle w:val="nTable"/>
              <w:spacing w:after="40"/>
            </w:pPr>
            <w:r>
              <w:t>30 Apr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Liquor Licensing Amendment Regulations (No. 2) 1999</w:t>
            </w:r>
          </w:p>
        </w:tc>
        <w:tc>
          <w:tcPr>
            <w:tcW w:w="1276" w:type="dxa"/>
          </w:tcPr>
          <w:p>
            <w:pPr>
              <w:pStyle w:val="nTable"/>
              <w:spacing w:after="40"/>
            </w:pPr>
            <w:r>
              <w:t>31 Aug 1999 p. 4256</w:t>
            </w:r>
            <w:r>
              <w:noBreakHyphen/>
              <w:t>9</w:t>
            </w:r>
          </w:p>
        </w:tc>
        <w:tc>
          <w:tcPr>
            <w:tcW w:w="2693" w:type="dxa"/>
          </w:tcPr>
          <w:p>
            <w:pPr>
              <w:pStyle w:val="nTable"/>
              <w:spacing w:after="40"/>
            </w:pPr>
            <w:r>
              <w:t>31 Aug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3) 1999</w:t>
            </w:r>
          </w:p>
        </w:tc>
        <w:tc>
          <w:tcPr>
            <w:tcW w:w="1276" w:type="dxa"/>
          </w:tcPr>
          <w:p>
            <w:pPr>
              <w:pStyle w:val="nTable"/>
              <w:spacing w:after="40"/>
            </w:pPr>
            <w:r>
              <w:t>21 Dec 1999 p. 6418</w:t>
            </w:r>
            <w:r>
              <w:noBreakHyphen/>
              <w:t>20</w:t>
            </w:r>
          </w:p>
        </w:tc>
        <w:tc>
          <w:tcPr>
            <w:tcW w:w="2693" w:type="dxa"/>
          </w:tcPr>
          <w:p>
            <w:pPr>
              <w:pStyle w:val="nTable"/>
              <w:spacing w:after="40"/>
            </w:pPr>
            <w:r>
              <w:t>1 Jan 2000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2000</w:t>
            </w:r>
          </w:p>
        </w:tc>
        <w:tc>
          <w:tcPr>
            <w:tcW w:w="1276" w:type="dxa"/>
          </w:tcPr>
          <w:p>
            <w:pPr>
              <w:pStyle w:val="nTable"/>
              <w:spacing w:after="40"/>
            </w:pPr>
            <w:r>
              <w:t xml:space="preserve">12 May 2000 </w:t>
            </w:r>
            <w:r>
              <w:br/>
              <w:t>p. 2286</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2) 2000</w:t>
            </w:r>
          </w:p>
        </w:tc>
        <w:tc>
          <w:tcPr>
            <w:tcW w:w="1276" w:type="dxa"/>
          </w:tcPr>
          <w:p>
            <w:pPr>
              <w:pStyle w:val="nTable"/>
              <w:spacing w:after="40"/>
            </w:pPr>
            <w:r>
              <w:t>28 Jul 2000 p. 4029</w:t>
            </w:r>
            <w:r>
              <w:noBreakHyphen/>
              <w:t>32</w:t>
            </w:r>
          </w:p>
        </w:tc>
        <w:tc>
          <w:tcPr>
            <w:tcW w:w="2693" w:type="dxa"/>
          </w:tcPr>
          <w:p>
            <w:pPr>
              <w:pStyle w:val="nTable"/>
              <w:spacing w:after="40"/>
            </w:pPr>
            <w:r>
              <w:t xml:space="preserve">28 Jul 2000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3) 2000</w:t>
            </w:r>
          </w:p>
        </w:tc>
        <w:tc>
          <w:tcPr>
            <w:tcW w:w="1276" w:type="dxa"/>
          </w:tcPr>
          <w:p>
            <w:pPr>
              <w:pStyle w:val="nTable"/>
              <w:spacing w:after="40"/>
            </w:pPr>
            <w:r>
              <w:t>29 Sep 2000 p. 5549</w:t>
            </w:r>
          </w:p>
        </w:tc>
        <w:tc>
          <w:tcPr>
            <w:tcW w:w="2693" w:type="dxa"/>
          </w:tcPr>
          <w:p>
            <w:pPr>
              <w:pStyle w:val="nTable"/>
              <w:spacing w:after="40"/>
            </w:pPr>
            <w:r>
              <w:t>30 Sep 2000 (see r. 2 and </w:t>
            </w:r>
            <w:r>
              <w:rPr>
                <w:i/>
              </w:rPr>
              <w:t>Gazette</w:t>
            </w:r>
            <w:r>
              <w:t xml:space="preserve"> 29 Sep 2000 p. 5533)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2001</w:t>
            </w:r>
          </w:p>
        </w:tc>
        <w:tc>
          <w:tcPr>
            <w:tcW w:w="1276" w:type="dxa"/>
          </w:tcPr>
          <w:p>
            <w:pPr>
              <w:pStyle w:val="nTable"/>
              <w:spacing w:after="40"/>
            </w:pPr>
            <w:r>
              <w:t>6 Jul 2001</w:t>
            </w:r>
            <w:r>
              <w:br/>
              <w:t>p. 3415</w:t>
            </w:r>
          </w:p>
        </w:tc>
        <w:tc>
          <w:tcPr>
            <w:tcW w:w="2693" w:type="dxa"/>
          </w:tcPr>
          <w:p>
            <w:pPr>
              <w:pStyle w:val="nTable"/>
              <w:spacing w:after="40"/>
            </w:pPr>
            <w:r>
              <w:t>6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6</w:t>
            </w:r>
          </w:p>
        </w:tc>
        <w:tc>
          <w:tcPr>
            <w:tcW w:w="1276" w:type="dxa"/>
          </w:tcPr>
          <w:p>
            <w:pPr>
              <w:pStyle w:val="nTable"/>
              <w:spacing w:after="40"/>
            </w:pPr>
            <w:r>
              <w:t>17 Jul 2001 p. 3637</w:t>
            </w:r>
            <w:r>
              <w:noBreakHyphen/>
              <w:t>8</w:t>
            </w:r>
          </w:p>
        </w:tc>
        <w:tc>
          <w:tcPr>
            <w:tcW w:w="2693" w:type="dxa"/>
          </w:tcPr>
          <w:p>
            <w:pPr>
              <w:pStyle w:val="nTable"/>
              <w:spacing w:after="40"/>
            </w:pPr>
            <w:r>
              <w:t>17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tcPr>
          <w:p>
            <w:pPr>
              <w:pStyle w:val="nTable"/>
              <w:spacing w:after="40"/>
            </w:pPr>
            <w:r>
              <w:t>28 Sep 2001</w:t>
            </w:r>
            <w:r>
              <w:br/>
              <w:t>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3) 2001</w:t>
            </w:r>
          </w:p>
        </w:tc>
        <w:tc>
          <w:tcPr>
            <w:tcW w:w="1276" w:type="dxa"/>
          </w:tcPr>
          <w:p>
            <w:pPr>
              <w:pStyle w:val="nTable"/>
              <w:spacing w:after="40"/>
            </w:pPr>
            <w:r>
              <w:t>2 Oct 2001</w:t>
            </w:r>
            <w:r>
              <w:br/>
              <w:t>p. 5455</w:t>
            </w:r>
            <w:r>
              <w:noBreakHyphen/>
              <w:t>7</w:t>
            </w:r>
          </w:p>
        </w:tc>
        <w:tc>
          <w:tcPr>
            <w:tcW w:w="2693" w:type="dxa"/>
          </w:tcPr>
          <w:p>
            <w:pPr>
              <w:pStyle w:val="nTable"/>
              <w:spacing w:after="40"/>
            </w:pPr>
            <w:r>
              <w:t>2 Oct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Licensing Amendment Regulations (No. 4) 2001</w:t>
            </w:r>
          </w:p>
        </w:tc>
        <w:tc>
          <w:tcPr>
            <w:tcW w:w="1276" w:type="dxa"/>
          </w:tcPr>
          <w:p>
            <w:pPr>
              <w:pStyle w:val="nTable"/>
              <w:spacing w:after="40"/>
            </w:pPr>
            <w:r>
              <w:t>4 Jan 2002 p. 7</w:t>
            </w:r>
            <w:r>
              <w:noBreakHyphen/>
              <w:t>15</w:t>
            </w:r>
          </w:p>
        </w:tc>
        <w:tc>
          <w:tcPr>
            <w:tcW w:w="2693" w:type="dxa"/>
          </w:tcPr>
          <w:p>
            <w:pPr>
              <w:pStyle w:val="nTable"/>
              <w:spacing w:after="40"/>
            </w:pPr>
            <w:r>
              <w:t xml:space="preserve">7 Jan 2002 (see r. 2 and </w:t>
            </w:r>
            <w:r>
              <w:rPr>
                <w:i/>
              </w:rPr>
              <w:t>Gazette</w:t>
            </w:r>
            <w:r>
              <w:t xml:space="preserve"> 4 Jan 2002 p. 3)</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2002</w:t>
            </w:r>
          </w:p>
        </w:tc>
        <w:tc>
          <w:tcPr>
            <w:tcW w:w="1276" w:type="dxa"/>
          </w:tcPr>
          <w:p>
            <w:pPr>
              <w:pStyle w:val="nTable"/>
              <w:spacing w:after="40"/>
            </w:pPr>
            <w:r>
              <w:t>28 Jun 2002 p. 3105</w:t>
            </w:r>
            <w:r>
              <w:noBreakHyphen/>
              <w:t>6</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2002</w:t>
            </w:r>
          </w:p>
        </w:tc>
        <w:tc>
          <w:tcPr>
            <w:tcW w:w="1276" w:type="dxa"/>
          </w:tcPr>
          <w:p>
            <w:pPr>
              <w:pStyle w:val="nTable"/>
              <w:spacing w:after="40"/>
            </w:pPr>
            <w:r>
              <w:t>22 Oct 2002 p. 5254</w:t>
            </w:r>
            <w:r>
              <w:noBreakHyphen/>
              <w:t>5</w:t>
            </w:r>
          </w:p>
        </w:tc>
        <w:tc>
          <w:tcPr>
            <w:tcW w:w="2693" w:type="dxa"/>
          </w:tcPr>
          <w:p>
            <w:pPr>
              <w:pStyle w:val="nTable"/>
              <w:spacing w:after="40"/>
            </w:pPr>
            <w:r>
              <w:t>22 Oct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Liquor Licensing Amendment Regulations (No. 3) 2002</w:t>
            </w:r>
          </w:p>
        </w:tc>
        <w:tc>
          <w:tcPr>
            <w:tcW w:w="1276" w:type="dxa"/>
          </w:tcPr>
          <w:p>
            <w:pPr>
              <w:pStyle w:val="nTable"/>
              <w:spacing w:after="40"/>
            </w:pPr>
            <w:r>
              <w:t>19 Nov 2002 p. 5515</w:t>
            </w:r>
            <w:r>
              <w:noBreakHyphen/>
              <w:t>16</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2003</w:t>
            </w:r>
          </w:p>
        </w:tc>
        <w:tc>
          <w:tcPr>
            <w:tcW w:w="1276" w:type="dxa"/>
          </w:tcPr>
          <w:p>
            <w:pPr>
              <w:pStyle w:val="nTable"/>
              <w:spacing w:after="40"/>
            </w:pPr>
            <w:r>
              <w:t>28 Feb 2003 p. 676</w:t>
            </w:r>
            <w:r>
              <w:noBreakHyphen/>
              <w:t>7</w:t>
            </w:r>
          </w:p>
        </w:tc>
        <w:tc>
          <w:tcPr>
            <w:tcW w:w="2693" w:type="dxa"/>
          </w:tcPr>
          <w:p>
            <w:pPr>
              <w:pStyle w:val="nTable"/>
              <w:spacing w:after="40"/>
            </w:pPr>
            <w:r>
              <w:t>28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2003</w:t>
            </w:r>
          </w:p>
        </w:tc>
        <w:tc>
          <w:tcPr>
            <w:tcW w:w="1276" w:type="dxa"/>
          </w:tcPr>
          <w:p>
            <w:pPr>
              <w:pStyle w:val="nTable"/>
              <w:spacing w:after="40"/>
            </w:pPr>
            <w:r>
              <w:t>28 Mar 2003 p. 983</w:t>
            </w:r>
            <w:r>
              <w:noBreakHyphen/>
              <w:t>4</w:t>
            </w:r>
          </w:p>
        </w:tc>
        <w:tc>
          <w:tcPr>
            <w:tcW w:w="2693" w:type="dxa"/>
          </w:tcPr>
          <w:p>
            <w:pPr>
              <w:pStyle w:val="nTable"/>
              <w:spacing w:after="40"/>
            </w:pPr>
            <w:r>
              <w:t>28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4) 2003</w:t>
            </w:r>
          </w:p>
        </w:tc>
        <w:tc>
          <w:tcPr>
            <w:tcW w:w="1276" w:type="dxa"/>
          </w:tcPr>
          <w:p>
            <w:pPr>
              <w:pStyle w:val="nTable"/>
              <w:spacing w:after="40"/>
            </w:pPr>
            <w:r>
              <w:t>11 Jul 2003 p. 2741</w:t>
            </w:r>
            <w:r>
              <w:noBreakHyphen/>
              <w:t>2</w:t>
            </w:r>
          </w:p>
        </w:tc>
        <w:tc>
          <w:tcPr>
            <w:tcW w:w="2693" w:type="dxa"/>
          </w:tcPr>
          <w:p>
            <w:pPr>
              <w:pStyle w:val="nTable"/>
              <w:spacing w:after="40"/>
            </w:pPr>
            <w:r>
              <w:t>11 Jul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5) 2003</w:t>
            </w:r>
          </w:p>
        </w:tc>
        <w:tc>
          <w:tcPr>
            <w:tcW w:w="1276" w:type="dxa"/>
          </w:tcPr>
          <w:p>
            <w:pPr>
              <w:pStyle w:val="nTable"/>
              <w:spacing w:after="40"/>
            </w:pPr>
            <w:r>
              <w:t>26 Sep 2003 p. 4223</w:t>
            </w:r>
            <w:r>
              <w:noBreakHyphen/>
              <w:t>4</w:t>
            </w:r>
          </w:p>
        </w:tc>
        <w:tc>
          <w:tcPr>
            <w:tcW w:w="2693" w:type="dxa"/>
          </w:tcPr>
          <w:p>
            <w:pPr>
              <w:pStyle w:val="nTable"/>
              <w:spacing w:after="40"/>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3) 2003</w:t>
            </w:r>
          </w:p>
        </w:tc>
        <w:tc>
          <w:tcPr>
            <w:tcW w:w="1276" w:type="dxa"/>
          </w:tcPr>
          <w:p>
            <w:pPr>
              <w:pStyle w:val="nTable"/>
              <w:spacing w:after="40"/>
            </w:pPr>
            <w:r>
              <w:t>10 Oct 2003 p. 4405</w:t>
            </w:r>
            <w:r>
              <w:noBreakHyphen/>
              <w:t>6</w:t>
            </w:r>
          </w:p>
        </w:tc>
        <w:tc>
          <w:tcPr>
            <w:tcW w:w="2693" w:type="dxa"/>
          </w:tcPr>
          <w:p>
            <w:pPr>
              <w:pStyle w:val="nTable"/>
              <w:spacing w:after="40"/>
            </w:pPr>
            <w:r>
              <w:t xml:space="preserve">10 Oct 2003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6) 2003</w:t>
            </w:r>
          </w:p>
        </w:tc>
        <w:tc>
          <w:tcPr>
            <w:tcW w:w="1276" w:type="dxa"/>
          </w:tcPr>
          <w:p>
            <w:pPr>
              <w:pStyle w:val="nTable"/>
              <w:spacing w:after="40"/>
            </w:pPr>
            <w:r>
              <w:t>28 Oct 2003 p. 4527</w:t>
            </w:r>
            <w:r>
              <w:noBreakHyphen/>
              <w:t>9</w:t>
            </w:r>
          </w:p>
        </w:tc>
        <w:tc>
          <w:tcPr>
            <w:tcW w:w="2693" w:type="dxa"/>
          </w:tcPr>
          <w:p>
            <w:pPr>
              <w:pStyle w:val="nTable"/>
              <w:spacing w:after="40"/>
            </w:pPr>
            <w:r>
              <w:t>28 Oct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Racing and Gambling (Miscellaneous) Amendment Regulations 2004</w:t>
            </w:r>
            <w:r>
              <w:t xml:space="preserve"> Pt. 7</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Liquor Licensing Amendment Regulations 2004</w:t>
            </w:r>
            <w:r>
              <w:t xml:space="preserve"> </w:t>
            </w:r>
            <w:r>
              <w:rPr>
                <w:vertAlign w:val="superscript"/>
              </w:rPr>
              <w:t>7</w:t>
            </w:r>
          </w:p>
        </w:tc>
        <w:tc>
          <w:tcPr>
            <w:tcW w:w="1276" w:type="dxa"/>
          </w:tcPr>
          <w:p>
            <w:pPr>
              <w:pStyle w:val="nTable"/>
              <w:spacing w:after="40"/>
            </w:pPr>
            <w:r>
              <w:t>9 Jul 2004 p. 2773</w:t>
            </w:r>
            <w:r>
              <w:noBreakHyphen/>
              <w:t>7</w:t>
            </w:r>
          </w:p>
        </w:tc>
        <w:tc>
          <w:tcPr>
            <w:tcW w:w="2693" w:type="dxa"/>
          </w:tcPr>
          <w:p>
            <w:pPr>
              <w:pStyle w:val="nTable"/>
              <w:spacing w:after="40"/>
            </w:pPr>
            <w:r>
              <w:t>9 Jul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2004</w:t>
            </w:r>
          </w:p>
        </w:tc>
        <w:tc>
          <w:tcPr>
            <w:tcW w:w="1276" w:type="dxa"/>
          </w:tcPr>
          <w:p>
            <w:pPr>
              <w:pStyle w:val="nTable"/>
              <w:spacing w:after="40"/>
            </w:pPr>
            <w:r>
              <w:t>9 Jul 2004 p. 2778</w:t>
            </w:r>
            <w:r>
              <w:noBreakHyphen/>
              <w:t>80</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3) 2004</w:t>
            </w:r>
          </w:p>
        </w:tc>
        <w:tc>
          <w:tcPr>
            <w:tcW w:w="1276" w:type="dxa"/>
          </w:tcPr>
          <w:p>
            <w:pPr>
              <w:pStyle w:val="nTable"/>
              <w:spacing w:after="40"/>
            </w:pPr>
            <w:r>
              <w:t>10 Aug 2004 p. 3186</w:t>
            </w:r>
          </w:p>
        </w:tc>
        <w:tc>
          <w:tcPr>
            <w:tcW w:w="2693" w:type="dxa"/>
          </w:tcPr>
          <w:p>
            <w:pPr>
              <w:pStyle w:val="nTable"/>
              <w:spacing w:after="40"/>
            </w:pPr>
            <w:r>
              <w:t>10 Aug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6) 2004</w:t>
            </w:r>
          </w:p>
        </w:tc>
        <w:tc>
          <w:tcPr>
            <w:tcW w:w="1276" w:type="dxa"/>
          </w:tcPr>
          <w:p>
            <w:pPr>
              <w:pStyle w:val="nTable"/>
              <w:spacing w:after="40"/>
            </w:pPr>
            <w:r>
              <w:t>30 Nov 2004 p. 5491</w:t>
            </w:r>
          </w:p>
        </w:tc>
        <w:tc>
          <w:tcPr>
            <w:tcW w:w="2693" w:type="dxa"/>
          </w:tcPr>
          <w:p>
            <w:pPr>
              <w:pStyle w:val="nTable"/>
              <w:spacing w:after="40"/>
            </w:pPr>
            <w:r>
              <w:t>30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2005</w:t>
            </w:r>
          </w:p>
        </w:tc>
        <w:tc>
          <w:tcPr>
            <w:tcW w:w="1276" w:type="dxa"/>
          </w:tcPr>
          <w:p>
            <w:pPr>
              <w:pStyle w:val="nTable"/>
              <w:spacing w:after="40"/>
            </w:pPr>
            <w:r>
              <w:t>11 Jan 2005 p. 98</w:t>
            </w:r>
            <w:r>
              <w:noBreakHyphen/>
              <w:t>9</w:t>
            </w:r>
          </w:p>
        </w:tc>
        <w:tc>
          <w:tcPr>
            <w:tcW w:w="2693" w:type="dxa"/>
          </w:tcPr>
          <w:p>
            <w:pPr>
              <w:pStyle w:val="nTable"/>
              <w:spacing w:after="40"/>
            </w:pPr>
            <w:r>
              <w:t>11 Jan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2) 2005</w:t>
            </w:r>
          </w:p>
        </w:tc>
        <w:tc>
          <w:tcPr>
            <w:tcW w:w="1276" w:type="dxa"/>
          </w:tcPr>
          <w:p>
            <w:pPr>
              <w:pStyle w:val="nTable"/>
              <w:spacing w:after="40"/>
            </w:pPr>
            <w:r>
              <w:t>19 Aug 2005 p. 3873</w:t>
            </w:r>
            <w:r>
              <w:noBreakHyphen/>
              <w:t>4</w:t>
            </w:r>
          </w:p>
        </w:tc>
        <w:tc>
          <w:tcPr>
            <w:tcW w:w="2693" w:type="dxa"/>
          </w:tcPr>
          <w:p>
            <w:pPr>
              <w:pStyle w:val="nTable"/>
              <w:spacing w:after="40"/>
            </w:pPr>
            <w:r>
              <w:t>19 Aug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(No. 3) 2005</w:t>
            </w:r>
          </w:p>
        </w:tc>
        <w:tc>
          <w:tcPr>
            <w:tcW w:w="1276" w:type="dxa"/>
          </w:tcPr>
          <w:p>
            <w:pPr>
              <w:pStyle w:val="nTable"/>
              <w:spacing w:after="40"/>
            </w:pPr>
            <w:r>
              <w:t>14 Oct 2005 p. 4564</w:t>
            </w:r>
            <w:r>
              <w:noBreakHyphen/>
              <w:t>6</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Licensing Amendment Regulations 2006</w:t>
            </w:r>
          </w:p>
        </w:tc>
        <w:tc>
          <w:tcPr>
            <w:tcW w:w="1276" w:type="dxa"/>
          </w:tcPr>
          <w:p>
            <w:pPr>
              <w:pStyle w:val="nTable"/>
              <w:spacing w:after="40"/>
            </w:pPr>
            <w:r>
              <w:t>14 Feb 2006 p. 695</w:t>
            </w:r>
            <w:r>
              <w:noBreakHyphen/>
              <w:t>6</w:t>
            </w:r>
          </w:p>
        </w:tc>
        <w:tc>
          <w:tcPr>
            <w:tcW w:w="2693" w:type="dxa"/>
          </w:tcPr>
          <w:p>
            <w:pPr>
              <w:pStyle w:val="nTable"/>
              <w:spacing w:after="40"/>
            </w:pPr>
            <w:r>
              <w:t>14 Feb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Liquor Licensing Amendment Regulations (No. 2) 2006</w:t>
            </w:r>
            <w:r>
              <w:t xml:space="preserve"> </w:t>
            </w:r>
          </w:p>
        </w:tc>
        <w:tc>
          <w:tcPr>
            <w:tcW w:w="1276" w:type="dxa"/>
          </w:tcPr>
          <w:p>
            <w:pPr>
              <w:pStyle w:val="nTable"/>
              <w:spacing w:after="40"/>
            </w:pPr>
            <w:r>
              <w:t>14 Nov 2006 p. 4734</w:t>
            </w:r>
            <w:r>
              <w:noBreakHyphen/>
              <w:t>5</w:t>
            </w:r>
          </w:p>
        </w:tc>
        <w:tc>
          <w:tcPr>
            <w:tcW w:w="2693" w:type="dxa"/>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rPr>
            </w:pPr>
            <w:r>
              <w:rPr>
                <w:i/>
              </w:rPr>
              <w:t>Liquor Licensing Amendment Regulations 2007</w:t>
            </w:r>
          </w:p>
        </w:tc>
        <w:tc>
          <w:tcPr>
            <w:tcW w:w="1276" w:type="dxa"/>
          </w:tcPr>
          <w:p>
            <w:pPr>
              <w:pStyle w:val="nTable"/>
              <w:spacing w:after="40"/>
            </w:pPr>
            <w:r>
              <w:t>1 May 2007 p. 1861</w:t>
            </w:r>
            <w:r>
              <w:noBreakHyphen/>
              <w:t>89</w:t>
            </w:r>
          </w:p>
        </w:tc>
        <w:tc>
          <w:tcPr>
            <w:tcW w:w="2693" w:type="dxa"/>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vertAlign w:val="superscript"/>
              </w:rPr>
            </w:pPr>
            <w:r>
              <w:rPr>
                <w:i/>
              </w:rPr>
              <w:t>Liquor Control Amendment Regulations (No. 2) 2007 </w:t>
            </w:r>
            <w:r>
              <w:rPr>
                <w:vertAlign w:val="superscript"/>
              </w:rPr>
              <w:t>8</w:t>
            </w:r>
          </w:p>
        </w:tc>
        <w:tc>
          <w:tcPr>
            <w:tcW w:w="1276" w:type="dxa"/>
          </w:tcPr>
          <w:p>
            <w:pPr>
              <w:pStyle w:val="nTable"/>
              <w:spacing w:after="40"/>
            </w:pPr>
            <w:r>
              <w:t>28 Sep 2007 p. 4928</w:t>
            </w:r>
            <w:r>
              <w:noBreakHyphen/>
              <w:t>32</w:t>
            </w:r>
          </w:p>
        </w:tc>
        <w:tc>
          <w:tcPr>
            <w:tcW w:w="2693" w:type="dxa"/>
          </w:tcPr>
          <w:p>
            <w:pPr>
              <w:pStyle w:val="nTable"/>
              <w:spacing w:after="40"/>
            </w:pPr>
            <w:r>
              <w:rPr>
                <w:snapToGrid w:val="0"/>
              </w:rPr>
              <w:t>r. 1 and 2: 28 Sep 2007 (see r. 2(a));</w:t>
            </w:r>
            <w:r>
              <w:rPr>
                <w:snapToGrid w:val="0"/>
              </w:rPr>
              <w:br/>
              <w:t>Regulations other than r. 1 and 2: 29 Sep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5) 2007</w:t>
            </w:r>
          </w:p>
        </w:tc>
        <w:tc>
          <w:tcPr>
            <w:tcW w:w="1276" w:type="dxa"/>
          </w:tcPr>
          <w:p>
            <w:pPr>
              <w:pStyle w:val="nTable"/>
              <w:spacing w:after="40"/>
            </w:pPr>
            <w:r>
              <w:t>2 Oct 2007 p. 4974</w:t>
            </w:r>
          </w:p>
        </w:tc>
        <w:tc>
          <w:tcPr>
            <w:tcW w:w="2693" w:type="dxa"/>
          </w:tcPr>
          <w:p>
            <w:pPr>
              <w:pStyle w:val="nTable"/>
              <w:spacing w:after="40"/>
              <w:rPr>
                <w:snapToGrid w:val="0"/>
              </w:rPr>
            </w:pPr>
            <w:r>
              <w:t>r. 1 and 2: 2 Oct 2007 (see r. 2(a));</w:t>
            </w:r>
            <w:r>
              <w:br/>
              <w:t>Regulations other than r. 1 and 2: 3 Oct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Cs/>
              </w:rPr>
            </w:pPr>
            <w:r>
              <w:rPr>
                <w:i/>
              </w:rPr>
              <w:t>Liquor Control Amendment Regulations (No. 3) 2007</w:t>
            </w:r>
          </w:p>
        </w:tc>
        <w:tc>
          <w:tcPr>
            <w:tcW w:w="1276" w:type="dxa"/>
          </w:tcPr>
          <w:p>
            <w:pPr>
              <w:pStyle w:val="nTable"/>
              <w:spacing w:after="40"/>
            </w:pPr>
            <w:r>
              <w:t>9 Oct 2007 p. 5352</w:t>
            </w:r>
            <w:r>
              <w:noBreakHyphen/>
              <w:t>4</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br w:type="page"/>
            </w:r>
            <w:r>
              <w:rPr>
                <w:i/>
              </w:rPr>
              <w:t>Liquor Control Amendment Regulations (No. 2) 2008</w:t>
            </w:r>
          </w:p>
        </w:tc>
        <w:tc>
          <w:tcPr>
            <w:tcW w:w="1276" w:type="dxa"/>
          </w:tcPr>
          <w:p>
            <w:pPr>
              <w:pStyle w:val="nTable"/>
              <w:spacing w:after="40"/>
            </w:pPr>
            <w:r>
              <w:t>22 Apr 2008 p. 1545</w:t>
            </w:r>
          </w:p>
        </w:tc>
        <w:tc>
          <w:tcPr>
            <w:tcW w:w="2693" w:type="dxa"/>
          </w:tcPr>
          <w:p>
            <w:pPr>
              <w:pStyle w:val="nTable"/>
              <w:spacing w:after="40"/>
              <w:rPr>
                <w:snapToGrid w:val="0"/>
              </w:rPr>
            </w:pPr>
            <w:r>
              <w:rPr>
                <w:snapToGrid w:val="0"/>
              </w:rPr>
              <w:t>r. 1 and 2: 22 Apr 2008 (see r. 2(a));</w:t>
            </w:r>
            <w:r>
              <w:rPr>
                <w:snapToGrid w:val="0"/>
              </w:rPr>
              <w:br/>
              <w:t>Regulations other than r. 1 and 2: 23 Apr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2008</w:t>
            </w:r>
          </w:p>
        </w:tc>
        <w:tc>
          <w:tcPr>
            <w:tcW w:w="1276" w:type="dxa"/>
          </w:tcPr>
          <w:p>
            <w:pPr>
              <w:pStyle w:val="nTable"/>
              <w:spacing w:after="40"/>
            </w:pPr>
            <w:r>
              <w:t>2 May 2008 p. 1703</w:t>
            </w:r>
            <w:r>
              <w:noBreakHyphen/>
              <w:t>4</w:t>
            </w:r>
          </w:p>
        </w:tc>
        <w:tc>
          <w:tcPr>
            <w:tcW w:w="2693" w:type="dxa"/>
          </w:tcPr>
          <w:p>
            <w:pPr>
              <w:pStyle w:val="nTable"/>
              <w:spacing w:after="40"/>
              <w:rPr>
                <w:snapToGrid w:val="0"/>
              </w:rPr>
            </w:pPr>
            <w:r>
              <w:rPr>
                <w:snapToGrid w:val="0"/>
              </w:rPr>
              <w:t>r. 1 and 2: 2 May 2008 (see r. 2(a));</w:t>
            </w:r>
            <w:r>
              <w:rPr>
                <w:snapToGrid w:val="0"/>
              </w:rPr>
              <w:br/>
              <w:t>Regulations other than r. 1 and 2: 3 May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br w:type="page"/>
            </w:r>
            <w:r>
              <w:rPr>
                <w:i/>
              </w:rPr>
              <w:t>Liquor Control Amendment Regulations (No. 3) 2008</w:t>
            </w:r>
          </w:p>
        </w:tc>
        <w:tc>
          <w:tcPr>
            <w:tcW w:w="1276" w:type="dxa"/>
          </w:tcPr>
          <w:p>
            <w:pPr>
              <w:pStyle w:val="nTable"/>
              <w:spacing w:after="40"/>
            </w:pPr>
            <w:r>
              <w:t>24 Oct 2008 p. 4682</w:t>
            </w:r>
            <w:r>
              <w:noBreakHyphen/>
              <w:t>5</w:t>
            </w:r>
          </w:p>
        </w:tc>
        <w:tc>
          <w:tcPr>
            <w:tcW w:w="2693" w:type="dxa"/>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rPr>
              <w:t xml:space="preserve">Liquor Control Amendment Regulations (No. 4) 2008 </w:t>
            </w:r>
          </w:p>
        </w:tc>
        <w:tc>
          <w:tcPr>
            <w:tcW w:w="1276" w:type="dxa"/>
          </w:tcPr>
          <w:p>
            <w:pPr>
              <w:pStyle w:val="nTable"/>
              <w:spacing w:after="40"/>
            </w:pPr>
            <w:r>
              <w:t>28 Oct 2008 p. 4729</w:t>
            </w:r>
            <w:r>
              <w:noBreakHyphen/>
              <w:t>31</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lastRenderedPageBreak/>
              <w:t>Liquor Control Amendment Regulations (No. 5) 2008</w:t>
            </w:r>
          </w:p>
        </w:tc>
        <w:tc>
          <w:tcPr>
            <w:tcW w:w="1276" w:type="dxa"/>
          </w:tcPr>
          <w:p>
            <w:pPr>
              <w:pStyle w:val="nTable"/>
              <w:spacing w:after="40"/>
            </w:pPr>
            <w:r>
              <w:t>7 Nov 2008 p. 4821</w:t>
            </w:r>
            <w:r>
              <w:noBreakHyphen/>
              <w:t>2</w:t>
            </w:r>
          </w:p>
        </w:tc>
        <w:tc>
          <w:tcPr>
            <w:tcW w:w="2693" w:type="dxa"/>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8) 2008</w:t>
            </w:r>
          </w:p>
        </w:tc>
        <w:tc>
          <w:tcPr>
            <w:tcW w:w="1276" w:type="dxa"/>
          </w:tcPr>
          <w:p>
            <w:pPr>
              <w:pStyle w:val="nTable"/>
              <w:spacing w:after="40"/>
            </w:pPr>
            <w:r>
              <w:t>6 Feb 2009 p. 247</w:t>
            </w:r>
            <w:r>
              <w:noBreakHyphen/>
              <w:t>8</w:t>
            </w:r>
          </w:p>
        </w:tc>
        <w:tc>
          <w:tcPr>
            <w:tcW w:w="2693" w:type="dxa"/>
          </w:tcPr>
          <w:p>
            <w:pPr>
              <w:pStyle w:val="nTable"/>
              <w:spacing w:after="40"/>
              <w:rPr>
                <w:snapToGrid w:val="0"/>
              </w:rPr>
            </w:pPr>
            <w:r>
              <w:rPr>
                <w:snapToGrid w:val="0"/>
              </w:rPr>
              <w:t>r. 1 and 2: 6 Feb 2009 (see r. 2(a));</w:t>
            </w:r>
            <w:r>
              <w:rPr>
                <w:snapToGrid w:val="0"/>
              </w:rPr>
              <w:br/>
              <w:t>Regulations other than r. 1 and 2: 7 Feb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2009</w:t>
            </w:r>
          </w:p>
        </w:tc>
        <w:tc>
          <w:tcPr>
            <w:tcW w:w="1276" w:type="dxa"/>
          </w:tcPr>
          <w:p>
            <w:pPr>
              <w:pStyle w:val="nTable"/>
              <w:spacing w:after="40"/>
            </w:pPr>
            <w:r>
              <w:t>13 Mar 2009 p. 763</w:t>
            </w:r>
            <w:r>
              <w:noBreakHyphen/>
              <w:t>4</w:t>
            </w:r>
          </w:p>
        </w:tc>
        <w:tc>
          <w:tcPr>
            <w:tcW w:w="2693" w:type="dxa"/>
          </w:tcPr>
          <w:p>
            <w:pPr>
              <w:pStyle w:val="nTable"/>
              <w:spacing w:after="40"/>
              <w:rPr>
                <w:snapToGrid w:val="0"/>
              </w:rPr>
            </w:pPr>
            <w:r>
              <w:rPr>
                <w:snapToGrid w:val="0"/>
              </w:rPr>
              <w:t>r. 1 and 2: 13 Mar 2009 (see r. 2(a));</w:t>
            </w:r>
            <w:r>
              <w:rPr>
                <w:snapToGrid w:val="0"/>
              </w:rPr>
              <w:br/>
              <w:t>Regulations other than r. 1 and 2: 14 Mar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2) 2009</w:t>
            </w:r>
          </w:p>
        </w:tc>
        <w:tc>
          <w:tcPr>
            <w:tcW w:w="1276" w:type="dxa"/>
          </w:tcPr>
          <w:p>
            <w:pPr>
              <w:pStyle w:val="nTable"/>
              <w:spacing w:after="40"/>
            </w:pPr>
            <w:r>
              <w:t>1 May 2009 p. 1437</w:t>
            </w:r>
            <w:r>
              <w:noBreakHyphen/>
              <w:t>8</w:t>
            </w:r>
          </w:p>
        </w:tc>
        <w:tc>
          <w:tcPr>
            <w:tcW w:w="2693" w:type="dxa"/>
          </w:tcPr>
          <w:p>
            <w:pPr>
              <w:pStyle w:val="nTable"/>
              <w:spacing w:after="40"/>
              <w:rPr>
                <w:snapToGrid w:val="0"/>
              </w:rPr>
            </w:pPr>
            <w:r>
              <w:rPr>
                <w:snapToGrid w:val="0"/>
              </w:rPr>
              <w:t>r. 1 and 2: 1 May 2009 (see r. 2(a));</w:t>
            </w:r>
            <w:r>
              <w:rPr>
                <w:snapToGrid w:val="0"/>
              </w:rPr>
              <w:br/>
              <w:t>Regulations other than r. 1 and 2: 2 May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6) 2009</w:t>
            </w:r>
          </w:p>
        </w:tc>
        <w:tc>
          <w:tcPr>
            <w:tcW w:w="1276" w:type="dxa"/>
          </w:tcPr>
          <w:p>
            <w:pPr>
              <w:pStyle w:val="nTable"/>
              <w:spacing w:after="40"/>
            </w:pPr>
            <w:r>
              <w:t>9 Jun 2009 p. 1927</w:t>
            </w:r>
            <w:r>
              <w:noBreakHyphen/>
              <w:t>8</w:t>
            </w:r>
          </w:p>
        </w:tc>
        <w:tc>
          <w:tcPr>
            <w:tcW w:w="2693" w:type="dxa"/>
          </w:tcPr>
          <w:p>
            <w:pPr>
              <w:pStyle w:val="nTable"/>
              <w:spacing w:after="40"/>
              <w:rPr>
                <w:snapToGrid w:val="0"/>
              </w:rPr>
            </w:pPr>
            <w:r>
              <w:rPr>
                <w:snapToGrid w:val="0"/>
              </w:rPr>
              <w:t>r. 1 and 2: 9 Jun 2009 (see r. 2(a));</w:t>
            </w:r>
            <w:r>
              <w:rPr>
                <w:snapToGrid w:val="0"/>
              </w:rPr>
              <w:br/>
              <w:t>Regulations other than r. 1 and 2: 10 Jun 2009 (see r. 2(b)(i))</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8: The </w:t>
            </w:r>
            <w:r>
              <w:rPr>
                <w:b/>
                <w:i/>
              </w:rPr>
              <w:t>Liquor Control Regulations 1989</w:t>
            </w:r>
            <w:r>
              <w:rPr>
                <w:b/>
              </w:rPr>
              <w:t xml:space="preserve"> as at 3 Jul 2009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3) 2009</w:t>
            </w:r>
          </w:p>
        </w:tc>
        <w:tc>
          <w:tcPr>
            <w:tcW w:w="1276" w:type="dxa"/>
          </w:tcPr>
          <w:p>
            <w:pPr>
              <w:pStyle w:val="nTable"/>
              <w:spacing w:after="40"/>
            </w:pPr>
            <w:r>
              <w:t>24 Jul 2009 p. 2949</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Liquor Control Amendment Regulations (No. 4) 2009</w:t>
            </w:r>
          </w:p>
        </w:tc>
        <w:tc>
          <w:tcPr>
            <w:tcW w:w="1276" w:type="dxa"/>
          </w:tcPr>
          <w:p>
            <w:pPr>
              <w:pStyle w:val="nTable"/>
              <w:spacing w:after="40"/>
            </w:pPr>
            <w:r>
              <w:t>24 Jul 2009 p. 2952</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Liquor Control Amendment Regulations (No. 7) 2009</w:t>
            </w:r>
          </w:p>
        </w:tc>
        <w:tc>
          <w:tcPr>
            <w:tcW w:w="1276" w:type="dxa"/>
          </w:tcPr>
          <w:p>
            <w:pPr>
              <w:pStyle w:val="nTable"/>
              <w:spacing w:after="40"/>
            </w:pPr>
            <w:r>
              <w:t>20 Nov 2009 p. 4662</w:t>
            </w:r>
            <w:r>
              <w:noBreakHyphen/>
              <w:t>6</w:t>
            </w:r>
          </w:p>
        </w:tc>
        <w:tc>
          <w:tcPr>
            <w:tcW w:w="2693" w:type="dxa"/>
          </w:tcPr>
          <w:p>
            <w:pPr>
              <w:pStyle w:val="nTable"/>
              <w:spacing w:after="40"/>
            </w:pPr>
            <w:r>
              <w:t>r. 1 and 2: 20 Nov 2009 (see r. 2(a));</w:t>
            </w:r>
            <w: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8) 2009</w:t>
            </w:r>
          </w:p>
        </w:tc>
        <w:tc>
          <w:tcPr>
            <w:tcW w:w="1276" w:type="dxa"/>
          </w:tcPr>
          <w:p>
            <w:pPr>
              <w:pStyle w:val="nTable"/>
              <w:spacing w:after="40"/>
            </w:pPr>
            <w:r>
              <w:t>15 Jan 2010 p. 70</w:t>
            </w:r>
            <w:r>
              <w:noBreakHyphen/>
              <w:t>2</w:t>
            </w:r>
          </w:p>
        </w:tc>
        <w:tc>
          <w:tcPr>
            <w:tcW w:w="2693" w:type="dxa"/>
          </w:tcPr>
          <w:p>
            <w:pPr>
              <w:pStyle w:val="nTable"/>
              <w:spacing w:after="40"/>
            </w:pPr>
            <w:r>
              <w:rPr>
                <w:snapToGrid w:val="0"/>
              </w:rPr>
              <w:t>r. 1 and 2: 15 Jan 2010 (see r. 2(a));</w:t>
            </w:r>
            <w:r>
              <w:rPr>
                <w:snapToGrid w:val="0"/>
              </w:rPr>
              <w:br/>
              <w:t>Regulations other than r. 1 and 2: 16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2010</w:t>
            </w:r>
          </w:p>
        </w:tc>
        <w:tc>
          <w:tcPr>
            <w:tcW w:w="1276" w:type="dxa"/>
          </w:tcPr>
          <w:p>
            <w:pPr>
              <w:pStyle w:val="nTable"/>
              <w:spacing w:after="40"/>
            </w:pPr>
            <w:r>
              <w:t>2 Mar 2010 p. 833</w:t>
            </w:r>
            <w:r>
              <w:noBreakHyphen/>
              <w:t>4</w:t>
            </w:r>
          </w:p>
        </w:tc>
        <w:tc>
          <w:tcPr>
            <w:tcW w:w="2693" w:type="dxa"/>
          </w:tcPr>
          <w:p>
            <w:pPr>
              <w:pStyle w:val="nTable"/>
              <w:spacing w:after="40"/>
              <w:rPr>
                <w:snapToGrid w:val="0"/>
              </w:rPr>
            </w:pPr>
            <w:r>
              <w:rPr>
                <w:snapToGrid w:val="0"/>
              </w:rPr>
              <w:t>r. 1 and 2: 2 Mar 2010 (see r. 2(a));</w:t>
            </w:r>
            <w:r>
              <w:rPr>
                <w:snapToGrid w:val="0"/>
              </w:rPr>
              <w:br/>
              <w:t>Regulations other than r. 1 and 2: 3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Liquor Control Amendment Regulations (No. 2) 2010</w:t>
            </w:r>
          </w:p>
        </w:tc>
        <w:tc>
          <w:tcPr>
            <w:tcW w:w="1276" w:type="dxa"/>
          </w:tcPr>
          <w:p>
            <w:pPr>
              <w:pStyle w:val="nTable"/>
              <w:spacing w:after="40"/>
            </w:pPr>
            <w:r>
              <w:t>28 May 2010 p. 2301</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3) 2010</w:t>
            </w:r>
          </w:p>
        </w:tc>
        <w:tc>
          <w:tcPr>
            <w:tcW w:w="1276" w:type="dxa"/>
          </w:tcPr>
          <w:p>
            <w:pPr>
              <w:pStyle w:val="nTable"/>
              <w:spacing w:after="40"/>
            </w:pPr>
            <w:r>
              <w:t>8 Jun 2010 p. 2619</w:t>
            </w:r>
          </w:p>
        </w:tc>
        <w:tc>
          <w:tcPr>
            <w:tcW w:w="2693" w:type="dxa"/>
          </w:tcPr>
          <w:p>
            <w:pPr>
              <w:pStyle w:val="nTable"/>
              <w:spacing w:after="40"/>
              <w:rPr>
                <w:snapToGrid w:val="0"/>
              </w:rPr>
            </w:pPr>
            <w:r>
              <w:rPr>
                <w:snapToGrid w:val="0"/>
              </w:rPr>
              <w:t>r. 1 and 2: 8 Jun 2010 (see r. 2(a));</w:t>
            </w:r>
            <w:r>
              <w:rPr>
                <w:snapToGrid w:val="0"/>
              </w:rPr>
              <w:br/>
              <w:t>Regulations other than r. 1 and 2: 9 Jun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9: The </w:t>
            </w:r>
            <w:r>
              <w:rPr>
                <w:b/>
                <w:i/>
              </w:rPr>
              <w:t>Liquor Control Regulations 1989</w:t>
            </w:r>
            <w:r>
              <w:rPr>
                <w:b/>
              </w:rPr>
              <w:t xml:space="preserve"> as at 18 Jun 2010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6) 2010</w:t>
            </w:r>
          </w:p>
        </w:tc>
        <w:tc>
          <w:tcPr>
            <w:tcW w:w="1276" w:type="dxa"/>
          </w:tcPr>
          <w:p>
            <w:pPr>
              <w:pStyle w:val="nTable"/>
              <w:spacing w:after="40"/>
            </w:pPr>
            <w:r>
              <w:t>17 Sep 2010 p. 4762</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5) 2010</w:t>
            </w:r>
          </w:p>
        </w:tc>
        <w:tc>
          <w:tcPr>
            <w:tcW w:w="1276" w:type="dxa"/>
          </w:tcPr>
          <w:p>
            <w:pPr>
              <w:pStyle w:val="nTable"/>
              <w:spacing w:after="40"/>
            </w:pPr>
            <w:r>
              <w:t>17 Sep 2010 p. 4765</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7) 2010</w:t>
            </w:r>
          </w:p>
        </w:tc>
        <w:tc>
          <w:tcPr>
            <w:tcW w:w="1276" w:type="dxa"/>
          </w:tcPr>
          <w:p>
            <w:pPr>
              <w:pStyle w:val="nTable"/>
              <w:spacing w:after="40"/>
            </w:pPr>
            <w:r>
              <w:t>17 Sep 2010 p. 4768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4) 2010</w:t>
            </w:r>
          </w:p>
        </w:tc>
        <w:tc>
          <w:tcPr>
            <w:tcW w:w="1276" w:type="dxa"/>
          </w:tcPr>
          <w:p>
            <w:pPr>
              <w:pStyle w:val="nTable"/>
              <w:spacing w:after="40"/>
            </w:pPr>
            <w:r>
              <w:t>22 Oct 2010 p. 5225</w:t>
            </w:r>
            <w:r>
              <w:noBreakHyphen/>
              <w:t>9</w:t>
            </w:r>
          </w:p>
        </w:tc>
        <w:tc>
          <w:tcPr>
            <w:tcW w:w="2693" w:type="dxa"/>
          </w:tcPr>
          <w:p>
            <w:pPr>
              <w:pStyle w:val="nTable"/>
              <w:spacing w:after="40"/>
              <w:rPr>
                <w:snapToGrid w:val="0"/>
              </w:rPr>
            </w:pPr>
            <w:r>
              <w:rPr>
                <w:snapToGrid w:val="0"/>
              </w:rPr>
              <w:t>r. 1 and 2: 22 Oct 2010 (see r. 2(a));</w:t>
            </w:r>
            <w:r>
              <w:rPr>
                <w:snapToGrid w:val="0"/>
              </w:rPr>
              <w:br/>
              <w:t>Regulations other than r. 1 and 2: 23 Oct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Liquor Control Amendment Regulations (No. 10) 2010 </w:t>
            </w:r>
          </w:p>
        </w:tc>
        <w:tc>
          <w:tcPr>
            <w:tcW w:w="1276" w:type="dxa"/>
          </w:tcPr>
          <w:p>
            <w:pPr>
              <w:pStyle w:val="nTable"/>
              <w:spacing w:after="40"/>
            </w:pPr>
            <w:r>
              <w:t>19 Nov 2010 p. 5743</w:t>
            </w:r>
            <w:r>
              <w:noBreakHyphen/>
              <w:t>7</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8) 2010</w:t>
            </w:r>
          </w:p>
        </w:tc>
        <w:tc>
          <w:tcPr>
            <w:tcW w:w="1276" w:type="dxa"/>
          </w:tcPr>
          <w:p>
            <w:pPr>
              <w:pStyle w:val="nTable"/>
              <w:spacing w:after="40"/>
            </w:pPr>
            <w:r>
              <w:t>3 Dec 2010 p. 6059</w:t>
            </w:r>
            <w:r>
              <w:noBreakHyphen/>
              <w:t>60</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9) 2010</w:t>
            </w:r>
          </w:p>
        </w:tc>
        <w:tc>
          <w:tcPr>
            <w:tcW w:w="1276" w:type="dxa"/>
          </w:tcPr>
          <w:p>
            <w:pPr>
              <w:pStyle w:val="nTable"/>
              <w:spacing w:after="40"/>
            </w:pPr>
            <w:r>
              <w:t>3 Dec 2010 p. 6062</w:t>
            </w:r>
            <w:r>
              <w:noBreakHyphen/>
              <w:t>3</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2) 2011</w:t>
            </w:r>
          </w:p>
        </w:tc>
        <w:tc>
          <w:tcPr>
            <w:tcW w:w="1276" w:type="dxa"/>
          </w:tcPr>
          <w:p>
            <w:pPr>
              <w:pStyle w:val="nTable"/>
              <w:spacing w:after="40"/>
            </w:pPr>
            <w:r>
              <w:t>3 May 2011 p. 1600</w:t>
            </w:r>
          </w:p>
        </w:tc>
        <w:tc>
          <w:tcPr>
            <w:tcW w:w="2693" w:type="dxa"/>
          </w:tcPr>
          <w:p>
            <w:pPr>
              <w:pStyle w:val="nTable"/>
              <w:spacing w:after="40"/>
              <w:rPr>
                <w:snapToGrid w:val="0"/>
              </w:rPr>
            </w:pPr>
            <w:r>
              <w:rPr>
                <w:snapToGrid w:val="0"/>
              </w:rPr>
              <w:t>r. 1 and 2: 3 May 2011 (see r. 2(a));</w:t>
            </w:r>
            <w:r>
              <w:rPr>
                <w:snapToGrid w:val="0"/>
              </w:rPr>
              <w:br/>
              <w:t>Regulations other than r. 1 and 2: 4 May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Liquor Control Amendment Regulations 2011</w:t>
            </w:r>
          </w:p>
        </w:tc>
        <w:tc>
          <w:tcPr>
            <w:tcW w:w="1276" w:type="dxa"/>
          </w:tcPr>
          <w:p>
            <w:pPr>
              <w:pStyle w:val="nTable"/>
              <w:spacing w:after="40"/>
            </w:pPr>
            <w:r>
              <w:t>27 May 2011 p. 1931</w:t>
            </w:r>
            <w:r>
              <w:noBreakHyphen/>
              <w:t>2</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7) 2011</w:t>
            </w:r>
          </w:p>
        </w:tc>
        <w:tc>
          <w:tcPr>
            <w:tcW w:w="1276" w:type="dxa"/>
          </w:tcPr>
          <w:p>
            <w:pPr>
              <w:pStyle w:val="nTable"/>
              <w:spacing w:after="40"/>
            </w:pPr>
            <w:r>
              <w:t>27 May 2011 p. 1934</w:t>
            </w:r>
            <w:r>
              <w:noBreakHyphen/>
              <w:t>5</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3) 2011</w:t>
            </w:r>
          </w:p>
        </w:tc>
        <w:tc>
          <w:tcPr>
            <w:tcW w:w="1276" w:type="dxa"/>
          </w:tcPr>
          <w:p>
            <w:pPr>
              <w:pStyle w:val="nTable"/>
              <w:spacing w:after="40"/>
            </w:pPr>
            <w:r>
              <w:t>3 Jun 2011 p. 1994</w:t>
            </w:r>
            <w:r>
              <w:noBreakHyphen/>
              <w:t>2002</w:t>
            </w:r>
          </w:p>
        </w:tc>
        <w:tc>
          <w:tcPr>
            <w:tcW w:w="2693" w:type="dxa"/>
          </w:tcPr>
          <w:p>
            <w:pPr>
              <w:pStyle w:val="nTable"/>
              <w:spacing w:after="40"/>
              <w:rPr>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5) 2011</w:t>
            </w:r>
          </w:p>
        </w:tc>
        <w:tc>
          <w:tcPr>
            <w:tcW w:w="1276" w:type="dxa"/>
          </w:tcPr>
          <w:p>
            <w:pPr>
              <w:pStyle w:val="nTable"/>
              <w:spacing w:after="40"/>
            </w:pPr>
            <w:r>
              <w:t>15 Jul 2011 p. 2955</w:t>
            </w:r>
            <w:r>
              <w:noBreakHyphen/>
              <w:t>66</w:t>
            </w:r>
          </w:p>
        </w:tc>
        <w:tc>
          <w:tcPr>
            <w:tcW w:w="2693" w:type="dxa"/>
          </w:tcPr>
          <w:p>
            <w:pPr>
              <w:pStyle w:val="nTable"/>
              <w:spacing w:after="40"/>
              <w:rPr>
                <w:snapToGrid w:val="0"/>
              </w:rPr>
            </w:pPr>
            <w:r>
              <w:rPr>
                <w:snapToGrid w:val="0"/>
              </w:rPr>
              <w:t>r. 1 and 2: 15 Jul 2011 (see r. 2(a));</w:t>
            </w:r>
            <w:r>
              <w:rPr>
                <w:snapToGrid w:val="0"/>
              </w:rPr>
              <w:br/>
              <w:t>Regulations other than r. 1 and 2: 16 Jul 2011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8) 2011</w:t>
            </w:r>
          </w:p>
        </w:tc>
        <w:tc>
          <w:tcPr>
            <w:tcW w:w="1276" w:type="dxa"/>
          </w:tcPr>
          <w:p>
            <w:pPr>
              <w:pStyle w:val="nTable"/>
              <w:spacing w:after="40"/>
            </w:pPr>
            <w:r>
              <w:t>27 Sep 2011 p. 3847-8</w:t>
            </w:r>
          </w:p>
        </w:tc>
        <w:tc>
          <w:tcPr>
            <w:tcW w:w="2693" w:type="dxa"/>
          </w:tcPr>
          <w:p>
            <w:pPr>
              <w:pStyle w:val="nTable"/>
              <w:spacing w:after="40"/>
              <w:rPr>
                <w:snapToGrid w:val="0"/>
              </w:rPr>
            </w:pPr>
            <w:r>
              <w:rPr>
                <w:snapToGrid w:val="0"/>
              </w:rPr>
              <w:t>r. 1 and 2: 27 Sep 2011 (see r. 2(a));</w:t>
            </w:r>
            <w:r>
              <w:rPr>
                <w:snapToGrid w:val="0"/>
              </w:rPr>
              <w:br/>
              <w:t>Regulations other than r. 1 and 2: 28 Sep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6) 2011</w:t>
            </w:r>
          </w:p>
        </w:tc>
        <w:tc>
          <w:tcPr>
            <w:tcW w:w="1276" w:type="dxa"/>
          </w:tcPr>
          <w:p>
            <w:pPr>
              <w:pStyle w:val="nTable"/>
              <w:spacing w:after="40"/>
            </w:pPr>
            <w:r>
              <w:t>7 Oct 2011 p. 4068-70</w:t>
            </w:r>
          </w:p>
        </w:tc>
        <w:tc>
          <w:tcPr>
            <w:tcW w:w="2693" w:type="dxa"/>
          </w:tcPr>
          <w:p>
            <w:pPr>
              <w:pStyle w:val="nTable"/>
              <w:spacing w:after="40"/>
              <w:rPr>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9) 2011</w:t>
            </w:r>
          </w:p>
        </w:tc>
        <w:tc>
          <w:tcPr>
            <w:tcW w:w="1276" w:type="dxa"/>
          </w:tcPr>
          <w:p>
            <w:pPr>
              <w:pStyle w:val="nTable"/>
              <w:spacing w:after="40"/>
            </w:pPr>
            <w:r>
              <w:t>4 Nov 2011 p. 4640-4</w:t>
            </w:r>
          </w:p>
        </w:tc>
        <w:tc>
          <w:tcPr>
            <w:tcW w:w="2693" w:type="dxa"/>
          </w:tcPr>
          <w:p>
            <w:pPr>
              <w:pStyle w:val="nTable"/>
              <w:spacing w:after="40"/>
              <w:rPr>
                <w:snapToGrid w:val="0"/>
              </w:rPr>
            </w:pPr>
            <w:r>
              <w:rPr>
                <w:snapToGrid w:val="0"/>
              </w:rPr>
              <w:t>r. 1 and 2: 4 Nov 2011 (see r. 2(a));</w:t>
            </w:r>
            <w:r>
              <w:rPr>
                <w:snapToGrid w:val="0"/>
              </w:rPr>
              <w:br/>
              <w:t>Regulations other than r. 1 and 2: 1 Jan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11) 2011</w:t>
            </w:r>
          </w:p>
        </w:tc>
        <w:tc>
          <w:tcPr>
            <w:tcW w:w="1276" w:type="dxa"/>
          </w:tcPr>
          <w:p>
            <w:pPr>
              <w:pStyle w:val="nTable"/>
              <w:spacing w:after="40"/>
            </w:pPr>
            <w:r>
              <w:t>6 Dec 2011 p. 5132</w:t>
            </w:r>
          </w:p>
        </w:tc>
        <w:tc>
          <w:tcPr>
            <w:tcW w:w="2693" w:type="dxa"/>
          </w:tcPr>
          <w:p>
            <w:pPr>
              <w:pStyle w:val="nTable"/>
              <w:spacing w:after="40"/>
              <w:rPr>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Liquor Control Amendment Regulations (No. 10) 2011</w:t>
            </w:r>
            <w:r>
              <w:rPr>
                <w:vertAlign w:val="superscript"/>
              </w:rPr>
              <w:t> 9</w:t>
            </w:r>
          </w:p>
        </w:tc>
        <w:tc>
          <w:tcPr>
            <w:tcW w:w="1276" w:type="dxa"/>
          </w:tcPr>
          <w:p>
            <w:pPr>
              <w:pStyle w:val="nTable"/>
              <w:spacing w:after="40"/>
            </w:pPr>
            <w:r>
              <w:t>6 Jan 2012 p. 48-9</w:t>
            </w:r>
          </w:p>
        </w:tc>
        <w:tc>
          <w:tcPr>
            <w:tcW w:w="2693" w:type="dxa"/>
          </w:tcPr>
          <w:p>
            <w:pPr>
              <w:pStyle w:val="nTable"/>
              <w:spacing w:after="40"/>
              <w:rPr>
                <w:snapToGrid w:val="0"/>
              </w:rPr>
            </w:pPr>
            <w:r>
              <w:rPr>
                <w:snapToGrid w:val="0"/>
              </w:rPr>
              <w:t>r. 1 and 2: 6 Jan 2012 (see r. 2(a));</w:t>
            </w:r>
            <w:r>
              <w:rPr>
                <w:snapToGrid w:val="0"/>
              </w:rPr>
              <w:br/>
              <w:t>Regulations other than r. 1 and 2: 7 Jan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Liquor Control Amendment Regulations (No. 2) 2012</w:t>
            </w:r>
          </w:p>
        </w:tc>
        <w:tc>
          <w:tcPr>
            <w:tcW w:w="1276" w:type="dxa"/>
            <w:shd w:val="clear" w:color="auto" w:fill="auto"/>
          </w:tcPr>
          <w:p>
            <w:pPr>
              <w:pStyle w:val="nTable"/>
              <w:spacing w:after="40"/>
            </w:pPr>
            <w:r>
              <w:t>10 Aug 2012 p. 3810-11</w:t>
            </w:r>
          </w:p>
        </w:tc>
        <w:tc>
          <w:tcPr>
            <w:tcW w:w="2693" w:type="dxa"/>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2012</w:t>
            </w:r>
          </w:p>
        </w:tc>
        <w:tc>
          <w:tcPr>
            <w:tcW w:w="1276" w:type="dxa"/>
            <w:shd w:val="clear" w:color="auto" w:fill="auto"/>
          </w:tcPr>
          <w:p>
            <w:pPr>
              <w:pStyle w:val="nTable"/>
              <w:spacing w:after="40"/>
            </w:pPr>
            <w:r>
              <w:t>4 Sep 2012 p. 4249-50</w:t>
            </w:r>
          </w:p>
        </w:tc>
        <w:tc>
          <w:tcPr>
            <w:tcW w:w="2693" w:type="dxa"/>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2012</w:t>
            </w:r>
          </w:p>
        </w:tc>
        <w:tc>
          <w:tcPr>
            <w:tcW w:w="1276" w:type="dxa"/>
            <w:shd w:val="clear" w:color="auto" w:fill="auto"/>
          </w:tcPr>
          <w:p>
            <w:pPr>
              <w:pStyle w:val="nTable"/>
              <w:spacing w:after="40"/>
            </w:pPr>
            <w:r>
              <w:t>16 Nov 2012 p. 5652-6</w:t>
            </w:r>
          </w:p>
        </w:tc>
        <w:tc>
          <w:tcPr>
            <w:tcW w:w="2693" w:type="dxa"/>
            <w:shd w:val="clear" w:color="auto" w:fill="auto"/>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shd w:val="clear" w:color="auto" w:fill="auto"/>
          </w:tcPr>
          <w:p>
            <w:pPr>
              <w:pStyle w:val="nTable"/>
              <w:spacing w:after="40"/>
            </w:pPr>
            <w:r>
              <w:t>16 Nov 2012 p. 5657</w:t>
            </w:r>
            <w:r>
              <w:noBreakHyphen/>
              <w:t>8</w:t>
            </w:r>
          </w:p>
        </w:tc>
        <w:tc>
          <w:tcPr>
            <w:tcW w:w="2693" w:type="dxa"/>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shd w:val="clear" w:color="auto" w:fill="auto"/>
          </w:tcPr>
          <w:p>
            <w:pPr>
              <w:pStyle w:val="nTable"/>
              <w:spacing w:after="40"/>
            </w:pPr>
            <w:r>
              <w:t>18 Dec 2012 p. 6596-7</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rPr>
              <w:t xml:space="preserve">Reprint 11: The </w:t>
            </w:r>
            <w:r>
              <w:rPr>
                <w:b/>
                <w:i/>
              </w:rPr>
              <w:t>Liquor Control Regulations 1989</w:t>
            </w:r>
            <w:r>
              <w:rPr>
                <w:b/>
              </w:rPr>
              <w:t xml:space="preserve"> as at 11 Jan 2013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shd w:val="clear" w:color="auto" w:fill="auto"/>
          </w:tcPr>
          <w:p>
            <w:pPr>
              <w:pStyle w:val="nTable"/>
              <w:spacing w:after="40"/>
              <w:rPr>
                <w:b/>
              </w:rPr>
            </w:pPr>
            <w:r>
              <w:t>19 Apr 2013 p. 1570</w:t>
            </w:r>
            <w:r>
              <w:noBreakHyphen/>
              <w:t>1</w:t>
            </w:r>
          </w:p>
        </w:tc>
        <w:tc>
          <w:tcPr>
            <w:tcW w:w="2693" w:type="dxa"/>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shd w:val="clear" w:color="auto" w:fill="auto"/>
          </w:tcPr>
          <w:p>
            <w:pPr>
              <w:pStyle w:val="nTable"/>
              <w:spacing w:after="40"/>
            </w:pPr>
            <w:r>
              <w:t>21 May 2013 p. 2014</w:t>
            </w:r>
          </w:p>
        </w:tc>
        <w:tc>
          <w:tcPr>
            <w:tcW w:w="2693" w:type="dxa"/>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shd w:val="clear" w:color="auto" w:fill="auto"/>
          </w:tcPr>
          <w:p>
            <w:pPr>
              <w:pStyle w:val="nTable"/>
              <w:spacing w:after="40"/>
            </w:pPr>
            <w:r>
              <w:t>31 May 2013 p. 2118</w:t>
            </w:r>
            <w:r>
              <w:noBreakHyphen/>
              <w:t>19</w:t>
            </w:r>
          </w:p>
        </w:tc>
        <w:tc>
          <w:tcPr>
            <w:tcW w:w="2693" w:type="dxa"/>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shd w:val="clear" w:color="auto" w:fill="auto"/>
          </w:tcPr>
          <w:p>
            <w:pPr>
              <w:pStyle w:val="nTable"/>
              <w:spacing w:after="40"/>
            </w:pPr>
            <w:r>
              <w:t>28 Jun 2013 p. 2799</w:t>
            </w:r>
          </w:p>
        </w:tc>
        <w:tc>
          <w:tcPr>
            <w:tcW w:w="2693" w:type="dxa"/>
            <w:shd w:val="clear" w:color="auto" w:fill="auto"/>
          </w:tcPr>
          <w:p>
            <w:pPr>
              <w:pStyle w:val="nTable"/>
              <w:spacing w:after="40"/>
              <w:rPr>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Liquor Control Amendment Regulations 2013</w:t>
            </w:r>
          </w:p>
        </w:tc>
        <w:tc>
          <w:tcPr>
            <w:tcW w:w="1276" w:type="dxa"/>
            <w:shd w:val="clear" w:color="auto" w:fill="auto"/>
          </w:tcPr>
          <w:p>
            <w:pPr>
              <w:pStyle w:val="nTable"/>
              <w:spacing w:after="40"/>
            </w:pPr>
            <w:r>
              <w:t>20 Aug 2013 p. 3855</w:t>
            </w:r>
          </w:p>
        </w:tc>
        <w:tc>
          <w:tcPr>
            <w:tcW w:w="2693" w:type="dxa"/>
            <w:shd w:val="clear" w:color="auto" w:fill="auto"/>
          </w:tcPr>
          <w:p>
            <w:pPr>
              <w:pStyle w:val="nTable"/>
              <w:spacing w:after="40"/>
              <w:rPr>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shd w:val="clear" w:color="auto" w:fill="auto"/>
          </w:tcPr>
          <w:p>
            <w:pPr>
              <w:pStyle w:val="nTable"/>
              <w:spacing w:after="40"/>
            </w:pPr>
            <w:r>
              <w:t>20 Sep 2013 p. 4362</w:t>
            </w:r>
          </w:p>
        </w:tc>
        <w:tc>
          <w:tcPr>
            <w:tcW w:w="2693" w:type="dxa"/>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shd w:val="clear" w:color="auto" w:fill="auto"/>
          </w:tcPr>
          <w:p>
            <w:pPr>
              <w:pStyle w:val="nTable"/>
              <w:spacing w:after="40"/>
            </w:pPr>
            <w:r>
              <w:t>8 Nov 2013 p. 4977</w:t>
            </w:r>
            <w:r>
              <w:noBreakHyphen/>
              <w:t>80</w:t>
            </w:r>
          </w:p>
        </w:tc>
        <w:tc>
          <w:tcPr>
            <w:tcW w:w="2693" w:type="dxa"/>
            <w:shd w:val="clear" w:color="auto" w:fill="auto"/>
          </w:tcPr>
          <w:p>
            <w:pPr>
              <w:pStyle w:val="nTable"/>
              <w:spacing w:after="40"/>
              <w:rPr>
                <w:b/>
                <w:bCs/>
                <w:snapToGrid w:val="0"/>
                <w:spacing w:val="-2"/>
              </w:rPr>
            </w:pPr>
            <w:r>
              <w:rPr>
                <w:bCs/>
                <w:snapToGrid w:val="0"/>
              </w:rPr>
              <w:t>r. 1 and 2: 8 Nov 2013 (see r. 2(a));</w:t>
            </w:r>
            <w:r>
              <w:rPr>
                <w:bCs/>
                <w:snapToGrid w:val="0"/>
              </w:rPr>
              <w:br/>
              <w:t xml:space="preserve">Regulations other than r. 1 and 2: </w:t>
            </w:r>
            <w:r>
              <w:t>1 Jan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8) 2013</w:t>
            </w:r>
          </w:p>
        </w:tc>
        <w:tc>
          <w:tcPr>
            <w:tcW w:w="1276" w:type="dxa"/>
            <w:shd w:val="clear" w:color="auto" w:fill="auto"/>
          </w:tcPr>
          <w:p>
            <w:pPr>
              <w:pStyle w:val="nTable"/>
              <w:spacing w:after="40"/>
            </w:pPr>
            <w:r>
              <w:t>6 Dec 2013 p. 5738</w:t>
            </w:r>
            <w:r>
              <w:noBreakHyphen/>
              <w:t>9</w:t>
            </w:r>
          </w:p>
        </w:tc>
        <w:tc>
          <w:tcPr>
            <w:tcW w:w="2693" w:type="dxa"/>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2014</w:t>
            </w:r>
          </w:p>
        </w:tc>
        <w:tc>
          <w:tcPr>
            <w:tcW w:w="1276" w:type="dxa"/>
            <w:shd w:val="clear" w:color="auto" w:fill="auto"/>
          </w:tcPr>
          <w:p>
            <w:pPr>
              <w:pStyle w:val="nTable"/>
              <w:spacing w:after="40"/>
            </w:pPr>
            <w:r>
              <w:t>21 Mar 2014 p. 741-2</w:t>
            </w:r>
          </w:p>
        </w:tc>
        <w:tc>
          <w:tcPr>
            <w:tcW w:w="2693" w:type="dxa"/>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shd w:val="clear" w:color="auto" w:fill="auto"/>
          </w:tcPr>
          <w:p>
            <w:pPr>
              <w:pStyle w:val="nTable"/>
              <w:spacing w:after="40"/>
            </w:pPr>
            <w:r>
              <w:t>17 Jun 2014 p. 2000</w:t>
            </w:r>
            <w:r>
              <w:noBreakHyphen/>
              <w:t>1</w:t>
            </w:r>
          </w:p>
        </w:tc>
        <w:tc>
          <w:tcPr>
            <w:tcW w:w="2693" w:type="dxa"/>
            <w:shd w:val="clear" w:color="auto" w:fill="auto"/>
          </w:tcPr>
          <w:p>
            <w:pPr>
              <w:pStyle w:val="nTable"/>
              <w:spacing w:after="40"/>
              <w:rPr>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shd w:val="clear" w:color="auto" w:fill="auto"/>
          </w:tcPr>
          <w:p>
            <w:pPr>
              <w:pStyle w:val="nTable"/>
              <w:spacing w:after="40"/>
            </w:pPr>
            <w:r>
              <w:t>27 Jun 2014 p. 2354-5</w:t>
            </w:r>
          </w:p>
        </w:tc>
        <w:tc>
          <w:tcPr>
            <w:tcW w:w="2693" w:type="dxa"/>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shd w:val="clear" w:color="auto" w:fill="auto"/>
          </w:tcPr>
          <w:p>
            <w:pPr>
              <w:pStyle w:val="nTable"/>
              <w:spacing w:after="40"/>
            </w:pPr>
            <w:r>
              <w:t>1 Jul 2014 p. 2345</w:t>
            </w:r>
          </w:p>
        </w:tc>
        <w:tc>
          <w:tcPr>
            <w:tcW w:w="2693" w:type="dxa"/>
            <w:shd w:val="clear" w:color="auto" w:fill="auto"/>
          </w:tcPr>
          <w:p>
            <w:pPr>
              <w:pStyle w:val="nTable"/>
              <w:spacing w:after="40"/>
              <w:rPr>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Liquor Control Amendment Regulations (No. 6) 2014</w:t>
            </w:r>
          </w:p>
        </w:tc>
        <w:tc>
          <w:tcPr>
            <w:tcW w:w="1276" w:type="dxa"/>
            <w:shd w:val="clear" w:color="auto" w:fill="auto"/>
          </w:tcPr>
          <w:p>
            <w:pPr>
              <w:pStyle w:val="nTable"/>
              <w:spacing w:after="40"/>
            </w:pPr>
            <w:r>
              <w:t>14 Nov 2014 p. 4284</w:t>
            </w:r>
            <w:r>
              <w:noBreakHyphen/>
              <w:t>6</w:t>
            </w:r>
          </w:p>
        </w:tc>
        <w:tc>
          <w:tcPr>
            <w:tcW w:w="2693" w:type="dxa"/>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Liquor Control Amendment Regulations (No. 5) 2014</w:t>
            </w:r>
          </w:p>
        </w:tc>
        <w:tc>
          <w:tcPr>
            <w:tcW w:w="1276" w:type="dxa"/>
            <w:shd w:val="clear" w:color="auto" w:fill="auto"/>
          </w:tcPr>
          <w:p>
            <w:pPr>
              <w:pStyle w:val="nTable"/>
              <w:spacing w:after="40"/>
            </w:pPr>
            <w:r>
              <w:t>8 Jan 2015 p. 147</w:t>
            </w:r>
          </w:p>
        </w:tc>
        <w:tc>
          <w:tcPr>
            <w:tcW w:w="2693" w:type="dxa"/>
            <w:shd w:val="clear" w:color="auto" w:fill="auto"/>
          </w:tcPr>
          <w:p>
            <w:pPr>
              <w:pStyle w:val="nTable"/>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rPr>
              <w:t xml:space="preserve">Reprint </w:t>
            </w:r>
            <w:r>
              <w:rPr>
                <w:b/>
                <w:bCs/>
                <w:snapToGrid w:val="0"/>
                <w:spacing w:val="-2"/>
              </w:rPr>
              <w:t>13</w:t>
            </w:r>
            <w:r>
              <w:rPr>
                <w:b/>
                <w:bCs/>
                <w:snapToGrid w:val="0"/>
              </w:rPr>
              <w:t xml:space="preserve">: The </w:t>
            </w:r>
            <w:r>
              <w:rPr>
                <w:b/>
                <w:bCs/>
                <w:i/>
                <w:noProof/>
                <w:snapToGrid w:val="0"/>
                <w:spacing w:val="-2"/>
              </w:rPr>
              <w:t>Liquor Control Regulations 1989</w:t>
            </w:r>
            <w:r>
              <w:rPr>
                <w:b/>
                <w:bCs/>
                <w:snapToGrid w:val="0"/>
              </w:rPr>
              <w:t xml:space="preserve"> as at </w:t>
            </w:r>
            <w:r>
              <w:rPr>
                <w:b/>
                <w:bCs/>
                <w:snapToGrid w:val="0"/>
                <w:spacing w:val="-2"/>
              </w:rPr>
              <w:t>5 Jun 2015</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2015</w:t>
            </w:r>
          </w:p>
        </w:tc>
        <w:tc>
          <w:tcPr>
            <w:tcW w:w="1276" w:type="dxa"/>
            <w:shd w:val="clear" w:color="auto" w:fill="auto"/>
          </w:tcPr>
          <w:p>
            <w:pPr>
              <w:pStyle w:val="nTable"/>
              <w:spacing w:after="40"/>
            </w:pPr>
            <w:r>
              <w:t>7 Aug 2015 p. 3206</w:t>
            </w:r>
            <w:r>
              <w:noBreakHyphen/>
              <w:t>7</w:t>
            </w:r>
          </w:p>
        </w:tc>
        <w:tc>
          <w:tcPr>
            <w:tcW w:w="2693" w:type="dxa"/>
            <w:shd w:val="clear" w:color="auto" w:fill="auto"/>
          </w:tcPr>
          <w:p>
            <w:pPr>
              <w:pStyle w:val="nTable"/>
              <w:spacing w:after="40"/>
              <w:rPr>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rPr>
                <w:bCs/>
                <w:snapToGrid w:val="0"/>
                <w:spacing w:val="-2"/>
              </w:rPr>
            </w:pPr>
            <w:r>
              <w:rPr>
                <w:bCs/>
                <w:snapToGrid w:val="0"/>
                <w:spacing w:val="-2"/>
              </w:rPr>
              <w:t>1 Jan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2015</w:t>
            </w:r>
          </w:p>
        </w:tc>
        <w:tc>
          <w:tcPr>
            <w:tcW w:w="1276" w:type="dxa"/>
            <w:shd w:val="clear" w:color="auto" w:fill="auto"/>
          </w:tcPr>
          <w:p>
            <w:pPr>
              <w:pStyle w:val="nTable"/>
              <w:spacing w:after="40"/>
            </w:pPr>
            <w:r>
              <w:t>1 Dec 2015 p. 4821-3</w:t>
            </w:r>
          </w:p>
        </w:tc>
        <w:tc>
          <w:tcPr>
            <w:tcW w:w="2693"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2016</w:t>
            </w:r>
          </w:p>
        </w:tc>
        <w:tc>
          <w:tcPr>
            <w:tcW w:w="1276" w:type="dxa"/>
            <w:shd w:val="clear" w:color="auto" w:fill="auto"/>
          </w:tcPr>
          <w:p>
            <w:pPr>
              <w:pStyle w:val="nTable"/>
              <w:spacing w:after="40"/>
            </w:pPr>
            <w:r>
              <w:t>4 Mar 2016 p. 630</w:t>
            </w:r>
          </w:p>
        </w:tc>
        <w:tc>
          <w:tcPr>
            <w:tcW w:w="2693"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2016</w:t>
            </w:r>
          </w:p>
        </w:tc>
        <w:tc>
          <w:tcPr>
            <w:tcW w:w="1276" w:type="dxa"/>
            <w:shd w:val="clear" w:color="auto" w:fill="auto"/>
          </w:tcPr>
          <w:p>
            <w:pPr>
              <w:pStyle w:val="nTable"/>
              <w:spacing w:after="40"/>
            </w:pPr>
            <w:r>
              <w:t>8 Apr 2016 p. 1100-1</w:t>
            </w:r>
          </w:p>
        </w:tc>
        <w:tc>
          <w:tcPr>
            <w:tcW w:w="2693" w:type="dxa"/>
            <w:shd w:val="clear" w:color="auto" w:fill="auto"/>
          </w:tcPr>
          <w:p>
            <w:pPr>
              <w:pStyle w:val="nTable"/>
              <w:spacing w:after="40"/>
              <w:rPr>
                <w:bCs/>
                <w:snapToGrid w:val="0"/>
                <w:spacing w:val="-2"/>
              </w:rPr>
            </w:pPr>
            <w:r>
              <w:rPr>
                <w:bCs/>
                <w:snapToGrid w:val="0"/>
                <w:spacing w:val="-2"/>
              </w:rPr>
              <w:t>r. 1 and 2: 8 Apr 2016 (see r. 2(a));</w:t>
            </w:r>
            <w:r>
              <w:rPr>
                <w:bCs/>
                <w:snapToGrid w:val="0"/>
                <w:spacing w:val="-2"/>
              </w:rPr>
              <w:br/>
              <w:t xml:space="preserve">Regulations other than r. 1 and 2: 9 Apr 2016 (see r. 2(b) and </w:t>
            </w:r>
            <w:r>
              <w:rPr>
                <w:bCs/>
                <w:i/>
                <w:snapToGrid w:val="0"/>
                <w:spacing w:val="-2"/>
              </w:rPr>
              <w:t>Gazette</w:t>
            </w:r>
            <w:r>
              <w:rPr>
                <w:bCs/>
                <w:snapToGrid w:val="0"/>
                <w:spacing w:val="-2"/>
              </w:rPr>
              <w:t xml:space="preserve"> 8 Apr 2016 p. 1099)</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5) 2016</w:t>
            </w:r>
          </w:p>
        </w:tc>
        <w:tc>
          <w:tcPr>
            <w:tcW w:w="1276" w:type="dxa"/>
            <w:shd w:val="clear" w:color="auto" w:fill="auto"/>
          </w:tcPr>
          <w:p>
            <w:pPr>
              <w:pStyle w:val="nTable"/>
              <w:spacing w:after="40"/>
            </w:pPr>
            <w:r>
              <w:t>24 Jun 2016 p. 2340</w:t>
            </w:r>
            <w:r>
              <w:noBreakHyphen/>
              <w:t>1</w:t>
            </w:r>
          </w:p>
        </w:tc>
        <w:tc>
          <w:tcPr>
            <w:tcW w:w="2693" w:type="dxa"/>
            <w:shd w:val="clear" w:color="auto" w:fill="auto"/>
          </w:tcPr>
          <w:p>
            <w:pPr>
              <w:pStyle w:val="nTable"/>
              <w:spacing w:after="40"/>
              <w:rPr>
                <w:bCs/>
                <w:snapToGrid w:val="0"/>
                <w:spacing w:val="-2"/>
              </w:rPr>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2016</w:t>
            </w:r>
          </w:p>
        </w:tc>
        <w:tc>
          <w:tcPr>
            <w:tcW w:w="1276" w:type="dxa"/>
            <w:shd w:val="clear" w:color="auto" w:fill="auto"/>
          </w:tcPr>
          <w:p>
            <w:pPr>
              <w:pStyle w:val="nTable"/>
              <w:spacing w:after="40"/>
            </w:pPr>
            <w:r>
              <w:t>26 Jul 2016 p. 3153-4</w:t>
            </w:r>
          </w:p>
        </w:tc>
        <w:tc>
          <w:tcPr>
            <w:tcW w:w="2693" w:type="dxa"/>
            <w:shd w:val="clear" w:color="auto" w:fill="auto"/>
          </w:tcPr>
          <w:p>
            <w:pPr>
              <w:pStyle w:val="nTable"/>
              <w:spacing w:after="40"/>
              <w:rPr>
                <w:bCs/>
                <w:snapToGrid w:val="0"/>
                <w:spacing w:val="-2"/>
              </w:rPr>
            </w:pPr>
            <w:r>
              <w:rPr>
                <w:bCs/>
                <w:snapToGrid w:val="0"/>
                <w:spacing w:val="-2"/>
              </w:rPr>
              <w:t>r. 1 and 2: 26 Jul 2016 (see r. 2(a));</w:t>
            </w:r>
            <w:r>
              <w:rPr>
                <w:bCs/>
                <w:snapToGrid w:val="0"/>
                <w:spacing w:val="-2"/>
              </w:rPr>
              <w:br/>
              <w:t>Regulations other than r. 1, 2 and 4(2): 27 Jul 2016 (see r. 2(b));</w:t>
            </w:r>
            <w:r>
              <w:rPr>
                <w:bCs/>
                <w:snapToGrid w:val="0"/>
                <w:spacing w:val="-2"/>
              </w:rPr>
              <w:br/>
              <w:t xml:space="preserve">r. 4(2): 1 Aug 2016 (see r. 2(c) and </w:t>
            </w:r>
            <w:r>
              <w:rPr>
                <w:bCs/>
                <w:i/>
                <w:snapToGrid w:val="0"/>
                <w:spacing w:val="-2"/>
              </w:rPr>
              <w:t xml:space="preserve">Gazette </w:t>
            </w:r>
            <w:r>
              <w:rPr>
                <w:bCs/>
                <w:snapToGrid w:val="0"/>
                <w:spacing w:val="-2"/>
              </w:rPr>
              <w:t>26 Jul 2016 p. 3167)</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4) 2016</w:t>
            </w:r>
          </w:p>
        </w:tc>
        <w:tc>
          <w:tcPr>
            <w:tcW w:w="1276" w:type="dxa"/>
            <w:shd w:val="clear" w:color="auto" w:fill="auto"/>
          </w:tcPr>
          <w:p>
            <w:pPr>
              <w:pStyle w:val="nTable"/>
              <w:spacing w:after="40"/>
            </w:pPr>
            <w:r>
              <w:t>6 Sep 2016 p. 3828-9</w:t>
            </w:r>
          </w:p>
        </w:tc>
        <w:tc>
          <w:tcPr>
            <w:tcW w:w="2693" w:type="dxa"/>
            <w:shd w:val="clear" w:color="auto" w:fill="auto"/>
          </w:tcPr>
          <w:p>
            <w:pPr>
              <w:pStyle w:val="nTable"/>
              <w:spacing w:after="40"/>
              <w:rPr>
                <w:bCs/>
                <w:snapToGrid w:val="0"/>
                <w:spacing w:val="-2"/>
              </w:rPr>
            </w:pPr>
            <w:r>
              <w:rPr>
                <w:bCs/>
                <w:snapToGrid w:val="0"/>
                <w:spacing w:val="-2"/>
              </w:rPr>
              <w:t>r. 1 and 2: 6 Sep 2016 (see r. 2(a));</w:t>
            </w:r>
            <w:r>
              <w:rPr>
                <w:bCs/>
                <w:snapToGrid w:val="0"/>
                <w:spacing w:val="-2"/>
              </w:rPr>
              <w:br/>
              <w:t>Regulations other than r. 1 and 2: 7 Sep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Liquor Control Amendment Regulations (No. 7) 2016</w:t>
            </w:r>
          </w:p>
        </w:tc>
        <w:tc>
          <w:tcPr>
            <w:tcW w:w="1276" w:type="dxa"/>
            <w:shd w:val="clear" w:color="auto" w:fill="auto"/>
          </w:tcPr>
          <w:p>
            <w:pPr>
              <w:pStyle w:val="nTable"/>
              <w:spacing w:after="40"/>
            </w:pPr>
            <w:r>
              <w:t>6 Sep 2016 p. 3830-1</w:t>
            </w:r>
          </w:p>
        </w:tc>
        <w:tc>
          <w:tcPr>
            <w:tcW w:w="2693" w:type="dxa"/>
            <w:shd w:val="clear" w:color="auto" w:fill="auto"/>
          </w:tcPr>
          <w:p>
            <w:pPr>
              <w:pStyle w:val="nTable"/>
              <w:spacing w:after="40"/>
              <w:rPr>
                <w:bCs/>
                <w:snapToGrid w:val="0"/>
                <w:spacing w:val="-2"/>
              </w:rPr>
            </w:pPr>
            <w:r>
              <w:rPr>
                <w:bCs/>
                <w:snapToGrid w:val="0"/>
                <w:spacing w:val="-2"/>
              </w:rPr>
              <w:t>r. 1 and 2: 6 Sep 2016 (see r. 2(a));</w:t>
            </w:r>
            <w:r>
              <w:rPr>
                <w:bCs/>
                <w:snapToGrid w:val="0"/>
                <w:spacing w:val="-2"/>
              </w:rPr>
              <w:br/>
              <w:t>Regulations other than r. 1 and 2: 7 Sep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Racing, Gaming and Liquor Regulations Amendment (Fees and Charges) Regulations 2016</w:t>
            </w:r>
            <w:r>
              <w:t xml:space="preserve"> Pt. 6</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bCs/>
                <w:snapToGrid w:val="0"/>
                <w:spacing w:val="-2"/>
              </w:rPr>
            </w:pPr>
            <w:r>
              <w:t>1 Jan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2017</w:t>
            </w:r>
          </w:p>
        </w:tc>
        <w:tc>
          <w:tcPr>
            <w:tcW w:w="1276" w:type="dxa"/>
            <w:shd w:val="clear" w:color="auto" w:fill="auto"/>
          </w:tcPr>
          <w:p>
            <w:pPr>
              <w:pStyle w:val="nTable"/>
              <w:spacing w:after="40"/>
            </w:pPr>
            <w:r>
              <w:t>10 Jan 2017 p. 140</w:t>
            </w:r>
            <w:r>
              <w:noBreakHyphen/>
              <w:t>6</w:t>
            </w:r>
          </w:p>
        </w:tc>
        <w:tc>
          <w:tcPr>
            <w:tcW w:w="2693" w:type="dxa"/>
            <w:shd w:val="clear" w:color="auto" w:fill="auto"/>
          </w:tcPr>
          <w:p>
            <w:pPr>
              <w:pStyle w:val="nTable"/>
              <w:spacing w:after="40"/>
              <w:rPr>
                <w:bCs/>
                <w:snapToGrid w:val="0"/>
                <w:spacing w:val="-2"/>
              </w:rPr>
            </w:pPr>
            <w:r>
              <w:rPr>
                <w:bCs/>
                <w:snapToGrid w:val="0"/>
                <w:spacing w:val="-2"/>
              </w:rPr>
              <w:t>r. 1 and 2: 10 Jan 2017 (see r. 2(a));</w:t>
            </w:r>
            <w:r>
              <w:rPr>
                <w:bCs/>
                <w:snapToGrid w:val="0"/>
                <w:spacing w:val="-2"/>
              </w:rPr>
              <w:br/>
              <w:t>Regulations other than r. 1 and 2: 11 Jan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2) 2017</w:t>
            </w:r>
          </w:p>
        </w:tc>
        <w:tc>
          <w:tcPr>
            <w:tcW w:w="1276" w:type="dxa"/>
            <w:shd w:val="clear" w:color="auto" w:fill="auto"/>
          </w:tcPr>
          <w:p>
            <w:pPr>
              <w:pStyle w:val="nTable"/>
              <w:spacing w:after="40"/>
            </w:pPr>
            <w:r>
              <w:t>3 Feb 2017 p. 1114</w:t>
            </w:r>
            <w:r>
              <w:noBreakHyphen/>
              <w:t>15</w:t>
            </w:r>
          </w:p>
        </w:tc>
        <w:tc>
          <w:tcPr>
            <w:tcW w:w="2693" w:type="dxa"/>
            <w:shd w:val="clear" w:color="auto" w:fill="auto"/>
          </w:tcPr>
          <w:p>
            <w:pPr>
              <w:pStyle w:val="nTable"/>
              <w:spacing w:after="40"/>
              <w:rPr>
                <w:bCs/>
                <w:snapToGrid w:val="0"/>
                <w:spacing w:val="-2"/>
              </w:rPr>
            </w:pPr>
            <w:r>
              <w:rPr>
                <w:bCs/>
                <w:snapToGrid w:val="0"/>
                <w:spacing w:val="-2"/>
              </w:rPr>
              <w:t xml:space="preserve">r. 1 and 2: </w:t>
            </w:r>
            <w:r>
              <w:t>3 Feb 2017</w:t>
            </w:r>
            <w:r>
              <w:rPr>
                <w:bCs/>
                <w:snapToGrid w:val="0"/>
                <w:spacing w:val="-2"/>
              </w:rPr>
              <w:t xml:space="preserve"> (see r. 2(a));</w:t>
            </w:r>
            <w:r>
              <w:rPr>
                <w:bCs/>
                <w:snapToGrid w:val="0"/>
                <w:spacing w:val="-2"/>
              </w:rPr>
              <w:br/>
              <w:t>Regulations other than r. 1 and 2: 4</w:t>
            </w:r>
            <w:r>
              <w:t> Feb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spacing w:val="-2"/>
              </w:rPr>
              <w:t xml:space="preserve">Reprint 14: The </w:t>
            </w:r>
            <w:r>
              <w:rPr>
                <w:b/>
                <w:bCs/>
                <w:i/>
                <w:noProof/>
                <w:snapToGrid w:val="0"/>
                <w:spacing w:val="-2"/>
              </w:rPr>
              <w:t>Liquor Control Regulations 1989</w:t>
            </w:r>
            <w:r>
              <w:rPr>
                <w:b/>
                <w:bCs/>
                <w:snapToGrid w:val="0"/>
                <w:spacing w:val="-2"/>
              </w:rPr>
              <w:t xml:space="preserve"> as at 5 May 2017</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4) 2017</w:t>
            </w:r>
          </w:p>
        </w:tc>
        <w:tc>
          <w:tcPr>
            <w:tcW w:w="1276" w:type="dxa"/>
            <w:shd w:val="clear" w:color="auto" w:fill="auto"/>
          </w:tcPr>
          <w:p>
            <w:pPr>
              <w:pStyle w:val="nTable"/>
              <w:spacing w:after="40"/>
            </w:pPr>
            <w:r>
              <w:t>18 Aug 2017 p. 4457</w:t>
            </w:r>
          </w:p>
        </w:tc>
        <w:tc>
          <w:tcPr>
            <w:tcW w:w="2693" w:type="dxa"/>
            <w:shd w:val="clear" w:color="auto" w:fill="auto"/>
          </w:tcPr>
          <w:p>
            <w:pPr>
              <w:pStyle w:val="nTable"/>
              <w:spacing w:after="40"/>
              <w:rPr>
                <w:bCs/>
                <w:snapToGrid w:val="0"/>
                <w:spacing w:val="-2"/>
              </w:rPr>
            </w:pPr>
            <w:r>
              <w:rPr>
                <w:bCs/>
                <w:snapToGrid w:val="0"/>
                <w:spacing w:val="-2"/>
              </w:rPr>
              <w:t>r. 1 and 2: 18</w:t>
            </w:r>
            <w:r>
              <w:t> Aug 2017</w:t>
            </w:r>
            <w:r>
              <w:rPr>
                <w:bCs/>
                <w:snapToGrid w:val="0"/>
                <w:spacing w:val="-2"/>
              </w:rPr>
              <w:t xml:space="preserve"> (see r. 2(a));</w:t>
            </w:r>
            <w:r>
              <w:rPr>
                <w:bCs/>
                <w:snapToGrid w:val="0"/>
                <w:spacing w:val="-2"/>
              </w:rPr>
              <w:br/>
              <w:t>Regulations other than r. 1 and 2: 19</w:t>
            </w:r>
            <w:r>
              <w:t> Aug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3) 2017</w:t>
            </w:r>
          </w:p>
        </w:tc>
        <w:tc>
          <w:tcPr>
            <w:tcW w:w="1276" w:type="dxa"/>
            <w:shd w:val="clear" w:color="auto" w:fill="auto"/>
          </w:tcPr>
          <w:p>
            <w:pPr>
              <w:pStyle w:val="nTable"/>
              <w:spacing w:after="40"/>
            </w:pPr>
            <w:r>
              <w:t>12 Sep 2017 p. 4735</w:t>
            </w:r>
            <w:r>
              <w:noBreakHyphen/>
              <w:t>6</w:t>
            </w:r>
          </w:p>
        </w:tc>
        <w:tc>
          <w:tcPr>
            <w:tcW w:w="2693" w:type="dxa"/>
            <w:shd w:val="clear" w:color="auto" w:fill="auto"/>
          </w:tcPr>
          <w:p>
            <w:pPr>
              <w:pStyle w:val="nTable"/>
              <w:spacing w:after="40"/>
              <w:rPr>
                <w:bCs/>
                <w:snapToGrid w:val="0"/>
                <w:spacing w:val="-2"/>
              </w:rPr>
            </w:pPr>
            <w:r>
              <w:rPr>
                <w:bCs/>
                <w:snapToGrid w:val="0"/>
                <w:spacing w:val="-2"/>
              </w:rPr>
              <w:t>r. 1 and 2: 12 Sep 2017 (see r. 2(a));</w:t>
            </w:r>
            <w:r>
              <w:rPr>
                <w:bCs/>
                <w:snapToGrid w:val="0"/>
                <w:spacing w:val="-2"/>
              </w:rPr>
              <w:br/>
              <w:t>Regulations other than r. 1 and 2: 10 Oct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5) 2017</w:t>
            </w:r>
          </w:p>
        </w:tc>
        <w:tc>
          <w:tcPr>
            <w:tcW w:w="1276" w:type="dxa"/>
            <w:shd w:val="clear" w:color="auto" w:fill="auto"/>
          </w:tcPr>
          <w:p>
            <w:pPr>
              <w:pStyle w:val="nTable"/>
              <w:spacing w:after="40"/>
            </w:pPr>
            <w:r>
              <w:t>3 Oct 2017 p. 5049</w:t>
            </w:r>
            <w:r>
              <w:noBreakHyphen/>
              <w:t>50</w:t>
            </w:r>
          </w:p>
        </w:tc>
        <w:tc>
          <w:tcPr>
            <w:tcW w:w="2693" w:type="dxa"/>
            <w:shd w:val="clear" w:color="auto" w:fill="auto"/>
          </w:tcPr>
          <w:p>
            <w:pPr>
              <w:pStyle w:val="nTable"/>
              <w:spacing w:after="40"/>
              <w:rPr>
                <w:bCs/>
                <w:snapToGrid w:val="0"/>
                <w:spacing w:val="-2"/>
              </w:rPr>
            </w:pPr>
            <w:r>
              <w:rPr>
                <w:bCs/>
                <w:snapToGrid w:val="0"/>
                <w:spacing w:val="-2"/>
              </w:rPr>
              <w:t>r. 1 and 2: 3</w:t>
            </w:r>
            <w:r>
              <w:t> Oct 2017</w:t>
            </w:r>
            <w:r>
              <w:rPr>
                <w:bCs/>
                <w:snapToGrid w:val="0"/>
                <w:spacing w:val="-2"/>
              </w:rPr>
              <w:t xml:space="preserve"> (see r. 2(a));</w:t>
            </w:r>
            <w:r>
              <w:rPr>
                <w:bCs/>
                <w:snapToGrid w:val="0"/>
                <w:spacing w:val="-2"/>
              </w:rPr>
              <w:br/>
              <w:t>Regulations other than r. 1 and 2: 4</w:t>
            </w:r>
            <w:r>
              <w:t> Oct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(No. 6) 2017</w:t>
            </w:r>
          </w:p>
        </w:tc>
        <w:tc>
          <w:tcPr>
            <w:tcW w:w="1276" w:type="dxa"/>
            <w:shd w:val="clear" w:color="auto" w:fill="auto"/>
          </w:tcPr>
          <w:p>
            <w:pPr>
              <w:pStyle w:val="nTable"/>
              <w:spacing w:after="40"/>
            </w:pPr>
            <w:r>
              <w:t>8 Dec 2017 p. 5849</w:t>
            </w:r>
            <w:r>
              <w:noBreakHyphen/>
              <w:t>50</w:t>
            </w:r>
          </w:p>
        </w:tc>
        <w:tc>
          <w:tcPr>
            <w:tcW w:w="2693" w:type="dxa"/>
            <w:shd w:val="clear" w:color="auto" w:fill="auto"/>
          </w:tcPr>
          <w:p>
            <w:pPr>
              <w:pStyle w:val="nTable"/>
              <w:spacing w:after="40"/>
              <w:rPr>
                <w:bCs/>
                <w:snapToGrid w:val="0"/>
                <w:spacing w:val="-2"/>
              </w:rPr>
            </w:pPr>
            <w:r>
              <w:rPr>
                <w:bCs/>
                <w:snapToGrid w:val="0"/>
                <w:spacing w:val="-2"/>
              </w:rPr>
              <w:t>r. 1 and 2: 8 Dec 2017 (see r. 2(a));</w:t>
            </w:r>
            <w:r>
              <w:rPr>
                <w:bCs/>
                <w:snapToGrid w:val="0"/>
                <w:spacing w:val="-2"/>
              </w:rPr>
              <w:br/>
              <w:t>Regulations other than r. 1 and 2: 9 Dec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Racing, Gaming and Liquor Regulations Amendment (Fees and Charges) Regulations 2017</w:t>
            </w:r>
            <w:r>
              <w:t xml:space="preserve"> Pt. 6</w:t>
            </w:r>
          </w:p>
        </w:tc>
        <w:tc>
          <w:tcPr>
            <w:tcW w:w="1276" w:type="dxa"/>
            <w:shd w:val="clear" w:color="auto" w:fill="auto"/>
          </w:tcPr>
          <w:p>
            <w:pPr>
              <w:pStyle w:val="nTable"/>
              <w:spacing w:after="40"/>
            </w:pPr>
            <w:r>
              <w:t>10 Nov 2017 p. 5579</w:t>
            </w:r>
            <w:r>
              <w:noBreakHyphen/>
              <w:t>94</w:t>
            </w:r>
          </w:p>
        </w:tc>
        <w:tc>
          <w:tcPr>
            <w:tcW w:w="2693" w:type="dxa"/>
            <w:shd w:val="clear" w:color="auto" w:fill="auto"/>
          </w:tcPr>
          <w:p>
            <w:pPr>
              <w:pStyle w:val="nTable"/>
              <w:spacing w:after="40"/>
              <w:rPr>
                <w:bCs/>
                <w:snapToGrid w:val="0"/>
                <w:spacing w:val="-2"/>
              </w:rPr>
            </w:pPr>
            <w:r>
              <w:t>1 Jan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Liquor Control Amendment Regulations 2018</w:t>
            </w:r>
          </w:p>
        </w:tc>
        <w:tc>
          <w:tcPr>
            <w:tcW w:w="1276" w:type="dxa"/>
            <w:shd w:val="clear" w:color="auto" w:fill="auto"/>
          </w:tcPr>
          <w:p>
            <w:pPr>
              <w:pStyle w:val="nTable"/>
              <w:spacing w:after="40"/>
            </w:pPr>
            <w:r>
              <w:t>19 Jan 2018 p. 231</w:t>
            </w:r>
            <w:r>
              <w:noBreakHyphen/>
              <w:t>2</w:t>
            </w:r>
          </w:p>
        </w:tc>
        <w:tc>
          <w:tcPr>
            <w:tcW w:w="2693" w:type="dxa"/>
            <w:shd w:val="clear" w:color="auto" w:fill="auto"/>
          </w:tcPr>
          <w:p>
            <w:pPr>
              <w:pStyle w:val="nTable"/>
              <w:spacing w:after="40"/>
            </w:pPr>
            <w:r>
              <w:rPr>
                <w:bCs/>
                <w:snapToGrid w:val="0"/>
                <w:spacing w:val="-2"/>
              </w:rPr>
              <w:t>r. 1 and 2: 19 Jan 2018 (see r. 2(a));</w:t>
            </w:r>
            <w:r>
              <w:rPr>
                <w:bCs/>
                <w:snapToGrid w:val="0"/>
                <w:spacing w:val="-2"/>
              </w:rPr>
              <w:br/>
              <w:t>Regulations other than r. 1 and 2: 20 Jan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lastRenderedPageBreak/>
              <w:t>Liquor Control (Kalumburu Restricted Area) Regulations 2018</w:t>
            </w:r>
            <w:r>
              <w:t xml:space="preserve"> Pt. 5</w:t>
            </w:r>
          </w:p>
        </w:tc>
        <w:tc>
          <w:tcPr>
            <w:tcW w:w="1276" w:type="dxa"/>
            <w:shd w:val="clear" w:color="auto" w:fill="auto"/>
          </w:tcPr>
          <w:p>
            <w:pPr>
              <w:pStyle w:val="nTable"/>
              <w:spacing w:after="40"/>
            </w:pPr>
            <w:r>
              <w:t>2 Mar 2018 p. 669</w:t>
            </w:r>
            <w:r>
              <w:noBreakHyphen/>
              <w:t>72</w:t>
            </w:r>
          </w:p>
        </w:tc>
        <w:tc>
          <w:tcPr>
            <w:tcW w:w="2693" w:type="dxa"/>
            <w:shd w:val="clear" w:color="auto" w:fill="auto"/>
          </w:tcPr>
          <w:p>
            <w:pPr>
              <w:pStyle w:val="nTable"/>
              <w:spacing w:after="40"/>
              <w:rPr>
                <w:bCs/>
                <w:snapToGrid w:val="0"/>
                <w:spacing w:val="-2"/>
              </w:rPr>
            </w:pPr>
            <w:r>
              <w:rPr>
                <w:bCs/>
                <w:snapToGrid w:val="0"/>
                <w:spacing w:val="-2"/>
              </w:rPr>
              <w:t>3 Mar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Liquor Control (Parnngurr Restricted Area) Regulations 2018</w:t>
            </w:r>
            <w:r>
              <w:t xml:space="preserve"> Pt. 5</w:t>
            </w:r>
          </w:p>
        </w:tc>
        <w:tc>
          <w:tcPr>
            <w:tcW w:w="1276" w:type="dxa"/>
            <w:shd w:val="clear" w:color="auto" w:fill="auto"/>
          </w:tcPr>
          <w:p>
            <w:pPr>
              <w:pStyle w:val="nTable"/>
              <w:spacing w:after="40"/>
            </w:pPr>
            <w:r>
              <w:t>6 Jul 2018 p. 2546</w:t>
            </w:r>
            <w:r>
              <w:noBreakHyphen/>
              <w:t>8</w:t>
            </w:r>
          </w:p>
        </w:tc>
        <w:tc>
          <w:tcPr>
            <w:tcW w:w="2693" w:type="dxa"/>
            <w:shd w:val="clear" w:color="auto" w:fill="auto"/>
          </w:tcPr>
          <w:p>
            <w:pPr>
              <w:pStyle w:val="nTable"/>
              <w:spacing w:after="40"/>
              <w:rPr>
                <w:bCs/>
                <w:snapToGrid w:val="0"/>
                <w:spacing w:val="-2"/>
              </w:rPr>
            </w:pPr>
            <w:r>
              <w:rPr>
                <w:bCs/>
                <w:snapToGrid w:val="0"/>
                <w:spacing w:val="-2"/>
              </w:rPr>
              <w:t>7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Liquor Control Amendment Regulations (No. 2) 2018</w:t>
            </w:r>
          </w:p>
        </w:tc>
        <w:tc>
          <w:tcPr>
            <w:tcW w:w="1276" w:type="dxa"/>
            <w:shd w:val="clear" w:color="auto" w:fill="auto"/>
          </w:tcPr>
          <w:p>
            <w:pPr>
              <w:pStyle w:val="nTable"/>
              <w:spacing w:after="40"/>
            </w:pPr>
            <w:r>
              <w:t>20 Jul 2018 p. 2631</w:t>
            </w:r>
            <w:r>
              <w:noBreakHyphen/>
              <w:t>2</w:t>
            </w:r>
          </w:p>
        </w:tc>
        <w:tc>
          <w:tcPr>
            <w:tcW w:w="2693" w:type="dxa"/>
            <w:shd w:val="clear" w:color="auto" w:fill="auto"/>
          </w:tcPr>
          <w:p>
            <w:pPr>
              <w:pStyle w:val="nTable"/>
              <w:spacing w:after="40"/>
              <w:rPr>
                <w:bCs/>
                <w:snapToGrid w:val="0"/>
              </w:rPr>
            </w:pPr>
            <w:r>
              <w:rPr>
                <w:bCs/>
                <w:snapToGrid w:val="0"/>
              </w:rPr>
              <w:t>r. 1 and 2: 20 Jul 2018 (see r. 2(a));</w:t>
            </w:r>
            <w:r>
              <w:rPr>
                <w:bCs/>
                <w:snapToGrid w:val="0"/>
              </w:rPr>
              <w:br/>
              <w:t>Regulations other than r. 1 and 2: 21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Racing, Gaming and Liquor Regulations Amendment (Fees and Charges) Regulations 2018</w:t>
            </w:r>
            <w:r>
              <w:t xml:space="preserve"> Pt. 6</w:t>
            </w:r>
          </w:p>
        </w:tc>
        <w:tc>
          <w:tcPr>
            <w:tcW w:w="1276" w:type="dxa"/>
            <w:shd w:val="clear" w:color="auto" w:fill="auto"/>
          </w:tcPr>
          <w:p>
            <w:pPr>
              <w:pStyle w:val="nTable"/>
              <w:spacing w:after="40"/>
            </w:pPr>
            <w:r>
              <w:t>7 Sep 2018 p. 3192-200</w:t>
            </w:r>
          </w:p>
        </w:tc>
        <w:tc>
          <w:tcPr>
            <w:tcW w:w="2693" w:type="dxa"/>
            <w:shd w:val="clear" w:color="auto" w:fill="auto"/>
          </w:tcPr>
          <w:p>
            <w:pPr>
              <w:pStyle w:val="nTable"/>
              <w:spacing w:after="40"/>
              <w:rPr>
                <w:bCs/>
                <w:snapToGrid w:val="0"/>
              </w:rPr>
            </w:pPr>
            <w:r>
              <w:t>1 Jan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Liquor Control (Ngurrawaana Restricted Area) Regulations 2018</w:t>
            </w:r>
            <w:r>
              <w:t xml:space="preserve"> Pt. 5</w:t>
            </w:r>
          </w:p>
        </w:tc>
        <w:tc>
          <w:tcPr>
            <w:tcW w:w="1276" w:type="dxa"/>
            <w:shd w:val="clear" w:color="auto" w:fill="auto"/>
          </w:tcPr>
          <w:p>
            <w:pPr>
              <w:pStyle w:val="nTable"/>
              <w:spacing w:after="40"/>
            </w:pPr>
            <w:r>
              <w:t>14 Sep 2018 p. 3317</w:t>
            </w:r>
            <w:r>
              <w:noBreakHyphen/>
              <w:t>19</w:t>
            </w:r>
          </w:p>
        </w:tc>
        <w:tc>
          <w:tcPr>
            <w:tcW w:w="2693" w:type="dxa"/>
            <w:shd w:val="clear" w:color="auto" w:fill="auto"/>
          </w:tcPr>
          <w:p>
            <w:pPr>
              <w:pStyle w:val="nTable"/>
              <w:spacing w:after="40"/>
              <w:rPr>
                <w:bCs/>
                <w:snapToGrid w:val="0"/>
              </w:rPr>
            </w:pPr>
            <w:r>
              <w:rPr>
                <w:bCs/>
                <w:snapToGrid w:val="0"/>
              </w:rPr>
              <w:t>15 Sep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 xml:space="preserve">Liquor Control Amendment Regulations (No. 3) 2018 </w:t>
            </w:r>
          </w:p>
        </w:tc>
        <w:tc>
          <w:tcPr>
            <w:tcW w:w="1276" w:type="dxa"/>
            <w:shd w:val="clear" w:color="auto" w:fill="auto"/>
          </w:tcPr>
          <w:p>
            <w:pPr>
              <w:pStyle w:val="nTable"/>
              <w:spacing w:after="40"/>
            </w:pPr>
            <w:r>
              <w:t>2 Oct 2018 p. 3798</w:t>
            </w:r>
            <w:r>
              <w:noBreakHyphen/>
              <w:t>802</w:t>
            </w:r>
          </w:p>
        </w:tc>
        <w:tc>
          <w:tcPr>
            <w:tcW w:w="2693" w:type="dxa"/>
            <w:shd w:val="clear" w:color="auto" w:fill="auto"/>
          </w:tcPr>
          <w:p>
            <w:pPr>
              <w:pStyle w:val="nTable"/>
              <w:spacing w:after="40"/>
              <w:rPr>
                <w:bCs/>
                <w:snapToGrid w:val="0"/>
              </w:rPr>
            </w:pPr>
            <w:r>
              <w:rPr>
                <w:bCs/>
                <w:snapToGrid w:val="0"/>
              </w:rPr>
              <w:t>r. 1 and 2: 2 Oct 2018 (see r. 2(a));</w:t>
            </w:r>
            <w:r>
              <w:rPr>
                <w:bCs/>
                <w:snapToGrid w:val="0"/>
              </w:rPr>
              <w:br/>
              <w:t xml:space="preserve">Regulations other than r. 1, 2, </w:t>
            </w:r>
            <w:r>
              <w:t>15(2) and (4)</w:t>
            </w:r>
            <w:r>
              <w:rPr>
                <w:bCs/>
                <w:snapToGrid w:val="0"/>
              </w:rPr>
              <w:t xml:space="preserve">: 3 Oct 2018 (see r. 2(c) and </w:t>
            </w:r>
            <w:r>
              <w:rPr>
                <w:bCs/>
                <w:i/>
                <w:snapToGrid w:val="0"/>
              </w:rPr>
              <w:t xml:space="preserve">Gazette </w:t>
            </w:r>
            <w:r>
              <w:rPr>
                <w:bCs/>
                <w:snapToGrid w:val="0"/>
              </w:rPr>
              <w:t>2 Oct 2018 p. 3779);</w:t>
            </w:r>
            <w:r>
              <w:rPr>
                <w:bCs/>
                <w:snapToGrid w:val="0"/>
              </w:rPr>
              <w:br/>
              <w:t>r. 15(2) and (4): 1 Jan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Liquor Control (Wakathuni Restricted Area) Regulations 2019</w:t>
            </w:r>
            <w:r>
              <w:t xml:space="preserve"> Pt. 5</w:t>
            </w:r>
          </w:p>
        </w:tc>
        <w:tc>
          <w:tcPr>
            <w:tcW w:w="1276" w:type="dxa"/>
            <w:shd w:val="clear" w:color="auto" w:fill="auto"/>
          </w:tcPr>
          <w:p>
            <w:pPr>
              <w:pStyle w:val="nTable"/>
              <w:spacing w:after="40"/>
            </w:pPr>
            <w:r>
              <w:t>14 Jun 2019 p. 1898-900</w:t>
            </w:r>
          </w:p>
        </w:tc>
        <w:tc>
          <w:tcPr>
            <w:tcW w:w="2693" w:type="dxa"/>
            <w:shd w:val="clear" w:color="auto" w:fill="auto"/>
          </w:tcPr>
          <w:p>
            <w:pPr>
              <w:pStyle w:val="nTable"/>
              <w:spacing w:after="40"/>
              <w:rPr>
                <w:bCs/>
                <w:snapToGrid w:val="0"/>
              </w:rPr>
            </w:pPr>
            <w:r>
              <w:rPr>
                <w:bCs/>
                <w:snapToGrid w:val="0"/>
              </w:rPr>
              <w:t>15 Jun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Liquor Control Amendment Regulations 2019</w:t>
            </w:r>
          </w:p>
        </w:tc>
        <w:tc>
          <w:tcPr>
            <w:tcW w:w="1276" w:type="dxa"/>
            <w:shd w:val="clear" w:color="auto" w:fill="auto"/>
          </w:tcPr>
          <w:p>
            <w:pPr>
              <w:pStyle w:val="nTable"/>
              <w:spacing w:after="40"/>
            </w:pPr>
            <w:r>
              <w:t>28 Jun 2019 p. 2491</w:t>
            </w:r>
            <w:r>
              <w:noBreakHyphen/>
              <w:t>2</w:t>
            </w:r>
          </w:p>
        </w:tc>
        <w:tc>
          <w:tcPr>
            <w:tcW w:w="2693" w:type="dxa"/>
            <w:shd w:val="clear" w:color="auto" w:fill="auto"/>
          </w:tcPr>
          <w:p>
            <w:pPr>
              <w:pStyle w:val="nTable"/>
              <w:spacing w:after="40"/>
              <w:rPr>
                <w:bCs/>
                <w:snapToGrid w:val="0"/>
              </w:rPr>
            </w:pPr>
            <w:r>
              <w:rPr>
                <w:bCs/>
                <w:snapToGrid w:val="0"/>
                <w:spacing w:val="-2"/>
              </w:rPr>
              <w:t xml:space="preserve">r. 1 and 2: </w:t>
            </w:r>
            <w:r>
              <w:t>28 Jun 2019</w:t>
            </w:r>
            <w:r>
              <w:rPr>
                <w:bCs/>
                <w:snapToGrid w:val="0"/>
                <w:spacing w:val="-2"/>
              </w:rPr>
              <w:t xml:space="preserve"> (see r. 2(a));</w:t>
            </w:r>
            <w:r>
              <w:rPr>
                <w:bCs/>
                <w:snapToGrid w:val="0"/>
                <w:spacing w:val="-2"/>
              </w:rPr>
              <w:br/>
              <w:t xml:space="preserve">Regulations other than r. 1 and 2: 2 Jul 2019 (see r. 2(b) and </w:t>
            </w:r>
            <w:r>
              <w:rPr>
                <w:bCs/>
                <w:i/>
                <w:snapToGrid w:val="0"/>
                <w:spacing w:val="-2"/>
              </w:rPr>
              <w:t>Gazette</w:t>
            </w:r>
            <w:r>
              <w:rPr>
                <w:bCs/>
                <w:snapToGrid w:val="0"/>
                <w:spacing w:val="-2"/>
              </w:rPr>
              <w:t xml:space="preserve"> 28 Jun 2019 p. 2473)</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Liquor Control Amendment Regulations (No. 2) 2019</w:t>
            </w:r>
            <w:r>
              <w:t xml:space="preserve"> </w:t>
            </w:r>
          </w:p>
        </w:tc>
        <w:tc>
          <w:tcPr>
            <w:tcW w:w="1276" w:type="dxa"/>
            <w:shd w:val="clear" w:color="auto" w:fill="auto"/>
          </w:tcPr>
          <w:p>
            <w:pPr>
              <w:pStyle w:val="nTable"/>
              <w:spacing w:after="40"/>
            </w:pPr>
            <w:r>
              <w:t>1 Nov 2019 p. 3858</w:t>
            </w:r>
            <w:r>
              <w:noBreakHyphen/>
              <w:t>9</w:t>
            </w:r>
          </w:p>
        </w:tc>
        <w:tc>
          <w:tcPr>
            <w:tcW w:w="2693" w:type="dxa"/>
            <w:shd w:val="clear" w:color="auto" w:fill="auto"/>
          </w:tcPr>
          <w:p>
            <w:pPr>
              <w:pStyle w:val="nTable"/>
              <w:spacing w:after="40"/>
              <w:rPr>
                <w:bCs/>
                <w:snapToGrid w:val="0"/>
                <w:spacing w:val="-2"/>
              </w:rPr>
            </w:pPr>
            <w:r>
              <w:rPr>
                <w:bCs/>
                <w:snapToGrid w:val="0"/>
                <w:spacing w:val="-2"/>
              </w:rPr>
              <w:t xml:space="preserve">r. 1 and 2: </w:t>
            </w:r>
            <w:r>
              <w:t>1 Nov 2019</w:t>
            </w:r>
            <w:r>
              <w:rPr>
                <w:bCs/>
                <w:snapToGrid w:val="0"/>
                <w:spacing w:val="-2"/>
              </w:rPr>
              <w:t xml:space="preserve"> (see r. 2(a));</w:t>
            </w:r>
            <w:r>
              <w:rPr>
                <w:bCs/>
                <w:snapToGrid w:val="0"/>
                <w:spacing w:val="-2"/>
              </w:rPr>
              <w:br/>
              <w:t xml:space="preserve">Regulations other than r. 1 and 2: 2 Nov 2019 (see r. 2(b) and </w:t>
            </w:r>
            <w:r>
              <w:rPr>
                <w:bCs/>
                <w:i/>
                <w:snapToGrid w:val="0"/>
                <w:spacing w:val="-2"/>
              </w:rPr>
              <w:t>Gazette</w:t>
            </w:r>
            <w:r>
              <w:rPr>
                <w:bCs/>
                <w:snapToGrid w:val="0"/>
                <w:spacing w:val="-2"/>
              </w:rPr>
              <w:t xml:space="preserve"> 1 Nov 2019 p. 3857)</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 xml:space="preserve">Liquor Control (Jarlmadangah Burru Restricted Area) Regulations 2019 </w:t>
            </w:r>
            <w:r>
              <w:t>Pt. 5</w:t>
            </w:r>
          </w:p>
        </w:tc>
        <w:tc>
          <w:tcPr>
            <w:tcW w:w="1276" w:type="dxa"/>
            <w:shd w:val="clear" w:color="auto" w:fill="auto"/>
          </w:tcPr>
          <w:p>
            <w:pPr>
              <w:pStyle w:val="nTable"/>
              <w:spacing w:after="40"/>
            </w:pPr>
            <w:r>
              <w:t>13 Dec 2019 p. 4241-3</w:t>
            </w:r>
          </w:p>
        </w:tc>
        <w:tc>
          <w:tcPr>
            <w:tcW w:w="2693" w:type="dxa"/>
            <w:shd w:val="clear" w:color="auto" w:fill="auto"/>
          </w:tcPr>
          <w:p>
            <w:pPr>
              <w:pStyle w:val="nTable"/>
              <w:spacing w:after="40"/>
            </w:pPr>
            <w:r>
              <w:t>14 Dec 2019 (see r. 2(b))</w:t>
            </w:r>
          </w:p>
        </w:tc>
      </w:tr>
      <w:tr>
        <w:tc>
          <w:tcPr>
            <w:tcW w:w="3119" w:type="dxa"/>
            <w:tcBorders>
              <w:top w:val="nil"/>
              <w:bottom w:val="nil"/>
            </w:tcBorders>
            <w:shd w:val="clear" w:color="auto" w:fill="auto"/>
          </w:tcPr>
          <w:p>
            <w:pPr>
              <w:pStyle w:val="nTable"/>
              <w:spacing w:after="40"/>
              <w:rPr>
                <w:i/>
              </w:rPr>
            </w:pPr>
            <w:r>
              <w:rPr>
                <w:i/>
              </w:rPr>
              <w:t>Racing, Gaming and Liquor Regulations Amendment (Fees and Charges) Regulations 2019</w:t>
            </w:r>
            <w:r>
              <w:t xml:space="preserve"> Pt. 6</w:t>
            </w:r>
          </w:p>
        </w:tc>
        <w:tc>
          <w:tcPr>
            <w:tcW w:w="1276" w:type="dxa"/>
            <w:tcBorders>
              <w:top w:val="nil"/>
              <w:bottom w:val="nil"/>
            </w:tcBorders>
            <w:shd w:val="clear" w:color="auto" w:fill="auto"/>
          </w:tcPr>
          <w:p>
            <w:pPr>
              <w:pStyle w:val="nTable"/>
              <w:spacing w:after="40"/>
            </w:pPr>
            <w:r>
              <w:t>22 Oct 2019 p. 3720</w:t>
            </w:r>
            <w:r>
              <w:noBreakHyphen/>
              <w:t>9</w:t>
            </w:r>
          </w:p>
        </w:tc>
        <w:tc>
          <w:tcPr>
            <w:tcW w:w="2693" w:type="dxa"/>
            <w:tcBorders>
              <w:top w:val="nil"/>
              <w:bottom w:val="nil"/>
            </w:tcBorders>
            <w:shd w:val="clear" w:color="auto" w:fill="auto"/>
          </w:tcPr>
          <w:p>
            <w:pPr>
              <w:pStyle w:val="nTable"/>
              <w:spacing w:after="40"/>
              <w:rPr>
                <w:bCs/>
                <w:snapToGrid w:val="0"/>
                <w:spacing w:val="-2"/>
              </w:rPr>
            </w:pPr>
            <w:r>
              <w:t>1 Jan 2020 (see r. 2(b))</w:t>
            </w:r>
          </w:p>
        </w:tc>
      </w:tr>
      <w:tr>
        <w:tc>
          <w:tcPr>
            <w:tcW w:w="3119" w:type="dxa"/>
            <w:tcBorders>
              <w:top w:val="nil"/>
              <w:bottom w:val="nil"/>
            </w:tcBorders>
            <w:shd w:val="clear" w:color="auto" w:fill="auto"/>
          </w:tcPr>
          <w:p>
            <w:pPr>
              <w:pStyle w:val="nTable"/>
              <w:keepNext/>
              <w:spacing w:after="40"/>
            </w:pPr>
            <w:r>
              <w:rPr>
                <w:i/>
              </w:rPr>
              <w:lastRenderedPageBreak/>
              <w:t>Liquor Control (Parnpajinya Restricted Area) Regulations 2020</w:t>
            </w:r>
            <w:r>
              <w:t xml:space="preserve"> Pt. 5</w:t>
            </w:r>
          </w:p>
        </w:tc>
        <w:tc>
          <w:tcPr>
            <w:tcW w:w="1276" w:type="dxa"/>
            <w:tcBorders>
              <w:top w:val="nil"/>
              <w:bottom w:val="nil"/>
            </w:tcBorders>
            <w:shd w:val="clear" w:color="auto" w:fill="auto"/>
          </w:tcPr>
          <w:p>
            <w:pPr>
              <w:pStyle w:val="nTable"/>
              <w:keepNext/>
              <w:spacing w:after="40"/>
            </w:pPr>
            <w:r>
              <w:t>SL 2020/81 19 Jun 2020</w:t>
            </w:r>
          </w:p>
        </w:tc>
        <w:tc>
          <w:tcPr>
            <w:tcW w:w="2693" w:type="dxa"/>
            <w:tcBorders>
              <w:top w:val="nil"/>
              <w:bottom w:val="nil"/>
            </w:tcBorders>
            <w:shd w:val="clear" w:color="auto" w:fill="auto"/>
          </w:tcPr>
          <w:p>
            <w:pPr>
              <w:pStyle w:val="nTable"/>
              <w:keepNext/>
              <w:spacing w:after="40"/>
            </w:pPr>
            <w:r>
              <w:t>20 Jun 2020 (see r. 2(b))</w:t>
            </w:r>
          </w:p>
        </w:tc>
      </w:tr>
      <w:tr>
        <w:tc>
          <w:tcPr>
            <w:tcW w:w="3119" w:type="dxa"/>
            <w:tcBorders>
              <w:top w:val="nil"/>
              <w:bottom w:val="nil"/>
            </w:tcBorders>
            <w:shd w:val="clear" w:color="auto" w:fill="auto"/>
          </w:tcPr>
          <w:p>
            <w:pPr>
              <w:pStyle w:val="nTable"/>
              <w:keepNext/>
              <w:spacing w:after="40"/>
            </w:pPr>
            <w:r>
              <w:rPr>
                <w:i/>
              </w:rPr>
              <w:t>Liquor Control (Kadjina Restricted Area) Regulations 2020</w:t>
            </w:r>
            <w:r>
              <w:t xml:space="preserve"> Pt. 5</w:t>
            </w:r>
          </w:p>
        </w:tc>
        <w:tc>
          <w:tcPr>
            <w:tcW w:w="1276" w:type="dxa"/>
            <w:tcBorders>
              <w:top w:val="nil"/>
              <w:bottom w:val="nil"/>
            </w:tcBorders>
            <w:shd w:val="clear" w:color="auto" w:fill="auto"/>
          </w:tcPr>
          <w:p>
            <w:pPr>
              <w:pStyle w:val="nTable"/>
              <w:keepNext/>
              <w:spacing w:after="40"/>
            </w:pPr>
            <w:r>
              <w:t>SL 2020/218 6 Nov 2020</w:t>
            </w:r>
          </w:p>
        </w:tc>
        <w:tc>
          <w:tcPr>
            <w:tcW w:w="2693" w:type="dxa"/>
            <w:tcBorders>
              <w:top w:val="nil"/>
              <w:bottom w:val="nil"/>
            </w:tcBorders>
            <w:shd w:val="clear" w:color="auto" w:fill="auto"/>
          </w:tcPr>
          <w:p>
            <w:pPr>
              <w:pStyle w:val="nTable"/>
              <w:keepNext/>
              <w:spacing w:after="40"/>
            </w:pPr>
            <w:r>
              <w:t>7 Nov 2020 (see r. 2(b))</w:t>
            </w:r>
          </w:p>
        </w:tc>
      </w:tr>
      <w:tr>
        <w:tc>
          <w:tcPr>
            <w:tcW w:w="3119" w:type="dxa"/>
            <w:tcBorders>
              <w:top w:val="nil"/>
              <w:bottom w:val="nil"/>
            </w:tcBorders>
            <w:shd w:val="clear" w:color="auto" w:fill="auto"/>
          </w:tcPr>
          <w:p>
            <w:pPr>
              <w:pStyle w:val="nTable"/>
              <w:keepNext/>
              <w:spacing w:after="40"/>
              <w:rPr>
                <w:i/>
              </w:rPr>
            </w:pPr>
            <w:r>
              <w:rPr>
                <w:i/>
              </w:rPr>
              <w:t>Liquor Control Amendment Regulations 2021</w:t>
            </w:r>
          </w:p>
        </w:tc>
        <w:tc>
          <w:tcPr>
            <w:tcW w:w="1276" w:type="dxa"/>
            <w:tcBorders>
              <w:top w:val="nil"/>
              <w:bottom w:val="nil"/>
            </w:tcBorders>
            <w:shd w:val="clear" w:color="auto" w:fill="auto"/>
          </w:tcPr>
          <w:p>
            <w:pPr>
              <w:pStyle w:val="nTable"/>
              <w:keepNext/>
              <w:spacing w:after="40"/>
            </w:pPr>
            <w:r>
              <w:t>SL 2021/94 22 Jun 2021</w:t>
            </w:r>
          </w:p>
        </w:tc>
        <w:tc>
          <w:tcPr>
            <w:tcW w:w="2693" w:type="dxa"/>
            <w:tcBorders>
              <w:top w:val="nil"/>
              <w:bottom w:val="nil"/>
            </w:tcBorders>
            <w:shd w:val="clear" w:color="auto" w:fill="auto"/>
          </w:tcPr>
          <w:p>
            <w:pPr>
              <w:pStyle w:val="nTable"/>
              <w:keepNext/>
              <w:spacing w:after="40"/>
            </w:pPr>
            <w:r>
              <w:rPr>
                <w:bCs/>
                <w:snapToGrid w:val="0"/>
                <w:spacing w:val="-2"/>
              </w:rPr>
              <w:t xml:space="preserve">r. 1 and 2: </w:t>
            </w:r>
            <w:r>
              <w:t>22 Jun 2021</w:t>
            </w:r>
            <w:r>
              <w:rPr>
                <w:bCs/>
                <w:snapToGrid w:val="0"/>
                <w:spacing w:val="-2"/>
              </w:rPr>
              <w:t xml:space="preserve"> (see r. 2(a));</w:t>
            </w:r>
            <w:r>
              <w:rPr>
                <w:bCs/>
                <w:snapToGrid w:val="0"/>
                <w:spacing w:val="-2"/>
              </w:rPr>
              <w:br/>
              <w:t xml:space="preserve">Regulations other than r. 1 and 2: </w:t>
            </w:r>
            <w:r>
              <w:t>23 Jun 2021</w:t>
            </w:r>
            <w:r>
              <w:rPr>
                <w:bCs/>
                <w:snapToGrid w:val="0"/>
                <w:spacing w:val="-2"/>
              </w:rPr>
              <w:t xml:space="preserve"> (see r. 2(b))</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pPr>
              <w:pStyle w:val="nTable"/>
              <w:keepNext/>
              <w:spacing w:after="40"/>
              <w:rPr>
                <w:i/>
              </w:rPr>
            </w:pPr>
            <w:r>
              <w:rPr>
                <w:i/>
              </w:rPr>
              <w:t>Liquor Control Amendment Regulations (No. 3) 2021</w:t>
            </w:r>
          </w:p>
        </w:tc>
        <w:tc>
          <w:tcPr>
            <w:tcW w:w="1276" w:type="dxa"/>
            <w:tcBorders>
              <w:bottom w:val="single" w:sz="4" w:space="0" w:color="auto"/>
            </w:tcBorders>
            <w:shd w:val="clear" w:color="auto" w:fill="auto"/>
          </w:tcPr>
          <w:p>
            <w:pPr>
              <w:pStyle w:val="nTable"/>
              <w:keepNext/>
              <w:spacing w:after="40"/>
            </w:pPr>
            <w:r>
              <w:t>SL 2021/163 17 Sep 2021</w:t>
            </w:r>
          </w:p>
        </w:tc>
        <w:tc>
          <w:tcPr>
            <w:tcW w:w="2693" w:type="dxa"/>
            <w:tcBorders>
              <w:bottom w:val="single" w:sz="4" w:space="0" w:color="auto"/>
            </w:tcBorders>
            <w:shd w:val="clear" w:color="auto" w:fill="auto"/>
          </w:tcPr>
          <w:p>
            <w:pPr>
              <w:pStyle w:val="nTable"/>
              <w:keepNext/>
              <w:spacing w:after="40"/>
              <w:rPr>
                <w:bCs/>
                <w:snapToGrid w:val="0"/>
                <w:spacing w:val="-2"/>
              </w:rPr>
            </w:pPr>
            <w:r>
              <w:rPr>
                <w:bCs/>
                <w:snapToGrid w:val="0"/>
                <w:spacing w:val="-2"/>
              </w:rPr>
              <w:t xml:space="preserve">r. 1 and 2: </w:t>
            </w:r>
            <w:r>
              <w:t>17 Sep 2021</w:t>
            </w:r>
            <w:r>
              <w:rPr>
                <w:bCs/>
                <w:snapToGrid w:val="0"/>
                <w:spacing w:val="-2"/>
              </w:rPr>
              <w:t xml:space="preserve"> (see r. 2(a));</w:t>
            </w:r>
            <w:r>
              <w:rPr>
                <w:bCs/>
                <w:snapToGrid w:val="0"/>
                <w:spacing w:val="-2"/>
              </w:rPr>
              <w:br/>
              <w:t xml:space="preserve">Regulations other than r. 1 and 2: </w:t>
            </w:r>
            <w:r>
              <w:t>18 Sep 2021</w:t>
            </w:r>
            <w:r>
              <w:rPr>
                <w:bCs/>
                <w:snapToGrid w:val="0"/>
                <w:spacing w:val="-2"/>
              </w:rPr>
              <w:t xml:space="preserve"> (see r. 2(b) and SL 2021/162 cl. 2)</w:t>
            </w:r>
          </w:p>
        </w:tc>
      </w:tr>
    </w:tbl>
    <w:p>
      <w:pPr>
        <w:pStyle w:val="nHeading3"/>
        <w:keepLines/>
        <w:widowControl w:val="0"/>
      </w:pPr>
      <w:bookmarkStart w:id="123" w:name="_Toc82689707"/>
      <w:r>
        <w:t>Other notes</w:t>
      </w:r>
      <w:bookmarkEnd w:id="123"/>
    </w:p>
    <w:p>
      <w:pPr>
        <w:pStyle w:val="nNote"/>
        <w:keepNext/>
        <w:keepLines/>
      </w:pPr>
      <w:r>
        <w:rPr>
          <w:vertAlign w:val="superscript"/>
        </w:rPr>
        <w:t>1</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Note"/>
        <w:keepNext/>
      </w:pPr>
      <w:r>
        <w:rPr>
          <w:vertAlign w:val="superscript"/>
        </w:rPr>
        <w:t>2</w:t>
      </w:r>
      <w:r>
        <w:tab/>
        <w:t xml:space="preserve">Repealed by the </w:t>
      </w:r>
      <w:r>
        <w:rPr>
          <w:i/>
        </w:rPr>
        <w:t xml:space="preserve">Tax </w:t>
      </w:r>
      <w:r>
        <w:rPr>
          <w:i/>
          <w:iCs/>
        </w:rPr>
        <w:t>Laws Amendment (Repeal of Inoperative Provisions) Act 2006</w:t>
      </w:r>
      <w:r>
        <w:t xml:space="preserve"> (Cwlth).</w:t>
      </w:r>
    </w:p>
    <w:p>
      <w:pPr>
        <w:pStyle w:val="nNote"/>
        <w:keepNext/>
      </w:pPr>
      <w:r>
        <w:rPr>
          <w:vertAlign w:val="superscript"/>
        </w:rPr>
        <w:t>3</w:t>
      </w:r>
      <w:r>
        <w:tab/>
        <w:t>Commenced 1 July 2014.</w:t>
      </w:r>
    </w:p>
    <w:p>
      <w:pPr>
        <w:pStyle w:val="nNote"/>
        <w:keepNext/>
      </w:pPr>
      <w:r>
        <w:rPr>
          <w:vertAlign w:val="superscript"/>
        </w:rPr>
        <w:t>4</w:t>
      </w:r>
      <w:r>
        <w:tab/>
        <w:t xml:space="preserve">Now known as the </w:t>
      </w:r>
      <w:r>
        <w:rPr>
          <w:i/>
          <w:iCs/>
        </w:rPr>
        <w:t>Liquor Control Regulations 1989</w:t>
      </w:r>
      <w:r>
        <w:t>; citation changed (see note under r. 1).</w:t>
      </w:r>
    </w:p>
    <w:p>
      <w:pPr>
        <w:pStyle w:val="nNote"/>
        <w:keepNext/>
      </w:pPr>
      <w:r>
        <w:rPr>
          <w:vertAlign w:val="superscript"/>
        </w:rPr>
        <w:t>5</w:t>
      </w:r>
      <w:r>
        <w:tab/>
        <w:t xml:space="preserve">Disallowed on 26 Apr 1992, see </w:t>
      </w:r>
      <w:r>
        <w:rPr>
          <w:i/>
        </w:rPr>
        <w:t>Gazette</w:t>
      </w:r>
      <w:r>
        <w:t xml:space="preserve"> 1 May 1992 p. 1844.</w:t>
      </w:r>
    </w:p>
    <w:p>
      <w:pPr>
        <w:pStyle w:val="nNote"/>
      </w:pPr>
      <w:r>
        <w:rPr>
          <w:vertAlign w:val="superscript"/>
        </w:rPr>
        <w:t>6</w:t>
      </w:r>
      <w:r>
        <w:tab/>
        <w:t xml:space="preserve">The </w:t>
      </w:r>
      <w:r>
        <w:rPr>
          <w:i/>
        </w:rPr>
        <w:t>Liquor Licensing Amendment Regulations (No. 2) 2001</w:t>
      </w:r>
      <w:r>
        <w:t xml:space="preserve"> r. 2(3) and (4) are transitional provisions that are of no further effect.</w:t>
      </w:r>
    </w:p>
    <w:p>
      <w:pPr>
        <w:pStyle w:val="nNote"/>
      </w:pPr>
      <w:r>
        <w:rPr>
          <w:vertAlign w:val="superscript"/>
        </w:rPr>
        <w:t>7</w:t>
      </w:r>
      <w:r>
        <w:tab/>
        <w:t xml:space="preserve">The amendments in the </w:t>
      </w:r>
      <w:r>
        <w:rPr>
          <w:i/>
        </w:rPr>
        <w:t>Liquor Licensing Amendment Regulations 2004</w:t>
      </w:r>
      <w:r>
        <w:t xml:space="preserve"> r. 3 and 5 are not included because of an error in the reference to the provisions to be amended.</w:t>
      </w:r>
    </w:p>
    <w:p>
      <w:pPr>
        <w:pStyle w:val="nNote"/>
      </w:pPr>
      <w:r>
        <w:rPr>
          <w:vertAlign w:val="superscript"/>
        </w:rPr>
        <w:t>8</w:t>
      </w:r>
      <w:r>
        <w:tab/>
        <w:t xml:space="preserve">The </w:t>
      </w:r>
      <w:r>
        <w:rPr>
          <w:i/>
        </w:rPr>
        <w:t>Liquor Control Amendment Regulations (No. 2) 2007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1</w:t>
      </w:r>
      <w:r>
        <w:t xml:space="preserve"> above). </w:t>
      </w:r>
    </w:p>
    <w:p>
      <w:pPr>
        <w:pStyle w:val="nNote"/>
      </w:pPr>
      <w:r>
        <w:rPr>
          <w:vertAlign w:val="superscript"/>
        </w:rPr>
        <w:t>9</w:t>
      </w:r>
      <w:r>
        <w:tab/>
        <w:t xml:space="preserve">Disallowed on 13 Sep 2012, see </w:t>
      </w:r>
      <w:r>
        <w:rPr>
          <w:i/>
        </w:rPr>
        <w:t>Gazette</w:t>
      </w:r>
      <w:r>
        <w:t xml:space="preserve"> 18 Sep 2012 p. 4411.</w:t>
      </w:r>
    </w:p>
    <w:p/>
    <w:p>
      <w:p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bookmarkStart w:id="125" w:name="_Toc82689708"/>
      <w:r>
        <w:rPr>
          <w:sz w:val="28"/>
        </w:rPr>
        <w:lastRenderedPageBreak/>
        <w:t>Defined terms</w:t>
      </w:r>
      <w:bookmarkEnd w:id="1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higher education course</w:t>
      </w:r>
      <w:r>
        <w:tab/>
        <w:t>18F(1)</w:t>
      </w:r>
    </w:p>
    <w:p>
      <w:pPr>
        <w:pStyle w:val="DefinedTerms"/>
      </w:pPr>
      <w:r>
        <w:t>aggregate amount</w:t>
      </w:r>
      <w:r>
        <w:tab/>
        <w:t>24(2)</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patrons</w:t>
      </w:r>
      <w:r>
        <w:tab/>
        <w:t>3A(1)</w:t>
      </w:r>
    </w:p>
    <w:p>
      <w:pPr>
        <w:pStyle w:val="DefinedTerms"/>
      </w:pPr>
      <w:r>
        <w:t>approval application</w:t>
      </w:r>
      <w:r>
        <w:tab/>
        <w:t>14ADA(1)</w:t>
      </w:r>
    </w:p>
    <w:p>
      <w:pPr>
        <w:pStyle w:val="DefinedTerms"/>
      </w:pPr>
      <w:r>
        <w:t>approved manager</w:t>
      </w:r>
      <w:r>
        <w:tab/>
        <w:t>3A(1)</w:t>
      </w:r>
    </w:p>
    <w:p>
      <w:pPr>
        <w:pStyle w:val="DefinedTerms"/>
      </w:pPr>
      <w:r>
        <w:t>approved provider</w:t>
      </w:r>
      <w:r>
        <w:tab/>
        <w:t>8(2)</w:t>
      </w:r>
    </w:p>
    <w:p>
      <w:pPr>
        <w:pStyle w:val="DefinedTerms"/>
      </w:pPr>
      <w:r>
        <w:t>approved VET course</w:t>
      </w:r>
      <w:r>
        <w:tab/>
        <w:t>18F(1)</w:t>
      </w:r>
    </w:p>
    <w:p>
      <w:pPr>
        <w:pStyle w:val="DefinedTerms"/>
      </w:pPr>
      <w:r>
        <w:t>approved viticulture course</w:t>
      </w:r>
      <w:r>
        <w:tab/>
        <w:t>9A(10e)</w:t>
      </w:r>
    </w:p>
    <w:p>
      <w:pPr>
        <w:pStyle w:val="DefinedTerms"/>
      </w:pPr>
      <w:r>
        <w:t>attendee</w:t>
      </w:r>
      <w:r>
        <w:tab/>
        <w:t>8B(2)</w:t>
      </w:r>
    </w:p>
    <w:p>
      <w:pPr>
        <w:pStyle w:val="DefinedTerms"/>
      </w:pPr>
      <w:r>
        <w:t>Australian learner driver permit</w:t>
      </w:r>
      <w:r>
        <w:tab/>
        <w:t>18A(1)</w:t>
      </w:r>
    </w:p>
    <w:p>
      <w:pPr>
        <w:pStyle w:val="DefinedTerms"/>
      </w:pPr>
      <w:r>
        <w:t>authorised arrangement</w:t>
      </w:r>
      <w:r>
        <w:tab/>
        <w:t>8E(1)</w:t>
      </w:r>
    </w:p>
    <w:p>
      <w:pPr>
        <w:pStyle w:val="DefinedTerms"/>
      </w:pPr>
      <w:r>
        <w:t>bar</w:t>
      </w:r>
      <w:r>
        <w:tab/>
        <w:t>11(1)</w:t>
      </w:r>
    </w:p>
    <w:p>
      <w:pPr>
        <w:pStyle w:val="DefinedTerms"/>
      </w:pPr>
      <w:r>
        <w:t>caterer</w:t>
      </w:r>
      <w:r>
        <w:tab/>
        <w:t>9A(14A)</w:t>
      </w:r>
    </w:p>
    <w:p>
      <w:pPr>
        <w:pStyle w:val="DefinedTerms"/>
      </w:pPr>
      <w:r>
        <w:t>commencement day</w:t>
      </w:r>
      <w:r>
        <w:tab/>
        <w:t>14ADG(1)</w:t>
      </w:r>
    </w:p>
    <w:p>
      <w:pPr>
        <w:pStyle w:val="DefinedTerms"/>
      </w:pPr>
      <w:r>
        <w:t>commercial vessel</w:t>
      </w:r>
      <w:r>
        <w:tab/>
        <w:t>8(3)</w:t>
      </w:r>
    </w:p>
    <w:p>
      <w:pPr>
        <w:pStyle w:val="DefinedTerms"/>
      </w:pPr>
      <w:r>
        <w:t>course of instruction or training</w:t>
      </w:r>
      <w:r>
        <w:tab/>
        <w:t>9A(10e)</w:t>
      </w:r>
    </w:p>
    <w:p>
      <w:pPr>
        <w:pStyle w:val="DefinedTerms"/>
      </w:pPr>
      <w:r>
        <w:t>crowd controller</w:t>
      </w:r>
      <w:r>
        <w:tab/>
        <w:t>3A(1)</w:t>
      </w:r>
    </w:p>
    <w:p>
      <w:pPr>
        <w:pStyle w:val="DefinedTerms"/>
      </w:pPr>
      <w:r>
        <w:t>cruise ship</w:t>
      </w:r>
      <w:r>
        <w:tab/>
        <w:t>8(3)</w:t>
      </w:r>
    </w:p>
    <w:p>
      <w:pPr>
        <w:pStyle w:val="DefinedTerms"/>
      </w:pPr>
      <w:r>
        <w:t>current</w:t>
      </w:r>
      <w:r>
        <w:tab/>
        <w:t>26(1ab)</w:t>
      </w:r>
    </w:p>
    <w:p>
      <w:pPr>
        <w:pStyle w:val="DefinedTerms"/>
      </w:pPr>
      <w:r>
        <w:t>current negative determination</w:t>
      </w:r>
      <w:r>
        <w:tab/>
        <w:t>8A(3)</w:t>
      </w:r>
    </w:p>
    <w:p>
      <w:pPr>
        <w:pStyle w:val="DefinedTerms"/>
      </w:pPr>
      <w:r>
        <w:t>current WA photo card</w:t>
      </w:r>
      <w:r>
        <w:tab/>
        <w:t>18A(1)</w:t>
      </w:r>
    </w:p>
    <w:p>
      <w:pPr>
        <w:pStyle w:val="DefinedTerms"/>
      </w:pPr>
      <w:r>
        <w:t>entertainment</w:t>
      </w:r>
      <w:r>
        <w:tab/>
        <w:t>8A(1)</w:t>
      </w:r>
    </w:p>
    <w:p>
      <w:pPr>
        <w:pStyle w:val="DefinedTerms"/>
      </w:pPr>
      <w:r>
        <w:t>farmers’ market</w:t>
      </w:r>
      <w:r>
        <w:tab/>
        <w:t>8D(1)</w:t>
      </w:r>
    </w:p>
    <w:p>
      <w:pPr>
        <w:pStyle w:val="DefinedTerms"/>
      </w:pPr>
      <w:r>
        <w:t>function</w:t>
      </w:r>
      <w:r>
        <w:tab/>
        <w:t>8F(1)</w:t>
      </w:r>
    </w:p>
    <w:p>
      <w:pPr>
        <w:pStyle w:val="DefinedTerms"/>
      </w:pPr>
      <w:r>
        <w:t>higher education course</w:t>
      </w:r>
      <w:r>
        <w:tab/>
        <w:t>3A(1)</w:t>
      </w:r>
    </w:p>
    <w:p>
      <w:pPr>
        <w:pStyle w:val="DefinedTerms"/>
      </w:pPr>
      <w:r>
        <w:t xml:space="preserve">higher education institution </w:t>
      </w:r>
      <w:r>
        <w:tab/>
        <w:t>3A(1)</w:t>
      </w:r>
    </w:p>
    <w:p>
      <w:pPr>
        <w:pStyle w:val="DefinedTerms"/>
      </w:pPr>
      <w:r>
        <w:t>inter-State voyage</w:t>
      </w:r>
      <w:r>
        <w:tab/>
        <w:t>8(3)</w:t>
      </w:r>
    </w:p>
    <w:p>
      <w:pPr>
        <w:pStyle w:val="DefinedTerms"/>
      </w:pPr>
      <w:r>
        <w:t>judge</w:t>
      </w:r>
      <w:r>
        <w:tab/>
        <w:t>8G(1)</w:t>
      </w:r>
    </w:p>
    <w:p>
      <w:pPr>
        <w:pStyle w:val="DefinedTerms"/>
      </w:pPr>
      <w:r>
        <w:t>liqueur chocolate</w:t>
      </w:r>
      <w:r>
        <w:tab/>
        <w:t>4AE(1)</w:t>
      </w:r>
    </w:p>
    <w:p>
      <w:pPr>
        <w:pStyle w:val="DefinedTerms"/>
      </w:pPr>
      <w:r>
        <w:t>liquor competition</w:t>
      </w:r>
      <w:r>
        <w:tab/>
        <w:t>8G(1)</w:t>
      </w:r>
    </w:p>
    <w:p>
      <w:pPr>
        <w:pStyle w:val="DefinedTerms"/>
      </w:pPr>
      <w:r>
        <w:t>liquor producer</w:t>
      </w:r>
      <w:r>
        <w:tab/>
        <w:t>8D(1)</w:t>
      </w:r>
    </w:p>
    <w:p>
      <w:pPr>
        <w:pStyle w:val="DefinedTerms"/>
      </w:pPr>
      <w:r>
        <w:t>live entertainment</w:t>
      </w:r>
      <w:r>
        <w:tab/>
        <w:t>8A(1)</w:t>
      </w:r>
    </w:p>
    <w:p>
      <w:pPr>
        <w:pStyle w:val="DefinedTerms"/>
      </w:pPr>
      <w:r>
        <w:t>manager’s approval</w:t>
      </w:r>
      <w:r>
        <w:tab/>
        <w:t>3A(1)</w:t>
      </w:r>
    </w:p>
    <w:p>
      <w:pPr>
        <w:pStyle w:val="DefinedTerms"/>
      </w:pPr>
      <w:r>
        <w:t>maximum number of patrons</w:t>
      </w:r>
      <w:r>
        <w:tab/>
        <w:t>3A(1)</w:t>
      </w:r>
    </w:p>
    <w:p>
      <w:pPr>
        <w:pStyle w:val="DefinedTerms"/>
      </w:pPr>
      <w:r>
        <w:t>metropolitan region</w:t>
      </w:r>
      <w:r>
        <w:tab/>
        <w:t>3A(1)</w:t>
      </w:r>
    </w:p>
    <w:p>
      <w:pPr>
        <w:pStyle w:val="DefinedTerms"/>
      </w:pPr>
      <w:r>
        <w:t>negative determination</w:t>
      </w:r>
      <w:r>
        <w:tab/>
        <w:t>8A(1)</w:t>
      </w:r>
    </w:p>
    <w:p>
      <w:pPr>
        <w:pStyle w:val="DefinedTerms"/>
      </w:pPr>
      <w:r>
        <w:t>notional wholesale selling price</w:t>
      </w:r>
      <w:r>
        <w:tab/>
        <w:t>3A(1)</w:t>
      </w:r>
    </w:p>
    <w:p>
      <w:pPr>
        <w:pStyle w:val="DefinedTerms"/>
      </w:pPr>
      <w:r>
        <w:lastRenderedPageBreak/>
        <w:t>on-demand charter vehicle authorisation</w:t>
      </w:r>
      <w:r>
        <w:tab/>
        <w:t>8F(1)</w:t>
      </w:r>
    </w:p>
    <w:p>
      <w:pPr>
        <w:pStyle w:val="DefinedTerms"/>
      </w:pPr>
      <w:r>
        <w:t>organised function</w:t>
      </w:r>
      <w:r>
        <w:tab/>
        <w:t>8E(1)</w:t>
      </w:r>
    </w:p>
    <w:p>
      <w:pPr>
        <w:pStyle w:val="DefinedTerms"/>
      </w:pPr>
      <w:r>
        <w:t>overseas voyage</w:t>
      </w:r>
      <w:r>
        <w:tab/>
        <w:t>8(3)</w:t>
      </w:r>
    </w:p>
    <w:p>
      <w:pPr>
        <w:pStyle w:val="DefinedTerms"/>
      </w:pPr>
      <w:r>
        <w:t>photograph</w:t>
      </w:r>
      <w:r>
        <w:tab/>
        <w:t>18B(3a), 18C(2)</w:t>
      </w:r>
    </w:p>
    <w:p>
      <w:pPr>
        <w:pStyle w:val="DefinedTerms"/>
      </w:pPr>
      <w:r>
        <w:t>powdered alcohol</w:t>
      </w:r>
      <w:r>
        <w:tab/>
        <w:t>4AD(1)</w:t>
      </w:r>
    </w:p>
    <w:p>
      <w:pPr>
        <w:pStyle w:val="DefinedTerms"/>
      </w:pPr>
      <w:r>
        <w:t>prescribed incident</w:t>
      </w:r>
      <w:r>
        <w:tab/>
        <w:t>3A(1)</w:t>
      </w:r>
    </w:p>
    <w:p>
      <w:pPr>
        <w:pStyle w:val="DefinedTerms"/>
      </w:pPr>
      <w:r>
        <w:t>prescribed permit</w:t>
      </w:r>
      <w:r>
        <w:tab/>
        <w:t>14AC(1)</w:t>
      </w:r>
    </w:p>
    <w:p>
      <w:pPr>
        <w:pStyle w:val="DefinedTerms"/>
      </w:pPr>
      <w:r>
        <w:t>primary producer</w:t>
      </w:r>
      <w:r>
        <w:tab/>
        <w:t>8D(1)</w:t>
      </w:r>
    </w:p>
    <w:p>
      <w:pPr>
        <w:pStyle w:val="DefinedTerms"/>
      </w:pPr>
      <w:r>
        <w:t>producer</w:t>
      </w:r>
      <w:r>
        <w:tab/>
        <w:t>3A(1)</w:t>
      </w:r>
    </w:p>
    <w:p>
      <w:pPr>
        <w:pStyle w:val="DefinedTerms"/>
      </w:pPr>
      <w:r>
        <w:t>producers’ association</w:t>
      </w:r>
      <w:r>
        <w:tab/>
        <w:t>8D(1)</w:t>
      </w:r>
    </w:p>
    <w:p>
      <w:pPr>
        <w:pStyle w:val="DefinedTerms"/>
      </w:pPr>
      <w:r>
        <w:t>purchase</w:t>
      </w:r>
      <w:r>
        <w:tab/>
        <w:t>5(2)</w:t>
      </w:r>
    </w:p>
    <w:p>
      <w:pPr>
        <w:pStyle w:val="DefinedTerms"/>
      </w:pPr>
      <w:r>
        <w:t>qualifying intra-State voyage</w:t>
      </w:r>
      <w:r>
        <w:tab/>
        <w:t>8(3)</w:t>
      </w:r>
    </w:p>
    <w:p>
      <w:pPr>
        <w:pStyle w:val="DefinedTerms"/>
      </w:pPr>
      <w:r>
        <w:t>qualifying person</w:t>
      </w:r>
      <w:r>
        <w:tab/>
        <w:t>8(3)</w:t>
      </w:r>
    </w:p>
    <w:p>
      <w:pPr>
        <w:pStyle w:val="DefinedTerms"/>
      </w:pPr>
      <w:r>
        <w:t>relevant body corporate</w:t>
      </w:r>
      <w:r>
        <w:tab/>
        <w:t>5B(2), (3) and (4)</w:t>
      </w:r>
    </w:p>
    <w:p>
      <w:pPr>
        <w:pStyle w:val="DefinedTerms"/>
      </w:pPr>
      <w:r>
        <w:t>relevant lot</w:t>
      </w:r>
      <w:r>
        <w:tab/>
        <w:t>11(1)</w:t>
      </w:r>
    </w:p>
    <w:p>
      <w:pPr>
        <w:pStyle w:val="DefinedTerms"/>
      </w:pPr>
      <w:r>
        <w:t>relevant premises</w:t>
      </w:r>
      <w:r>
        <w:tab/>
        <w:t>11(1)</w:t>
      </w:r>
    </w:p>
    <w:p>
      <w:pPr>
        <w:pStyle w:val="DefinedTerms"/>
      </w:pPr>
      <w:r>
        <w:t>renewal application</w:t>
      </w:r>
      <w:r>
        <w:tab/>
        <w:t>14ADD(1)</w:t>
      </w:r>
    </w:p>
    <w:p>
      <w:pPr>
        <w:pStyle w:val="DefinedTerms"/>
      </w:pPr>
      <w:r>
        <w:t>resident</w:t>
      </w:r>
      <w:r>
        <w:tab/>
        <w:t>8(1) and (2)</w:t>
      </w:r>
    </w:p>
    <w:p>
      <w:pPr>
        <w:pStyle w:val="DefinedTerms"/>
      </w:pPr>
      <w:r>
        <w:t>residential care</w:t>
      </w:r>
      <w:r>
        <w:tab/>
        <w:t>8(2)</w:t>
      </w:r>
    </w:p>
    <w:p>
      <w:pPr>
        <w:pStyle w:val="DefinedTerms"/>
      </w:pPr>
      <w:r>
        <w:t>responsible adult</w:t>
      </w:r>
      <w:r>
        <w:tab/>
        <w:t>8A(1), 8F(1)</w:t>
      </w:r>
    </w:p>
    <w:p>
      <w:pPr>
        <w:pStyle w:val="DefinedTerms"/>
      </w:pPr>
      <w:r>
        <w:t>restricted material</w:t>
      </w:r>
      <w:r>
        <w:tab/>
        <w:t>8A(1)</w:t>
      </w:r>
    </w:p>
    <w:p>
      <w:pPr>
        <w:pStyle w:val="DefinedTerms"/>
      </w:pPr>
      <w:r>
        <w:t>retail sale</w:t>
      </w:r>
      <w:r>
        <w:tab/>
        <w:t>4A(2)</w:t>
      </w:r>
    </w:p>
    <w:p>
      <w:pPr>
        <w:pStyle w:val="DefinedTerms"/>
      </w:pPr>
      <w:r>
        <w:t>retirement village</w:t>
      </w:r>
      <w:r>
        <w:tab/>
        <w:t>8(2)</w:t>
      </w:r>
    </w:p>
    <w:p>
      <w:pPr>
        <w:pStyle w:val="DefinedTerms"/>
      </w:pPr>
      <w:r>
        <w:t>road</w:t>
      </w:r>
      <w:r>
        <w:tab/>
        <w:t>3A(1)</w:t>
      </w:r>
    </w:p>
    <w:p>
      <w:pPr>
        <w:pStyle w:val="DefinedTerms"/>
      </w:pPr>
      <w:r>
        <w:t>room service restaurant</w:t>
      </w:r>
      <w:r>
        <w:tab/>
        <w:t>9A(17)</w:t>
      </w:r>
    </w:p>
    <w:p>
      <w:pPr>
        <w:pStyle w:val="DefinedTerms"/>
      </w:pPr>
      <w:r>
        <w:t>sale</w:t>
      </w:r>
      <w:r>
        <w:tab/>
        <w:t>5(2)</w:t>
      </w:r>
    </w:p>
    <w:p>
      <w:pPr>
        <w:pStyle w:val="DefinedTerms"/>
      </w:pPr>
      <w:r>
        <w:t>school</w:t>
      </w:r>
      <w:r>
        <w:tab/>
        <w:t>8F(1)</w:t>
      </w:r>
    </w:p>
    <w:p>
      <w:pPr>
        <w:pStyle w:val="DefinedTerms"/>
      </w:pPr>
      <w:r>
        <w:t>signature</w:t>
      </w:r>
      <w:r>
        <w:tab/>
        <w:t>18C(2)</w:t>
      </w:r>
    </w:p>
    <w:p>
      <w:pPr>
        <w:pStyle w:val="DefinedTerms"/>
      </w:pPr>
      <w:r>
        <w:t>special event</w:t>
      </w:r>
      <w:r>
        <w:tab/>
        <w:t>9A(10e)</w:t>
      </w:r>
    </w:p>
    <w:p>
      <w:pPr>
        <w:pStyle w:val="DefinedTerms"/>
      </w:pPr>
      <w:r>
        <w:t>specified</w:t>
      </w:r>
      <w:r>
        <w:tab/>
        <w:t>9A(3)</w:t>
      </w:r>
    </w:p>
    <w:p>
      <w:pPr>
        <w:pStyle w:val="DefinedTerms"/>
      </w:pPr>
      <w:r>
        <w:t>standard drink</w:t>
      </w:r>
      <w:r>
        <w:tab/>
        <w:t>3A(1)</w:t>
      </w:r>
    </w:p>
    <w:p>
      <w:pPr>
        <w:pStyle w:val="DefinedTerms"/>
      </w:pPr>
      <w:r>
        <w:t>tax period</w:t>
      </w:r>
      <w:r>
        <w:tab/>
        <w:t>3A(1)</w:t>
      </w:r>
    </w:p>
    <w:p>
      <w:pPr>
        <w:pStyle w:val="DefinedTerms"/>
      </w:pPr>
      <w:r>
        <w:t>tourism business</w:t>
      </w:r>
      <w:r>
        <w:tab/>
        <w:t>8CA(1)</w:t>
      </w:r>
    </w:p>
    <w:p>
      <w:pPr>
        <w:pStyle w:val="DefinedTerms"/>
      </w:pPr>
      <w:r>
        <w:t>tourist</w:t>
      </w:r>
      <w:r>
        <w:tab/>
        <w:t>9A(9)</w:t>
      </w:r>
    </w:p>
    <w:p>
      <w:pPr>
        <w:pStyle w:val="DefinedTerms"/>
      </w:pPr>
      <w:r>
        <w:t>town</w:t>
      </w:r>
      <w:r>
        <w:tab/>
        <w:t>16AA(1)</w:t>
      </w:r>
    </w:p>
    <w:p>
      <w:pPr>
        <w:pStyle w:val="DefinedTerms"/>
      </w:pPr>
      <w:r>
        <w:t>transitioned approval</w:t>
      </w:r>
      <w:r>
        <w:tab/>
        <w:t>14ADG(1)</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w:t>
      </w:r>
      <w:r>
        <w:tab/>
        <w:t>9A(3)</w:t>
      </w:r>
    </w:p>
    <w:p>
      <w:pPr>
        <w:pStyle w:val="DefinedTerms"/>
      </w:pPr>
      <w:r>
        <w:t>works canteen</w:t>
      </w:r>
      <w:r>
        <w:tab/>
        <w:t>9A(3)</w:t>
      </w:r>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14-z0-00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14-z0-00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14-z0-00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14-z0-00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14-z0-00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14-z0-00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STYLEREF CharSClsNo </w:instrText>
          </w:r>
          <w:r>
            <w:rPr>
              <w:b/>
            </w:rPr>
            <w:fldChar w:fldCharType="separate"/>
          </w:r>
          <w:r>
            <w:rPr>
              <w:b/>
            </w:rPr>
            <w:t>Form 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CharSClsNo </w:instrText>
          </w:r>
          <w:r>
            <w:rPr>
              <w:b/>
            </w:rPr>
            <w:fldChar w:fldCharType="separate"/>
          </w:r>
          <w:r>
            <w:rPr>
              <w:b/>
            </w:rPr>
            <w:t>Form 19</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4" w:name="Compilation"/>
    <w:bookmarkEnd w:id="12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6" w:name="DefinedTerms"/>
    <w:bookmarkEnd w:id="126"/>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7" w:name="Coversheet"/>
    <w:bookmarkEnd w:id="12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874D96"/>
    <w:multiLevelType w:val="hybridMultilevel"/>
    <w:tmpl w:val="7BEEE198"/>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916115532"/>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 w:name="WAFER_20170110115703" w:val="RemoveTocBookmarks,RemoveUnusedBookmarks,RemoveLanguageTags,UsedStyles,ResetPageSize"/>
    <w:docVar w:name="WAFER_20170110115703_GUID" w:val="1e61366a-e1bf-4c61-b975-d4c6eef66ec5"/>
    <w:docVar w:name="WAFER_20170209152018" w:val="RemoveTocBookmarks,RemoveUnusedBookmarks,RemoveLanguageTags,UsedStyles,ResetPageSize,RemoveCustomizations"/>
    <w:docVar w:name="WAFER_20170209152018_GUID" w:val="924717d3-f10d-4d1b-8edf-d116fbd7e50e"/>
    <w:docVar w:name="WAFER_20170419141650" w:val="RemoveTocBookmarks,RemoveUnusedBookmarks,RemoveLanguageTags,UsedStyles,RemoveTrackChanges"/>
    <w:docVar w:name="WAFER_20170419141650_GUID" w:val="5b0509c0-93c0-40f5-a182-d3dfa49d71f0"/>
    <w:docVar w:name="WAFER_20170419141710" w:val="RemoveTocBookmarks,RemoveLanguageTags,RemoveTrackChanges,RunningHeaders"/>
    <w:docVar w:name="WAFER_20170419141710_GUID" w:val="2b119119-cd42-483e-8d24-77af25761668"/>
    <w:docVar w:name="WAFER_20171006092410" w:val="RemoveTocBookmarks,RemoveUnusedBookmarks,RemoveLanguageTags,UsedStyles,ResetPageSize"/>
    <w:docVar w:name="WAFER_20171006092410_GUID" w:val="9fca8faf-c456-43ee-a91f-e1ed0cffc2ab"/>
    <w:docVar w:name="WAFER_20171110134750" w:val="RemoveTocBookmarks,RemoveUnusedBookmarks,RemoveLanguageTags,UsedStyles,ResetPageSize"/>
    <w:docVar w:name="WAFER_20171110134750_GUID" w:val="836d4505-4f75-4632-9f3e-ef5b2104cb73"/>
    <w:docVar w:name="WAFER_20171207105317" w:val="RemoveTocBookmarks,RemoveUnusedBookmarks,RemoveLanguageTags,UsedStyles,ResetPageSize"/>
    <w:docVar w:name="WAFER_20171207105317_GUID" w:val="7d5a268b-043a-41e1-8e72-4e99a1680c6b"/>
    <w:docVar w:name="WAFER_20180118124048" w:val="RemoveTocBookmarks,RemoveUnusedBookmarks,RemoveLanguageTags,UsedStyles,ResetPageSize"/>
    <w:docVar w:name="WAFER_20180118124048_GUID" w:val="b16342d5-aa78-4699-b7db-0dfe01ed8246"/>
    <w:docVar w:name="WAFER_20180705164926" w:val="RemoveTocBookmarks,RemoveUnusedBookmarks,RemoveLanguageTags,UsedStyles,ResetPageSize"/>
    <w:docVar w:name="WAFER_20180705164926_GUID" w:val="6f91dc23-662c-4dba-8e80-bc8c27d117ff"/>
    <w:docVar w:name="WAFER_20180719102702" w:val="RemoveTocBookmarks,RemoveUnusedBookmarks,RemoveLanguageTags,UsedStyles,ResetPageSize"/>
    <w:docVar w:name="WAFER_20180719102702_GUID" w:val="6b570fb0-02e9-4e5e-a1ff-79a3109cafe0"/>
    <w:docVar w:name="WAFER_20181001135825" w:val="RemoveTocBookmarks,RemoveUnusedBookmarks,RemoveLanguageTags,UsedStyles,ResetPageSize"/>
    <w:docVar w:name="WAFER_20181001135825_GUID" w:val="b49f2d3d-6601-4f54-a770-6e168920268f"/>
    <w:docVar w:name="WAFER_20181204125652" w:val="RemoveTocBookmarks,RemoveUnusedBookmarks,RemoveLanguageTags,UsedStyles,ResetPageSize"/>
    <w:docVar w:name="WAFER_20181204125652_GUID" w:val="6a5bd5ca-d977-4730-8cc0-8d912860ba6b"/>
    <w:docVar w:name="WAFER_20190627105919" w:val="RemoveTocBookmarks,RemoveUnusedBookmarks,RemoveLanguageTags,ResetPageSize,RunningHeaders,UpdateStyles,UsedStyles"/>
    <w:docVar w:name="WAFER_20190627105919_GUID" w:val="8ea84dd6-0d96-41c8-9ad5-6ffd2291915e"/>
    <w:docVar w:name="WAFER_20190628082508" w:val="RemoveTocBookmarks,RemoveUnusedBookmarks,RemoveLanguageTags,ResetPageSize,RunningHeaders,UpdateStyles,UsedStyles"/>
    <w:docVar w:name="WAFER_20190628082508_GUID" w:val="cdbf365d-a050-4ad4-ad30-adaa1d797d45"/>
    <w:docVar w:name="WAFER_20191022160836" w:val="RemoveTocBookmarks,RemoveUnusedBookmarks,RemoveLanguageTags,ResetPageSize,RunningHeaders,UpdateStyles,UsedStyles"/>
    <w:docVar w:name="WAFER_20191022160836_GUID" w:val="55c1dbbf-dd0a-4a91-bf27-8d19c4f5ecf9"/>
    <w:docVar w:name="WAFER_20191031112850" w:val="RemoveTocBookmarks,RemoveUnusedBookmarks,RemoveLanguageTags,ResetPageSize,RunningHeaders,UpdateStyles,UsedStyles"/>
    <w:docVar w:name="WAFER_20191031112850_GUID" w:val="b253411b-ef31-4548-ae40-20a46de8e789"/>
    <w:docVar w:name="WAFER_20191203161318" w:val="RemoveTocBookmarks,RemoveUnusedBookmarks,RemoveLanguageTags,ResetPageSize,RunningHeaders,UpdateStyles,UsedStyles"/>
    <w:docVar w:name="WAFER_20191203161318_GUID" w:val="344f7623-b57f-4dea-b626-deabd3b52648"/>
    <w:docVar w:name="WAFER_2020021108513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85130_GUID" w:val="52803767-8359-4cdf-a1fb-f5fc5089dd3b"/>
    <w:docVar w:name="WAFER_202006181602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UpdateStyles.ProcessFixes,RemoveIncorrectStyles.ProcessStyles"/>
    <w:docVar w:name="WAFER_20200618160226_GUID" w:val="88357401-65ed-48a4-9cf2-e07b9c6802d1"/>
    <w:docVar w:name="WAFER_20201104122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4122907_GUID" w:val="b0060916-6984-40c8-9821-fc64138307e1"/>
    <w:docVar w:name="WAFER_202106211025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02542_GUID" w:val="6dea6647-2480-4301-8bfd-e4c2485e6c9e"/>
    <w:docVar w:name="WAFER_202109161155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6115532_GUID" w:val="d1af8b8e-c9ff-4a00-92d7-9e1fe73ec6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1"/>
    <o:shapelayout v:ext="edit">
      <o:idmap v:ext="edit" data="1"/>
    </o:shapelayout>
  </w:shapeDefaults>
  <w:decimalSymbol w:val="."/>
  <w:listSeparator w:val=","/>
  <w15:docId w15:val="{DEDE11C4-8E13-4497-840F-86477C31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wmf"/><Relationship Id="rId39" Type="http://schemas.openxmlformats.org/officeDocument/2006/relationships/footer" Target="footer8.xml"/><Relationship Id="rId21" Type="http://schemas.openxmlformats.org/officeDocument/2006/relationships/image" Target="media/image2.wmf"/><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4.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5B5FC-0934-49E0-8990-B1AA88525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29294</Words>
  <Characters>139737</Characters>
  <Application>Microsoft Office Word</Application>
  <DocSecurity>0</DocSecurity>
  <Lines>4818</Lines>
  <Paragraphs>2864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1989 - 14-z0-00</dc:title>
  <dc:subject/>
  <dc:creator/>
  <cp:keywords/>
  <dc:description/>
  <cp:lastModifiedBy>Master Repository Process</cp:lastModifiedBy>
  <cp:revision>4</cp:revision>
  <cp:lastPrinted>2019-12-05T02:25:00Z</cp:lastPrinted>
  <dcterms:created xsi:type="dcterms:W3CDTF">2021-09-16T06:43:00Z</dcterms:created>
  <dcterms:modified xsi:type="dcterms:W3CDTF">2021-09-16T06:43:00Z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2017-05-04T16:00:00Z</vt:filetime>
  </property>
  <property fmtid="{D5CDD505-2E9C-101B-9397-08002B2CF9AE}" pid="6" name="ReprintNo">
    <vt:lpwstr>14</vt:lpwstr>
  </property>
  <property fmtid="{D5CDD505-2E9C-101B-9397-08002B2CF9AE}" pid="7" name="AsAtDate">
    <vt:lpwstr>18 Sep 2021</vt:lpwstr>
  </property>
  <property fmtid="{D5CDD505-2E9C-101B-9397-08002B2CF9AE}" pid="8" name="Suffix">
    <vt:lpwstr>14-z0-00</vt:lpwstr>
  </property>
  <property fmtid="{D5CDD505-2E9C-101B-9397-08002B2CF9AE}" pid="9" name="CommencementDate">
    <vt:lpwstr>20210918</vt:lpwstr>
  </property>
</Properties>
</file>