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Services (Registration) Act 2011</w:t>
      </w:r>
      <w:r>
        <w:fldChar w:fldCharType="end"/>
      </w:r>
    </w:p>
    <w:p>
      <w:pPr>
        <w:pStyle w:val="NameofActRegPage1"/>
        <w:spacing w:before="1800" w:after="4200"/>
        <w:ind w:left="567" w:right="576"/>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454" w:right="454"/>
      </w:pPr>
      <w:r>
        <w:fldChar w:fldCharType="begin"/>
      </w:r>
      <w:r>
        <w:instrText xml:space="preserve"> STYLEREF "Name Of Act/Reg"</w:instrText>
      </w:r>
      <w:r>
        <w:fldChar w:fldCharType="separate"/>
      </w:r>
      <w:r>
        <w:rPr>
          <w:noProof/>
        </w:rPr>
        <w:t>Building Services (Registration)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General provisions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_Toc84343911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_Toc84343912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_Toc84343913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building services</w:t>
      </w:r>
      <w:r>
        <w:tab/>
      </w:r>
      <w:r>
        <w:fldChar w:fldCharType="begin"/>
      </w:r>
      <w:r>
        <w:instrText xml:space="preserve"> PAGEREF _Toc84343914 \h </w:instrText>
      </w:r>
      <w:r>
        <w:fldChar w:fldCharType="separate"/>
      </w:r>
      <w:r>
        <w:t>2</w:t>
      </w:r>
      <w:r>
        <w:fldChar w:fldCharType="end"/>
      </w:r>
    </w:p>
    <w:p>
      <w:pPr>
        <w:pStyle w:val="TOC8"/>
        <w:rPr>
          <w:rFonts w:asciiTheme="minorHAnsi" w:eastAsiaTheme="minorEastAsia" w:hAnsiTheme="minorHAnsi" w:cstheme="minorBidi"/>
          <w:szCs w:val="22"/>
        </w:rPr>
      </w:pPr>
      <w:r>
        <w:t>5.</w:t>
      </w:r>
      <w:r>
        <w:tab/>
        <w:t>Persons prescribed for purposes of s. 7</w:t>
      </w:r>
      <w:r>
        <w:tab/>
      </w:r>
      <w:r>
        <w:fldChar w:fldCharType="begin"/>
      </w:r>
      <w:r>
        <w:instrText xml:space="preserve"> PAGEREF _Toc84343915 \h </w:instrText>
      </w:r>
      <w:r>
        <w:fldChar w:fldCharType="separate"/>
      </w:r>
      <w:r>
        <w:t>3</w:t>
      </w:r>
      <w:r>
        <w:fldChar w:fldCharType="end"/>
      </w:r>
    </w:p>
    <w:p>
      <w:pPr>
        <w:pStyle w:val="TOC8"/>
        <w:rPr>
          <w:rFonts w:asciiTheme="minorHAnsi" w:eastAsiaTheme="minorEastAsia" w:hAnsiTheme="minorHAnsi" w:cstheme="minorBidi"/>
          <w:szCs w:val="22"/>
        </w:rPr>
      </w:pPr>
      <w:r>
        <w:t>6.</w:t>
      </w:r>
      <w:r>
        <w:tab/>
        <w:t>Classes of building service practitioner and building service contractor</w:t>
      </w:r>
      <w:r>
        <w:tab/>
      </w:r>
      <w:r>
        <w:fldChar w:fldCharType="begin"/>
      </w:r>
      <w:r>
        <w:instrText xml:space="preserve"> PAGEREF _Toc84343916 \h </w:instrText>
      </w:r>
      <w:r>
        <w:fldChar w:fldCharType="separate"/>
      </w:r>
      <w:r>
        <w:t>3</w:t>
      </w:r>
      <w:r>
        <w:fldChar w:fldCharType="end"/>
      </w:r>
    </w:p>
    <w:p>
      <w:pPr>
        <w:pStyle w:val="TOC8"/>
        <w:rPr>
          <w:rFonts w:asciiTheme="minorHAnsi" w:eastAsiaTheme="minorEastAsia" w:hAnsiTheme="minorHAnsi" w:cstheme="minorBidi"/>
          <w:szCs w:val="22"/>
        </w:rPr>
      </w:pPr>
      <w:r>
        <w:t>7.</w:t>
      </w:r>
      <w:r>
        <w:tab/>
        <w:t>Registration and renewal of registration</w:t>
      </w:r>
      <w:r>
        <w:tab/>
      </w:r>
      <w:r>
        <w:fldChar w:fldCharType="begin"/>
      </w:r>
      <w:r>
        <w:instrText xml:space="preserve"> PAGEREF _Toc84343917 \h </w:instrText>
      </w:r>
      <w:r>
        <w:fldChar w:fldCharType="separate"/>
      </w:r>
      <w:r>
        <w:t>4</w:t>
      </w:r>
      <w:r>
        <w:fldChar w:fldCharType="end"/>
      </w:r>
    </w:p>
    <w:p>
      <w:pPr>
        <w:pStyle w:val="TOC8"/>
        <w:rPr>
          <w:rFonts w:asciiTheme="minorHAnsi" w:eastAsiaTheme="minorEastAsia" w:hAnsiTheme="minorHAnsi" w:cstheme="minorBidi"/>
          <w:szCs w:val="22"/>
        </w:rPr>
      </w:pPr>
      <w:r>
        <w:t>8.</w:t>
      </w:r>
      <w:r>
        <w:tab/>
        <w:t>Membership of Board: occupation groups</w:t>
      </w:r>
      <w:r>
        <w:tab/>
      </w:r>
      <w:r>
        <w:fldChar w:fldCharType="begin"/>
      </w:r>
      <w:r>
        <w:instrText xml:space="preserve"> PAGEREF _Toc84343918 \h </w:instrText>
      </w:r>
      <w:r>
        <w:fldChar w:fldCharType="separate"/>
      </w:r>
      <w:r>
        <w:t>4</w:t>
      </w:r>
      <w:r>
        <w:fldChar w:fldCharType="end"/>
      </w:r>
    </w:p>
    <w:p>
      <w:pPr>
        <w:pStyle w:val="TOC8"/>
        <w:rPr>
          <w:rFonts w:asciiTheme="minorHAnsi" w:eastAsiaTheme="minorEastAsia" w:hAnsiTheme="minorHAnsi" w:cstheme="minorBidi"/>
          <w:szCs w:val="22"/>
        </w:rPr>
      </w:pPr>
      <w:r>
        <w:t>9.</w:t>
      </w:r>
      <w:r>
        <w:tab/>
        <w:t>Fees</w:t>
      </w:r>
      <w:r>
        <w:tab/>
      </w:r>
      <w:r>
        <w:fldChar w:fldCharType="begin"/>
      </w:r>
      <w:r>
        <w:instrText xml:space="preserve"> PAGEREF _Toc84343919 \h </w:instrText>
      </w:r>
      <w:r>
        <w:fldChar w:fldCharType="separate"/>
      </w:r>
      <w:r>
        <w:t>6</w:t>
      </w:r>
      <w:r>
        <w:fldChar w:fldCharType="end"/>
      </w:r>
    </w:p>
    <w:p>
      <w:pPr>
        <w:pStyle w:val="TOC8"/>
        <w:rPr>
          <w:rFonts w:asciiTheme="minorHAnsi" w:eastAsiaTheme="minorEastAsia" w:hAnsiTheme="minorHAnsi" w:cstheme="minorBidi"/>
          <w:szCs w:val="22"/>
        </w:rPr>
      </w:pPr>
      <w:r>
        <w:t>10.</w:t>
      </w:r>
      <w:r>
        <w:tab/>
        <w:t>Refund of fees</w:t>
      </w:r>
      <w:r>
        <w:tab/>
      </w:r>
      <w:r>
        <w:fldChar w:fldCharType="begin"/>
      </w:r>
      <w:r>
        <w:instrText xml:space="preserve"> PAGEREF _Toc84343920 \h </w:instrText>
      </w:r>
      <w:r>
        <w:fldChar w:fldCharType="separate"/>
      </w:r>
      <w:r>
        <w:t>6</w:t>
      </w:r>
      <w:r>
        <w:fldChar w:fldCharType="end"/>
      </w:r>
    </w:p>
    <w:p>
      <w:pPr>
        <w:pStyle w:val="TOC8"/>
        <w:rPr>
          <w:rFonts w:asciiTheme="minorHAnsi" w:eastAsiaTheme="minorEastAsia" w:hAnsiTheme="minorHAnsi" w:cstheme="minorBidi"/>
          <w:szCs w:val="22"/>
        </w:rPr>
      </w:pPr>
      <w:r>
        <w:t>11.</w:t>
      </w:r>
      <w:r>
        <w:tab/>
        <w:t>Notification of disciplinary action: prescribed Acts</w:t>
      </w:r>
      <w:r>
        <w:tab/>
      </w:r>
      <w:r>
        <w:fldChar w:fldCharType="begin"/>
      </w:r>
      <w:r>
        <w:instrText xml:space="preserve"> PAGEREF _Toc84343921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Builders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_Toc84343924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Building service providers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_Toc84343926 \h </w:instrText>
      </w:r>
      <w:r>
        <w:fldChar w:fldCharType="separate"/>
      </w:r>
      <w:r>
        <w:t>9</w:t>
      </w:r>
      <w:r>
        <w:fldChar w:fldCharType="end"/>
      </w:r>
    </w:p>
    <w:p>
      <w:pPr>
        <w:pStyle w:val="TOC8"/>
        <w:rPr>
          <w:rFonts w:asciiTheme="minorHAnsi" w:eastAsiaTheme="minorEastAsia" w:hAnsiTheme="minorHAnsi" w:cstheme="minorBidi"/>
          <w:szCs w:val="22"/>
        </w:rPr>
      </w:pPr>
      <w:r>
        <w:t>14.</w:t>
      </w:r>
      <w:r>
        <w:tab/>
        <w:t>Prescribed titles: building practitioners and building contractors</w:t>
      </w:r>
      <w:r>
        <w:tab/>
      </w:r>
      <w:r>
        <w:fldChar w:fldCharType="begin"/>
      </w:r>
      <w:r>
        <w:instrText xml:space="preserve"> PAGEREF _Toc84343927 \h </w:instrText>
      </w:r>
      <w:r>
        <w:fldChar w:fldCharType="separate"/>
      </w:r>
      <w:r>
        <w:t>11</w:t>
      </w:r>
      <w:r>
        <w:fldChar w:fldCharType="end"/>
      </w:r>
    </w:p>
    <w:p>
      <w:pPr>
        <w:pStyle w:val="TOC8"/>
        <w:rPr>
          <w:rFonts w:asciiTheme="minorHAnsi" w:eastAsiaTheme="minorEastAsia" w:hAnsiTheme="minorHAnsi" w:cstheme="minorBidi"/>
          <w:szCs w:val="22"/>
        </w:rPr>
      </w:pPr>
      <w:r>
        <w:t>15.</w:t>
      </w:r>
      <w:r>
        <w:tab/>
        <w:t>Building contractors: building services prescribed</w:t>
      </w:r>
      <w:r>
        <w:tab/>
      </w:r>
      <w:r>
        <w:fldChar w:fldCharType="begin"/>
      </w:r>
      <w:r>
        <w:instrText xml:space="preserve"> PAGEREF _Toc84343928 \h </w:instrText>
      </w:r>
      <w:r>
        <w:fldChar w:fldCharType="separate"/>
      </w:r>
      <w:r>
        <w:t>12</w:t>
      </w:r>
      <w:r>
        <w:fldChar w:fldCharType="end"/>
      </w:r>
    </w:p>
    <w:p>
      <w:pPr>
        <w:pStyle w:val="TOC8"/>
        <w:rPr>
          <w:rFonts w:asciiTheme="minorHAnsi" w:eastAsiaTheme="minorEastAsia" w:hAnsiTheme="minorHAnsi" w:cstheme="minorBidi"/>
          <w:szCs w:val="22"/>
        </w:rPr>
      </w:pPr>
      <w:r>
        <w:t>16.</w:t>
      </w:r>
      <w:r>
        <w:tab/>
        <w:t>Qualifications and experience: building practitioners</w:t>
      </w:r>
      <w:r>
        <w:tab/>
      </w:r>
      <w:r>
        <w:fldChar w:fldCharType="begin"/>
      </w:r>
      <w:r>
        <w:instrText xml:space="preserve"> PAGEREF _Toc84343929 \h </w:instrText>
      </w:r>
      <w:r>
        <w:fldChar w:fldCharType="separate"/>
      </w:r>
      <w:r>
        <w:t>12</w:t>
      </w:r>
      <w:r>
        <w:fldChar w:fldCharType="end"/>
      </w:r>
    </w:p>
    <w:p>
      <w:pPr>
        <w:pStyle w:val="TOC8"/>
        <w:rPr>
          <w:rFonts w:asciiTheme="minorHAnsi" w:eastAsiaTheme="minorEastAsia" w:hAnsiTheme="minorHAnsi" w:cstheme="minorBidi"/>
          <w:szCs w:val="22"/>
        </w:rPr>
      </w:pPr>
      <w:r>
        <w:t>17.</w:t>
      </w:r>
      <w:r>
        <w:tab/>
        <w:t>Conduct of examinations</w:t>
      </w:r>
      <w:r>
        <w:tab/>
      </w:r>
      <w:r>
        <w:fldChar w:fldCharType="begin"/>
      </w:r>
      <w:r>
        <w:instrText xml:space="preserve"> PAGEREF _Toc84343930 \h </w:instrText>
      </w:r>
      <w:r>
        <w:fldChar w:fldCharType="separate"/>
      </w:r>
      <w:r>
        <w:t>17</w:t>
      </w:r>
      <w:r>
        <w:fldChar w:fldCharType="end"/>
      </w:r>
    </w:p>
    <w:p>
      <w:pPr>
        <w:pStyle w:val="TOC8"/>
        <w:rPr>
          <w:rFonts w:asciiTheme="minorHAnsi" w:eastAsiaTheme="minorEastAsia" w:hAnsiTheme="minorHAnsi" w:cstheme="minorBidi"/>
          <w:szCs w:val="22"/>
        </w:rPr>
      </w:pPr>
      <w:r>
        <w:t>18.</w:t>
      </w:r>
      <w:r>
        <w:tab/>
        <w:t>Financial requirements: building contractors</w:t>
      </w:r>
      <w:r>
        <w:tab/>
      </w:r>
      <w:r>
        <w:fldChar w:fldCharType="begin"/>
      </w:r>
      <w:r>
        <w:instrText xml:space="preserve"> PAGEREF _Toc84343931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19.</w:t>
      </w:r>
      <w:r>
        <w:tab/>
        <w:t>Prescribed requirements: building contractors</w:t>
      </w:r>
      <w:r>
        <w:tab/>
      </w:r>
      <w:r>
        <w:fldChar w:fldCharType="begin"/>
      </w:r>
      <w:r>
        <w:instrText xml:space="preserve"> PAGEREF _Toc84343932 \h </w:instrText>
      </w:r>
      <w:r>
        <w:fldChar w:fldCharType="separate"/>
      </w:r>
      <w:r>
        <w:t>18</w:t>
      </w:r>
      <w:r>
        <w:fldChar w:fldCharType="end"/>
      </w:r>
    </w:p>
    <w:p>
      <w:pPr>
        <w:pStyle w:val="TOC8"/>
        <w:rPr>
          <w:rFonts w:asciiTheme="minorHAnsi" w:eastAsiaTheme="minorEastAsia" w:hAnsiTheme="minorHAnsi" w:cstheme="minorBidi"/>
          <w:szCs w:val="22"/>
        </w:rPr>
      </w:pPr>
      <w:r>
        <w:t>20.</w:t>
      </w:r>
      <w:r>
        <w:tab/>
        <w:t>Supervisor for building contractor: eligible person</w:t>
      </w:r>
      <w:r>
        <w:tab/>
      </w:r>
      <w:r>
        <w:fldChar w:fldCharType="begin"/>
      </w:r>
      <w:r>
        <w:instrText xml:space="preserve"> PAGEREF _Toc84343933 \h </w:instrText>
      </w:r>
      <w:r>
        <w:fldChar w:fldCharType="separate"/>
      </w:r>
      <w:r>
        <w:t>18</w:t>
      </w:r>
      <w:r>
        <w:fldChar w:fldCharType="end"/>
      </w:r>
    </w:p>
    <w:p>
      <w:pPr>
        <w:pStyle w:val="TOC8"/>
        <w:rPr>
          <w:rFonts w:asciiTheme="minorHAnsi" w:eastAsiaTheme="minorEastAsia" w:hAnsiTheme="minorHAnsi" w:cstheme="minorBidi"/>
          <w:szCs w:val="22"/>
        </w:rPr>
      </w:pPr>
      <w:r>
        <w:t>21.</w:t>
      </w:r>
      <w:r>
        <w:tab/>
        <w:t>Display of signs</w:t>
      </w:r>
      <w:r>
        <w:tab/>
      </w:r>
      <w:r>
        <w:fldChar w:fldCharType="begin"/>
      </w:r>
      <w:r>
        <w:instrText xml:space="preserve"> PAGEREF _Toc84343934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_Toc84343936 \h </w:instrText>
      </w:r>
      <w:r>
        <w:fldChar w:fldCharType="separate"/>
      </w:r>
      <w:r>
        <w:t>19</w:t>
      </w:r>
      <w:r>
        <w:fldChar w:fldCharType="end"/>
      </w:r>
    </w:p>
    <w:p>
      <w:pPr>
        <w:pStyle w:val="TOC8"/>
        <w:rPr>
          <w:rFonts w:asciiTheme="minorHAnsi" w:eastAsiaTheme="minorEastAsia" w:hAnsiTheme="minorHAnsi" w:cstheme="minorBidi"/>
          <w:szCs w:val="22"/>
        </w:rPr>
      </w:pPr>
      <w:r>
        <w:t>23.</w:t>
      </w:r>
      <w:r>
        <w:tab/>
        <w:t>Owner</w:t>
      </w:r>
      <w:r>
        <w:noBreakHyphen/>
        <w:t>builder work</w:t>
      </w:r>
      <w:r>
        <w:tab/>
      </w:r>
      <w:r>
        <w:fldChar w:fldCharType="begin"/>
      </w:r>
      <w:r>
        <w:instrText xml:space="preserve"> PAGEREF _Toc84343937 \h </w:instrText>
      </w:r>
      <w:r>
        <w:fldChar w:fldCharType="separate"/>
      </w:r>
      <w:r>
        <w:t>20</w:t>
      </w:r>
      <w:r>
        <w:fldChar w:fldCharType="end"/>
      </w:r>
    </w:p>
    <w:p>
      <w:pPr>
        <w:pStyle w:val="TOC8"/>
        <w:rPr>
          <w:rFonts w:asciiTheme="minorHAnsi" w:eastAsiaTheme="minorEastAsia" w:hAnsiTheme="minorHAnsi" w:cstheme="minorBidi"/>
          <w:szCs w:val="22"/>
        </w:rPr>
      </w:pPr>
      <w:r>
        <w:t>24A.</w:t>
      </w:r>
      <w:r>
        <w:tab/>
        <w:t>Prescribed interests in land</w:t>
      </w:r>
      <w:r>
        <w:tab/>
      </w:r>
      <w:r>
        <w:fldChar w:fldCharType="begin"/>
      </w:r>
      <w:r>
        <w:instrText xml:space="preserve"> PAGEREF _Toc84343938 \h </w:instrText>
      </w:r>
      <w:r>
        <w:fldChar w:fldCharType="separate"/>
      </w:r>
      <w:r>
        <w:t>20</w:t>
      </w:r>
      <w:r>
        <w:fldChar w:fldCharType="end"/>
      </w:r>
    </w:p>
    <w:p>
      <w:pPr>
        <w:pStyle w:val="TOC8"/>
        <w:rPr>
          <w:rFonts w:asciiTheme="minorHAnsi" w:eastAsiaTheme="minorEastAsia" w:hAnsiTheme="minorHAnsi" w:cstheme="minorBidi"/>
          <w:szCs w:val="22"/>
        </w:rPr>
      </w:pPr>
      <w:r>
        <w:t>24.</w:t>
      </w:r>
      <w:r>
        <w:tab/>
        <w:t>Evidence of knowledge of duties and responsibilities: owner</w:t>
      </w:r>
      <w:r>
        <w:noBreakHyphen/>
        <w:t>builders</w:t>
      </w:r>
      <w:r>
        <w:tab/>
      </w:r>
      <w:r>
        <w:fldChar w:fldCharType="begin"/>
      </w:r>
      <w:r>
        <w:instrText xml:space="preserve"> PAGEREF _Toc84343939 \h </w:instrText>
      </w:r>
      <w:r>
        <w:fldChar w:fldCharType="separate"/>
      </w:r>
      <w:r>
        <w:t>20</w:t>
      </w:r>
      <w:r>
        <w:fldChar w:fldCharType="end"/>
      </w:r>
    </w:p>
    <w:p>
      <w:pPr>
        <w:pStyle w:val="TOC8"/>
        <w:rPr>
          <w:rFonts w:asciiTheme="minorHAnsi" w:eastAsiaTheme="minorEastAsia" w:hAnsiTheme="minorHAnsi" w:cstheme="minorBidi"/>
          <w:szCs w:val="22"/>
        </w:rPr>
      </w:pPr>
      <w:r>
        <w:t>25.</w:t>
      </w:r>
      <w:r>
        <w:tab/>
        <w:t>Requirements for owner</w:t>
      </w:r>
      <w:r>
        <w:noBreakHyphen/>
        <w:t>builder approval</w:t>
      </w:r>
      <w:r>
        <w:tab/>
      </w:r>
      <w:r>
        <w:fldChar w:fldCharType="begin"/>
      </w:r>
      <w:r>
        <w:instrText xml:space="preserve"> PAGEREF _Toc84343940 \h </w:instrText>
      </w:r>
      <w:r>
        <w:fldChar w:fldCharType="separate"/>
      </w:r>
      <w:r>
        <w:t>20</w:t>
      </w:r>
      <w:r>
        <w:fldChar w:fldCharType="end"/>
      </w:r>
    </w:p>
    <w:p>
      <w:pPr>
        <w:pStyle w:val="TOC8"/>
        <w:rPr>
          <w:rFonts w:asciiTheme="minorHAnsi" w:eastAsiaTheme="minorEastAsia" w:hAnsiTheme="minorHAnsi" w:cstheme="minorBidi"/>
          <w:szCs w:val="22"/>
        </w:rPr>
      </w:pPr>
      <w:r>
        <w:t>26.</w:t>
      </w:r>
      <w:r>
        <w:tab/>
        <w:t>Conditions on owner</w:t>
      </w:r>
      <w:r>
        <w:noBreakHyphen/>
        <w:t>builder approvals</w:t>
      </w:r>
      <w:r>
        <w:tab/>
      </w:r>
      <w:r>
        <w:fldChar w:fldCharType="begin"/>
      </w:r>
      <w:r>
        <w:instrText xml:space="preserve"> PAGEREF _Toc84343941 \h </w:instrText>
      </w:r>
      <w:r>
        <w:fldChar w:fldCharType="separate"/>
      </w:r>
      <w:r>
        <w:t>21</w:t>
      </w:r>
      <w:r>
        <w:fldChar w:fldCharType="end"/>
      </w:r>
    </w:p>
    <w:p>
      <w:pPr>
        <w:pStyle w:val="TOC8"/>
        <w:rPr>
          <w:rFonts w:asciiTheme="minorHAnsi" w:eastAsiaTheme="minorEastAsia" w:hAnsiTheme="minorHAnsi" w:cstheme="minorBidi"/>
          <w:szCs w:val="22"/>
        </w:rPr>
      </w:pPr>
      <w:r>
        <w:t>27.</w:t>
      </w:r>
      <w:r>
        <w:tab/>
        <w:t>Display of signs</w:t>
      </w:r>
      <w:r>
        <w:tab/>
      </w:r>
      <w:r>
        <w:fldChar w:fldCharType="begin"/>
      </w:r>
      <w:r>
        <w:instrText xml:space="preserve"> PAGEREF _Toc84343942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3A — Building surveyors</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_Toc84343944 \h </w:instrText>
      </w:r>
      <w:r>
        <w:fldChar w:fldCharType="separate"/>
      </w:r>
      <w:r>
        <w:t>23</w:t>
      </w:r>
      <w:r>
        <w:fldChar w:fldCharType="end"/>
      </w:r>
    </w:p>
    <w:p>
      <w:pPr>
        <w:pStyle w:val="TOC8"/>
        <w:rPr>
          <w:rFonts w:asciiTheme="minorHAnsi" w:eastAsiaTheme="minorEastAsia" w:hAnsiTheme="minorHAnsi" w:cstheme="minorBidi"/>
          <w:szCs w:val="22"/>
        </w:rPr>
      </w:pPr>
      <w:r>
        <w:t>28B.</w:t>
      </w:r>
      <w:r>
        <w:tab/>
        <w:t>Prescribed titles: building surveying practitioners and building surveying contractors</w:t>
      </w:r>
      <w:r>
        <w:tab/>
      </w:r>
      <w:r>
        <w:fldChar w:fldCharType="begin"/>
      </w:r>
      <w:r>
        <w:instrText xml:space="preserve"> PAGEREF _Toc84343945 \h </w:instrText>
      </w:r>
      <w:r>
        <w:fldChar w:fldCharType="separate"/>
      </w:r>
      <w:r>
        <w:t>23</w:t>
      </w:r>
      <w:r>
        <w:fldChar w:fldCharType="end"/>
      </w:r>
    </w:p>
    <w:p>
      <w:pPr>
        <w:pStyle w:val="TOC8"/>
        <w:rPr>
          <w:rFonts w:asciiTheme="minorHAnsi" w:eastAsiaTheme="minorEastAsia" w:hAnsiTheme="minorHAnsi" w:cstheme="minorBidi"/>
          <w:szCs w:val="22"/>
        </w:rPr>
      </w:pPr>
      <w:r>
        <w:t>28C.</w:t>
      </w:r>
      <w:r>
        <w:tab/>
        <w:t>Building surveying contractors: building services prescribed</w:t>
      </w:r>
      <w:r>
        <w:tab/>
      </w:r>
      <w:r>
        <w:fldChar w:fldCharType="begin"/>
      </w:r>
      <w:r>
        <w:instrText xml:space="preserve"> PAGEREF _Toc84343946 \h </w:instrText>
      </w:r>
      <w:r>
        <w:fldChar w:fldCharType="separate"/>
      </w:r>
      <w:r>
        <w:t>25</w:t>
      </w:r>
      <w:r>
        <w:fldChar w:fldCharType="end"/>
      </w:r>
    </w:p>
    <w:p>
      <w:pPr>
        <w:pStyle w:val="TOC8"/>
        <w:rPr>
          <w:rFonts w:asciiTheme="minorHAnsi" w:eastAsiaTheme="minorEastAsia" w:hAnsiTheme="minorHAnsi" w:cstheme="minorBidi"/>
          <w:szCs w:val="22"/>
        </w:rPr>
      </w:pPr>
      <w:r>
        <w:t>28D.</w:t>
      </w:r>
      <w:r>
        <w:tab/>
        <w:t>Qualifications and experience: building surveying practitioners</w:t>
      </w:r>
      <w:r>
        <w:tab/>
      </w:r>
      <w:r>
        <w:fldChar w:fldCharType="begin"/>
      </w:r>
      <w:r>
        <w:instrText xml:space="preserve"> PAGEREF _Toc84343947 \h </w:instrText>
      </w:r>
      <w:r>
        <w:fldChar w:fldCharType="separate"/>
      </w:r>
      <w:r>
        <w:t>26</w:t>
      </w:r>
      <w:r>
        <w:fldChar w:fldCharType="end"/>
      </w:r>
    </w:p>
    <w:p>
      <w:pPr>
        <w:pStyle w:val="TOC8"/>
        <w:rPr>
          <w:rFonts w:asciiTheme="minorHAnsi" w:eastAsiaTheme="minorEastAsia" w:hAnsiTheme="minorHAnsi" w:cstheme="minorBidi"/>
          <w:szCs w:val="22"/>
        </w:rPr>
      </w:pPr>
      <w:r>
        <w:t>28E.</w:t>
      </w:r>
      <w:r>
        <w:tab/>
        <w:t>Financial requirements: building surveying contractors</w:t>
      </w:r>
      <w:r>
        <w:tab/>
      </w:r>
      <w:r>
        <w:fldChar w:fldCharType="begin"/>
      </w:r>
      <w:r>
        <w:instrText xml:space="preserve"> PAGEREF _Toc84343948 \h </w:instrText>
      </w:r>
      <w:r>
        <w:fldChar w:fldCharType="separate"/>
      </w:r>
      <w:r>
        <w:t>31</w:t>
      </w:r>
      <w:r>
        <w:fldChar w:fldCharType="end"/>
      </w:r>
    </w:p>
    <w:p>
      <w:pPr>
        <w:pStyle w:val="TOC8"/>
        <w:rPr>
          <w:rFonts w:asciiTheme="minorHAnsi" w:eastAsiaTheme="minorEastAsia" w:hAnsiTheme="minorHAnsi" w:cstheme="minorBidi"/>
          <w:szCs w:val="22"/>
        </w:rPr>
      </w:pPr>
      <w:r>
        <w:t>28F.</w:t>
      </w:r>
      <w:r>
        <w:tab/>
        <w:t>Insurance requirements: building surveying contractors</w:t>
      </w:r>
      <w:r>
        <w:tab/>
      </w:r>
      <w:r>
        <w:fldChar w:fldCharType="begin"/>
      </w:r>
      <w:r>
        <w:instrText xml:space="preserve"> PAGEREF _Toc84343949 \h </w:instrText>
      </w:r>
      <w:r>
        <w:fldChar w:fldCharType="separate"/>
      </w:r>
      <w:r>
        <w:t>32</w:t>
      </w:r>
      <w:r>
        <w:fldChar w:fldCharType="end"/>
      </w:r>
    </w:p>
    <w:p>
      <w:pPr>
        <w:pStyle w:val="TOC8"/>
        <w:rPr>
          <w:rFonts w:asciiTheme="minorHAnsi" w:eastAsiaTheme="minorEastAsia" w:hAnsiTheme="minorHAnsi" w:cstheme="minorBidi"/>
          <w:szCs w:val="22"/>
        </w:rPr>
      </w:pPr>
      <w:r>
        <w:t>28G.</w:t>
      </w:r>
      <w:r>
        <w:tab/>
        <w:t>Prescribed requirements: building surveying contractors</w:t>
      </w:r>
      <w:r>
        <w:tab/>
      </w:r>
      <w:r>
        <w:fldChar w:fldCharType="begin"/>
      </w:r>
      <w:r>
        <w:instrText xml:space="preserve"> PAGEREF _Toc84343950 \h </w:instrText>
      </w:r>
      <w:r>
        <w:fldChar w:fldCharType="separate"/>
      </w:r>
      <w:r>
        <w:t>32</w:t>
      </w:r>
      <w:r>
        <w:fldChar w:fldCharType="end"/>
      </w:r>
    </w:p>
    <w:p>
      <w:pPr>
        <w:pStyle w:val="TOC8"/>
        <w:rPr>
          <w:rFonts w:asciiTheme="minorHAnsi" w:eastAsiaTheme="minorEastAsia" w:hAnsiTheme="minorHAnsi" w:cstheme="minorBidi"/>
          <w:szCs w:val="22"/>
        </w:rPr>
      </w:pPr>
      <w:r>
        <w:t>28H.</w:t>
      </w:r>
      <w:r>
        <w:tab/>
        <w:t>Supervisor for building surveying contractors: eligible person</w:t>
      </w:r>
      <w:r>
        <w:tab/>
      </w:r>
      <w:r>
        <w:fldChar w:fldCharType="begin"/>
      </w:r>
      <w:r>
        <w:instrText xml:space="preserve"> PAGEREF _Toc84343951 \h </w:instrText>
      </w:r>
      <w:r>
        <w:fldChar w:fldCharType="separate"/>
      </w:r>
      <w:r>
        <w:t>33</w:t>
      </w:r>
      <w:r>
        <w:fldChar w:fldCharType="end"/>
      </w:r>
    </w:p>
    <w:p>
      <w:pPr>
        <w:pStyle w:val="TOC8"/>
        <w:rPr>
          <w:rFonts w:asciiTheme="minorHAnsi" w:eastAsiaTheme="minorEastAsia" w:hAnsiTheme="minorHAnsi" w:cstheme="minorBidi"/>
          <w:szCs w:val="22"/>
        </w:rPr>
      </w:pPr>
      <w:r>
        <w:t>28I.</w:t>
      </w:r>
      <w:r>
        <w:tab/>
        <w:t>Condition on registration: building surveying contractor</w:t>
      </w:r>
      <w:r>
        <w:tab/>
      </w:r>
      <w:r>
        <w:fldChar w:fldCharType="begin"/>
      </w:r>
      <w:r>
        <w:instrText xml:space="preserve"> PAGEREF _Toc84343952 \h </w:instrText>
      </w:r>
      <w:r>
        <w:fldChar w:fldCharType="separate"/>
      </w:r>
      <w:r>
        <w:t>33</w:t>
      </w:r>
      <w:r>
        <w:fldChar w:fldCharType="end"/>
      </w:r>
    </w:p>
    <w:p>
      <w:pPr>
        <w:pStyle w:val="TOC8"/>
        <w:rPr>
          <w:rFonts w:asciiTheme="minorHAnsi" w:eastAsiaTheme="minorEastAsia" w:hAnsiTheme="minorHAnsi" w:cstheme="minorBidi"/>
          <w:szCs w:val="22"/>
        </w:rPr>
      </w:pPr>
      <w:r>
        <w:t>28J.</w:t>
      </w:r>
      <w:r>
        <w:tab/>
        <w:t>Display of certificate of registration</w:t>
      </w:r>
      <w:r>
        <w:tab/>
      </w:r>
      <w:r>
        <w:fldChar w:fldCharType="begin"/>
      </w:r>
      <w:r>
        <w:instrText xml:space="preserve"> PAGEREF _Toc84343953 \h </w:instrText>
      </w:r>
      <w:r>
        <w:fldChar w:fldCharType="separate"/>
      </w:r>
      <w:r>
        <w:t>33</w:t>
      </w:r>
      <w:r>
        <w:fldChar w:fldCharType="end"/>
      </w:r>
    </w:p>
    <w:p>
      <w:pPr>
        <w:pStyle w:val="TOC8"/>
        <w:rPr>
          <w:rFonts w:asciiTheme="minorHAnsi" w:eastAsiaTheme="minorEastAsia" w:hAnsiTheme="minorHAnsi" w:cstheme="minorBidi"/>
          <w:szCs w:val="22"/>
        </w:rPr>
      </w:pPr>
      <w:r>
        <w:t>28K.</w:t>
      </w:r>
      <w:r>
        <w:tab/>
        <w:t>Display of signs</w:t>
      </w:r>
      <w:r>
        <w:tab/>
      </w:r>
      <w:r>
        <w:fldChar w:fldCharType="begin"/>
      </w:r>
      <w:r>
        <w:instrText xml:space="preserve"> PAGEREF _Toc84343954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3 — Painters</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_Toc84343956 \h </w:instrText>
      </w:r>
      <w:r>
        <w:fldChar w:fldCharType="separate"/>
      </w:r>
      <w:r>
        <w:t>36</w:t>
      </w:r>
      <w:r>
        <w:fldChar w:fldCharType="end"/>
      </w:r>
    </w:p>
    <w:p>
      <w:pPr>
        <w:pStyle w:val="TOC8"/>
        <w:rPr>
          <w:rFonts w:asciiTheme="minorHAnsi" w:eastAsiaTheme="minorEastAsia" w:hAnsiTheme="minorHAnsi" w:cstheme="minorBidi"/>
          <w:szCs w:val="22"/>
        </w:rPr>
      </w:pPr>
      <w:r>
        <w:t>29.</w:t>
      </w:r>
      <w:r>
        <w:tab/>
        <w:t>Prescribed titles: painting practitioners and painting contractors</w:t>
      </w:r>
      <w:r>
        <w:tab/>
      </w:r>
      <w:r>
        <w:fldChar w:fldCharType="begin"/>
      </w:r>
      <w:r>
        <w:instrText xml:space="preserve"> PAGEREF _Toc84343957 \h </w:instrText>
      </w:r>
      <w:r>
        <w:fldChar w:fldCharType="separate"/>
      </w:r>
      <w:r>
        <w:t>37</w:t>
      </w:r>
      <w:r>
        <w:fldChar w:fldCharType="end"/>
      </w:r>
    </w:p>
    <w:p>
      <w:pPr>
        <w:pStyle w:val="TOC8"/>
        <w:rPr>
          <w:rFonts w:asciiTheme="minorHAnsi" w:eastAsiaTheme="minorEastAsia" w:hAnsiTheme="minorHAnsi" w:cstheme="minorBidi"/>
          <w:szCs w:val="22"/>
        </w:rPr>
      </w:pPr>
      <w:r>
        <w:t>30.</w:t>
      </w:r>
      <w:r>
        <w:tab/>
        <w:t>Painting contractors: building services prescribed</w:t>
      </w:r>
      <w:r>
        <w:tab/>
      </w:r>
      <w:r>
        <w:fldChar w:fldCharType="begin"/>
      </w:r>
      <w:r>
        <w:instrText xml:space="preserve"> PAGEREF _Toc84343958 \h </w:instrText>
      </w:r>
      <w:r>
        <w:fldChar w:fldCharType="separate"/>
      </w:r>
      <w:r>
        <w:t>38</w:t>
      </w:r>
      <w:r>
        <w:fldChar w:fldCharType="end"/>
      </w:r>
    </w:p>
    <w:p>
      <w:pPr>
        <w:pStyle w:val="TOC8"/>
        <w:rPr>
          <w:rFonts w:asciiTheme="minorHAnsi" w:eastAsiaTheme="minorEastAsia" w:hAnsiTheme="minorHAnsi" w:cstheme="minorBidi"/>
          <w:szCs w:val="22"/>
        </w:rPr>
      </w:pPr>
      <w:r>
        <w:lastRenderedPageBreak/>
        <w:t>31.</w:t>
      </w:r>
      <w:r>
        <w:tab/>
        <w:t>Qualifications and experience: painting practitioners</w:t>
      </w:r>
      <w:r>
        <w:tab/>
      </w:r>
      <w:r>
        <w:fldChar w:fldCharType="begin"/>
      </w:r>
      <w:r>
        <w:instrText xml:space="preserve"> PAGEREF _Toc84343959 \h </w:instrText>
      </w:r>
      <w:r>
        <w:fldChar w:fldCharType="separate"/>
      </w:r>
      <w:r>
        <w:t>38</w:t>
      </w:r>
      <w:r>
        <w:fldChar w:fldCharType="end"/>
      </w:r>
    </w:p>
    <w:p>
      <w:pPr>
        <w:pStyle w:val="TOC8"/>
        <w:rPr>
          <w:rFonts w:asciiTheme="minorHAnsi" w:eastAsiaTheme="minorEastAsia" w:hAnsiTheme="minorHAnsi" w:cstheme="minorBidi"/>
          <w:szCs w:val="22"/>
        </w:rPr>
      </w:pPr>
      <w:r>
        <w:t>32.</w:t>
      </w:r>
      <w:r>
        <w:tab/>
        <w:t>Conduct of examinations</w:t>
      </w:r>
      <w:r>
        <w:tab/>
      </w:r>
      <w:r>
        <w:fldChar w:fldCharType="begin"/>
      </w:r>
      <w:r>
        <w:instrText xml:space="preserve"> PAGEREF _Toc84343960 \h </w:instrText>
      </w:r>
      <w:r>
        <w:fldChar w:fldCharType="separate"/>
      </w:r>
      <w:r>
        <w:t>41</w:t>
      </w:r>
      <w:r>
        <w:fldChar w:fldCharType="end"/>
      </w:r>
    </w:p>
    <w:p>
      <w:pPr>
        <w:pStyle w:val="TOC8"/>
        <w:rPr>
          <w:rFonts w:asciiTheme="minorHAnsi" w:eastAsiaTheme="minorEastAsia" w:hAnsiTheme="minorHAnsi" w:cstheme="minorBidi"/>
          <w:szCs w:val="22"/>
        </w:rPr>
      </w:pPr>
      <w:r>
        <w:t>33.</w:t>
      </w:r>
      <w:r>
        <w:tab/>
        <w:t>Financial requirements: painting contractors</w:t>
      </w:r>
      <w:r>
        <w:tab/>
      </w:r>
      <w:r>
        <w:fldChar w:fldCharType="begin"/>
      </w:r>
      <w:r>
        <w:instrText xml:space="preserve"> PAGEREF _Toc84343961 \h </w:instrText>
      </w:r>
      <w:r>
        <w:fldChar w:fldCharType="separate"/>
      </w:r>
      <w:r>
        <w:t>41</w:t>
      </w:r>
      <w:r>
        <w:fldChar w:fldCharType="end"/>
      </w:r>
    </w:p>
    <w:p>
      <w:pPr>
        <w:pStyle w:val="TOC8"/>
        <w:rPr>
          <w:rFonts w:asciiTheme="minorHAnsi" w:eastAsiaTheme="minorEastAsia" w:hAnsiTheme="minorHAnsi" w:cstheme="minorBidi"/>
          <w:szCs w:val="22"/>
        </w:rPr>
      </w:pPr>
      <w:r>
        <w:t>34.</w:t>
      </w:r>
      <w:r>
        <w:tab/>
        <w:t>Prescribed requirements: painting contractors</w:t>
      </w:r>
      <w:r>
        <w:tab/>
      </w:r>
      <w:r>
        <w:fldChar w:fldCharType="begin"/>
      </w:r>
      <w:r>
        <w:instrText xml:space="preserve"> PAGEREF _Toc84343962 \h </w:instrText>
      </w:r>
      <w:r>
        <w:fldChar w:fldCharType="separate"/>
      </w:r>
      <w:r>
        <w:t>42</w:t>
      </w:r>
      <w:r>
        <w:fldChar w:fldCharType="end"/>
      </w:r>
    </w:p>
    <w:p>
      <w:pPr>
        <w:pStyle w:val="TOC8"/>
        <w:rPr>
          <w:rFonts w:asciiTheme="minorHAnsi" w:eastAsiaTheme="minorEastAsia" w:hAnsiTheme="minorHAnsi" w:cstheme="minorBidi"/>
          <w:szCs w:val="22"/>
        </w:rPr>
      </w:pPr>
      <w:r>
        <w:t>35.</w:t>
      </w:r>
      <w:r>
        <w:tab/>
        <w:t>Supervisor for painting contractor: eligible person</w:t>
      </w:r>
      <w:r>
        <w:tab/>
      </w:r>
      <w:r>
        <w:fldChar w:fldCharType="begin"/>
      </w:r>
      <w:r>
        <w:instrText xml:space="preserve"> PAGEREF _Toc84343963 \h </w:instrText>
      </w:r>
      <w:r>
        <w:fldChar w:fldCharType="separate"/>
      </w:r>
      <w:r>
        <w:t>42</w:t>
      </w:r>
      <w:r>
        <w:fldChar w:fldCharType="end"/>
      </w:r>
    </w:p>
    <w:p>
      <w:pPr>
        <w:pStyle w:val="TOC8"/>
        <w:rPr>
          <w:rFonts w:asciiTheme="minorHAnsi" w:eastAsiaTheme="minorEastAsia" w:hAnsiTheme="minorHAnsi" w:cstheme="minorBidi"/>
          <w:szCs w:val="22"/>
        </w:rPr>
      </w:pPr>
      <w:r>
        <w:t>36.</w:t>
      </w:r>
      <w:r>
        <w:tab/>
        <w:t>Display of signs</w:t>
      </w:r>
      <w:r>
        <w:tab/>
      </w:r>
      <w:r>
        <w:fldChar w:fldCharType="begin"/>
      </w:r>
      <w:r>
        <w:instrText xml:space="preserve"> PAGEREF _Toc84343964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3B</w:t>
      </w:r>
      <w:r>
        <w:rPr>
          <w:b w:val="0"/>
        </w:rPr>
        <w:t> </w:t>
      </w:r>
      <w:r>
        <w:t>—</w:t>
      </w:r>
      <w:r>
        <w:rPr>
          <w:b w:val="0"/>
        </w:rPr>
        <w:t> </w:t>
      </w:r>
      <w:r>
        <w:t>Infringement notices</w:t>
      </w:r>
    </w:p>
    <w:p>
      <w:pPr>
        <w:pStyle w:val="TOC8"/>
        <w:rPr>
          <w:rFonts w:asciiTheme="minorHAnsi" w:eastAsiaTheme="minorEastAsia" w:hAnsiTheme="minorHAnsi" w:cstheme="minorBidi"/>
          <w:szCs w:val="22"/>
        </w:rPr>
      </w:pPr>
      <w:r>
        <w:t>36A.</w:t>
      </w:r>
      <w:r>
        <w:tab/>
        <w:t>Prescribed offences and modified penalties</w:t>
      </w:r>
      <w:r>
        <w:tab/>
      </w:r>
      <w:r>
        <w:fldChar w:fldCharType="begin"/>
      </w:r>
      <w:r>
        <w:instrText xml:space="preserve"> PAGEREF _Toc84343966 \h </w:instrText>
      </w:r>
      <w:r>
        <w:fldChar w:fldCharType="separate"/>
      </w:r>
      <w:r>
        <w:t>44</w:t>
      </w:r>
      <w:r>
        <w:fldChar w:fldCharType="end"/>
      </w:r>
    </w:p>
    <w:p>
      <w:pPr>
        <w:pStyle w:val="TOC8"/>
        <w:rPr>
          <w:rFonts w:asciiTheme="minorHAnsi" w:eastAsiaTheme="minorEastAsia" w:hAnsiTheme="minorHAnsi" w:cstheme="minorBidi"/>
          <w:szCs w:val="22"/>
        </w:rPr>
      </w:pPr>
      <w:r>
        <w:t>36B.</w:t>
      </w:r>
      <w:r>
        <w:tab/>
        <w:t>Authorised officers and approved officers</w:t>
      </w:r>
      <w:r>
        <w:tab/>
      </w:r>
      <w:r>
        <w:fldChar w:fldCharType="begin"/>
      </w:r>
      <w:r>
        <w:instrText xml:space="preserve"> PAGEREF _Toc84343967 \h </w:instrText>
      </w:r>
      <w:r>
        <w:fldChar w:fldCharType="separate"/>
      </w:r>
      <w:r>
        <w:t>44</w:t>
      </w:r>
      <w:r>
        <w:fldChar w:fldCharType="end"/>
      </w:r>
    </w:p>
    <w:p>
      <w:pPr>
        <w:pStyle w:val="TOC8"/>
        <w:rPr>
          <w:rFonts w:asciiTheme="minorHAnsi" w:eastAsiaTheme="minorEastAsia" w:hAnsiTheme="minorHAnsi" w:cstheme="minorBidi"/>
          <w:szCs w:val="22"/>
        </w:rPr>
      </w:pPr>
      <w:r>
        <w:t>36C.</w:t>
      </w:r>
      <w:r>
        <w:tab/>
        <w:t>Forms</w:t>
      </w:r>
      <w:r>
        <w:tab/>
      </w:r>
      <w:r>
        <w:fldChar w:fldCharType="begin"/>
      </w:r>
      <w:r>
        <w:instrText xml:space="preserve"> PAGEREF _Toc84343968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Builders’ Registration Act 1939</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_Toc84343971 \h </w:instrText>
      </w:r>
      <w:r>
        <w:fldChar w:fldCharType="separate"/>
      </w:r>
      <w:r>
        <w:t>45</w:t>
      </w:r>
      <w:r>
        <w:fldChar w:fldCharType="end"/>
      </w:r>
    </w:p>
    <w:p>
      <w:pPr>
        <w:pStyle w:val="TOC8"/>
        <w:rPr>
          <w:rFonts w:asciiTheme="minorHAnsi" w:eastAsiaTheme="minorEastAsia" w:hAnsiTheme="minorHAnsi" w:cstheme="minorBidi"/>
          <w:szCs w:val="22"/>
        </w:rPr>
      </w:pPr>
      <w:r>
        <w:t>38.</w:t>
      </w:r>
      <w:r>
        <w:tab/>
        <w:t>Continuation of registration (Act s. 114)</w:t>
      </w:r>
      <w:r>
        <w:tab/>
      </w:r>
      <w:r>
        <w:fldChar w:fldCharType="begin"/>
      </w:r>
      <w:r>
        <w:instrText xml:space="preserve"> PAGEREF _Toc84343972 \h </w:instrText>
      </w:r>
      <w:r>
        <w:fldChar w:fldCharType="separate"/>
      </w:r>
      <w:r>
        <w:t>45</w:t>
      </w:r>
      <w:r>
        <w:fldChar w:fldCharType="end"/>
      </w:r>
    </w:p>
    <w:p>
      <w:pPr>
        <w:pStyle w:val="TOC8"/>
        <w:rPr>
          <w:rFonts w:asciiTheme="minorHAnsi" w:eastAsiaTheme="minorEastAsia" w:hAnsiTheme="minorHAnsi" w:cstheme="minorBidi"/>
          <w:szCs w:val="22"/>
        </w:rPr>
      </w:pPr>
      <w:r>
        <w:t>39.</w:t>
      </w:r>
      <w:r>
        <w:tab/>
        <w:t>Continuation of declaration of ineligible persons</w:t>
      </w:r>
      <w:r>
        <w:tab/>
      </w:r>
      <w:r>
        <w:fldChar w:fldCharType="begin"/>
      </w:r>
      <w:r>
        <w:instrText xml:space="preserve"> PAGEREF _Toc84343973 \h </w:instrText>
      </w:r>
      <w:r>
        <w:fldChar w:fldCharType="separate"/>
      </w:r>
      <w:r>
        <w:t>46</w:t>
      </w:r>
      <w:r>
        <w:fldChar w:fldCharType="end"/>
      </w:r>
    </w:p>
    <w:p>
      <w:pPr>
        <w:pStyle w:val="TOC8"/>
        <w:rPr>
          <w:rFonts w:asciiTheme="minorHAnsi" w:eastAsiaTheme="minorEastAsia" w:hAnsiTheme="minorHAnsi" w:cstheme="minorBidi"/>
          <w:szCs w:val="22"/>
        </w:rPr>
      </w:pPr>
      <w:r>
        <w:t>40.</w:t>
      </w:r>
      <w:r>
        <w:tab/>
        <w:t>Membership of Board — experience as builder</w:t>
      </w:r>
      <w:r>
        <w:tab/>
      </w:r>
      <w:r>
        <w:fldChar w:fldCharType="begin"/>
      </w:r>
      <w:r>
        <w:instrText xml:space="preserve"> PAGEREF _Toc84343974 \h </w:instrText>
      </w:r>
      <w:r>
        <w:fldChar w:fldCharType="separate"/>
      </w:r>
      <w:r>
        <w:t>46</w:t>
      </w:r>
      <w:r>
        <w:fldChar w:fldCharType="end"/>
      </w:r>
    </w:p>
    <w:p>
      <w:pPr>
        <w:pStyle w:val="TOC8"/>
        <w:rPr>
          <w:rFonts w:asciiTheme="minorHAnsi" w:eastAsiaTheme="minorEastAsia" w:hAnsiTheme="minorHAnsi" w:cstheme="minorBidi"/>
          <w:szCs w:val="22"/>
        </w:rPr>
      </w:pPr>
      <w:r>
        <w:t>41.</w:t>
      </w:r>
      <w:r>
        <w:tab/>
        <w:t>Continuation of owner</w:t>
      </w:r>
      <w:r>
        <w:noBreakHyphen/>
        <w:t>builder authorisation</w:t>
      </w:r>
      <w:r>
        <w:tab/>
      </w:r>
      <w:r>
        <w:fldChar w:fldCharType="begin"/>
      </w:r>
      <w:r>
        <w:instrText xml:space="preserve"> PAGEREF _Toc84343975 \h </w:instrText>
      </w:r>
      <w:r>
        <w:fldChar w:fldCharType="separate"/>
      </w:r>
      <w:r>
        <w:t>46</w:t>
      </w:r>
      <w:r>
        <w:fldChar w:fldCharType="end"/>
      </w:r>
    </w:p>
    <w:p>
      <w:pPr>
        <w:pStyle w:val="TOC8"/>
        <w:rPr>
          <w:rFonts w:asciiTheme="minorHAnsi" w:eastAsiaTheme="minorEastAsia" w:hAnsiTheme="minorHAnsi" w:cstheme="minorBidi"/>
          <w:szCs w:val="22"/>
        </w:rPr>
      </w:pPr>
      <w:r>
        <w:t>42.</w:t>
      </w:r>
      <w:r>
        <w:tab/>
        <w:t>Building Commissioner may exercise powers</w:t>
      </w:r>
      <w:r>
        <w:tab/>
      </w:r>
      <w:r>
        <w:fldChar w:fldCharType="begin"/>
      </w:r>
      <w:r>
        <w:instrText xml:space="preserve"> PAGEREF _Toc84343976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Painters’ Registration Act 1961</w:t>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_Toc84343978 \h </w:instrText>
      </w:r>
      <w:r>
        <w:fldChar w:fldCharType="separate"/>
      </w:r>
      <w:r>
        <w:t>47</w:t>
      </w:r>
      <w:r>
        <w:fldChar w:fldCharType="end"/>
      </w:r>
    </w:p>
    <w:p>
      <w:pPr>
        <w:pStyle w:val="TOC8"/>
        <w:rPr>
          <w:rFonts w:asciiTheme="minorHAnsi" w:eastAsiaTheme="minorEastAsia" w:hAnsiTheme="minorHAnsi" w:cstheme="minorBidi"/>
          <w:szCs w:val="22"/>
        </w:rPr>
      </w:pPr>
      <w:r>
        <w:t>44.</w:t>
      </w:r>
      <w:r>
        <w:tab/>
        <w:t>Continuation of registration (Act s. 127)</w:t>
      </w:r>
      <w:r>
        <w:tab/>
      </w:r>
      <w:r>
        <w:fldChar w:fldCharType="begin"/>
      </w:r>
      <w:r>
        <w:instrText xml:space="preserve"> PAGEREF _Toc84343979 \h </w:instrText>
      </w:r>
      <w:r>
        <w:fldChar w:fldCharType="separate"/>
      </w:r>
      <w:r>
        <w:t>47</w:t>
      </w:r>
      <w:r>
        <w:fldChar w:fldCharType="end"/>
      </w:r>
    </w:p>
    <w:p>
      <w:pPr>
        <w:pStyle w:val="TOC8"/>
        <w:rPr>
          <w:rFonts w:asciiTheme="minorHAnsi" w:eastAsiaTheme="minorEastAsia" w:hAnsiTheme="minorHAnsi" w:cstheme="minorBidi"/>
          <w:szCs w:val="22"/>
        </w:rPr>
      </w:pPr>
      <w:r>
        <w:t>45.</w:t>
      </w:r>
      <w:r>
        <w:tab/>
        <w:t>Membership of Board — experience as painter</w:t>
      </w:r>
      <w:r>
        <w:tab/>
      </w:r>
      <w:r>
        <w:fldChar w:fldCharType="begin"/>
      </w:r>
      <w:r>
        <w:instrText xml:space="preserve"> PAGEREF _Toc84343980 \h </w:instrText>
      </w:r>
      <w:r>
        <w:fldChar w:fldCharType="separate"/>
      </w:r>
      <w:r>
        <w:t>47</w:t>
      </w:r>
      <w:r>
        <w:fldChar w:fldCharType="end"/>
      </w:r>
    </w:p>
    <w:p>
      <w:pPr>
        <w:pStyle w:val="TOC8"/>
        <w:rPr>
          <w:rFonts w:asciiTheme="minorHAnsi" w:eastAsiaTheme="minorEastAsia" w:hAnsiTheme="minorHAnsi" w:cstheme="minorBidi"/>
          <w:szCs w:val="22"/>
        </w:rPr>
      </w:pPr>
      <w:r>
        <w:t>46.</w:t>
      </w:r>
      <w:r>
        <w:tab/>
        <w:t>Building Commissioner may exercise powers</w:t>
      </w:r>
      <w:r>
        <w:tab/>
      </w:r>
      <w:r>
        <w:fldChar w:fldCharType="begin"/>
      </w:r>
      <w:r>
        <w:instrText xml:space="preserve"> PAGEREF _Toc84343981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Local Government (Building Surveyors) Regulations 2008</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_Toc84343983 \h </w:instrText>
      </w:r>
      <w:r>
        <w:fldChar w:fldCharType="separate"/>
      </w:r>
      <w:r>
        <w:t>48</w:t>
      </w:r>
      <w:r>
        <w:fldChar w:fldCharType="end"/>
      </w:r>
    </w:p>
    <w:p>
      <w:pPr>
        <w:pStyle w:val="TOC8"/>
        <w:rPr>
          <w:rFonts w:asciiTheme="minorHAnsi" w:eastAsiaTheme="minorEastAsia" w:hAnsiTheme="minorHAnsi" w:cstheme="minorBidi"/>
          <w:szCs w:val="22"/>
        </w:rPr>
      </w:pPr>
      <w:r>
        <w:t>48.</w:t>
      </w:r>
      <w:r>
        <w:tab/>
        <w:t>Continuation of registration</w:t>
      </w:r>
      <w:r>
        <w:tab/>
      </w:r>
      <w:r>
        <w:fldChar w:fldCharType="begin"/>
      </w:r>
      <w:r>
        <w:instrText xml:space="preserve"> PAGEREF _Toc84343984 \h </w:instrText>
      </w:r>
      <w:r>
        <w:fldChar w:fldCharType="separate"/>
      </w:r>
      <w:r>
        <w:t>48</w:t>
      </w:r>
      <w:r>
        <w:fldChar w:fldCharType="end"/>
      </w:r>
    </w:p>
    <w:p>
      <w:pPr>
        <w:pStyle w:val="TOC8"/>
        <w:rPr>
          <w:rFonts w:asciiTheme="minorHAnsi" w:eastAsiaTheme="minorEastAsia" w:hAnsiTheme="minorHAnsi" w:cstheme="minorBidi"/>
          <w:szCs w:val="22"/>
        </w:rPr>
      </w:pPr>
      <w:r>
        <w:t>49.</w:t>
      </w:r>
      <w:r>
        <w:tab/>
        <w:t>Nominated supervisors for contractors before repeal day</w:t>
      </w:r>
      <w:r>
        <w:tab/>
      </w:r>
      <w:r>
        <w:fldChar w:fldCharType="begin"/>
      </w:r>
      <w:r>
        <w:instrText xml:space="preserve"> PAGEREF _Toc84343985 \h </w:instrText>
      </w:r>
      <w:r>
        <w:fldChar w:fldCharType="separate"/>
      </w:r>
      <w:r>
        <w:t>49</w:t>
      </w:r>
      <w:r>
        <w:fldChar w:fldCharType="end"/>
      </w:r>
    </w:p>
    <w:p>
      <w:pPr>
        <w:pStyle w:val="TOC8"/>
        <w:rPr>
          <w:rFonts w:asciiTheme="minorHAnsi" w:eastAsiaTheme="minorEastAsia" w:hAnsiTheme="minorHAnsi" w:cstheme="minorBidi"/>
          <w:szCs w:val="22"/>
        </w:rPr>
      </w:pPr>
      <w:r>
        <w:t>50.</w:t>
      </w:r>
      <w:r>
        <w:tab/>
        <w:t>Cancellation of certificate</w:t>
      </w:r>
      <w:r>
        <w:tab/>
      </w:r>
      <w:r>
        <w:fldChar w:fldCharType="begin"/>
      </w:r>
      <w:r>
        <w:instrText xml:space="preserve"> PAGEREF _Toc84343986 \h </w:instrText>
      </w:r>
      <w:r>
        <w:fldChar w:fldCharType="separate"/>
      </w:r>
      <w:r>
        <w:t>50</w:t>
      </w:r>
      <w:r>
        <w:fldChar w:fldCharType="end"/>
      </w:r>
    </w:p>
    <w:p>
      <w:pPr>
        <w:pStyle w:val="TOC8"/>
        <w:rPr>
          <w:rFonts w:asciiTheme="minorHAnsi" w:eastAsiaTheme="minorEastAsia" w:hAnsiTheme="minorHAnsi" w:cstheme="minorBidi"/>
          <w:szCs w:val="22"/>
        </w:rPr>
      </w:pPr>
      <w:r>
        <w:t>51.</w:t>
      </w:r>
      <w:r>
        <w:tab/>
        <w:t>Membership of Board — experience as a building surveyor</w:t>
      </w:r>
      <w:r>
        <w:tab/>
      </w:r>
      <w:r>
        <w:fldChar w:fldCharType="begin"/>
      </w:r>
      <w:r>
        <w:instrText xml:space="preserve"> PAGEREF _Toc84343987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4 — Building Services (Registration) Amendment Regulations (No. 2) 2017</w:t>
      </w:r>
    </w:p>
    <w:p>
      <w:pPr>
        <w:pStyle w:val="TOC8"/>
        <w:rPr>
          <w:rFonts w:asciiTheme="minorHAnsi" w:eastAsiaTheme="minorEastAsia" w:hAnsiTheme="minorHAnsi" w:cstheme="minorBidi"/>
          <w:szCs w:val="22"/>
        </w:rPr>
      </w:pPr>
      <w:r>
        <w:t>52.</w:t>
      </w:r>
      <w:r>
        <w:tab/>
        <w:t>Painting practitioners: applications for registration made before 1 September 2018</w:t>
      </w:r>
      <w:r>
        <w:tab/>
      </w:r>
      <w:r>
        <w:fldChar w:fldCharType="begin"/>
      </w:r>
      <w:r>
        <w:instrText xml:space="preserve"> PAGEREF _Toc84343989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Fees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Builders</w:t>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4"/>
        <w:tabs>
          <w:tab w:val="right" w:leader="dot" w:pos="7077"/>
        </w:tabs>
        <w:rPr>
          <w:rFonts w:asciiTheme="minorHAnsi" w:eastAsiaTheme="minorEastAsia" w:hAnsiTheme="minorHAnsi" w:cstheme="minorBidi"/>
          <w:b w:val="0"/>
          <w:szCs w:val="22"/>
        </w:rPr>
      </w:pPr>
      <w:r>
        <w:t>Division 4 — Building surveyors</w:t>
      </w:r>
    </w:p>
    <w:p>
      <w:pPr>
        <w:pStyle w:val="TOC4"/>
        <w:tabs>
          <w:tab w:val="right" w:leader="dot" w:pos="7077"/>
        </w:tabs>
        <w:rPr>
          <w:rFonts w:asciiTheme="minorHAnsi" w:eastAsiaTheme="minorEastAsia" w:hAnsiTheme="minorHAnsi" w:cstheme="minorBidi"/>
          <w:b w:val="0"/>
          <w:szCs w:val="22"/>
        </w:rPr>
      </w:pPr>
      <w:r>
        <w:t>Division 5 — Painters</w:t>
      </w:r>
    </w:p>
    <w:p>
      <w:pPr>
        <w:pStyle w:val="TOC2"/>
        <w:tabs>
          <w:tab w:val="right" w:leader="dot" w:pos="7077"/>
        </w:tabs>
        <w:rPr>
          <w:rFonts w:asciiTheme="minorHAnsi" w:eastAsiaTheme="minorEastAsia" w:hAnsiTheme="minorHAnsi" w:cstheme="minorBidi"/>
          <w:b w:val="0"/>
          <w:sz w:val="22"/>
          <w:szCs w:val="22"/>
        </w:rPr>
      </w:pPr>
      <w:r>
        <w:t>Schedule 2 — Estimating the value of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_Toc84343997 \h </w:instrText>
      </w:r>
      <w:r>
        <w:fldChar w:fldCharType="separate"/>
      </w:r>
      <w:r>
        <w:t>61</w:t>
      </w:r>
      <w:r>
        <w:fldChar w:fldCharType="end"/>
      </w:r>
    </w:p>
    <w:p>
      <w:pPr>
        <w:pStyle w:val="TOC8"/>
        <w:rPr>
          <w:rFonts w:asciiTheme="minorHAnsi" w:eastAsiaTheme="minorEastAsia" w:hAnsiTheme="minorHAnsi" w:cstheme="minorBidi"/>
          <w:szCs w:val="22"/>
        </w:rPr>
      </w:pPr>
      <w:r>
        <w:t>2.</w:t>
      </w:r>
      <w:r>
        <w:tab/>
        <w:t>Estimated value of work</w:t>
      </w:r>
      <w:r>
        <w:tab/>
      </w:r>
      <w:r>
        <w:fldChar w:fldCharType="begin"/>
      </w:r>
      <w:r>
        <w:instrText xml:space="preserve"> PAGEREF _Toc84343998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Schedule 3 — Builder work: areas of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_Toc84344000 \h </w:instrText>
      </w:r>
      <w:r>
        <w:fldChar w:fldCharType="separate"/>
      </w:r>
      <w:r>
        <w:t>62</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_Toc84344001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Schedule 4 — Painter work: areas of the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_Toc84344003 \h </w:instrText>
      </w:r>
      <w:r>
        <w:fldChar w:fldCharType="separate"/>
      </w:r>
      <w:r>
        <w:t>64</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_Toc84344004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_Toc84344007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Offences under the Act</w:t>
      </w:r>
    </w:p>
    <w:p>
      <w:pPr>
        <w:pStyle w:val="TOC4"/>
        <w:tabs>
          <w:tab w:val="right" w:leader="dot" w:pos="7077"/>
        </w:tabs>
        <w:rPr>
          <w:rFonts w:asciiTheme="minorHAnsi" w:eastAsiaTheme="minorEastAsia" w:hAnsiTheme="minorHAnsi" w:cstheme="minorBidi"/>
          <w:b w:val="0"/>
          <w:szCs w:val="22"/>
        </w:rPr>
      </w:pPr>
      <w:r>
        <w:t>Division 3 — Offences under these regulations</w:t>
      </w:r>
    </w:p>
    <w:p>
      <w:pPr>
        <w:pStyle w:val="TOC2"/>
        <w:tabs>
          <w:tab w:val="right" w:leader="dot" w:pos="7077"/>
        </w:tabs>
        <w:rPr>
          <w:rFonts w:asciiTheme="minorHAnsi" w:eastAsiaTheme="minorEastAsia" w:hAnsiTheme="minorHAnsi" w:cstheme="minorBidi"/>
          <w:b w:val="0"/>
          <w:sz w:val="22"/>
          <w:szCs w:val="22"/>
        </w:rPr>
      </w:pPr>
      <w:r>
        <w:t>Schedule 6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_Toc84344012 \h </w:instrText>
      </w:r>
      <w:r>
        <w:fldChar w:fldCharType="separate"/>
      </w:r>
      <w:r>
        <w:t>74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_Toc84344013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3" w:name="_Toc84335849"/>
      <w:bookmarkStart w:id="4" w:name="_Toc84336669"/>
      <w:bookmarkStart w:id="5" w:name="_Toc84343910"/>
      <w:r>
        <w:rPr>
          <w:rStyle w:val="CharPartNo"/>
        </w:rPr>
        <w:t>Part 1</w:t>
      </w:r>
      <w:r>
        <w:rPr>
          <w:rStyle w:val="CharDivNo"/>
        </w:rPr>
        <w:t> </w:t>
      </w:r>
      <w:r>
        <w:t>—</w:t>
      </w:r>
      <w:r>
        <w:rPr>
          <w:rStyle w:val="CharDivText"/>
        </w:rPr>
        <w:t> </w:t>
      </w:r>
      <w:r>
        <w:rPr>
          <w:rStyle w:val="CharPartText"/>
        </w:rPr>
        <w:t>General provisions</w:t>
      </w:r>
      <w:bookmarkEnd w:id="3"/>
      <w:bookmarkEnd w:id="4"/>
      <w:bookmarkEnd w:id="5"/>
    </w:p>
    <w:p>
      <w:pPr>
        <w:pStyle w:val="Heading5"/>
      </w:pPr>
      <w:bookmarkStart w:id="6" w:name="_Toc84343911"/>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Building Services (Registration) Regulations 2011</w:t>
      </w:r>
      <w:r>
        <w:t>.</w:t>
      </w:r>
    </w:p>
    <w:p>
      <w:pPr>
        <w:pStyle w:val="Heading5"/>
        <w:rPr>
          <w:spacing w:val="-2"/>
        </w:rPr>
      </w:pPr>
      <w:bookmarkStart w:id="8" w:name="_Toc84343912"/>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p>
    <w:p>
      <w:pPr>
        <w:pStyle w:val="Heading5"/>
      </w:pPr>
      <w:bookmarkStart w:id="9" w:name="_Toc84343913"/>
      <w:r>
        <w:rPr>
          <w:rStyle w:val="CharSectno"/>
        </w:rPr>
        <w:t>3</w:t>
      </w:r>
      <w:r>
        <w:t>.</w:t>
      </w:r>
      <w:r>
        <w:tab/>
        <w:t>Terms used</w:t>
      </w:r>
      <w:bookmarkEnd w:id="9"/>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lastRenderedPageBreak/>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owner</w:t>
      </w:r>
      <w:r>
        <w:rPr>
          <w:rStyle w:val="CharDefText"/>
        </w:rPr>
        <w:noBreakHyphen/>
        <w:t>builder</w:t>
      </w:r>
      <w:r>
        <w:t>, in relation to building work, means a person who has an owner</w:t>
      </w:r>
      <w:r>
        <w:noBreakHyphen/>
        <w:t xml:space="preserve">builder approval granted under the </w:t>
      </w:r>
      <w:r>
        <w:rPr>
          <w:i/>
        </w:rPr>
        <w:t>Building Services (Registration) Act 2011</w:t>
      </w:r>
      <w:r>
        <w:t xml:space="preserve"> section 45 to carry out the building work;</w:t>
      </w:r>
    </w:p>
    <w:p>
      <w:pPr>
        <w:pStyle w:val="Defstart"/>
      </w:pPr>
      <w:r>
        <w:tab/>
      </w:r>
      <w:r>
        <w:rPr>
          <w:rStyle w:val="CharDefText"/>
        </w:rPr>
        <w:t>painter work</w:t>
      </w:r>
      <w:r>
        <w:t xml:space="preserve"> has the meaning given in regulation 28;</w:t>
      </w:r>
    </w:p>
    <w:p>
      <w:pPr>
        <w:pStyle w:val="Defstart"/>
      </w:pPr>
      <w:r>
        <w:tab/>
      </w:r>
      <w:r>
        <w:rPr>
          <w:rStyle w:val="CharDefText"/>
        </w:rPr>
        <w:t>principal builder</w:t>
      </w:r>
      <w:r>
        <w:t xml:space="preserve">, in relation to builder work, means a person who carries out, or undertakes to carry out, the builder work for another person but does not include — </w:t>
      </w:r>
    </w:p>
    <w:p>
      <w:pPr>
        <w:pStyle w:val="Defpara"/>
      </w:pPr>
      <w:r>
        <w:tab/>
        <w:t>(a)</w:t>
      </w:r>
      <w:r>
        <w:tab/>
        <w:t>a person engaged as a subcontractor to carry out all or part of the builder work; or</w:t>
      </w:r>
    </w:p>
    <w:p>
      <w:pPr>
        <w:pStyle w:val="Defpara"/>
      </w:pPr>
      <w:r>
        <w:tab/>
        <w:t>(b)</w:t>
      </w:r>
      <w:r>
        <w:tab/>
        <w:t>a person who carries out, or undertakes to carry out, all or part of the builder work for an owner</w:t>
      </w:r>
      <w:r>
        <w:noBreakHyphen/>
        <w:t>builder;</w:t>
      </w:r>
    </w:p>
    <w:p>
      <w:pPr>
        <w:pStyle w:val="Defstart"/>
      </w:pPr>
      <w:r>
        <w:tab/>
      </w:r>
      <w:r>
        <w:rPr>
          <w:rStyle w:val="CharDefText"/>
        </w:rPr>
        <w:t>section</w:t>
      </w:r>
      <w:r>
        <w:t xml:space="preserve"> means section of the Act.</w:t>
      </w:r>
    </w:p>
    <w:p>
      <w:pPr>
        <w:pStyle w:val="Footnotesection"/>
      </w:pPr>
      <w:r>
        <w:tab/>
        <w:t>[Regulation 3 amended: Gazette 12 Mar 2012 p. 990 and p. 1008; 31 Mar 2017 p. 1941-2; SL 2020/196 r. 11; SL 2021/86 r. 15.]</w:t>
      </w:r>
    </w:p>
    <w:p>
      <w:pPr>
        <w:pStyle w:val="Heading5"/>
      </w:pPr>
      <w:bookmarkStart w:id="10" w:name="_Toc84343914"/>
      <w:r>
        <w:rPr>
          <w:rStyle w:val="CharSectno"/>
        </w:rPr>
        <w:t>4</w:t>
      </w:r>
      <w:r>
        <w:t>.</w:t>
      </w:r>
      <w:r>
        <w:tab/>
        <w:t>Prescribed building services</w:t>
      </w:r>
      <w:bookmarkEnd w:id="10"/>
    </w:p>
    <w:p>
      <w:pPr>
        <w:pStyle w:val="Subsection"/>
        <w:keepLines/>
      </w:pPr>
      <w:r>
        <w:tab/>
      </w:r>
      <w:r>
        <w:tab/>
        <w:t xml:space="preserve">For the purposes of the definition of </w:t>
      </w:r>
      <w:r>
        <w:rPr>
          <w:b/>
          <w:i/>
        </w:rPr>
        <w:t>prescribed building service</w:t>
      </w:r>
      <w:r>
        <w:t xml:space="preserve"> in section 3 the following building services are prescribed — </w:t>
      </w:r>
    </w:p>
    <w:p>
      <w:pPr>
        <w:pStyle w:val="Indenta"/>
        <w:keepLines/>
      </w:pPr>
      <w:r>
        <w:tab/>
        <w:t>(a)</w:t>
      </w:r>
      <w:r>
        <w:tab/>
        <w:t>builder work as a principal builder;</w:t>
      </w:r>
    </w:p>
    <w:p>
      <w:pPr>
        <w:pStyle w:val="Indenta"/>
        <w:keepLines/>
      </w:pPr>
      <w:r>
        <w:tab/>
        <w:t>(ba)</w:t>
      </w:r>
      <w:r>
        <w:tab/>
        <w:t>building surveying work level 1 as the person issuing a compliance certificate;</w:t>
      </w:r>
    </w:p>
    <w:p>
      <w:pPr>
        <w:pStyle w:val="Indenta"/>
      </w:pPr>
      <w:r>
        <w:lastRenderedPageBreak/>
        <w:tab/>
        <w:t>(bb)</w:t>
      </w:r>
      <w:r>
        <w:tab/>
        <w:t>building surveying work level 2 as the person issuing a compliance certificate;</w:t>
      </w:r>
    </w:p>
    <w:p>
      <w:pPr>
        <w:pStyle w:val="Indenta"/>
      </w:pPr>
      <w:r>
        <w:tab/>
        <w:t>(b)</w:t>
      </w:r>
      <w:r>
        <w:tab/>
        <w:t>painter work.</w:t>
      </w:r>
    </w:p>
    <w:p>
      <w:pPr>
        <w:pStyle w:val="Footnotesection"/>
      </w:pPr>
      <w:r>
        <w:tab/>
        <w:t>[Regulation 4 amended: Gazette 12 Mar 2012 p. 1008; 31 Mar 2017 p. 1942.]</w:t>
      </w:r>
    </w:p>
    <w:p>
      <w:pPr>
        <w:pStyle w:val="Heading5"/>
      </w:pPr>
      <w:bookmarkStart w:id="11" w:name="_Toc84343915"/>
      <w:r>
        <w:rPr>
          <w:rStyle w:val="CharSectno"/>
        </w:rPr>
        <w:t>5</w:t>
      </w:r>
      <w:r>
        <w:t>.</w:t>
      </w:r>
      <w:r>
        <w:tab/>
        <w:t>Persons prescribed for purposes of s. 7</w:t>
      </w:r>
      <w:bookmarkEnd w:id="11"/>
    </w:p>
    <w:p>
      <w:pPr>
        <w:pStyle w:val="Subsection"/>
      </w:pPr>
      <w:r>
        <w:tab/>
      </w:r>
      <w:r>
        <w:tab/>
        <w:t xml:space="preserve">A person entitled to carry out builder work as a principal builder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Footnotesection"/>
      </w:pPr>
      <w:r>
        <w:tab/>
        <w:t>[Regulation 5 amended: Gazette 31 Mar 2017 p. 1942.]</w:t>
      </w:r>
    </w:p>
    <w:p>
      <w:pPr>
        <w:pStyle w:val="Heading5"/>
      </w:pPr>
      <w:bookmarkStart w:id="12" w:name="_Toc84343916"/>
      <w:r>
        <w:rPr>
          <w:rStyle w:val="CharSectno"/>
        </w:rPr>
        <w:t>6</w:t>
      </w:r>
      <w:r>
        <w:t>.</w:t>
      </w:r>
      <w:r>
        <w:tab/>
        <w:t>Classes of building service practitioner and building service contractor</w:t>
      </w:r>
      <w:bookmarkEnd w:id="12"/>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lastRenderedPageBreak/>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Gazette 12 Mar 2012 p. 990-1.]</w:t>
      </w:r>
    </w:p>
    <w:p>
      <w:pPr>
        <w:pStyle w:val="Heading5"/>
      </w:pPr>
      <w:bookmarkStart w:id="13" w:name="_Toc84343917"/>
      <w:r>
        <w:rPr>
          <w:rStyle w:val="CharSectno"/>
        </w:rPr>
        <w:t>7</w:t>
      </w:r>
      <w:r>
        <w:t>.</w:t>
      </w:r>
      <w:r>
        <w:tab/>
        <w:t>Registration and renewal of registration</w:t>
      </w:r>
      <w:bookmarkEnd w:id="13"/>
    </w:p>
    <w:p>
      <w:pPr>
        <w:pStyle w:val="Subsection"/>
      </w:pPr>
      <w:r>
        <w:tab/>
        <w:t>(1)</w:t>
      </w:r>
      <w:r>
        <w:tab/>
        <w:t>An application for registration or renewal under section 13(1) or (2) must state that the registration or renewal is sought for a period of 3 years.</w:t>
      </w:r>
    </w:p>
    <w:p>
      <w:pPr>
        <w:pStyle w:val="Subsection"/>
      </w:pPr>
      <w:r>
        <w:tab/>
        <w:t>(2)</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pPr>
      <w:r>
        <w:tab/>
        <w:t>[Regulation 7 inserted: Gazette 21 Sep 2018 p. 3534.]</w:t>
      </w:r>
    </w:p>
    <w:p>
      <w:pPr>
        <w:pStyle w:val="Heading5"/>
      </w:pPr>
      <w:bookmarkStart w:id="14" w:name="_Toc84343918"/>
      <w:r>
        <w:rPr>
          <w:rStyle w:val="CharSectno"/>
        </w:rPr>
        <w:t>8</w:t>
      </w:r>
      <w:r>
        <w:t>.</w:t>
      </w:r>
      <w:r>
        <w:tab/>
        <w:t>Membership of Board: occupation groups</w:t>
      </w:r>
      <w:bookmarkEnd w:id="14"/>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lastRenderedPageBreak/>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keepNext/>
              <w:spacing w:before="80"/>
              <w:rPr>
                <w:b/>
                <w:bCs/>
              </w:rPr>
            </w:pPr>
            <w:r>
              <w:rPr>
                <w:b/>
                <w:bCs/>
              </w:rPr>
              <w:t>Item</w:t>
            </w:r>
          </w:p>
        </w:tc>
        <w:tc>
          <w:tcPr>
            <w:tcW w:w="2835" w:type="dxa"/>
            <w:tcBorders>
              <w:bottom w:val="single" w:sz="4" w:space="0" w:color="auto"/>
            </w:tcBorders>
          </w:tcPr>
          <w:p>
            <w:pPr>
              <w:pStyle w:val="TableNAm"/>
              <w:keepNext/>
              <w:spacing w:before="80"/>
              <w:rPr>
                <w:b/>
                <w:bCs/>
              </w:rPr>
            </w:pPr>
            <w:r>
              <w:rPr>
                <w:b/>
                <w:bCs/>
              </w:rPr>
              <w:t>Classes of building service providers</w:t>
            </w:r>
          </w:p>
        </w:tc>
        <w:tc>
          <w:tcPr>
            <w:tcW w:w="2410" w:type="dxa"/>
            <w:tcBorders>
              <w:bottom w:val="single" w:sz="4" w:space="0" w:color="auto"/>
            </w:tcBorders>
          </w:tcPr>
          <w:p>
            <w:pPr>
              <w:pStyle w:val="TableNAm"/>
              <w:keepNext/>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keepNext/>
              <w:keepLines/>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Gazette 12 Mar 2012 p. 991-2.]</w:t>
      </w:r>
    </w:p>
    <w:p>
      <w:pPr>
        <w:pStyle w:val="Heading5"/>
      </w:pPr>
      <w:bookmarkStart w:id="15" w:name="_Toc84343919"/>
      <w:r>
        <w:rPr>
          <w:rStyle w:val="CharSectno"/>
        </w:rPr>
        <w:t>9</w:t>
      </w:r>
      <w:r>
        <w:t>.</w:t>
      </w:r>
      <w:r>
        <w:tab/>
        <w:t>Fees</w:t>
      </w:r>
      <w:bookmarkEnd w:id="15"/>
    </w:p>
    <w:p>
      <w:pPr>
        <w:pStyle w:val="Subsection"/>
        <w:spacing w:before="120"/>
      </w:pPr>
      <w:r>
        <w:tab/>
      </w:r>
      <w:r>
        <w:tab/>
        <w:t>The fees set out in Schedule 1 are payable in respect of the matters referred to in that Schedule.</w:t>
      </w:r>
    </w:p>
    <w:p>
      <w:pPr>
        <w:pStyle w:val="Ednotesection"/>
      </w:pPr>
      <w:r>
        <w:t>[</w:t>
      </w:r>
      <w:r>
        <w:rPr>
          <w:b/>
        </w:rPr>
        <w:t>9A.</w:t>
      </w:r>
      <w:r>
        <w:tab/>
        <w:t>Deleted: SL 2021/86 r. 16.]</w:t>
      </w:r>
    </w:p>
    <w:p>
      <w:pPr>
        <w:pStyle w:val="Heading5"/>
        <w:spacing w:before="180"/>
      </w:pPr>
      <w:bookmarkStart w:id="16" w:name="_Toc84343920"/>
      <w:r>
        <w:rPr>
          <w:rStyle w:val="CharSectno"/>
        </w:rPr>
        <w:t>10</w:t>
      </w:r>
      <w:r>
        <w:t>.</w:t>
      </w:r>
      <w:r>
        <w:tab/>
        <w:t>Refund of fees</w:t>
      </w:r>
      <w:bookmarkEnd w:id="16"/>
    </w:p>
    <w:p>
      <w:pPr>
        <w:pStyle w:val="Subsection"/>
      </w:pPr>
      <w:r>
        <w:tab/>
        <w:t>(1)</w:t>
      </w:r>
      <w:r>
        <w:tab/>
        <w:t>The Building Commissioner may, on the application of a person who has paid a fee under these regulations, refund part or all of the fee if the Commissioner considers that the circumstances warrant the refund of the fee.</w:t>
      </w:r>
    </w:p>
    <w:p>
      <w:pPr>
        <w:pStyle w:val="Subsection"/>
      </w:pPr>
      <w:r>
        <w:tab/>
        <w:t>(2)</w:t>
      </w:r>
      <w:r>
        <w:tab/>
        <w:t>An application for the refund of fees must be in a form approved by the Building Commissioner.</w:t>
      </w:r>
    </w:p>
    <w:p>
      <w:pPr>
        <w:pStyle w:val="Footnotesection"/>
      </w:pPr>
      <w:r>
        <w:tab/>
        <w:t>[Regulation 10 amended: Gazette 21 Sep 2018 p. 3534</w:t>
      </w:r>
      <w:r>
        <w:noBreakHyphen/>
        <w:t>5.]</w:t>
      </w:r>
    </w:p>
    <w:p>
      <w:pPr>
        <w:pStyle w:val="Heading5"/>
      </w:pPr>
      <w:bookmarkStart w:id="17" w:name="_Toc84343921"/>
      <w:r>
        <w:rPr>
          <w:rStyle w:val="CharSectno"/>
        </w:rPr>
        <w:lastRenderedPageBreak/>
        <w:t>11</w:t>
      </w:r>
      <w:r>
        <w:t>.</w:t>
      </w:r>
      <w:r>
        <w:tab/>
        <w:t>Notification of disciplinary action: prescribed Acts</w:t>
      </w:r>
      <w:bookmarkEnd w:id="17"/>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(Australian Capital Territory);</w:t>
      </w:r>
    </w:p>
    <w:p>
      <w:pPr>
        <w:pStyle w:val="Indenta"/>
      </w:pPr>
      <w:r>
        <w:tab/>
        <w:t>(bb)</w:t>
      </w:r>
      <w:r>
        <w:tab/>
      </w:r>
      <w:r>
        <w:rPr>
          <w:i/>
        </w:rPr>
        <w:t>Architects Act 2003</w:t>
      </w:r>
      <w:r>
        <w:t xml:space="preserve"> (New South Wales);</w:t>
      </w:r>
    </w:p>
    <w:p>
      <w:pPr>
        <w:pStyle w:val="Indenta"/>
      </w:pPr>
      <w:r>
        <w:tab/>
        <w:t>(bc)</w:t>
      </w:r>
      <w:r>
        <w:tab/>
      </w:r>
      <w:r>
        <w:rPr>
          <w:i/>
        </w:rPr>
        <w:t>Architects Act</w:t>
      </w:r>
      <w:r>
        <w:t xml:space="preserve"> (Northern Territory);</w:t>
      </w:r>
    </w:p>
    <w:p>
      <w:pPr>
        <w:pStyle w:val="Indenta"/>
      </w:pPr>
      <w:r>
        <w:tab/>
        <w:t>(bd)</w:t>
      </w:r>
      <w:r>
        <w:tab/>
      </w:r>
      <w:r>
        <w:rPr>
          <w:i/>
        </w:rPr>
        <w:t>Architects Act 2002</w:t>
      </w:r>
      <w:r>
        <w:t xml:space="preserve"> (Queensland);</w:t>
      </w:r>
    </w:p>
    <w:p>
      <w:pPr>
        <w:pStyle w:val="Indenta"/>
      </w:pPr>
      <w:r>
        <w:tab/>
        <w:t>(be)</w:t>
      </w:r>
      <w:r>
        <w:tab/>
      </w:r>
      <w:r>
        <w:rPr>
          <w:i/>
        </w:rPr>
        <w:t>Architects Act 1991</w:t>
      </w:r>
      <w:r>
        <w:t xml:space="preserve"> (Victoria);</w:t>
      </w:r>
    </w:p>
    <w:p>
      <w:pPr>
        <w:pStyle w:val="Indenta"/>
      </w:pPr>
      <w:r>
        <w:tab/>
        <w:t>(bf)</w:t>
      </w:r>
      <w:r>
        <w:tab/>
      </w:r>
      <w:r>
        <w:rPr>
          <w:i/>
        </w:rPr>
        <w:t>Architectural Practice Act 2009</w:t>
      </w:r>
      <w:r>
        <w:t xml:space="preserve"> (South Australia);</w:t>
      </w:r>
    </w:p>
    <w:p>
      <w:pPr>
        <w:pStyle w:val="Indenta"/>
      </w:pPr>
      <w:r>
        <w:tab/>
        <w:t>(b)</w:t>
      </w:r>
      <w:r>
        <w:tab/>
      </w:r>
      <w:r>
        <w:rPr>
          <w:i/>
        </w:rPr>
        <w:t>Building Act 1993</w:t>
      </w:r>
      <w:r>
        <w:t xml:space="preserve"> (Victoria);</w:t>
      </w:r>
    </w:p>
    <w:p>
      <w:pPr>
        <w:pStyle w:val="Indenta"/>
      </w:pPr>
      <w:r>
        <w:tab/>
        <w:t>(c)</w:t>
      </w:r>
      <w:r>
        <w:tab/>
      </w:r>
      <w:r>
        <w:rPr>
          <w:i/>
        </w:rPr>
        <w:t>Building Act</w:t>
      </w:r>
      <w:r>
        <w:t xml:space="preserve"> (Northern Territory);</w:t>
      </w:r>
    </w:p>
    <w:p>
      <w:pPr>
        <w:pStyle w:val="Indenta"/>
      </w:pPr>
      <w:r>
        <w:tab/>
        <w:t>(d)</w:t>
      </w:r>
      <w:r>
        <w:tab/>
      </w:r>
      <w:r>
        <w:rPr>
          <w:i/>
        </w:rPr>
        <w:t>Building Act 2000</w:t>
      </w:r>
      <w:r>
        <w:t xml:space="preserve"> (Tasmania);</w:t>
      </w:r>
    </w:p>
    <w:p>
      <w:pPr>
        <w:pStyle w:val="Indenta"/>
      </w:pPr>
      <w:r>
        <w:tab/>
        <w:t>(e)</w:t>
      </w:r>
      <w:r>
        <w:tab/>
      </w:r>
      <w:r>
        <w:rPr>
          <w:i/>
        </w:rPr>
        <w:t>Building Act 1993</w:t>
      </w:r>
      <w:r>
        <w:t xml:space="preserve"> (Victoria);</w:t>
      </w:r>
    </w:p>
    <w:p>
      <w:pPr>
        <w:pStyle w:val="Indenta"/>
      </w:pPr>
      <w:r>
        <w:tab/>
        <w:t>(fa)</w:t>
      </w:r>
      <w:r>
        <w:tab/>
      </w:r>
      <w:r>
        <w:rPr>
          <w:i/>
        </w:rPr>
        <w:t>Building Professionals Act 2005</w:t>
      </w:r>
      <w:r>
        <w:t xml:space="preserve"> (New South Wales);</w:t>
      </w:r>
    </w:p>
    <w:p>
      <w:pPr>
        <w:pStyle w:val="Indenta"/>
      </w:pPr>
      <w:r>
        <w:tab/>
        <w:t>(f)</w:t>
      </w:r>
      <w:r>
        <w:tab/>
      </w:r>
      <w:r>
        <w:rPr>
          <w:i/>
        </w:rPr>
        <w:t>Building Work Contractors Act 1995</w:t>
      </w:r>
      <w:r>
        <w:t xml:space="preserve"> (South Australia);</w:t>
      </w:r>
    </w:p>
    <w:p>
      <w:pPr>
        <w:pStyle w:val="Indenta"/>
      </w:pPr>
      <w:r>
        <w:tab/>
        <w:t>(g)</w:t>
      </w:r>
      <w:r>
        <w:tab/>
      </w:r>
      <w:r>
        <w:rPr>
          <w:i/>
        </w:rPr>
        <w:t>Construction Occupations (Licensing) Act 2004</w:t>
      </w:r>
      <w:r>
        <w:t xml:space="preserve"> (Australian Capital Territory);</w:t>
      </w:r>
    </w:p>
    <w:p>
      <w:pPr>
        <w:pStyle w:val="Indenta"/>
      </w:pPr>
      <w:r>
        <w:tab/>
        <w:t>(h)</w:t>
      </w:r>
      <w:r>
        <w:tab/>
      </w:r>
      <w:r>
        <w:rPr>
          <w:i/>
        </w:rPr>
        <w:t>Credit (Administration) Act 1984</w:t>
      </w:r>
      <w:r>
        <w:t>;</w:t>
      </w:r>
    </w:p>
    <w:p>
      <w:pPr>
        <w:pStyle w:val="Indenta"/>
      </w:pPr>
      <w:r>
        <w:tab/>
        <w:t>(ia)</w:t>
      </w:r>
      <w:r>
        <w:tab/>
      </w:r>
      <w:r>
        <w:rPr>
          <w:i/>
        </w:rPr>
        <w:t>Development Act 1993</w:t>
      </w:r>
      <w:r>
        <w:t xml:space="preserve"> (South Australia);</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r>
        <w:rPr>
          <w:i/>
        </w:rPr>
        <w:t>Home Building Act 1989</w:t>
      </w:r>
      <w:r>
        <w:t xml:space="preserve"> (New South Wales);</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r>
        <w:rPr>
          <w:i/>
        </w:rPr>
        <w:t>Queensland Building Services Authority Act 1991</w:t>
      </w:r>
      <w:r>
        <w:t xml:space="preserve"> (Queensland);</w:t>
      </w:r>
    </w:p>
    <w:p>
      <w:pPr>
        <w:pStyle w:val="Indenta"/>
      </w:pPr>
      <w:r>
        <w:lastRenderedPageBreak/>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Gazette 31 Jan 2012 p. 591</w:t>
      </w:r>
      <w:r>
        <w:noBreakHyphen/>
        <w:t>2; 14 Nov 2013 p. 5029.]</w:t>
      </w:r>
    </w:p>
    <w:p>
      <w:pPr>
        <w:pStyle w:val="Heading2"/>
      </w:pPr>
      <w:bookmarkStart w:id="18" w:name="_Toc84335861"/>
      <w:bookmarkStart w:id="19" w:name="_Toc84336681"/>
      <w:bookmarkStart w:id="20" w:name="_Toc84343922"/>
      <w:r>
        <w:rPr>
          <w:rStyle w:val="CharPartNo"/>
        </w:rPr>
        <w:lastRenderedPageBreak/>
        <w:t>Part 2</w:t>
      </w:r>
      <w:r>
        <w:t> — </w:t>
      </w:r>
      <w:r>
        <w:rPr>
          <w:rStyle w:val="CharPartText"/>
        </w:rPr>
        <w:t>Builders</w:t>
      </w:r>
      <w:bookmarkEnd w:id="18"/>
      <w:bookmarkEnd w:id="19"/>
      <w:bookmarkEnd w:id="20"/>
    </w:p>
    <w:p>
      <w:pPr>
        <w:pStyle w:val="Heading3"/>
      </w:pPr>
      <w:bookmarkStart w:id="21" w:name="_Toc84335862"/>
      <w:bookmarkStart w:id="22" w:name="_Toc84336682"/>
      <w:bookmarkStart w:id="23" w:name="_Toc84343923"/>
      <w:r>
        <w:rPr>
          <w:rStyle w:val="CharDivNo"/>
        </w:rPr>
        <w:t>Division 1</w:t>
      </w:r>
      <w:r>
        <w:t> — </w:t>
      </w:r>
      <w:r>
        <w:rPr>
          <w:rStyle w:val="CharDivText"/>
        </w:rPr>
        <w:t>Preliminary</w:t>
      </w:r>
      <w:bookmarkEnd w:id="21"/>
      <w:bookmarkEnd w:id="22"/>
      <w:bookmarkEnd w:id="23"/>
    </w:p>
    <w:p>
      <w:pPr>
        <w:pStyle w:val="Heading5"/>
      </w:pPr>
      <w:bookmarkStart w:id="24" w:name="_Toc84343924"/>
      <w:r>
        <w:rPr>
          <w:rStyle w:val="CharSectno"/>
        </w:rPr>
        <w:t>12</w:t>
      </w:r>
      <w:r>
        <w:t>.</w:t>
      </w:r>
      <w:r>
        <w:tab/>
        <w:t>Terms used</w:t>
      </w:r>
      <w:bookmarkEnd w:id="24"/>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25" w:name="_Toc84335864"/>
      <w:bookmarkStart w:id="26" w:name="_Toc84336684"/>
      <w:bookmarkStart w:id="27" w:name="_Toc84343925"/>
      <w:r>
        <w:rPr>
          <w:rStyle w:val="CharDivNo"/>
        </w:rPr>
        <w:t>Division 2</w:t>
      </w:r>
      <w:r>
        <w:t> — </w:t>
      </w:r>
      <w:r>
        <w:rPr>
          <w:rStyle w:val="CharDivText"/>
        </w:rPr>
        <w:t>Building service providers</w:t>
      </w:r>
      <w:bookmarkEnd w:id="25"/>
      <w:bookmarkEnd w:id="26"/>
      <w:bookmarkEnd w:id="27"/>
    </w:p>
    <w:p>
      <w:pPr>
        <w:pStyle w:val="Heading5"/>
      </w:pPr>
      <w:bookmarkStart w:id="28" w:name="_Toc84343926"/>
      <w:r>
        <w:rPr>
          <w:rStyle w:val="CharSectno"/>
        </w:rPr>
        <w:t>13</w:t>
      </w:r>
      <w:r>
        <w:t>.</w:t>
      </w:r>
      <w:r>
        <w:tab/>
        <w:t>Terms used</w:t>
      </w:r>
      <w:bookmarkEnd w:id="28"/>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lastRenderedPageBreak/>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para"/>
      </w:pPr>
      <w:r>
        <w:tab/>
        <w:t>(n)</w:t>
      </w:r>
      <w:r>
        <w:tab/>
        <w:t>construction of an exempt shed —</w:t>
      </w:r>
    </w:p>
    <w:p>
      <w:pPr>
        <w:pStyle w:val="Defsubpara"/>
      </w:pPr>
      <w:r>
        <w:tab/>
        <w:t>(i)</w:t>
      </w:r>
      <w:r>
        <w:tab/>
        <w:t xml:space="preserve">for which an application for a building permit is made on or before 1 October 2024; and </w:t>
      </w:r>
    </w:p>
    <w:p>
      <w:pPr>
        <w:pStyle w:val="Defsubpara"/>
      </w:pPr>
      <w:r>
        <w:tab/>
        <w:t>(ii)</w:t>
      </w:r>
      <w:r>
        <w:tab/>
        <w:t>with a value of less than $40 000 based on the value of the work estimated under Schedule 2; and</w:t>
      </w:r>
    </w:p>
    <w:p>
      <w:pPr>
        <w:pStyle w:val="Defsubpara"/>
      </w:pPr>
      <w:r>
        <w:tab/>
        <w:t>(iii)</w:t>
      </w:r>
      <w:r>
        <w:tab/>
        <w:t>carried out in the local government district of Chapman Valley, Greater Geraldton, Mundaring, Northampton or Swan;</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Defstart"/>
      </w:pPr>
      <w:r>
        <w:tab/>
      </w:r>
      <w:r>
        <w:rPr>
          <w:rStyle w:val="CharDefText"/>
        </w:rPr>
        <w:t>exempt shed</w:t>
      </w:r>
      <w:r>
        <w:t> —</w:t>
      </w:r>
    </w:p>
    <w:p>
      <w:pPr>
        <w:pStyle w:val="Defpara"/>
      </w:pPr>
      <w:r>
        <w:tab/>
        <w:t>(a)</w:t>
      </w:r>
      <w:r>
        <w:tab/>
        <w:t>means a shed that is a non-habitable building; but</w:t>
      </w:r>
    </w:p>
    <w:p>
      <w:pPr>
        <w:pStyle w:val="Defpara"/>
      </w:pPr>
      <w:r>
        <w:tab/>
        <w:t>(b)</w:t>
      </w:r>
      <w:r>
        <w:tab/>
        <w:t>does not include a garage or carport.</w:t>
      </w:r>
    </w:p>
    <w:p>
      <w:pPr>
        <w:pStyle w:val="Subsection"/>
        <w:keepNext/>
      </w:pPr>
      <w:r>
        <w:tab/>
        <w:t>(2)</w:t>
      </w:r>
      <w:r>
        <w:tab/>
        <w:t xml:space="preserve">If a person carries out, or undertakes to carry out, building work for another person under more than 1  distinct contract or engagement and the building work is substantially a single undertaking in connection with a single building, the value of all </w:t>
      </w:r>
      <w:r>
        <w:lastRenderedPageBreak/>
        <w:t>the work must be added together for the purposes of calculating the value of the building work.</w:t>
      </w:r>
    </w:p>
    <w:p>
      <w:pPr>
        <w:pStyle w:val="Footnotesection"/>
      </w:pPr>
      <w:r>
        <w:tab/>
        <w:t>[Regulation 13 amended: Gazette 31 Mar 2017 p. 1942; SL 2021/170 r. 4.]</w:t>
      </w:r>
    </w:p>
    <w:p>
      <w:pPr>
        <w:pStyle w:val="Heading5"/>
      </w:pPr>
      <w:bookmarkStart w:id="29" w:name="_Toc84343927"/>
      <w:r>
        <w:rPr>
          <w:rStyle w:val="CharSectno"/>
        </w:rPr>
        <w:t>14</w:t>
      </w:r>
      <w:r>
        <w:t>.</w:t>
      </w:r>
      <w:r>
        <w:tab/>
        <w:t>Prescribed titles: building practitioners and building contractors</w:t>
      </w:r>
      <w:bookmarkEnd w:id="29"/>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keepNext/>
              <w:rPr>
                <w:b/>
              </w:rPr>
            </w:pPr>
            <w:r>
              <w:rPr>
                <w:b/>
              </w:rPr>
              <w:lastRenderedPageBreak/>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260"/>
      </w:pPr>
      <w:bookmarkStart w:id="30" w:name="_Toc84343928"/>
      <w:r>
        <w:rPr>
          <w:rStyle w:val="CharSectno"/>
        </w:rPr>
        <w:t>15</w:t>
      </w:r>
      <w:r>
        <w:t>.</w:t>
      </w:r>
      <w:r>
        <w:tab/>
        <w:t>Building contractors: building services prescribed</w:t>
      </w:r>
      <w:bookmarkEnd w:id="30"/>
    </w:p>
    <w:p>
      <w:pPr>
        <w:pStyle w:val="Subsection"/>
      </w:pPr>
      <w:r>
        <w:tab/>
      </w:r>
      <w:r>
        <w:tab/>
        <w:t xml:space="preserve">For the purposes of section 11(a), builder work as a principal builder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Footnotesection"/>
      </w:pPr>
      <w:r>
        <w:tab/>
        <w:t>[Regulation 15 amended: Gazette 31 Mar 2017 p. 1942.]</w:t>
      </w:r>
    </w:p>
    <w:p>
      <w:pPr>
        <w:pStyle w:val="Heading5"/>
        <w:spacing w:before="260"/>
      </w:pPr>
      <w:bookmarkStart w:id="31" w:name="_Toc84343929"/>
      <w:r>
        <w:rPr>
          <w:rStyle w:val="CharSectno"/>
        </w:rPr>
        <w:t>16</w:t>
      </w:r>
      <w:r>
        <w:t>.</w:t>
      </w:r>
      <w:r>
        <w:tab/>
        <w:t>Qualifications and experience: building practitioners</w:t>
      </w:r>
      <w:bookmarkEnd w:id="31"/>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lastRenderedPageBreak/>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 xml:space="preserve">CPCCBC5007A — Administer the legal obligations of a </w:t>
            </w:r>
            <w:r>
              <w:lastRenderedPageBreak/>
              <w:t>building construction contract;</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65" w:hanging="765"/>
            </w:pPr>
            <w:r>
              <w:tab/>
              <w:t>(vii)</w:t>
            </w:r>
            <w:r>
              <w:tab/>
              <w:t>CPCCOHS1001A</w:t>
            </w:r>
            <w:r>
              <w:rPr>
                <w:sz w:val="18"/>
                <w:szCs w:val="18"/>
              </w:rPr>
              <w:t xml:space="preserve"> </w:t>
            </w:r>
            <w:r>
              <w:rPr>
                <w:sz w:val="20"/>
              </w:rPr>
              <w:t xml:space="preserve">— </w:t>
            </w:r>
            <w:r>
              <w:t>Work safety in the construction industry;</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lastRenderedPageBreak/>
              <w:t>(c)</w:t>
            </w:r>
            <w:r>
              <w:tab/>
              <w:t>membership as Professional Engineer (MIEAust or FIEAust) of the Institution of Engineers, Australia; or</w:t>
            </w:r>
          </w:p>
          <w:p>
            <w:pPr>
              <w:pStyle w:val="TableNAm"/>
              <w:tabs>
                <w:tab w:val="clear" w:pos="567"/>
                <w:tab w:val="left" w:pos="414"/>
                <w:tab w:val="left" w:pos="746"/>
              </w:tabs>
              <w:spacing w:before="100"/>
              <w:ind w:left="414" w:hanging="414"/>
            </w:pPr>
            <w:r>
              <w:t>(d)</w:t>
            </w:r>
            <w:r>
              <w:tab/>
              <w:t>membership as Fellow or Member of the Australasian Institute of Mining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lastRenderedPageBreak/>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t>(b)</w:t>
            </w:r>
            <w:r>
              <w:tab/>
              <w:t xml:space="preserve">sufficient to gain knowledge and skills equivalent to those possessed </w:t>
            </w:r>
            <w:r>
              <w:lastRenderedPageBreak/>
              <w:t>by a person who has successfully completed a qualification referred to in set 1</w:t>
            </w:r>
          </w:p>
        </w:tc>
      </w:tr>
      <w:tr>
        <w:trPr>
          <w:cantSplit/>
        </w:trPr>
        <w:tc>
          <w:tcPr>
            <w:tcW w:w="822" w:type="dxa"/>
          </w:tcPr>
          <w:p>
            <w:pPr>
              <w:pStyle w:val="TableNAm"/>
              <w:spacing w:before="40"/>
            </w:pPr>
            <w:r>
              <w:lastRenderedPageBreak/>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1</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lastRenderedPageBreak/>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1</w:t>
      </w:r>
      <w:r>
        <w:t> section 9A(1) or 10(1).</w:t>
      </w:r>
    </w:p>
    <w:p>
      <w:pPr>
        <w:pStyle w:val="Footnotesection"/>
      </w:pPr>
      <w:r>
        <w:tab/>
        <w:t>[Regulation 16 amended: Gazette 31 Jan 2012 p. 592</w:t>
      </w:r>
      <w:r>
        <w:noBreakHyphen/>
        <w:t>5; 18 Dec 2012 p. 6586.]</w:t>
      </w:r>
    </w:p>
    <w:p>
      <w:pPr>
        <w:pStyle w:val="Heading5"/>
        <w:spacing w:before="260"/>
      </w:pPr>
      <w:bookmarkStart w:id="32" w:name="_Toc84343930"/>
      <w:r>
        <w:rPr>
          <w:rStyle w:val="CharSectno"/>
        </w:rPr>
        <w:t>17</w:t>
      </w:r>
      <w:r>
        <w:t>.</w:t>
      </w:r>
      <w:r>
        <w:tab/>
        <w:t>Conduct of examinations</w:t>
      </w:r>
      <w:bookmarkEnd w:id="32"/>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Gazette 31 Jan 2012 p. 595.]</w:t>
      </w:r>
    </w:p>
    <w:p>
      <w:pPr>
        <w:pStyle w:val="Heading5"/>
        <w:spacing w:before="260"/>
      </w:pPr>
      <w:bookmarkStart w:id="33" w:name="_Toc84343931"/>
      <w:r>
        <w:rPr>
          <w:rStyle w:val="CharSectno"/>
        </w:rPr>
        <w:lastRenderedPageBreak/>
        <w:t>18</w:t>
      </w:r>
      <w:r>
        <w:t>.</w:t>
      </w:r>
      <w:r>
        <w:tab/>
        <w:t>Financial requirements: building contractors</w:t>
      </w:r>
      <w:bookmarkEnd w:id="33"/>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34" w:name="_Toc84343932"/>
      <w:r>
        <w:rPr>
          <w:rStyle w:val="CharSectno"/>
        </w:rPr>
        <w:t>19</w:t>
      </w:r>
      <w:r>
        <w:t>.</w:t>
      </w:r>
      <w:r>
        <w:tab/>
        <w:t>Prescribed requirements: building contractors</w:t>
      </w:r>
      <w:bookmarkEnd w:id="34"/>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35" w:name="_Toc84343933"/>
      <w:r>
        <w:rPr>
          <w:rStyle w:val="CharSectno"/>
        </w:rPr>
        <w:t>20</w:t>
      </w:r>
      <w:r>
        <w:t>.</w:t>
      </w:r>
      <w:r>
        <w:tab/>
        <w:t>Supervisor for building contractor: eligible person</w:t>
      </w:r>
      <w:bookmarkEnd w:id="35"/>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lastRenderedPageBreak/>
        <w:tab/>
        <w:t>(b)</w:t>
      </w:r>
      <w:r>
        <w:tab/>
        <w:t>building contractor (partnership);</w:t>
      </w:r>
    </w:p>
    <w:p>
      <w:pPr>
        <w:pStyle w:val="Indenta"/>
        <w:spacing w:before="60"/>
      </w:pPr>
      <w:r>
        <w:tab/>
        <w:t>(c)</w:t>
      </w:r>
      <w:r>
        <w:tab/>
        <w:t>building contractor (company).</w:t>
      </w:r>
    </w:p>
    <w:p>
      <w:pPr>
        <w:pStyle w:val="Heading5"/>
      </w:pPr>
      <w:bookmarkStart w:id="36" w:name="_Toc84343934"/>
      <w:r>
        <w:rPr>
          <w:rStyle w:val="CharSectno"/>
        </w:rPr>
        <w:t>21</w:t>
      </w:r>
      <w:r>
        <w:t>.</w:t>
      </w:r>
      <w:r>
        <w:tab/>
        <w:t>Display of signs</w:t>
      </w:r>
      <w:bookmarkEnd w:id="36"/>
    </w:p>
    <w:p>
      <w:pPr>
        <w:pStyle w:val="Subsection"/>
      </w:pPr>
      <w:r>
        <w:tab/>
      </w:r>
      <w:r>
        <w:tab/>
        <w:t xml:space="preserve">A building contractor who carries out builder work as a principal builder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Gazette 31 Jan 2012 p. 595; 31 Mar 2017 p. 1942.]</w:t>
      </w:r>
    </w:p>
    <w:p>
      <w:pPr>
        <w:pStyle w:val="Heading3"/>
      </w:pPr>
      <w:bookmarkStart w:id="37" w:name="_Toc84335874"/>
      <w:bookmarkStart w:id="38" w:name="_Toc84336694"/>
      <w:bookmarkStart w:id="39" w:name="_Toc84343935"/>
      <w:r>
        <w:rPr>
          <w:rStyle w:val="CharDivNo"/>
        </w:rPr>
        <w:t>Division 3</w:t>
      </w:r>
      <w:r>
        <w:t> — </w:t>
      </w:r>
      <w:r>
        <w:rPr>
          <w:rStyle w:val="CharDivText"/>
        </w:rPr>
        <w:t>Owner</w:t>
      </w:r>
      <w:r>
        <w:rPr>
          <w:rStyle w:val="CharDivText"/>
        </w:rPr>
        <w:noBreakHyphen/>
        <w:t>builders</w:t>
      </w:r>
      <w:bookmarkEnd w:id="37"/>
      <w:bookmarkEnd w:id="38"/>
      <w:bookmarkEnd w:id="39"/>
    </w:p>
    <w:p>
      <w:pPr>
        <w:pStyle w:val="Heading5"/>
      </w:pPr>
      <w:bookmarkStart w:id="40" w:name="_Toc84343936"/>
      <w:r>
        <w:rPr>
          <w:rStyle w:val="CharSectno"/>
        </w:rPr>
        <w:t>22</w:t>
      </w:r>
      <w:r>
        <w:t>.</w:t>
      </w:r>
      <w:r>
        <w:tab/>
        <w:t>Terms used</w:t>
      </w:r>
      <w:bookmarkEnd w:id="40"/>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lastRenderedPageBreak/>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41" w:name="_Toc84343937"/>
      <w:r>
        <w:rPr>
          <w:rStyle w:val="CharSectno"/>
        </w:rPr>
        <w:t>23</w:t>
      </w:r>
      <w:r>
        <w:t>.</w:t>
      </w:r>
      <w:r>
        <w:tab/>
        <w:t>Owner</w:t>
      </w:r>
      <w:r>
        <w:noBreakHyphen/>
        <w:t>builder work</w:t>
      </w:r>
      <w:bookmarkEnd w:id="41"/>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42" w:name="_Toc84343938"/>
      <w:r>
        <w:rPr>
          <w:rStyle w:val="CharSectno"/>
        </w:rPr>
        <w:t>24A</w:t>
      </w:r>
      <w:r>
        <w:t>.</w:t>
      </w:r>
      <w:r>
        <w:tab/>
        <w:t>Prescribed interests in land</w:t>
      </w:r>
      <w:bookmarkEnd w:id="42"/>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Gazette 31 Jan 2012 p. 596.]</w:t>
      </w:r>
    </w:p>
    <w:p>
      <w:pPr>
        <w:pStyle w:val="Heading5"/>
      </w:pPr>
      <w:bookmarkStart w:id="43" w:name="_Toc84343939"/>
      <w:r>
        <w:rPr>
          <w:rStyle w:val="CharSectno"/>
        </w:rPr>
        <w:t>24</w:t>
      </w:r>
      <w:r>
        <w:t>.</w:t>
      </w:r>
      <w:r>
        <w:tab/>
        <w:t>Evidence of knowledge of duties and responsibilities: owner</w:t>
      </w:r>
      <w:r>
        <w:noBreakHyphen/>
        <w:t>builders</w:t>
      </w:r>
      <w:bookmarkEnd w:id="43"/>
    </w:p>
    <w:p>
      <w:pPr>
        <w:pStyle w:val="Subsection"/>
      </w:pPr>
      <w:r>
        <w:tab/>
      </w:r>
      <w:r>
        <w:tab/>
        <w:t>For the purposes of section 43(3)(b) building practitioner is prescribed as a class of building service practitioner.</w:t>
      </w:r>
    </w:p>
    <w:p>
      <w:pPr>
        <w:pStyle w:val="Heading5"/>
      </w:pPr>
      <w:bookmarkStart w:id="44" w:name="_Toc84343940"/>
      <w:r>
        <w:rPr>
          <w:rStyle w:val="CharSectno"/>
        </w:rPr>
        <w:t>25</w:t>
      </w:r>
      <w:r>
        <w:t>.</w:t>
      </w:r>
      <w:r>
        <w:tab/>
        <w:t>Requirements for owner</w:t>
      </w:r>
      <w:r>
        <w:noBreakHyphen/>
        <w:t>builder approval</w:t>
      </w:r>
      <w:bookmarkEnd w:id="44"/>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 xml:space="preserve">builder work relates to a detached house — the applicant intends to reside on the land on which the </w:t>
      </w:r>
      <w:r>
        <w:lastRenderedPageBreak/>
        <w:t>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Gazette 31 Jan 2012 p. 596.]</w:t>
      </w:r>
    </w:p>
    <w:p>
      <w:pPr>
        <w:pStyle w:val="Heading5"/>
        <w:spacing w:before="180"/>
      </w:pPr>
      <w:bookmarkStart w:id="45" w:name="_Toc84343941"/>
      <w:r>
        <w:rPr>
          <w:rStyle w:val="CharSectno"/>
        </w:rPr>
        <w:t>26</w:t>
      </w:r>
      <w:r>
        <w:t>.</w:t>
      </w:r>
      <w:r>
        <w:tab/>
        <w:t>Conditions on owner</w:t>
      </w:r>
      <w:r>
        <w:noBreakHyphen/>
        <w:t>builder approvals</w:t>
      </w:r>
      <w:bookmarkEnd w:id="45"/>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46" w:name="_Toc84343942"/>
      <w:r>
        <w:rPr>
          <w:rStyle w:val="CharSectno"/>
        </w:rPr>
        <w:t>27</w:t>
      </w:r>
      <w:r>
        <w:t>.</w:t>
      </w:r>
      <w:r>
        <w:tab/>
        <w:t>Display of signs</w:t>
      </w:r>
      <w:bookmarkEnd w:id="46"/>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keepNext/>
      </w:pPr>
      <w:r>
        <w:lastRenderedPageBreak/>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Gazette 31 Jan 2012 p. 596.]</w:t>
      </w:r>
    </w:p>
    <w:p>
      <w:pPr>
        <w:pStyle w:val="Heading2"/>
      </w:pPr>
      <w:bookmarkStart w:id="47" w:name="_Toc84335882"/>
      <w:bookmarkStart w:id="48" w:name="_Toc84336702"/>
      <w:bookmarkStart w:id="49" w:name="_Toc84343943"/>
      <w:r>
        <w:rPr>
          <w:rStyle w:val="CharPartNo"/>
        </w:rPr>
        <w:lastRenderedPageBreak/>
        <w:t>Part 3A</w:t>
      </w:r>
      <w:r>
        <w:rPr>
          <w:rStyle w:val="CharDivNo"/>
        </w:rPr>
        <w:t> </w:t>
      </w:r>
      <w:r>
        <w:t>—</w:t>
      </w:r>
      <w:r>
        <w:rPr>
          <w:rStyle w:val="CharDivText"/>
        </w:rPr>
        <w:t> </w:t>
      </w:r>
      <w:r>
        <w:rPr>
          <w:rStyle w:val="CharPartText"/>
        </w:rPr>
        <w:t>Building surveyors</w:t>
      </w:r>
      <w:bookmarkEnd w:id="47"/>
      <w:bookmarkEnd w:id="48"/>
      <w:bookmarkEnd w:id="49"/>
    </w:p>
    <w:p>
      <w:pPr>
        <w:pStyle w:val="Footnoteheading"/>
      </w:pPr>
      <w:r>
        <w:tab/>
        <w:t>[Heading inserted: Gazette 12 Mar 2012 p. 992.]</w:t>
      </w:r>
    </w:p>
    <w:p>
      <w:pPr>
        <w:pStyle w:val="Heading5"/>
      </w:pPr>
      <w:bookmarkStart w:id="50" w:name="_Toc84343944"/>
      <w:r>
        <w:rPr>
          <w:rStyle w:val="CharSectno"/>
        </w:rPr>
        <w:t>28A</w:t>
      </w:r>
      <w:r>
        <w:t>.</w:t>
      </w:r>
      <w:r>
        <w:tab/>
        <w:t>Terms used</w:t>
      </w:r>
      <w:bookmarkEnd w:id="50"/>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 </w:t>
      </w:r>
    </w:p>
    <w:p>
      <w:pPr>
        <w:pStyle w:val="Defpara"/>
      </w:pPr>
      <w:r>
        <w:tab/>
        <w:t>(a)</w:t>
      </w:r>
      <w:r>
        <w:tab/>
        <w:t>a Class 1 or Class 10 building or incidental structure; or</w:t>
      </w:r>
    </w:p>
    <w:p>
      <w:pPr>
        <w:pStyle w:val="Defpara"/>
      </w:pPr>
      <w:r>
        <w:tab/>
        <w:t>(b)</w:t>
      </w:r>
      <w:r>
        <w:tab/>
        <w:t xml:space="preserve">a Class 2 to 9 building or incidental structure — </w:t>
      </w:r>
    </w:p>
    <w:p>
      <w:pPr>
        <w:pStyle w:val="Defsubpara"/>
      </w:pPr>
      <w:r>
        <w:tab/>
        <w:t>(i)</w:t>
      </w:r>
      <w:r>
        <w:tab/>
        <w:t>with a floor area up to 2 000 m</w:t>
      </w:r>
      <w:r>
        <w:rPr>
          <w:vertAlign w:val="superscript"/>
        </w:rPr>
        <w:t>2</w:t>
      </w:r>
      <w:r>
        <w:t>; and</w:t>
      </w:r>
    </w:p>
    <w:p>
      <w:pPr>
        <w:pStyle w:val="Defsubpara"/>
      </w:pPr>
      <w:r>
        <w:tab/>
        <w:t>(ii)</w:t>
      </w:r>
      <w:r>
        <w:tab/>
        <w:t>not more than 3 storeys in height.</w:t>
      </w:r>
    </w:p>
    <w:p>
      <w:pPr>
        <w:pStyle w:val="Footnotesection"/>
      </w:pPr>
      <w:r>
        <w:tab/>
        <w:t>[Regulation 28A inserted: Gazette 12 Mar 2012 p. 992-3; amended: Gazette 8 Aug 2017 p. 4345.]</w:t>
      </w:r>
    </w:p>
    <w:p>
      <w:pPr>
        <w:pStyle w:val="Heading5"/>
      </w:pPr>
      <w:bookmarkStart w:id="51" w:name="_Toc84343945"/>
      <w:r>
        <w:rPr>
          <w:rStyle w:val="CharSectno"/>
        </w:rPr>
        <w:t>28B</w:t>
      </w:r>
      <w:r>
        <w:t>.</w:t>
      </w:r>
      <w:r>
        <w:tab/>
        <w:t>Prescribed titles: building surveying practitioners and building surveying contractors</w:t>
      </w:r>
      <w:bookmarkEnd w:id="51"/>
    </w:p>
    <w:p>
      <w:pPr>
        <w:pStyle w:val="Subsection"/>
      </w:pPr>
      <w:r>
        <w:tab/>
        <w:t>(1)</w:t>
      </w:r>
      <w:r>
        <w:tab/>
        <w:t>The titles listed under each Part heading in the Table are prescribed for the purposes of section 4(1).</w:t>
      </w:r>
    </w:p>
    <w:p>
      <w:pPr>
        <w:pStyle w:val="THeading"/>
        <w:keepLines/>
      </w:pPr>
      <w:r>
        <w:lastRenderedPageBreak/>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lastRenderedPageBreak/>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Gazette 12 Mar 2012 p. 993-5.]</w:t>
      </w:r>
    </w:p>
    <w:p>
      <w:pPr>
        <w:pStyle w:val="Heading5"/>
      </w:pPr>
      <w:bookmarkStart w:id="52" w:name="_Toc84343946"/>
      <w:r>
        <w:rPr>
          <w:rStyle w:val="CharSectno"/>
        </w:rPr>
        <w:t>28C</w:t>
      </w:r>
      <w:r>
        <w:t>.</w:t>
      </w:r>
      <w:r>
        <w:tab/>
        <w:t>Building surveying contractors: building services prescribed</w:t>
      </w:r>
      <w:bookmarkEnd w:id="52"/>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lastRenderedPageBreak/>
        <w:tab/>
        <w:t>(c)</w:t>
      </w:r>
      <w:r>
        <w:tab/>
        <w:t>building surveying contractor level 2 (company).</w:t>
      </w:r>
    </w:p>
    <w:p>
      <w:pPr>
        <w:pStyle w:val="Footnotesection"/>
      </w:pPr>
      <w:r>
        <w:tab/>
        <w:t>[Regulation 28C inserted: Gazette 12 Mar 2012 p. 1009.]</w:t>
      </w:r>
    </w:p>
    <w:p>
      <w:pPr>
        <w:pStyle w:val="Heading5"/>
      </w:pPr>
      <w:bookmarkStart w:id="53" w:name="_Toc84343947"/>
      <w:r>
        <w:rPr>
          <w:rStyle w:val="CharSectno"/>
        </w:rPr>
        <w:t>28D</w:t>
      </w:r>
      <w:r>
        <w:t>.</w:t>
      </w:r>
      <w:r>
        <w:tab/>
        <w:t>Qualifications and experience: building surveying practitioners</w:t>
      </w:r>
      <w:bookmarkEnd w:id="53"/>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Bachelor of Building Surveying and Certification granted by the Central Queensland University;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lastRenderedPageBreak/>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2</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pPr>
      <w:r>
        <w:lastRenderedPageBreak/>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spacing w:before="80"/>
            </w:pPr>
            <w:r>
              <w:t>CPC60108 Advanced Diploma in Building Surveying as described in CPC08: Construction, Plumbing and Services Training Package published by Training.gov.au; or</w:t>
            </w:r>
          </w:p>
          <w:p>
            <w:pPr>
              <w:pStyle w:val="TableNAm"/>
              <w:spacing w:before="60"/>
              <w:rPr>
                <w:b/>
              </w:rPr>
            </w:pPr>
            <w:r>
              <w:lastRenderedPageBreak/>
              <w:t>an equivalent qualification as determined by the Board</w:t>
            </w:r>
          </w:p>
        </w:tc>
        <w:tc>
          <w:tcPr>
            <w:tcW w:w="2552" w:type="dxa"/>
          </w:tcPr>
          <w:p>
            <w:pPr>
              <w:pStyle w:val="TableNAm"/>
              <w:spacing w:before="80"/>
              <w:rPr>
                <w:b/>
              </w:rPr>
            </w:pPr>
            <w:r>
              <w:lastRenderedPageBreak/>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4 years full</w:t>
            </w:r>
            <w:r>
              <w:noBreakHyphen/>
              <w:t>time unrestricted experience as a building surveyor for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spacing w:before="120"/>
      </w:pPr>
      <w:r>
        <w:lastRenderedPageBreak/>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rPr>
                <w:szCs w:val="24"/>
              </w:rPr>
            </w:pPr>
            <w:r>
              <w:rPr>
                <w:szCs w:val="24"/>
              </w:rPr>
              <w:t>CPC50108 Diploma in Building Surveying as described in CPC08: Construction, Plumbing and Services Training Package published by Training.gov.au; or</w:t>
            </w:r>
          </w:p>
          <w:p>
            <w:pPr>
              <w:pStyle w:val="TableNAm"/>
              <w:rPr>
                <w:szCs w:val="24"/>
              </w:rPr>
            </w:pPr>
            <w:r>
              <w:rPr>
                <w:szCs w:val="24"/>
              </w:rPr>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lastRenderedPageBreak/>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Gazette 12 Mar 2012 p. 995-9; amended: Gazette 6 Nov 2012 p. 5294; 18 Dec 2012 p. 6586</w:t>
      </w:r>
      <w:r>
        <w:noBreakHyphen/>
        <w:t>9; 22 Jan 2013 p. 211; 19 Dec 2014 p. 4842.]</w:t>
      </w:r>
    </w:p>
    <w:p>
      <w:pPr>
        <w:pStyle w:val="Heading5"/>
      </w:pPr>
      <w:bookmarkStart w:id="54" w:name="_Toc84343948"/>
      <w:r>
        <w:rPr>
          <w:rStyle w:val="CharSectno"/>
        </w:rPr>
        <w:t>28E</w:t>
      </w:r>
      <w:r>
        <w:t>.</w:t>
      </w:r>
      <w:r>
        <w:tab/>
        <w:t>Financial requirements: building surveying contractors</w:t>
      </w:r>
      <w:bookmarkEnd w:id="54"/>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w:t>
      </w:r>
      <w:r>
        <w:lastRenderedPageBreak/>
        <w:t xml:space="preserve">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Gazette 12 Mar 2012 p. 999-1000.]</w:t>
      </w:r>
    </w:p>
    <w:p>
      <w:pPr>
        <w:pStyle w:val="Heading5"/>
      </w:pPr>
      <w:bookmarkStart w:id="55" w:name="_Toc84343949"/>
      <w:r>
        <w:rPr>
          <w:rStyle w:val="CharSectno"/>
        </w:rPr>
        <w:t>28F</w:t>
      </w:r>
      <w:r>
        <w:t>.</w:t>
      </w:r>
      <w:r>
        <w:tab/>
        <w:t>Insurance requirements: building surveying contractors</w:t>
      </w:r>
      <w:bookmarkEnd w:id="55"/>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Gazette 12 Mar 2012 p. 1000.]</w:t>
      </w:r>
    </w:p>
    <w:p>
      <w:pPr>
        <w:pStyle w:val="Heading5"/>
      </w:pPr>
      <w:bookmarkStart w:id="56" w:name="_Toc84343950"/>
      <w:r>
        <w:rPr>
          <w:rStyle w:val="CharSectno"/>
        </w:rPr>
        <w:t>28G</w:t>
      </w:r>
      <w:r>
        <w:t>.</w:t>
      </w:r>
      <w:r>
        <w:tab/>
        <w:t>Prescribed requirements: building surveying contractors</w:t>
      </w:r>
      <w:bookmarkEnd w:id="56"/>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Gazette 12 Mar 2012 p. 1001.]</w:t>
      </w:r>
    </w:p>
    <w:p>
      <w:pPr>
        <w:pStyle w:val="Heading5"/>
      </w:pPr>
      <w:bookmarkStart w:id="57" w:name="_Toc84343951"/>
      <w:r>
        <w:rPr>
          <w:rStyle w:val="CharSectno"/>
        </w:rPr>
        <w:lastRenderedPageBreak/>
        <w:t>28H</w:t>
      </w:r>
      <w:r>
        <w:t>.</w:t>
      </w:r>
      <w:r>
        <w:tab/>
        <w:t>Supervisor for building surveying contractors: eligible person</w:t>
      </w:r>
      <w:bookmarkEnd w:id="57"/>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Gazette 12 Mar 2012 p. 1001-2.]</w:t>
      </w:r>
    </w:p>
    <w:p>
      <w:pPr>
        <w:pStyle w:val="Heading5"/>
        <w:spacing w:before="240"/>
      </w:pPr>
      <w:bookmarkStart w:id="58" w:name="_Toc84343952"/>
      <w:r>
        <w:rPr>
          <w:rStyle w:val="CharSectno"/>
        </w:rPr>
        <w:t>28I</w:t>
      </w:r>
      <w:r>
        <w:t>.</w:t>
      </w:r>
      <w:r>
        <w:tab/>
        <w:t>Condition on registration: building surveying contractor</w:t>
      </w:r>
      <w:bookmarkEnd w:id="58"/>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Gazette 12 Mar 2012 p. 1010.]</w:t>
      </w:r>
    </w:p>
    <w:p>
      <w:pPr>
        <w:pStyle w:val="Heading5"/>
        <w:spacing w:before="240"/>
      </w:pPr>
      <w:bookmarkStart w:id="59" w:name="_Toc84343953"/>
      <w:r>
        <w:rPr>
          <w:rStyle w:val="CharSectno"/>
        </w:rPr>
        <w:t>28J</w:t>
      </w:r>
      <w:r>
        <w:t>.</w:t>
      </w:r>
      <w:r>
        <w:tab/>
        <w:t>Display of certificate of registration</w:t>
      </w:r>
      <w:bookmarkEnd w:id="59"/>
    </w:p>
    <w:p>
      <w:pPr>
        <w:pStyle w:val="Subsection"/>
      </w:pPr>
      <w:r>
        <w:tab/>
        <w:t>(1)</w:t>
      </w:r>
      <w:r>
        <w:tab/>
        <w:t xml:space="preserve">Subject to subregulation (2), a building surveying contractor who carries out building surveying work as the person issuing a compliance certificate must ensure that there is displayed in a </w:t>
      </w:r>
      <w:r>
        <w:lastRenderedPageBreak/>
        <w:t xml:space="preserve">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Gazette 12 Mar 2012 p. 1010.]</w:t>
      </w:r>
    </w:p>
    <w:p>
      <w:pPr>
        <w:pStyle w:val="Heading5"/>
      </w:pPr>
      <w:bookmarkStart w:id="60" w:name="_Toc84343954"/>
      <w:r>
        <w:rPr>
          <w:rStyle w:val="CharSectno"/>
        </w:rPr>
        <w:t>28K</w:t>
      </w:r>
      <w:r>
        <w:t>.</w:t>
      </w:r>
      <w:r>
        <w:tab/>
        <w:t>Display of signs</w:t>
      </w:r>
      <w:bookmarkEnd w:id="60"/>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lastRenderedPageBreak/>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Gazette 12 Mar 2012 p. 1011.]</w:t>
      </w:r>
    </w:p>
    <w:p>
      <w:pPr>
        <w:pStyle w:val="Heading2"/>
      </w:pPr>
      <w:bookmarkStart w:id="61" w:name="_Toc84335894"/>
      <w:bookmarkStart w:id="62" w:name="_Toc84336714"/>
      <w:bookmarkStart w:id="63" w:name="_Toc84343955"/>
      <w:r>
        <w:rPr>
          <w:rStyle w:val="CharPartNo"/>
        </w:rPr>
        <w:lastRenderedPageBreak/>
        <w:t>Part 3</w:t>
      </w:r>
      <w:r>
        <w:rPr>
          <w:rStyle w:val="CharDivNo"/>
        </w:rPr>
        <w:t> </w:t>
      </w:r>
      <w:r>
        <w:t>—</w:t>
      </w:r>
      <w:r>
        <w:rPr>
          <w:rStyle w:val="CharDivText"/>
        </w:rPr>
        <w:t> </w:t>
      </w:r>
      <w:r>
        <w:rPr>
          <w:rStyle w:val="CharPartText"/>
        </w:rPr>
        <w:t>Painters</w:t>
      </w:r>
      <w:bookmarkEnd w:id="61"/>
      <w:bookmarkEnd w:id="62"/>
      <w:bookmarkEnd w:id="63"/>
    </w:p>
    <w:p>
      <w:pPr>
        <w:pStyle w:val="Heading5"/>
        <w:spacing w:before="240"/>
      </w:pPr>
      <w:bookmarkStart w:id="64" w:name="_Toc84343956"/>
      <w:r>
        <w:rPr>
          <w:rStyle w:val="CharSectno"/>
        </w:rPr>
        <w:t>28</w:t>
      </w:r>
      <w:r>
        <w:t>.</w:t>
      </w:r>
      <w:r>
        <w:tab/>
        <w:t>Terms used</w:t>
      </w:r>
      <w:bookmarkEnd w:id="64"/>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 xml:space="preserve">If materials used in painting are provided or supplied at the cost of a person other than the person carrying out the painting the value of the materials is to be added to the value of the contract </w:t>
      </w:r>
      <w:r>
        <w:lastRenderedPageBreak/>
        <w:t>to carry out the work for the purposes of calculating the value of the painting work.</w:t>
      </w:r>
    </w:p>
    <w:p>
      <w:pPr>
        <w:pStyle w:val="Heading5"/>
        <w:spacing w:before="240"/>
      </w:pPr>
      <w:bookmarkStart w:id="65" w:name="_Toc84343957"/>
      <w:r>
        <w:rPr>
          <w:rStyle w:val="CharSectno"/>
        </w:rPr>
        <w:t>29</w:t>
      </w:r>
      <w:r>
        <w:t>.</w:t>
      </w:r>
      <w:r>
        <w:tab/>
        <w:t>Prescribed titles: painting practitioners and painting contractors</w:t>
      </w:r>
      <w:bookmarkEnd w:id="65"/>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lastRenderedPageBreak/>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66" w:name="_Toc84343958"/>
      <w:r>
        <w:rPr>
          <w:rStyle w:val="CharSectno"/>
        </w:rPr>
        <w:t>30</w:t>
      </w:r>
      <w:r>
        <w:t>.</w:t>
      </w:r>
      <w:r>
        <w:tab/>
        <w:t>Painting contractors: building services prescribed</w:t>
      </w:r>
      <w:bookmarkEnd w:id="66"/>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67" w:name="_Toc84343959"/>
      <w:r>
        <w:rPr>
          <w:rStyle w:val="CharSectno"/>
        </w:rPr>
        <w:t>31</w:t>
      </w:r>
      <w:r>
        <w:t>.</w:t>
      </w:r>
      <w:r>
        <w:tab/>
        <w:t>Qualifications and experience: painting practitioners</w:t>
      </w:r>
      <w:bookmarkEnd w:id="67"/>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lastRenderedPageBreak/>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552"/>
      </w:tblGrid>
      <w:tr>
        <w:trPr>
          <w:tblHeader/>
        </w:trPr>
        <w:tc>
          <w:tcPr>
            <w:tcW w:w="822" w:type="dxa"/>
          </w:tcPr>
          <w:p>
            <w:pPr>
              <w:pStyle w:val="zTableNAm"/>
              <w:keepNext/>
              <w:keepLines/>
              <w:widowControl w:val="0"/>
              <w:jc w:val="center"/>
              <w:rPr>
                <w:b/>
                <w:bCs/>
              </w:rPr>
            </w:pPr>
          </w:p>
        </w:tc>
        <w:tc>
          <w:tcPr>
            <w:tcW w:w="2835" w:type="dxa"/>
          </w:tcPr>
          <w:p>
            <w:pPr>
              <w:pStyle w:val="TableNAm"/>
              <w:ind w:left="567" w:hanging="567"/>
            </w:pPr>
            <w:r>
              <w:rPr>
                <w:b/>
                <w:bCs/>
              </w:rPr>
              <w:t>Qualifications</w:t>
            </w:r>
          </w:p>
        </w:tc>
        <w:tc>
          <w:tcPr>
            <w:tcW w:w="2552" w:type="dxa"/>
          </w:tcPr>
          <w:p>
            <w:pPr>
              <w:pStyle w:val="TableNAm"/>
              <w:ind w:left="567" w:hanging="567"/>
            </w:pPr>
            <w:r>
              <w:rPr>
                <w:b/>
                <w:bCs/>
              </w:rPr>
              <w:t>Experience</w:t>
            </w:r>
          </w:p>
        </w:tc>
      </w:tr>
      <w:tr>
        <w:tc>
          <w:tcPr>
            <w:tcW w:w="822" w:type="dxa"/>
          </w:tcPr>
          <w:p>
            <w:pPr>
              <w:pStyle w:val="TableNAm"/>
            </w:pPr>
            <w:r>
              <w:t>Set 1</w:t>
            </w:r>
          </w:p>
        </w:tc>
        <w:tc>
          <w:tcPr>
            <w:tcW w:w="2835" w:type="dxa"/>
          </w:tcPr>
          <w:p>
            <w:pPr>
              <w:pStyle w:val="TableNAm"/>
              <w:ind w:left="567" w:hanging="567"/>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(a)(i) of set 2; or</w:t>
            </w:r>
          </w:p>
          <w:p>
            <w:pPr>
              <w:pStyle w:val="TableNAm"/>
              <w:ind w:left="567" w:hanging="567"/>
            </w:pPr>
            <w:r>
              <w:t>(b)</w:t>
            </w:r>
            <w:r>
              <w:tab/>
              <w:t>an equivalent qualification as determined by the Board</w:t>
            </w:r>
          </w:p>
        </w:tc>
        <w:tc>
          <w:tcPr>
            <w:tcW w:w="2552"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Borders>
              <w:bottom w:val="nil"/>
            </w:tcBorders>
          </w:tcPr>
          <w:p>
            <w:pPr>
              <w:pStyle w:val="TableNAm"/>
            </w:pPr>
            <w:r>
              <w:lastRenderedPageBreak/>
              <w:t>Set 2</w:t>
            </w:r>
          </w:p>
        </w:tc>
        <w:tc>
          <w:tcPr>
            <w:tcW w:w="2835" w:type="dxa"/>
            <w:tcBorders>
              <w:bottom w:val="nil"/>
            </w:tcBorders>
          </w:tcPr>
          <w:p>
            <w:pPr>
              <w:pStyle w:val="TableNAm"/>
              <w:ind w:left="567" w:hanging="567"/>
            </w:pPr>
            <w:r>
              <w:t>(a)</w:t>
            </w:r>
            <w:r>
              <w:tab/>
              <w:t xml:space="preserve">either — </w:t>
            </w:r>
          </w:p>
          <w:p>
            <w:pPr>
              <w:pStyle w:val="TableNAm"/>
              <w:ind w:left="567" w:hanging="567"/>
            </w:pPr>
            <w:r>
              <w:t>(i)</w:t>
            </w:r>
            <w:r>
              <w:tab/>
              <w:t xml:space="preserve">52784WA Course in Painters Registration being an approved VET course as defined in the </w:t>
            </w:r>
            <w:r>
              <w:rPr>
                <w:i/>
              </w:rPr>
              <w:t>Vocational Education and Training Act 1996</w:t>
            </w:r>
            <w:r>
              <w:t xml:space="preserve"> section 5(1); or</w:t>
            </w:r>
          </w:p>
        </w:tc>
        <w:tc>
          <w:tcPr>
            <w:tcW w:w="2552" w:type="dxa"/>
            <w:tcBorders>
              <w:bottom w:val="nil"/>
            </w:tcBorders>
          </w:tcPr>
          <w:p>
            <w:pPr>
              <w:pStyle w:val="TableNAm"/>
              <w:tabs>
                <w:tab w:val="clear" w:pos="567"/>
              </w:tabs>
              <w:ind w:left="34" w:hanging="34"/>
            </w:pPr>
            <w:r>
              <w:t>experience in carrying out painting work for periods totalling at least the equivalent of 5 years full</w:t>
            </w:r>
            <w:r>
              <w:noBreakHyphen/>
              <w:t>time covering a significant range of painting techniques</w:t>
            </w:r>
          </w:p>
        </w:tc>
      </w:tr>
      <w:tr>
        <w:trPr>
          <w:cantSplit/>
        </w:trPr>
        <w:tc>
          <w:tcPr>
            <w:tcW w:w="822" w:type="dxa"/>
            <w:tcBorders>
              <w:top w:val="nil"/>
              <w:bottom w:val="nil"/>
            </w:tcBorders>
          </w:tcPr>
          <w:p>
            <w:pPr>
              <w:pStyle w:val="zTableNAm"/>
            </w:pPr>
          </w:p>
        </w:tc>
        <w:tc>
          <w:tcPr>
            <w:tcW w:w="2835" w:type="dxa"/>
            <w:tcBorders>
              <w:top w:val="nil"/>
              <w:bottom w:val="nil"/>
            </w:tcBorders>
          </w:tcPr>
          <w:p>
            <w:pPr>
              <w:pStyle w:val="TableNAm"/>
              <w:ind w:left="567" w:hanging="567"/>
            </w:pPr>
            <w:r>
              <w:t>(ii)</w:t>
            </w:r>
            <w:r>
              <w:tab/>
              <w:t>an equivalent qualification as determined by the Board;</w:t>
            </w:r>
          </w:p>
          <w:p>
            <w:pPr>
              <w:pStyle w:val="TableNAm"/>
              <w:ind w:left="567" w:hanging="567"/>
            </w:pPr>
            <w:r>
              <w:t>and</w:t>
            </w:r>
          </w:p>
        </w:tc>
        <w:tc>
          <w:tcPr>
            <w:tcW w:w="2552" w:type="dxa"/>
            <w:tcBorders>
              <w:top w:val="nil"/>
              <w:bottom w:val="nil"/>
            </w:tcBorders>
          </w:tcPr>
          <w:p>
            <w:pPr>
              <w:pStyle w:val="TableNAm"/>
              <w:ind w:left="567" w:hanging="567"/>
            </w:pPr>
          </w:p>
        </w:tc>
      </w:tr>
      <w:tr>
        <w:trPr>
          <w:cantSplit/>
        </w:trPr>
        <w:tc>
          <w:tcPr>
            <w:tcW w:w="822" w:type="dxa"/>
            <w:tcBorders>
              <w:top w:val="nil"/>
            </w:tcBorders>
          </w:tcPr>
          <w:p>
            <w:pPr>
              <w:pStyle w:val="zTableNAm"/>
            </w:pPr>
          </w:p>
        </w:tc>
        <w:tc>
          <w:tcPr>
            <w:tcW w:w="2835" w:type="dxa"/>
            <w:tcBorders>
              <w:top w:val="nil"/>
            </w:tcBorders>
          </w:tcPr>
          <w:p>
            <w:pPr>
              <w:pStyle w:val="TableNAm"/>
              <w:ind w:left="567" w:hanging="567"/>
            </w:pPr>
            <w:r>
              <w:t>(b)</w:t>
            </w:r>
            <w:r>
              <w:tab/>
              <w:t xml:space="preserve">successful completion of a practical trades test, as determined by the Board, conducted by a person authorised under the </w:t>
            </w:r>
            <w:r>
              <w:rPr>
                <w:i/>
              </w:rPr>
              <w:t>Vocational Education and Training Act 1996</w:t>
            </w:r>
            <w:r>
              <w:t xml:space="preserve"> to provide 52784WA Course in Painters Registration</w:t>
            </w:r>
          </w:p>
        </w:tc>
        <w:tc>
          <w:tcPr>
            <w:tcW w:w="2552" w:type="dxa"/>
            <w:tcBorders>
              <w:top w:val="nil"/>
            </w:tcBorders>
          </w:tcPr>
          <w:p>
            <w:pPr>
              <w:pStyle w:val="TableNAm"/>
              <w:ind w:left="567" w:hanging="567"/>
            </w:pPr>
          </w:p>
        </w:tc>
      </w:tr>
    </w:tbl>
    <w:p>
      <w:pPr>
        <w:pStyle w:val="Subsection"/>
        <w:spacing w:before="180"/>
      </w:pPr>
      <w:r>
        <w:tab/>
        <w:t>(2)</w:t>
      </w:r>
      <w:r>
        <w:tab/>
        <w:t xml:space="preserve">For the purposes of section 17(1)(b) the qualifications and experience for the renewal of the registration of a painting practitioner are the qualifications (if any) and the experience </w:t>
      </w:r>
      <w:r>
        <w:lastRenderedPageBreak/>
        <w:t>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as a painting practitioner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Footnotesection"/>
        <w:spacing w:before="80"/>
      </w:pPr>
      <w:r>
        <w:tab/>
        <w:t>[Regulation 31 amended: Gazette 31 Jan 2012 p. 596</w:t>
      </w:r>
      <w:r>
        <w:noBreakHyphen/>
        <w:t>9; 18 Dec 2012 p. 6589; 5 Jan 2018 p. 5</w:t>
      </w:r>
      <w:r>
        <w:noBreakHyphen/>
        <w:t>6.]</w:t>
      </w:r>
    </w:p>
    <w:p>
      <w:pPr>
        <w:pStyle w:val="Heading5"/>
      </w:pPr>
      <w:bookmarkStart w:id="68" w:name="_Toc84343960"/>
      <w:r>
        <w:rPr>
          <w:rStyle w:val="CharSectno"/>
        </w:rPr>
        <w:t>32</w:t>
      </w:r>
      <w:r>
        <w:t>.</w:t>
      </w:r>
      <w:r>
        <w:tab/>
        <w:t>Conduct of examinations</w:t>
      </w:r>
      <w:bookmarkEnd w:id="68"/>
    </w:p>
    <w:p>
      <w:pPr>
        <w:pStyle w:val="Subsection"/>
      </w:pPr>
      <w:r>
        <w:tab/>
      </w:r>
      <w:r>
        <w:tab/>
        <w:t>For the purpose of assessing a person’s knowledge and skills in relation to painting work, the Board may conduct such examinations as the Board considers appropriate.</w:t>
      </w:r>
    </w:p>
    <w:p>
      <w:pPr>
        <w:pStyle w:val="Footnotesection"/>
      </w:pPr>
      <w:r>
        <w:tab/>
        <w:t>[Regulation 32 amended: Gazette 5 Jan 2018 p. 6.]</w:t>
      </w:r>
    </w:p>
    <w:p>
      <w:pPr>
        <w:pStyle w:val="Heading5"/>
      </w:pPr>
      <w:bookmarkStart w:id="69" w:name="_Toc84343961"/>
      <w:r>
        <w:rPr>
          <w:rStyle w:val="CharSectno"/>
        </w:rPr>
        <w:t>33</w:t>
      </w:r>
      <w:r>
        <w:t>.</w:t>
      </w:r>
      <w:r>
        <w:tab/>
        <w:t>Financial requirements: painting contractors</w:t>
      </w:r>
      <w:bookmarkEnd w:id="69"/>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lastRenderedPageBreak/>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70" w:name="_Toc84343962"/>
      <w:r>
        <w:rPr>
          <w:rStyle w:val="CharSectno"/>
        </w:rPr>
        <w:t>34</w:t>
      </w:r>
      <w:r>
        <w:t>.</w:t>
      </w:r>
      <w:r>
        <w:tab/>
        <w:t>Prescribed requirements: painting contractors</w:t>
      </w:r>
      <w:bookmarkEnd w:id="70"/>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71" w:name="_Toc84343963"/>
      <w:r>
        <w:rPr>
          <w:rStyle w:val="CharSectno"/>
        </w:rPr>
        <w:t>35</w:t>
      </w:r>
      <w:r>
        <w:t>.</w:t>
      </w:r>
      <w:r>
        <w:tab/>
        <w:t>Supervisor for painting contractor: eligible person</w:t>
      </w:r>
      <w:bookmarkEnd w:id="71"/>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keepNext/>
      </w:pPr>
      <w:r>
        <w:lastRenderedPageBreak/>
        <w:tab/>
        <w:t>(b)</w:t>
      </w:r>
      <w:r>
        <w:tab/>
        <w:t>painting contractor (partnership);</w:t>
      </w:r>
    </w:p>
    <w:p>
      <w:pPr>
        <w:pStyle w:val="Indenta"/>
      </w:pPr>
      <w:r>
        <w:tab/>
        <w:t>(c)</w:t>
      </w:r>
      <w:r>
        <w:tab/>
        <w:t>painting contractor (company).</w:t>
      </w:r>
    </w:p>
    <w:p>
      <w:pPr>
        <w:pStyle w:val="Heading5"/>
      </w:pPr>
      <w:bookmarkStart w:id="72" w:name="_Toc84343964"/>
      <w:r>
        <w:rPr>
          <w:rStyle w:val="CharSectno"/>
        </w:rPr>
        <w:t>36</w:t>
      </w:r>
      <w:r>
        <w:t>.</w:t>
      </w:r>
      <w:r>
        <w:tab/>
        <w:t>Display of signs</w:t>
      </w:r>
      <w:bookmarkEnd w:id="72"/>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Gazette 31 Jan 2012 p. 599.]</w:t>
      </w:r>
    </w:p>
    <w:p>
      <w:pPr>
        <w:pStyle w:val="Heading2"/>
      </w:pPr>
      <w:bookmarkStart w:id="73" w:name="_Toc84335904"/>
      <w:bookmarkStart w:id="74" w:name="_Toc84336724"/>
      <w:bookmarkStart w:id="75" w:name="_Toc84343965"/>
      <w:r>
        <w:rPr>
          <w:rStyle w:val="CharPartNo"/>
        </w:rPr>
        <w:lastRenderedPageBreak/>
        <w:t>Part 3B</w:t>
      </w:r>
      <w:r>
        <w:rPr>
          <w:b w:val="0"/>
        </w:rPr>
        <w:t> </w:t>
      </w:r>
      <w:r>
        <w:t>—</w:t>
      </w:r>
      <w:r>
        <w:rPr>
          <w:b w:val="0"/>
        </w:rPr>
        <w:t> </w:t>
      </w:r>
      <w:r>
        <w:rPr>
          <w:rStyle w:val="CharPartText"/>
        </w:rPr>
        <w:t>Infringement notices</w:t>
      </w:r>
      <w:bookmarkEnd w:id="73"/>
      <w:bookmarkEnd w:id="74"/>
      <w:bookmarkEnd w:id="75"/>
    </w:p>
    <w:p>
      <w:pPr>
        <w:pStyle w:val="Footnoteheading"/>
      </w:pPr>
      <w:r>
        <w:tab/>
        <w:t>[Heading inserted: Gazette 26 Apr 2019 p. 1215.]</w:t>
      </w:r>
    </w:p>
    <w:p>
      <w:pPr>
        <w:pStyle w:val="Heading5"/>
      </w:pPr>
      <w:bookmarkStart w:id="76" w:name="_Toc84343966"/>
      <w:r>
        <w:rPr>
          <w:rStyle w:val="CharSectno"/>
        </w:rPr>
        <w:t>36A</w:t>
      </w:r>
      <w:r>
        <w:t>.</w:t>
      </w:r>
      <w:r>
        <w:tab/>
        <w:t>Prescribed offences and modified penalties</w:t>
      </w:r>
      <w:bookmarkEnd w:id="76"/>
    </w:p>
    <w:p>
      <w:pPr>
        <w:pStyle w:val="Subsection"/>
      </w:pPr>
      <w:r>
        <w:tab/>
        <w:t>(1)</w:t>
      </w:r>
      <w:r>
        <w:tab/>
        <w:t xml:space="preserve">The offences specified in Schedule 5 are offences for which an infringement notice may be issued under the </w:t>
      </w:r>
      <w:r>
        <w:rPr>
          <w:i/>
        </w:rPr>
        <w:t>Criminal Procedure Act 2004</w:t>
      </w:r>
      <w:r>
        <w:t> Part 2.</w:t>
      </w:r>
    </w:p>
    <w:p>
      <w:pPr>
        <w:pStyle w:val="Subsection"/>
      </w:pPr>
      <w:r>
        <w:tab/>
        <w:t>(2)</w:t>
      </w:r>
      <w:r>
        <w:tab/>
        <w:t xml:space="preserve">The modified penalty specified opposite an offence in Schedule 5 is the modified penalty for that offence for the purposes of the </w:t>
      </w:r>
      <w:r>
        <w:rPr>
          <w:i/>
        </w:rPr>
        <w:t>Criminal Procedure Act 2004</w:t>
      </w:r>
      <w:r>
        <w:t xml:space="preserve"> section 5(3).</w:t>
      </w:r>
    </w:p>
    <w:p>
      <w:pPr>
        <w:pStyle w:val="Footnotesection"/>
      </w:pPr>
      <w:r>
        <w:tab/>
        <w:t>[Regulation 36A inserted: Gazette 26 Apr 2019 p. 1215.]</w:t>
      </w:r>
    </w:p>
    <w:p>
      <w:pPr>
        <w:pStyle w:val="Heading5"/>
      </w:pPr>
      <w:bookmarkStart w:id="77" w:name="_Toc84343967"/>
      <w:r>
        <w:rPr>
          <w:rStyle w:val="CharSectno"/>
        </w:rPr>
        <w:t>36B</w:t>
      </w:r>
      <w:r>
        <w:t>.</w:t>
      </w:r>
      <w:r>
        <w:tab/>
        <w:t>Authorised officers and approved officers</w:t>
      </w:r>
      <w:bookmarkEnd w:id="77"/>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pPr>
        <w:pStyle w:val="Subsection"/>
      </w:pPr>
      <w:r>
        <w:tab/>
        <w:t>(2)</w:t>
      </w:r>
      <w:r>
        <w:tab/>
        <w:t>The Building Commissioner must issue to each authorised officer a certificate, badge or identity card identifying the officer as a person authorised to issue infringement notices.</w:t>
      </w:r>
    </w:p>
    <w:p>
      <w:pPr>
        <w:pStyle w:val="Footnotesection"/>
      </w:pPr>
      <w:r>
        <w:tab/>
        <w:t>[Regulation 36B inserted: Gazette 26 Apr 2019 p. 1215-16.]</w:t>
      </w:r>
    </w:p>
    <w:p>
      <w:pPr>
        <w:pStyle w:val="Heading5"/>
      </w:pPr>
      <w:bookmarkStart w:id="78" w:name="_Toc84343968"/>
      <w:r>
        <w:rPr>
          <w:rStyle w:val="CharSectno"/>
        </w:rPr>
        <w:t>36C</w:t>
      </w:r>
      <w:r>
        <w:t>.</w:t>
      </w:r>
      <w:r>
        <w:tab/>
        <w:t>Forms</w:t>
      </w:r>
      <w:bookmarkEnd w:id="78"/>
    </w:p>
    <w:p>
      <w:pPr>
        <w:pStyle w:val="Subsection"/>
      </w:pPr>
      <w:r>
        <w:tab/>
      </w:r>
      <w:r>
        <w:tab/>
        <w:t xml:space="preserve">For the purposes of the </w:t>
      </w:r>
      <w:r>
        <w:rPr>
          <w:i/>
        </w:rPr>
        <w:t xml:space="preserve">Criminal Procedure Act 2004 </w:t>
      </w:r>
      <w:r>
        <w:t xml:space="preserve">Part 2 — </w:t>
      </w:r>
    </w:p>
    <w:p>
      <w:pPr>
        <w:pStyle w:val="Indenta"/>
      </w:pPr>
      <w:r>
        <w:tab/>
        <w:t>(a)</w:t>
      </w:r>
      <w:r>
        <w:tab/>
        <w:t>Schedule 6 Form 1 is the prescribed form for an infringement notice; and</w:t>
      </w:r>
    </w:p>
    <w:p>
      <w:pPr>
        <w:pStyle w:val="Indenta"/>
      </w:pPr>
      <w:r>
        <w:tab/>
        <w:t>(b)</w:t>
      </w:r>
      <w:r>
        <w:tab/>
        <w:t>Schedule 6 Form 2 is the prescribed form for the withdrawal of an infringement notice.</w:t>
      </w:r>
    </w:p>
    <w:p>
      <w:pPr>
        <w:pStyle w:val="Footnotesection"/>
      </w:pPr>
      <w:r>
        <w:tab/>
        <w:t>[Regulation 36C inserted: Gazette 26 Apr 2019 p. 1216.]</w:t>
      </w:r>
    </w:p>
    <w:p>
      <w:pPr>
        <w:pStyle w:val="Heading2"/>
      </w:pPr>
      <w:bookmarkStart w:id="79" w:name="_Toc84335908"/>
      <w:bookmarkStart w:id="80" w:name="_Toc84336728"/>
      <w:bookmarkStart w:id="81" w:name="_Toc84343969"/>
      <w:r>
        <w:rPr>
          <w:rStyle w:val="CharPartNo"/>
        </w:rPr>
        <w:lastRenderedPageBreak/>
        <w:t>Part 4</w:t>
      </w:r>
      <w:r>
        <w:t> — </w:t>
      </w:r>
      <w:r>
        <w:rPr>
          <w:rStyle w:val="CharPartText"/>
        </w:rPr>
        <w:t>Transitional provisions</w:t>
      </w:r>
      <w:bookmarkEnd w:id="79"/>
      <w:bookmarkEnd w:id="80"/>
      <w:bookmarkEnd w:id="81"/>
    </w:p>
    <w:p>
      <w:pPr>
        <w:pStyle w:val="Heading3"/>
      </w:pPr>
      <w:bookmarkStart w:id="82" w:name="_Toc84335909"/>
      <w:bookmarkStart w:id="83" w:name="_Toc84336729"/>
      <w:bookmarkStart w:id="84" w:name="_Toc84343970"/>
      <w:r>
        <w:rPr>
          <w:rStyle w:val="CharDivNo"/>
        </w:rPr>
        <w:t>Division 1</w:t>
      </w:r>
      <w:r>
        <w:t> — </w:t>
      </w:r>
      <w:r>
        <w:rPr>
          <w:rStyle w:val="CharDivText"/>
          <w:i/>
        </w:rPr>
        <w:t>Builders’ Registration Act 1939</w:t>
      </w:r>
      <w:bookmarkEnd w:id="82"/>
      <w:bookmarkEnd w:id="83"/>
      <w:bookmarkEnd w:id="84"/>
    </w:p>
    <w:p>
      <w:pPr>
        <w:pStyle w:val="Heading5"/>
      </w:pPr>
      <w:bookmarkStart w:id="85" w:name="_Toc84343971"/>
      <w:r>
        <w:rPr>
          <w:rStyle w:val="CharSectno"/>
        </w:rPr>
        <w:t>37</w:t>
      </w:r>
      <w:r>
        <w:t>.</w:t>
      </w:r>
      <w:r>
        <w:tab/>
        <w:t>Terms used</w:t>
      </w:r>
      <w:bookmarkEnd w:id="85"/>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1</w:t>
      </w:r>
      <w:r>
        <w:t>.</w:t>
      </w:r>
    </w:p>
    <w:p>
      <w:pPr>
        <w:pStyle w:val="Heading5"/>
      </w:pPr>
      <w:bookmarkStart w:id="86" w:name="_Toc84343972"/>
      <w:r>
        <w:rPr>
          <w:rStyle w:val="CharSectno"/>
        </w:rPr>
        <w:t>38</w:t>
      </w:r>
      <w:r>
        <w:t>.</w:t>
      </w:r>
      <w:r>
        <w:tab/>
        <w:t>Continuation of registration (Act s. 114)</w:t>
      </w:r>
      <w:bookmarkEnd w:id="86"/>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87" w:name="_Toc84343973"/>
      <w:r>
        <w:rPr>
          <w:rStyle w:val="CharSectno"/>
        </w:rPr>
        <w:lastRenderedPageBreak/>
        <w:t>39</w:t>
      </w:r>
      <w:r>
        <w:t>.</w:t>
      </w:r>
      <w:r>
        <w:tab/>
        <w:t>Continuation of declaration of ineligible persons</w:t>
      </w:r>
      <w:bookmarkEnd w:id="87"/>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88" w:name="_Toc84343974"/>
      <w:r>
        <w:rPr>
          <w:rStyle w:val="CharSectno"/>
        </w:rPr>
        <w:t>40</w:t>
      </w:r>
      <w:r>
        <w:t>.</w:t>
      </w:r>
      <w:r>
        <w:tab/>
        <w:t>Membership of Board — experience as builder</w:t>
      </w:r>
      <w:bookmarkEnd w:id="88"/>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89" w:name="_Toc84343975"/>
      <w:r>
        <w:rPr>
          <w:rStyle w:val="CharSectno"/>
        </w:rPr>
        <w:t>41</w:t>
      </w:r>
      <w:r>
        <w:t>.</w:t>
      </w:r>
      <w:r>
        <w:tab/>
        <w:t>Continuation of owner</w:t>
      </w:r>
      <w:r>
        <w:noBreakHyphen/>
        <w:t>builder authorisation</w:t>
      </w:r>
      <w:bookmarkEnd w:id="89"/>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90" w:name="_Toc84343976"/>
      <w:r>
        <w:rPr>
          <w:rStyle w:val="CharSectno"/>
        </w:rPr>
        <w:t>42</w:t>
      </w:r>
      <w:r>
        <w:t>.</w:t>
      </w:r>
      <w:r>
        <w:tab/>
        <w:t>Building Commissioner may exercise powers</w:t>
      </w:r>
      <w:bookmarkEnd w:id="90"/>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lastRenderedPageBreak/>
        <w:tab/>
        <w:t>(b)</w:t>
      </w:r>
      <w:r>
        <w:tab/>
        <w:t>exercise any of the powers of the former registrar for the purposes of taking proceedings under the repealed Act.</w:t>
      </w:r>
    </w:p>
    <w:p>
      <w:pPr>
        <w:pStyle w:val="Heading3"/>
      </w:pPr>
      <w:bookmarkStart w:id="91" w:name="_Toc84335916"/>
      <w:bookmarkStart w:id="92" w:name="_Toc84336736"/>
      <w:bookmarkStart w:id="93" w:name="_Toc84343977"/>
      <w:r>
        <w:rPr>
          <w:rStyle w:val="CharDivNo"/>
        </w:rPr>
        <w:t>Division 2</w:t>
      </w:r>
      <w:r>
        <w:t> — </w:t>
      </w:r>
      <w:r>
        <w:rPr>
          <w:rStyle w:val="CharDivText"/>
          <w:i/>
        </w:rPr>
        <w:t>Painters’ Registration Act 1961</w:t>
      </w:r>
      <w:bookmarkEnd w:id="91"/>
      <w:bookmarkEnd w:id="92"/>
      <w:bookmarkEnd w:id="93"/>
    </w:p>
    <w:p>
      <w:pPr>
        <w:pStyle w:val="Heading5"/>
      </w:pPr>
      <w:bookmarkStart w:id="94" w:name="_Toc84343978"/>
      <w:r>
        <w:rPr>
          <w:rStyle w:val="CharSectno"/>
        </w:rPr>
        <w:t>43</w:t>
      </w:r>
      <w:r>
        <w:t>.</w:t>
      </w:r>
      <w:r>
        <w:tab/>
        <w:t>Terms used</w:t>
      </w:r>
      <w:bookmarkEnd w:id="94"/>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4</w:t>
      </w:r>
      <w:r>
        <w:t>.</w:t>
      </w:r>
    </w:p>
    <w:p>
      <w:pPr>
        <w:pStyle w:val="Heading5"/>
      </w:pPr>
      <w:bookmarkStart w:id="95" w:name="_Toc84343979"/>
      <w:r>
        <w:rPr>
          <w:rStyle w:val="CharSectno"/>
        </w:rPr>
        <w:t>44</w:t>
      </w:r>
      <w:r>
        <w:t>.</w:t>
      </w:r>
      <w:r>
        <w:tab/>
        <w:t>Continuation of registration (Act s. 127)</w:t>
      </w:r>
      <w:bookmarkEnd w:id="95"/>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96" w:name="_Toc84343980"/>
      <w:r>
        <w:rPr>
          <w:rStyle w:val="CharSectno"/>
        </w:rPr>
        <w:t>45</w:t>
      </w:r>
      <w:r>
        <w:t>.</w:t>
      </w:r>
      <w:r>
        <w:tab/>
        <w:t>Membership of Board — experience as painter</w:t>
      </w:r>
      <w:bookmarkEnd w:id="96"/>
    </w:p>
    <w:p>
      <w:pPr>
        <w:pStyle w:val="Subsection"/>
      </w:pPr>
      <w:r>
        <w:tab/>
      </w:r>
      <w:r>
        <w:tab/>
        <w:t xml:space="preserve">For the purposes of section 67(2)(c) a person who has experience as a person registered under section 12 of the repealed Act is to be taken to be a person who has experience as </w:t>
      </w:r>
      <w:r>
        <w:lastRenderedPageBreak/>
        <w:t>a registered building service provider in a class listed in item 2 of the Table to regulation 8.</w:t>
      </w:r>
    </w:p>
    <w:p>
      <w:pPr>
        <w:pStyle w:val="Heading5"/>
      </w:pPr>
      <w:bookmarkStart w:id="97" w:name="_Toc84343981"/>
      <w:r>
        <w:rPr>
          <w:rStyle w:val="CharSectno"/>
        </w:rPr>
        <w:t>46</w:t>
      </w:r>
      <w:r>
        <w:t>.</w:t>
      </w:r>
      <w:r>
        <w:tab/>
        <w:t>Building Commissioner may exercise powers</w:t>
      </w:r>
      <w:bookmarkEnd w:id="97"/>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98" w:name="_Toc84335921"/>
      <w:bookmarkStart w:id="99" w:name="_Toc84336741"/>
      <w:bookmarkStart w:id="100" w:name="_Toc84343982"/>
      <w:r>
        <w:rPr>
          <w:rStyle w:val="CharDivNo"/>
        </w:rPr>
        <w:t>Division 3</w:t>
      </w:r>
      <w:r>
        <w:t> — </w:t>
      </w:r>
      <w:r>
        <w:rPr>
          <w:rStyle w:val="CharDivText"/>
          <w:i/>
        </w:rPr>
        <w:t>Local Government (Building Surveyors) Regulations 2008</w:t>
      </w:r>
      <w:bookmarkEnd w:id="98"/>
      <w:bookmarkEnd w:id="99"/>
      <w:bookmarkEnd w:id="100"/>
    </w:p>
    <w:p>
      <w:pPr>
        <w:pStyle w:val="Footnoteheading"/>
      </w:pPr>
      <w:r>
        <w:tab/>
        <w:t>[Heading inserted: Gazette 12 Mar 2012 p. 1002.]</w:t>
      </w:r>
    </w:p>
    <w:p>
      <w:pPr>
        <w:pStyle w:val="Heading5"/>
      </w:pPr>
      <w:bookmarkStart w:id="101" w:name="_Toc84343983"/>
      <w:r>
        <w:rPr>
          <w:rStyle w:val="CharSectno"/>
        </w:rPr>
        <w:t>47</w:t>
      </w:r>
      <w:r>
        <w:t>.</w:t>
      </w:r>
      <w:r>
        <w:tab/>
        <w:t>Terms used</w:t>
      </w:r>
      <w:bookmarkEnd w:id="101"/>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3</w:t>
      </w:r>
      <w:r>
        <w:t>;</w:t>
      </w:r>
    </w:p>
    <w:p>
      <w:pPr>
        <w:pStyle w:val="Defstart"/>
      </w:pPr>
      <w:r>
        <w:tab/>
      </w:r>
      <w:r>
        <w:rPr>
          <w:rStyle w:val="CharDefText"/>
        </w:rPr>
        <w:t>repeal day</w:t>
      </w:r>
      <w:r>
        <w:t xml:space="preserve"> means the day on which section 112 comes into operation</w:t>
      </w:r>
      <w:r>
        <w:rPr>
          <w:vertAlign w:val="superscript"/>
        </w:rPr>
        <w:t> 3</w:t>
      </w:r>
      <w:r>
        <w:t>.</w:t>
      </w:r>
    </w:p>
    <w:p>
      <w:pPr>
        <w:pStyle w:val="Footnotesection"/>
        <w:ind w:left="890" w:hanging="890"/>
      </w:pPr>
      <w:r>
        <w:tab/>
        <w:t>[Regulation 47 inserted: Gazette 12 Mar 2012 p. 1002.]</w:t>
      </w:r>
    </w:p>
    <w:p>
      <w:pPr>
        <w:pStyle w:val="Heading5"/>
      </w:pPr>
      <w:bookmarkStart w:id="102" w:name="_Toc84343984"/>
      <w:r>
        <w:rPr>
          <w:rStyle w:val="CharSectno"/>
        </w:rPr>
        <w:t>48</w:t>
      </w:r>
      <w:r>
        <w:t>.</w:t>
      </w:r>
      <w:r>
        <w:tab/>
        <w:t>Continuation of registration</w:t>
      </w:r>
      <w:bookmarkEnd w:id="102"/>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w:t>
      </w:r>
      <w:r>
        <w:lastRenderedPageBreak/>
        <w:t xml:space="preserve">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Gazette 12 Mar 2012 p. 1002-3.]</w:t>
      </w:r>
    </w:p>
    <w:p>
      <w:pPr>
        <w:pStyle w:val="Heading5"/>
      </w:pPr>
      <w:bookmarkStart w:id="103" w:name="_Toc84343985"/>
      <w:r>
        <w:rPr>
          <w:rStyle w:val="CharSectno"/>
        </w:rPr>
        <w:t>49</w:t>
      </w:r>
      <w:r>
        <w:t>.</w:t>
      </w:r>
      <w:r>
        <w:tab/>
        <w:t>Nominated supervisors for contractors before repeal day</w:t>
      </w:r>
      <w:bookmarkEnd w:id="103"/>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lastRenderedPageBreak/>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Gazette 12 Mar 2012 p. 1003-4.]</w:t>
      </w:r>
    </w:p>
    <w:p>
      <w:pPr>
        <w:pStyle w:val="Heading5"/>
      </w:pPr>
      <w:bookmarkStart w:id="104" w:name="_Toc84343986"/>
      <w:r>
        <w:rPr>
          <w:rStyle w:val="CharSectno"/>
        </w:rPr>
        <w:t>50</w:t>
      </w:r>
      <w:r>
        <w:t>.</w:t>
      </w:r>
      <w:r>
        <w:tab/>
        <w:t>Cancellation of certificate</w:t>
      </w:r>
      <w:bookmarkEnd w:id="104"/>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Gazette 12 Mar 2012 p. 1004.]</w:t>
      </w:r>
    </w:p>
    <w:p>
      <w:pPr>
        <w:pStyle w:val="Heading5"/>
      </w:pPr>
      <w:bookmarkStart w:id="105" w:name="_Toc84343987"/>
      <w:r>
        <w:rPr>
          <w:rStyle w:val="CharSectno"/>
        </w:rPr>
        <w:t>51</w:t>
      </w:r>
      <w:r>
        <w:t>.</w:t>
      </w:r>
      <w:r>
        <w:tab/>
        <w:t>Membership of Board — experience as a building surveyor</w:t>
      </w:r>
      <w:bookmarkEnd w:id="105"/>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Gazette 12 Mar 2012 p. 1004-5.]</w:t>
      </w:r>
    </w:p>
    <w:p>
      <w:pPr>
        <w:pStyle w:val="Heading3"/>
        <w:rPr>
          <w:i/>
        </w:rPr>
      </w:pPr>
      <w:bookmarkStart w:id="106" w:name="_Toc84335927"/>
      <w:bookmarkStart w:id="107" w:name="_Toc84336747"/>
      <w:bookmarkStart w:id="108" w:name="_Toc84343988"/>
      <w:r>
        <w:rPr>
          <w:rStyle w:val="CharDivNo"/>
        </w:rPr>
        <w:lastRenderedPageBreak/>
        <w:t>Division 4</w:t>
      </w:r>
      <w:r>
        <w:t> — </w:t>
      </w:r>
      <w:r>
        <w:rPr>
          <w:rStyle w:val="CharDivText"/>
        </w:rPr>
        <w:t>Building Services (Registration) Amendment Regulations (No. 2) 2017</w:t>
      </w:r>
      <w:bookmarkEnd w:id="106"/>
      <w:bookmarkEnd w:id="107"/>
      <w:bookmarkEnd w:id="108"/>
    </w:p>
    <w:p>
      <w:pPr>
        <w:pStyle w:val="Footnoteheading"/>
        <w:keepNext/>
      </w:pPr>
      <w:r>
        <w:tab/>
        <w:t>[Heading inserted: Gazette 5 Jan 2018 p. 6.]</w:t>
      </w:r>
    </w:p>
    <w:p>
      <w:pPr>
        <w:pStyle w:val="Heading5"/>
      </w:pPr>
      <w:bookmarkStart w:id="109" w:name="_Toc84343989"/>
      <w:r>
        <w:rPr>
          <w:rStyle w:val="CharSectno"/>
        </w:rPr>
        <w:t>52</w:t>
      </w:r>
      <w:r>
        <w:t>.</w:t>
      </w:r>
      <w:r>
        <w:tab/>
        <w:t>Painting practitioners: applications for registration made before 1 September 2018</w:t>
      </w:r>
      <w:bookmarkEnd w:id="109"/>
    </w:p>
    <w:p>
      <w:pPr>
        <w:pStyle w:val="Subsection"/>
      </w:pPr>
      <w:r>
        <w:tab/>
      </w:r>
      <w:r>
        <w:tab/>
        <w:t>Despite regulation 31(1), in relation to an application for registration as a painting practitioner made, but not determined, before 1 September 2018, a qualification (if any) listed in a set in the Table, together with the experience (if any) listed in the same set, are prescribed for the purposes of section 17(1)(b) as qualifications and experience for painting practitioners.</w:t>
      </w:r>
    </w:p>
    <w:p>
      <w:pPr>
        <w:pStyle w:val="THeadingNAm"/>
        <w:keepNext w:val="0"/>
        <w:spacing w:before="200"/>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zTableNAm"/>
              <w:keepLines/>
              <w:widowControl w:val="0"/>
              <w:jc w:val="center"/>
            </w:pPr>
          </w:p>
        </w:tc>
        <w:tc>
          <w:tcPr>
            <w:tcW w:w="2694" w:type="dxa"/>
          </w:tcPr>
          <w:p>
            <w:pPr>
              <w:pStyle w:val="TableNAm"/>
              <w:ind w:left="567" w:hanging="567"/>
              <w:jc w:val="center"/>
            </w:pPr>
            <w:r>
              <w:rPr>
                <w:b/>
              </w:rPr>
              <w:t>Qualifications</w:t>
            </w:r>
          </w:p>
        </w:tc>
        <w:tc>
          <w:tcPr>
            <w:tcW w:w="2693" w:type="dxa"/>
          </w:tcPr>
          <w:p>
            <w:pPr>
              <w:pStyle w:val="TableNAm"/>
              <w:ind w:left="567" w:hanging="567"/>
              <w:jc w:val="center"/>
            </w:pPr>
            <w:r>
              <w:rPr>
                <w:b/>
              </w:rPr>
              <w:t>Experience</w:t>
            </w:r>
          </w:p>
        </w:tc>
      </w:tr>
      <w:tr>
        <w:tc>
          <w:tcPr>
            <w:tcW w:w="822" w:type="dxa"/>
          </w:tcPr>
          <w:p>
            <w:pPr>
              <w:pStyle w:val="TableNAm"/>
            </w:pPr>
            <w:r>
              <w:t>Set 1</w:t>
            </w:r>
          </w:p>
        </w:tc>
        <w:tc>
          <w:tcPr>
            <w:tcW w:w="2694" w:type="dxa"/>
          </w:tcPr>
          <w:p>
            <w:pPr>
              <w:pStyle w:val="TableNAm"/>
              <w:ind w:left="567" w:hanging="567"/>
            </w:pPr>
            <w:r>
              <w:t>(a)</w:t>
            </w:r>
            <w:r>
              <w:tab/>
              <w:t xml:space="preserve">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w:t>
            </w:r>
            <w:r>
              <w:lastRenderedPageBreak/>
              <w:t>paragraph (a) of set 3; or</w:t>
            </w:r>
          </w:p>
          <w:p>
            <w:pPr>
              <w:pStyle w:val="TableNAm"/>
              <w:ind w:left="567" w:hanging="567"/>
            </w:pPr>
            <w:r>
              <w:t>(b)</w:t>
            </w:r>
            <w:r>
              <w:tab/>
              <w:t>an equivalent qualification as determined by the Board</w:t>
            </w:r>
          </w:p>
        </w:tc>
        <w:tc>
          <w:tcPr>
            <w:tcW w:w="2693" w:type="dxa"/>
          </w:tcPr>
          <w:p>
            <w:pPr>
              <w:pStyle w:val="TableNAm"/>
              <w:ind w:left="567" w:hanging="567"/>
            </w:pPr>
            <w:r>
              <w:lastRenderedPageBreak/>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pPr>
            <w:r>
              <w:t>Set 2</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or</w:t>
            </w:r>
          </w:p>
        </w:tc>
        <w:tc>
          <w:tcPr>
            <w:tcW w:w="2693" w:type="dxa"/>
          </w:tcPr>
          <w:p>
            <w:pPr>
              <w:pStyle w:val="TableNAm"/>
              <w:ind w:left="567" w:hanging="567"/>
            </w:pPr>
            <w:r>
              <w:t>(a)</w:t>
            </w:r>
            <w:r>
              <w:tab/>
              <w:t>experience in carrying out painting work for periods totalling at least the equivalent of 4 years full</w:t>
            </w:r>
            <w:r>
              <w:noBreakHyphen/>
              <w:t>time covering a significant range of painting techniques; and</w:t>
            </w:r>
          </w:p>
          <w:p>
            <w:pPr>
              <w:pStyle w:val="TableNAm"/>
              <w:ind w:left="567" w:hanging="567"/>
            </w:pPr>
          </w:p>
        </w:tc>
      </w:tr>
      <w:tr>
        <w:trPr>
          <w:cantSplit/>
        </w:trPr>
        <w:tc>
          <w:tcPr>
            <w:tcW w:w="822" w:type="dxa"/>
          </w:tcPr>
          <w:p>
            <w:pPr>
              <w:pStyle w:val="TableNAm"/>
            </w:pPr>
          </w:p>
        </w:tc>
        <w:tc>
          <w:tcPr>
            <w:tcW w:w="2694" w:type="dxa"/>
          </w:tcPr>
          <w:p>
            <w:pPr>
              <w:pStyle w:val="TableNAm"/>
              <w:ind w:left="567" w:hanging="567"/>
            </w:pPr>
            <w:r>
              <w:t>(b)</w:t>
            </w:r>
            <w:r>
              <w:tab/>
              <w:t>an equivalent qualification as determined by the Board</w:t>
            </w:r>
          </w:p>
        </w:tc>
        <w:tc>
          <w:tcPr>
            <w:tcW w:w="2693" w:type="dxa"/>
          </w:tcPr>
          <w:p>
            <w:pPr>
              <w:pStyle w:val="TableNAm"/>
              <w:ind w:left="567" w:hanging="567"/>
            </w:pPr>
            <w:r>
              <w:t>(b)</w:t>
            </w:r>
            <w:r>
              <w:tab/>
              <w:t>experience in small business management and estimating and specification sufficient to gain knowledge and skills equivalent to those possessed by a person who has successfully</w:t>
            </w:r>
          </w:p>
        </w:tc>
      </w:tr>
      <w:tr>
        <w:trPr>
          <w:cantSplit/>
        </w:trPr>
        <w:tc>
          <w:tcPr>
            <w:tcW w:w="822" w:type="dxa"/>
          </w:tcPr>
          <w:p>
            <w:pPr>
              <w:pStyle w:val="TableNAm"/>
            </w:pPr>
          </w:p>
        </w:tc>
        <w:tc>
          <w:tcPr>
            <w:tcW w:w="2694" w:type="dxa"/>
          </w:tcPr>
          <w:p>
            <w:pPr>
              <w:pStyle w:val="TableNAm"/>
              <w:ind w:left="567" w:hanging="567"/>
            </w:pPr>
          </w:p>
        </w:tc>
        <w:tc>
          <w:tcPr>
            <w:tcW w:w="2693" w:type="dxa"/>
          </w:tcPr>
          <w:p>
            <w:pPr>
              <w:pStyle w:val="TableNAm"/>
              <w:ind w:left="567" w:hanging="567"/>
            </w:pPr>
            <w:r>
              <w:tab/>
              <w:t>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ind w:left="567" w:hanging="567"/>
            </w:pPr>
            <w:r>
              <w:t>(a)</w:t>
            </w:r>
            <w:r>
              <w:tab/>
              <w:t xml:space="preserve">52784WA Course in Painters Registration being an approved VET course as defined in the </w:t>
            </w:r>
            <w:r>
              <w:rPr>
                <w:i/>
              </w:rPr>
              <w:t>Vocational Education and Training Act 1996</w:t>
            </w:r>
            <w:r>
              <w:t xml:space="preserve"> section 5(1); or</w:t>
            </w:r>
          </w:p>
          <w:p>
            <w:pPr>
              <w:pStyle w:val="TableNAm"/>
              <w:ind w:left="567" w:hanging="567"/>
            </w:pPr>
            <w:r>
              <w:t>(b)</w:t>
            </w:r>
            <w:r>
              <w:tab/>
              <w:t>an equivalent qualification as determined by the Board</w:t>
            </w:r>
          </w:p>
        </w:tc>
        <w:tc>
          <w:tcPr>
            <w:tcW w:w="2693" w:type="dxa"/>
          </w:tcPr>
          <w:p>
            <w:pPr>
              <w:pStyle w:val="TableNAm"/>
              <w:tabs>
                <w:tab w:val="clear" w:pos="567"/>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keepLines/>
            </w:pPr>
            <w:r>
              <w:t>Set 4</w:t>
            </w:r>
          </w:p>
        </w:tc>
        <w:tc>
          <w:tcPr>
            <w:tcW w:w="2694" w:type="dxa"/>
          </w:tcPr>
          <w:p>
            <w:pPr>
              <w:pStyle w:val="zTableNAm"/>
              <w:keepLines/>
              <w:widowControl w:val="0"/>
              <w:ind w:left="567" w:hanging="567"/>
              <w:jc w:val="center"/>
            </w:pPr>
          </w:p>
        </w:tc>
        <w:tc>
          <w:tcPr>
            <w:tcW w:w="2693" w:type="dxa"/>
          </w:tcPr>
          <w:p>
            <w:pPr>
              <w:pStyle w:val="TableNAm"/>
              <w:keepLines/>
              <w:tabs>
                <w:tab w:val="clear" w:pos="567"/>
              </w:tabs>
              <w:ind w:left="33" w:hanging="33"/>
            </w:pPr>
            <w:r>
              <w:t xml:space="preserve">experience in carrying out painting work — </w:t>
            </w:r>
          </w:p>
          <w:p>
            <w:pPr>
              <w:pStyle w:val="TableNAm"/>
              <w:keepLines/>
              <w:ind w:left="567" w:hanging="567"/>
            </w:pPr>
            <w:r>
              <w:t>(a)</w:t>
            </w:r>
            <w:r>
              <w:tab/>
              <w:t>covering a significant range of painting techniques for periods totalling at least the equivalent of 5 years full</w:t>
            </w:r>
            <w:r>
              <w:noBreakHyphen/>
              <w:t>time; and</w:t>
            </w:r>
          </w:p>
          <w:p>
            <w:pPr>
              <w:pStyle w:val="TableNAm"/>
              <w:keepLines/>
              <w:ind w:left="567" w:hanging="567"/>
            </w:pPr>
            <w:r>
              <w:lastRenderedPageBreak/>
              <w:t>(b)</w:t>
            </w:r>
            <w:r>
              <w:tab/>
              <w:t>sufficient to gain knowledge and skills equivalent to those possessed by a person who has successfully completed a qualification referred to in set 3</w:t>
            </w:r>
          </w:p>
        </w:tc>
      </w:tr>
    </w:tbl>
    <w:p>
      <w:pPr>
        <w:pStyle w:val="Footnotesection"/>
      </w:pPr>
      <w:r>
        <w:lastRenderedPageBreak/>
        <w:tab/>
        <w:t>[Regulation 52 inserted: Gazette 5 Jan 2018 p. 6</w:t>
      </w:r>
      <w:r>
        <w:noBreakHyphen/>
        <w:t>8.]</w:t>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10" w:name="_Toc84335929"/>
      <w:bookmarkStart w:id="111" w:name="_Toc84336749"/>
      <w:bookmarkStart w:id="112" w:name="_Toc84343990"/>
      <w:r>
        <w:rPr>
          <w:rStyle w:val="CharSchNo"/>
        </w:rPr>
        <w:lastRenderedPageBreak/>
        <w:t>Schedule 1</w:t>
      </w:r>
      <w:r>
        <w:t> — </w:t>
      </w:r>
      <w:r>
        <w:rPr>
          <w:rStyle w:val="CharSchText"/>
        </w:rPr>
        <w:t>Fees</w:t>
      </w:r>
      <w:bookmarkEnd w:id="110"/>
      <w:bookmarkEnd w:id="111"/>
      <w:bookmarkEnd w:id="112"/>
    </w:p>
    <w:p>
      <w:pPr>
        <w:pStyle w:val="yShoulderClause"/>
      </w:pPr>
      <w:r>
        <w:t>[r. 9]</w:t>
      </w:r>
    </w:p>
    <w:p>
      <w:pPr>
        <w:pStyle w:val="yFootnoteheading"/>
      </w:pPr>
      <w:r>
        <w:tab/>
        <w:t>[Heading inserted: SL 2021/86 r. 17.]</w:t>
      </w:r>
    </w:p>
    <w:p>
      <w:pPr>
        <w:pStyle w:val="yHeading3"/>
      </w:pPr>
      <w:bookmarkStart w:id="113" w:name="_Toc84335930"/>
      <w:bookmarkStart w:id="114" w:name="_Toc84336750"/>
      <w:bookmarkStart w:id="115" w:name="_Toc84343991"/>
      <w:r>
        <w:rPr>
          <w:rStyle w:val="CharSDivNo"/>
        </w:rPr>
        <w:t>Division 1</w:t>
      </w:r>
      <w:r>
        <w:t> — </w:t>
      </w:r>
      <w:r>
        <w:rPr>
          <w:rStyle w:val="CharSDivText"/>
        </w:rPr>
        <w:t>General</w:t>
      </w:r>
      <w:bookmarkEnd w:id="113"/>
      <w:bookmarkEnd w:id="114"/>
      <w:bookmarkEnd w:id="115"/>
    </w:p>
    <w:p>
      <w:pPr>
        <w:pStyle w:val="yFootnoteheading"/>
        <w:spacing w:after="120"/>
      </w:pPr>
      <w:r>
        <w:tab/>
        <w:t>[Heading inserted: SL 2021/86 r. 17.]</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Service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Issue of replacement certificate of registration</w:t>
            </w:r>
          </w:p>
        </w:tc>
        <w:tc>
          <w:tcPr>
            <w:tcW w:w="1418" w:type="dxa"/>
            <w:tcBorders>
              <w:bottom w:val="nil"/>
            </w:tcBorders>
            <w:noWrap/>
            <w:vAlign w:val="bottom"/>
          </w:tcPr>
          <w:p>
            <w:pPr>
              <w:pStyle w:val="yTableNAm"/>
              <w:jc w:val="right"/>
            </w:pPr>
            <w:r>
              <w:t>67.50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Issue of new certificate of registration following name change</w:t>
            </w:r>
          </w:p>
        </w:tc>
        <w:tc>
          <w:tcPr>
            <w:tcW w:w="1418" w:type="dxa"/>
            <w:tcBorders>
              <w:top w:val="nil"/>
              <w:bottom w:val="nil"/>
            </w:tcBorders>
            <w:noWrap/>
            <w:vAlign w:val="bottom"/>
          </w:tcPr>
          <w:p>
            <w:pPr>
              <w:pStyle w:val="yTableNAm"/>
              <w:jc w:val="right"/>
            </w:pPr>
            <w:r>
              <w:t>64.00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Provision of a certified copy of the register</w:t>
            </w:r>
          </w:p>
        </w:tc>
        <w:tc>
          <w:tcPr>
            <w:tcW w:w="1418" w:type="dxa"/>
            <w:tcBorders>
              <w:top w:val="nil"/>
              <w:bottom w:val="nil"/>
            </w:tcBorders>
            <w:noWrap/>
            <w:vAlign w:val="bottom"/>
          </w:tcPr>
          <w:p>
            <w:pPr>
              <w:pStyle w:val="yTableNAm"/>
              <w:jc w:val="right"/>
            </w:pPr>
            <w:r>
              <w:t>64.00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 xml:space="preserve">Provision of a certified copy of the register in respect of the classes of building service contractors in a specified occupation group referred to in regulation 8 </w:t>
            </w:r>
          </w:p>
        </w:tc>
        <w:tc>
          <w:tcPr>
            <w:tcW w:w="1418" w:type="dxa"/>
            <w:tcBorders>
              <w:top w:val="nil"/>
              <w:bottom w:val="nil"/>
            </w:tcBorders>
            <w:noWrap/>
            <w:vAlign w:val="bottom"/>
          </w:tcPr>
          <w:p>
            <w:pPr>
              <w:pStyle w:val="yTableNAm"/>
              <w:jc w:val="right"/>
            </w:pPr>
            <w:r>
              <w:t>64.00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Provision of a certified copy of the entry in the register in respect of a specified building service provider on a specified day or within a specified period</w:t>
            </w:r>
          </w:p>
        </w:tc>
        <w:tc>
          <w:tcPr>
            <w:tcW w:w="1418" w:type="dxa"/>
            <w:tcBorders>
              <w:top w:val="nil"/>
              <w:bottom w:val="nil"/>
            </w:tcBorders>
            <w:noWrap/>
            <w:vAlign w:val="bottom"/>
          </w:tcPr>
          <w:p>
            <w:pPr>
              <w:pStyle w:val="yTableNAm"/>
              <w:jc w:val="right"/>
            </w:pPr>
            <w:r>
              <w:t>64.00</w:t>
            </w:r>
          </w:p>
        </w:tc>
      </w:tr>
      <w:tr>
        <w:trPr>
          <w:cantSplit/>
          <w:jc w:val="center"/>
        </w:trPr>
        <w:tc>
          <w:tcPr>
            <w:tcW w:w="709" w:type="dxa"/>
            <w:tcBorders>
              <w:top w:val="nil"/>
            </w:tcBorders>
            <w:noWrap/>
          </w:tcPr>
          <w:p>
            <w:pPr>
              <w:pStyle w:val="yTableNAm"/>
              <w:spacing w:after="120"/>
            </w:pPr>
            <w:r>
              <w:t>6.</w:t>
            </w:r>
          </w:p>
        </w:tc>
        <w:tc>
          <w:tcPr>
            <w:tcW w:w="3260" w:type="dxa"/>
            <w:tcBorders>
              <w:top w:val="nil"/>
            </w:tcBorders>
            <w:noWrap/>
          </w:tcPr>
          <w:p>
            <w:pPr>
              <w:pStyle w:val="yTableNAm"/>
              <w:spacing w:after="120"/>
            </w:pPr>
            <w:r>
              <w:t>Provision of a certified copy of entries that have been added to, or deleted from, the register after a specified day</w:t>
            </w:r>
          </w:p>
        </w:tc>
        <w:tc>
          <w:tcPr>
            <w:tcW w:w="1418" w:type="dxa"/>
            <w:tcBorders>
              <w:top w:val="nil"/>
            </w:tcBorders>
            <w:noWrap/>
            <w:vAlign w:val="bottom"/>
          </w:tcPr>
          <w:p>
            <w:pPr>
              <w:pStyle w:val="yTableNAm"/>
              <w:spacing w:after="120"/>
              <w:jc w:val="right"/>
            </w:pPr>
            <w:r>
              <w:t>64.00</w:t>
            </w:r>
          </w:p>
        </w:tc>
      </w:tr>
    </w:tbl>
    <w:p>
      <w:pPr>
        <w:pStyle w:val="yFootnotesection"/>
      </w:pPr>
      <w:r>
        <w:tab/>
        <w:t>[Division 1 inserted: SL 2021/86 r. 17.]</w:t>
      </w:r>
    </w:p>
    <w:p>
      <w:pPr>
        <w:pStyle w:val="yHeading3"/>
      </w:pPr>
      <w:bookmarkStart w:id="116" w:name="_Toc84335931"/>
      <w:bookmarkStart w:id="117" w:name="_Toc84336751"/>
      <w:bookmarkStart w:id="118" w:name="_Toc84343992"/>
      <w:r>
        <w:rPr>
          <w:rStyle w:val="CharSDivNo"/>
        </w:rPr>
        <w:lastRenderedPageBreak/>
        <w:t>Division 2</w:t>
      </w:r>
      <w:r>
        <w:t> — </w:t>
      </w:r>
      <w:r>
        <w:rPr>
          <w:rStyle w:val="CharSDivText"/>
        </w:rPr>
        <w:t>Builders</w:t>
      </w:r>
      <w:bookmarkEnd w:id="116"/>
      <w:bookmarkEnd w:id="117"/>
      <w:bookmarkEnd w:id="118"/>
    </w:p>
    <w:p>
      <w:pPr>
        <w:pStyle w:val="yFootnoteheading"/>
        <w:spacing w:after="120"/>
      </w:pPr>
      <w:r>
        <w:tab/>
        <w:t>[Heading inserted: SL 2021/86 r. 17.]</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keepNext/>
              <w:keepLines/>
              <w:jc w:val="center"/>
              <w:rPr>
                <w:b/>
              </w:rPr>
            </w:pPr>
            <w:r>
              <w:rPr>
                <w:b/>
              </w:rPr>
              <w:t>Item</w:t>
            </w:r>
          </w:p>
        </w:tc>
        <w:tc>
          <w:tcPr>
            <w:tcW w:w="3260" w:type="dxa"/>
            <w:tcBorders>
              <w:bottom w:val="single" w:sz="4" w:space="0" w:color="auto"/>
            </w:tcBorders>
            <w:noWrap/>
          </w:tcPr>
          <w:p>
            <w:pPr>
              <w:pStyle w:val="yTableNAm"/>
              <w:keepNext/>
              <w:keepLines/>
              <w:jc w:val="center"/>
              <w:rPr>
                <w:b/>
              </w:rPr>
            </w:pPr>
            <w:r>
              <w:rPr>
                <w:b/>
              </w:rPr>
              <w:t>Column 1</w:t>
            </w:r>
          </w:p>
          <w:p>
            <w:pPr>
              <w:pStyle w:val="yTableNAm"/>
              <w:keepNext/>
              <w:keepLines/>
              <w:jc w:val="center"/>
              <w:rPr>
                <w:b/>
              </w:rPr>
            </w:pPr>
            <w:r>
              <w:rPr>
                <w:b/>
              </w:rPr>
              <w:t>Description of fee</w:t>
            </w:r>
          </w:p>
        </w:tc>
        <w:tc>
          <w:tcPr>
            <w:tcW w:w="1418" w:type="dxa"/>
            <w:tcBorders>
              <w:bottom w:val="single" w:sz="4" w:space="0" w:color="auto"/>
            </w:tcBorders>
            <w:noWrap/>
          </w:tcPr>
          <w:p>
            <w:pPr>
              <w:pStyle w:val="yTableNAm"/>
              <w:keepNext/>
              <w:keepLines/>
              <w:jc w:val="center"/>
              <w:rPr>
                <w:b/>
              </w:rPr>
            </w:pPr>
            <w:r>
              <w:rPr>
                <w:b/>
              </w:rPr>
              <w:t>Column 2</w:t>
            </w:r>
          </w:p>
          <w:p>
            <w:pPr>
              <w:pStyle w:val="yTableNAm"/>
              <w:keepNext/>
              <w:keepLines/>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practitioner</w:t>
            </w:r>
          </w:p>
        </w:tc>
        <w:tc>
          <w:tcPr>
            <w:tcW w:w="1418" w:type="dxa"/>
            <w:tcBorders>
              <w:bottom w:val="nil"/>
            </w:tcBorders>
            <w:noWrap/>
            <w:vAlign w:val="bottom"/>
          </w:tcPr>
          <w:p>
            <w:pPr>
              <w:pStyle w:val="yTableNAm"/>
              <w:jc w:val="right"/>
            </w:pPr>
            <w:r>
              <w:t>235.00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contractor (individual)</w:t>
            </w:r>
          </w:p>
        </w:tc>
        <w:tc>
          <w:tcPr>
            <w:tcW w:w="1418" w:type="dxa"/>
            <w:tcBorders>
              <w:top w:val="nil"/>
              <w:bottom w:val="nil"/>
            </w:tcBorders>
            <w:noWrap/>
            <w:vAlign w:val="bottom"/>
          </w:tcPr>
          <w:p>
            <w:pPr>
              <w:pStyle w:val="yTableNAm"/>
              <w:jc w:val="right"/>
            </w:pPr>
            <w:r>
              <w:t>235.00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building contractor (partnership)</w:t>
            </w:r>
          </w:p>
        </w:tc>
        <w:tc>
          <w:tcPr>
            <w:tcW w:w="1418" w:type="dxa"/>
            <w:tcBorders>
              <w:top w:val="nil"/>
              <w:bottom w:val="nil"/>
            </w:tcBorders>
            <w:noWrap/>
            <w:vAlign w:val="bottom"/>
          </w:tcPr>
          <w:p>
            <w:pPr>
              <w:pStyle w:val="yTableNAm"/>
              <w:jc w:val="right"/>
            </w:pPr>
            <w:r>
              <w:t>386.00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contractor (company)</w:t>
            </w:r>
          </w:p>
        </w:tc>
        <w:tc>
          <w:tcPr>
            <w:tcW w:w="1418" w:type="dxa"/>
            <w:tcBorders>
              <w:top w:val="nil"/>
              <w:bottom w:val="nil"/>
            </w:tcBorders>
            <w:noWrap/>
            <w:vAlign w:val="bottom"/>
          </w:tcPr>
          <w:p>
            <w:pPr>
              <w:pStyle w:val="yTableNAm"/>
              <w:jc w:val="right"/>
            </w:pPr>
            <w:r>
              <w:t>386.00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building practitioner (3 years)</w:t>
            </w:r>
          </w:p>
        </w:tc>
        <w:tc>
          <w:tcPr>
            <w:tcW w:w="1418" w:type="dxa"/>
            <w:tcBorders>
              <w:top w:val="nil"/>
              <w:bottom w:val="nil"/>
            </w:tcBorders>
            <w:noWrap/>
            <w:vAlign w:val="bottom"/>
          </w:tcPr>
          <w:p>
            <w:pPr>
              <w:pStyle w:val="yTableNAm"/>
              <w:jc w:val="right"/>
            </w:pPr>
            <w:r>
              <w:t>677.00</w:t>
            </w:r>
          </w:p>
        </w:tc>
      </w:tr>
      <w:tr>
        <w:trPr>
          <w:cantSplit/>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contractor (individual) (3 years)</w:t>
            </w:r>
          </w:p>
        </w:tc>
        <w:tc>
          <w:tcPr>
            <w:tcW w:w="1418" w:type="dxa"/>
            <w:tcBorders>
              <w:top w:val="nil"/>
              <w:bottom w:val="nil"/>
            </w:tcBorders>
            <w:noWrap/>
            <w:vAlign w:val="bottom"/>
          </w:tcPr>
          <w:p>
            <w:pPr>
              <w:pStyle w:val="yTableNAm"/>
              <w:jc w:val="right"/>
            </w:pPr>
            <w:r>
              <w:t>453.00</w:t>
            </w:r>
          </w:p>
        </w:tc>
      </w:tr>
      <w:tr>
        <w:trPr>
          <w:cantSplit/>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contractor (partnership) (3 years)</w:t>
            </w:r>
          </w:p>
        </w:tc>
        <w:tc>
          <w:tcPr>
            <w:tcW w:w="1418" w:type="dxa"/>
            <w:tcBorders>
              <w:top w:val="nil"/>
              <w:bottom w:val="nil"/>
            </w:tcBorders>
            <w:noWrap/>
            <w:vAlign w:val="bottom"/>
          </w:tcPr>
          <w:p>
            <w:pPr>
              <w:pStyle w:val="yTableNAm"/>
              <w:jc w:val="right"/>
            </w:pPr>
            <w:r>
              <w:t>1 470.00</w:t>
            </w:r>
          </w:p>
        </w:tc>
      </w:tr>
      <w:tr>
        <w:trPr>
          <w:cantSplit/>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contractor (company) (3 years)</w:t>
            </w:r>
          </w:p>
        </w:tc>
        <w:tc>
          <w:tcPr>
            <w:tcW w:w="1418" w:type="dxa"/>
            <w:tcBorders>
              <w:top w:val="nil"/>
              <w:bottom w:val="nil"/>
            </w:tcBorders>
            <w:noWrap/>
            <w:vAlign w:val="bottom"/>
          </w:tcPr>
          <w:p>
            <w:pPr>
              <w:pStyle w:val="yTableNAm"/>
              <w:jc w:val="right"/>
            </w:pPr>
            <w:r>
              <w:t>3 136.75</w:t>
            </w:r>
          </w:p>
        </w:tc>
      </w:tr>
      <w:tr>
        <w:trPr>
          <w:cantSplit/>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8" w:type="dxa"/>
            <w:tcBorders>
              <w:top w:val="nil"/>
              <w:bottom w:val="nil"/>
            </w:tcBorders>
            <w:noWrap/>
            <w:vAlign w:val="bottom"/>
          </w:tcPr>
          <w:p>
            <w:pPr>
              <w:pStyle w:val="yTableNAm"/>
              <w:jc w:val="right"/>
            </w:pPr>
            <w:r>
              <w:rPr>
                <w:color w:val="000000"/>
              </w:rPr>
              <w:t>60.00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8" w:type="dxa"/>
            <w:tcBorders>
              <w:top w:val="nil"/>
              <w:bottom w:val="nil"/>
            </w:tcBorders>
            <w:noWrap/>
            <w:vAlign w:val="bottom"/>
          </w:tcPr>
          <w:p>
            <w:pPr>
              <w:pStyle w:val="yTableNAm"/>
              <w:jc w:val="right"/>
            </w:pPr>
            <w:r>
              <w:rPr>
                <w:color w:val="000000"/>
              </w:rPr>
              <w:t>212.00</w:t>
            </w:r>
          </w:p>
        </w:tc>
      </w:tr>
      <w:tr>
        <w:trPr>
          <w:cantSplit/>
          <w:jc w:val="center"/>
        </w:trPr>
        <w:tc>
          <w:tcPr>
            <w:tcW w:w="709" w:type="dxa"/>
            <w:tcBorders>
              <w:top w:val="nil"/>
            </w:tcBorders>
            <w:noWrap/>
          </w:tcPr>
          <w:p>
            <w:pPr>
              <w:pStyle w:val="yTableNAm"/>
              <w:keepNext/>
              <w:spacing w:after="120"/>
            </w:pPr>
            <w:r>
              <w:lastRenderedPageBreak/>
              <w:t>11.</w:t>
            </w:r>
          </w:p>
        </w:tc>
        <w:tc>
          <w:tcPr>
            <w:tcW w:w="3260" w:type="dxa"/>
            <w:tcBorders>
              <w:top w:val="nil"/>
            </w:tcBorders>
            <w:noWrap/>
          </w:tcPr>
          <w:p>
            <w:pPr>
              <w:pStyle w:val="yTableNAm"/>
              <w:keepNext/>
              <w:spacing w:after="120"/>
            </w:pPr>
            <w:r>
              <w:t>Fee for marking an examination sat outside metropolitan area</w:t>
            </w:r>
          </w:p>
        </w:tc>
        <w:tc>
          <w:tcPr>
            <w:tcW w:w="1418" w:type="dxa"/>
            <w:tcBorders>
              <w:top w:val="nil"/>
            </w:tcBorders>
            <w:noWrap/>
            <w:vAlign w:val="bottom"/>
          </w:tcPr>
          <w:p>
            <w:pPr>
              <w:pStyle w:val="yTableNAm"/>
              <w:keepNext/>
              <w:spacing w:after="120"/>
              <w:jc w:val="right"/>
            </w:pPr>
            <w:r>
              <w:rPr>
                <w:color w:val="000000"/>
              </w:rPr>
              <w:t>64.50</w:t>
            </w:r>
          </w:p>
        </w:tc>
      </w:tr>
    </w:tbl>
    <w:p>
      <w:pPr>
        <w:pStyle w:val="yFootnotesection"/>
      </w:pPr>
      <w:r>
        <w:tab/>
        <w:t>[Division 2 inserted: SL 2021/86 r. 17.]</w:t>
      </w:r>
    </w:p>
    <w:p>
      <w:pPr>
        <w:pStyle w:val="yHeading3"/>
      </w:pPr>
      <w:bookmarkStart w:id="119" w:name="_Toc84335932"/>
      <w:bookmarkStart w:id="120" w:name="_Toc84336752"/>
      <w:bookmarkStart w:id="121" w:name="_Toc84343993"/>
      <w:r>
        <w:rPr>
          <w:rStyle w:val="CharSDivNo"/>
        </w:rPr>
        <w:t>Division 3</w:t>
      </w:r>
      <w:r>
        <w:t> — </w:t>
      </w:r>
      <w:r>
        <w:rPr>
          <w:rStyle w:val="CharSDivText"/>
        </w:rPr>
        <w:t>Owner</w:t>
      </w:r>
      <w:r>
        <w:rPr>
          <w:rStyle w:val="CharSDivText"/>
        </w:rPr>
        <w:noBreakHyphen/>
        <w:t>builders</w:t>
      </w:r>
      <w:bookmarkEnd w:id="119"/>
      <w:bookmarkEnd w:id="120"/>
      <w:bookmarkEnd w:id="121"/>
    </w:p>
    <w:p>
      <w:pPr>
        <w:pStyle w:val="yFootnoteheading"/>
        <w:spacing w:after="120"/>
      </w:pPr>
      <w:r>
        <w:tab/>
        <w:t>[Heading inserted: SL 2021/86 r. 17.]</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owner</w:t>
            </w:r>
            <w:r>
              <w:noBreakHyphen/>
              <w:t>builder approval (residential)</w:t>
            </w:r>
          </w:p>
        </w:tc>
        <w:tc>
          <w:tcPr>
            <w:tcW w:w="1418" w:type="dxa"/>
            <w:tcBorders>
              <w:bottom w:val="nil"/>
            </w:tcBorders>
            <w:noWrap/>
            <w:vAlign w:val="bottom"/>
          </w:tcPr>
          <w:p>
            <w:pPr>
              <w:pStyle w:val="yTableNAm"/>
              <w:jc w:val="right"/>
              <w:rPr>
                <w:color w:val="000000"/>
              </w:rPr>
            </w:pPr>
            <w:r>
              <w:rPr>
                <w:color w:val="000000"/>
              </w:rPr>
              <w:t>183.00</w:t>
            </w:r>
          </w:p>
        </w:tc>
      </w:tr>
      <w:tr>
        <w:trPr>
          <w:jc w:val="center"/>
        </w:trPr>
        <w:tc>
          <w:tcPr>
            <w:tcW w:w="709" w:type="dxa"/>
            <w:tcBorders>
              <w:top w:val="nil"/>
            </w:tcBorders>
            <w:noWrap/>
          </w:tcPr>
          <w:p>
            <w:pPr>
              <w:pStyle w:val="yTableNAm"/>
              <w:spacing w:after="120"/>
            </w:pPr>
            <w:r>
              <w:t>2.</w:t>
            </w:r>
          </w:p>
        </w:tc>
        <w:tc>
          <w:tcPr>
            <w:tcW w:w="3260" w:type="dxa"/>
            <w:tcBorders>
              <w:top w:val="nil"/>
            </w:tcBorders>
            <w:noWrap/>
          </w:tcPr>
          <w:p>
            <w:pPr>
              <w:pStyle w:val="yTableNAm"/>
              <w:spacing w:after="120"/>
            </w:pPr>
            <w:r>
              <w:t>Application for owner</w:t>
            </w:r>
            <w:r>
              <w:noBreakHyphen/>
              <w:t>builder approval (commercial)</w:t>
            </w:r>
          </w:p>
        </w:tc>
        <w:tc>
          <w:tcPr>
            <w:tcW w:w="1418" w:type="dxa"/>
            <w:tcBorders>
              <w:top w:val="nil"/>
            </w:tcBorders>
            <w:noWrap/>
            <w:vAlign w:val="bottom"/>
          </w:tcPr>
          <w:p>
            <w:pPr>
              <w:pStyle w:val="yTableNAm"/>
              <w:spacing w:after="120"/>
              <w:jc w:val="right"/>
              <w:rPr>
                <w:color w:val="000000"/>
              </w:rPr>
            </w:pPr>
            <w:r>
              <w:rPr>
                <w:color w:val="000000"/>
              </w:rPr>
              <w:t>467.00</w:t>
            </w:r>
          </w:p>
        </w:tc>
      </w:tr>
    </w:tbl>
    <w:p>
      <w:pPr>
        <w:pStyle w:val="yFootnotesection"/>
      </w:pPr>
      <w:r>
        <w:tab/>
        <w:t>[Division 3 inserted: SL 2021/86 r. 17.]</w:t>
      </w:r>
    </w:p>
    <w:p>
      <w:pPr>
        <w:pStyle w:val="yHeading3"/>
      </w:pPr>
      <w:bookmarkStart w:id="122" w:name="_Toc84335933"/>
      <w:bookmarkStart w:id="123" w:name="_Toc84336753"/>
      <w:bookmarkStart w:id="124" w:name="_Toc84343994"/>
      <w:r>
        <w:rPr>
          <w:rStyle w:val="CharSDivNo"/>
        </w:rPr>
        <w:t>Division 4</w:t>
      </w:r>
      <w:r>
        <w:t> — </w:t>
      </w:r>
      <w:r>
        <w:rPr>
          <w:rStyle w:val="CharSDivText"/>
        </w:rPr>
        <w:t>Building surveyors</w:t>
      </w:r>
      <w:bookmarkEnd w:id="122"/>
      <w:bookmarkEnd w:id="123"/>
      <w:bookmarkEnd w:id="124"/>
    </w:p>
    <w:p>
      <w:pPr>
        <w:pStyle w:val="yFootnoteheading"/>
        <w:spacing w:after="120"/>
      </w:pPr>
      <w:r>
        <w:tab/>
        <w:t>[Heading inserted: SL 2021/86 r. 17.]</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surveying practitioner level 1 or level 2</w:t>
            </w:r>
          </w:p>
        </w:tc>
        <w:tc>
          <w:tcPr>
            <w:tcW w:w="1418" w:type="dxa"/>
            <w:tcBorders>
              <w:bottom w:val="nil"/>
            </w:tcBorders>
            <w:noWrap/>
            <w:vAlign w:val="bottom"/>
          </w:tcPr>
          <w:p>
            <w:pPr>
              <w:pStyle w:val="yTableNAm"/>
              <w:jc w:val="right"/>
            </w:pPr>
            <w:r>
              <w:t>124.00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surveying practitioner technician</w:t>
            </w:r>
          </w:p>
        </w:tc>
        <w:tc>
          <w:tcPr>
            <w:tcW w:w="1418" w:type="dxa"/>
            <w:tcBorders>
              <w:top w:val="nil"/>
              <w:bottom w:val="nil"/>
            </w:tcBorders>
            <w:noWrap/>
            <w:vAlign w:val="bottom"/>
          </w:tcPr>
          <w:p>
            <w:pPr>
              <w:pStyle w:val="yTableNAm"/>
              <w:jc w:val="right"/>
            </w:pPr>
            <w:r>
              <w:t>61.50</w:t>
            </w:r>
          </w:p>
        </w:tc>
      </w:tr>
      <w:tr>
        <w:trPr>
          <w:jc w:val="center"/>
        </w:trPr>
        <w:tc>
          <w:tcPr>
            <w:tcW w:w="709" w:type="dxa"/>
            <w:tcBorders>
              <w:top w:val="nil"/>
              <w:bottom w:val="nil"/>
            </w:tcBorders>
            <w:noWrap/>
          </w:tcPr>
          <w:p>
            <w:pPr>
              <w:pStyle w:val="yTableNAm"/>
            </w:pPr>
            <w:r>
              <w:lastRenderedPageBreak/>
              <w:t>3.</w:t>
            </w:r>
          </w:p>
        </w:tc>
        <w:tc>
          <w:tcPr>
            <w:tcW w:w="3260" w:type="dxa"/>
            <w:tcBorders>
              <w:top w:val="nil"/>
              <w:bottom w:val="nil"/>
            </w:tcBorders>
            <w:noWrap/>
          </w:tcPr>
          <w:p>
            <w:pPr>
              <w:pStyle w:val="yTableNAm"/>
            </w:pPr>
            <w:r>
              <w:t>Application for registration as building surveying contractor level 1 or level 2 (individual)</w:t>
            </w:r>
          </w:p>
        </w:tc>
        <w:tc>
          <w:tcPr>
            <w:tcW w:w="1418" w:type="dxa"/>
            <w:tcBorders>
              <w:top w:val="nil"/>
              <w:bottom w:val="nil"/>
            </w:tcBorders>
            <w:noWrap/>
            <w:vAlign w:val="bottom"/>
          </w:tcPr>
          <w:p>
            <w:pPr>
              <w:pStyle w:val="yTableNAm"/>
              <w:jc w:val="right"/>
            </w:pPr>
            <w:r>
              <w:t>82.50</w:t>
            </w:r>
          </w:p>
        </w:tc>
      </w:tr>
      <w:tr>
        <w:trPr>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surveying contractor level 1 or level 2 (partnership)</w:t>
            </w:r>
          </w:p>
        </w:tc>
        <w:tc>
          <w:tcPr>
            <w:tcW w:w="1418" w:type="dxa"/>
            <w:tcBorders>
              <w:top w:val="nil"/>
              <w:bottom w:val="nil"/>
            </w:tcBorders>
            <w:noWrap/>
            <w:vAlign w:val="bottom"/>
          </w:tcPr>
          <w:p>
            <w:pPr>
              <w:pStyle w:val="yTableNAm"/>
              <w:jc w:val="right"/>
            </w:pPr>
            <w:r>
              <w:t>79.00</w:t>
            </w:r>
          </w:p>
        </w:tc>
      </w:tr>
      <w:tr>
        <w:trPr>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Application for registration as building surveying contractor level 1 or level 2 (company)</w:t>
            </w:r>
          </w:p>
        </w:tc>
        <w:tc>
          <w:tcPr>
            <w:tcW w:w="1418" w:type="dxa"/>
            <w:tcBorders>
              <w:top w:val="nil"/>
              <w:bottom w:val="nil"/>
            </w:tcBorders>
            <w:noWrap/>
            <w:vAlign w:val="bottom"/>
          </w:tcPr>
          <w:p>
            <w:pPr>
              <w:pStyle w:val="yTableNAm"/>
              <w:jc w:val="right"/>
            </w:pPr>
            <w:r>
              <w:t>82.50</w:t>
            </w:r>
          </w:p>
        </w:tc>
      </w:tr>
      <w:tr>
        <w:trPr>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surveying practitioner technician (3 years)</w:t>
            </w:r>
          </w:p>
        </w:tc>
        <w:tc>
          <w:tcPr>
            <w:tcW w:w="1418" w:type="dxa"/>
            <w:tcBorders>
              <w:top w:val="nil"/>
              <w:bottom w:val="nil"/>
            </w:tcBorders>
            <w:noWrap/>
            <w:vAlign w:val="bottom"/>
          </w:tcPr>
          <w:p>
            <w:pPr>
              <w:pStyle w:val="yTableNAm"/>
              <w:jc w:val="right"/>
            </w:pPr>
            <w:r>
              <w:t>530.00</w:t>
            </w:r>
          </w:p>
        </w:tc>
      </w:tr>
      <w:tr>
        <w:trPr>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surveying practitioner level 1 or level 2 (3 years)</w:t>
            </w:r>
          </w:p>
        </w:tc>
        <w:tc>
          <w:tcPr>
            <w:tcW w:w="1418" w:type="dxa"/>
            <w:tcBorders>
              <w:top w:val="nil"/>
              <w:bottom w:val="nil"/>
            </w:tcBorders>
            <w:noWrap/>
            <w:vAlign w:val="bottom"/>
          </w:tcPr>
          <w:p>
            <w:pPr>
              <w:pStyle w:val="yTableNAm"/>
              <w:jc w:val="right"/>
            </w:pPr>
            <w:r>
              <w:t>1 020.00</w:t>
            </w:r>
          </w:p>
        </w:tc>
      </w:tr>
      <w:tr>
        <w:trPr>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surveying contractor level 1 or level 2 (individual) (3 years)</w:t>
            </w:r>
          </w:p>
        </w:tc>
        <w:tc>
          <w:tcPr>
            <w:tcW w:w="1418" w:type="dxa"/>
            <w:tcBorders>
              <w:top w:val="nil"/>
              <w:bottom w:val="nil"/>
            </w:tcBorders>
            <w:noWrap/>
            <w:vAlign w:val="bottom"/>
          </w:tcPr>
          <w:p>
            <w:pPr>
              <w:pStyle w:val="yTableNAm"/>
              <w:jc w:val="right"/>
            </w:pPr>
            <w:r>
              <w:t>714.00</w:t>
            </w:r>
          </w:p>
        </w:tc>
      </w:tr>
      <w:tr>
        <w:trPr>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Registration fee for building surveying contractor level 1 or level 2 (partnership) (3 years)</w:t>
            </w:r>
          </w:p>
        </w:tc>
        <w:tc>
          <w:tcPr>
            <w:tcW w:w="1418" w:type="dxa"/>
            <w:tcBorders>
              <w:top w:val="nil"/>
              <w:bottom w:val="nil"/>
            </w:tcBorders>
            <w:noWrap/>
            <w:vAlign w:val="bottom"/>
          </w:tcPr>
          <w:p>
            <w:pPr>
              <w:pStyle w:val="yTableNAm"/>
              <w:jc w:val="right"/>
            </w:pPr>
            <w:r>
              <w:t>1 700.00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Registration fee for building surveying contractor level 1 or level 2 (company) (3 years)</w:t>
            </w:r>
          </w:p>
        </w:tc>
        <w:tc>
          <w:tcPr>
            <w:tcW w:w="1418" w:type="dxa"/>
            <w:tcBorders>
              <w:top w:val="nil"/>
              <w:bottom w:val="nil"/>
            </w:tcBorders>
            <w:noWrap/>
            <w:vAlign w:val="bottom"/>
          </w:tcPr>
          <w:p>
            <w:pPr>
              <w:pStyle w:val="yTableNAm"/>
              <w:jc w:val="right"/>
            </w:pPr>
            <w:r>
              <w:t>2 330.00</w:t>
            </w:r>
          </w:p>
        </w:tc>
      </w:tr>
      <w:tr>
        <w:trPr>
          <w:jc w:val="center"/>
        </w:trPr>
        <w:tc>
          <w:tcPr>
            <w:tcW w:w="709" w:type="dxa"/>
            <w:tcBorders>
              <w:top w:val="nil"/>
            </w:tcBorders>
            <w:noWrap/>
          </w:tcPr>
          <w:p>
            <w:pPr>
              <w:pStyle w:val="yTableNAm"/>
              <w:spacing w:after="120"/>
            </w:pPr>
            <w:r>
              <w:t>11.</w:t>
            </w:r>
          </w:p>
        </w:tc>
        <w:tc>
          <w:tcPr>
            <w:tcW w:w="3260" w:type="dxa"/>
            <w:tcBorders>
              <w:top w:val="nil"/>
            </w:tcBorders>
            <w:noWrap/>
          </w:tcPr>
          <w:p>
            <w:pPr>
              <w:pStyle w:val="yTableNAm"/>
              <w:spacing w:after="120"/>
            </w:pPr>
            <w:r>
              <w:t>Late fee for application for renewal made after renewal period</w:t>
            </w:r>
          </w:p>
        </w:tc>
        <w:tc>
          <w:tcPr>
            <w:tcW w:w="1418" w:type="dxa"/>
            <w:tcBorders>
              <w:top w:val="nil"/>
            </w:tcBorders>
            <w:noWrap/>
            <w:vAlign w:val="bottom"/>
          </w:tcPr>
          <w:p>
            <w:pPr>
              <w:pStyle w:val="yTableNAm"/>
              <w:spacing w:after="120"/>
              <w:jc w:val="right"/>
            </w:pPr>
            <w:r>
              <w:t>57.00</w:t>
            </w:r>
          </w:p>
        </w:tc>
      </w:tr>
    </w:tbl>
    <w:p>
      <w:pPr>
        <w:pStyle w:val="yFootnotesection"/>
      </w:pPr>
      <w:r>
        <w:tab/>
        <w:t>[Division 4 inserted: SL 2021/86 r. 17.]</w:t>
      </w:r>
    </w:p>
    <w:p>
      <w:pPr>
        <w:pStyle w:val="yHeading3"/>
      </w:pPr>
      <w:bookmarkStart w:id="125" w:name="_Toc84335934"/>
      <w:bookmarkStart w:id="126" w:name="_Toc84336754"/>
      <w:bookmarkStart w:id="127" w:name="_Toc84343995"/>
      <w:r>
        <w:rPr>
          <w:rStyle w:val="CharSDivNo"/>
        </w:rPr>
        <w:lastRenderedPageBreak/>
        <w:t>Division 5</w:t>
      </w:r>
      <w:r>
        <w:t> — </w:t>
      </w:r>
      <w:r>
        <w:rPr>
          <w:rStyle w:val="CharSDivText"/>
        </w:rPr>
        <w:t>Painters</w:t>
      </w:r>
      <w:bookmarkEnd w:id="125"/>
      <w:bookmarkEnd w:id="126"/>
      <w:bookmarkEnd w:id="127"/>
    </w:p>
    <w:p>
      <w:pPr>
        <w:pStyle w:val="yFootnoteheading"/>
        <w:spacing w:after="120"/>
      </w:pPr>
      <w:r>
        <w:tab/>
        <w:t>[Heading inserted: SL 2021/86 r. 17.]</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painting practitioner</w:t>
            </w:r>
          </w:p>
        </w:tc>
        <w:tc>
          <w:tcPr>
            <w:tcW w:w="1418" w:type="dxa"/>
            <w:tcBorders>
              <w:bottom w:val="nil"/>
            </w:tcBorders>
            <w:noWrap/>
            <w:vAlign w:val="bottom"/>
          </w:tcPr>
          <w:p>
            <w:pPr>
              <w:pStyle w:val="yTableNAm"/>
              <w:jc w:val="right"/>
            </w:pPr>
            <w:r>
              <w:rPr>
                <w:color w:val="000000"/>
              </w:rPr>
              <w:t>97.00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painting contractor (individual)</w:t>
            </w:r>
          </w:p>
        </w:tc>
        <w:tc>
          <w:tcPr>
            <w:tcW w:w="1418" w:type="dxa"/>
            <w:tcBorders>
              <w:top w:val="nil"/>
              <w:bottom w:val="nil"/>
            </w:tcBorders>
            <w:noWrap/>
            <w:vAlign w:val="bottom"/>
          </w:tcPr>
          <w:p>
            <w:pPr>
              <w:pStyle w:val="yTableNAm"/>
              <w:jc w:val="right"/>
            </w:pPr>
            <w:r>
              <w:rPr>
                <w:color w:val="000000"/>
              </w:rPr>
              <w:t>64.50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painting contractor (partnership)</w:t>
            </w:r>
          </w:p>
        </w:tc>
        <w:tc>
          <w:tcPr>
            <w:tcW w:w="1418" w:type="dxa"/>
            <w:tcBorders>
              <w:top w:val="nil"/>
              <w:bottom w:val="nil"/>
            </w:tcBorders>
            <w:noWrap/>
            <w:vAlign w:val="bottom"/>
          </w:tcPr>
          <w:p>
            <w:pPr>
              <w:pStyle w:val="yTableNAm"/>
              <w:jc w:val="right"/>
            </w:pPr>
            <w:r>
              <w:rPr>
                <w:color w:val="000000"/>
              </w:rPr>
              <w:t>158.00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painting contractor (company)</w:t>
            </w:r>
          </w:p>
        </w:tc>
        <w:tc>
          <w:tcPr>
            <w:tcW w:w="1418" w:type="dxa"/>
            <w:tcBorders>
              <w:top w:val="nil"/>
              <w:bottom w:val="nil"/>
            </w:tcBorders>
            <w:noWrap/>
            <w:vAlign w:val="bottom"/>
          </w:tcPr>
          <w:p>
            <w:pPr>
              <w:pStyle w:val="yTableNAm"/>
              <w:jc w:val="right"/>
            </w:pPr>
            <w:r>
              <w:rPr>
                <w:color w:val="000000"/>
              </w:rPr>
              <w:t>158.00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painting practitioner (3 years)</w:t>
            </w:r>
          </w:p>
        </w:tc>
        <w:tc>
          <w:tcPr>
            <w:tcW w:w="1418" w:type="dxa"/>
            <w:tcBorders>
              <w:top w:val="nil"/>
              <w:bottom w:val="nil"/>
            </w:tcBorders>
            <w:noWrap/>
            <w:vAlign w:val="bottom"/>
          </w:tcPr>
          <w:p>
            <w:pPr>
              <w:pStyle w:val="yTableNAm"/>
              <w:jc w:val="right"/>
            </w:pPr>
            <w:r>
              <w:rPr>
                <w:color w:val="000000"/>
              </w:rPr>
              <w:t>477.00</w:t>
            </w:r>
          </w:p>
        </w:tc>
      </w:tr>
      <w:tr>
        <w:trPr>
          <w:cantSplit/>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painting contractor (individual) (3 years)</w:t>
            </w:r>
          </w:p>
        </w:tc>
        <w:tc>
          <w:tcPr>
            <w:tcW w:w="1418" w:type="dxa"/>
            <w:tcBorders>
              <w:top w:val="nil"/>
              <w:bottom w:val="nil"/>
            </w:tcBorders>
            <w:noWrap/>
            <w:vAlign w:val="bottom"/>
          </w:tcPr>
          <w:p>
            <w:pPr>
              <w:pStyle w:val="yTableNAm"/>
              <w:jc w:val="right"/>
            </w:pPr>
            <w:r>
              <w:rPr>
                <w:color w:val="000000"/>
              </w:rPr>
              <w:t>320.00</w:t>
            </w:r>
          </w:p>
        </w:tc>
      </w:tr>
      <w:tr>
        <w:trPr>
          <w:cantSplit/>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painting contractor (partnership) (3 years)</w:t>
            </w:r>
          </w:p>
        </w:tc>
        <w:tc>
          <w:tcPr>
            <w:tcW w:w="1418" w:type="dxa"/>
            <w:tcBorders>
              <w:top w:val="nil"/>
              <w:bottom w:val="nil"/>
            </w:tcBorders>
            <w:noWrap/>
            <w:vAlign w:val="bottom"/>
          </w:tcPr>
          <w:p>
            <w:pPr>
              <w:pStyle w:val="yTableNAm"/>
              <w:jc w:val="right"/>
            </w:pPr>
            <w:r>
              <w:rPr>
                <w:color w:val="000000"/>
              </w:rPr>
              <w:t>505.00</w:t>
            </w:r>
          </w:p>
        </w:tc>
      </w:tr>
      <w:tr>
        <w:trPr>
          <w:cantSplit/>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painting contractor (company) (3 years)</w:t>
            </w:r>
          </w:p>
        </w:tc>
        <w:tc>
          <w:tcPr>
            <w:tcW w:w="1418" w:type="dxa"/>
            <w:tcBorders>
              <w:top w:val="nil"/>
              <w:bottom w:val="nil"/>
            </w:tcBorders>
            <w:noWrap/>
            <w:vAlign w:val="bottom"/>
          </w:tcPr>
          <w:p>
            <w:pPr>
              <w:pStyle w:val="yTableNAm"/>
              <w:jc w:val="right"/>
            </w:pPr>
            <w:r>
              <w:rPr>
                <w:color w:val="000000"/>
              </w:rPr>
              <w:t>1 143.20</w:t>
            </w:r>
          </w:p>
        </w:tc>
      </w:tr>
      <w:tr>
        <w:trPr>
          <w:cantSplit/>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8" w:type="dxa"/>
            <w:tcBorders>
              <w:top w:val="nil"/>
              <w:bottom w:val="nil"/>
            </w:tcBorders>
            <w:noWrap/>
            <w:vAlign w:val="bottom"/>
          </w:tcPr>
          <w:p>
            <w:pPr>
              <w:pStyle w:val="yTableNAm"/>
              <w:jc w:val="right"/>
            </w:pPr>
            <w:r>
              <w:rPr>
                <w:color w:val="000000"/>
              </w:rPr>
              <w:t>45.00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8" w:type="dxa"/>
            <w:tcBorders>
              <w:top w:val="nil"/>
              <w:bottom w:val="nil"/>
            </w:tcBorders>
            <w:noWrap/>
            <w:vAlign w:val="bottom"/>
          </w:tcPr>
          <w:p>
            <w:pPr>
              <w:pStyle w:val="yTableNAm"/>
              <w:jc w:val="right"/>
            </w:pPr>
            <w:r>
              <w:t>111.95</w:t>
            </w:r>
          </w:p>
        </w:tc>
      </w:tr>
      <w:tr>
        <w:trPr>
          <w:cantSplit/>
          <w:jc w:val="center"/>
        </w:trPr>
        <w:tc>
          <w:tcPr>
            <w:tcW w:w="709" w:type="dxa"/>
            <w:tcBorders>
              <w:top w:val="nil"/>
            </w:tcBorders>
            <w:noWrap/>
          </w:tcPr>
          <w:p>
            <w:pPr>
              <w:pStyle w:val="yTableNAm"/>
              <w:keepNext/>
              <w:spacing w:after="120"/>
            </w:pPr>
            <w:r>
              <w:lastRenderedPageBreak/>
              <w:t>11.</w:t>
            </w:r>
          </w:p>
        </w:tc>
        <w:tc>
          <w:tcPr>
            <w:tcW w:w="3260" w:type="dxa"/>
            <w:tcBorders>
              <w:top w:val="nil"/>
            </w:tcBorders>
            <w:noWrap/>
          </w:tcPr>
          <w:p>
            <w:pPr>
              <w:pStyle w:val="yTableNAm"/>
              <w:keepNext/>
              <w:spacing w:after="120"/>
            </w:pPr>
            <w:r>
              <w:t>Fee for marking an examination sat outside metropolitan area</w:t>
            </w:r>
          </w:p>
        </w:tc>
        <w:tc>
          <w:tcPr>
            <w:tcW w:w="1418" w:type="dxa"/>
            <w:tcBorders>
              <w:top w:val="nil"/>
            </w:tcBorders>
            <w:noWrap/>
            <w:vAlign w:val="bottom"/>
          </w:tcPr>
          <w:p>
            <w:pPr>
              <w:pStyle w:val="yTableNAm"/>
              <w:keepNext/>
              <w:spacing w:after="120"/>
              <w:jc w:val="right"/>
            </w:pPr>
            <w:r>
              <w:t>58.50</w:t>
            </w:r>
          </w:p>
        </w:tc>
      </w:tr>
    </w:tbl>
    <w:p>
      <w:pPr>
        <w:pStyle w:val="yFootnotesection"/>
      </w:pPr>
      <w:r>
        <w:tab/>
        <w:t>[Division 5 inserted: SL 2021/86 r. 17.]</w:t>
      </w:r>
    </w:p>
    <w:p>
      <w:pPr>
        <w:pStyle w:val="yFootnotesection"/>
        <w:rPr>
          <w:i w:val="0"/>
        </w:rPr>
        <w:sectPr>
          <w:headerReference w:type="even" r:id="rId24"/>
          <w:headerReference w:type="default" r:id="rId25"/>
          <w:pgSz w:w="11907" w:h="16840" w:code="9"/>
          <w:pgMar w:top="2381" w:right="2410" w:bottom="3544" w:left="2410" w:header="720" w:footer="3380" w:gutter="0"/>
          <w:cols w:space="720"/>
          <w:docGrid w:linePitch="326"/>
        </w:sectPr>
      </w:pPr>
    </w:p>
    <w:p>
      <w:pPr>
        <w:pStyle w:val="yScheduleHeading"/>
      </w:pPr>
      <w:bookmarkStart w:id="129" w:name="_Toc84335935"/>
      <w:bookmarkStart w:id="130" w:name="_Toc84336755"/>
      <w:bookmarkStart w:id="131" w:name="_Toc84343996"/>
      <w:r>
        <w:rPr>
          <w:rStyle w:val="CharSchNo"/>
        </w:rPr>
        <w:lastRenderedPageBreak/>
        <w:t>Schedule 2</w:t>
      </w:r>
      <w:r>
        <w:rPr>
          <w:rStyle w:val="CharSDivNo"/>
        </w:rPr>
        <w:t> </w:t>
      </w:r>
      <w:r>
        <w:t>—</w:t>
      </w:r>
      <w:r>
        <w:rPr>
          <w:rStyle w:val="CharSDivText"/>
        </w:rPr>
        <w:t> </w:t>
      </w:r>
      <w:r>
        <w:rPr>
          <w:rStyle w:val="CharSchText"/>
        </w:rPr>
        <w:t>Estimating the value of work</w:t>
      </w:r>
      <w:bookmarkEnd w:id="129"/>
      <w:bookmarkEnd w:id="130"/>
      <w:bookmarkEnd w:id="131"/>
    </w:p>
    <w:p>
      <w:pPr>
        <w:pStyle w:val="yShoulderClause"/>
      </w:pPr>
      <w:r>
        <w:t>[r. 13(1), 28(1)]</w:t>
      </w:r>
    </w:p>
    <w:p>
      <w:pPr>
        <w:pStyle w:val="yHeading5"/>
      </w:pPr>
      <w:bookmarkStart w:id="132" w:name="_Toc84343997"/>
      <w:r>
        <w:rPr>
          <w:rStyle w:val="CharSClsNo"/>
        </w:rPr>
        <w:t>1</w:t>
      </w:r>
      <w:r>
        <w:t>.</w:t>
      </w:r>
      <w:r>
        <w:tab/>
        <w:t>Terms used</w:t>
      </w:r>
      <w:bookmarkEnd w:id="132"/>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33" w:name="_Toc84343998"/>
      <w:r>
        <w:rPr>
          <w:rStyle w:val="CharSClsNo"/>
        </w:rPr>
        <w:t>2</w:t>
      </w:r>
      <w:r>
        <w:t>.</w:t>
      </w:r>
      <w:r>
        <w:tab/>
        <w:t>Estimated value of work</w:t>
      </w:r>
      <w:bookmarkEnd w:id="133"/>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134" w:name="_Toc84335938"/>
      <w:bookmarkStart w:id="135" w:name="_Toc84336758"/>
      <w:bookmarkStart w:id="136" w:name="_Toc84343999"/>
      <w:r>
        <w:rPr>
          <w:rStyle w:val="CharSchNo"/>
        </w:rPr>
        <w:lastRenderedPageBreak/>
        <w:t>Schedule 3</w:t>
      </w:r>
      <w:r>
        <w:rPr>
          <w:rStyle w:val="CharSDivNo"/>
        </w:rPr>
        <w:t> </w:t>
      </w:r>
      <w:r>
        <w:t>— </w:t>
      </w:r>
      <w:r>
        <w:rPr>
          <w:rStyle w:val="CharSchText"/>
        </w:rPr>
        <w:t>Builder work: areas of State for purposes of definition</w:t>
      </w:r>
      <w:bookmarkEnd w:id="134"/>
      <w:bookmarkEnd w:id="135"/>
      <w:bookmarkEnd w:id="136"/>
    </w:p>
    <w:p>
      <w:pPr>
        <w:pStyle w:val="yShoulderClause"/>
      </w:pPr>
      <w:r>
        <w:t>[r. 13(1)]</w:t>
      </w:r>
    </w:p>
    <w:p>
      <w:pPr>
        <w:pStyle w:val="yHeading5"/>
      </w:pPr>
      <w:bookmarkStart w:id="137" w:name="_Toc84344000"/>
      <w:r>
        <w:rPr>
          <w:rStyle w:val="CharSClsNo"/>
        </w:rPr>
        <w:t>1</w:t>
      </w:r>
      <w:r>
        <w:t>.</w:t>
      </w:r>
      <w:r>
        <w:tab/>
        <w:t>Term used: townsite</w:t>
      </w:r>
      <w:bookmarkEnd w:id="137"/>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138" w:name="_Toc84344001"/>
      <w:r>
        <w:rPr>
          <w:rStyle w:val="CharSClsNo"/>
        </w:rPr>
        <w:t>2</w:t>
      </w:r>
      <w:r>
        <w:t>.</w:t>
      </w:r>
      <w:r>
        <w:tab/>
        <w:t>Areas of State</w:t>
      </w:r>
      <w:bookmarkEnd w:id="138"/>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w:t>
      </w:r>
      <w:r>
        <w:rPr>
          <w:szCs w:val="22"/>
        </w:rPr>
        <w:t xml:space="preserve">Greater Geraldton, </w:t>
      </w:r>
      <w:r>
        <w:t>Chapman Valley and Northampton.</w:t>
      </w:r>
    </w:p>
    <w:p>
      <w:pPr>
        <w:pStyle w:val="ySubsection"/>
      </w:pPr>
      <w:r>
        <w:tab/>
        <w:t>(3)</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lastRenderedPageBreak/>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the townsites of Port Hedland, South Hedland and Wedgefield in the local government district of Port Hedland; and</w:t>
      </w:r>
    </w:p>
    <w:p>
      <w:pPr>
        <w:pStyle w:val="yIndenta"/>
      </w:pPr>
      <w:r>
        <w:tab/>
        <w:t>(l)</w:t>
      </w:r>
      <w:r>
        <w:tab/>
        <w:t xml:space="preserve">the townsites of Karratha, Roebourne, Point Samson, Dampier and Wickham, in the </w:t>
      </w:r>
      <w:r>
        <w:rPr>
          <w:szCs w:val="22"/>
        </w:rPr>
        <w:t>local government district of Karratha; and</w:t>
      </w:r>
    </w:p>
    <w:p>
      <w:pPr>
        <w:pStyle w:val="yIndenta"/>
      </w:pPr>
      <w:r>
        <w:tab/>
        <w:t>(m)</w:t>
      </w:r>
      <w:r>
        <w:tab/>
        <w:t>the townsites of Carnarvon, Coral Bay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the townsites of Derby, Fitzroy Crossing and Camballin in the local government district of Derby West Kimberley.</w:t>
      </w:r>
    </w:p>
    <w:p>
      <w:pPr>
        <w:pStyle w:val="yFootnotesection"/>
      </w:pPr>
      <w:r>
        <w:tab/>
        <w:t>[Clause 2 amended: Gazette 21 Sep 2018 p. 3537.]</w:t>
      </w:r>
    </w:p>
    <w:p>
      <w:pPr>
        <w:pStyle w:val="yScheduleHeading"/>
      </w:pPr>
      <w:bookmarkStart w:id="139" w:name="_Toc84335941"/>
      <w:bookmarkStart w:id="140" w:name="_Toc84336761"/>
      <w:bookmarkStart w:id="141" w:name="_Toc84344002"/>
      <w:r>
        <w:rPr>
          <w:rStyle w:val="CharSchNo"/>
        </w:rPr>
        <w:lastRenderedPageBreak/>
        <w:t>Schedule 4</w:t>
      </w:r>
      <w:r>
        <w:rPr>
          <w:rStyle w:val="CharSDivNo"/>
        </w:rPr>
        <w:t> </w:t>
      </w:r>
      <w:r>
        <w:t>—</w:t>
      </w:r>
      <w:r>
        <w:rPr>
          <w:rStyle w:val="CharSDivText"/>
        </w:rPr>
        <w:t> </w:t>
      </w:r>
      <w:r>
        <w:rPr>
          <w:rStyle w:val="CharSchText"/>
        </w:rPr>
        <w:t>Painter work: areas of the State for purposes of definition</w:t>
      </w:r>
      <w:bookmarkEnd w:id="139"/>
      <w:bookmarkEnd w:id="140"/>
      <w:bookmarkEnd w:id="141"/>
    </w:p>
    <w:p>
      <w:pPr>
        <w:pStyle w:val="yShoulderClause"/>
      </w:pPr>
      <w:r>
        <w:t>[r. 28]</w:t>
      </w:r>
    </w:p>
    <w:p>
      <w:pPr>
        <w:pStyle w:val="yHeading5"/>
      </w:pPr>
      <w:bookmarkStart w:id="142" w:name="_Toc84344003"/>
      <w:r>
        <w:rPr>
          <w:rStyle w:val="CharSClsNo"/>
        </w:rPr>
        <w:t>1</w:t>
      </w:r>
      <w:r>
        <w:t>.</w:t>
      </w:r>
      <w:r>
        <w:tab/>
        <w:t>Term used: townsite</w:t>
      </w:r>
      <w:bookmarkEnd w:id="142"/>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143" w:name="_Toc84344004"/>
      <w:r>
        <w:rPr>
          <w:rStyle w:val="CharSClsNo"/>
        </w:rPr>
        <w:t>2</w:t>
      </w:r>
      <w:r>
        <w:t>.</w:t>
      </w:r>
      <w:r>
        <w:tab/>
        <w:t>Areas of State</w:t>
      </w:r>
      <w:bookmarkEnd w:id="143"/>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yFootnotesection"/>
      </w:pPr>
      <w:r>
        <w:tab/>
        <w:t>[Clause 2 amended: Gazette 21 Sep 2018 p. 3537.]</w:t>
      </w:r>
    </w:p>
    <w:p>
      <w:pPr>
        <w:pStyle w:val="yScheduleHeading"/>
        <w:rPr>
          <w:rStyle w:val="CharSchNo"/>
        </w:r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144" w:name="_Toc84335944"/>
      <w:bookmarkStart w:id="145" w:name="_Toc84336764"/>
      <w:bookmarkStart w:id="146" w:name="_Toc84344005"/>
      <w:r>
        <w:rPr>
          <w:rStyle w:val="CharSchNo"/>
        </w:rPr>
        <w:lastRenderedPageBreak/>
        <w:t>Schedule 5</w:t>
      </w:r>
      <w:r>
        <w:t> — </w:t>
      </w:r>
      <w:r>
        <w:rPr>
          <w:rStyle w:val="CharSchText"/>
        </w:rPr>
        <w:t>Prescribed offences and modified penalties</w:t>
      </w:r>
      <w:bookmarkEnd w:id="144"/>
      <w:bookmarkEnd w:id="145"/>
      <w:bookmarkEnd w:id="146"/>
    </w:p>
    <w:p>
      <w:pPr>
        <w:pStyle w:val="yShoulderClause"/>
      </w:pPr>
      <w:r>
        <w:t>[r. 36A]</w:t>
      </w:r>
    </w:p>
    <w:p>
      <w:pPr>
        <w:pStyle w:val="yFootnoteheading"/>
      </w:pPr>
      <w:r>
        <w:tab/>
        <w:t>[Heading inserted: Gazette 26 Apr 2019 p. 1216.]</w:t>
      </w:r>
    </w:p>
    <w:p>
      <w:pPr>
        <w:pStyle w:val="yHeading3"/>
      </w:pPr>
      <w:bookmarkStart w:id="147" w:name="_Toc84335945"/>
      <w:bookmarkStart w:id="148" w:name="_Toc84336765"/>
      <w:bookmarkStart w:id="149" w:name="_Toc84344006"/>
      <w:r>
        <w:rPr>
          <w:rStyle w:val="CharSDivNo"/>
        </w:rPr>
        <w:t>Division 1</w:t>
      </w:r>
      <w:r>
        <w:t> — </w:t>
      </w:r>
      <w:r>
        <w:rPr>
          <w:rStyle w:val="CharSDivText"/>
        </w:rPr>
        <w:t>Preliminary</w:t>
      </w:r>
      <w:bookmarkEnd w:id="147"/>
      <w:bookmarkEnd w:id="148"/>
      <w:bookmarkEnd w:id="149"/>
    </w:p>
    <w:p>
      <w:pPr>
        <w:pStyle w:val="yFootnoteheading"/>
      </w:pPr>
      <w:r>
        <w:tab/>
        <w:t>[Heading inserted: Gazette 26 Apr 2019 p. 1216.]</w:t>
      </w:r>
    </w:p>
    <w:p>
      <w:pPr>
        <w:pStyle w:val="yHeading5"/>
      </w:pPr>
      <w:bookmarkStart w:id="150" w:name="_Toc84344007"/>
      <w:r>
        <w:rPr>
          <w:rStyle w:val="CharSClsNo"/>
        </w:rPr>
        <w:t>1</w:t>
      </w:r>
      <w:r>
        <w:t>.</w:t>
      </w:r>
      <w:r>
        <w:tab/>
        <w:t>Terms used</w:t>
      </w:r>
      <w:bookmarkEnd w:id="150"/>
    </w:p>
    <w:p>
      <w:pPr>
        <w:pStyle w:val="ySubsection"/>
      </w:pPr>
      <w:r>
        <w:tab/>
      </w:r>
      <w:r>
        <w:tab/>
        <w:t xml:space="preserve">In this Schedule — </w:t>
      </w:r>
    </w:p>
    <w:p>
      <w:pPr>
        <w:pStyle w:val="yDefstart"/>
      </w:pPr>
      <w:r>
        <w:tab/>
      </w:r>
      <w:r>
        <w:rPr>
          <w:rStyle w:val="CharDefText"/>
        </w:rPr>
        <w:t>building contractor</w:t>
      </w:r>
      <w:r>
        <w:t xml:space="preserve"> has the meaning given in regulation 13;</w:t>
      </w:r>
    </w:p>
    <w:p>
      <w:pPr>
        <w:pStyle w:val="yDefstart"/>
      </w:pPr>
      <w:r>
        <w:tab/>
      </w:r>
      <w:r>
        <w:rPr>
          <w:rStyle w:val="CharDefText"/>
        </w:rPr>
        <w:t>building surveying contractor</w:t>
      </w:r>
      <w:r>
        <w:t xml:space="preserve"> has the meaning given in regulation 28A;</w:t>
      </w:r>
    </w:p>
    <w:p>
      <w:pPr>
        <w:pStyle w:val="yDefstart"/>
      </w:pPr>
      <w:r>
        <w:tab/>
      </w:r>
      <w:r>
        <w:rPr>
          <w:rStyle w:val="CharDefText"/>
        </w:rPr>
        <w:t>building surveying practitioner</w:t>
      </w:r>
      <w:r>
        <w:t xml:space="preserve"> means — </w:t>
      </w:r>
    </w:p>
    <w:p>
      <w:pPr>
        <w:pStyle w:val="yDefpara"/>
      </w:pPr>
      <w:r>
        <w:tab/>
        <w:t>(a)</w:t>
      </w:r>
      <w:r>
        <w:tab/>
        <w:t>a building surveying practitioner level 1; or</w:t>
      </w:r>
    </w:p>
    <w:p>
      <w:pPr>
        <w:pStyle w:val="yDefpara"/>
      </w:pPr>
      <w:r>
        <w:tab/>
        <w:t>(b)</w:t>
      </w:r>
      <w:r>
        <w:tab/>
        <w:t>a building surveying practitioner level 2;</w:t>
      </w:r>
    </w:p>
    <w:p>
      <w:pPr>
        <w:pStyle w:val="yDefstart"/>
      </w:pPr>
      <w:r>
        <w:tab/>
      </w:r>
      <w:r>
        <w:rPr>
          <w:rStyle w:val="CharDefText"/>
        </w:rPr>
        <w:t>building surveying work</w:t>
      </w:r>
      <w:r>
        <w:t xml:space="preserve"> has the meaning given in regulation 28A;</w:t>
      </w:r>
    </w:p>
    <w:p>
      <w:pPr>
        <w:pStyle w:val="yDefstart"/>
      </w:pPr>
      <w:r>
        <w:tab/>
      </w:r>
      <w:r>
        <w:rPr>
          <w:rStyle w:val="CharDefText"/>
        </w:rPr>
        <w:t>painting contractor</w:t>
      </w:r>
      <w:r>
        <w:t xml:space="preserve"> has the meaning given in regulation 28. </w:t>
      </w:r>
    </w:p>
    <w:p>
      <w:pPr>
        <w:pStyle w:val="yFootnotesection"/>
      </w:pPr>
      <w:r>
        <w:tab/>
        <w:t>[Division 1 inserted: Gazette 26 Apr 2019 p. 1216.]</w:t>
      </w:r>
    </w:p>
    <w:p>
      <w:pPr>
        <w:pStyle w:val="yHeading3"/>
      </w:pPr>
      <w:bookmarkStart w:id="151" w:name="_Toc84335947"/>
      <w:bookmarkStart w:id="152" w:name="_Toc84336767"/>
      <w:bookmarkStart w:id="153" w:name="_Toc84344008"/>
      <w:r>
        <w:rPr>
          <w:rStyle w:val="CharSDivNo"/>
        </w:rPr>
        <w:t>Division 2</w:t>
      </w:r>
      <w:r>
        <w:t> — </w:t>
      </w:r>
      <w:r>
        <w:rPr>
          <w:rStyle w:val="CharSDivText"/>
        </w:rPr>
        <w:t>Offences under the Act</w:t>
      </w:r>
      <w:bookmarkEnd w:id="151"/>
      <w:bookmarkEnd w:id="152"/>
      <w:bookmarkEnd w:id="153"/>
    </w:p>
    <w:p>
      <w:pPr>
        <w:pStyle w:val="yFootnoteheading"/>
      </w:pPr>
      <w:r>
        <w:tab/>
        <w:t>[Heading inserted: Gazette 26 Apr 2019 p. 1217.]</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851"/>
        <w:gridCol w:w="3118"/>
        <w:gridCol w:w="2977"/>
      </w:tblGrid>
      <w:tr>
        <w:trPr>
          <w:cantSplit/>
          <w:tblHeader/>
        </w:trPr>
        <w:tc>
          <w:tcPr>
            <w:tcW w:w="3969" w:type="dxa"/>
            <w:gridSpan w:val="2"/>
            <w:tcBorders>
              <w:bottom w:val="single" w:sz="4" w:space="0" w:color="auto"/>
            </w:tcBorders>
          </w:tcPr>
          <w:p>
            <w:pPr>
              <w:pStyle w:val="yTableNAm"/>
              <w:jc w:val="center"/>
            </w:pPr>
            <w:r>
              <w:rPr>
                <w:b/>
                <w:szCs w:val="22"/>
              </w:rPr>
              <w:t>Offence under the Act</w:t>
            </w:r>
          </w:p>
        </w:tc>
        <w:tc>
          <w:tcPr>
            <w:tcW w:w="2977" w:type="dxa"/>
            <w:tcBorders>
              <w:bottom w:val="single" w:sz="4" w:space="0" w:color="auto"/>
            </w:tcBorders>
          </w:tcPr>
          <w:p>
            <w:pPr>
              <w:pStyle w:val="yTableNAm"/>
              <w:jc w:val="center"/>
            </w:pPr>
            <w:r>
              <w:rPr>
                <w:b/>
                <w:szCs w:val="22"/>
              </w:rPr>
              <w:t>Modified penalty</w:t>
            </w:r>
          </w:p>
        </w:tc>
      </w:tr>
      <w:tr>
        <w:trPr>
          <w:cantSplit/>
        </w:trPr>
        <w:tc>
          <w:tcPr>
            <w:tcW w:w="851" w:type="dxa"/>
            <w:tcBorders>
              <w:top w:val="single" w:sz="4" w:space="0" w:color="auto"/>
              <w:bottom w:val="single" w:sz="4" w:space="0" w:color="auto"/>
            </w:tcBorders>
          </w:tcPr>
          <w:p>
            <w:pPr>
              <w:pStyle w:val="yTableNAm"/>
            </w:pPr>
            <w:r>
              <w:rPr>
                <w:szCs w:val="22"/>
              </w:rPr>
              <w:t>s. 4(1)</w:t>
            </w:r>
          </w:p>
          <w:p>
            <w:pPr>
              <w:pStyle w:val="zyTableNAm"/>
              <w:keepNext/>
              <w:keepLines/>
              <w:rPr>
                <w:szCs w:val="22"/>
              </w:rPr>
            </w:pPr>
          </w:p>
        </w:tc>
        <w:tc>
          <w:tcPr>
            <w:tcW w:w="3118" w:type="dxa"/>
            <w:tcBorders>
              <w:top w:val="single" w:sz="4" w:space="0" w:color="auto"/>
              <w:bottom w:val="single" w:sz="4" w:space="0" w:color="auto"/>
            </w:tcBorders>
          </w:tcPr>
          <w:p>
            <w:pPr>
              <w:pStyle w:val="yTableNAm"/>
            </w:pPr>
            <w:r>
              <w:rPr>
                <w:szCs w:val="22"/>
              </w:rPr>
              <w:t>Using a title when not registered in a class of building service practitioner or building service contractor entitled to use that title</w:t>
            </w:r>
          </w:p>
          <w:p>
            <w:pPr>
              <w:pStyle w:val="zyTableNAm"/>
              <w:keepNext/>
              <w:keepLines/>
              <w:rPr>
                <w:szCs w:val="22"/>
              </w:rPr>
            </w:pPr>
          </w:p>
        </w:tc>
        <w:tc>
          <w:tcPr>
            <w:tcW w:w="2977" w:type="dxa"/>
            <w:tcBorders>
              <w:top w:val="single" w:sz="4" w:space="0" w:color="auto"/>
              <w:bottom w:val="single" w:sz="4" w:space="0" w:color="auto"/>
            </w:tcBorders>
          </w:tcPr>
          <w:p>
            <w:pPr>
              <w:pStyle w:val="yTableNAm"/>
            </w:pPr>
            <w:r>
              <w:rPr>
                <w:szCs w:val="22"/>
              </w:rPr>
              <w:t>For a person who uses the title that a building practitioner, building surveying practitioner, building contractor or building surveying contractor is entitled to use — $2 500</w:t>
            </w:r>
          </w:p>
          <w:p>
            <w:pPr>
              <w:pStyle w:val="yTableNAm"/>
            </w:pPr>
            <w:r>
              <w:t>For a person who uses the title that a painting practitioner or painting contractor is entitled to use — $1 250</w:t>
            </w:r>
          </w:p>
        </w:tc>
      </w:tr>
      <w:tr>
        <w:trPr>
          <w:cantSplit/>
        </w:trPr>
        <w:tc>
          <w:tcPr>
            <w:tcW w:w="851" w:type="dxa"/>
            <w:tcBorders>
              <w:top w:val="single" w:sz="4" w:space="0" w:color="auto"/>
              <w:bottom w:val="single" w:sz="4" w:space="0" w:color="auto"/>
            </w:tcBorders>
          </w:tcPr>
          <w:p>
            <w:pPr>
              <w:pStyle w:val="yTableNAm"/>
            </w:pPr>
            <w:r>
              <w:rPr>
                <w:szCs w:val="22"/>
              </w:rPr>
              <w:lastRenderedPageBreak/>
              <w:t>s. 5(1)</w:t>
            </w:r>
          </w:p>
        </w:tc>
        <w:tc>
          <w:tcPr>
            <w:tcW w:w="3118" w:type="dxa"/>
            <w:tcBorders>
              <w:top w:val="single" w:sz="4" w:space="0" w:color="auto"/>
              <w:bottom w:val="single" w:sz="4" w:space="0" w:color="auto"/>
            </w:tcBorders>
          </w:tcPr>
          <w:p>
            <w:pPr>
              <w:pStyle w:val="yTableNAm"/>
            </w:pPr>
            <w:r>
              <w:rPr>
                <w:szCs w:val="22"/>
              </w:rPr>
              <w:t>Falsely claiming to be registered in a class of building service practitioner</w:t>
            </w:r>
          </w:p>
        </w:tc>
        <w:tc>
          <w:tcPr>
            <w:tcW w:w="2977" w:type="dxa"/>
            <w:tcBorders>
              <w:top w:val="single" w:sz="4" w:space="0" w:color="auto"/>
              <w:bottom w:val="single" w:sz="4" w:space="0" w:color="auto"/>
            </w:tcBorders>
          </w:tcPr>
          <w:p>
            <w:pPr>
              <w:pStyle w:val="yTableNAm"/>
              <w:rPr>
                <w:rStyle w:val="DraftersNotes"/>
                <w:b w:val="0"/>
                <w:i w:val="0"/>
                <w:sz w:val="22"/>
                <w:szCs w:val="22"/>
              </w:rPr>
            </w:pPr>
            <w:r>
              <w:rPr>
                <w:szCs w:val="22"/>
              </w:rPr>
              <w:t>For a person who claims to be registered as a building practitioner or building surveying practitioner — $2 500</w:t>
            </w:r>
          </w:p>
          <w:p>
            <w:pPr>
              <w:pStyle w:val="yTableNAm"/>
            </w:pPr>
            <w:r>
              <w:t>For a person who claims to be registered as a painting practitioner — $1 250</w:t>
            </w:r>
          </w:p>
        </w:tc>
      </w:tr>
      <w:tr>
        <w:trPr>
          <w:cantSplit/>
        </w:trPr>
        <w:tc>
          <w:tcPr>
            <w:tcW w:w="851" w:type="dxa"/>
            <w:tcBorders>
              <w:top w:val="single" w:sz="4" w:space="0" w:color="auto"/>
            </w:tcBorders>
          </w:tcPr>
          <w:p>
            <w:pPr>
              <w:pStyle w:val="yTableNAm"/>
            </w:pPr>
            <w:r>
              <w:rPr>
                <w:szCs w:val="22"/>
              </w:rPr>
              <w:t>s. 5(2)</w:t>
            </w:r>
          </w:p>
        </w:tc>
        <w:tc>
          <w:tcPr>
            <w:tcW w:w="3118" w:type="dxa"/>
            <w:tcBorders>
              <w:top w:val="single" w:sz="4" w:space="0" w:color="auto"/>
            </w:tcBorders>
          </w:tcPr>
          <w:p>
            <w:pPr>
              <w:pStyle w:val="yTableNAm"/>
            </w:pPr>
            <w:r>
              <w:rPr>
                <w:szCs w:val="22"/>
              </w:rPr>
              <w:t>Falsely claiming to be registered in a class of building service contractor</w:t>
            </w:r>
          </w:p>
        </w:tc>
        <w:tc>
          <w:tcPr>
            <w:tcW w:w="2977" w:type="dxa"/>
            <w:tcBorders>
              <w:top w:val="single" w:sz="4" w:space="0" w:color="auto"/>
            </w:tcBorders>
          </w:tcPr>
          <w:p>
            <w:pPr>
              <w:pStyle w:val="yTableNAm"/>
            </w:pPr>
            <w:r>
              <w:rPr>
                <w:szCs w:val="22"/>
              </w:rPr>
              <w:t>For a person who claims to be registered as a building contractor or building surveying contractor — $2 500</w:t>
            </w:r>
          </w:p>
          <w:p>
            <w:pPr>
              <w:pStyle w:val="yTableNAm"/>
            </w:pPr>
            <w:r>
              <w:t>For a person who claims to be registered as a painting contractor — $1 250</w:t>
            </w:r>
          </w:p>
        </w:tc>
      </w:tr>
      <w:tr>
        <w:trPr>
          <w:cantSplit/>
        </w:trPr>
        <w:tc>
          <w:tcPr>
            <w:tcW w:w="851" w:type="dxa"/>
          </w:tcPr>
          <w:p>
            <w:pPr>
              <w:pStyle w:val="yTableNAm"/>
            </w:pPr>
            <w:r>
              <w:rPr>
                <w:szCs w:val="22"/>
              </w:rPr>
              <w:t>s. 6(1)</w:t>
            </w:r>
          </w:p>
        </w:tc>
        <w:tc>
          <w:tcPr>
            <w:tcW w:w="3118" w:type="dxa"/>
          </w:tcPr>
          <w:p>
            <w:pPr>
              <w:pStyle w:val="yTableNAm"/>
            </w:pPr>
            <w:r>
              <w:rPr>
                <w:szCs w:val="22"/>
              </w:rPr>
              <w:t>Falsely claiming an entitlement to carry out a prescribed building service</w:t>
            </w:r>
          </w:p>
        </w:tc>
        <w:tc>
          <w:tcPr>
            <w:tcW w:w="2977" w:type="dxa"/>
          </w:tcPr>
          <w:p>
            <w:pPr>
              <w:pStyle w:val="yTableNAm"/>
            </w:pPr>
            <w:r>
              <w:rPr>
                <w:szCs w:val="22"/>
              </w:rPr>
              <w:t>For a person who claims an entitlement to carry out builder work or building surveying work — $2 500</w:t>
            </w:r>
          </w:p>
          <w:p>
            <w:pPr>
              <w:pStyle w:val="yTableNAm"/>
            </w:pPr>
            <w:r>
              <w:t>For a person who claims an entitlement to carry out painter work — $1 250</w:t>
            </w:r>
          </w:p>
        </w:tc>
      </w:tr>
      <w:tr>
        <w:trPr>
          <w:cantSplit/>
        </w:trPr>
        <w:tc>
          <w:tcPr>
            <w:tcW w:w="851" w:type="dxa"/>
          </w:tcPr>
          <w:p>
            <w:pPr>
              <w:pStyle w:val="yTableNAm"/>
            </w:pPr>
            <w:r>
              <w:rPr>
                <w:szCs w:val="22"/>
              </w:rPr>
              <w:t>s. 7(1)</w:t>
            </w:r>
          </w:p>
        </w:tc>
        <w:tc>
          <w:tcPr>
            <w:tcW w:w="3118" w:type="dxa"/>
          </w:tcPr>
          <w:p>
            <w:pPr>
              <w:pStyle w:val="yTableNAm"/>
            </w:pPr>
            <w:r>
              <w:rPr>
                <w:szCs w:val="22"/>
              </w:rPr>
              <w:t xml:space="preserve">Carrying out, or undertaking to carry out, a prescribed building service when not registered </w:t>
            </w:r>
          </w:p>
        </w:tc>
        <w:tc>
          <w:tcPr>
            <w:tcW w:w="2977" w:type="dxa"/>
          </w:tcPr>
          <w:p>
            <w:pPr>
              <w:pStyle w:val="yTableNAm"/>
            </w:pPr>
            <w:r>
              <w:rPr>
                <w:szCs w:val="22"/>
              </w:rPr>
              <w:t>For a person who carries out, or undertakes to carry out, builder work or building surveying work — $2 500</w:t>
            </w:r>
          </w:p>
          <w:p>
            <w:pPr>
              <w:pStyle w:val="yTableNAm"/>
            </w:pPr>
            <w:r>
              <w:t>For a person who carries out, or undertakes to carry out, painter work — $1 250</w:t>
            </w:r>
          </w:p>
        </w:tc>
      </w:tr>
      <w:tr>
        <w:trPr>
          <w:cantSplit/>
        </w:trPr>
        <w:tc>
          <w:tcPr>
            <w:tcW w:w="851" w:type="dxa"/>
          </w:tcPr>
          <w:p>
            <w:pPr>
              <w:pStyle w:val="yTableNAm"/>
            </w:pPr>
            <w:r>
              <w:rPr>
                <w:szCs w:val="22"/>
              </w:rPr>
              <w:lastRenderedPageBreak/>
              <w:t>s. 7(5)</w:t>
            </w:r>
          </w:p>
        </w:tc>
        <w:tc>
          <w:tcPr>
            <w:tcW w:w="3118" w:type="dxa"/>
          </w:tcPr>
          <w:p>
            <w:pPr>
              <w:pStyle w:val="yTableNAm"/>
              <w:rPr>
                <w:rStyle w:val="DraftersNotes"/>
                <w:b w:val="0"/>
                <w:i w:val="0"/>
                <w:sz w:val="22"/>
                <w:szCs w:val="22"/>
              </w:rPr>
            </w:pPr>
            <w:r>
              <w:rPr>
                <w:szCs w:val="22"/>
              </w:rPr>
              <w:t>Subcontracting a prescribed building service to a person who is not entitled to carry out the building service</w:t>
            </w:r>
          </w:p>
        </w:tc>
        <w:tc>
          <w:tcPr>
            <w:tcW w:w="2977" w:type="dxa"/>
          </w:tcPr>
          <w:p>
            <w:pPr>
              <w:pStyle w:val="yTableNAm"/>
            </w:pPr>
            <w:r>
              <w:rPr>
                <w:szCs w:val="22"/>
              </w:rPr>
              <w:t>For a building contractor or building surveying contractor — $2 500</w:t>
            </w:r>
          </w:p>
          <w:p>
            <w:pPr>
              <w:pStyle w:val="yTableNAm"/>
            </w:pPr>
            <w:r>
              <w:t>For a painting contractor — $1 250</w:t>
            </w:r>
          </w:p>
        </w:tc>
      </w:tr>
      <w:tr>
        <w:trPr>
          <w:cantSplit/>
        </w:trPr>
        <w:tc>
          <w:tcPr>
            <w:tcW w:w="851" w:type="dxa"/>
          </w:tcPr>
          <w:p>
            <w:pPr>
              <w:pStyle w:val="yTableNAm"/>
            </w:pPr>
            <w:r>
              <w:rPr>
                <w:szCs w:val="22"/>
              </w:rPr>
              <w:t>s. 8</w:t>
            </w:r>
          </w:p>
        </w:tc>
        <w:tc>
          <w:tcPr>
            <w:tcW w:w="3118" w:type="dxa"/>
          </w:tcPr>
          <w:p>
            <w:pPr>
              <w:pStyle w:val="yTableNAm"/>
            </w:pPr>
            <w:r>
              <w:rPr>
                <w:szCs w:val="22"/>
              </w:rPr>
              <w:t>Failure to cause building service contractor’s registration number to appear in an advertisement published by the contractor</w:t>
            </w:r>
          </w:p>
        </w:tc>
        <w:tc>
          <w:tcPr>
            <w:tcW w:w="2977" w:type="dxa"/>
          </w:tcPr>
          <w:p>
            <w:pPr>
              <w:pStyle w:val="yTableNAm"/>
            </w:pPr>
            <w:r>
              <w:rPr>
                <w:szCs w:val="22"/>
              </w:rPr>
              <w:t>$250</w:t>
            </w:r>
          </w:p>
        </w:tc>
      </w:tr>
      <w:tr>
        <w:trPr>
          <w:cantSplit/>
        </w:trPr>
        <w:tc>
          <w:tcPr>
            <w:tcW w:w="851" w:type="dxa"/>
          </w:tcPr>
          <w:p>
            <w:pPr>
              <w:pStyle w:val="yTableNAm"/>
            </w:pPr>
            <w:r>
              <w:rPr>
                <w:szCs w:val="22"/>
              </w:rPr>
              <w:t>s. 22(2)</w:t>
            </w:r>
          </w:p>
        </w:tc>
        <w:tc>
          <w:tcPr>
            <w:tcW w:w="3118" w:type="dxa"/>
          </w:tcPr>
          <w:p>
            <w:pPr>
              <w:pStyle w:val="yTableNAm"/>
            </w:pPr>
            <w:r>
              <w:rPr>
                <w:szCs w:val="22"/>
              </w:rPr>
              <w:t>Carrying out, or undertaking to carry out, relevant building service without nominated supervisor</w:t>
            </w:r>
          </w:p>
        </w:tc>
        <w:tc>
          <w:tcPr>
            <w:tcW w:w="2977" w:type="dxa"/>
          </w:tcPr>
          <w:p>
            <w:pPr>
              <w:pStyle w:val="yTableNAm"/>
              <w:rPr>
                <w:rStyle w:val="DraftersNotes"/>
                <w:b w:val="0"/>
                <w:i w:val="0"/>
                <w:sz w:val="22"/>
                <w:szCs w:val="22"/>
              </w:rPr>
            </w:pPr>
            <w:r>
              <w:rPr>
                <w:szCs w:val="22"/>
              </w:rPr>
              <w:t>For a building contractor or building surveying contractor — $2 500</w:t>
            </w:r>
          </w:p>
          <w:p>
            <w:pPr>
              <w:pStyle w:val="yTableNAm"/>
            </w:pPr>
            <w:r>
              <w:t>For a painting contractor — $750</w:t>
            </w:r>
          </w:p>
        </w:tc>
      </w:tr>
      <w:tr>
        <w:trPr>
          <w:cantSplit/>
        </w:trPr>
        <w:tc>
          <w:tcPr>
            <w:tcW w:w="851" w:type="dxa"/>
          </w:tcPr>
          <w:p>
            <w:pPr>
              <w:pStyle w:val="yTableNAm"/>
            </w:pPr>
            <w:r>
              <w:rPr>
                <w:szCs w:val="22"/>
              </w:rPr>
              <w:t>s. 22(3)</w:t>
            </w:r>
          </w:p>
        </w:tc>
        <w:tc>
          <w:tcPr>
            <w:tcW w:w="3118" w:type="dxa"/>
          </w:tcPr>
          <w:p>
            <w:pPr>
              <w:pStyle w:val="yTableNAm"/>
            </w:pPr>
            <w:r>
              <w:rPr>
                <w:szCs w:val="22"/>
              </w:rPr>
              <w:t xml:space="preserve">Failure to notify the Board of ceasing to have a nominated supervisor </w:t>
            </w:r>
          </w:p>
        </w:tc>
        <w:tc>
          <w:tcPr>
            <w:tcW w:w="2977" w:type="dxa"/>
          </w:tcPr>
          <w:p>
            <w:pPr>
              <w:pStyle w:val="yTableNAm"/>
            </w:pPr>
            <w:r>
              <w:rPr>
                <w:szCs w:val="22"/>
              </w:rPr>
              <w:t>For a building contractor or building surveying contractor — $500</w:t>
            </w:r>
          </w:p>
          <w:p>
            <w:pPr>
              <w:pStyle w:val="yTableNAm"/>
            </w:pPr>
            <w:r>
              <w:t>For a painting contractor — $250</w:t>
            </w:r>
          </w:p>
        </w:tc>
      </w:tr>
      <w:tr>
        <w:trPr>
          <w:cantSplit/>
        </w:trPr>
        <w:tc>
          <w:tcPr>
            <w:tcW w:w="851" w:type="dxa"/>
          </w:tcPr>
          <w:p>
            <w:pPr>
              <w:pStyle w:val="yTableNAm"/>
            </w:pPr>
            <w:r>
              <w:rPr>
                <w:szCs w:val="22"/>
              </w:rPr>
              <w:t>s. 25</w:t>
            </w:r>
          </w:p>
        </w:tc>
        <w:tc>
          <w:tcPr>
            <w:tcW w:w="3118" w:type="dxa"/>
          </w:tcPr>
          <w:p>
            <w:pPr>
              <w:pStyle w:val="yTableNAm"/>
            </w:pPr>
            <w:r>
              <w:rPr>
                <w:szCs w:val="22"/>
              </w:rPr>
              <w:t>Contravening a condition to which building service provider’s registration is subject</w:t>
            </w:r>
          </w:p>
        </w:tc>
        <w:tc>
          <w:tcPr>
            <w:tcW w:w="2977" w:type="dxa"/>
          </w:tcPr>
          <w:p>
            <w:pPr>
              <w:pStyle w:val="yTableNAm"/>
            </w:pPr>
            <w:r>
              <w:rPr>
                <w:szCs w:val="22"/>
              </w:rPr>
              <w:t>$2 500</w:t>
            </w:r>
          </w:p>
        </w:tc>
      </w:tr>
      <w:tr>
        <w:trPr>
          <w:cantSplit/>
        </w:trPr>
        <w:tc>
          <w:tcPr>
            <w:tcW w:w="851" w:type="dxa"/>
          </w:tcPr>
          <w:p>
            <w:pPr>
              <w:pStyle w:val="yTableNAm"/>
            </w:pPr>
            <w:r>
              <w:rPr>
                <w:szCs w:val="22"/>
              </w:rPr>
              <w:t>s. 32(1)</w:t>
            </w:r>
          </w:p>
        </w:tc>
        <w:tc>
          <w:tcPr>
            <w:tcW w:w="3118" w:type="dxa"/>
          </w:tcPr>
          <w:p>
            <w:pPr>
              <w:pStyle w:val="yTableNAm"/>
            </w:pPr>
            <w:r>
              <w:rPr>
                <w:szCs w:val="22"/>
              </w:rPr>
              <w:t>Failure to notify the Board of change of address</w:t>
            </w:r>
          </w:p>
        </w:tc>
        <w:tc>
          <w:tcPr>
            <w:tcW w:w="2977" w:type="dxa"/>
          </w:tcPr>
          <w:p>
            <w:pPr>
              <w:pStyle w:val="yTableNAm"/>
            </w:pPr>
            <w:r>
              <w:rPr>
                <w:szCs w:val="22"/>
              </w:rPr>
              <w:t>$250</w:t>
            </w:r>
          </w:p>
        </w:tc>
      </w:tr>
      <w:tr>
        <w:trPr>
          <w:cantSplit/>
        </w:trPr>
        <w:tc>
          <w:tcPr>
            <w:tcW w:w="851" w:type="dxa"/>
          </w:tcPr>
          <w:p>
            <w:pPr>
              <w:pStyle w:val="yTableNAm"/>
            </w:pPr>
            <w:r>
              <w:rPr>
                <w:szCs w:val="22"/>
              </w:rPr>
              <w:t>s. 33(1)</w:t>
            </w:r>
          </w:p>
        </w:tc>
        <w:tc>
          <w:tcPr>
            <w:tcW w:w="3118" w:type="dxa"/>
          </w:tcPr>
          <w:p>
            <w:pPr>
              <w:pStyle w:val="yTableNAm"/>
            </w:pPr>
            <w:r>
              <w:rPr>
                <w:szCs w:val="22"/>
              </w:rPr>
              <w:t>Failure to notify the Board of change in circumstances affecting eligibility to remain registered</w:t>
            </w:r>
          </w:p>
        </w:tc>
        <w:tc>
          <w:tcPr>
            <w:tcW w:w="2977" w:type="dxa"/>
          </w:tcPr>
          <w:p>
            <w:pPr>
              <w:pStyle w:val="yTableNAm"/>
            </w:pPr>
            <w:r>
              <w:rPr>
                <w:szCs w:val="22"/>
              </w:rPr>
              <w:t>$1 000</w:t>
            </w:r>
          </w:p>
        </w:tc>
      </w:tr>
      <w:tr>
        <w:trPr>
          <w:cantSplit/>
        </w:trPr>
        <w:tc>
          <w:tcPr>
            <w:tcW w:w="851" w:type="dxa"/>
          </w:tcPr>
          <w:p>
            <w:pPr>
              <w:pStyle w:val="yTableNAm"/>
            </w:pPr>
            <w:r>
              <w:rPr>
                <w:szCs w:val="22"/>
              </w:rPr>
              <w:t>s. 34(1)</w:t>
            </w:r>
          </w:p>
        </w:tc>
        <w:tc>
          <w:tcPr>
            <w:tcW w:w="3118" w:type="dxa"/>
          </w:tcPr>
          <w:p>
            <w:pPr>
              <w:pStyle w:val="yTableNAm"/>
            </w:pPr>
            <w:r>
              <w:rPr>
                <w:szCs w:val="22"/>
              </w:rPr>
              <w:t>Failure to notify the Board of financial difficulty</w:t>
            </w:r>
          </w:p>
        </w:tc>
        <w:tc>
          <w:tcPr>
            <w:tcW w:w="2977" w:type="dxa"/>
          </w:tcPr>
          <w:p>
            <w:pPr>
              <w:pStyle w:val="yTableNAm"/>
            </w:pPr>
            <w:r>
              <w:rPr>
                <w:szCs w:val="22"/>
              </w:rPr>
              <w:t>$1 000</w:t>
            </w:r>
          </w:p>
        </w:tc>
      </w:tr>
      <w:tr>
        <w:trPr>
          <w:cantSplit/>
        </w:trPr>
        <w:tc>
          <w:tcPr>
            <w:tcW w:w="851" w:type="dxa"/>
          </w:tcPr>
          <w:p>
            <w:pPr>
              <w:pStyle w:val="yTableNAm"/>
            </w:pPr>
            <w:r>
              <w:rPr>
                <w:szCs w:val="22"/>
              </w:rPr>
              <w:lastRenderedPageBreak/>
              <w:t>s. 34(3)</w:t>
            </w:r>
          </w:p>
        </w:tc>
        <w:tc>
          <w:tcPr>
            <w:tcW w:w="3118" w:type="dxa"/>
          </w:tcPr>
          <w:p>
            <w:pPr>
              <w:pStyle w:val="yTableNAm"/>
            </w:pPr>
            <w:r>
              <w:rPr>
                <w:szCs w:val="22"/>
              </w:rPr>
              <w:t>Failure to notify the Board of insolvency</w:t>
            </w:r>
          </w:p>
        </w:tc>
        <w:tc>
          <w:tcPr>
            <w:tcW w:w="2977" w:type="dxa"/>
          </w:tcPr>
          <w:p>
            <w:pPr>
              <w:pStyle w:val="yTableNAm"/>
            </w:pPr>
            <w:r>
              <w:rPr>
                <w:szCs w:val="22"/>
              </w:rPr>
              <w:t>$1 000</w:t>
            </w:r>
          </w:p>
        </w:tc>
      </w:tr>
      <w:tr>
        <w:trPr>
          <w:cantSplit/>
        </w:trPr>
        <w:tc>
          <w:tcPr>
            <w:tcW w:w="851" w:type="dxa"/>
          </w:tcPr>
          <w:p>
            <w:pPr>
              <w:pStyle w:val="yTableNAm"/>
            </w:pPr>
            <w:r>
              <w:rPr>
                <w:szCs w:val="22"/>
              </w:rPr>
              <w:t>s. 35(1)</w:t>
            </w:r>
          </w:p>
        </w:tc>
        <w:tc>
          <w:tcPr>
            <w:tcW w:w="3118" w:type="dxa"/>
          </w:tcPr>
          <w:p>
            <w:pPr>
              <w:pStyle w:val="yTableNAm"/>
            </w:pPr>
            <w:r>
              <w:rPr>
                <w:szCs w:val="22"/>
              </w:rPr>
              <w:t>Failure to notify the Board of being charged with a serious offence</w:t>
            </w:r>
          </w:p>
        </w:tc>
        <w:tc>
          <w:tcPr>
            <w:tcW w:w="2977" w:type="dxa"/>
          </w:tcPr>
          <w:p>
            <w:pPr>
              <w:pStyle w:val="yTableNAm"/>
            </w:pPr>
            <w:r>
              <w:rPr>
                <w:szCs w:val="22"/>
              </w:rPr>
              <w:t>$500</w:t>
            </w:r>
          </w:p>
        </w:tc>
      </w:tr>
      <w:tr>
        <w:trPr>
          <w:cantSplit/>
        </w:trPr>
        <w:tc>
          <w:tcPr>
            <w:tcW w:w="851" w:type="dxa"/>
          </w:tcPr>
          <w:p>
            <w:pPr>
              <w:pStyle w:val="yTableNAm"/>
            </w:pPr>
            <w:r>
              <w:rPr>
                <w:szCs w:val="22"/>
              </w:rPr>
              <w:t>s. 35(2)</w:t>
            </w:r>
          </w:p>
        </w:tc>
        <w:tc>
          <w:tcPr>
            <w:tcW w:w="3118" w:type="dxa"/>
          </w:tcPr>
          <w:p>
            <w:pPr>
              <w:pStyle w:val="yTableNAm"/>
            </w:pPr>
            <w:r>
              <w:rPr>
                <w:szCs w:val="22"/>
              </w:rPr>
              <w:t>Failure to notify the Board of being convicted of a serious offence</w:t>
            </w:r>
          </w:p>
        </w:tc>
        <w:tc>
          <w:tcPr>
            <w:tcW w:w="2977" w:type="dxa"/>
          </w:tcPr>
          <w:p>
            <w:pPr>
              <w:pStyle w:val="yTableNAm"/>
            </w:pPr>
            <w:r>
              <w:rPr>
                <w:szCs w:val="22"/>
              </w:rPr>
              <w:t>$500</w:t>
            </w:r>
          </w:p>
        </w:tc>
      </w:tr>
      <w:tr>
        <w:trPr>
          <w:cantSplit/>
        </w:trPr>
        <w:tc>
          <w:tcPr>
            <w:tcW w:w="851" w:type="dxa"/>
          </w:tcPr>
          <w:p>
            <w:pPr>
              <w:pStyle w:val="yTableNAm"/>
            </w:pPr>
            <w:r>
              <w:rPr>
                <w:szCs w:val="22"/>
              </w:rPr>
              <w:t>s. 35(3)</w:t>
            </w:r>
          </w:p>
        </w:tc>
        <w:tc>
          <w:tcPr>
            <w:tcW w:w="3118" w:type="dxa"/>
          </w:tcPr>
          <w:p>
            <w:pPr>
              <w:pStyle w:val="yTableNAm"/>
            </w:pPr>
            <w:r>
              <w:rPr>
                <w:szCs w:val="22"/>
              </w:rPr>
              <w:t>Failure to notify the Board of conviction of an offence against the Commonwealth or another jurisdiction</w:t>
            </w:r>
          </w:p>
        </w:tc>
        <w:tc>
          <w:tcPr>
            <w:tcW w:w="2977" w:type="dxa"/>
          </w:tcPr>
          <w:p>
            <w:pPr>
              <w:pStyle w:val="yTableNAm"/>
            </w:pPr>
            <w:r>
              <w:rPr>
                <w:szCs w:val="22"/>
              </w:rPr>
              <w:t>$500</w:t>
            </w:r>
          </w:p>
        </w:tc>
      </w:tr>
      <w:tr>
        <w:trPr>
          <w:cantSplit/>
        </w:trPr>
        <w:tc>
          <w:tcPr>
            <w:tcW w:w="851" w:type="dxa"/>
          </w:tcPr>
          <w:p>
            <w:pPr>
              <w:pStyle w:val="yTableNAm"/>
            </w:pPr>
            <w:r>
              <w:rPr>
                <w:szCs w:val="22"/>
              </w:rPr>
              <w:t>s. 36(1)</w:t>
            </w:r>
          </w:p>
        </w:tc>
        <w:tc>
          <w:tcPr>
            <w:tcW w:w="3118" w:type="dxa"/>
          </w:tcPr>
          <w:p>
            <w:pPr>
              <w:pStyle w:val="yTableNAm"/>
            </w:pPr>
            <w:r>
              <w:rPr>
                <w:szCs w:val="22"/>
              </w:rPr>
              <w:t xml:space="preserve">Failure to notify the Board of disciplinary action </w:t>
            </w:r>
          </w:p>
        </w:tc>
        <w:tc>
          <w:tcPr>
            <w:tcW w:w="2977" w:type="dxa"/>
          </w:tcPr>
          <w:p>
            <w:pPr>
              <w:pStyle w:val="yTableNAm"/>
            </w:pPr>
            <w:r>
              <w:rPr>
                <w:szCs w:val="22"/>
              </w:rPr>
              <w:t>$500</w:t>
            </w:r>
          </w:p>
        </w:tc>
      </w:tr>
      <w:tr>
        <w:trPr>
          <w:cantSplit/>
        </w:trPr>
        <w:tc>
          <w:tcPr>
            <w:tcW w:w="851" w:type="dxa"/>
          </w:tcPr>
          <w:p>
            <w:pPr>
              <w:pStyle w:val="yTableNAm"/>
            </w:pPr>
            <w:r>
              <w:rPr>
                <w:szCs w:val="22"/>
              </w:rPr>
              <w:t>s. 37(1)</w:t>
            </w:r>
          </w:p>
        </w:tc>
        <w:tc>
          <w:tcPr>
            <w:tcW w:w="3118" w:type="dxa"/>
          </w:tcPr>
          <w:p>
            <w:pPr>
              <w:pStyle w:val="yTableNAm"/>
              <w:rPr>
                <w:rStyle w:val="DraftersNotes"/>
              </w:rPr>
            </w:pPr>
            <w:r>
              <w:rPr>
                <w:szCs w:val="22"/>
              </w:rPr>
              <w:t>Failure to return registration certificate</w:t>
            </w:r>
          </w:p>
        </w:tc>
        <w:tc>
          <w:tcPr>
            <w:tcW w:w="2977" w:type="dxa"/>
          </w:tcPr>
          <w:p>
            <w:pPr>
              <w:pStyle w:val="yTableNAm"/>
              <w:rPr>
                <w:rStyle w:val="DraftersNotes"/>
              </w:rPr>
            </w:pPr>
            <w:r>
              <w:rPr>
                <w:szCs w:val="22"/>
              </w:rPr>
              <w:t>$500</w:t>
            </w:r>
          </w:p>
        </w:tc>
      </w:tr>
      <w:tr>
        <w:trPr>
          <w:cantSplit/>
        </w:trPr>
        <w:tc>
          <w:tcPr>
            <w:tcW w:w="851" w:type="dxa"/>
          </w:tcPr>
          <w:p>
            <w:pPr>
              <w:pStyle w:val="yTableNAm"/>
            </w:pPr>
            <w:r>
              <w:rPr>
                <w:szCs w:val="22"/>
              </w:rPr>
              <w:t>s. 49</w:t>
            </w:r>
          </w:p>
        </w:tc>
        <w:tc>
          <w:tcPr>
            <w:tcW w:w="3118" w:type="dxa"/>
          </w:tcPr>
          <w:p>
            <w:pPr>
              <w:pStyle w:val="yTableNAm"/>
            </w:pPr>
            <w:r>
              <w:rPr>
                <w:szCs w:val="22"/>
              </w:rPr>
              <w:t>Contravening a condition that applies to an owner</w:t>
            </w:r>
            <w:r>
              <w:rPr>
                <w:szCs w:val="22"/>
              </w:rPr>
              <w:noBreakHyphen/>
              <w:t>builder approval</w:t>
            </w:r>
          </w:p>
        </w:tc>
        <w:tc>
          <w:tcPr>
            <w:tcW w:w="2977" w:type="dxa"/>
          </w:tcPr>
          <w:p>
            <w:pPr>
              <w:pStyle w:val="yTableNAm"/>
            </w:pPr>
            <w:r>
              <w:rPr>
                <w:szCs w:val="22"/>
              </w:rPr>
              <w:t>$2 500</w:t>
            </w:r>
          </w:p>
        </w:tc>
      </w:tr>
    </w:tbl>
    <w:p>
      <w:pPr>
        <w:pStyle w:val="yFootnotesection"/>
      </w:pPr>
      <w:r>
        <w:tab/>
        <w:t>[Division 2 inserted: Gazette 26 Apr 2019 p. 1217</w:t>
      </w:r>
      <w:r>
        <w:noBreakHyphen/>
        <w:t>19.]</w:t>
      </w:r>
    </w:p>
    <w:p>
      <w:pPr>
        <w:pStyle w:val="yHeading3"/>
      </w:pPr>
      <w:bookmarkStart w:id="154" w:name="_Toc84335948"/>
      <w:bookmarkStart w:id="155" w:name="_Toc84336768"/>
      <w:bookmarkStart w:id="156" w:name="_Toc84344009"/>
      <w:r>
        <w:rPr>
          <w:rStyle w:val="CharSDivNo"/>
        </w:rPr>
        <w:t>Division 3</w:t>
      </w:r>
      <w:r>
        <w:t xml:space="preserve"> — </w:t>
      </w:r>
      <w:r>
        <w:rPr>
          <w:rStyle w:val="CharSDivText"/>
        </w:rPr>
        <w:t>Offences under these regulations</w:t>
      </w:r>
      <w:bookmarkEnd w:id="154"/>
      <w:bookmarkEnd w:id="155"/>
      <w:bookmarkEnd w:id="156"/>
    </w:p>
    <w:p>
      <w:pPr>
        <w:pStyle w:val="yFootnoteheading"/>
      </w:pPr>
      <w:r>
        <w:tab/>
        <w:t>[Heading inserted: Gazette 26 Apr 2019 p. 1219.]</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418"/>
      </w:tblGrid>
      <w:tr>
        <w:trPr>
          <w:cantSplit/>
          <w:tblHeader/>
        </w:trPr>
        <w:tc>
          <w:tcPr>
            <w:tcW w:w="5528" w:type="dxa"/>
            <w:gridSpan w:val="2"/>
          </w:tcPr>
          <w:p>
            <w:pPr>
              <w:pStyle w:val="yTableNAm"/>
            </w:pPr>
            <w:r>
              <w:rPr>
                <w:b/>
                <w:szCs w:val="22"/>
              </w:rPr>
              <w:t>Offence under these regulations</w:t>
            </w:r>
          </w:p>
        </w:tc>
        <w:tc>
          <w:tcPr>
            <w:tcW w:w="1418" w:type="dxa"/>
          </w:tcPr>
          <w:p>
            <w:pPr>
              <w:pStyle w:val="yTableNAm"/>
              <w:jc w:val="center"/>
            </w:pPr>
            <w:r>
              <w:rPr>
                <w:b/>
                <w:szCs w:val="22"/>
              </w:rPr>
              <w:t>Modified penalty</w:t>
            </w:r>
          </w:p>
        </w:tc>
      </w:tr>
      <w:tr>
        <w:trPr>
          <w:cantSplit/>
        </w:trPr>
        <w:tc>
          <w:tcPr>
            <w:tcW w:w="992" w:type="dxa"/>
          </w:tcPr>
          <w:p>
            <w:pPr>
              <w:pStyle w:val="yTableNAm"/>
            </w:pPr>
            <w:r>
              <w:rPr>
                <w:szCs w:val="22"/>
              </w:rPr>
              <w:t>r. 21</w:t>
            </w:r>
          </w:p>
        </w:tc>
        <w:tc>
          <w:tcPr>
            <w:tcW w:w="4536" w:type="dxa"/>
          </w:tcPr>
          <w:p>
            <w:pPr>
              <w:pStyle w:val="yTableNAm"/>
            </w:pPr>
            <w:r>
              <w:rPr>
                <w:szCs w:val="22"/>
              </w:rPr>
              <w:t xml:space="preserve">Failure to display sign — building contractor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27(2)</w:t>
            </w:r>
          </w:p>
        </w:tc>
        <w:tc>
          <w:tcPr>
            <w:tcW w:w="4536" w:type="dxa"/>
          </w:tcPr>
          <w:p>
            <w:pPr>
              <w:pStyle w:val="yTableNAm"/>
            </w:pPr>
            <w:r>
              <w:rPr>
                <w:szCs w:val="22"/>
              </w:rPr>
              <w:t>Failure to display sign — owner</w:t>
            </w:r>
            <w:r>
              <w:rPr>
                <w:szCs w:val="22"/>
              </w:rPr>
              <w:noBreakHyphen/>
              <w:t xml:space="preserve">builder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lastRenderedPageBreak/>
              <w:t>r. 28J(1)</w:t>
            </w:r>
          </w:p>
        </w:tc>
        <w:tc>
          <w:tcPr>
            <w:tcW w:w="4536" w:type="dxa"/>
          </w:tcPr>
          <w:p>
            <w:pPr>
              <w:pStyle w:val="yTableNAm"/>
            </w:pPr>
            <w:r>
              <w:rPr>
                <w:szCs w:val="22"/>
              </w:rPr>
              <w:t>Failure to display certificate of registration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28K(1)</w:t>
            </w:r>
          </w:p>
        </w:tc>
        <w:tc>
          <w:tcPr>
            <w:tcW w:w="4536" w:type="dxa"/>
          </w:tcPr>
          <w:p>
            <w:pPr>
              <w:pStyle w:val="yTableNAm"/>
            </w:pPr>
            <w:r>
              <w:rPr>
                <w:szCs w:val="22"/>
              </w:rPr>
              <w:t>Failure to display sign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36</w:t>
            </w:r>
          </w:p>
        </w:tc>
        <w:tc>
          <w:tcPr>
            <w:tcW w:w="4536" w:type="dxa"/>
          </w:tcPr>
          <w:p>
            <w:pPr>
              <w:pStyle w:val="yTableNAm"/>
            </w:pPr>
            <w:r>
              <w:rPr>
                <w:szCs w:val="22"/>
              </w:rPr>
              <w:t>Failure to display sign — painting contractor</w:t>
            </w:r>
          </w:p>
        </w:tc>
        <w:tc>
          <w:tcPr>
            <w:tcW w:w="1418" w:type="dxa"/>
            <w:vAlign w:val="bottom"/>
          </w:tcPr>
          <w:p>
            <w:pPr>
              <w:pStyle w:val="yTableNAm"/>
              <w:jc w:val="center"/>
            </w:pPr>
            <w:r>
              <w:rPr>
                <w:szCs w:val="22"/>
              </w:rPr>
              <w:t>$100</w:t>
            </w:r>
          </w:p>
        </w:tc>
      </w:tr>
    </w:tbl>
    <w:p>
      <w:pPr>
        <w:pStyle w:val="yFootnotesection"/>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r>
        <w:tab/>
        <w:t>[Division 3 inserted: Gazette 26 Apr 2019 p. 1219.]</w:t>
      </w:r>
    </w:p>
    <w:p>
      <w:pPr>
        <w:pStyle w:val="yScheduleHeading"/>
      </w:pPr>
      <w:bookmarkStart w:id="157" w:name="_Toc84335949"/>
      <w:bookmarkStart w:id="158" w:name="_Toc84336769"/>
      <w:bookmarkStart w:id="159" w:name="_Toc84344010"/>
      <w:r>
        <w:rPr>
          <w:rStyle w:val="CharSchNo"/>
        </w:rPr>
        <w:lastRenderedPageBreak/>
        <w:t>Schedule 6</w:t>
      </w:r>
      <w:r>
        <w:rPr>
          <w:rStyle w:val="CharSDivNo"/>
        </w:rPr>
        <w:t> </w:t>
      </w:r>
      <w:r>
        <w:t>—</w:t>
      </w:r>
      <w:r>
        <w:rPr>
          <w:rStyle w:val="CharSDivText"/>
        </w:rPr>
        <w:t> </w:t>
      </w:r>
      <w:r>
        <w:rPr>
          <w:rStyle w:val="CharSchText"/>
        </w:rPr>
        <w:t>Forms</w:t>
      </w:r>
      <w:bookmarkEnd w:id="157"/>
      <w:bookmarkEnd w:id="158"/>
      <w:bookmarkEnd w:id="159"/>
    </w:p>
    <w:p>
      <w:pPr>
        <w:pStyle w:val="yShoulderClause"/>
      </w:pPr>
      <w:r>
        <w:t>[r. 36C]</w:t>
      </w:r>
    </w:p>
    <w:p>
      <w:pPr>
        <w:pStyle w:val="yFootnoteheading"/>
      </w:pPr>
      <w:r>
        <w:tab/>
        <w:t>[Heading inserted: Gazette 26 Apr 2019 p. 1219.]</w:t>
      </w:r>
    </w:p>
    <w:p>
      <w:pPr>
        <w:pStyle w:val="zyMiscellaneousHeading"/>
        <w:spacing w:after="240"/>
        <w:ind w:left="142"/>
        <w:jc w:val="left"/>
        <w:rPr>
          <w:b/>
          <w:bCs/>
        </w:rPr>
      </w:pPr>
      <w:r>
        <w:rPr>
          <w:rStyle w:val="CharSClsNo"/>
          <w:b/>
        </w:rPr>
        <w:t>Form 1</w:t>
      </w:r>
      <w:r>
        <w:rPr>
          <w:b/>
          <w:bCs/>
        </w:rPr>
        <w:t xml:space="preserve"> — </w:t>
      </w:r>
      <w:r>
        <w:rPr>
          <w:b/>
        </w:rPr>
        <w:t>Infringement</w:t>
      </w:r>
      <w:r>
        <w:rPr>
          <w:b/>
          <w:bCs/>
        </w:rPr>
        <w:t xml:space="preserve">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trPr>
        <w:tc>
          <w:tcPr>
            <w:tcW w:w="4820" w:type="dxa"/>
            <w:gridSpan w:val="5"/>
          </w:tcPr>
          <w:p>
            <w:pPr>
              <w:pStyle w:val="yTableNAm"/>
            </w:pPr>
            <w:r>
              <w:rPr>
                <w:b/>
              </w:rPr>
              <w:br w:type="page"/>
            </w:r>
            <w:r>
              <w:rPr>
                <w:i/>
              </w:rPr>
              <w:t>Building Services (Registration) Act 2011</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134" w:type="dxa"/>
            <w:vMerge w:val="restart"/>
          </w:tcPr>
          <w:p>
            <w:pPr>
              <w:pStyle w:val="yTableNAm"/>
            </w:pPr>
            <w:r>
              <w:rPr>
                <w:b/>
              </w:rPr>
              <w:t>Alleged offender</w:t>
            </w:r>
          </w:p>
        </w:tc>
        <w:tc>
          <w:tcPr>
            <w:tcW w:w="1559" w:type="dxa"/>
            <w:gridSpan w:val="2"/>
            <w:vMerge w:val="restart"/>
          </w:tcPr>
          <w:p>
            <w:pPr>
              <w:pStyle w:val="yTableNAm"/>
            </w:pPr>
            <w:r>
              <w:t>Name</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val="restart"/>
          </w:tcPr>
          <w:p>
            <w:pPr>
              <w:pStyle w:val="yTableNAm"/>
            </w:pPr>
            <w:r>
              <w:t>Address</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val="restart"/>
          </w:tcPr>
          <w:p>
            <w:pPr>
              <w:pStyle w:val="yTableNAm"/>
            </w:pPr>
            <w:r>
              <w:rPr>
                <w:b/>
              </w:rPr>
              <w:t>Alleged offence</w:t>
            </w:r>
          </w:p>
        </w:tc>
        <w:tc>
          <w:tcPr>
            <w:tcW w:w="1559" w:type="dxa"/>
            <w:gridSpan w:val="2"/>
            <w:shd w:val="clear" w:color="auto" w:fill="auto"/>
          </w:tcPr>
          <w:p>
            <w:pPr>
              <w:pStyle w:val="yTableNAm"/>
            </w:pPr>
            <w:r>
              <w:t>Date or period</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Time</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Place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val="restart"/>
            <w:shd w:val="clear" w:color="auto" w:fill="auto"/>
          </w:tcPr>
          <w:p>
            <w:pPr>
              <w:pStyle w:val="yTableNAm"/>
            </w:pPr>
            <w:r>
              <w:t>Details of offence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val="restart"/>
            <w:shd w:val="clear" w:color="auto" w:fill="auto"/>
          </w:tcPr>
          <w:p>
            <w:pPr>
              <w:pStyle w:val="yTableNAm"/>
            </w:pPr>
            <w:r>
              <w:t>Written law contravened</w:t>
            </w: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Pr>
        <w:tc>
          <w:tcPr>
            <w:tcW w:w="1134" w:type="dxa"/>
          </w:tcPr>
          <w:p>
            <w:pPr>
              <w:pStyle w:val="yTableNAm"/>
            </w:pPr>
            <w:r>
              <w:rPr>
                <w:b/>
              </w:rPr>
              <w:t>Date</w:t>
            </w:r>
          </w:p>
        </w:tc>
        <w:tc>
          <w:tcPr>
            <w:tcW w:w="1559" w:type="dxa"/>
            <w:gridSpan w:val="2"/>
          </w:tcPr>
          <w:p>
            <w:pPr>
              <w:pStyle w:val="yTableNAm"/>
            </w:pPr>
            <w:r>
              <w:t>Date of notice</w:t>
            </w:r>
          </w:p>
        </w:tc>
        <w:tc>
          <w:tcPr>
            <w:tcW w:w="4111" w:type="dxa"/>
            <w:gridSpan w:val="4"/>
          </w:tcPr>
          <w:p>
            <w:pPr>
              <w:pStyle w:val="yTableNAm"/>
            </w:pPr>
          </w:p>
        </w:tc>
      </w:tr>
      <w:tr>
        <w:trPr>
          <w:cantSplit/>
        </w:trPr>
        <w:tc>
          <w:tcPr>
            <w:tcW w:w="1134" w:type="dxa"/>
            <w:vMerge w:val="restart"/>
          </w:tcPr>
          <w:p>
            <w:pPr>
              <w:pStyle w:val="yTableNAm"/>
            </w:pPr>
            <w:r>
              <w:rPr>
                <w:b/>
              </w:rPr>
              <w:t>Issuing officer</w:t>
            </w:r>
          </w:p>
        </w:tc>
        <w:tc>
          <w:tcPr>
            <w:tcW w:w="1559" w:type="dxa"/>
            <w:gridSpan w:val="2"/>
          </w:tcPr>
          <w:p>
            <w:pPr>
              <w:pStyle w:val="yTableNAm"/>
            </w:pPr>
            <w:r>
              <w:t>Name</w:t>
            </w:r>
          </w:p>
        </w:tc>
        <w:tc>
          <w:tcPr>
            <w:tcW w:w="4111" w:type="dxa"/>
            <w:gridSpan w:val="4"/>
          </w:tcPr>
          <w:p>
            <w:pPr>
              <w:pStyle w:val="yTableNAm"/>
            </w:pPr>
          </w:p>
        </w:tc>
      </w:tr>
      <w:tr>
        <w:trPr>
          <w:cantSplit/>
        </w:trPr>
        <w:tc>
          <w:tcPr>
            <w:tcW w:w="1134" w:type="dxa"/>
            <w:vMerge/>
          </w:tcPr>
          <w:p>
            <w:pPr>
              <w:pStyle w:val="zyTableNAm"/>
              <w:keepNext/>
              <w:keepLines/>
              <w:rPr>
                <w:b/>
              </w:rPr>
            </w:pPr>
          </w:p>
        </w:tc>
        <w:tc>
          <w:tcPr>
            <w:tcW w:w="1559" w:type="dxa"/>
            <w:gridSpan w:val="2"/>
          </w:tcPr>
          <w:p>
            <w:pPr>
              <w:pStyle w:val="yTableNAm"/>
            </w:pPr>
            <w:r>
              <w:t>Office</w:t>
            </w:r>
          </w:p>
        </w:tc>
        <w:tc>
          <w:tcPr>
            <w:tcW w:w="4111" w:type="dxa"/>
            <w:gridSpan w:val="4"/>
          </w:tcPr>
          <w:p>
            <w:pPr>
              <w:pStyle w:val="yTableNAm"/>
            </w:pPr>
          </w:p>
        </w:tc>
      </w:tr>
      <w:tr>
        <w:trPr>
          <w:cantSplit/>
        </w:trPr>
        <w:tc>
          <w:tcPr>
            <w:tcW w:w="1134" w:type="dxa"/>
            <w:vMerge/>
          </w:tcPr>
          <w:p>
            <w:pPr>
              <w:pStyle w:val="zyTableNAm"/>
              <w:keepNext/>
              <w:keepLines/>
            </w:pPr>
          </w:p>
        </w:tc>
        <w:tc>
          <w:tcPr>
            <w:tcW w:w="1559" w:type="dxa"/>
            <w:gridSpan w:val="2"/>
          </w:tcPr>
          <w:p>
            <w:pPr>
              <w:pStyle w:val="yTableNAm"/>
            </w:pPr>
            <w:r>
              <w:t>Signature</w:t>
            </w:r>
          </w:p>
        </w:tc>
        <w:tc>
          <w:tcPr>
            <w:tcW w:w="4111" w:type="dxa"/>
            <w:gridSpan w:val="4"/>
          </w:tcPr>
          <w:p>
            <w:pPr>
              <w:pStyle w:val="yTableNAm"/>
            </w:pPr>
          </w:p>
        </w:tc>
      </w:tr>
      <w:tr>
        <w:trPr>
          <w:trHeight w:val="604"/>
        </w:trPr>
        <w:tc>
          <w:tcPr>
            <w:tcW w:w="1134" w:type="dxa"/>
            <w:tcBorders>
              <w:bottom w:val="single" w:sz="4" w:space="0" w:color="auto"/>
            </w:tcBorders>
          </w:tcPr>
          <w:p>
            <w:pPr>
              <w:pStyle w:val="yTableNAm"/>
            </w:pPr>
            <w:r>
              <w:rPr>
                <w:b/>
              </w:rPr>
              <w:t>Modified penalty</w:t>
            </w:r>
          </w:p>
        </w:tc>
        <w:tc>
          <w:tcPr>
            <w:tcW w:w="5670" w:type="dxa"/>
            <w:gridSpan w:val="6"/>
            <w:tcBorders>
              <w:bottom w:val="single" w:sz="4" w:space="0" w:color="auto"/>
            </w:tcBorders>
          </w:tcPr>
          <w:p>
            <w:pPr>
              <w:pStyle w:val="yTableNAm"/>
            </w:pPr>
            <w:r>
              <w:t>$</w:t>
            </w:r>
          </w:p>
        </w:tc>
      </w:tr>
      <w:tr>
        <w:trPr>
          <w:trHeight w:val="401"/>
        </w:trPr>
        <w:tc>
          <w:tcPr>
            <w:tcW w:w="1134" w:type="dxa"/>
            <w:tcBorders>
              <w:bottom w:val="nil"/>
            </w:tcBorders>
          </w:tcPr>
          <w:p>
            <w:pPr>
              <w:pStyle w:val="yTableNAm"/>
            </w:pPr>
            <w:r>
              <w:rPr>
                <w:b/>
              </w:rPr>
              <w:t xml:space="preserve">TAKE NOTICE </w:t>
            </w:r>
          </w:p>
        </w:tc>
        <w:tc>
          <w:tcPr>
            <w:tcW w:w="5670" w:type="dxa"/>
            <w:gridSpan w:val="6"/>
            <w:tcBorders>
              <w:bottom w:val="nil"/>
            </w:tcBorders>
          </w:tcPr>
          <w:p>
            <w:pPr>
              <w:pStyle w:val="yTableNAm"/>
            </w:pPr>
            <w: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p>
        </w:tc>
      </w:tr>
      <w:tr>
        <w:trPr>
          <w:trHeight w:val="401"/>
        </w:trPr>
        <w:tc>
          <w:tcPr>
            <w:tcW w:w="1134" w:type="dxa"/>
            <w:tcBorders>
              <w:top w:val="nil"/>
              <w:bottom w:val="single" w:sz="4" w:space="0" w:color="auto"/>
            </w:tcBorders>
          </w:tcPr>
          <w:p>
            <w:pPr>
              <w:pStyle w:val="zyTableNAm"/>
              <w:widowControl w:val="0"/>
              <w:rPr>
                <w:b/>
              </w:rPr>
            </w:pPr>
          </w:p>
        </w:tc>
        <w:tc>
          <w:tcPr>
            <w:tcW w:w="5670" w:type="dxa"/>
            <w:gridSpan w:val="6"/>
            <w:tcBorders>
              <w:top w:val="nil"/>
              <w:bottom w:val="single" w:sz="4" w:space="0" w:color="auto"/>
            </w:tcBorders>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pPr>
            <w:r>
              <w:t xml:space="preserve">__________________________________               /    /20   </w:t>
            </w:r>
            <w:r>
              <w:br/>
              <w:t>and post this notice to the Approved Officer at the address below within 28 days after the date of this notice.</w:t>
            </w:r>
          </w:p>
        </w:tc>
      </w:tr>
      <w:tr>
        <w:trPr>
          <w:trHeight w:val="401"/>
        </w:trPr>
        <w:tc>
          <w:tcPr>
            <w:tcW w:w="1134" w:type="dxa"/>
            <w:vMerge w:val="restart"/>
            <w:tcBorders>
              <w:bottom w:val="nil"/>
            </w:tcBorders>
          </w:tcPr>
          <w:p>
            <w:pPr>
              <w:pStyle w:val="yTableNAm"/>
            </w:pPr>
            <w:r>
              <w:rPr>
                <w:b/>
              </w:rPr>
              <w:t>How to pay</w:t>
            </w:r>
          </w:p>
        </w:tc>
        <w:tc>
          <w:tcPr>
            <w:tcW w:w="1276" w:type="dxa"/>
            <w:tcBorders>
              <w:bottom w:val="nil"/>
            </w:tcBorders>
          </w:tcPr>
          <w:p>
            <w:pPr>
              <w:pStyle w:val="yTableNAm"/>
            </w:pPr>
            <w:r>
              <w:t>By post</w:t>
            </w:r>
          </w:p>
        </w:tc>
        <w:tc>
          <w:tcPr>
            <w:tcW w:w="4394" w:type="dxa"/>
            <w:gridSpan w:val="5"/>
            <w:tcBorders>
              <w:bottom w:val="nil"/>
            </w:tcBorders>
          </w:tcPr>
          <w:p>
            <w:pPr>
              <w:pStyle w:val="yTableNAm"/>
            </w:pPr>
            <w:r>
              <w:t>Tick the relevant box below and post this notice to:</w:t>
            </w:r>
          </w:p>
          <w:p>
            <w:pPr>
              <w:pStyle w:val="yTableNAm"/>
              <w:rPr>
                <w:i/>
              </w:rPr>
            </w:pPr>
            <w:r>
              <w:t xml:space="preserve">Approved Officer — </w:t>
            </w:r>
            <w:r>
              <w:rPr>
                <w:i/>
              </w:rPr>
              <w:t>Building Services (Registration) Act 2011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(Registration) Act 2011</w:t>
            </w:r>
            <w:r>
              <w:t>)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NAm"/>
            </w:pPr>
          </w:p>
        </w:tc>
      </w:tr>
      <w:tr>
        <w:trPr>
          <w:trHeight w:val="401"/>
        </w:trPr>
        <w:tc>
          <w:tcPr>
            <w:tcW w:w="1134" w:type="dxa"/>
            <w:vMerge/>
            <w:tcBorders>
              <w:top w:val="nil"/>
            </w:tcBorders>
          </w:tcPr>
          <w:p>
            <w:pPr>
              <w:pStyle w:val="zyTableNAm"/>
              <w:keepNext/>
              <w:keepLines/>
              <w:rPr>
                <w:b/>
              </w:rPr>
            </w:pPr>
          </w:p>
        </w:tc>
        <w:tc>
          <w:tcPr>
            <w:tcW w:w="1276" w:type="dxa"/>
            <w:tcBorders>
              <w:top w:val="nil"/>
            </w:tcBorders>
          </w:tcPr>
          <w:p>
            <w:pPr>
              <w:pStyle w:val="zyTableNAm"/>
              <w:keepNext/>
              <w:keepLines/>
            </w:pPr>
          </w:p>
        </w:tc>
        <w:tc>
          <w:tcPr>
            <w:tcW w:w="4394" w:type="dxa"/>
            <w:gridSpan w:val="5"/>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Complete all details</w:t>
            </w:r>
          </w:p>
        </w:tc>
      </w:tr>
      <w:tr>
        <w:trPr>
          <w:trHeight w:val="916"/>
        </w:trPr>
        <w:tc>
          <w:tcPr>
            <w:tcW w:w="1134" w:type="dxa"/>
            <w:vMerge/>
          </w:tcPr>
          <w:p>
            <w:pPr>
              <w:pStyle w:val="zyTableNAm"/>
              <w:rPr>
                <w:b/>
              </w:rPr>
            </w:pPr>
          </w:p>
        </w:tc>
        <w:tc>
          <w:tcPr>
            <w:tcW w:w="1276" w:type="dxa"/>
          </w:tcPr>
          <w:p>
            <w:pPr>
              <w:pStyle w:val="yTableNAm"/>
            </w:pPr>
            <w:r>
              <w:t>In person</w:t>
            </w:r>
          </w:p>
        </w:tc>
        <w:tc>
          <w:tcPr>
            <w:tcW w:w="4394" w:type="dxa"/>
            <w:gridSpan w:val="5"/>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trHeight w:val="310"/>
        </w:trPr>
        <w:tc>
          <w:tcPr>
            <w:tcW w:w="1134" w:type="dxa"/>
          </w:tcPr>
          <w:p>
            <w:pPr>
              <w:pStyle w:val="yTableNAm"/>
            </w:pPr>
            <w:r>
              <w:rPr>
                <w:b/>
              </w:rPr>
              <w:t>Method of service</w:t>
            </w:r>
          </w:p>
        </w:tc>
        <w:tc>
          <w:tcPr>
            <w:tcW w:w="3119" w:type="dxa"/>
            <w:gridSpan w:val="3"/>
          </w:tcPr>
          <w:p>
            <w:pPr>
              <w:pStyle w:val="zyTableNAm"/>
            </w:pPr>
          </w:p>
        </w:tc>
        <w:tc>
          <w:tcPr>
            <w:tcW w:w="992" w:type="dxa"/>
            <w:gridSpan w:val="2"/>
            <w:shd w:val="clear" w:color="auto" w:fill="auto"/>
          </w:tcPr>
          <w:p>
            <w:pPr>
              <w:pStyle w:val="yTableNAm"/>
            </w:pPr>
            <w:r>
              <w:rPr>
                <w:b/>
              </w:rPr>
              <w:t>Date of service</w:t>
            </w:r>
          </w:p>
        </w:tc>
        <w:tc>
          <w:tcPr>
            <w:tcW w:w="1559" w:type="dxa"/>
            <w:shd w:val="clear" w:color="auto" w:fill="auto"/>
          </w:tcPr>
          <w:p>
            <w:pPr>
              <w:pStyle w:val="yTableNAm"/>
            </w:pPr>
          </w:p>
        </w:tc>
      </w:tr>
    </w:tbl>
    <w:p>
      <w:pPr>
        <w:pStyle w:val="yFootnotesection"/>
        <w:rPr>
          <w:b/>
          <w:bCs/>
        </w:rPr>
      </w:pPr>
      <w:r>
        <w:tab/>
        <w:t>[Form 1 inserted: Gazette 26 Apr 2019 p. 1219-21.]</w:t>
      </w:r>
    </w:p>
    <w:p>
      <w:pPr>
        <w:pStyle w:val="zyMiscellaneousHeading"/>
        <w:spacing w:after="240"/>
        <w:ind w:left="142"/>
        <w:jc w:val="left"/>
        <w:rPr>
          <w:b/>
          <w:bCs/>
        </w:rPr>
      </w:pPr>
      <w:r>
        <w:rPr>
          <w:rStyle w:val="CharSClsNo"/>
          <w:b/>
        </w:rPr>
        <w:t>Form 2</w:t>
      </w:r>
      <w:r>
        <w:rPr>
          <w:b/>
          <w:bCs/>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pPr>
            <w:r>
              <w:rPr>
                <w:b/>
              </w:rPr>
              <w:br w:type="page"/>
            </w:r>
            <w:r>
              <w:rPr>
                <w:i/>
              </w:rPr>
              <w:t>Building Services (Registration) Act 2011</w:t>
            </w:r>
          </w:p>
          <w:p>
            <w:pPr>
              <w:pStyle w:val="yTableNAm"/>
              <w:jc w:val="center"/>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461"/>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Borders>
              <w:bottom w:val="single" w:sz="4" w:space="0" w:color="auto"/>
            </w:tcBorders>
          </w:tcPr>
          <w:p>
            <w:pPr>
              <w:pStyle w:val="z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Borders>
              <w:bottom w:val="nil"/>
            </w:tcBorders>
          </w:tcPr>
          <w:p>
            <w:pPr>
              <w:pStyle w:val="yTableNAm"/>
              <w:keepNext/>
            </w:pPr>
            <w:r>
              <w:rPr>
                <w:b/>
              </w:rPr>
              <w:lastRenderedPageBreak/>
              <w:t>Alleged offence</w:t>
            </w:r>
          </w:p>
        </w:tc>
        <w:tc>
          <w:tcPr>
            <w:tcW w:w="1560" w:type="dxa"/>
          </w:tcPr>
          <w:p>
            <w:pPr>
              <w:pStyle w:val="yTableNAm"/>
              <w:keepNext/>
            </w:pPr>
            <w:r>
              <w:t>Date or period</w:t>
            </w:r>
          </w:p>
        </w:tc>
        <w:tc>
          <w:tcPr>
            <w:tcW w:w="3685" w:type="dxa"/>
            <w:gridSpan w:val="4"/>
          </w:tcPr>
          <w:p>
            <w:pPr>
              <w:pStyle w:val="yTableNAm"/>
              <w:keepNext/>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Time</w:t>
            </w:r>
          </w:p>
        </w:tc>
        <w:tc>
          <w:tcPr>
            <w:tcW w:w="3685" w:type="dxa"/>
            <w:gridSpan w:val="4"/>
          </w:tcPr>
          <w:p>
            <w:pPr>
              <w:pStyle w:val="yTableNAm"/>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Place</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 xml:space="preserve">Details of offence </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tcPr>
          <w:p>
            <w:pPr>
              <w:pStyle w:val="zyTableNAm"/>
              <w:widowControl w:val="0"/>
            </w:pP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Written law contravened</w:t>
            </w:r>
          </w:p>
        </w:tc>
        <w:tc>
          <w:tcPr>
            <w:tcW w:w="3685" w:type="dxa"/>
            <w:gridSpan w:val="4"/>
          </w:tcPr>
          <w:p>
            <w:pPr>
              <w:pStyle w:val="yTableNAm"/>
            </w:pPr>
          </w:p>
        </w:tc>
      </w:tr>
      <w:tr>
        <w:trPr>
          <w:cantSplit/>
          <w:trHeight w:val="300"/>
        </w:trPr>
        <w:tc>
          <w:tcPr>
            <w:tcW w:w="1559" w:type="dxa"/>
            <w:vMerge/>
            <w:tcBorders>
              <w:bottom w:val="single" w:sz="4" w:space="0" w:color="auto"/>
            </w:tcBorders>
          </w:tcPr>
          <w:p>
            <w:pPr>
              <w:pStyle w:val="zyTableNAm"/>
              <w:keepLines/>
              <w:widowControl w:val="0"/>
              <w:rPr>
                <w:b/>
              </w:rPr>
            </w:pPr>
          </w:p>
        </w:tc>
        <w:tc>
          <w:tcPr>
            <w:tcW w:w="1560" w:type="dxa"/>
            <w:vMerge/>
          </w:tcPr>
          <w:p>
            <w:pPr>
              <w:pStyle w:val="zyTableNAm"/>
              <w:keepLines/>
              <w:widowControl w:val="0"/>
            </w:pPr>
          </w:p>
        </w:tc>
        <w:tc>
          <w:tcPr>
            <w:tcW w:w="3685" w:type="dxa"/>
            <w:gridSpan w:val="4"/>
          </w:tcPr>
          <w:p>
            <w:pPr>
              <w:pStyle w:val="yTableNAm"/>
            </w:pPr>
          </w:p>
        </w:tc>
      </w:tr>
      <w:tr>
        <w:trPr>
          <w:cantSplit/>
        </w:trPr>
        <w:tc>
          <w:tcPr>
            <w:tcW w:w="1559" w:type="dxa"/>
            <w:vMerge w:val="restart"/>
            <w:tcBorders>
              <w:top w:val="single" w:sz="4" w:space="0" w:color="auto"/>
            </w:tcBorders>
          </w:tcPr>
          <w:p>
            <w:pPr>
              <w:pStyle w:val="yTableNAm"/>
            </w:pPr>
            <w:r>
              <w:rPr>
                <w:b/>
              </w:rPr>
              <w:t>Approved Officer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4272"/>
        </w:trPr>
        <w:tc>
          <w:tcPr>
            <w:tcW w:w="1559" w:type="dxa"/>
          </w:tcPr>
          <w:p>
            <w:pPr>
              <w:pStyle w:val="yTableNAm"/>
            </w:pPr>
            <w:r>
              <w:rPr>
                <w:b/>
              </w:rPr>
              <w:t>Withdrawal of infringement notice</w:t>
            </w:r>
          </w:p>
          <w:p>
            <w:pPr>
              <w:pStyle w:val="yTableNAm"/>
              <w:rPr>
                <w:sz w:val="20"/>
              </w:rPr>
            </w:pPr>
            <w:r>
              <w:rPr>
                <w:i/>
                <w:sz w:val="20"/>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Services (Registration) Act 2011</w:t>
            </w:r>
          </w:p>
          <w:p>
            <w:pPr>
              <w:pStyle w:val="yTableNAm"/>
              <w:spacing w:before="0"/>
              <w:ind w:left="567" w:hanging="567"/>
              <w:rPr>
                <w:i/>
                <w:sz w:val="24"/>
                <w:szCs w:val="24"/>
              </w:rPr>
            </w:pPr>
            <w:r>
              <w:tab/>
            </w:r>
            <w:r>
              <w:rPr>
                <w:i/>
                <w:sz w:val="24"/>
                <w:szCs w:val="24"/>
              </w:rPr>
              <w:t>[Address]</w:t>
            </w:r>
          </w:p>
        </w:tc>
      </w:tr>
      <w:tr>
        <w:trPr>
          <w:cantSplit/>
          <w:trHeight w:val="604"/>
        </w:trPr>
        <w:tc>
          <w:tcPr>
            <w:tcW w:w="1559" w:type="dxa"/>
          </w:tcPr>
          <w:p>
            <w:pPr>
              <w:pStyle w:val="yTableNAm"/>
            </w:pPr>
            <w:r>
              <w:rPr>
                <w:b/>
              </w:rPr>
              <w:t>Your signature</w:t>
            </w:r>
          </w:p>
        </w:tc>
        <w:tc>
          <w:tcPr>
            <w:tcW w:w="2410" w:type="dxa"/>
            <w:gridSpan w:val="2"/>
          </w:tcPr>
          <w:p>
            <w:pPr>
              <w:pStyle w:val="zyTableNAm"/>
            </w:pPr>
          </w:p>
        </w:tc>
        <w:tc>
          <w:tcPr>
            <w:tcW w:w="1134" w:type="dxa"/>
            <w:gridSpan w:val="2"/>
          </w:tcPr>
          <w:p>
            <w:pPr>
              <w:pStyle w:val="yTableNAm"/>
            </w:pPr>
            <w:r>
              <w:rPr>
                <w:b/>
              </w:rPr>
              <w:t>Date</w:t>
            </w:r>
          </w:p>
        </w:tc>
        <w:tc>
          <w:tcPr>
            <w:tcW w:w="1701" w:type="dxa"/>
          </w:tcPr>
          <w:p>
            <w:pPr>
              <w:pStyle w:val="yTableNAm"/>
            </w:pPr>
          </w:p>
        </w:tc>
      </w:tr>
    </w:tbl>
    <w:p>
      <w:pPr>
        <w:pStyle w:val="yFootnotesection"/>
      </w:pPr>
      <w:r>
        <w:tab/>
        <w:t>[Form 2 inserted: Gazette 26 Apr 2019 p. 1221-2 amended: SL 2020/163 r. 10.]</w:t>
      </w:r>
    </w:p>
    <w:p>
      <w:pPr>
        <w:pStyle w:val="CentredBaseLine"/>
        <w:spacing w:before="60"/>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pacing w:before="60"/>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nHeading2"/>
      </w:pPr>
      <w:bookmarkStart w:id="160" w:name="_Toc84335950"/>
      <w:bookmarkStart w:id="161" w:name="_Toc84336770"/>
      <w:bookmarkStart w:id="162" w:name="_Toc84344011"/>
      <w:r>
        <w:lastRenderedPageBreak/>
        <w:t>Notes</w:t>
      </w:r>
      <w:bookmarkEnd w:id="160"/>
      <w:bookmarkEnd w:id="161"/>
      <w:bookmarkEnd w:id="162"/>
    </w:p>
    <w:p>
      <w:pPr>
        <w:pStyle w:val="nStatement"/>
      </w:pPr>
      <w:r>
        <w:t xml:space="preserve">This is a compilation of the </w:t>
      </w:r>
      <w:r>
        <w:rPr>
          <w:i/>
          <w:noProof/>
        </w:rPr>
        <w:t>Building Services (Registration) Regulations 2011</w:t>
      </w:r>
      <w:r>
        <w:t xml:space="preserve"> and includes amendments made by other written laws. For provisions that have come into operation, and for information about any reprints, see the compilation table. </w:t>
      </w:r>
    </w:p>
    <w:p>
      <w:pPr>
        <w:pStyle w:val="nHeading3"/>
      </w:pPr>
      <w:bookmarkStart w:id="163" w:name="_Toc84344012"/>
      <w:r>
        <w:t>Compilation table</w:t>
      </w:r>
      <w:bookmarkEnd w:id="163"/>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snapToGrid w:val="0"/>
              </w:rPr>
              <w:t>Building Services (Registration) Regulations 2011</w:t>
            </w:r>
          </w:p>
        </w:tc>
        <w:tc>
          <w:tcPr>
            <w:tcW w:w="1276" w:type="dxa"/>
            <w:tcBorders>
              <w:top w:val="single" w:sz="8" w:space="0" w:color="auto"/>
              <w:bottom w:val="nil"/>
            </w:tcBorders>
          </w:tcPr>
          <w:p>
            <w:pPr>
              <w:pStyle w:val="nTable"/>
              <w:spacing w:after="40"/>
            </w:pPr>
            <w:r>
              <w:t>26 Aug 2011 p. 3411-52</w:t>
            </w:r>
          </w:p>
        </w:tc>
        <w:tc>
          <w:tcPr>
            <w:tcW w:w="2693" w:type="dxa"/>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6" w:type="dxa"/>
            <w:tcBorders>
              <w:top w:val="nil"/>
              <w:left w:val="nil"/>
              <w:bottom w:val="nil"/>
              <w:right w:val="nil"/>
            </w:tcBorders>
          </w:tcPr>
          <w:p>
            <w:pPr>
              <w:pStyle w:val="nTable"/>
              <w:spacing w:after="40"/>
            </w:pPr>
            <w:r>
              <w:t>31 Jan 2012 p. 591</w:t>
            </w:r>
            <w:r>
              <w:noBreakHyphen/>
              <w:t>601</w:t>
            </w:r>
          </w:p>
        </w:tc>
        <w:tc>
          <w:tcPr>
            <w:tcW w:w="2693" w:type="dxa"/>
            <w:tcBorders>
              <w:top w:val="nil"/>
              <w:left w:val="nil"/>
              <w:bottom w:val="nil"/>
            </w:tcBorders>
          </w:tcPr>
          <w:p>
            <w:pPr>
              <w:pStyle w:val="nTable"/>
              <w:spacing w:after="40"/>
            </w:pPr>
            <w:r>
              <w:t>r. 1 and 2: 31 Jan 2012 (see r. 2(a));</w:t>
            </w:r>
            <w:r>
              <w:br/>
              <w:t>Regulations other than r. 1 and 2: 1 Feb 2012 (see r. 2(b))</w:t>
            </w:r>
          </w:p>
        </w:tc>
      </w:tr>
      <w:tr>
        <w:tc>
          <w:tcPr>
            <w:tcW w:w="3119"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6" w:type="dxa"/>
            <w:tcBorders>
              <w:top w:val="nil"/>
              <w:left w:val="nil"/>
              <w:bottom w:val="nil"/>
              <w:right w:val="nil"/>
            </w:tcBorders>
          </w:tcPr>
          <w:p>
            <w:pPr>
              <w:pStyle w:val="nTable"/>
              <w:spacing w:after="40"/>
            </w:pPr>
            <w:r>
              <w:t>12 Mar 2012 p. 989-1011</w:t>
            </w:r>
          </w:p>
        </w:tc>
        <w:tc>
          <w:tcPr>
            <w:tcW w:w="2693" w:type="dxa"/>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76" w:type="dxa"/>
            <w:tcBorders>
              <w:top w:val="nil"/>
              <w:left w:val="nil"/>
              <w:bottom w:val="nil"/>
              <w:right w:val="nil"/>
            </w:tcBorders>
          </w:tcPr>
          <w:p>
            <w:pPr>
              <w:pStyle w:val="nTable"/>
              <w:spacing w:after="40"/>
            </w:pPr>
            <w:r>
              <w:t>15 Jun 2012 p. 2617-20</w:t>
            </w:r>
          </w:p>
        </w:tc>
        <w:tc>
          <w:tcPr>
            <w:tcW w:w="2693" w:type="dxa"/>
            <w:tcBorders>
              <w:top w:val="nil"/>
              <w:left w:val="nil"/>
              <w:bottom w:val="nil"/>
            </w:tcBorders>
          </w:tcPr>
          <w:p>
            <w:pPr>
              <w:pStyle w:val="nTable"/>
              <w:spacing w:after="40"/>
            </w:pPr>
            <w:r>
              <w:t>r. 1 and 2: 15 Jun 2012 (see r. 2(a));</w:t>
            </w:r>
            <w:r>
              <w:br/>
              <w:t>Regulations other than r. 1 and 2: 1 Jul 2012 (see r. 2(b))</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76" w:type="dxa"/>
            <w:tcBorders>
              <w:top w:val="nil"/>
              <w:left w:val="nil"/>
              <w:bottom w:val="nil"/>
              <w:right w:val="nil"/>
            </w:tcBorders>
          </w:tcPr>
          <w:p>
            <w:pPr>
              <w:pStyle w:val="nTable"/>
              <w:spacing w:after="40"/>
            </w:pPr>
            <w:r>
              <w:t>6 Nov 2012 p. 5293-4</w:t>
            </w:r>
          </w:p>
        </w:tc>
        <w:tc>
          <w:tcPr>
            <w:tcW w:w="2693" w:type="dxa"/>
            <w:tcBorders>
              <w:top w:val="nil"/>
              <w:left w:val="nil"/>
              <w:bottom w:val="nil"/>
            </w:tcBorders>
          </w:tcPr>
          <w:p>
            <w:pPr>
              <w:pStyle w:val="nTable"/>
              <w:spacing w:after="40"/>
            </w:pPr>
            <w:r>
              <w:t>r. 1 and 2: 6 Nov 2012 (see r. 2(a));</w:t>
            </w:r>
            <w:r>
              <w:br/>
              <w:t>Regulations other than r. 1 and 2: 7 Nov 2012 (see r. 2(b))</w:t>
            </w:r>
          </w:p>
        </w:tc>
      </w:tr>
      <w:tr>
        <w:tc>
          <w:tcPr>
            <w:tcW w:w="3119" w:type="dxa"/>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p>
        </w:tc>
        <w:tc>
          <w:tcPr>
            <w:tcW w:w="1276" w:type="dxa"/>
            <w:tcBorders>
              <w:top w:val="nil"/>
              <w:left w:val="nil"/>
              <w:bottom w:val="nil"/>
              <w:right w:val="nil"/>
            </w:tcBorders>
          </w:tcPr>
          <w:p>
            <w:pPr>
              <w:pStyle w:val="nTable"/>
              <w:spacing w:after="40"/>
            </w:pPr>
            <w:r>
              <w:t>18 Dec 2012 p. 6585-9</w:t>
            </w:r>
          </w:p>
        </w:tc>
        <w:tc>
          <w:tcPr>
            <w:tcW w:w="2693" w:type="dxa"/>
            <w:tcBorders>
              <w:top w:val="nil"/>
              <w:left w:val="nil"/>
              <w:bottom w:val="nil"/>
            </w:tcBorders>
          </w:tcPr>
          <w:p>
            <w:pPr>
              <w:pStyle w:val="nTable"/>
              <w:spacing w:after="40"/>
            </w:pPr>
            <w:r>
              <w:t>r. 1 and 2: 18 Dec 2012 (see r. 2(a));</w:t>
            </w:r>
            <w:r>
              <w:br/>
              <w:t>Regulations other than r. 1 and 2: 19 Dec 2012 (see r. 2(b))</w:t>
            </w:r>
          </w:p>
        </w:tc>
      </w:tr>
      <w:tr>
        <w:tc>
          <w:tcPr>
            <w:tcW w:w="3119" w:type="dxa"/>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76" w:type="dxa"/>
            <w:tcBorders>
              <w:top w:val="nil"/>
              <w:left w:val="nil"/>
              <w:bottom w:val="nil"/>
              <w:right w:val="nil"/>
            </w:tcBorders>
            <w:shd w:val="clear" w:color="auto" w:fill="auto"/>
          </w:tcPr>
          <w:p>
            <w:pPr>
              <w:pStyle w:val="nTable"/>
              <w:spacing w:after="40"/>
            </w:pPr>
            <w:r>
              <w:t>22 Jan 2013 p. 211</w:t>
            </w:r>
          </w:p>
        </w:tc>
        <w:tc>
          <w:tcPr>
            <w:tcW w:w="2693" w:type="dxa"/>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c>
          <w:tcPr>
            <w:tcW w:w="7088" w:type="dxa"/>
            <w:gridSpan w:val="3"/>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c>
          <w:tcPr>
            <w:tcW w:w="3119" w:type="dxa"/>
            <w:tcBorders>
              <w:top w:val="nil"/>
              <w:bottom w:val="nil"/>
              <w:right w:val="nil"/>
            </w:tcBorders>
            <w:shd w:val="clear" w:color="auto" w:fill="auto"/>
          </w:tcPr>
          <w:p>
            <w:pPr>
              <w:pStyle w:val="nTable"/>
              <w:keepNext/>
              <w:spacing w:after="40"/>
              <w:rPr>
                <w:i/>
                <w:snapToGrid w:val="0"/>
              </w:rPr>
            </w:pPr>
            <w:r>
              <w:rPr>
                <w:i/>
                <w:snapToGrid w:val="0"/>
              </w:rPr>
              <w:lastRenderedPageBreak/>
              <w:t>Building Services (Registration) Amendment Regulations (No. 3) 2013</w:t>
            </w:r>
          </w:p>
        </w:tc>
        <w:tc>
          <w:tcPr>
            <w:tcW w:w="1276" w:type="dxa"/>
            <w:tcBorders>
              <w:top w:val="nil"/>
              <w:left w:val="nil"/>
              <w:bottom w:val="nil"/>
              <w:right w:val="nil"/>
            </w:tcBorders>
            <w:shd w:val="clear" w:color="auto" w:fill="auto"/>
          </w:tcPr>
          <w:p>
            <w:pPr>
              <w:pStyle w:val="nTable"/>
              <w:keepNext/>
              <w:spacing w:after="40"/>
            </w:pPr>
            <w:r>
              <w:t>27 Jun 2013 p. 2665-9</w:t>
            </w:r>
          </w:p>
        </w:tc>
        <w:tc>
          <w:tcPr>
            <w:tcW w:w="2693" w:type="dxa"/>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c>
          <w:tcPr>
            <w:tcW w:w="3119"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76" w:type="dxa"/>
            <w:tcBorders>
              <w:top w:val="nil"/>
              <w:left w:val="nil"/>
              <w:bottom w:val="nil"/>
              <w:right w:val="nil"/>
            </w:tcBorders>
            <w:shd w:val="clear" w:color="auto" w:fill="auto"/>
          </w:tcPr>
          <w:p>
            <w:pPr>
              <w:pStyle w:val="nTable"/>
              <w:spacing w:after="40"/>
            </w:pPr>
            <w:r>
              <w:t>14 Nov 2013 p. 5029</w:t>
            </w:r>
          </w:p>
        </w:tc>
        <w:tc>
          <w:tcPr>
            <w:tcW w:w="2693" w:type="dxa"/>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76" w:type="dxa"/>
            <w:tcBorders>
              <w:top w:val="nil"/>
              <w:left w:val="nil"/>
              <w:bottom w:val="nil"/>
              <w:right w:val="nil"/>
            </w:tcBorders>
            <w:shd w:val="clear" w:color="auto" w:fill="auto"/>
          </w:tcPr>
          <w:p>
            <w:pPr>
              <w:pStyle w:val="nTable"/>
              <w:spacing w:after="40"/>
            </w:pPr>
            <w:r>
              <w:t>31 Dec 2013 p. 6535</w:t>
            </w:r>
            <w:r>
              <w:noBreakHyphen/>
              <w:t>9</w:t>
            </w:r>
          </w:p>
        </w:tc>
        <w:tc>
          <w:tcPr>
            <w:tcW w:w="2693" w:type="dxa"/>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76" w:type="dxa"/>
            <w:tcBorders>
              <w:top w:val="nil"/>
              <w:left w:val="nil"/>
              <w:bottom w:val="nil"/>
              <w:right w:val="nil"/>
            </w:tcBorders>
            <w:shd w:val="clear" w:color="auto" w:fill="auto"/>
          </w:tcPr>
          <w:p>
            <w:pPr>
              <w:pStyle w:val="nTable"/>
              <w:spacing w:after="40"/>
            </w:pPr>
            <w:r>
              <w:t>17 Jun 2014 p. 1959</w:t>
            </w:r>
            <w:r>
              <w:noBreakHyphen/>
              <w:t>61</w:t>
            </w:r>
          </w:p>
        </w:tc>
        <w:tc>
          <w:tcPr>
            <w:tcW w:w="2693" w:type="dxa"/>
            <w:tcBorders>
              <w:top w:val="nil"/>
              <w:left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76" w:type="dxa"/>
            <w:tcBorders>
              <w:top w:val="nil"/>
              <w:left w:val="nil"/>
              <w:bottom w:val="nil"/>
              <w:right w:val="nil"/>
            </w:tcBorders>
            <w:shd w:val="clear" w:color="auto" w:fill="auto"/>
          </w:tcPr>
          <w:p>
            <w:pPr>
              <w:pStyle w:val="nTable"/>
              <w:spacing w:after="40"/>
            </w:pPr>
            <w:r>
              <w:t>19 Dec 2014 p. 4841</w:t>
            </w:r>
            <w:r>
              <w:noBreakHyphen/>
              <w:t>2</w:t>
            </w:r>
          </w:p>
        </w:tc>
        <w:tc>
          <w:tcPr>
            <w:tcW w:w="2693" w:type="dxa"/>
            <w:tcBorders>
              <w:top w:val="nil"/>
              <w:left w:val="nil"/>
              <w:bottom w:val="nil"/>
            </w:tcBorders>
            <w:shd w:val="clear" w:color="auto" w:fill="auto"/>
          </w:tcPr>
          <w:p>
            <w:pPr>
              <w:pStyle w:val="nTable"/>
              <w:spacing w:after="40"/>
              <w:rPr>
                <w:bCs/>
                <w:snapToGrid w:val="0"/>
              </w:rPr>
            </w:pPr>
            <w:r>
              <w:rPr>
                <w:bCs/>
                <w:snapToGrid w:val="0"/>
              </w:rPr>
              <w:t>r. 1 and 2: 19 Dec 2014 (see r. 2(a));</w:t>
            </w:r>
            <w:r>
              <w:rPr>
                <w:bCs/>
                <w:snapToGrid w:val="0"/>
              </w:rPr>
              <w:br/>
              <w:t>Regulations other than r. 1 and 2: 20 Dec 2014 (see r. 2(b))</w:t>
            </w:r>
          </w:p>
        </w:tc>
      </w:tr>
      <w:t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Building Services (Registration) Regulations 2011</w:t>
            </w:r>
            <w:r>
              <w:rPr>
                <w:b/>
                <w:bCs/>
                <w:snapToGrid w:val="0"/>
              </w:rPr>
              <w:t xml:space="preserve"> as at 8 May 2015</w:t>
            </w:r>
            <w:r>
              <w:rPr>
                <w:bCs/>
                <w:snapToGrid w:val="0"/>
              </w:rPr>
              <w:t xml:space="preserve"> (includes amendments listed above)</w:t>
            </w:r>
          </w:p>
        </w:tc>
      </w:tr>
      <w:tr>
        <w:tc>
          <w:tcPr>
            <w:tcW w:w="3119" w:type="dxa"/>
            <w:tcBorders>
              <w:top w:val="nil"/>
              <w:bottom w:val="nil"/>
            </w:tcBorders>
            <w:shd w:val="clear" w:color="auto" w:fill="auto"/>
          </w:tcPr>
          <w:p>
            <w:pPr>
              <w:pStyle w:val="nTable"/>
              <w:spacing w:after="40"/>
              <w:rPr>
                <w:b/>
                <w:bCs/>
                <w:snapToGrid w:val="0"/>
              </w:rPr>
            </w:pPr>
            <w:r>
              <w:rPr>
                <w:i/>
              </w:rPr>
              <w:t>Building Services (Registration) Amendment Regulations 2015</w:t>
            </w:r>
          </w:p>
        </w:tc>
        <w:tc>
          <w:tcPr>
            <w:tcW w:w="1276" w:type="dxa"/>
            <w:tcBorders>
              <w:top w:val="nil"/>
              <w:bottom w:val="nil"/>
            </w:tcBorders>
            <w:shd w:val="clear" w:color="auto" w:fill="auto"/>
          </w:tcPr>
          <w:p>
            <w:pPr>
              <w:pStyle w:val="nTable"/>
              <w:spacing w:after="40"/>
              <w:rPr>
                <w:b/>
                <w:bCs/>
                <w:snapToGrid w:val="0"/>
              </w:rPr>
            </w:pPr>
            <w:r>
              <w:t>23 Jun 2015 p. 2165</w:t>
            </w:r>
            <w:r>
              <w:noBreakHyphen/>
              <w:t>7</w:t>
            </w:r>
          </w:p>
        </w:tc>
        <w:tc>
          <w:tcPr>
            <w:tcW w:w="2693" w:type="dxa"/>
            <w:tcBorders>
              <w:top w:val="nil"/>
              <w:bottom w:val="nil"/>
            </w:tcBorders>
            <w:shd w:val="clear" w:color="auto" w:fill="auto"/>
          </w:tcPr>
          <w:p>
            <w:pPr>
              <w:pStyle w:val="nTable"/>
              <w:spacing w:after="40"/>
              <w:rPr>
                <w:b/>
                <w:bCs/>
                <w:snapToGrid w:val="0"/>
              </w:rPr>
            </w:pPr>
            <w:r>
              <w:rPr>
                <w:bCs/>
                <w:snapToGrid w:val="0"/>
              </w:rPr>
              <w:t xml:space="preserve">r. 1 and 2: </w:t>
            </w:r>
            <w:r>
              <w:t>23 Jun 2015</w:t>
            </w:r>
            <w:r>
              <w:rPr>
                <w:bCs/>
                <w:snapToGrid w:val="0"/>
              </w:rPr>
              <w:t xml:space="preserve"> (see r. 2(a));</w:t>
            </w:r>
            <w:r>
              <w:rPr>
                <w:bCs/>
                <w:snapToGrid w:val="0"/>
              </w:rPr>
              <w:br/>
              <w:t>Regulations other than r. 1 and 2: 1 Jul 2015 (see r. 2(b))</w:t>
            </w:r>
          </w:p>
        </w:tc>
      </w:tr>
      <w:tr>
        <w:tc>
          <w:tcPr>
            <w:tcW w:w="3119" w:type="dxa"/>
            <w:tcBorders>
              <w:top w:val="nil"/>
              <w:bottom w:val="nil"/>
            </w:tcBorders>
          </w:tcPr>
          <w:p>
            <w:pPr>
              <w:pStyle w:val="nTable"/>
              <w:spacing w:after="40"/>
            </w:pPr>
            <w:r>
              <w:rPr>
                <w:i/>
              </w:rPr>
              <w:t>Commerce Regulations Amendment (Fees and Charges) Regulations 2016</w:t>
            </w:r>
            <w:r>
              <w:t xml:space="preserve"> Pt. 4</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9" w:type="dxa"/>
            <w:tcBorders>
              <w:top w:val="nil"/>
              <w:bottom w:val="nil"/>
            </w:tcBorders>
          </w:tcPr>
          <w:p>
            <w:pPr>
              <w:pStyle w:val="nTable"/>
              <w:spacing w:after="40"/>
              <w:rPr>
                <w:i/>
              </w:rPr>
            </w:pPr>
            <w:r>
              <w:rPr>
                <w:i/>
              </w:rPr>
              <w:t>Building Services (Registration) Amendment Regulations 2017</w:t>
            </w:r>
          </w:p>
        </w:tc>
        <w:tc>
          <w:tcPr>
            <w:tcW w:w="1276" w:type="dxa"/>
            <w:tcBorders>
              <w:top w:val="nil"/>
              <w:bottom w:val="nil"/>
            </w:tcBorders>
          </w:tcPr>
          <w:p>
            <w:pPr>
              <w:pStyle w:val="nTable"/>
              <w:spacing w:after="40"/>
            </w:pPr>
            <w:r>
              <w:t>31 Mar 2017 p. 1941-2</w:t>
            </w:r>
          </w:p>
        </w:tc>
        <w:tc>
          <w:tcPr>
            <w:tcW w:w="2693" w:type="dxa"/>
            <w:tcBorders>
              <w:top w:val="nil"/>
              <w:bottom w:val="nil"/>
            </w:tcBorders>
          </w:tcPr>
          <w:p>
            <w:pPr>
              <w:pStyle w:val="nTable"/>
              <w:spacing w:after="40"/>
            </w:pPr>
            <w:r>
              <w:rPr>
                <w:bCs/>
                <w:snapToGrid w:val="0"/>
                <w:spacing w:val="-2"/>
              </w:rPr>
              <w:t xml:space="preserve">r. 1 and 2: </w:t>
            </w:r>
            <w:r>
              <w:t>31 Mar 2017</w:t>
            </w:r>
            <w:r>
              <w:rPr>
                <w:bCs/>
                <w:snapToGrid w:val="0"/>
                <w:spacing w:val="-2"/>
              </w:rPr>
              <w:t xml:space="preserve"> (see r. 2(a));</w:t>
            </w:r>
            <w:r>
              <w:rPr>
                <w:bCs/>
                <w:snapToGrid w:val="0"/>
                <w:spacing w:val="-2"/>
              </w:rPr>
              <w:br/>
              <w:t xml:space="preserve">Regulations other than r. 1 and 2: </w:t>
            </w:r>
            <w:r>
              <w:t>1 Apr 2017</w:t>
            </w:r>
            <w:r>
              <w:rPr>
                <w:bCs/>
                <w:snapToGrid w:val="0"/>
                <w:spacing w:val="-2"/>
              </w:rPr>
              <w:t xml:space="preserve"> (see r. 2(b))</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6</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pPr>
            <w:r>
              <w:rPr>
                <w:i/>
              </w:rPr>
              <w:t>Building Regulations Amendment Regulations 2017</w:t>
            </w:r>
            <w:r>
              <w:t xml:space="preserve"> Pt. 3</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rPr>
                <w:bCs/>
                <w:snapToGrid w:val="0"/>
                <w:spacing w:val="-2"/>
              </w:rPr>
              <w:t>9 </w:t>
            </w:r>
            <w:r>
              <w:t>Aug 2017</w:t>
            </w:r>
            <w:r>
              <w:rPr>
                <w:bCs/>
                <w:snapToGrid w:val="0"/>
                <w:spacing w:val="-2"/>
              </w:rPr>
              <w:t xml:space="preserve"> (see r. 2(b))</w:t>
            </w:r>
          </w:p>
        </w:tc>
      </w:tr>
      <w:tr>
        <w:tc>
          <w:tcPr>
            <w:tcW w:w="3119" w:type="dxa"/>
            <w:tcBorders>
              <w:top w:val="nil"/>
              <w:bottom w:val="nil"/>
            </w:tcBorders>
          </w:tcPr>
          <w:p>
            <w:pPr>
              <w:pStyle w:val="nTable"/>
              <w:keepNext/>
              <w:spacing w:after="40"/>
              <w:rPr>
                <w:i/>
              </w:rPr>
            </w:pPr>
            <w:r>
              <w:rPr>
                <w:i/>
              </w:rPr>
              <w:lastRenderedPageBreak/>
              <w:t>Building Services (Registration) Amendment Regulations (No. 2) 2017</w:t>
            </w:r>
            <w:r>
              <w:t xml:space="preserve"> </w:t>
            </w:r>
          </w:p>
        </w:tc>
        <w:tc>
          <w:tcPr>
            <w:tcW w:w="1276" w:type="dxa"/>
            <w:tcBorders>
              <w:top w:val="nil"/>
              <w:bottom w:val="nil"/>
            </w:tcBorders>
          </w:tcPr>
          <w:p>
            <w:pPr>
              <w:pStyle w:val="nTable"/>
              <w:keepNext/>
              <w:spacing w:after="40"/>
            </w:pPr>
            <w:r>
              <w:t>5 Jan 2018 p. 4</w:t>
            </w:r>
            <w:r>
              <w:noBreakHyphen/>
              <w:t>8</w:t>
            </w:r>
          </w:p>
        </w:tc>
        <w:tc>
          <w:tcPr>
            <w:tcW w:w="2693" w:type="dxa"/>
            <w:tcBorders>
              <w:top w:val="nil"/>
              <w:bottom w:val="nil"/>
            </w:tcBorders>
          </w:tcPr>
          <w:p>
            <w:pPr>
              <w:pStyle w:val="nTable"/>
              <w:keepNext/>
              <w:spacing w:after="40"/>
              <w:rPr>
                <w:bCs/>
                <w:snapToGrid w:val="0"/>
                <w:spacing w:val="-2"/>
              </w:rPr>
            </w:pPr>
            <w:r>
              <w:rPr>
                <w:bCs/>
                <w:snapToGrid w:val="0"/>
                <w:spacing w:val="-2"/>
              </w:rPr>
              <w:t>r. 1 and 2: 5 Jan 2018 (see r. 2(a));</w:t>
            </w:r>
            <w:r>
              <w:rPr>
                <w:bCs/>
                <w:snapToGrid w:val="0"/>
                <w:spacing w:val="-2"/>
              </w:rPr>
              <w:br/>
              <w:t>Regulations other than r. 1 and 2: 1 Sep 2018 (see r. 2(b))</w:t>
            </w:r>
          </w:p>
        </w:tc>
      </w:tr>
      <w:tr>
        <w:tc>
          <w:tcPr>
            <w:tcW w:w="3119" w:type="dxa"/>
            <w:tcBorders>
              <w:top w:val="nil"/>
              <w:bottom w:val="nil"/>
            </w:tcBorders>
          </w:tcPr>
          <w:p>
            <w:pPr>
              <w:pStyle w:val="nTable"/>
              <w:keepNext/>
              <w:spacing w:after="40"/>
              <w:rPr>
                <w:noProof/>
              </w:rPr>
            </w:pPr>
            <w:r>
              <w:rPr>
                <w:i/>
              </w:rPr>
              <w:t>Commerce and Industrial Relations Regulations Amendment (Fees and Charges) Regulations 2018</w:t>
            </w:r>
            <w:r>
              <w:t xml:space="preserve"> Pt. 5</w:t>
            </w:r>
          </w:p>
        </w:tc>
        <w:tc>
          <w:tcPr>
            <w:tcW w:w="1276" w:type="dxa"/>
            <w:tcBorders>
              <w:top w:val="nil"/>
              <w:bottom w:val="nil"/>
            </w:tcBorders>
          </w:tcPr>
          <w:p>
            <w:pPr>
              <w:pStyle w:val="nTable"/>
              <w:keepNext/>
              <w:spacing w:after="40"/>
            </w:pPr>
            <w:r>
              <w:t>25 Jun 2018 p. 2325</w:t>
            </w:r>
            <w:r>
              <w:noBreakHyphen/>
              <w:t>53</w:t>
            </w:r>
          </w:p>
        </w:tc>
        <w:tc>
          <w:tcPr>
            <w:tcW w:w="2693" w:type="dxa"/>
            <w:tcBorders>
              <w:top w:val="nil"/>
              <w:bottom w:val="nil"/>
            </w:tcBorders>
          </w:tcPr>
          <w:p>
            <w:pPr>
              <w:pStyle w:val="nTable"/>
              <w:keepNext/>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Building Services (Registration) Amendment Regulations 2018</w:t>
            </w:r>
          </w:p>
        </w:tc>
        <w:tc>
          <w:tcPr>
            <w:tcW w:w="1276" w:type="dxa"/>
            <w:tcBorders>
              <w:top w:val="nil"/>
              <w:bottom w:val="nil"/>
            </w:tcBorders>
          </w:tcPr>
          <w:p>
            <w:pPr>
              <w:pStyle w:val="nTable"/>
              <w:keepNext/>
              <w:spacing w:after="40"/>
            </w:pPr>
            <w:r>
              <w:t>21 Sep 2018 p. 3534</w:t>
            </w:r>
            <w:r>
              <w:noBreakHyphen/>
              <w:t>7</w:t>
            </w:r>
          </w:p>
        </w:tc>
        <w:tc>
          <w:tcPr>
            <w:tcW w:w="2693" w:type="dxa"/>
            <w:tcBorders>
              <w:top w:val="nil"/>
              <w:bottom w:val="nil"/>
            </w:tcBorders>
          </w:tcPr>
          <w:p>
            <w:pPr>
              <w:pStyle w:val="nTable"/>
              <w:keepNext/>
              <w:spacing w:after="40"/>
              <w:rPr>
                <w:bCs/>
                <w:snapToGrid w:val="0"/>
                <w:spacing w:val="-2"/>
              </w:rPr>
            </w:pPr>
            <w:r>
              <w:rPr>
                <w:bCs/>
                <w:snapToGrid w:val="0"/>
                <w:spacing w:val="-2"/>
              </w:rPr>
              <w:t>r. 1 and 2: 21 Sep 2018 (see r. 2(a));</w:t>
            </w:r>
            <w:r>
              <w:rPr>
                <w:bCs/>
                <w:snapToGrid w:val="0"/>
                <w:spacing w:val="-2"/>
              </w:rPr>
              <w:br/>
              <w:t>Regulations other than r. 1 and 2: 22 Sep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 xml:space="preserve">Commerce Regulations Amendment (Infringement Notices) Regulations 2019 </w:t>
            </w:r>
            <w:r>
              <w:t>Pt. 4</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(Fees and Charges) Regulations 2019</w:t>
            </w:r>
            <w:r>
              <w:t xml:space="preserve"> Pt. 6</w:t>
            </w:r>
          </w:p>
        </w:tc>
        <w:tc>
          <w:tcPr>
            <w:tcW w:w="1276" w:type="dxa"/>
            <w:tcBorders>
              <w:top w:val="nil"/>
              <w:left w:val="nil"/>
              <w:bottom w:val="nil"/>
              <w:right w:val="nil"/>
            </w:tcBorders>
          </w:tcPr>
          <w:p>
            <w:pPr>
              <w:pStyle w:val="nTable"/>
              <w:spacing w:after="40"/>
            </w:pPr>
            <w:r>
              <w:t>18 Jun 2019 p. 2077</w:t>
            </w:r>
            <w:r>
              <w:noBreakHyphen/>
              <w:t>115</w:t>
            </w:r>
          </w:p>
        </w:tc>
        <w:tc>
          <w:tcPr>
            <w:tcW w:w="2693" w:type="dxa"/>
            <w:tcBorders>
              <w:top w:val="nil"/>
              <w:left w:val="nil"/>
              <w:bottom w:val="nil"/>
            </w:tcBorders>
          </w:tcPr>
          <w:p>
            <w:pPr>
              <w:pStyle w:val="nTable"/>
              <w:spacing w:after="40"/>
              <w:rPr>
                <w:bCs/>
                <w:snapToGrid w:val="0"/>
                <w:spacing w:val="-2"/>
              </w:rPr>
            </w:pPr>
            <w:r>
              <w:rPr>
                <w:bCs/>
                <w:snapToGrid w:val="0"/>
                <w:spacing w:val="-2"/>
              </w:rPr>
              <w:t>1 Jul 2019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(Infringement Notices) Regulations 2020</w:t>
            </w:r>
            <w:r>
              <w:t xml:space="preserve"> Pt. 5</w:t>
            </w:r>
          </w:p>
        </w:tc>
        <w:tc>
          <w:tcPr>
            <w:tcW w:w="1276" w:type="dxa"/>
            <w:tcBorders>
              <w:top w:val="nil"/>
              <w:left w:val="nil"/>
              <w:bottom w:val="nil"/>
              <w:right w:val="nil"/>
            </w:tcBorders>
          </w:tcPr>
          <w:p>
            <w:pPr>
              <w:pStyle w:val="nTable"/>
              <w:spacing w:after="40"/>
            </w:pPr>
            <w:r>
              <w:t>SL 2020/163 25 Sep 2020</w:t>
            </w:r>
          </w:p>
        </w:tc>
        <w:tc>
          <w:tcPr>
            <w:tcW w:w="2693" w:type="dxa"/>
            <w:tcBorders>
              <w:top w:val="nil"/>
              <w:left w:val="nil"/>
              <w:bottom w:val="nil"/>
            </w:tcBorders>
          </w:tcPr>
          <w:p>
            <w:pPr>
              <w:pStyle w:val="nTable"/>
              <w:spacing w:after="40"/>
              <w:rPr>
                <w:bCs/>
                <w:snapToGrid w:val="0"/>
                <w:spacing w:val="-2"/>
              </w:rPr>
            </w:pPr>
            <w:r>
              <w:t>29 Sep 2020 (see r. 2(b) and SL 2020/159 cl. 2(a))</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(COVID-19 Response) Regulations (No. 2) 2020</w:t>
            </w:r>
            <w:r>
              <w:t xml:space="preserve"> Pt. 4</w:t>
            </w:r>
          </w:p>
        </w:tc>
        <w:tc>
          <w:tcPr>
            <w:tcW w:w="1276" w:type="dxa"/>
            <w:tcBorders>
              <w:top w:val="nil"/>
              <w:left w:val="nil"/>
              <w:bottom w:val="nil"/>
              <w:right w:val="nil"/>
            </w:tcBorders>
          </w:tcPr>
          <w:p>
            <w:pPr>
              <w:pStyle w:val="nTable"/>
              <w:spacing w:after="40"/>
            </w:pPr>
            <w:r>
              <w:t>SL 2020/196 27 Oct 2020</w:t>
            </w:r>
          </w:p>
        </w:tc>
        <w:tc>
          <w:tcPr>
            <w:tcW w:w="2693" w:type="dxa"/>
            <w:tcBorders>
              <w:top w:val="nil"/>
              <w:left w:val="nil"/>
              <w:bottom w:val="nil"/>
            </w:tcBorders>
          </w:tcPr>
          <w:p>
            <w:pPr>
              <w:pStyle w:val="nTable"/>
              <w:spacing w:after="40"/>
            </w:pPr>
            <w:r>
              <w:t>28 Oct 2020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(Fees and Charges) Regulations 2021</w:t>
            </w:r>
            <w:r>
              <w:t xml:space="preserve"> Pt. 6</w:t>
            </w:r>
          </w:p>
        </w:tc>
        <w:tc>
          <w:tcPr>
            <w:tcW w:w="1276" w:type="dxa"/>
            <w:tcBorders>
              <w:top w:val="nil"/>
              <w:left w:val="nil"/>
              <w:bottom w:val="nil"/>
              <w:right w:val="nil"/>
            </w:tcBorders>
          </w:tcPr>
          <w:p>
            <w:pPr>
              <w:pStyle w:val="nTable"/>
              <w:spacing w:after="40"/>
            </w:pPr>
            <w:r>
              <w:t>SL 2021/86 21 Jun 2021</w:t>
            </w:r>
          </w:p>
        </w:tc>
        <w:tc>
          <w:tcPr>
            <w:tcW w:w="2693" w:type="dxa"/>
            <w:tcBorders>
              <w:top w:val="nil"/>
              <w:left w:val="nil"/>
              <w:bottom w:val="nil"/>
            </w:tcBorders>
          </w:tcPr>
          <w:p>
            <w:pPr>
              <w:pStyle w:val="nTable"/>
              <w:spacing w:after="40"/>
            </w:pPr>
            <w:r>
              <w:t>1 Jul 2021 (see r. 2(b))</w:t>
            </w:r>
          </w:p>
        </w:tc>
      </w:tr>
      <w:tr>
        <w:tblPrEx>
          <w:tblBorders>
            <w:top w:val="single" w:sz="4" w:space="0" w:color="auto"/>
            <w:insideH w:val="single" w:sz="4" w:space="0" w:color="auto"/>
          </w:tblBorders>
        </w:tblPrEx>
        <w:tc>
          <w:tcPr>
            <w:tcW w:w="3119" w:type="dxa"/>
            <w:tcBorders>
              <w:top w:val="nil"/>
              <w:bottom w:val="single" w:sz="4" w:space="0" w:color="auto"/>
              <w:right w:val="nil"/>
            </w:tcBorders>
          </w:tcPr>
          <w:p>
            <w:pPr>
              <w:pStyle w:val="nTable"/>
              <w:spacing w:after="40"/>
              <w:rPr>
                <w:i/>
              </w:rPr>
            </w:pPr>
            <w:r>
              <w:rPr>
                <w:i/>
              </w:rPr>
              <w:t>Building Services (Registration) Amendment Regulations (No. 2) 2021</w:t>
            </w:r>
          </w:p>
        </w:tc>
        <w:tc>
          <w:tcPr>
            <w:tcW w:w="1276" w:type="dxa"/>
            <w:tcBorders>
              <w:top w:val="nil"/>
              <w:left w:val="nil"/>
              <w:bottom w:val="single" w:sz="4" w:space="0" w:color="auto"/>
              <w:right w:val="nil"/>
            </w:tcBorders>
          </w:tcPr>
          <w:p>
            <w:pPr>
              <w:pStyle w:val="nTable"/>
              <w:spacing w:after="40"/>
            </w:pPr>
            <w:r>
              <w:t>SL 2021/170 8 Oct 2021</w:t>
            </w:r>
          </w:p>
        </w:tc>
        <w:tc>
          <w:tcPr>
            <w:tcW w:w="2693" w:type="dxa"/>
            <w:tcBorders>
              <w:top w:val="nil"/>
              <w:left w:val="nil"/>
              <w:bottom w:val="single" w:sz="4" w:space="0" w:color="auto"/>
            </w:tcBorders>
          </w:tcPr>
          <w:p>
            <w:pPr>
              <w:pStyle w:val="nTable"/>
              <w:spacing w:after="40"/>
            </w:pPr>
            <w:r>
              <w:rPr>
                <w:bCs/>
                <w:snapToGrid w:val="0"/>
                <w:spacing w:val="-2"/>
              </w:rPr>
              <w:t xml:space="preserve">r. 1 and 2: </w:t>
            </w:r>
            <w:r>
              <w:t>8 Oct 2021</w:t>
            </w:r>
            <w:r>
              <w:rPr>
                <w:bCs/>
                <w:snapToGrid w:val="0"/>
                <w:spacing w:val="-2"/>
              </w:rPr>
              <w:t xml:space="preserve"> (see r. 2(a));</w:t>
            </w:r>
            <w:r>
              <w:rPr>
                <w:bCs/>
                <w:snapToGrid w:val="0"/>
                <w:spacing w:val="-2"/>
              </w:rPr>
              <w:br/>
              <w:t xml:space="preserve">Regulations other than r. 1 and 2: </w:t>
            </w:r>
            <w:r>
              <w:t>9 Oct 2021</w:t>
            </w:r>
            <w:r>
              <w:rPr>
                <w:bCs/>
                <w:snapToGrid w:val="0"/>
                <w:spacing w:val="-2"/>
              </w:rPr>
              <w:t xml:space="preserve"> (see r. 2(b))</w:t>
            </w:r>
          </w:p>
        </w:tc>
      </w:tr>
    </w:tbl>
    <w:p>
      <w:pPr>
        <w:pStyle w:val="nHeading3"/>
      </w:pPr>
      <w:bookmarkStart w:id="164" w:name="_Toc84344013"/>
      <w:r>
        <w:t>Other notes</w:t>
      </w:r>
      <w:bookmarkEnd w:id="164"/>
    </w:p>
    <w:p>
      <w:pPr>
        <w:pStyle w:val="nNote"/>
      </w:pPr>
      <w:r>
        <w:rPr>
          <w:vertAlign w:val="superscript"/>
        </w:rPr>
        <w:t>1</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Note"/>
      </w:pPr>
      <w:r>
        <w:rPr>
          <w:vertAlign w:val="superscript"/>
        </w:rPr>
        <w:t>2</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Note"/>
        <w:rPr>
          <w:spacing w:val="-2"/>
        </w:rPr>
      </w:pPr>
      <w:r>
        <w:rPr>
          <w:vertAlign w:val="superscript"/>
        </w:rPr>
        <w:t>3</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Note"/>
      </w:pPr>
      <w:r>
        <w:rPr>
          <w:vertAlign w:val="superscript"/>
        </w:rPr>
        <w:lastRenderedPageBreak/>
        <w:t>4</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166" w:name="_Toc84344014"/>
      <w:r>
        <w:rPr>
          <w:sz w:val="28"/>
        </w:rPr>
        <w:lastRenderedPageBreak/>
        <w:t>Defined terms</w:t>
      </w:r>
      <w:bookmarkEnd w:id="1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2008 regulations</w:t>
      </w:r>
      <w:r>
        <w:tab/>
        <w:t>47</w:t>
      </w:r>
    </w:p>
    <w:p>
      <w:pPr>
        <w:pStyle w:val="DefinedTerms"/>
      </w:pPr>
      <w:r>
        <w:t>approval number</w:t>
      </w:r>
      <w:r>
        <w:tab/>
        <w:t>27(1)</w:t>
      </w:r>
    </w:p>
    <w:p>
      <w:pPr>
        <w:pStyle w:val="DefinedTerms"/>
      </w:pPr>
      <w:r>
        <w:t>builder work</w:t>
      </w:r>
      <w:r>
        <w:tab/>
        <w:t>3, 13(1)</w:t>
      </w:r>
    </w:p>
    <w:p>
      <w:pPr>
        <w:pStyle w:val="DefinedTerms"/>
      </w:pPr>
      <w:r>
        <w:t>Building Code</w:t>
      </w:r>
      <w:r>
        <w:tab/>
        <w:t>22</w:t>
      </w:r>
    </w:p>
    <w:p>
      <w:pPr>
        <w:pStyle w:val="DefinedTerms"/>
      </w:pPr>
      <w:r>
        <w:t>building contractor</w:t>
      </w:r>
      <w:r>
        <w:tab/>
        <w:t>13(1), Sch. 5 cl. 1</w:t>
      </w:r>
    </w:p>
    <w:p>
      <w:pPr>
        <w:pStyle w:val="DefinedTerms"/>
      </w:pPr>
      <w:r>
        <w:t>building surveying contractor</w:t>
      </w:r>
      <w:r>
        <w:tab/>
        <w:t>28A, Sch. 5 cl. 1</w:t>
      </w:r>
    </w:p>
    <w:p>
      <w:pPr>
        <w:pStyle w:val="DefinedTerms"/>
      </w:pPr>
      <w:r>
        <w:t>building surveying practitioner</w:t>
      </w:r>
      <w:r>
        <w:tab/>
        <w:t>Sch. 5 cl. 1</w:t>
      </w:r>
    </w:p>
    <w:p>
      <w:pPr>
        <w:pStyle w:val="DefinedTerms"/>
      </w:pPr>
      <w:r>
        <w:t>building surveying work</w:t>
      </w:r>
      <w:r>
        <w:tab/>
        <w:t>28A, Sch. 5 cl. 1</w:t>
      </w:r>
    </w:p>
    <w:p>
      <w:pPr>
        <w:pStyle w:val="DefinedTerms"/>
      </w:pPr>
      <w:r>
        <w:t>building surveying work level 1</w:t>
      </w:r>
      <w:r>
        <w:tab/>
        <w:t>3, 28A</w:t>
      </w:r>
    </w:p>
    <w:p>
      <w:pPr>
        <w:pStyle w:val="DefinedTerms"/>
      </w:pPr>
      <w:r>
        <w:t>building surveying work level 2</w:t>
      </w:r>
      <w:r>
        <w:tab/>
        <w:t>3, 28A</w:t>
      </w:r>
    </w:p>
    <w:p>
      <w:pPr>
        <w:pStyle w:val="DefinedTerms"/>
      </w:pPr>
      <w:r>
        <w:t>building work</w:t>
      </w:r>
      <w:r>
        <w:tab/>
        <w:t>12</w:t>
      </w:r>
    </w:p>
    <w:p>
      <w:pPr>
        <w:pStyle w:val="DefinedTerms"/>
      </w:pPr>
      <w:r>
        <w:t>certificate of building compliance</w:t>
      </w:r>
      <w:r>
        <w:tab/>
        <w:t>3</w:t>
      </w:r>
    </w:p>
    <w:p>
      <w:pPr>
        <w:pStyle w:val="DefinedTerms"/>
      </w:pPr>
      <w:r>
        <w:t>certificate of construction compliance</w:t>
      </w:r>
      <w:r>
        <w:tab/>
        <w:t>3</w:t>
      </w:r>
    </w:p>
    <w:p>
      <w:pPr>
        <w:pStyle w:val="DefinedTerms"/>
      </w:pPr>
      <w:r>
        <w:t>certificate of design compliance</w:t>
      </w:r>
      <w:r>
        <w:tab/>
        <w:t>3</w:t>
      </w:r>
    </w:p>
    <w:p>
      <w:pPr>
        <w:pStyle w:val="DefinedTerms"/>
      </w:pPr>
      <w:r>
        <w:t>Class 10 building</w:t>
      </w:r>
      <w:r>
        <w:tab/>
        <w:t>22</w:t>
      </w:r>
    </w:p>
    <w:p>
      <w:pPr>
        <w:pStyle w:val="DefinedTerms"/>
      </w:pPr>
      <w:r>
        <w:t>commencement day</w:t>
      </w:r>
      <w:r>
        <w:tab/>
        <w:t>37, 43</w:t>
      </w:r>
    </w:p>
    <w:p>
      <w:pPr>
        <w:pStyle w:val="DefinedTerms"/>
      </w:pPr>
      <w:r>
        <w:t>compliance certificate</w:t>
      </w:r>
      <w:r>
        <w:tab/>
        <w:t>3</w:t>
      </w:r>
    </w:p>
    <w:p>
      <w:pPr>
        <w:pStyle w:val="DefinedTerms"/>
      </w:pPr>
      <w:r>
        <w:t>detached house</w:t>
      </w:r>
      <w:r>
        <w:tab/>
        <w:t>22</w:t>
      </w:r>
    </w:p>
    <w:p>
      <w:pPr>
        <w:pStyle w:val="DefinedTerms"/>
      </w:pPr>
      <w:r>
        <w:t>eligible person</w:t>
      </w:r>
      <w:r>
        <w:tab/>
        <w:t>16(4), 28D(2A) and (3A), 31(4)</w:t>
      </w:r>
    </w:p>
    <w:p>
      <w:pPr>
        <w:pStyle w:val="DefinedTerms"/>
      </w:pPr>
      <w:r>
        <w:t>exempt shed</w:t>
      </w:r>
      <w:r>
        <w:tab/>
        <w:t>13(1)</w:t>
      </w:r>
    </w:p>
    <w:p>
      <w:pPr>
        <w:pStyle w:val="DefinedTerms"/>
      </w:pPr>
      <w:r>
        <w:t>farm building</w:t>
      </w:r>
      <w:r>
        <w:tab/>
        <w:t>12</w:t>
      </w:r>
    </w:p>
    <w:p>
      <w:pPr>
        <w:pStyle w:val="DefinedTerms"/>
      </w:pPr>
      <w:r>
        <w:t>former board</w:t>
      </w:r>
      <w:r>
        <w:tab/>
        <w:t>37, 43</w:t>
      </w:r>
    </w:p>
    <w:p>
      <w:pPr>
        <w:pStyle w:val="DefinedTerms"/>
      </w:pPr>
      <w:r>
        <w:t>former registrar</w:t>
      </w:r>
      <w:r>
        <w:tab/>
        <w:t>37, 43</w:t>
      </w:r>
    </w:p>
    <w:p>
      <w:pPr>
        <w:pStyle w:val="DefinedTerms"/>
      </w:pPr>
      <w:r>
        <w:t>GST</w:t>
      </w:r>
      <w:r>
        <w:tab/>
        <w:t>Sch. 2 cl. 1</w:t>
      </w:r>
    </w:p>
    <w:p>
      <w:pPr>
        <w:pStyle w:val="DefinedTerms"/>
      </w:pPr>
      <w:r>
        <w:t>insolvent</w:t>
      </w:r>
      <w:r>
        <w:tab/>
        <w:t>3</w:t>
      </w:r>
    </w:p>
    <w:p>
      <w:pPr>
        <w:pStyle w:val="DefinedTerms"/>
      </w:pPr>
      <w:r>
        <w:t>owner-builder</w:t>
      </w:r>
      <w:r>
        <w:tab/>
        <w:t>3</w:t>
      </w:r>
    </w:p>
    <w:p>
      <w:pPr>
        <w:pStyle w:val="DefinedTerms"/>
      </w:pPr>
      <w:r>
        <w:t>owner-builder authorisation</w:t>
      </w:r>
      <w:r>
        <w:tab/>
        <w:t>37</w:t>
      </w:r>
    </w:p>
    <w:p>
      <w:pPr>
        <w:pStyle w:val="DefinedTerms"/>
      </w:pPr>
      <w:r>
        <w:t>painter work</w:t>
      </w:r>
      <w:r>
        <w:tab/>
        <w:t>3, 28(1)</w:t>
      </w:r>
    </w:p>
    <w:p>
      <w:pPr>
        <w:pStyle w:val="DefinedTerms"/>
      </w:pPr>
      <w:r>
        <w:t>painting contractor</w:t>
      </w:r>
      <w:r>
        <w:tab/>
        <w:t>28(1), Sch. 5 cl. 1</w:t>
      </w:r>
    </w:p>
    <w:p>
      <w:pPr>
        <w:pStyle w:val="DefinedTerms"/>
      </w:pPr>
      <w:r>
        <w:t>painting work</w:t>
      </w:r>
      <w:r>
        <w:tab/>
        <w:t>28(1)</w:t>
      </w:r>
    </w:p>
    <w:p>
      <w:pPr>
        <w:pStyle w:val="DefinedTerms"/>
      </w:pPr>
      <w:r>
        <w:t>previously registered</w:t>
      </w:r>
      <w:r>
        <w:tab/>
        <w:t>16(4)</w:t>
      </w:r>
    </w:p>
    <w:p>
      <w:pPr>
        <w:pStyle w:val="DefinedTerms"/>
      </w:pPr>
      <w:r>
        <w:t>principal builder</w:t>
      </w:r>
      <w:r>
        <w:tab/>
        <w:t>3</w:t>
      </w:r>
    </w:p>
    <w:p>
      <w:pPr>
        <w:pStyle w:val="DefinedTerms"/>
      </w:pPr>
      <w:r>
        <w:t>relevant components</w:t>
      </w:r>
      <w:r>
        <w:tab/>
        <w:t>Sch. 2 cl. 1</w:t>
      </w:r>
    </w:p>
    <w:p>
      <w:pPr>
        <w:pStyle w:val="DefinedTerms"/>
      </w:pPr>
      <w:r>
        <w:t>repeal day</w:t>
      </w:r>
      <w:r>
        <w:tab/>
        <w:t>47</w:t>
      </w:r>
    </w:p>
    <w:p>
      <w:pPr>
        <w:pStyle w:val="DefinedTerms"/>
      </w:pPr>
      <w:r>
        <w:t>repealed Act</w:t>
      </w:r>
      <w:r>
        <w:tab/>
        <w:t>37, 43</w:t>
      </w:r>
    </w:p>
    <w:p>
      <w:pPr>
        <w:pStyle w:val="DefinedTerms"/>
      </w:pPr>
      <w:r>
        <w:t>section</w:t>
      </w:r>
      <w:r>
        <w:tab/>
        <w:t>3</w:t>
      </w:r>
    </w:p>
    <w:p>
      <w:pPr>
        <w:pStyle w:val="DefinedTerms"/>
      </w:pPr>
      <w:r>
        <w:t>small commercial building</w:t>
      </w:r>
      <w:r>
        <w:tab/>
        <w:t>22</w:t>
      </w:r>
    </w:p>
    <w:p>
      <w:pPr>
        <w:pStyle w:val="DefinedTerms"/>
      </w:pPr>
      <w:r>
        <w:t>townsite</w:t>
      </w:r>
      <w:r>
        <w:tab/>
        <w:t>Sch. 3 cl. 1, Sch. 4 cl. 1</w:t>
      </w:r>
    </w:p>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Oct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02-s0-00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02-s0-00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Oct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28" w:name="Schedule"/>
    <w:bookmarkEnd w:id="12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fldChar w:fldCharType="begin"/>
          </w:r>
          <w:r>
            <w:instrText>STYLEREF "Name of Act/Reg"</w:instrText>
          </w:r>
          <w:r>
            <w:fldChar w:fldCharType="separate"/>
          </w:r>
          <w:r>
            <w:t>Building Services (Registration) Regulations 2011</w:t>
          </w:r>
          <w:r>
            <w:fldChar w:fldCharType="end"/>
          </w:r>
        </w:p>
      </w:tc>
    </w:tr>
    <w:tr>
      <w:trPr>
        <w:jc w:val="center"/>
      </w:trPr>
      <w:tc>
        <w:tcPr>
          <w:tcW w:w="1548" w:type="dxa"/>
        </w:tcPr>
        <w:p>
          <w:pPr>
            <w:pStyle w:val="Header"/>
            <w:spacing w:before="40"/>
          </w:pPr>
          <w:r>
            <w:fldChar w:fldCharType="begin"/>
          </w:r>
          <w:r>
            <w:instrText xml:space="preserve"> IF </w:instrText>
          </w:r>
          <w:r>
            <w:fldChar w:fldCharType="begin"/>
          </w:r>
          <w:r>
            <w:instrText xml:space="preserve"> STYLEREF CharSchno \n </w:instrText>
          </w:r>
          <w:r>
            <w:fldChar w:fldCharType="separate"/>
          </w:r>
          <w:r>
            <w:instrText>0</w:instrText>
          </w:r>
          <w:r>
            <w:fldChar w:fldCharType="end"/>
          </w:r>
          <w:r>
            <w:instrText xml:space="preserve"> = 0 "</w:instrText>
          </w:r>
          <w:r>
            <w:fldChar w:fldCharType="begin"/>
          </w:r>
          <w:r>
            <w:instrText xml:space="preserve"> STYLEREF CharSchno </w:instrText>
          </w:r>
          <w:r>
            <w:fldChar w:fldCharType="separate"/>
          </w:r>
          <w:r>
            <w:instrText>Schedule 1</w:instrText>
          </w:r>
          <w:r>
            <w:fldChar w:fldCharType="end"/>
          </w:r>
          <w:r>
            <w:instrText>" "</w:instrText>
          </w:r>
          <w:r>
            <w:fldChar w:fldCharType="begin"/>
          </w:r>
          <w:r>
            <w:instrText xml:space="preserve"> STYLEREF CharSchno </w:instrText>
          </w:r>
          <w:r>
            <w:fldChar w:fldCharType="separate"/>
          </w:r>
          <w:r>
            <w:instrText>Schedule</w:instrText>
          </w:r>
          <w:r>
            <w:fldChar w:fldCharType="end"/>
          </w:r>
          <w:r>
            <w:instrText xml:space="preserve"> </w:instrText>
          </w:r>
          <w:r>
            <w:fldChar w:fldCharType="begin"/>
          </w:r>
          <w:r>
            <w:instrText xml:space="preserve"> STYLEREF CharSchno \n </w:instrText>
          </w:r>
          <w:r>
            <w:fldChar w:fldCharType="separate"/>
          </w:r>
          <w:r>
            <w:instrText>4</w:instrText>
          </w:r>
          <w:r>
            <w:fldChar w:fldCharType="end"/>
          </w:r>
          <w:r>
            <w:instrText>"</w:instrText>
          </w:r>
          <w:r>
            <w:fldChar w:fldCharType="separate"/>
          </w:r>
          <w:r>
            <w:t>Schedule 1</w:t>
          </w:r>
          <w: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Painters</w:t>
          </w:r>
          <w:r>
            <w:fldChar w:fldCharType="end"/>
          </w:r>
        </w:p>
      </w:tc>
    </w:tr>
    <w:tr>
      <w:trPr>
        <w:jc w:val="center"/>
      </w:trPr>
      <w:tc>
        <w:tcPr>
          <w:tcW w:w="1548" w:type="dxa"/>
        </w:tcPr>
        <w:p>
          <w:pPr>
            <w:pStyle w:val="Header"/>
            <w:spacing w:before="40"/>
            <w:ind w:right="17"/>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Fees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Painters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separate"/>
          </w:r>
          <w:r>
            <w:t>Painter work: areas of the State for purposes of definition</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ind w:right="17"/>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Painter work: areas of the State for purposes of definition</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5" w:name="Compilation"/>
    <w:bookmarkEnd w:id="1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67" w:name="DefinedTerms"/>
    <w:bookmarkEnd w:id="167"/>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8" w:name="Coversheet"/>
    <w:bookmarkEnd w:id="16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c>
        <w:tcPr>
          <w:tcW w:w="5715" w:type="dxa"/>
          <w:vAlign w:val="bottom"/>
        </w:tcPr>
        <w:p>
          <w:pPr>
            <w:pStyle w:val="Header"/>
            <w:spacing w:before="40"/>
            <w:ind w:left="153"/>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ind w:left="153"/>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601"/>
      <w:gridCol w:w="1548"/>
    </w:tblGrid>
    <w:tr>
      <w:trPr>
        <w:cantSplit/>
        <w:jc w:val="center"/>
      </w:trPr>
      <w:tc>
        <w:tcPr>
          <w:tcW w:w="7149"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601"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trPr>
        <w:jc w:val="center"/>
      </w:trPr>
      <w:tc>
        <w:tcPr>
          <w:tcW w:w="5601"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149"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8022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05141534"/>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 w:name="WAFER_20180104141620" w:val="RemoveTocBookmarks,RemoveUnusedBookmarks,RemoveLanguageTags,UsedStyles,ResetPageSize"/>
    <w:docVar w:name="WAFER_20180104141620_GUID" w:val="845fbd68-c000-4bb5-bb61-95701350a1cd"/>
    <w:docVar w:name="WAFER_20180824104952" w:val="RemoveTocBookmarks,RemoveUnusedBookmarks,RemoveLanguageTags,UsedStyles,ResetPageSize"/>
    <w:docVar w:name="WAFER_20180824104952_GUID" w:val="2d078f18-7f41-404d-b7f0-baf6b74a9805"/>
    <w:docVar w:name="WAFER_20190426102233" w:val="RemoveTocBookmarks,RemoveUnusedBookmarks,RemoveLanguageTags,ResetPageSize,RunningHeaders,UpdateStyles,UsedStyles"/>
    <w:docVar w:name="WAFER_20190426102233_GUID" w:val="007f1026-60ce-49f1-b49c-a5e8401118ad"/>
    <w:docVar w:name="WAFER_20190618102400" w:val="RemoveTocBookmarks,RemoveUnusedBookmarks,RemoveLanguageTags,ResetPageSize,RunningHeaders,UpdateStyles,UsedStyles"/>
    <w:docVar w:name="WAFER_20190618102400_GUID" w:val="d14d3893-0180-4d20-9e95-25335a152583"/>
    <w:docVar w:name="WAFER_20190619145029" w:val="RemoveTocBookmarks,RemoveUnusedBookmarks,RemoveLanguageTags,ResetPageSize,RunningHeaders,UpdateStyles,UsedStyles"/>
    <w:docVar w:name="WAFER_20190619145029_GUID" w:val="74ea7c6c-6c39-4bb9-8e07-fc247c0bd0a5"/>
    <w:docVar w:name="WAFER_202009241438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43807_GUID" w:val="6235a92a-efbf-48e8-b3b9-e6b9caec6556"/>
    <w:docVar w:name="WAFER_2020101913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34208_GUID" w:val="f5855c20-5c90-45d2-896d-86ca06481d88"/>
    <w:docVar w:name="WAFER_202106151605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0530_GUID" w:val="6a9de388-267f-46ba-b68e-ef09300bef04"/>
    <w:docVar w:name="WAFER_20210623142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150_GUID" w:val="33ab75d1-1677-4890-ac42-deb52c1c8636"/>
    <w:docVar w:name="WAFER_20211005141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41534_GUID" w:val="351f1771-6c41-42b2-b971-3105105359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2.jpeg"/><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31ED8-6CEF-4312-942F-85155871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14238</Words>
  <Characters>75894</Characters>
  <Application>Microsoft Office Word</Application>
  <DocSecurity>0</DocSecurity>
  <Lines>3035</Lines>
  <Paragraphs>1700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2011 - 02-s0-00</dc:title>
  <dc:subject/>
  <dc:creator/>
  <cp:keywords/>
  <dc:description/>
  <cp:lastModifiedBy>Master Repository Process</cp:lastModifiedBy>
  <cp:revision>4</cp:revision>
  <cp:lastPrinted>2019-05-01T01:45:00Z</cp:lastPrinted>
  <dcterms:created xsi:type="dcterms:W3CDTF">2021-10-08T03:02:00Z</dcterms:created>
  <dcterms:modified xsi:type="dcterms:W3CDTF">2021-10-08T03:02:00Z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AsAtDate">
    <vt:lpwstr>09 Oct 2021</vt:lpwstr>
  </property>
  <property fmtid="{D5CDD505-2E9C-101B-9397-08002B2CF9AE}" pid="7" name="Suffix">
    <vt:lpwstr>02-s0-00</vt:lpwstr>
  </property>
  <property fmtid="{D5CDD505-2E9C-101B-9397-08002B2CF9AE}" pid="8" name="CommencementDate">
    <vt:lpwstr>20211009</vt:lpwstr>
  </property>
</Properties>
</file>