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_Toc86224006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_Toc86224007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_Toc86224008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_Toc86224009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_Toc86224010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_Toc86224011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_Toc86224012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_Toc86224013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_Toc86224014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_Toc86224015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_Toc86224016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_Toc86224017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_Toc86224018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_Toc86224019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lastRenderedPageBreak/>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 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_Toc86224038 \h </w:instrText>
      </w:r>
      <w:r>
        <w:fldChar w:fldCharType="separate"/>
      </w:r>
      <w:r>
        <w:t>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_Toc86224039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86224006"/>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86224007"/>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2021.</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w:t>
      </w:r>
    </w:p>
    <w:p>
      <w:pPr>
        <w:pStyle w:val="Heading5"/>
        <w:rPr>
          <w:snapToGrid w:val="0"/>
        </w:rPr>
      </w:pPr>
      <w:bookmarkStart w:id="5" w:name="_Toc86224008"/>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86224009"/>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86224010"/>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86224011"/>
      <w:r>
        <w:rPr>
          <w:rStyle w:val="CharSectno"/>
        </w:rPr>
        <w:t>6</w:t>
      </w:r>
      <w:r>
        <w:t>.</w:t>
      </w:r>
      <w:r>
        <w:tab/>
        <w:t>Scale of fees — clinical psychologists</w:t>
      </w:r>
      <w:bookmarkEnd w:id="8"/>
    </w:p>
    <w:p>
      <w:pPr>
        <w:pStyle w:val="Subsection"/>
      </w:pPr>
      <w:r>
        <w:tab/>
        <w:t>(1)</w:t>
      </w:r>
      <w:r>
        <w:tab/>
        <w:t>Under section 292(2)(a)(vi) of the Act, the hourly rate of $262.35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w:t>
      </w:r>
    </w:p>
    <w:p>
      <w:pPr>
        <w:pStyle w:val="Heading5"/>
      </w:pPr>
      <w:bookmarkStart w:id="9" w:name="_Toc86224012"/>
      <w:r>
        <w:rPr>
          <w:rStyle w:val="CharSectno"/>
        </w:rPr>
        <w:t>6A</w:t>
      </w:r>
      <w:r>
        <w:t>.</w:t>
      </w:r>
      <w:r>
        <w:tab/>
        <w:t>Scale of fees — counselling psychology</w:t>
      </w:r>
      <w:bookmarkEnd w:id="9"/>
    </w:p>
    <w:p>
      <w:pPr>
        <w:pStyle w:val="Subsection"/>
      </w:pPr>
      <w:r>
        <w:tab/>
      </w:r>
      <w:r>
        <w:tab/>
        <w:t>Under section 292(2)(a)(viii) of the Act, the hourly rate of $262.35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rPr>
          <w:snapToGrid w:val="0"/>
        </w:rPr>
      </w:pPr>
      <w:bookmarkStart w:id="10" w:name="_Toc86224013"/>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86224014"/>
      <w:r>
        <w:rPr>
          <w:rStyle w:val="CharSectno"/>
        </w:rPr>
        <w:lastRenderedPageBreak/>
        <w:t>7A</w:t>
      </w:r>
      <w:r>
        <w:t>.</w:t>
      </w:r>
      <w:r>
        <w:tab/>
        <w:t>Scale of fees — osteopaths</w:t>
      </w:r>
      <w:bookmarkEnd w:id="11"/>
    </w:p>
    <w:p>
      <w:pPr>
        <w:pStyle w:val="Subsection"/>
      </w:pPr>
      <w:r>
        <w:tab/>
      </w:r>
      <w:r>
        <w:tab/>
        <w:t xml:space="preserve">Under section 292(2)(a)(viii) of the Act, the amount of $82.95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12" w:name="_Toc86224015"/>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86224016"/>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$81.00 for each consultation is prescribed as the fee to be paid to an acupuncturist for acupuncture provided to a worker suffering injuries that are compensable under the Act. </w:t>
      </w:r>
    </w:p>
    <w:p>
      <w:pPr>
        <w:pStyle w:val="Footnotesection"/>
        <w:spacing w:before="100"/>
        <w:ind w:left="890" w:hanging="890"/>
      </w:pPr>
      <w:r>
        <w:lastRenderedPageBreak/>
        <w:tab/>
        <w:t>[Regulation 7C inserted: Gazette 20 Mar 2015 p. 912; amended: Gazette 16 Oct 2015 p. 4076; 21 Oct 2016 p. 4822; 6 Oct 2017 p. 5204; 19 Oct 2018 p. 4162; 22 Oct 2019 p. 3734; SL 2020/203 r. 5; SL 2021/169 r. 5.]</w:t>
      </w:r>
    </w:p>
    <w:p>
      <w:pPr>
        <w:pStyle w:val="Heading5"/>
        <w:rPr>
          <w:snapToGrid w:val="0"/>
        </w:rPr>
      </w:pPr>
      <w:bookmarkStart w:id="14" w:name="_Toc86224017"/>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$195.70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15" w:name="_Toc86224018"/>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86224019"/>
      <w:r>
        <w:rPr>
          <w:rStyle w:val="CharSectno"/>
        </w:rPr>
        <w:lastRenderedPageBreak/>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86158194"/>
      <w:bookmarkStart w:id="18" w:name="_Toc86224020"/>
      <w:bookmarkStart w:id="19" w:name="_Toc86150695"/>
      <w:r>
        <w:rPr>
          <w:rStyle w:val="CharSchNo"/>
        </w:rPr>
        <w:lastRenderedPageBreak/>
        <w:t>Schedule 1</w:t>
      </w:r>
      <w:r>
        <w:t> — </w:t>
      </w:r>
      <w:r>
        <w:rPr>
          <w:rStyle w:val="CharSchText"/>
        </w:rPr>
        <w:t>Scale of fees: medical specialists and other medical practitioners</w:t>
      </w:r>
      <w:bookmarkEnd w:id="17"/>
      <w:bookmarkEnd w:id="18"/>
    </w:p>
    <w:p>
      <w:pPr>
        <w:pStyle w:val="yShoulderClause"/>
      </w:pPr>
      <w:r>
        <w:t>[r. 2]</w:t>
      </w:r>
    </w:p>
    <w:p>
      <w:pPr>
        <w:pStyle w:val="yFootnoteheading"/>
      </w:pPr>
      <w:r>
        <w:tab/>
        <w:t>[Heading inserted: SL 2021/169 r. 6.]</w:t>
      </w:r>
    </w:p>
    <w:p>
      <w:pPr>
        <w:pStyle w:val="yHeading3"/>
      </w:pPr>
      <w:bookmarkStart w:id="20" w:name="_Toc86158195"/>
      <w:bookmarkStart w:id="21" w:name="_Toc86224021"/>
      <w:r>
        <w:rPr>
          <w:rStyle w:val="CharSDivNo"/>
        </w:rPr>
        <w:t>Part 1</w:t>
      </w:r>
      <w:r>
        <w:t> — </w:t>
      </w:r>
      <w:r>
        <w:rPr>
          <w:rStyle w:val="CharSDivText"/>
        </w:rPr>
        <w:t>Medical specialists and other medical practitioners</w:t>
      </w:r>
      <w:bookmarkEnd w:id="20"/>
      <w:bookmarkEnd w:id="21"/>
    </w:p>
    <w:p>
      <w:pPr>
        <w:pStyle w:val="yFootnoteheading"/>
      </w:pPr>
      <w:r>
        <w:tab/>
        <w:t>[Heading inserted: SL 2021/169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jc w:val="left"/>
        <w:rPr>
          <w:b/>
          <w:i/>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$81.60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$149.00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$228.85</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$48.65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$63.35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$122.35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$185.15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$250.85</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br w:type="page"/>
              <w:t>Content based</w:t>
            </w:r>
          </w:p>
        </w:tc>
        <w:tc>
          <w:tcPr>
            <w:tcW w:w="1134" w:type="dxa"/>
            <w:noWrap/>
            <w:vAlign w:val="bottom"/>
          </w:tcPr>
          <w:p>
            <w:pPr>
              <w:pStyle w:val="yTableNAm"/>
              <w:keepNext/>
              <w:jc w:val="right"/>
              <w:rPr>
                <w:b/>
                <w:szCs w:val="22"/>
              </w:rPr>
            </w:pPr>
          </w:p>
        </w:tc>
      </w:tr>
      <w:t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$61.25</w:t>
            </w:r>
          </w:p>
        </w:tc>
      </w:tr>
      <w:t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$122.35</w:t>
            </w:r>
          </w:p>
        </w:tc>
      </w:tr>
      <w:t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$222.80</w:t>
            </w:r>
          </w:p>
        </w:tc>
      </w:tr>
      <w:t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$344.95</w:t>
            </w:r>
          </w:p>
        </w:tc>
      </w:tr>
      <w:t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$96.90</w:t>
            </w:r>
          </w:p>
        </w:tc>
      </w:tr>
      <w:t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$105.15</w:t>
            </w:r>
          </w:p>
        </w:tc>
      </w:tr>
      <w:t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$162.90</w:t>
            </w:r>
          </w:p>
        </w:tc>
      </w:tr>
      <w:t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$222.80</w:t>
            </w:r>
          </w:p>
        </w:tc>
      </w:tr>
    </w:tbl>
    <w:p>
      <w:pPr>
        <w:pStyle w:val="yMiscellaneousHeading"/>
        <w:jc w:val="left"/>
      </w:pPr>
      <w:r>
        <w:t>VISITS</w:t>
      </w:r>
    </w:p>
    <w:p>
      <w:pPr>
        <w:pStyle w:val="yMiscellaneousHeading"/>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in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$102.05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$139.45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$206.95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$288.40</w:t>
            </w:r>
          </w:p>
        </w:tc>
      </w:tr>
      <w:tr>
        <w:trPr>
          <w:cantSplit/>
        </w:trPr>
        <w:tc>
          <w:tcPr>
            <w:tcW w:w="5245" w:type="dxa"/>
            <w:noWrap/>
          </w:tcPr>
          <w:p>
            <w:pPr>
              <w:pStyle w:val="yTableNAm"/>
              <w:keepNext/>
            </w:pPr>
            <w:r>
              <w:t>out of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$122.35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$181.95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$279.15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$407.70</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$27.15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$34.10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$71.35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$106.90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$306.75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rPr>
      </w:pPr>
      <w:r>
        <w:rPr>
          <w:b/>
        </w:rPr>
        <w:t>PHYSICIANS, OCCUPATIONAL &amp; REHABILITATION PHYSICIANS</w:t>
      </w:r>
    </w:p>
    <w:p>
      <w:pPr>
        <w:pStyle w:val="yMiscellaneousHeading"/>
        <w:jc w:val="left"/>
        <w:rPr>
          <w:b/>
          <w:i/>
        </w:rPr>
      </w:pPr>
      <w:r>
        <w:rPr>
          <w:b/>
          <w:i/>
        </w:rPr>
        <w:t>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lastRenderedPageBreak/>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OCCUPATIONAL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$314.65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lastRenderedPageBreak/>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$90.85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$181.15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$271.35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$363.10</w:t>
            </w:r>
          </w:p>
        </w:tc>
      </w:tr>
      <w:tr>
        <w:trPr>
          <w:cantSplit/>
        </w:trP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$410.85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$458.55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$149.10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$240.75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$328.55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$420.30</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$506.55</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$120.60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$263.00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rPr>
      </w:pPr>
      <w:r>
        <w:rPr>
          <w:b/>
        </w:rPr>
        <w:t>SPECIALISTS</w:t>
      </w:r>
    </w:p>
    <w:p>
      <w:pPr>
        <w:pStyle w:val="yMiscellaneousHeading"/>
        <w:jc w:val="left"/>
        <w:rPr>
          <w:b/>
          <w:i/>
        </w:rPr>
      </w:pPr>
      <w:r>
        <w:rPr>
          <w:b/>
          <w:i/>
        </w:rPr>
        <w:t>SURGEONS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$237.15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$151.30</w:t>
            </w:r>
          </w:p>
        </w:tc>
      </w:tr>
    </w:tbl>
    <w:p>
      <w:pPr>
        <w:pStyle w:val="yMiscellaneousHeading"/>
        <w:jc w:val="left"/>
        <w:rPr>
          <w:b/>
          <w:i/>
        </w:rPr>
      </w:pPr>
      <w:r>
        <w:rPr>
          <w:b/>
          <w:i/>
        </w:rPr>
        <w:t>DERMATOLOGISTS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lastRenderedPageBreak/>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$236.85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$150.95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i/>
        </w:rPr>
      </w:pPr>
      <w:r>
        <w:rPr>
          <w:b/>
          <w:i/>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pPr>
            <w:r>
              <w:t>$ value per unit</w:t>
            </w:r>
          </w:p>
        </w:tc>
        <w:tc>
          <w:tcPr>
            <w:tcW w:w="1134" w:type="dxa"/>
            <w:noWrap/>
            <w:vAlign w:val="bottom"/>
          </w:tcPr>
          <w:p>
            <w:pPr>
              <w:pStyle w:val="yTableNAm"/>
              <w:jc w:val="right"/>
            </w:pPr>
            <w:r>
              <w:rPr>
                <w:szCs w:val="22"/>
              </w:rPr>
              <w:t>$91.55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right"/>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right"/>
            </w:pPr>
            <w:r>
              <w:t>2</w:t>
            </w:r>
          </w:p>
        </w:tc>
      </w:tr>
      <w:tr>
        <w:tc>
          <w:tcPr>
            <w:tcW w:w="5245" w:type="dxa"/>
            <w:noWrap/>
          </w:tcPr>
          <w:p>
            <w:pPr>
              <w:pStyle w:val="yTableNAm"/>
              <w:tabs>
                <w:tab w:val="clear" w:pos="567"/>
                <w:tab w:val="left" w:pos="425"/>
              </w:tabs>
              <w:ind w:left="425" w:hanging="283"/>
            </w:pPr>
            <w:r>
              <w:lastRenderedPageBreak/>
              <w:t>—</w:t>
            </w:r>
            <w:r>
              <w:tab/>
              <w:t>an attendance of more than 15 minutes but not more than 30 minutes duration</w:t>
            </w:r>
          </w:p>
        </w:tc>
        <w:tc>
          <w:tcPr>
            <w:tcW w:w="1134" w:type="dxa"/>
            <w:noWrap/>
            <w:vAlign w:val="bottom"/>
          </w:tcPr>
          <w:p>
            <w:pPr>
              <w:pStyle w:val="yTableNAm"/>
              <w:jc w:val="right"/>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right"/>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right"/>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right"/>
            </w:pPr>
            <w:r>
              <w:t>2</w:t>
            </w:r>
          </w:p>
        </w:tc>
      </w:tr>
      <w:tr>
        <w:tc>
          <w:tcPr>
            <w:tcW w:w="5245" w:type="dxa"/>
            <w:noWrap/>
          </w:tcPr>
          <w:p>
            <w:pPr>
              <w:pStyle w:val="yTableNAm"/>
            </w:pPr>
          </w:p>
        </w:tc>
        <w:tc>
          <w:tcPr>
            <w:tcW w:w="1134" w:type="dxa"/>
            <w:noWrap/>
            <w:vAlign w:val="bottom"/>
          </w:tcPr>
          <w:p>
            <w:pPr>
              <w:pStyle w:val="yTableNAm"/>
              <w:jc w:val="right"/>
            </w:pPr>
          </w:p>
        </w:tc>
      </w:tr>
      <w:tr>
        <w:tc>
          <w:tcPr>
            <w:tcW w:w="5245" w:type="dxa"/>
            <w:noWrap/>
          </w:tcPr>
          <w:p>
            <w:pPr>
              <w:pStyle w:val="yTableNAm"/>
              <w:keepNext/>
            </w:pPr>
            <w:r>
              <w:t>EMERGENCY ATTENDANCES</w:t>
            </w:r>
          </w:p>
        </w:tc>
        <w:tc>
          <w:tcPr>
            <w:tcW w:w="1134" w:type="dxa"/>
            <w:noWrap/>
            <w:vAlign w:val="bottom"/>
          </w:tcPr>
          <w:p>
            <w:pPr>
              <w:pStyle w:val="yTableNAm"/>
              <w:keepNext/>
              <w:jc w:val="right"/>
            </w:pPr>
          </w:p>
        </w:tc>
      </w:tr>
      <w:tr>
        <w:tc>
          <w:tcPr>
            <w:tcW w:w="5245" w:type="dxa"/>
            <w:noWrap/>
          </w:tcPr>
          <w:p>
            <w:pPr>
              <w:pStyle w:val="yTableNAm"/>
            </w:pPr>
            <w:r>
              <w:t>After hours — where immediate attendance is required after 6 pm and before 8 am on any weekday, or at any time on a Saturday, Sunday or a public holiday</w:t>
            </w:r>
          </w:p>
        </w:tc>
        <w:tc>
          <w:tcPr>
            <w:tcW w:w="1134" w:type="dxa"/>
            <w:noWrap/>
            <w:vAlign w:val="bottom"/>
          </w:tcPr>
          <w:p>
            <w:pPr>
              <w:pStyle w:val="yTableNAm"/>
              <w:jc w:val="right"/>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right"/>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right"/>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right"/>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lastRenderedPageBreak/>
        <w:t>In Division 2, the fee for a therapeutic or diagnostic service only includes modifying units (MUs), and time units (TUs) if the item notes that service as including either or both.</w:t>
      </w:r>
    </w:p>
    <w:p>
      <w:pPr>
        <w:pStyle w:val="yMiscellaneousHeading"/>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lastRenderedPageBreak/>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6.00 pm. and the following 8.00 am on weekdays and between 8.00 am and the following 8.00 am on weekend days and public holidays.</w:t>
      </w:r>
    </w:p>
    <w:p>
      <w:pPr>
        <w:pStyle w:val="yHeading4"/>
      </w:pPr>
      <w:bookmarkStart w:id="22" w:name="_Toc86158196"/>
      <w:bookmarkStart w:id="23" w:name="_Toc86224022"/>
      <w:r>
        <w:t>Division 1 — Procedures</w:t>
      </w:r>
      <w:bookmarkEnd w:id="22"/>
      <w:bookmarkEnd w:id="23"/>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jc w:val="center"/>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jc w:val="center"/>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lastRenderedPageBreak/>
              <w:t>—</w:t>
            </w:r>
            <w:r>
              <w:tab/>
              <w:t>lens surgery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intracranial vascular procedures including those for aneurysms and arterio</w:t>
            </w:r>
            <w:r>
              <w:noBreakHyphen/>
              <w:t>venous abnormalities</w:t>
            </w:r>
          </w:p>
        </w:tc>
        <w:tc>
          <w:tcPr>
            <w:tcW w:w="829" w:type="dxa"/>
            <w:noWrap/>
            <w:vAlign w:val="bottom"/>
          </w:tcPr>
          <w:p>
            <w:pPr>
              <w:pStyle w:val="yTableNAm"/>
              <w:jc w:val="center"/>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jc w:val="center"/>
            </w:pPr>
            <w:r>
              <w:t>12</w:t>
            </w:r>
          </w:p>
        </w:tc>
      </w:tr>
      <w:tr>
        <w:trPr>
          <w:cantSplit/>
        </w:trPr>
        <w:tc>
          <w:tcPr>
            <w:tcW w:w="5692" w:type="dxa"/>
            <w:noWrap/>
          </w:tcPr>
          <w:p>
            <w:pPr>
              <w:pStyle w:val="yTableNAm"/>
              <w:keepNext/>
              <w:rPr>
                <w:b/>
              </w:rPr>
            </w:pPr>
            <w:r>
              <w:rPr>
                <w:b/>
              </w:rPr>
              <w:lastRenderedPageBreak/>
              <w:t>Neck</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jc w:val="center"/>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jc w:val="center"/>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jc w:val="center"/>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percutaneous bone marrow biopsy of the sternum</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jc w:val="center"/>
            </w:pPr>
            <w:r>
              <w:t>13</w:t>
            </w:r>
          </w:p>
        </w:tc>
      </w:tr>
      <w:tr>
        <w:trPr>
          <w:cantSplit/>
        </w:trPr>
        <w:tc>
          <w:tcPr>
            <w:tcW w:w="5692" w:type="dxa"/>
            <w:noWrap/>
          </w:tcPr>
          <w:p>
            <w:pPr>
              <w:pStyle w:val="yTableNAm"/>
              <w:keepNext/>
              <w:rPr>
                <w:b/>
              </w:rPr>
            </w:pPr>
            <w:r>
              <w:rPr>
                <w:b/>
              </w:rPr>
              <w:t>Intrathoracic</w:t>
            </w:r>
          </w:p>
        </w:tc>
        <w:tc>
          <w:tcPr>
            <w:tcW w:w="829" w:type="dxa"/>
            <w:noWrap/>
            <w:vAlign w:val="bottom"/>
          </w:tcPr>
          <w:p>
            <w:pPr>
              <w:pStyle w:val="yTableNAm"/>
              <w:keepNext/>
              <w:jc w:val="center"/>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jc w:val="center"/>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lastRenderedPageBreak/>
              <w:t>Spine and spinal cord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jc w:val="center"/>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jc w:val="center"/>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Upper abdomen</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jc w:val="center"/>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jc w:val="center"/>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jc w:val="center"/>
            </w:pPr>
            <w:r>
              <w:t>7</w:t>
            </w:r>
          </w:p>
        </w:tc>
      </w:tr>
      <w:tr>
        <w:trPr>
          <w:cantSplit/>
        </w:trPr>
        <w:tc>
          <w:tcPr>
            <w:tcW w:w="5692" w:type="dxa"/>
            <w:noWrap/>
          </w:tcPr>
          <w:p>
            <w:pPr>
              <w:pStyle w:val="yTableNAm"/>
            </w:pPr>
            <w:r>
              <w:lastRenderedPageBreak/>
              <w:t>Anaesthesia for all hernia repairs in upper abdomen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jc w:val="center"/>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jc w:val="center"/>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jc w:val="center"/>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jc w:val="center"/>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jc w:val="center"/>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jc w:val="center"/>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jc w:val="center"/>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jc w:val="center"/>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jc w:val="center"/>
            </w:pPr>
            <w:r>
              <w:t>7</w:t>
            </w:r>
          </w:p>
        </w:tc>
      </w:tr>
      <w:tr>
        <w:trPr>
          <w:cantSplit/>
        </w:trPr>
        <w:tc>
          <w:tcPr>
            <w:tcW w:w="5692" w:type="dxa"/>
            <w:noWrap/>
          </w:tcPr>
          <w:p>
            <w:pPr>
              <w:pStyle w:val="yTableNAm"/>
            </w:pPr>
            <w:r>
              <w:lastRenderedPageBreak/>
              <w:t>Anaesthesia for all lower intestinal endoscopic procedures (modifier for prone position is not applicable)</w:t>
            </w:r>
          </w:p>
        </w:tc>
        <w:tc>
          <w:tcPr>
            <w:tcW w:w="829" w:type="dxa"/>
            <w:noWrap/>
            <w:vAlign w:val="bottom"/>
          </w:tcPr>
          <w:p>
            <w:pPr>
              <w:pStyle w:val="yTableNAm"/>
              <w:jc w:val="center"/>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jc w:val="center"/>
            </w:pPr>
            <w:r>
              <w:t>10</w:t>
            </w:r>
          </w:p>
        </w:tc>
      </w:tr>
      <w:tr>
        <w:trPr>
          <w:cantSplit/>
        </w:trPr>
        <w:tc>
          <w:tcPr>
            <w:tcW w:w="5692" w:type="dxa"/>
            <w:noWrap/>
          </w:tcPr>
          <w:p>
            <w:pPr>
              <w:pStyle w:val="yTableNAm"/>
            </w:pPr>
            <w:r>
              <w:lastRenderedPageBreak/>
              <w:t>Anaesthesia for all procedures on major lower abdominal vessels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jc w:val="center"/>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lastRenderedPageBreak/>
              <w:t>—</w:t>
            </w:r>
            <w:r>
              <w:tab/>
              <w:t>complete amputation of the penis with bilateral inguinal lymphadenectomy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jc w:val="center"/>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jc w:val="center"/>
            </w:pPr>
            <w:r>
              <w:t>7</w:t>
            </w:r>
          </w:p>
        </w:tc>
      </w:tr>
      <w:tr>
        <w:trPr>
          <w:cantSplit/>
        </w:trPr>
        <w:tc>
          <w:tcPr>
            <w:tcW w:w="5692" w:type="dxa"/>
            <w:noWrap/>
          </w:tcPr>
          <w:p>
            <w:pPr>
              <w:pStyle w:val="yTableNAm"/>
              <w:keepNext/>
              <w:rPr>
                <w:b/>
              </w:rPr>
            </w:pPr>
            <w:r>
              <w:rPr>
                <w:b/>
              </w:rPr>
              <w:t>Pelvis — except hip</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jc w:val="center"/>
            </w:pPr>
            <w:r>
              <w:t>6</w:t>
            </w:r>
          </w:p>
        </w:tc>
      </w:tr>
      <w:tr>
        <w:trPr>
          <w:cantSplit/>
        </w:trPr>
        <w:tc>
          <w:tcPr>
            <w:tcW w:w="5692" w:type="dxa"/>
            <w:noWrap/>
          </w:tcPr>
          <w:p>
            <w:pPr>
              <w:pStyle w:val="yTableNAm"/>
            </w:pPr>
            <w:r>
              <w:lastRenderedPageBreak/>
              <w:t>Anaesthesia for procedures on bony pelvis</w:t>
            </w:r>
          </w:p>
        </w:tc>
        <w:tc>
          <w:tcPr>
            <w:tcW w:w="829" w:type="dxa"/>
            <w:noWrap/>
            <w:vAlign w:val="bottom"/>
          </w:tcPr>
          <w:p>
            <w:pPr>
              <w:pStyle w:val="yTableNAm"/>
              <w:jc w:val="center"/>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jc w:val="center"/>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jc w:val="center"/>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8</w:t>
            </w:r>
          </w:p>
        </w:tc>
      </w:tr>
      <w:tr>
        <w:trPr>
          <w:cantSplit/>
        </w:trPr>
        <w:tc>
          <w:tcPr>
            <w:tcW w:w="5692" w:type="dxa"/>
            <w:noWrap/>
          </w:tcPr>
          <w:p>
            <w:pPr>
              <w:pStyle w:val="yTableNAm"/>
            </w:pPr>
            <w:r>
              <w:lastRenderedPageBreak/>
              <w:t>Anaesthesia for all procedures involving veins of the upper leg including exploration</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jc w:val="center"/>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jc w:val="center"/>
            </w:pPr>
            <w:r>
              <w:t>3</w:t>
            </w:r>
          </w:p>
        </w:tc>
      </w:tr>
      <w:tr>
        <w:trPr>
          <w:cantSplit/>
        </w:trPr>
        <w:tc>
          <w:tcPr>
            <w:tcW w:w="5692" w:type="dxa"/>
            <w:noWrap/>
          </w:tcPr>
          <w:p>
            <w:pPr>
              <w:pStyle w:val="yTableNAm"/>
            </w:pPr>
            <w:r>
              <w:lastRenderedPageBreak/>
              <w:t>Anaesthesia for all procedures on the veins of the knee and popliteal area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lastRenderedPageBreak/>
              <w:t>—</w:t>
            </w:r>
            <w:r>
              <w:tab/>
              <w:t>for microsurgical reimplantation of the toe</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Shoulder and axilla (includes humeral head and neck, sternoclavicular joint, acromioclavicular joint and shoulder joint)</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lastRenderedPageBreak/>
              <w:t>—</w:t>
            </w:r>
            <w:r>
              <w:tab/>
              <w:t>shoulder spica</w:t>
            </w:r>
          </w:p>
        </w:tc>
        <w:tc>
          <w:tcPr>
            <w:tcW w:w="829" w:type="dxa"/>
            <w:noWrap/>
            <w:vAlign w:val="bottom"/>
          </w:tcPr>
          <w:p>
            <w:pPr>
              <w:pStyle w:val="yTableNAm"/>
              <w:jc w:val="center"/>
            </w:pPr>
            <w:r>
              <w:t>4</w:t>
            </w:r>
          </w:p>
        </w:tc>
      </w:tr>
      <w:tr>
        <w:trPr>
          <w:cantSplit/>
        </w:trPr>
        <w:tc>
          <w:tcPr>
            <w:tcW w:w="5692" w:type="dxa"/>
            <w:noWrap/>
          </w:tcPr>
          <w:p>
            <w:pPr>
              <w:pStyle w:val="yTableNAm"/>
              <w:keepNext/>
              <w:rPr>
                <w:b/>
              </w:rPr>
            </w:pPr>
            <w:r>
              <w:rPr>
                <w:b/>
              </w:rPr>
              <w:t>Upper arm and elbow</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jc w:val="center"/>
            </w:pPr>
            <w:r>
              <w:t>15</w:t>
            </w:r>
          </w:p>
        </w:tc>
      </w:tr>
      <w:tr>
        <w:trPr>
          <w:cantSplit/>
        </w:trPr>
        <w:tc>
          <w:tcPr>
            <w:tcW w:w="5692" w:type="dxa"/>
            <w:noWrap/>
          </w:tcPr>
          <w:p>
            <w:pPr>
              <w:pStyle w:val="yTableNAm"/>
              <w:keepNext/>
              <w:rPr>
                <w:b/>
              </w:rPr>
            </w:pPr>
            <w:r>
              <w:rPr>
                <w:b/>
              </w:rPr>
              <w:t>Forearm, wrist and hand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all closed procedures on radius, ulna, wrist, or hand bones</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Burns</w:t>
            </w:r>
          </w:p>
        </w:tc>
        <w:tc>
          <w:tcPr>
            <w:tcW w:w="829" w:type="dxa"/>
            <w:noWrap/>
            <w:vAlign w:val="bottom"/>
          </w:tcPr>
          <w:p>
            <w:pPr>
              <w:pStyle w:val="yTableNAm"/>
              <w:keepNext/>
              <w:jc w:val="center"/>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jc w:val="center"/>
            </w:pPr>
            <w:r>
              <w:t>11</w:t>
            </w:r>
          </w:p>
        </w:tc>
      </w:tr>
      <w:tr>
        <w:trPr>
          <w:cantSplit/>
        </w:trPr>
        <w:tc>
          <w:tcPr>
            <w:tcW w:w="5692" w:type="dxa"/>
            <w:noWrap/>
          </w:tcPr>
          <w:p>
            <w:pPr>
              <w:pStyle w:val="yTableNAm"/>
              <w:tabs>
                <w:tab w:val="clear" w:pos="567"/>
                <w:tab w:val="left" w:pos="425"/>
              </w:tabs>
              <w:ind w:left="425" w:hanging="283"/>
            </w:pPr>
            <w:r>
              <w:lastRenderedPageBreak/>
              <w:t>—</w:t>
            </w:r>
            <w:r>
              <w:tab/>
              <w:t>where the burnt area involves 40% or more but less than 50% of total body surface</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jc w:val="center"/>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jc w:val="center"/>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jc w:val="center"/>
            </w:pPr>
            <w:r>
              <w:t>21</w:t>
            </w:r>
          </w:p>
        </w:tc>
      </w:tr>
      <w:tr>
        <w:trPr>
          <w:cantSplit/>
        </w:trPr>
        <w:tc>
          <w:tcPr>
            <w:tcW w:w="5692" w:type="dxa"/>
            <w:noWrap/>
          </w:tcPr>
          <w:p>
            <w:pPr>
              <w:pStyle w:val="yTableNAm"/>
              <w:keepNext/>
              <w:rPr>
                <w:b/>
              </w:rPr>
            </w:pPr>
            <w:r>
              <w:rPr>
                <w:b/>
              </w:rPr>
              <w:t>Other Procedures</w:t>
            </w:r>
          </w:p>
        </w:tc>
        <w:tc>
          <w:tcPr>
            <w:tcW w:w="829" w:type="dxa"/>
            <w:noWrap/>
            <w:vAlign w:val="bottom"/>
          </w:tcPr>
          <w:p>
            <w:pPr>
              <w:pStyle w:val="yTableNAm"/>
              <w:keepNext/>
              <w:jc w:val="center"/>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jc w:val="center"/>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jc w:val="center"/>
            </w:pPr>
            <w:r>
              <w:t>5</w:t>
            </w:r>
          </w:p>
        </w:tc>
      </w:tr>
      <w:tr>
        <w:trPr>
          <w:cantSplit/>
        </w:trPr>
        <w:tc>
          <w:tcPr>
            <w:tcW w:w="5692" w:type="dxa"/>
            <w:noWrap/>
          </w:tcPr>
          <w:p>
            <w:pPr>
              <w:pStyle w:val="yTableNAm"/>
            </w:pPr>
            <w:r>
              <w:t>Anaesthesia for arteriograms</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jc w:val="center"/>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jc w:val="center"/>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bronchography</w:t>
            </w:r>
          </w:p>
        </w:tc>
        <w:tc>
          <w:tcPr>
            <w:tcW w:w="829" w:type="dxa"/>
            <w:noWrap/>
            <w:vAlign w:val="bottom"/>
          </w:tcPr>
          <w:p>
            <w:pPr>
              <w:pStyle w:val="yTableNAm"/>
              <w:jc w:val="center"/>
            </w:pPr>
            <w:r>
              <w:t>6</w:t>
            </w:r>
          </w:p>
        </w:tc>
      </w:tr>
      <w:tr>
        <w:trPr>
          <w:cantSplit/>
        </w:trPr>
        <w:tc>
          <w:tcPr>
            <w:tcW w:w="5692" w:type="dxa"/>
            <w:noWrap/>
          </w:tcPr>
          <w:p>
            <w:pPr>
              <w:pStyle w:val="yTableNAm"/>
            </w:pPr>
            <w:r>
              <w:t>Anaesthesia for phlebography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jc w:val="center"/>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jc w:val="center"/>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jc w:val="center"/>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jc w:val="center"/>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jc w:val="center"/>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jc w:val="center"/>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jc w:val="center"/>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jc w:val="center"/>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jc w:val="center"/>
            </w:pPr>
            <w:r>
              <w:t>5</w:t>
            </w:r>
          </w:p>
        </w:tc>
      </w:tr>
      <w:tr>
        <w:trPr>
          <w:cantSplit/>
        </w:trPr>
        <w:tc>
          <w:tcPr>
            <w:tcW w:w="5692" w:type="dxa"/>
            <w:noWrap/>
          </w:tcPr>
          <w:p>
            <w:pPr>
              <w:pStyle w:val="yTableNAm"/>
            </w:pPr>
            <w:r>
              <w:lastRenderedPageBreak/>
              <w:t>Anaesthesia for therapeutic nuclear medicine</w:t>
            </w:r>
          </w:p>
        </w:tc>
        <w:tc>
          <w:tcPr>
            <w:tcW w:w="829" w:type="dxa"/>
            <w:noWrap/>
            <w:vAlign w:val="bottom"/>
          </w:tcPr>
          <w:p>
            <w:pPr>
              <w:pStyle w:val="yTableNAm"/>
              <w:jc w:val="center"/>
            </w:pPr>
            <w:r>
              <w:t>5</w:t>
            </w:r>
          </w:p>
        </w:tc>
      </w:tr>
      <w:tr>
        <w:trPr>
          <w:cantSplit/>
        </w:trPr>
        <w:tc>
          <w:tcPr>
            <w:tcW w:w="5692" w:type="dxa"/>
            <w:noWrap/>
          </w:tcPr>
          <w:p>
            <w:pPr>
              <w:pStyle w:val="yTableNAm"/>
            </w:pPr>
            <w:r>
              <w:t>Anaesthesia for radiotherapy</w:t>
            </w:r>
          </w:p>
        </w:tc>
        <w:tc>
          <w:tcPr>
            <w:tcW w:w="829" w:type="dxa"/>
            <w:noWrap/>
            <w:vAlign w:val="bottom"/>
          </w:tcPr>
          <w:p>
            <w:pPr>
              <w:pStyle w:val="yTableNAm"/>
              <w:jc w:val="center"/>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jc w:val="center"/>
            </w:pPr>
            <w:r>
              <w:t>3</w:t>
            </w:r>
          </w:p>
        </w:tc>
      </w:tr>
    </w:tbl>
    <w:p>
      <w:pPr>
        <w:pStyle w:val="yMiscellaneousHeading"/>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24" w:name="_Toc86158197"/>
      <w:bookmarkStart w:id="25" w:name="_Toc86224023"/>
      <w:r>
        <w:t>Division 2 — Therapeutic and diagnostic services</w:t>
      </w:r>
      <w:bookmarkEnd w:id="24"/>
      <w:bookmarkEnd w:id="25"/>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lastRenderedPageBreak/>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pPr>
            <w:r>
              <w:lastRenderedPageBreak/>
              <w:t>Injection of an anaesthetic agent</w:t>
            </w:r>
          </w:p>
        </w:tc>
        <w:tc>
          <w:tcPr>
            <w:tcW w:w="965" w:type="dxa"/>
            <w:noWrap/>
            <w:vAlign w:val="bottom"/>
          </w:tcPr>
          <w:p>
            <w:pPr>
              <w:pStyle w:val="yTableNAm"/>
              <w:keepNext/>
              <w:jc w:val="center"/>
            </w:pPr>
          </w:p>
        </w:tc>
        <w:tc>
          <w:tcPr>
            <w:tcW w:w="965" w:type="dxa"/>
            <w:noWrap/>
            <w:vAlign w:val="bottom"/>
          </w:tcPr>
          <w:p>
            <w:pPr>
              <w:pStyle w:val="yTableNAm"/>
              <w:keepNext/>
              <w:jc w:val="center"/>
            </w:pPr>
          </w:p>
        </w:tc>
        <w:tc>
          <w:tcPr>
            <w:tcW w:w="965" w:type="dxa"/>
            <w:noWrap/>
            <w:vAlign w:val="bottom"/>
          </w:tcPr>
          <w:p>
            <w:pPr>
              <w:pStyle w:val="yTableNAm"/>
              <w:keepNext/>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brachial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lastRenderedPageBreak/>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stellate ganglion (cervical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lastRenderedPageBreak/>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lastRenderedPageBreak/>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For an unlisted service, the number of units is to be determined by reference to the nearest listed anaesthetic procedure.</w:t>
            </w:r>
          </w:p>
        </w:tc>
      </w:tr>
    </w:tbl>
    <w:p>
      <w:pPr>
        <w:pStyle w:val="yFootnotesection"/>
      </w:pPr>
      <w:r>
        <w:tab/>
        <w:t>[Part 1 inserted: SL 2021/169 r. 6.]</w:t>
      </w:r>
    </w:p>
    <w:p>
      <w:pPr>
        <w:pStyle w:val="yHeading3"/>
      </w:pPr>
      <w:bookmarkStart w:id="26" w:name="_Toc86158198"/>
      <w:bookmarkStart w:id="27" w:name="_Toc86224024"/>
      <w:r>
        <w:rPr>
          <w:rStyle w:val="CharSDivNo"/>
        </w:rPr>
        <w:t>Part 2</w:t>
      </w:r>
      <w:r>
        <w:t> — </w:t>
      </w:r>
      <w:r>
        <w:rPr>
          <w:rStyle w:val="CharSDivText"/>
        </w:rPr>
        <w:t>Medical procedures</w:t>
      </w:r>
      <w:bookmarkEnd w:id="26"/>
      <w:bookmarkEnd w:id="27"/>
    </w:p>
    <w:p>
      <w:pPr>
        <w:pStyle w:val="yFootnoteheading"/>
      </w:pPr>
      <w:r>
        <w:tab/>
        <w:t>[Heading inserted: SL 2021/169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$68.00</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Extensive burns</w:t>
            </w:r>
          </w:p>
        </w:tc>
        <w:tc>
          <w:tcPr>
            <w:tcW w:w="1134" w:type="dxa"/>
            <w:noWrap/>
            <w:vAlign w:val="bottom"/>
          </w:tcPr>
          <w:p>
            <w:pPr>
              <w:pStyle w:val="yTableNAm"/>
              <w:jc w:val="right"/>
            </w:pPr>
            <w:r>
              <w:t>$117.40</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$409.25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$90.20</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lastRenderedPageBreak/>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$483.65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$154.60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$173.90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$623.40</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$308.65</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$208.35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$234.25</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$312.55</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$56.70</w:t>
            </w:r>
          </w:p>
        </w:tc>
      </w:tr>
      <w:tr>
        <w:trPr>
          <w:cantSplit/>
        </w:trPr>
        <w:tc>
          <w:tcPr>
            <w:tcW w:w="5670" w:type="dxa"/>
            <w:noWrap/>
          </w:tcPr>
          <w:p>
            <w:pPr>
              <w:pStyle w:val="yTableNAm"/>
            </w:pPr>
            <w:r>
              <w:tab/>
              <w:t>superficial</w:t>
            </w:r>
          </w:p>
        </w:tc>
        <w:tc>
          <w:tcPr>
            <w:tcW w:w="1134" w:type="dxa"/>
            <w:noWrap/>
            <w:vAlign w:val="bottom"/>
          </w:tcPr>
          <w:p>
            <w:pPr>
              <w:pStyle w:val="yTableNAm"/>
              <w:jc w:val="right"/>
            </w:pPr>
            <w:r>
              <w:t>$253.00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$707.00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$182.30</w:t>
            </w:r>
          </w:p>
        </w:tc>
      </w:tr>
      <w:tr>
        <w:trPr>
          <w:cantSplit/>
        </w:trPr>
        <w:tc>
          <w:tcPr>
            <w:tcW w:w="5670" w:type="dxa"/>
            <w:noWrap/>
          </w:tcPr>
          <w:p>
            <w:pPr>
              <w:pStyle w:val="yTableNAm"/>
            </w:pPr>
            <w:r>
              <w:lastRenderedPageBreak/>
              <w:tab/>
              <w:t>nose, other than by simple probing</w:t>
            </w:r>
          </w:p>
        </w:tc>
        <w:tc>
          <w:tcPr>
            <w:tcW w:w="1134" w:type="dxa"/>
            <w:noWrap/>
            <w:vAlign w:val="bottom"/>
          </w:tcPr>
          <w:p>
            <w:pPr>
              <w:pStyle w:val="yTableNAm"/>
              <w:jc w:val="right"/>
            </w:pPr>
            <w:r>
              <w:t>$182.30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$186.10</w:t>
            </w:r>
          </w:p>
        </w:tc>
      </w:tr>
      <w:tr>
        <w:trPr>
          <w:cantSplit/>
        </w:trPr>
        <w:tc>
          <w:tcPr>
            <w:tcW w:w="5670" w:type="dxa"/>
            <w:noWrap/>
          </w:tcPr>
          <w:p>
            <w:pPr>
              <w:pStyle w:val="yTableNAm"/>
              <w:keepNext/>
            </w:pPr>
            <w:r>
              <w:t>FRACTURES</w:t>
            </w:r>
          </w:p>
        </w:tc>
        <w:tc>
          <w:tcPr>
            <w:tcW w:w="1134" w:type="dxa"/>
            <w:noWrap/>
            <w:vAlign w:val="bottom"/>
          </w:tcPr>
          <w:p>
            <w:pPr>
              <w:pStyle w:val="yTableNAm"/>
              <w:keepNext/>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$1 041.75</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$465.00</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$651.00</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$260.50</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$520.70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$1 041.75</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$119.10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$939.50</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$1 562.60</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$2 092.85</w:t>
            </w:r>
          </w:p>
        </w:tc>
      </w:tr>
      <w:tr>
        <w:trPr>
          <w:cantSplit/>
        </w:trPr>
        <w:tc>
          <w:tcPr>
            <w:tcW w:w="5670" w:type="dxa"/>
            <w:noWrap/>
          </w:tcPr>
          <w:p>
            <w:pPr>
              <w:pStyle w:val="yTableNAm"/>
              <w:keepNext/>
            </w:pPr>
            <w:r>
              <w:lastRenderedPageBreak/>
              <w:t>SUTURES</w:t>
            </w:r>
          </w:p>
        </w:tc>
        <w:tc>
          <w:tcPr>
            <w:tcW w:w="1134" w:type="dxa"/>
            <w:noWrap/>
            <w:vAlign w:val="bottom"/>
          </w:tcPr>
          <w:p>
            <w:pPr>
              <w:pStyle w:val="yTableNAm"/>
              <w:keepNext/>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$186.10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$483.65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$141.40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$212.10</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$212.10</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$465.00</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$707.00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$818.55</w:t>
            </w:r>
          </w:p>
        </w:tc>
      </w:tr>
      <w:tr>
        <w:trPr>
          <w:cantSplit/>
        </w:trPr>
        <w:tc>
          <w:tcPr>
            <w:tcW w:w="5670" w:type="dxa"/>
            <w:noWrap/>
          </w:tcPr>
          <w:p>
            <w:pPr>
              <w:pStyle w:val="yTableNAm"/>
            </w:pPr>
            <w:r>
              <w:t>At shoulder</w:t>
            </w:r>
          </w:p>
        </w:tc>
        <w:tc>
          <w:tcPr>
            <w:tcW w:w="1134" w:type="dxa"/>
            <w:noWrap/>
            <w:vAlign w:val="bottom"/>
          </w:tcPr>
          <w:p>
            <w:pPr>
              <w:pStyle w:val="yTableNAm"/>
              <w:jc w:val="right"/>
            </w:pPr>
            <w:r>
              <w:t>$1 385.75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$2 753.10</w:t>
            </w:r>
          </w:p>
        </w:tc>
      </w:tr>
      <w:tr>
        <w:trPr>
          <w:cantSplit/>
        </w:trPr>
        <w:tc>
          <w:tcPr>
            <w:tcW w:w="5670" w:type="dxa"/>
            <w:noWrap/>
          </w:tcPr>
          <w:p>
            <w:pPr>
              <w:pStyle w:val="yTableNAm"/>
            </w:pPr>
            <w:r>
              <w:t>1 digit of foot</w:t>
            </w:r>
          </w:p>
        </w:tc>
        <w:tc>
          <w:tcPr>
            <w:tcW w:w="1134" w:type="dxa"/>
            <w:noWrap/>
            <w:vAlign w:val="bottom"/>
          </w:tcPr>
          <w:p>
            <w:pPr>
              <w:pStyle w:val="yTableNAm"/>
              <w:jc w:val="right"/>
            </w:pPr>
            <w:r>
              <w:t>$372.00</w:t>
            </w:r>
          </w:p>
        </w:tc>
      </w:tr>
      <w:tr>
        <w:trPr>
          <w:cantSplit/>
        </w:trPr>
        <w:tc>
          <w:tcPr>
            <w:tcW w:w="5670" w:type="dxa"/>
            <w:noWrap/>
          </w:tcPr>
          <w:p>
            <w:pPr>
              <w:pStyle w:val="yTableNAm"/>
            </w:pPr>
            <w:r>
              <w:t>2 digits of 1 foot</w:t>
            </w:r>
          </w:p>
        </w:tc>
        <w:tc>
          <w:tcPr>
            <w:tcW w:w="1134" w:type="dxa"/>
            <w:noWrap/>
            <w:vAlign w:val="bottom"/>
          </w:tcPr>
          <w:p>
            <w:pPr>
              <w:pStyle w:val="yTableNAm"/>
              <w:jc w:val="right"/>
            </w:pPr>
            <w:r>
              <w:t>$558.20</w:t>
            </w:r>
          </w:p>
        </w:tc>
      </w:tr>
      <w:tr>
        <w:trPr>
          <w:cantSplit/>
        </w:trPr>
        <w:tc>
          <w:tcPr>
            <w:tcW w:w="5670" w:type="dxa"/>
            <w:noWrap/>
          </w:tcPr>
          <w:p>
            <w:pPr>
              <w:pStyle w:val="yTableNAm"/>
            </w:pPr>
            <w:r>
              <w:t>3 digits of 1 foot</w:t>
            </w:r>
          </w:p>
        </w:tc>
        <w:tc>
          <w:tcPr>
            <w:tcW w:w="1134" w:type="dxa"/>
            <w:noWrap/>
            <w:vAlign w:val="bottom"/>
          </w:tcPr>
          <w:p>
            <w:pPr>
              <w:pStyle w:val="yTableNAm"/>
              <w:jc w:val="right"/>
            </w:pPr>
            <w:r>
              <w:t>$753.45</w:t>
            </w:r>
          </w:p>
        </w:tc>
      </w:tr>
      <w:tr>
        <w:trPr>
          <w:cantSplit/>
        </w:trPr>
        <w:tc>
          <w:tcPr>
            <w:tcW w:w="5670" w:type="dxa"/>
            <w:noWrap/>
          </w:tcPr>
          <w:p>
            <w:pPr>
              <w:pStyle w:val="yTableNAm"/>
            </w:pPr>
            <w:r>
              <w:t>4 digits of 1 foot</w:t>
            </w:r>
          </w:p>
        </w:tc>
        <w:tc>
          <w:tcPr>
            <w:tcW w:w="1134" w:type="dxa"/>
            <w:noWrap/>
            <w:vAlign w:val="bottom"/>
          </w:tcPr>
          <w:p>
            <w:pPr>
              <w:pStyle w:val="yTableNAm"/>
              <w:jc w:val="right"/>
            </w:pPr>
            <w:r>
              <w:t>$939.50</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$1 125.45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$707.00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$1 209.30</w:t>
            </w:r>
          </w:p>
        </w:tc>
      </w:tr>
      <w:tr>
        <w:trPr>
          <w:cantSplit/>
        </w:trPr>
        <w:tc>
          <w:tcPr>
            <w:tcW w:w="5670" w:type="dxa"/>
            <w:noWrap/>
          </w:tcPr>
          <w:p>
            <w:pPr>
              <w:pStyle w:val="yTableNAm"/>
            </w:pPr>
            <w:r>
              <w:t>At hip</w:t>
            </w:r>
          </w:p>
        </w:tc>
        <w:tc>
          <w:tcPr>
            <w:tcW w:w="1134" w:type="dxa"/>
            <w:noWrap/>
            <w:vAlign w:val="bottom"/>
          </w:tcPr>
          <w:p>
            <w:pPr>
              <w:pStyle w:val="yTableNAm"/>
              <w:jc w:val="right"/>
            </w:pPr>
            <w:r>
              <w:t>$1 701.95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noWrap/>
          </w:tcPr>
          <w:p>
            <w:pPr>
              <w:pStyle w:val="yTableNAm"/>
              <w:rPr>
                <w:rStyle w:val="DraftersNotes"/>
              </w:rPr>
            </w:pPr>
            <w:r>
              <w:lastRenderedPageBreak/>
              <w:t>The fee is 20% of the total fee or the minimum sum of $234.25, whichever is greater.</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$141.40 will be paid to practitioners for the use of their private theatre, but this fee may only be charged if the patient would otherwise have been sent to hospital.</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2021/169 r. 6.]</w:t>
      </w:r>
    </w:p>
    <w:p>
      <w:pPr>
        <w:pStyle w:val="yHeading3"/>
      </w:pPr>
      <w:bookmarkStart w:id="28" w:name="_Toc86158199"/>
      <w:bookmarkStart w:id="29" w:name="_Toc86224025"/>
      <w:r>
        <w:rPr>
          <w:rStyle w:val="CharSDivNo"/>
        </w:rPr>
        <w:t>Part 3</w:t>
      </w:r>
      <w:r>
        <w:t> — </w:t>
      </w:r>
      <w:r>
        <w:rPr>
          <w:rStyle w:val="CharSDivText"/>
        </w:rPr>
        <w:t>Diagnostic Imaging Services</w:t>
      </w:r>
      <w:bookmarkEnd w:id="28"/>
      <w:bookmarkEnd w:id="29"/>
    </w:p>
    <w:p>
      <w:pPr>
        <w:pStyle w:val="yFootnoteheading"/>
      </w:pPr>
      <w:r>
        <w:tab/>
        <w:t>[Heading inserted: SL 2021/169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232.30</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79.00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55073</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55113</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55114</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55115</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55116</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55117</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575.25</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355.10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738.40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55294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231.95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56.90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265.15</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118.95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55768</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182.40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319.15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227.90</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79.00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374.00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483.45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556.20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646.05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646.05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56107</w:t>
            </w:r>
          </w:p>
        </w:tc>
        <w:tc>
          <w:tcPr>
            <w:tcW w:w="1134" w:type="dxa"/>
            <w:noWrap/>
            <w:vAlign w:val="bottom"/>
          </w:tcPr>
          <w:p>
            <w:pPr>
              <w:pStyle w:val="yTableNAm"/>
              <w:jc w:val="right"/>
            </w:pPr>
            <w:r>
              <w:t>652.25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625.70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vAlign w:val="bottom"/>
          </w:tcPr>
          <w:p>
            <w:pPr>
              <w:pStyle w:val="yTableNAm"/>
              <w:jc w:val="right"/>
            </w:pPr>
            <w:r>
              <w:t>316.00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565.80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767.00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286.65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387.40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56441</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738.40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920.55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vAlign w:val="bottom"/>
          </w:tcPr>
          <w:p>
            <w:pPr>
              <w:pStyle w:val="yTableNAm"/>
              <w:jc w:val="right"/>
            </w:pPr>
            <w:r>
              <w:t>370.35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vAlign w:val="bottom"/>
          </w:tcPr>
          <w:p>
            <w:pPr>
              <w:pStyle w:val="yTableNAm"/>
              <w:jc w:val="right"/>
            </w:pPr>
            <w:r>
              <w:t>467.50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vAlign w:val="bottom"/>
          </w:tcPr>
          <w:p>
            <w:pPr>
              <w:pStyle w:val="yTableNAm"/>
              <w:jc w:val="right"/>
            </w:pPr>
            <w:r>
              <w:t>215.00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vAlign w:val="bottom"/>
          </w:tcPr>
          <w:p>
            <w:pPr>
              <w:pStyle w:val="yTableNAm"/>
              <w:jc w:val="right"/>
            </w:pPr>
            <w:r>
              <w:t>321.15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894.90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1 074.15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vAlign w:val="bottom"/>
          </w:tcPr>
          <w:p>
            <w:pPr>
              <w:pStyle w:val="yTableNAm"/>
              <w:jc w:val="right"/>
            </w:pPr>
            <w:r>
              <w:t>447.45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vAlign w:val="bottom"/>
          </w:tcPr>
          <w:p>
            <w:pPr>
              <w:pStyle w:val="yTableNAm"/>
              <w:jc w:val="right"/>
            </w:pPr>
            <w:r>
              <w:t>544.45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895.10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pPr>
            <w:r>
              <w:t>1 088.90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pPr>
            <w:r>
              <w:t>447.55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pPr>
            <w:r>
              <w:t>544.50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297.60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vAlign w:val="bottom"/>
          </w:tcPr>
          <w:p>
            <w:pPr>
              <w:pStyle w:val="yTableNAm"/>
              <w:jc w:val="right"/>
            </w:pPr>
            <w:r>
              <w:t>148.65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901.45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vAlign w:val="bottom"/>
          </w:tcPr>
          <w:p>
            <w:pPr>
              <w:pStyle w:val="yTableNAm"/>
              <w:jc w:val="right"/>
            </w:pPr>
            <w:r>
              <w:t>463.45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vAlign w:val="bottom"/>
          </w:tcPr>
          <w:p>
            <w:pPr>
              <w:pStyle w:val="yTableNAm"/>
              <w:jc w:val="right"/>
            </w:pPr>
            <w:r>
              <w:t>978.15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vAlign w:val="bottom"/>
          </w:tcPr>
          <w:p>
            <w:pPr>
              <w:pStyle w:val="yTableNAm"/>
              <w:jc w:val="right"/>
            </w:pPr>
            <w:r>
              <w:t>506.65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vAlign w:val="bottom"/>
          </w:tcPr>
          <w:p>
            <w:pPr>
              <w:pStyle w:val="yTableNAm"/>
              <w:jc w:val="right"/>
            </w:pPr>
            <w:r>
              <w:t>506.65</w:t>
            </w:r>
          </w:p>
        </w:tc>
      </w:tr>
    </w:tbl>
    <w:p>
      <w:pPr>
        <w:pStyle w:val="yMiscellaneousBody"/>
        <w:keepNext/>
        <w:spacing w:after="60"/>
      </w:pPr>
      <w:r>
        <w:lastRenderedPageBreak/>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109.50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219.80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57942</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148.65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122.05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170.50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215.40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88.85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197.85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78.30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335.70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58718</w:t>
            </w:r>
          </w:p>
        </w:tc>
        <w:tc>
          <w:tcPr>
            <w:tcW w:w="1134" w:type="dxa"/>
            <w:noWrap/>
            <w:vAlign w:val="bottom"/>
          </w:tcPr>
          <w:p>
            <w:pPr>
              <w:pStyle w:val="yTableNAm"/>
              <w:jc w:val="right"/>
            </w:pPr>
            <w:r>
              <w:t>279.50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306.25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79.00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105.35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199.10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306.75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299.60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169.30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455.45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434.10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308.50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198.30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119.40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116.20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104.25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168.20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318.00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298.25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501.65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59733</w:t>
            </w:r>
          </w:p>
        </w:tc>
        <w:tc>
          <w:tcPr>
            <w:tcW w:w="1134" w:type="dxa"/>
            <w:noWrap/>
            <w:vAlign w:val="bottom"/>
          </w:tcPr>
          <w:p>
            <w:pPr>
              <w:pStyle w:val="yTableNAm"/>
              <w:jc w:val="right"/>
            </w:pPr>
            <w:r>
              <w:t>238.55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163.55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308.20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296.65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59903</w:t>
            </w:r>
          </w:p>
        </w:tc>
        <w:tc>
          <w:tcPr>
            <w:tcW w:w="1134" w:type="dxa"/>
            <w:noWrap/>
            <w:vAlign w:val="bottom"/>
          </w:tcPr>
          <w:p>
            <w:pPr>
              <w:pStyle w:val="yTableNAm"/>
              <w:jc w:val="right"/>
            </w:pPr>
            <w:r>
              <w:t>253.75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59912</w:t>
            </w:r>
          </w:p>
        </w:tc>
        <w:tc>
          <w:tcPr>
            <w:tcW w:w="1134" w:type="dxa"/>
            <w:noWrap/>
            <w:vAlign w:val="bottom"/>
          </w:tcPr>
          <w:p>
            <w:pPr>
              <w:pStyle w:val="yTableNAm"/>
              <w:jc w:val="right"/>
            </w:pPr>
            <w:r>
              <w:t>676.00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59925</w:t>
            </w:r>
          </w:p>
        </w:tc>
        <w:tc>
          <w:tcPr>
            <w:tcW w:w="1134" w:type="dxa"/>
            <w:noWrap/>
            <w:vAlign w:val="bottom"/>
          </w:tcPr>
          <w:p>
            <w:pPr>
              <w:pStyle w:val="yTableNAm"/>
              <w:jc w:val="right"/>
            </w:pPr>
            <w:r>
              <w:t>802.70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372.85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59971</w:t>
            </w:r>
          </w:p>
        </w:tc>
        <w:tc>
          <w:tcPr>
            <w:tcW w:w="1134" w:type="dxa"/>
            <w:noWrap/>
            <w:vAlign w:val="bottom"/>
          </w:tcPr>
          <w:p>
            <w:pPr>
              <w:pStyle w:val="yTableNAm"/>
              <w:jc w:val="right"/>
            </w:pPr>
            <w:r>
              <w:t>127.00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59972</w:t>
            </w:r>
          </w:p>
        </w:tc>
        <w:tc>
          <w:tcPr>
            <w:tcW w:w="1134" w:type="dxa"/>
            <w:noWrap/>
            <w:vAlign w:val="bottom"/>
          </w:tcPr>
          <w:p>
            <w:pPr>
              <w:pStyle w:val="yTableNAm"/>
              <w:jc w:val="right"/>
            </w:pPr>
            <w:r>
              <w:t>337.85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59973</w:t>
            </w:r>
          </w:p>
        </w:tc>
        <w:tc>
          <w:tcPr>
            <w:tcW w:w="1134" w:type="dxa"/>
            <w:noWrap/>
            <w:vAlign w:val="bottom"/>
          </w:tcPr>
          <w:p>
            <w:pPr>
              <w:pStyle w:val="yTableNAm"/>
              <w:jc w:val="right"/>
            </w:pPr>
            <w:r>
              <w:t>401.40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59974</w:t>
            </w:r>
          </w:p>
        </w:tc>
        <w:tc>
          <w:tcPr>
            <w:tcW w:w="1134" w:type="dxa"/>
            <w:noWrap/>
            <w:vAlign w:val="bottom"/>
          </w:tcPr>
          <w:p>
            <w:pPr>
              <w:pStyle w:val="yTableNAm"/>
              <w:jc w:val="right"/>
            </w:pPr>
            <w:r>
              <w:t>186.45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60036</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106.70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319.35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141.30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219.00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573.45</w:t>
            </w:r>
          </w:p>
        </w:tc>
      </w:tr>
    </w:tbl>
    <w:p>
      <w:pPr>
        <w:pStyle w:val="yMiscellaneousBody"/>
        <w:keepNext/>
        <w:spacing w:after="60"/>
      </w:pPr>
      <w:r>
        <w:lastRenderedPageBreak/>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765.80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vAlign w:val="bottom"/>
          </w:tcPr>
          <w:p>
            <w:pPr>
              <w:pStyle w:val="yTableNAm"/>
              <w:jc w:val="right"/>
            </w:pPr>
            <w:r>
              <w:t>964.40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vAlign w:val="bottom"/>
          </w:tcPr>
          <w:p>
            <w:pPr>
              <w:pStyle w:val="yTableNAm"/>
              <w:jc w:val="right"/>
            </w:pPr>
            <w:r>
              <w:t>1 210.75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vAlign w:val="bottom"/>
          </w:tcPr>
          <w:p>
            <w:pPr>
              <w:pStyle w:val="yTableNAm"/>
              <w:jc w:val="right"/>
            </w:pPr>
            <w:r>
              <w:t>1 424.45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626.60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517.60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716.50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756.45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659.45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670.10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688.20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787.25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3 438.90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244.60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979.80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vAlign w:val="bottom"/>
          </w:tcPr>
          <w:p>
            <w:pPr>
              <w:pStyle w:val="yTableNAm"/>
              <w:jc w:val="right"/>
            </w:pPr>
            <w:r>
              <w:t>1 066.05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1 173.25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61386</w:t>
            </w:r>
          </w:p>
        </w:tc>
        <w:tc>
          <w:tcPr>
            <w:tcW w:w="1154" w:type="dxa"/>
            <w:noWrap/>
            <w:vAlign w:val="bottom"/>
          </w:tcPr>
          <w:p>
            <w:pPr>
              <w:pStyle w:val="yTableNAm"/>
              <w:keepNext/>
              <w:jc w:val="right"/>
            </w:pPr>
            <w:r>
              <w:t>567.35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734.95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61389</w:t>
            </w:r>
          </w:p>
        </w:tc>
        <w:tc>
          <w:tcPr>
            <w:tcW w:w="1154" w:type="dxa"/>
            <w:noWrap/>
            <w:vAlign w:val="bottom"/>
          </w:tcPr>
          <w:p>
            <w:pPr>
              <w:pStyle w:val="yTableNAm"/>
              <w:jc w:val="right"/>
            </w:pPr>
            <w:r>
              <w:t>632.20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699.45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1 033.00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421.10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1 032.25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1 490.35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385.45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818.60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1 024.85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946.50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926.35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1 283.55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489.25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569.15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778.25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vAlign w:val="bottom"/>
          </w:tcPr>
          <w:p>
            <w:pPr>
              <w:pStyle w:val="yTableNAm"/>
              <w:jc w:val="right"/>
            </w:pPr>
            <w:r>
              <w:t>678.20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878.10</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61454</w:t>
            </w:r>
          </w:p>
        </w:tc>
        <w:tc>
          <w:tcPr>
            <w:tcW w:w="1154" w:type="dxa"/>
            <w:noWrap/>
            <w:vAlign w:val="bottom"/>
          </w:tcPr>
          <w:p>
            <w:pPr>
              <w:pStyle w:val="yTableNAm"/>
              <w:keepNext/>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802.60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900.40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61462</w:t>
            </w:r>
          </w:p>
        </w:tc>
        <w:tc>
          <w:tcPr>
            <w:tcW w:w="1154" w:type="dxa"/>
            <w:noWrap/>
            <w:vAlign w:val="bottom"/>
          </w:tcPr>
          <w:p>
            <w:pPr>
              <w:pStyle w:val="yTableNAm"/>
              <w:jc w:val="right"/>
            </w:pPr>
            <w:r>
              <w:t>222.30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299.15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660.05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1 704.70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vAlign w:val="bottom"/>
          </w:tcPr>
          <w:p>
            <w:pPr>
              <w:pStyle w:val="yTableNAm"/>
              <w:jc w:val="right"/>
            </w:pPr>
            <w:r>
              <w:t>1 499.05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63202—63203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127.05</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381.30</w:t>
            </w:r>
          </w:p>
        </w:tc>
      </w:tr>
    </w:tbl>
    <w:p>
      <w:pPr>
        <w:pStyle w:val="yFootnotesection"/>
      </w:pPr>
      <w:r>
        <w:tab/>
        <w:t>[Part 3 inserted: SL 2021/169 r. 6.]</w:t>
      </w:r>
    </w:p>
    <w:p>
      <w:pPr>
        <w:pStyle w:val="yScheduleHeading"/>
      </w:pPr>
      <w:bookmarkStart w:id="30" w:name="_Toc86158200"/>
      <w:bookmarkStart w:id="31" w:name="_Toc86224026"/>
      <w:bookmarkStart w:id="32" w:name="_Toc86150701"/>
      <w:bookmarkEnd w:id="19"/>
      <w:r>
        <w:rPr>
          <w:rStyle w:val="CharSchNo"/>
        </w:rPr>
        <w:lastRenderedPageBreak/>
        <w:t>Schedule 2</w:t>
      </w:r>
      <w:r>
        <w:t> — </w:t>
      </w:r>
      <w:r>
        <w:rPr>
          <w:rStyle w:val="CharSchText"/>
        </w:rPr>
        <w:t>Scale of fees: physiotherapists</w:t>
      </w:r>
      <w:bookmarkEnd w:id="30"/>
      <w:bookmarkEnd w:id="31"/>
    </w:p>
    <w:p>
      <w:pPr>
        <w:pStyle w:val="yShoulderClause"/>
      </w:pPr>
      <w:r>
        <w:t>[r. 3]</w:t>
      </w:r>
    </w:p>
    <w:p>
      <w:pPr>
        <w:pStyle w:val="yFootnoteheading"/>
      </w:pPr>
      <w:r>
        <w:tab/>
        <w:t>[Heading inserted: SL 2021/169 r. 6.]</w:t>
      </w:r>
    </w:p>
    <w:p>
      <w:pPr>
        <w:pStyle w:val="yHeading3"/>
      </w:pPr>
      <w:bookmarkStart w:id="33" w:name="_Toc86158201"/>
      <w:bookmarkStart w:id="34" w:name="_Toc86224027"/>
      <w:r>
        <w:rPr>
          <w:rStyle w:val="CharSDivNo"/>
        </w:rPr>
        <w:t>Part 1</w:t>
      </w:r>
      <w:r>
        <w:t> — </w:t>
      </w:r>
      <w:r>
        <w:rPr>
          <w:rStyle w:val="CharSDivText"/>
        </w:rPr>
        <w:t>General</w:t>
      </w:r>
      <w:bookmarkEnd w:id="33"/>
      <w:bookmarkEnd w:id="34"/>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$90.85</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lastRenderedPageBreak/>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$72.95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$92.20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$165.75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lastRenderedPageBreak/>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$20.75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$20.75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2021/169 r. 6.]</w:t>
      </w:r>
    </w:p>
    <w:p>
      <w:pPr>
        <w:pStyle w:val="yHeading3"/>
      </w:pPr>
      <w:bookmarkStart w:id="35" w:name="_Toc86158202"/>
      <w:bookmarkStart w:id="36" w:name="_Toc86224028"/>
      <w:r>
        <w:rPr>
          <w:rStyle w:val="CharSDivNo"/>
        </w:rPr>
        <w:t>Part 2</w:t>
      </w:r>
      <w:r>
        <w:t> — </w:t>
      </w:r>
      <w:r>
        <w:rPr>
          <w:rStyle w:val="CharSDivText"/>
        </w:rPr>
        <w:t>Exercise based programs</w:t>
      </w:r>
      <w:bookmarkEnd w:id="35"/>
      <w:bookmarkEnd w:id="36"/>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$207.05</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$207.05</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$207.05</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$207.05</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$207.05</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p>
      <w:pPr>
        <w:pStyle w:val="yScheduleHeading"/>
      </w:pPr>
      <w:bookmarkStart w:id="37" w:name="_Toc86158203"/>
      <w:bookmarkStart w:id="38" w:name="_Toc86224029"/>
      <w:bookmarkStart w:id="39" w:name="_Toc86150704"/>
      <w:bookmarkEnd w:id="32"/>
      <w:r>
        <w:rPr>
          <w:rStyle w:val="CharSchNo"/>
        </w:rPr>
        <w:lastRenderedPageBreak/>
        <w:t>Schedule 3</w:t>
      </w:r>
      <w:r>
        <w:rPr>
          <w:rStyle w:val="CharSDivNo"/>
        </w:rPr>
        <w:t> </w:t>
      </w:r>
      <w:r>
        <w:t>—</w:t>
      </w:r>
      <w:r>
        <w:rPr>
          <w:rStyle w:val="CharSDivText"/>
        </w:rPr>
        <w:t> </w:t>
      </w:r>
      <w:r>
        <w:rPr>
          <w:rStyle w:val="CharSchText"/>
        </w:rPr>
        <w:t>Scale of fees: chiropractors</w:t>
      </w:r>
      <w:bookmarkEnd w:id="37"/>
      <w:bookmarkEnd w:id="38"/>
    </w:p>
    <w:p>
      <w:pPr>
        <w:pStyle w:val="yShoulderClause"/>
      </w:pPr>
      <w:r>
        <w:t>[r. 4]</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$71.75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$59.85</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$142.60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$214.15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2021/169 r. 6.]</w:t>
      </w:r>
    </w:p>
    <w:p>
      <w:pPr>
        <w:pStyle w:val="yScheduleHeading"/>
      </w:pPr>
      <w:bookmarkStart w:id="40" w:name="_Toc86158204"/>
      <w:bookmarkStart w:id="41" w:name="_Toc86224030"/>
      <w:bookmarkStart w:id="42" w:name="_Toc86150705"/>
      <w:bookmarkEnd w:id="39"/>
      <w:r>
        <w:rPr>
          <w:rStyle w:val="CharSchNo"/>
        </w:rPr>
        <w:lastRenderedPageBreak/>
        <w:t>Schedule 4</w:t>
      </w:r>
      <w:r>
        <w:rPr>
          <w:rStyle w:val="CharSDivNo"/>
        </w:rPr>
        <w:t> </w:t>
      </w:r>
      <w:r>
        <w:t>—</w:t>
      </w:r>
      <w:r>
        <w:rPr>
          <w:rStyle w:val="CharSDivText"/>
        </w:rPr>
        <w:t> </w:t>
      </w:r>
      <w:r>
        <w:rPr>
          <w:rStyle w:val="CharSchText"/>
        </w:rPr>
        <w:t>Scale of fees: occupational therapists</w:t>
      </w:r>
      <w:bookmarkEnd w:id="40"/>
      <w:bookmarkEnd w:id="41"/>
    </w:p>
    <w:p>
      <w:pPr>
        <w:pStyle w:val="yShoulderClause"/>
      </w:pPr>
      <w:r>
        <w:t>[r. 5]</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tabs>
                <w:tab w:val="clear" w:pos="567"/>
              </w:tabs>
              <w:ind w:right="142"/>
              <w:jc w:val="right"/>
            </w:pPr>
            <w:r>
              <w:rPr>
                <w:szCs w:val="22"/>
              </w:rPr>
              <w:t>$30.85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tabs>
                <w:tab w:val="clear" w:pos="567"/>
              </w:tabs>
              <w:ind w:right="142"/>
              <w:jc w:val="right"/>
            </w:pPr>
            <w:r>
              <w:rPr>
                <w:szCs w:val="22"/>
              </w:rPr>
              <w:t>$62.10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tabs>
                <w:tab w:val="clear" w:pos="567"/>
              </w:tabs>
              <w:ind w:right="142"/>
              <w:jc w:val="right"/>
            </w:pPr>
            <w:r>
              <w:rPr>
                <w:szCs w:val="22"/>
              </w:rPr>
              <w:t>$102.40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tabs>
                <w:tab w:val="clear" w:pos="567"/>
              </w:tabs>
              <w:ind w:right="142"/>
              <w:jc w:val="right"/>
            </w:pPr>
            <w:r>
              <w:rPr>
                <w:szCs w:val="22"/>
              </w:rPr>
              <w:t>$153.55</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tabs>
                <w:tab w:val="clear" w:pos="567"/>
              </w:tabs>
              <w:ind w:right="142"/>
              <w:jc w:val="right"/>
            </w:pPr>
            <w:r>
              <w:rPr>
                <w:szCs w:val="22"/>
              </w:rPr>
              <w:t>$204.95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tabs>
                <w:tab w:val="clear" w:pos="567"/>
              </w:tabs>
              <w:ind w:right="142"/>
              <w:jc w:val="right"/>
            </w:pPr>
            <w:r>
              <w:rPr>
                <w:szCs w:val="22"/>
              </w:rPr>
              <w:t>$67.30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tabs>
                <w:tab w:val="clear" w:pos="567"/>
              </w:tabs>
              <w:ind w:left="-74" w:right="142"/>
              <w:jc w:val="right"/>
            </w:pPr>
            <w:r>
              <w:rPr>
                <w:szCs w:val="22"/>
              </w:rPr>
              <w:t>$204.95</w:t>
            </w:r>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tabs>
                <w:tab w:val="clear" w:pos="567"/>
              </w:tabs>
              <w:ind w:right="142"/>
              <w:jc w:val="right"/>
            </w:pPr>
            <w:r>
              <w:rPr>
                <w:szCs w:val="22"/>
              </w:rPr>
              <w:t>$90.85</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2021/169 r. 6.]</w:t>
      </w:r>
    </w:p>
    <w:p>
      <w:pPr>
        <w:pStyle w:val="yScheduleHeading"/>
      </w:pPr>
      <w:bookmarkStart w:id="43" w:name="_Toc86158205"/>
      <w:bookmarkStart w:id="44" w:name="_Toc86224031"/>
      <w:bookmarkStart w:id="45" w:name="_Toc86150706"/>
      <w:bookmarkEnd w:id="42"/>
      <w:r>
        <w:rPr>
          <w:rStyle w:val="CharSchNo"/>
        </w:rPr>
        <w:lastRenderedPageBreak/>
        <w:t>Schedule 5</w:t>
      </w:r>
      <w:r>
        <w:rPr>
          <w:rStyle w:val="CharSDivNo"/>
        </w:rPr>
        <w:t> </w:t>
      </w:r>
      <w:r>
        <w:t>—</w:t>
      </w:r>
      <w:r>
        <w:rPr>
          <w:rStyle w:val="CharSDivText"/>
        </w:rPr>
        <w:t> </w:t>
      </w:r>
      <w:r>
        <w:rPr>
          <w:rStyle w:val="CharSchText"/>
        </w:rPr>
        <w:t>Scale of fees: speech pathologists</w:t>
      </w:r>
      <w:bookmarkEnd w:id="43"/>
      <w:bookmarkEnd w:id="44"/>
    </w:p>
    <w:p>
      <w:pPr>
        <w:pStyle w:val="yShoulderClause"/>
      </w:pPr>
      <w:r>
        <w:t>[r. 7]</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$189.30</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$245.15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$82.55</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$107.25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$144.70</w:t>
            </w:r>
          </w:p>
        </w:tc>
      </w:tr>
    </w:tbl>
    <w:p>
      <w:pPr>
        <w:pStyle w:val="yFootnotesection"/>
      </w:pPr>
      <w:r>
        <w:tab/>
        <w:t>[Schedule 5 inserted: SL 2021/169 r. 6.]</w:t>
      </w:r>
    </w:p>
    <w:p>
      <w:pPr>
        <w:pStyle w:val="yScheduleHeading"/>
      </w:pPr>
      <w:bookmarkStart w:id="46" w:name="_Toc86158206"/>
      <w:bookmarkStart w:id="47" w:name="_Toc86224032"/>
      <w:bookmarkStart w:id="48" w:name="_Toc86150707"/>
      <w:bookmarkEnd w:id="45"/>
      <w:r>
        <w:rPr>
          <w:rStyle w:val="CharSchNo"/>
        </w:rPr>
        <w:lastRenderedPageBreak/>
        <w:t>Schedule 5A</w:t>
      </w:r>
      <w:r>
        <w:rPr>
          <w:rStyle w:val="CharSDivNo"/>
        </w:rPr>
        <w:t> </w:t>
      </w:r>
      <w:r>
        <w:t>—</w:t>
      </w:r>
      <w:r>
        <w:rPr>
          <w:rStyle w:val="CharSDivText"/>
        </w:rPr>
        <w:t> </w:t>
      </w:r>
      <w:r>
        <w:rPr>
          <w:rStyle w:val="CharSchText"/>
        </w:rPr>
        <w:t>Scale of fees: exercise physiologists</w:t>
      </w:r>
      <w:bookmarkEnd w:id="46"/>
      <w:bookmarkEnd w:id="47"/>
    </w:p>
    <w:p>
      <w:pPr>
        <w:pStyle w:val="yShoulderClause"/>
      </w:pPr>
      <w:r>
        <w:t>[r. 7B]</w:t>
      </w:r>
    </w:p>
    <w:p>
      <w:pPr>
        <w:pStyle w:val="yFootnoteheading"/>
      </w:pPr>
      <w:r>
        <w:tab/>
        <w:t>[Heading inserted: SL 2021/169 r. 6.]</w:t>
      </w:r>
    </w:p>
    <w:p>
      <w:pPr>
        <w:pStyle w:val="yHeading3"/>
      </w:pPr>
      <w:bookmarkStart w:id="49" w:name="_Toc86158207"/>
      <w:bookmarkStart w:id="50" w:name="_Toc86224033"/>
      <w:r>
        <w:t>Exercise</w:t>
      </w:r>
      <w:r>
        <w:noBreakHyphen/>
        <w:t>based programs</w:t>
      </w:r>
      <w:bookmarkEnd w:id="49"/>
      <w:bookmarkEnd w:id="5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$207.05</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lastRenderedPageBreak/>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$207.05</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lastRenderedPageBreak/>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992" w:type="dxa"/>
            <w:tcBorders>
              <w:top w:val="single" w:sz="4" w:space="0" w:color="auto"/>
              <w:bottom w:val="single" w:sz="4" w:space="0" w:color="auto"/>
            </w:tcBorders>
            <w:noWrap/>
          </w:tcPr>
          <w:p>
            <w:pPr>
              <w:pStyle w:val="yTableNAm"/>
            </w:pPr>
            <w:r>
              <w:lastRenderedPageBreak/>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$207.05</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2021/169 r. 6.]</w:t>
      </w:r>
    </w:p>
    <w:p>
      <w:pPr>
        <w:pStyle w:val="yScheduleHeading"/>
      </w:pPr>
      <w:bookmarkStart w:id="51" w:name="_Toc86158208"/>
      <w:bookmarkStart w:id="52" w:name="_Toc86224034"/>
      <w:bookmarkStart w:id="53" w:name="_Toc86150709"/>
      <w:bookmarkEnd w:id="48"/>
      <w:r>
        <w:rPr>
          <w:rStyle w:val="CharSchNo"/>
        </w:rPr>
        <w:lastRenderedPageBreak/>
        <w:t>Schedule 6</w:t>
      </w:r>
      <w:r>
        <w:t> — </w:t>
      </w:r>
      <w:r>
        <w:rPr>
          <w:rStyle w:val="CharSchText"/>
        </w:rPr>
        <w:t>Scale of maximum fees: approved medical specialists</w:t>
      </w:r>
      <w:bookmarkEnd w:id="51"/>
      <w:bookmarkEnd w:id="52"/>
    </w:p>
    <w:p>
      <w:pPr>
        <w:pStyle w:val="yShoulderClause"/>
      </w:pPr>
      <w:r>
        <w:t>[r. 9]</w:t>
      </w:r>
    </w:p>
    <w:p>
      <w:pPr>
        <w:pStyle w:val="yFootnoteheading"/>
      </w:pPr>
      <w:r>
        <w:tab/>
        <w:t>[Heading inserted: SL 2021/169 r. 6.]</w:t>
      </w:r>
    </w:p>
    <w:p>
      <w:pPr>
        <w:pStyle w:val="yHeading3"/>
        <w:rPr>
          <w:rStyle w:val="CharSDivText"/>
        </w:rPr>
      </w:pPr>
      <w:bookmarkStart w:id="54" w:name="_Toc86158209"/>
      <w:bookmarkStart w:id="55" w:name="_Toc86224035"/>
      <w:r>
        <w:rPr>
          <w:rStyle w:val="CharSDivNo"/>
        </w:rPr>
        <w:t>Part 1</w:t>
      </w:r>
      <w:r>
        <w:t> — </w:t>
      </w:r>
      <w:r>
        <w:rPr>
          <w:rStyle w:val="CharSDivText"/>
        </w:rPr>
        <w:t>Assessments</w:t>
      </w:r>
      <w:bookmarkEnd w:id="54"/>
      <w:bookmarkEnd w:id="55"/>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$1 746.00 (or, if an interpreter is present at the examination, $2 095.20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$3 491.75 (or, if an interpreter is present at the examination, $3 840.90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$698.35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$1 047.55 (or, if an interpreter is present at the examination, $1 396.80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$349.25</w:t>
            </w:r>
          </w:p>
        </w:tc>
      </w:tr>
    </w:tbl>
    <w:p>
      <w:pPr>
        <w:pStyle w:val="yFootnotesection"/>
      </w:pPr>
      <w:r>
        <w:tab/>
        <w:t>[Part 1 inserted: SL 2021/169 r. 6.]</w:t>
      </w:r>
    </w:p>
    <w:p>
      <w:pPr>
        <w:pStyle w:val="yHeading3"/>
        <w:rPr>
          <w:rStyle w:val="CharSDivText"/>
        </w:rPr>
      </w:pPr>
      <w:bookmarkStart w:id="56" w:name="_Toc86158210"/>
      <w:bookmarkStart w:id="57" w:name="_Toc86224036"/>
      <w:r>
        <w:rPr>
          <w:rStyle w:val="CharSDivNo"/>
        </w:rPr>
        <w:t>Part 2</w:t>
      </w:r>
      <w:r>
        <w:t> — </w:t>
      </w:r>
      <w:r>
        <w:rPr>
          <w:rStyle w:val="CharSDivText"/>
        </w:rPr>
        <w:t>Attempted assessments</w:t>
      </w:r>
      <w:bookmarkEnd w:id="56"/>
      <w:bookmarkEnd w:id="57"/>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$698.35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bookmarkEnd w:id="5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9" w:name="_Toc86150712"/>
      <w:bookmarkStart w:id="60" w:name="_Toc86158211"/>
      <w:bookmarkStart w:id="61" w:name="_Toc86224037"/>
      <w:r>
        <w:lastRenderedPageBreak/>
        <w:t>Notes</w:t>
      </w:r>
      <w:bookmarkEnd w:id="59"/>
      <w:bookmarkEnd w:id="60"/>
      <w:bookmarkEnd w:id="61"/>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xml:space="preserve">. For provisions that have come into operation, and for information about any reprints, see the compilation table. </w:t>
      </w:r>
    </w:p>
    <w:p>
      <w:pPr>
        <w:pStyle w:val="nHeading3"/>
      </w:pPr>
      <w:bookmarkStart w:id="62" w:name="_Toc86224038"/>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 2021</w:t>
            </w:r>
          </w:p>
        </w:tc>
        <w:tc>
          <w:tcPr>
            <w:tcW w:w="1276" w:type="dxa"/>
            <w:tcBorders>
              <w:bottom w:val="single" w:sz="4" w:space="0" w:color="auto"/>
            </w:tcBorders>
          </w:tcPr>
          <w:p>
            <w:pPr>
              <w:pStyle w:val="nTable"/>
              <w:spacing w:after="40"/>
            </w:pPr>
            <w:r>
              <w:t>SL 2021/169 8 Oct 2021</w:t>
            </w:r>
          </w:p>
        </w:tc>
        <w:tc>
          <w:tcPr>
            <w:tcW w:w="2693" w:type="dxa"/>
            <w:tcBorders>
              <w:bottom w:val="single" w:sz="4" w:space="0" w:color="auto"/>
            </w:tcBorders>
          </w:tcPr>
          <w:p>
            <w:pPr>
              <w:pStyle w:val="nTable"/>
              <w:spacing w:after="40"/>
            </w:pPr>
            <w:r>
              <w:t>r. 1 and 2: 8 Oct 2021 (see r. 2(a));</w:t>
            </w:r>
            <w:r>
              <w:br/>
              <w:t>Regulations other than r. 1 and 2: 1 Nov 2021 (see r. 2(b))</w:t>
            </w:r>
          </w:p>
        </w:tc>
      </w:tr>
    </w:tbl>
    <w:p>
      <w:pPr>
        <w:pStyle w:val="nHeading3"/>
        <w:keepLines/>
      </w:pPr>
      <w:bookmarkStart w:id="63" w:name="_Toc86224039"/>
      <w:r>
        <w:lastRenderedPageBreak/>
        <w:t>Other notes</w:t>
      </w:r>
      <w:bookmarkEnd w:id="63"/>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65" w:name="_Toc86224040"/>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6142316"/>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481F-C9EA-4D2E-A30C-741FB194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13369</Words>
  <Characters>72995</Characters>
  <Application>Microsoft Office Word</Application>
  <DocSecurity>0</DocSecurity>
  <Lines>4293</Lines>
  <Paragraphs>3198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1998 - 05-r0-00</dc:title>
  <dc:subject/>
  <dc:creator/>
  <cp:keywords/>
  <dc:description/>
  <cp:lastModifiedBy>Master Repository Process</cp:lastModifiedBy>
  <cp:revision>4</cp:revision>
  <cp:lastPrinted>2019-10-30T04:52:00Z</cp:lastPrinted>
  <dcterms:created xsi:type="dcterms:W3CDTF">2021-10-29T02:23:00Z</dcterms:created>
  <dcterms:modified xsi:type="dcterms:W3CDTF">2021-10-29T02:23:00Z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01 Nov 2021</vt:lpwstr>
  </property>
  <property fmtid="{D5CDD505-2E9C-101B-9397-08002B2CF9AE}" pid="8" name="Suffix">
    <vt:lpwstr>05-r0-00</vt:lpwstr>
  </property>
  <property fmtid="{D5CDD505-2E9C-101B-9397-08002B2CF9AE}" pid="9" name="CommencementDate">
    <vt:lpwstr>20211101</vt:lpwstr>
  </property>
</Properties>
</file>