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_Toc88058002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_Toc88058003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_Toc88058004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Quality and reliability standards</w:t>
      </w:r>
    </w:p>
    <w:p>
      <w:pPr>
        <w:pStyle w:val="TOC4"/>
        <w:tabs>
          <w:tab w:val="right" w:leader="dot" w:pos="7077"/>
        </w:tabs>
        <w:rPr>
          <w:rFonts w:asciiTheme="minorHAnsi" w:eastAsiaTheme="minorEastAsia" w:hAnsiTheme="minorHAnsi" w:cstheme="minorBidi"/>
          <w:b w:val="0"/>
          <w:szCs w:val="22"/>
        </w:rPr>
      </w:pPr>
      <w:r>
        <w:t>Division 1 — Quality standards</w:t>
      </w:r>
    </w:p>
    <w:p>
      <w:pPr>
        <w:pStyle w:val="TOC8"/>
        <w:rPr>
          <w:rFonts w:asciiTheme="minorHAnsi" w:eastAsiaTheme="minorEastAsia" w:hAnsiTheme="minorHAnsi" w:cstheme="minorBidi"/>
          <w:szCs w:val="22"/>
        </w:rPr>
      </w:pPr>
      <w:r>
        <w:t>4.</w:t>
      </w:r>
      <w:r>
        <w:tab/>
        <w:t>Term used: compatibility levels</w:t>
      </w:r>
      <w:r>
        <w:tab/>
      </w:r>
      <w:r>
        <w:fldChar w:fldCharType="begin"/>
      </w:r>
      <w:r>
        <w:instrText xml:space="preserve"> PAGEREF _Toc88058007 \h </w:instrText>
      </w:r>
      <w:r>
        <w:fldChar w:fldCharType="separate"/>
      </w:r>
      <w:r>
        <w:t>6</w:t>
      </w:r>
      <w:r>
        <w:fldChar w:fldCharType="end"/>
      </w:r>
    </w:p>
    <w:p>
      <w:pPr>
        <w:pStyle w:val="TOC8"/>
        <w:rPr>
          <w:rFonts w:asciiTheme="minorHAnsi" w:eastAsiaTheme="minorEastAsia" w:hAnsiTheme="minorHAnsi" w:cstheme="minorBidi"/>
          <w:szCs w:val="22"/>
        </w:rPr>
      </w:pPr>
      <w:r>
        <w:t>5.</w:t>
      </w:r>
      <w:r>
        <w:tab/>
        <w:t>Obligation to observe standards</w:t>
      </w:r>
      <w:r>
        <w:tab/>
      </w:r>
      <w:r>
        <w:fldChar w:fldCharType="begin"/>
      </w:r>
      <w:r>
        <w:instrText xml:space="preserve"> PAGEREF _Toc88058008 \h </w:instrText>
      </w:r>
      <w:r>
        <w:fldChar w:fldCharType="separate"/>
      </w:r>
      <w:r>
        <w:t>6</w:t>
      </w:r>
      <w:r>
        <w:fldChar w:fldCharType="end"/>
      </w:r>
    </w:p>
    <w:p>
      <w:pPr>
        <w:pStyle w:val="TOC8"/>
        <w:rPr>
          <w:rFonts w:asciiTheme="minorHAnsi" w:eastAsiaTheme="minorEastAsia" w:hAnsiTheme="minorHAnsi" w:cstheme="minorBidi"/>
          <w:szCs w:val="22"/>
        </w:rPr>
      </w:pPr>
      <w:r>
        <w:t>6.</w:t>
      </w:r>
      <w:r>
        <w:tab/>
        <w:t>Voltage fluctuations</w:t>
      </w:r>
      <w:r>
        <w:tab/>
      </w:r>
      <w:r>
        <w:fldChar w:fldCharType="begin"/>
      </w:r>
      <w:r>
        <w:instrText xml:space="preserve"> PAGEREF _Toc88058009 \h </w:instrText>
      </w:r>
      <w:r>
        <w:fldChar w:fldCharType="separate"/>
      </w:r>
      <w:r>
        <w:t>6</w:t>
      </w:r>
      <w:r>
        <w:fldChar w:fldCharType="end"/>
      </w:r>
    </w:p>
    <w:p>
      <w:pPr>
        <w:pStyle w:val="TOC8"/>
        <w:rPr>
          <w:rFonts w:asciiTheme="minorHAnsi" w:eastAsiaTheme="minorEastAsia" w:hAnsiTheme="minorHAnsi" w:cstheme="minorBidi"/>
          <w:szCs w:val="22"/>
        </w:rPr>
      </w:pPr>
      <w:r>
        <w:t>7.</w:t>
      </w:r>
      <w:r>
        <w:tab/>
        <w:t>Harmonics</w:t>
      </w:r>
      <w:r>
        <w:tab/>
      </w:r>
      <w:r>
        <w:fldChar w:fldCharType="begin"/>
      </w:r>
      <w:r>
        <w:instrText xml:space="preserve"> PAGEREF _Toc88058010 \h </w:instrText>
      </w:r>
      <w:r>
        <w:fldChar w:fldCharType="separate"/>
      </w:r>
      <w:r>
        <w:t>7</w:t>
      </w:r>
      <w:r>
        <w:fldChar w:fldCharType="end"/>
      </w:r>
    </w:p>
    <w:p>
      <w:pPr>
        <w:pStyle w:val="TOC8"/>
        <w:rPr>
          <w:rFonts w:asciiTheme="minorHAnsi" w:eastAsiaTheme="minorEastAsia" w:hAnsiTheme="minorHAnsi" w:cstheme="minorBidi"/>
          <w:szCs w:val="22"/>
        </w:rPr>
      </w:pPr>
      <w:r>
        <w:t>8.</w:t>
      </w:r>
      <w:r>
        <w:tab/>
        <w:t>Duty to disconnect if damage may result</w:t>
      </w:r>
      <w:r>
        <w:tab/>
      </w:r>
      <w:r>
        <w:fldChar w:fldCharType="begin"/>
      </w:r>
      <w:r>
        <w:instrText xml:space="preserve"> PAGEREF _Toc88058011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Standards for the interruption of supply to individual customers</w:t>
      </w:r>
    </w:p>
    <w:p>
      <w:pPr>
        <w:pStyle w:val="TOC8"/>
        <w:rPr>
          <w:rFonts w:asciiTheme="minorHAnsi" w:eastAsiaTheme="minorEastAsia" w:hAnsiTheme="minorHAnsi" w:cstheme="minorBidi"/>
          <w:szCs w:val="22"/>
        </w:rPr>
      </w:pPr>
      <w:r>
        <w:t>9.</w:t>
      </w:r>
      <w:r>
        <w:tab/>
        <w:t>General standard of reliability</w:t>
      </w:r>
      <w:r>
        <w:tab/>
      </w:r>
      <w:r>
        <w:fldChar w:fldCharType="begin"/>
      </w:r>
      <w:r>
        <w:instrText xml:space="preserve"> PAGEREF _Toc88058013 \h </w:instrText>
      </w:r>
      <w:r>
        <w:fldChar w:fldCharType="separate"/>
      </w:r>
      <w:r>
        <w:t>8</w:t>
      </w:r>
      <w:r>
        <w:fldChar w:fldCharType="end"/>
      </w:r>
    </w:p>
    <w:p>
      <w:pPr>
        <w:pStyle w:val="TOC8"/>
        <w:rPr>
          <w:rFonts w:asciiTheme="minorHAnsi" w:eastAsiaTheme="minorEastAsia" w:hAnsiTheme="minorHAnsi" w:cstheme="minorBidi"/>
          <w:szCs w:val="22"/>
        </w:rPr>
      </w:pPr>
      <w:r>
        <w:t>10.</w:t>
      </w:r>
      <w:r>
        <w:tab/>
        <w:t>Duty to reduce effect of interruption</w:t>
      </w:r>
      <w:r>
        <w:tab/>
      </w:r>
      <w:r>
        <w:fldChar w:fldCharType="begin"/>
      </w:r>
      <w:r>
        <w:instrText xml:space="preserve"> PAGEREF _Toc88058014 \h </w:instrText>
      </w:r>
      <w:r>
        <w:fldChar w:fldCharType="separate"/>
      </w:r>
      <w:r>
        <w:t>8</w:t>
      </w:r>
      <w:r>
        <w:fldChar w:fldCharType="end"/>
      </w:r>
    </w:p>
    <w:p>
      <w:pPr>
        <w:pStyle w:val="TOC8"/>
        <w:rPr>
          <w:rFonts w:asciiTheme="minorHAnsi" w:eastAsiaTheme="minorEastAsia" w:hAnsiTheme="minorHAnsi" w:cstheme="minorBidi"/>
          <w:szCs w:val="22"/>
        </w:rPr>
      </w:pPr>
      <w:r>
        <w:t>11.</w:t>
      </w:r>
      <w:r>
        <w:tab/>
        <w:t>Planned interruptions</w:t>
      </w:r>
      <w:r>
        <w:tab/>
      </w:r>
      <w:r>
        <w:fldChar w:fldCharType="begin"/>
      </w:r>
      <w:r>
        <w:instrText xml:space="preserve"> PAGEREF _Toc88058015 \h </w:instrText>
      </w:r>
      <w:r>
        <w:fldChar w:fldCharType="separate"/>
      </w:r>
      <w:r>
        <w:t>9</w:t>
      </w:r>
      <w:r>
        <w:fldChar w:fldCharType="end"/>
      </w:r>
    </w:p>
    <w:p>
      <w:pPr>
        <w:pStyle w:val="TOC8"/>
        <w:rPr>
          <w:rFonts w:asciiTheme="minorHAnsi" w:eastAsiaTheme="minorEastAsia" w:hAnsiTheme="minorHAnsi" w:cstheme="minorBidi"/>
          <w:szCs w:val="22"/>
        </w:rPr>
      </w:pPr>
      <w:r>
        <w:t>11A.</w:t>
      </w:r>
      <w:r>
        <w:tab/>
        <w:t>Interruptions to restore supply from network</w:t>
      </w:r>
      <w:r>
        <w:tab/>
      </w:r>
      <w:r>
        <w:fldChar w:fldCharType="begin"/>
      </w:r>
      <w:r>
        <w:instrText xml:space="preserve"> PAGEREF _Toc88058016 \h </w:instrText>
      </w:r>
      <w:r>
        <w:fldChar w:fldCharType="separate"/>
      </w:r>
      <w:r>
        <w:t>11</w:t>
      </w:r>
      <w:r>
        <w:fldChar w:fldCharType="end"/>
      </w:r>
    </w:p>
    <w:p>
      <w:pPr>
        <w:pStyle w:val="TOC8"/>
        <w:rPr>
          <w:rFonts w:asciiTheme="minorHAnsi" w:eastAsiaTheme="minorEastAsia" w:hAnsiTheme="minorHAnsi" w:cstheme="minorBidi"/>
          <w:szCs w:val="22"/>
        </w:rPr>
      </w:pPr>
      <w:r>
        <w:t>12.</w:t>
      </w:r>
      <w:r>
        <w:tab/>
        <w:t>Significant interruptions to small use customers</w:t>
      </w:r>
      <w:r>
        <w:tab/>
      </w:r>
      <w:r>
        <w:fldChar w:fldCharType="begin"/>
      </w:r>
      <w:r>
        <w:instrText xml:space="preserve"> PAGEREF _Toc88058017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Standards for the duration of interruption of supply in particular areas</w:t>
      </w:r>
    </w:p>
    <w:p>
      <w:pPr>
        <w:pStyle w:val="TOC8"/>
        <w:rPr>
          <w:rFonts w:asciiTheme="minorHAnsi" w:eastAsiaTheme="minorEastAsia" w:hAnsiTheme="minorHAnsi" w:cstheme="minorBidi"/>
          <w:szCs w:val="22"/>
        </w:rPr>
      </w:pPr>
      <w:r>
        <w:t>13.</w:t>
      </w:r>
      <w:r>
        <w:tab/>
        <w:t>Standards prescribed for particular areas</w:t>
      </w:r>
      <w:r>
        <w:tab/>
      </w:r>
      <w:r>
        <w:fldChar w:fldCharType="begin"/>
      </w:r>
      <w:r>
        <w:instrText xml:space="preserve"> PAGEREF _Toc88058019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Temporary reliability standards for supply to particular areas</w:t>
      </w:r>
    </w:p>
    <w:p>
      <w:pPr>
        <w:pStyle w:val="TOC8"/>
        <w:rPr>
          <w:rFonts w:asciiTheme="minorHAnsi" w:eastAsiaTheme="minorEastAsia" w:hAnsiTheme="minorHAnsi" w:cstheme="minorBidi"/>
          <w:szCs w:val="22"/>
        </w:rPr>
      </w:pPr>
      <w:r>
        <w:t>13A.</w:t>
      </w:r>
      <w:r>
        <w:tab/>
        <w:t>Temporary reliability standards for Eastern Goldfields and North Country</w:t>
      </w:r>
      <w:r>
        <w:tab/>
      </w:r>
      <w:r>
        <w:fldChar w:fldCharType="begin"/>
      </w:r>
      <w:r>
        <w:instrText xml:space="preserve"> PAGEREF _Toc88058021 \h </w:instrText>
      </w:r>
      <w:r>
        <w:fldChar w:fldCharType="separate"/>
      </w:r>
      <w:r>
        <w:t>13</w:t>
      </w:r>
      <w:r>
        <w:fldChar w:fldCharType="end"/>
      </w:r>
    </w:p>
    <w:p>
      <w:pPr>
        <w:pStyle w:val="TOC8"/>
        <w:rPr>
          <w:rFonts w:asciiTheme="minorHAnsi" w:eastAsiaTheme="minorEastAsia" w:hAnsiTheme="minorHAnsi" w:cstheme="minorBidi"/>
          <w:szCs w:val="22"/>
        </w:rPr>
      </w:pPr>
      <w:r>
        <w:t>13B.</w:t>
      </w:r>
      <w:r>
        <w:tab/>
        <w:t>Temporary reliability standards for supply to Eastern Goldfields</w:t>
      </w:r>
      <w:r>
        <w:tab/>
      </w:r>
      <w:r>
        <w:fldChar w:fldCharType="begin"/>
      </w:r>
      <w:r>
        <w:instrText xml:space="preserve"> PAGEREF _Toc88058022 \h </w:instrText>
      </w:r>
      <w:r>
        <w:fldChar w:fldCharType="separate"/>
      </w:r>
      <w:r>
        <w:t>14</w:t>
      </w:r>
      <w:r>
        <w:fldChar w:fldCharType="end"/>
      </w:r>
    </w:p>
    <w:p>
      <w:pPr>
        <w:pStyle w:val="TOC8"/>
        <w:rPr>
          <w:rFonts w:asciiTheme="minorHAnsi" w:eastAsiaTheme="minorEastAsia" w:hAnsiTheme="minorHAnsi" w:cstheme="minorBidi"/>
          <w:szCs w:val="22"/>
        </w:rPr>
      </w:pPr>
      <w:r>
        <w:t>13C.</w:t>
      </w:r>
      <w:r>
        <w:tab/>
        <w:t>Temporary reliability standards for supply to North Country</w:t>
      </w:r>
      <w:r>
        <w:tab/>
      </w:r>
      <w:r>
        <w:fldChar w:fldCharType="begin"/>
      </w:r>
      <w:r>
        <w:instrText xml:space="preserve"> PAGEREF _Toc88058023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Variation of obligations under this Part</w:t>
      </w:r>
    </w:p>
    <w:p>
      <w:pPr>
        <w:pStyle w:val="TOC8"/>
        <w:rPr>
          <w:rFonts w:asciiTheme="minorHAnsi" w:eastAsiaTheme="minorEastAsia" w:hAnsiTheme="minorHAnsi" w:cstheme="minorBidi"/>
          <w:szCs w:val="22"/>
        </w:rPr>
      </w:pPr>
      <w:r>
        <w:t>14.</w:t>
      </w:r>
      <w:r>
        <w:tab/>
        <w:t>Alternative provision may be made by Minister on application</w:t>
      </w:r>
      <w:r>
        <w:tab/>
      </w:r>
      <w:r>
        <w:fldChar w:fldCharType="begin"/>
      </w:r>
      <w:r>
        <w:instrText xml:space="preserve"> PAGEREF _Toc88058025 \h </w:instrText>
      </w:r>
      <w:r>
        <w:fldChar w:fldCharType="separate"/>
      </w:r>
      <w:r>
        <w:t>15</w:t>
      </w:r>
      <w:r>
        <w:fldChar w:fldCharType="end"/>
      </w:r>
    </w:p>
    <w:p>
      <w:pPr>
        <w:pStyle w:val="TOC8"/>
        <w:rPr>
          <w:rFonts w:asciiTheme="minorHAnsi" w:eastAsiaTheme="minorEastAsia" w:hAnsiTheme="minorHAnsi" w:cstheme="minorBidi"/>
          <w:szCs w:val="22"/>
        </w:rPr>
      </w:pPr>
      <w:r>
        <w:t>15.</w:t>
      </w:r>
      <w:r>
        <w:tab/>
        <w:t>Provisions may be excluded or modified by agreement</w:t>
      </w:r>
      <w:r>
        <w:tab/>
      </w:r>
      <w:r>
        <w:fldChar w:fldCharType="begin"/>
      </w:r>
      <w:r>
        <w:instrText xml:space="preserve"> PAGEREF _Toc88058026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Payments for failure to meet certain standards</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_Toc88058028 \h </w:instrText>
      </w:r>
      <w:r>
        <w:fldChar w:fldCharType="separate"/>
      </w:r>
      <w:r>
        <w:t>17</w:t>
      </w:r>
      <w:r>
        <w:fldChar w:fldCharType="end"/>
      </w:r>
    </w:p>
    <w:p>
      <w:pPr>
        <w:pStyle w:val="TOC8"/>
        <w:rPr>
          <w:rFonts w:asciiTheme="minorHAnsi" w:eastAsiaTheme="minorEastAsia" w:hAnsiTheme="minorHAnsi" w:cstheme="minorBidi"/>
          <w:szCs w:val="22"/>
        </w:rPr>
      </w:pPr>
      <w:r>
        <w:t>17.</w:t>
      </w:r>
      <w:r>
        <w:tab/>
        <w:t>Interruptions to which this Part does not apply</w:t>
      </w:r>
      <w:r>
        <w:tab/>
      </w:r>
      <w:r>
        <w:fldChar w:fldCharType="begin"/>
      </w:r>
      <w:r>
        <w:instrText xml:space="preserve"> PAGEREF _Toc88058029 \h </w:instrText>
      </w:r>
      <w:r>
        <w:fldChar w:fldCharType="separate"/>
      </w:r>
      <w:r>
        <w:t>18</w:t>
      </w:r>
      <w:r>
        <w:fldChar w:fldCharType="end"/>
      </w:r>
    </w:p>
    <w:p>
      <w:pPr>
        <w:pStyle w:val="TOC8"/>
        <w:rPr>
          <w:rFonts w:asciiTheme="minorHAnsi" w:eastAsiaTheme="minorEastAsia" w:hAnsiTheme="minorHAnsi" w:cstheme="minorBidi"/>
          <w:szCs w:val="22"/>
        </w:rPr>
      </w:pPr>
      <w:r>
        <w:t>18.</w:t>
      </w:r>
      <w:r>
        <w:tab/>
        <w:t>Payment for failure to give required notice of planned interruption</w:t>
      </w:r>
      <w:r>
        <w:tab/>
      </w:r>
      <w:r>
        <w:fldChar w:fldCharType="begin"/>
      </w:r>
      <w:r>
        <w:instrText xml:space="preserve"> PAGEREF _Toc88058030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for supply interruptions exceeding 12 hours</w:t>
      </w:r>
      <w:r>
        <w:tab/>
      </w:r>
      <w:r>
        <w:fldChar w:fldCharType="begin"/>
      </w:r>
      <w:r>
        <w:instrText xml:space="preserve"> PAGEREF _Toc88058031 \h </w:instrText>
      </w:r>
      <w:r>
        <w:fldChar w:fldCharType="separate"/>
      </w:r>
      <w:r>
        <w:t>19</w:t>
      </w:r>
      <w:r>
        <w:fldChar w:fldCharType="end"/>
      </w:r>
    </w:p>
    <w:p>
      <w:pPr>
        <w:pStyle w:val="TOC8"/>
        <w:rPr>
          <w:rFonts w:asciiTheme="minorHAnsi" w:eastAsiaTheme="minorEastAsia" w:hAnsiTheme="minorHAnsi" w:cstheme="minorBidi"/>
          <w:szCs w:val="22"/>
        </w:rPr>
      </w:pPr>
      <w:r>
        <w:t>20.</w:t>
      </w:r>
      <w:r>
        <w:tab/>
        <w:t>Only one application for each premises</w:t>
      </w:r>
      <w:r>
        <w:tab/>
      </w:r>
      <w:r>
        <w:fldChar w:fldCharType="begin"/>
      </w:r>
      <w:r>
        <w:instrText xml:space="preserve"> PAGEREF _Toc88058032 \h </w:instrText>
      </w:r>
      <w:r>
        <w:fldChar w:fldCharType="separate"/>
      </w:r>
      <w:r>
        <w:t>19</w:t>
      </w:r>
      <w:r>
        <w:fldChar w:fldCharType="end"/>
      </w:r>
    </w:p>
    <w:p>
      <w:pPr>
        <w:pStyle w:val="TOC8"/>
        <w:rPr>
          <w:rFonts w:asciiTheme="minorHAnsi" w:eastAsiaTheme="minorEastAsia" w:hAnsiTheme="minorHAnsi" w:cstheme="minorBidi"/>
          <w:szCs w:val="22"/>
        </w:rPr>
      </w:pPr>
      <w:r>
        <w:t>21.</w:t>
      </w:r>
      <w:r>
        <w:tab/>
        <w:t>Information to be provided</w:t>
      </w:r>
      <w:r>
        <w:tab/>
      </w:r>
      <w:r>
        <w:fldChar w:fldCharType="begin"/>
      </w:r>
      <w:r>
        <w:instrText xml:space="preserve"> PAGEREF _Toc88058033 \h </w:instrText>
      </w:r>
      <w:r>
        <w:fldChar w:fldCharType="separate"/>
      </w:r>
      <w:r>
        <w:t>20</w:t>
      </w:r>
      <w:r>
        <w:fldChar w:fldCharType="end"/>
      </w:r>
    </w:p>
    <w:p>
      <w:pPr>
        <w:pStyle w:val="TOC8"/>
        <w:rPr>
          <w:rFonts w:asciiTheme="minorHAnsi" w:eastAsiaTheme="minorEastAsia" w:hAnsiTheme="minorHAnsi" w:cstheme="minorBidi"/>
          <w:szCs w:val="22"/>
        </w:rPr>
      </w:pPr>
      <w:r>
        <w:t>22.</w:t>
      </w:r>
      <w:r>
        <w:tab/>
        <w:t>Alternative methods of payment</w:t>
      </w:r>
      <w:r>
        <w:tab/>
      </w:r>
      <w:r>
        <w:fldChar w:fldCharType="begin"/>
      </w:r>
      <w:r>
        <w:instrText xml:space="preserve"> PAGEREF _Toc88058034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Duties incidental to the prescribed standards</w:t>
      </w:r>
    </w:p>
    <w:p>
      <w:pPr>
        <w:pStyle w:val="TOC4"/>
        <w:tabs>
          <w:tab w:val="right" w:leader="dot" w:pos="7077"/>
        </w:tabs>
        <w:rPr>
          <w:rFonts w:asciiTheme="minorHAnsi" w:eastAsiaTheme="minorEastAsia" w:hAnsiTheme="minorHAnsi" w:cstheme="minorBidi"/>
          <w:b w:val="0"/>
          <w:szCs w:val="22"/>
        </w:rPr>
      </w:pPr>
      <w:r>
        <w:t>Division 1 — Monitoring, record keeping and investigation</w:t>
      </w:r>
    </w:p>
    <w:p>
      <w:pPr>
        <w:pStyle w:val="TOC8"/>
        <w:rPr>
          <w:rFonts w:asciiTheme="minorHAnsi" w:eastAsiaTheme="minorEastAsia" w:hAnsiTheme="minorHAnsi" w:cstheme="minorBidi"/>
          <w:szCs w:val="22"/>
        </w:rPr>
      </w:pPr>
      <w:r>
        <w:t>23.</w:t>
      </w:r>
      <w:r>
        <w:tab/>
        <w:t>Monitoring and record keeping</w:t>
      </w:r>
      <w:r>
        <w:tab/>
      </w:r>
      <w:r>
        <w:fldChar w:fldCharType="begin"/>
      </w:r>
      <w:r>
        <w:instrText xml:space="preserve"> PAGEREF _Toc88058037 \h </w:instrText>
      </w:r>
      <w:r>
        <w:fldChar w:fldCharType="separate"/>
      </w:r>
      <w:r>
        <w:t>21</w:t>
      </w:r>
      <w:r>
        <w:fldChar w:fldCharType="end"/>
      </w:r>
    </w:p>
    <w:p>
      <w:pPr>
        <w:pStyle w:val="TOC8"/>
        <w:rPr>
          <w:rFonts w:asciiTheme="minorHAnsi" w:eastAsiaTheme="minorEastAsia" w:hAnsiTheme="minorHAnsi" w:cstheme="minorBidi"/>
          <w:szCs w:val="22"/>
        </w:rPr>
      </w:pPr>
      <w:r>
        <w:t>24.</w:t>
      </w:r>
      <w:r>
        <w:tab/>
        <w:t>Quality investigations</w:t>
      </w:r>
      <w:r>
        <w:tab/>
      </w:r>
      <w:r>
        <w:fldChar w:fldCharType="begin"/>
      </w:r>
      <w:r>
        <w:instrText xml:space="preserve"> PAGEREF _Toc88058038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Complaints</w:t>
      </w:r>
    </w:p>
    <w:p>
      <w:pPr>
        <w:pStyle w:val="TOC8"/>
        <w:rPr>
          <w:rFonts w:asciiTheme="minorHAnsi" w:eastAsiaTheme="minorEastAsia" w:hAnsiTheme="minorHAnsi" w:cstheme="minorBidi"/>
          <w:szCs w:val="22"/>
        </w:rPr>
      </w:pPr>
      <w:r>
        <w:t>25.</w:t>
      </w:r>
      <w:r>
        <w:tab/>
        <w:t>Information to be given to small use customers</w:t>
      </w:r>
      <w:r>
        <w:tab/>
      </w:r>
      <w:r>
        <w:fldChar w:fldCharType="begin"/>
      </w:r>
      <w:r>
        <w:instrText xml:space="preserve"> PAGEREF _Toc88058040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Performance reporting</w:t>
      </w:r>
    </w:p>
    <w:p>
      <w:pPr>
        <w:pStyle w:val="TOC8"/>
        <w:rPr>
          <w:rFonts w:asciiTheme="minorHAnsi" w:eastAsiaTheme="minorEastAsia" w:hAnsiTheme="minorHAnsi" w:cstheme="minorBidi"/>
          <w:szCs w:val="22"/>
        </w:rPr>
      </w:pPr>
      <w:r>
        <w:t>25A.</w:t>
      </w:r>
      <w:r>
        <w:tab/>
        <w:t>Term used: reporting period</w:t>
      </w:r>
      <w:r>
        <w:tab/>
      </w:r>
      <w:r>
        <w:fldChar w:fldCharType="begin"/>
      </w:r>
      <w:r>
        <w:instrText xml:space="preserve"> PAGEREF _Toc88058042 \h </w:instrText>
      </w:r>
      <w:r>
        <w:fldChar w:fldCharType="separate"/>
      </w:r>
      <w:r>
        <w:t>23</w:t>
      </w:r>
      <w:r>
        <w:fldChar w:fldCharType="end"/>
      </w:r>
    </w:p>
    <w:p>
      <w:pPr>
        <w:pStyle w:val="TOC8"/>
        <w:rPr>
          <w:rFonts w:asciiTheme="minorHAnsi" w:eastAsiaTheme="minorEastAsia" w:hAnsiTheme="minorHAnsi" w:cstheme="minorBidi"/>
          <w:szCs w:val="22"/>
        </w:rPr>
      </w:pPr>
      <w:r>
        <w:t>26.</w:t>
      </w:r>
      <w:r>
        <w:tab/>
        <w:t>Audit and report on monitoring systems</w:t>
      </w:r>
      <w:r>
        <w:tab/>
      </w:r>
      <w:r>
        <w:fldChar w:fldCharType="begin"/>
      </w:r>
      <w:r>
        <w:instrText xml:space="preserve"> PAGEREF _Toc88058043 \h </w:instrText>
      </w:r>
      <w:r>
        <w:fldChar w:fldCharType="separate"/>
      </w:r>
      <w:r>
        <w:t>23</w:t>
      </w:r>
      <w:r>
        <w:fldChar w:fldCharType="end"/>
      </w:r>
    </w:p>
    <w:p>
      <w:pPr>
        <w:pStyle w:val="TOC8"/>
        <w:rPr>
          <w:rFonts w:asciiTheme="minorHAnsi" w:eastAsiaTheme="minorEastAsia" w:hAnsiTheme="minorHAnsi" w:cstheme="minorBidi"/>
          <w:szCs w:val="22"/>
        </w:rPr>
      </w:pPr>
      <w:r>
        <w:lastRenderedPageBreak/>
        <w:t>26A.</w:t>
      </w:r>
      <w:r>
        <w:tab/>
        <w:t>Authority may give notice regarding reporting period</w:t>
      </w:r>
      <w:r>
        <w:tab/>
      </w:r>
      <w:r>
        <w:fldChar w:fldCharType="begin"/>
      </w:r>
      <w:r>
        <w:instrText xml:space="preserve"> PAGEREF _Toc88058044 \h </w:instrText>
      </w:r>
      <w:r>
        <w:fldChar w:fldCharType="separate"/>
      </w:r>
      <w:r>
        <w:t>24</w:t>
      </w:r>
      <w:r>
        <w:fldChar w:fldCharType="end"/>
      </w:r>
    </w:p>
    <w:p>
      <w:pPr>
        <w:pStyle w:val="TOC8"/>
        <w:rPr>
          <w:rFonts w:asciiTheme="minorHAnsi" w:eastAsiaTheme="minorEastAsia" w:hAnsiTheme="minorHAnsi" w:cstheme="minorBidi"/>
          <w:szCs w:val="22"/>
        </w:rPr>
      </w:pPr>
      <w:r>
        <w:t>27.</w:t>
      </w:r>
      <w:r>
        <w:tab/>
        <w:t>Publication of information about performance</w:t>
      </w:r>
      <w:r>
        <w:tab/>
      </w:r>
      <w:r>
        <w:fldChar w:fldCharType="begin"/>
      </w:r>
      <w:r>
        <w:instrText xml:space="preserve"> PAGEREF _Toc88058045 \h </w:instrText>
      </w:r>
      <w:r>
        <w:fldChar w:fldCharType="separate"/>
      </w:r>
      <w:r>
        <w:t>24</w:t>
      </w:r>
      <w:r>
        <w:fldChar w:fldCharType="end"/>
      </w:r>
    </w:p>
    <w:p>
      <w:pPr>
        <w:pStyle w:val="TOC8"/>
        <w:rPr>
          <w:rFonts w:asciiTheme="minorHAnsi" w:eastAsiaTheme="minorEastAsia" w:hAnsiTheme="minorHAnsi" w:cstheme="minorBidi"/>
          <w:szCs w:val="22"/>
        </w:rPr>
      </w:pPr>
      <w:r>
        <w:t>28.</w:t>
      </w:r>
      <w:r>
        <w:tab/>
        <w:t>Reports not needed if there were no small use customers</w:t>
      </w:r>
      <w:r>
        <w:tab/>
      </w:r>
      <w:r>
        <w:fldChar w:fldCharType="begin"/>
      </w:r>
      <w:r>
        <w:instrText xml:space="preserve"> PAGEREF _Toc88058046 \h </w:instrText>
      </w:r>
      <w:r>
        <w:fldChar w:fldCharType="separate"/>
      </w:r>
      <w:r>
        <w:t>25</w:t>
      </w:r>
      <w:r>
        <w:fldChar w:fldCharType="end"/>
      </w:r>
    </w:p>
    <w:p>
      <w:pPr>
        <w:pStyle w:val="TOC8"/>
        <w:rPr>
          <w:rFonts w:asciiTheme="minorHAnsi" w:eastAsiaTheme="minorEastAsia" w:hAnsiTheme="minorHAnsi" w:cstheme="minorBidi"/>
          <w:szCs w:val="22"/>
        </w:rPr>
      </w:pPr>
      <w:r>
        <w:t>29.</w:t>
      </w:r>
      <w:r>
        <w:tab/>
        <w:t>Transitional provisions for Part 4 Division 3</w:t>
      </w:r>
      <w:r>
        <w:tab/>
      </w:r>
      <w:r>
        <w:fldChar w:fldCharType="begin"/>
      </w:r>
      <w:r>
        <w:instrText xml:space="preserve"> PAGEREF _Toc88058047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Information to be published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_Toc88058050 \h </w:instrText>
      </w:r>
      <w:r>
        <w:fldChar w:fldCharType="separate"/>
      </w:r>
      <w:r>
        <w:t>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_Toc88058051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spacing w:before="720"/>
      </w:pPr>
      <w:r>
        <w:t>Electricity Industry (Network Quality and Reliability of Supply) Code 2005</w:t>
      </w:r>
    </w:p>
    <w:p>
      <w:pPr>
        <w:pStyle w:val="Heading2"/>
        <w:pageBreakBefore w:val="0"/>
        <w:spacing w:before="240"/>
      </w:pPr>
      <w:bookmarkStart w:id="3" w:name="_Toc88054017"/>
      <w:bookmarkStart w:id="4" w:name="_Toc88054068"/>
      <w:bookmarkStart w:id="5" w:name="_Toc88056539"/>
      <w:bookmarkStart w:id="6" w:name="_Toc8805800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88058002"/>
      <w:r>
        <w:rPr>
          <w:rStyle w:val="CharSectno"/>
        </w:rPr>
        <w:t>1</w:t>
      </w:r>
      <w:r>
        <w:t>.</w:t>
      </w:r>
      <w:r>
        <w:tab/>
        <w:t>Citation</w:t>
      </w:r>
      <w:bookmarkEnd w:id="7"/>
    </w:p>
    <w:p>
      <w:pPr>
        <w:pStyle w:val="Subsection"/>
      </w:pPr>
      <w:r>
        <w:tab/>
      </w:r>
      <w:r>
        <w:tab/>
      </w:r>
      <w:r>
        <w:rPr>
          <w:spacing w:val="-2"/>
        </w:rPr>
        <w:t>This</w:t>
      </w:r>
      <w:r>
        <w:t xml:space="preserve"> Code is the </w:t>
      </w:r>
      <w:r>
        <w:rPr>
          <w:i/>
          <w:iCs/>
        </w:rPr>
        <w:t>Electricity Industry (Network Quality and Reliability of Supply) Code 2005</w:t>
      </w:r>
      <w:r>
        <w:t>.</w:t>
      </w:r>
    </w:p>
    <w:p>
      <w:pPr>
        <w:pStyle w:val="Heading5"/>
      </w:pPr>
      <w:bookmarkStart w:id="8" w:name="_Toc88058003"/>
      <w:r>
        <w:rPr>
          <w:rStyle w:val="CharSectno"/>
        </w:rPr>
        <w:t>2</w:t>
      </w:r>
      <w:r>
        <w:t>.</w:t>
      </w:r>
      <w:r>
        <w:tab/>
        <w:t>Commencement</w:t>
      </w:r>
      <w:bookmarkEnd w:id="8"/>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9" w:name="_Toc88058004"/>
      <w:r>
        <w:rPr>
          <w:rStyle w:val="CharSectno"/>
        </w:rPr>
        <w:t>3</w:t>
      </w:r>
      <w:r>
        <w:t>.</w:t>
      </w:r>
      <w:r>
        <w:tab/>
        <w:t>Terms used</w:t>
      </w:r>
      <w:bookmarkEnd w:id="9"/>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rPr>
        <w:tab/>
      </w:r>
      <w:r>
        <w:rPr>
          <w:rStyle w:val="CharDefText"/>
        </w:rPr>
        <w:t>covered network</w:t>
      </w:r>
      <w:r>
        <w:rPr>
          <w:b/>
        </w:rPr>
        <w:t xml:space="preserve"> </w:t>
      </w:r>
      <w:r>
        <w:t>has the meaning given to it in the Act.</w:t>
      </w:r>
    </w:p>
    <w:p>
      <w:pPr>
        <w:pStyle w:val="Subsection"/>
      </w:pPr>
      <w:r>
        <w:tab/>
      </w:r>
      <w:r>
        <w:tab/>
        <w:t>{Note: At the time this definition was inserted, the definition in section 3 of the Act was—</w:t>
      </w:r>
    </w:p>
    <w:p>
      <w:pPr>
        <w:pStyle w:val="Defstart"/>
      </w:pPr>
      <w:r>
        <w:tab/>
      </w:r>
      <w:r>
        <w:rPr>
          <w:rStyle w:val="CharDefText"/>
        </w:rPr>
        <w:t>covered network</w:t>
      </w:r>
      <w:r>
        <w:rPr>
          <w:rFonts w:cs="Arial"/>
          <w:b/>
        </w:rPr>
        <w:t xml:space="preserve"> </w:t>
      </w:r>
      <w:r>
        <w:rPr>
          <w:rFonts w:cs="Arial"/>
        </w:rPr>
        <w:t>means network infrastructure facilities that—</w:t>
      </w:r>
    </w:p>
    <w:p>
      <w:pPr>
        <w:pStyle w:val="Defpara"/>
      </w:pPr>
      <w:r>
        <w:tab/>
        <w:t>(a)</w:t>
      </w:r>
      <w:r>
        <w:tab/>
        <w:t>were covered by the Code immediately before the day on which the Electricity Industry Amendment Act 2020 section 4(3) comes into operation and that have not ceased to be a covered network; or</w:t>
      </w:r>
    </w:p>
    <w:p>
      <w:pPr>
        <w:pStyle w:val="Defpara"/>
      </w:pPr>
      <w:r>
        <w:tab/>
        <w:t>(b)</w:t>
      </w:r>
      <w:r>
        <w:tab/>
        <w:t>the Minister has decided under the Code are to be a covered network and that have not ceased to be a covered network; or</w:t>
      </w:r>
    </w:p>
    <w:p>
      <w:pPr>
        <w:pStyle w:val="Defpara"/>
      </w:pPr>
      <w:r>
        <w:lastRenderedPageBreak/>
        <w:tab/>
        <w:t>(c)</w:t>
      </w:r>
      <w:r>
        <w:tab/>
        <w:t>are prescribed in the Pilbara Networks Access Code undersection 120B(a) to be a covered Pilbara network and that have not ceased to be so prescribed; or</w:t>
      </w:r>
    </w:p>
    <w:p>
      <w:pPr>
        <w:pStyle w:val="Defpara"/>
      </w:pPr>
      <w:r>
        <w:tab/>
        <w:t>(d)</w:t>
      </w:r>
      <w:r>
        <w:tab/>
        <w:t>a network service provider has opted, under the Pilbara Networks Access Code, to be regulated under Part 8A</w:t>
      </w:r>
    </w:p>
    <w:p>
      <w:pPr>
        <w:pStyle w:val="Defpara"/>
        <w:ind w:left="1134"/>
      </w:pPr>
      <w:r>
        <w:tab/>
      </w:r>
      <w:r>
        <w:tab/>
        <w:t>and that—</w:t>
      </w:r>
    </w:p>
    <w:p>
      <w:pPr>
        <w:pStyle w:val="Defsubpara"/>
      </w:pPr>
      <w:r>
        <w:tab/>
        <w:t>(i)</w:t>
      </w:r>
      <w:r>
        <w:tab/>
        <w:t>have not ceased to be so regulated under that code as a consequence of an option by the network service provider for the facilities to cease to be so regulated; or</w:t>
      </w:r>
    </w:p>
    <w:p>
      <w:pPr>
        <w:pStyle w:val="Defsubpara"/>
      </w:pPr>
      <w:r>
        <w:tab/>
        <w:t>(ii)</w:t>
      </w:r>
      <w:r>
        <w:tab/>
        <w:t>have not otherwise ceased to be a covered network;}</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tab/>
      </w:r>
      <w:r>
        <w:rPr>
          <w:rStyle w:val="CharDefText"/>
        </w:rPr>
        <w:t>distribution system</w:t>
      </w:r>
      <w:r>
        <w:t xml:space="preserve"> has the meaning given to it in the Act.</w:t>
      </w:r>
    </w:p>
    <w:p>
      <w:pPr>
        <w:pStyle w:val="Subsection"/>
      </w:pPr>
      <w:r>
        <w:tab/>
      </w:r>
      <w:r>
        <w:tab/>
        <w:t>{Note: At the time this definition was inserted, the definition in section 3 of the Act was—</w:t>
      </w:r>
    </w:p>
    <w:p>
      <w:pPr>
        <w:pStyle w:val="Defstart"/>
      </w:pPr>
      <w:r>
        <w:tab/>
      </w:r>
      <w:r>
        <w:rPr>
          <w:rStyle w:val="CharDefText"/>
        </w:rPr>
        <w:t>distribution system</w:t>
      </w:r>
      <w:r>
        <w:rPr>
          <w:rFonts w:cs="Arial"/>
        </w:rPr>
        <w:t xml:space="preserve"> means electricity infrastructure used, or to be used, in connection with, or to control, the transportation of electricity at nominal voltages of less than 66kV;}</w:t>
      </w:r>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tab/>
      </w:r>
      <w:r>
        <w:rPr>
          <w:rStyle w:val="CharDefText"/>
        </w:rPr>
        <w:t>Eastern Goldfields</w:t>
      </w:r>
      <w:r>
        <w:t xml:space="preserve"> means the area supplied with electricity by—</w:t>
      </w:r>
    </w:p>
    <w:p>
      <w:pPr>
        <w:pStyle w:val="Defpara"/>
      </w:pPr>
      <w:r>
        <w:tab/>
        <w:t>(a)</w:t>
      </w:r>
      <w:r>
        <w:tab/>
        <w:t>the West Kalgoorlie Terminal 11kV feeders;</w:t>
      </w:r>
    </w:p>
    <w:p>
      <w:pPr>
        <w:pStyle w:val="Defpara"/>
      </w:pPr>
      <w:r>
        <w:lastRenderedPageBreak/>
        <w:tab/>
        <w:t>(b)</w:t>
      </w:r>
      <w:r>
        <w:tab/>
        <w:t>the West Kalgoorlie Terminal 640 Coolgardie 33kV feeder; and</w:t>
      </w:r>
    </w:p>
    <w:p>
      <w:pPr>
        <w:pStyle w:val="Defpara"/>
      </w:pPr>
      <w:r>
        <w:tab/>
        <w:t>(c)</w:t>
      </w:r>
      <w:r>
        <w:tab/>
        <w:t>the Piccadilly substation 11kV feeders,</w:t>
      </w:r>
    </w:p>
    <w:p>
      <w:pPr>
        <w:pStyle w:val="Defstart"/>
      </w:pPr>
      <w:r>
        <w:tab/>
        <w:t>operated by the Electricity Networks Corporation, being principally the townships of Kalgoorlie-Boulder and Coolgardie.</w:t>
      </w:r>
    </w:p>
    <w:p>
      <w:pPr>
        <w:pStyle w:val="Defstart"/>
      </w:pPr>
      <w:r>
        <w:rPr>
          <w:b/>
          <w:bCs/>
        </w:rPr>
        <w:tab/>
      </w:r>
      <w:r>
        <w:rPr>
          <w:rStyle w:val="CharDefText"/>
        </w:rPr>
        <w:t>interruption</w:t>
      </w:r>
      <w:r>
        <w:t xml:space="preserve"> means a loss of electricity supply for more than one minute that is due to a cause beyond the control of the person to whom the electricity is supplied;</w:t>
      </w:r>
    </w:p>
    <w:p>
      <w:pPr>
        <w:pStyle w:val="Defstart"/>
      </w:pPr>
      <w:r>
        <w:rPr>
          <w:b/>
          <w:bCs/>
        </w:rPr>
        <w:tab/>
      </w:r>
      <w:r>
        <w:rPr>
          <w:rStyle w:val="CharDefText"/>
        </w:rPr>
        <w:t>network</w:t>
      </w:r>
      <w:r>
        <w:rPr>
          <w:b/>
          <w:bCs/>
        </w:rPr>
        <w:t xml:space="preserve"> </w:t>
      </w:r>
      <w:r>
        <w:t>has the meaning given to “network infrastructure facilities” in the Act, as modified by s3(3) of this Code.</w:t>
      </w:r>
    </w:p>
    <w:p>
      <w:pPr>
        <w:pStyle w:val="Subsection"/>
      </w:pPr>
      <w:r>
        <w:tab/>
      </w:r>
      <w:r>
        <w:tab/>
        <w:t>{Note: At the time this definition was inserted, the definition in section 3 of the Act was—</w:t>
      </w:r>
    </w:p>
    <w:p>
      <w:pPr>
        <w:pStyle w:val="Defstart"/>
      </w:pPr>
      <w:r>
        <w:tab/>
      </w:r>
      <w:r>
        <w:rPr>
          <w:rStyle w:val="CharDefText"/>
        </w:rPr>
        <w:t>network infrastructure facilities</w:t>
      </w:r>
      <w:r>
        <w:t>—</w:t>
      </w:r>
    </w:p>
    <w:p>
      <w:pPr>
        <w:pStyle w:val="Defpara"/>
      </w:pPr>
      <w:r>
        <w:tab/>
        <w:t>(a)</w:t>
      </w:r>
      <w:r>
        <w:tab/>
        <w:t>means electricity infrastructure used, or to be used, for the purpose of transporting electricity from generators of electricity to other electricity infrastructure or to end users of electricity; and</w:t>
      </w:r>
    </w:p>
    <w:p>
      <w:pPr>
        <w:pStyle w:val="Defpara"/>
      </w:pPr>
      <w:r>
        <w:tab/>
        <w:t>(b)</w:t>
      </w:r>
      <w:r>
        <w:tab/>
        <w:t>includes stand-alone power systems, or storage works, used, or to be used, as an adjunct to electricity infrastructure;}</w:t>
      </w:r>
    </w:p>
    <w:p>
      <w:pPr>
        <w:pStyle w:val="Defstart"/>
      </w:pPr>
      <w:r>
        <w:tab/>
      </w:r>
      <w:r>
        <w:rPr>
          <w:rStyle w:val="CharDefText"/>
        </w:rPr>
        <w:t>North Country</w:t>
      </w:r>
      <w:r>
        <w:t xml:space="preserve"> means the area supplied with electricity by—</w:t>
      </w:r>
    </w:p>
    <w:p>
      <w:pPr>
        <w:pStyle w:val="Defpara"/>
      </w:pPr>
      <w:r>
        <w:tab/>
        <w:t>(a)</w:t>
      </w:r>
      <w:r>
        <w:tab/>
        <w:t>the Rangeway substation 11kV feeders;</w:t>
      </w:r>
    </w:p>
    <w:p>
      <w:pPr>
        <w:pStyle w:val="Defpara"/>
      </w:pPr>
      <w:r>
        <w:tab/>
        <w:t>(b)</w:t>
      </w:r>
      <w:r>
        <w:tab/>
        <w:t>the Durlacher substation 11kV feeders; and</w:t>
      </w:r>
    </w:p>
    <w:p>
      <w:pPr>
        <w:pStyle w:val="Defpara"/>
      </w:pPr>
      <w:r>
        <w:tab/>
        <w:t>(c)</w:t>
      </w:r>
      <w:r>
        <w:tab/>
        <w:t>the Chapman substation 11kV feeders,</w:t>
      </w:r>
    </w:p>
    <w:p>
      <w:pPr>
        <w:pStyle w:val="Defstart"/>
      </w:pPr>
      <w:r>
        <w:tab/>
        <w:t>operated by the Electricity Networks Corporation, being principally the township of Geraldton and its surrounds.</w:t>
      </w:r>
    </w:p>
    <w:p>
      <w:pPr>
        <w:pStyle w:val="Defstart"/>
        <w:keepNext/>
      </w:pPr>
      <w:r>
        <w:rPr>
          <w:b/>
          <w:bCs/>
        </w:rPr>
        <w:tab/>
      </w:r>
      <w:r>
        <w:rPr>
          <w:rStyle w:val="CharDefText"/>
        </w:rPr>
        <w:t>Perth CBD</w:t>
      </w:r>
      <w:r>
        <w:t xml:space="preserve"> means the area supplied with electricity by — </w:t>
      </w:r>
    </w:p>
    <w:p>
      <w:pPr>
        <w:pStyle w:val="Defpara"/>
        <w:keepNext/>
      </w:pPr>
      <w:r>
        <w:tab/>
        <w:t>(a)</w:t>
      </w:r>
      <w:r>
        <w:tab/>
        <w:t xml:space="preserve">the Milligan Street Zone Substation; or </w:t>
      </w:r>
    </w:p>
    <w:p>
      <w:pPr>
        <w:pStyle w:val="Defpara"/>
        <w:keepNext/>
      </w:pPr>
      <w:r>
        <w:tab/>
        <w:t>(b)</w:t>
      </w:r>
      <w:r>
        <w:tab/>
        <w:t>the Hay Street Zone Substation,</w:t>
      </w:r>
    </w:p>
    <w:p>
      <w:pPr>
        <w:pStyle w:val="Defstart"/>
      </w:pPr>
      <w:r>
        <w:tab/>
        <w:t>operated by the Electricity Networks Corporation;</w:t>
      </w:r>
    </w:p>
    <w:p>
      <w:pPr>
        <w:pStyle w:val="Defstart"/>
      </w:pPr>
      <w:r>
        <w:rPr>
          <w:b/>
          <w:bCs/>
        </w:rPr>
        <w:lastRenderedPageBreak/>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rPr>
        <w:tab/>
      </w:r>
      <w:r>
        <w:rPr>
          <w:rStyle w:val="CharDefText"/>
        </w:rPr>
        <w:t>stand-alone power system</w:t>
      </w:r>
      <w:r>
        <w:rPr>
          <w:b/>
        </w:rPr>
        <w:t xml:space="preserve"> </w:t>
      </w:r>
      <w:r>
        <w:t>has the meaning given to it in the Act.</w:t>
      </w:r>
    </w:p>
    <w:p>
      <w:pPr>
        <w:pStyle w:val="Subsection"/>
      </w:pPr>
      <w:r>
        <w:tab/>
      </w:r>
      <w:r>
        <w:tab/>
        <w:t>{Note: At the time this definition was inserted, the definition in section 3 of the Act was—</w:t>
      </w:r>
    </w:p>
    <w:p>
      <w:pPr>
        <w:pStyle w:val="Defstart"/>
      </w:pPr>
      <w:r>
        <w:rPr>
          <w:rFonts w:cs="Arial"/>
          <w:b/>
          <w:bCs/>
        </w:rPr>
        <w:tab/>
      </w:r>
      <w:r>
        <w:rPr>
          <w:rStyle w:val="CharDefText"/>
        </w:rPr>
        <w:t>stand-alone power system</w:t>
      </w:r>
      <w:r>
        <w:rPr>
          <w:rFonts w:cs="Arial"/>
        </w:rPr>
        <w:t xml:space="preserve"> means wires, apparatus, equipment, plant or buildings (including generating works, a distribution system and any storage works)—</w:t>
      </w:r>
    </w:p>
    <w:p>
      <w:pPr>
        <w:pStyle w:val="Defpara"/>
      </w:pPr>
      <w:r>
        <w:tab/>
        <w:t>(a)</w:t>
      </w:r>
      <w:r>
        <w:tab/>
        <w:t>which together are used, or to be used, for, or in connection with, or to control, the supply of electricity to a single customer or not more than a prescribed number of customers; and</w:t>
      </w:r>
    </w:p>
    <w:p>
      <w:pPr>
        <w:pStyle w:val="Defpara"/>
      </w:pPr>
      <w:r>
        <w:tab/>
        <w:t>(b)</w:t>
      </w:r>
      <w:r>
        <w:tab/>
        <w:t>which are not connected to another electricity network (other than that of the customer or customers);}</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Metropolitan Region Town Planning Scheme Act 1959</w:t>
      </w:r>
      <w:r>
        <w:rPr>
          <w:vertAlign w:val="superscript"/>
        </w:rPr>
        <w:t> 1</w:t>
      </w:r>
      <w:r>
        <w:rPr>
          <w:i/>
          <w:iCs/>
        </w:rPr>
        <w:t xml:space="preserve">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lastRenderedPageBreak/>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Subsection"/>
        <w:rPr>
          <w:rFonts w:cs="Arial"/>
        </w:rPr>
      </w:pPr>
      <w:r>
        <w:tab/>
        <w:t>(3)</w:t>
      </w:r>
      <w:r>
        <w:tab/>
        <w:t xml:space="preserve">For </w:t>
      </w:r>
      <w:r>
        <w:rPr>
          <w:spacing w:val="-2"/>
        </w:rPr>
        <w:t>the</w:t>
      </w:r>
      <w:r>
        <w:t xml:space="preserve"> purposes of this Code, network infrastructure facilities do </w:t>
      </w:r>
      <w:r>
        <w:rPr>
          <w:rFonts w:cs="Arial"/>
        </w:rPr>
        <w:t>not include a line, pole, switch, transformer or apparatus that is—</w:t>
      </w:r>
    </w:p>
    <w:p>
      <w:pPr>
        <w:pStyle w:val="Indenta"/>
        <w:rPr>
          <w:rFonts w:cs="Arial"/>
        </w:rPr>
      </w:pPr>
      <w:r>
        <w:tab/>
        <w:t>(a)</w:t>
      </w:r>
      <w:r>
        <w:tab/>
        <w:t xml:space="preserve">on or a part of premises to which electricity is supplied </w:t>
      </w:r>
      <w:r>
        <w:rPr>
          <w:rFonts w:cs="Arial"/>
        </w:rPr>
        <w:t>by a transmitter or distributor; and</w:t>
      </w:r>
    </w:p>
    <w:p>
      <w:pPr>
        <w:pStyle w:val="Indenta"/>
      </w:pPr>
      <w:r>
        <w:tab/>
        <w:t>(b)</w:t>
      </w:r>
      <w:r>
        <w:tab/>
        <w:t>situated beyond the point at which electricity is so supplied,</w:t>
      </w:r>
    </w:p>
    <w:p>
      <w:pPr>
        <w:pStyle w:val="Subsection"/>
      </w:pPr>
      <w:r>
        <w:tab/>
        <w:t>(4)</w:t>
      </w:r>
      <w:r>
        <w:tab/>
      </w:r>
      <w:r>
        <w:rPr>
          <w:spacing w:val="-2"/>
        </w:rPr>
        <w:t>Notwithstanding</w:t>
      </w:r>
      <w:r>
        <w:t xml:space="preserve"> sub-section (3), network infrastructure facilities </w:t>
      </w:r>
      <w:r>
        <w:rPr>
          <w:rFonts w:cs="Arial"/>
        </w:rPr>
        <w:t>do include a stand-alone power system that is part of a covered network.</w:t>
      </w:r>
    </w:p>
    <w:p>
      <w:pPr>
        <w:pStyle w:val="Footnotesection"/>
        <w:rPr>
          <w:spacing w:val="-2"/>
        </w:rPr>
      </w:pPr>
      <w:r>
        <w:tab/>
        <w:t>[Section 3 amended: Gazette 31 Mar 2006 p. 1346; 27 Nov 2009 p. 4781; 2 May 2017 p. 2287; 25 Sep 2018 p. 3568; Gazette 5 Nov 2021 p. 4969.]</w:t>
      </w:r>
    </w:p>
    <w:p>
      <w:pPr>
        <w:pStyle w:val="Heading2"/>
      </w:pPr>
      <w:bookmarkStart w:id="10" w:name="_Toc88054021"/>
      <w:bookmarkStart w:id="11" w:name="_Toc88054072"/>
      <w:bookmarkStart w:id="12" w:name="_Toc88056543"/>
      <w:bookmarkStart w:id="13" w:name="_Toc88058005"/>
      <w:r>
        <w:rPr>
          <w:rStyle w:val="CharPartNo"/>
        </w:rPr>
        <w:lastRenderedPageBreak/>
        <w:t>Part 2</w:t>
      </w:r>
      <w:r>
        <w:t> — </w:t>
      </w:r>
      <w:r>
        <w:rPr>
          <w:rStyle w:val="CharPartText"/>
        </w:rPr>
        <w:t>Quality and reliability standards</w:t>
      </w:r>
      <w:bookmarkEnd w:id="10"/>
      <w:bookmarkEnd w:id="11"/>
      <w:bookmarkEnd w:id="12"/>
      <w:bookmarkEnd w:id="13"/>
    </w:p>
    <w:p>
      <w:pPr>
        <w:pStyle w:val="Heading3"/>
      </w:pPr>
      <w:bookmarkStart w:id="14" w:name="_Toc88054022"/>
      <w:bookmarkStart w:id="15" w:name="_Toc88054073"/>
      <w:bookmarkStart w:id="16" w:name="_Toc88056544"/>
      <w:bookmarkStart w:id="17" w:name="_Toc88058006"/>
      <w:r>
        <w:rPr>
          <w:rStyle w:val="CharDivNo"/>
        </w:rPr>
        <w:t>Division 1</w:t>
      </w:r>
      <w:r>
        <w:t> — </w:t>
      </w:r>
      <w:r>
        <w:rPr>
          <w:rStyle w:val="CharDivText"/>
        </w:rPr>
        <w:t>Quality standards</w:t>
      </w:r>
      <w:bookmarkEnd w:id="14"/>
      <w:bookmarkEnd w:id="15"/>
      <w:bookmarkEnd w:id="16"/>
      <w:bookmarkEnd w:id="17"/>
    </w:p>
    <w:p>
      <w:pPr>
        <w:pStyle w:val="Heading5"/>
      </w:pPr>
      <w:bookmarkStart w:id="18" w:name="_Toc88058007"/>
      <w:r>
        <w:rPr>
          <w:rStyle w:val="CharSectno"/>
        </w:rPr>
        <w:t>4</w:t>
      </w:r>
      <w:r>
        <w:t>.</w:t>
      </w:r>
      <w:r>
        <w:tab/>
        <w:t>Term used: compatibility levels</w:t>
      </w:r>
      <w:bookmarkEnd w:id="18"/>
    </w:p>
    <w:p>
      <w:pPr>
        <w:pStyle w:val="Subsection"/>
        <w:rPr>
          <w:spacing w:val="-2"/>
        </w:rPr>
      </w:pPr>
      <w:r>
        <w:rPr>
          <w:spacing w:val="-2"/>
        </w:rPr>
        <w:tab/>
      </w:r>
      <w:r>
        <w:rPr>
          <w:spacing w:val="-2"/>
        </w:rPr>
        <w:tab/>
        <w:t xml:space="preserve">In sections 6(2) and 7 — </w:t>
      </w:r>
    </w:p>
    <w:p>
      <w:pPr>
        <w:pStyle w:val="Defstart"/>
      </w:pPr>
      <w:r>
        <w:rPr>
          <w:b/>
          <w:bCs/>
        </w:rPr>
        <w:tab/>
      </w:r>
      <w:r>
        <w:rPr>
          <w:rStyle w:val="CharDefText"/>
        </w:rPr>
        <w:t>compatibility levels</w:t>
      </w:r>
      <w:r>
        <w:t xml:space="preserve"> means reference values for coordinating the emission and immunity of equipment which is part of, or supplied by, a network in order to ensure electromagnetic compatibility in the whole system, including connected equipment.</w:t>
      </w:r>
    </w:p>
    <w:p>
      <w:pPr>
        <w:pStyle w:val="Heading5"/>
      </w:pPr>
      <w:bookmarkStart w:id="19" w:name="_Toc88058008"/>
      <w:r>
        <w:rPr>
          <w:rStyle w:val="CharSectno"/>
        </w:rPr>
        <w:t>5</w:t>
      </w:r>
      <w:r>
        <w:t>.</w:t>
      </w:r>
      <w:r>
        <w:tab/>
        <w:t>Obligation to observe standards</w:t>
      </w:r>
      <w:bookmarkEnd w:id="19"/>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20" w:name="_Toc88058009"/>
      <w:r>
        <w:rPr>
          <w:rStyle w:val="CharSectno"/>
        </w:rPr>
        <w:t>6</w:t>
      </w:r>
      <w:r>
        <w:t>.</w:t>
      </w:r>
      <w:r>
        <w:tab/>
        <w:t>Voltage fluctuations</w:t>
      </w:r>
      <w:bookmarkEnd w:id="20"/>
    </w:p>
    <w:p>
      <w:pPr>
        <w:pStyle w:val="Subsection"/>
        <w:rPr>
          <w:spacing w:val="-2"/>
        </w:rPr>
      </w:pPr>
      <w:r>
        <w:rPr>
          <w:spacing w:val="-2"/>
        </w:rPr>
        <w:tab/>
        <w:t>(1)</w:t>
      </w:r>
      <w:r>
        <w:rPr>
          <w:spacing w:val="-2"/>
        </w:rPr>
        <w:tab/>
        <w:t xml:space="preserve">In the Table to subsection (2), the expressions </w:t>
      </w:r>
      <w:r>
        <w:rPr>
          <w:rStyle w:val="CharDefText"/>
        </w:rPr>
        <w:t>P</w:t>
      </w:r>
      <w:r>
        <w:rPr>
          <w:rStyle w:val="CharDefText"/>
          <w:vertAlign w:val="subscript"/>
        </w:rPr>
        <w:t>st</w:t>
      </w:r>
      <w:r>
        <w:rPr>
          <w:spacing w:val="-2"/>
        </w:rPr>
        <w:t xml:space="preserve"> and </w:t>
      </w:r>
      <w:r>
        <w:rPr>
          <w:rStyle w:val="CharDefText"/>
        </w:rPr>
        <w:t>P</w:t>
      </w:r>
      <w:r>
        <w:rPr>
          <w:rStyle w:val="CharDefText"/>
          <w:vertAlign w:val="subscript"/>
        </w:rPr>
        <w:t>lt</w:t>
      </w:r>
      <w:r>
        <w:rPr>
          <w:spacing w:val="-2"/>
        </w:rPr>
        <w:t xml:space="preserve">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lastRenderedPageBreak/>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spacing w:before="60" w:after="60"/>
            </w:pPr>
          </w:p>
        </w:tc>
        <w:tc>
          <w:tcPr>
            <w:tcW w:w="3402" w:type="dxa"/>
            <w:tcBorders>
              <w:top w:val="single" w:sz="4" w:space="0" w:color="auto"/>
              <w:bottom w:val="single" w:sz="4" w:space="0" w:color="auto"/>
            </w:tcBorders>
          </w:tcPr>
          <w:p>
            <w:pPr>
              <w:pStyle w:val="TableNAm"/>
              <w:spacing w:before="60" w:after="60"/>
              <w:jc w:val="center"/>
            </w:pPr>
            <w:r>
              <w:rPr>
                <w:b/>
                <w:bCs/>
              </w:rPr>
              <w:t>Compatibility levels</w:t>
            </w:r>
          </w:p>
        </w:tc>
      </w:tr>
      <w:tr>
        <w:tc>
          <w:tcPr>
            <w:tcW w:w="2551" w:type="dxa"/>
            <w:tcBorders>
              <w:top w:val="single" w:sz="4" w:space="0" w:color="auto"/>
            </w:tcBorders>
          </w:tcPr>
          <w:p>
            <w:pPr>
              <w:pStyle w:val="TableNAm"/>
              <w:spacing w:before="60" w:after="60"/>
              <w:jc w:val="center"/>
            </w:pPr>
            <w:r>
              <w:t>P</w:t>
            </w:r>
            <w:r>
              <w:rPr>
                <w:rFonts w:ascii="Times" w:hAnsi="Times" w:cs="Times"/>
                <w:szCs w:val="24"/>
                <w:vertAlign w:val="subscript"/>
              </w:rPr>
              <w:t>st</w:t>
            </w:r>
          </w:p>
        </w:tc>
        <w:tc>
          <w:tcPr>
            <w:tcW w:w="3402" w:type="dxa"/>
            <w:tcBorders>
              <w:top w:val="single" w:sz="4" w:space="0" w:color="auto"/>
            </w:tcBorders>
          </w:tcPr>
          <w:p>
            <w:pPr>
              <w:pStyle w:val="TableNAm"/>
              <w:spacing w:before="60" w:after="60"/>
              <w:jc w:val="center"/>
            </w:pPr>
            <w:r>
              <w:t>1.0</w:t>
            </w:r>
          </w:p>
        </w:tc>
      </w:tr>
      <w:tr>
        <w:tc>
          <w:tcPr>
            <w:tcW w:w="2551" w:type="dxa"/>
            <w:tcBorders>
              <w:bottom w:val="single" w:sz="4" w:space="0" w:color="auto"/>
            </w:tcBorders>
          </w:tcPr>
          <w:p>
            <w:pPr>
              <w:pStyle w:val="TableNAm"/>
              <w:spacing w:before="60" w:after="60"/>
              <w:jc w:val="center"/>
            </w:pPr>
            <w:r>
              <w:t>P</w:t>
            </w:r>
            <w:r>
              <w:rPr>
                <w:rFonts w:ascii="Times" w:hAnsi="Times" w:cs="Times"/>
                <w:vertAlign w:val="subscript"/>
              </w:rPr>
              <w:t>lt</w:t>
            </w:r>
          </w:p>
        </w:tc>
        <w:tc>
          <w:tcPr>
            <w:tcW w:w="3402" w:type="dxa"/>
            <w:tcBorders>
              <w:bottom w:val="single" w:sz="4" w:space="0" w:color="auto"/>
            </w:tcBorders>
          </w:tcPr>
          <w:p>
            <w:pPr>
              <w:pStyle w:val="TableNAm"/>
              <w:spacing w:before="60" w:after="60"/>
              <w:jc w:val="center"/>
            </w:pPr>
            <w:r>
              <w:t>0.8</w:t>
            </w:r>
          </w:p>
        </w:tc>
      </w:tr>
    </w:tbl>
    <w:p>
      <w:pPr>
        <w:pStyle w:val="Heading5"/>
      </w:pPr>
      <w:bookmarkStart w:id="21" w:name="_Toc88058010"/>
      <w:r>
        <w:rPr>
          <w:rStyle w:val="CharSectno"/>
        </w:rPr>
        <w:t>7</w:t>
      </w:r>
      <w:r>
        <w:t>.</w:t>
      </w:r>
      <w:r>
        <w:tab/>
        <w:t>Harmonics</w:t>
      </w:r>
      <w:bookmarkEnd w:id="21"/>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spacing w:before="60" w:after="60"/>
              <w:jc w:val="center"/>
              <w:rPr>
                <w:b/>
                <w:bCs/>
                <w:sz w:val="20"/>
              </w:rPr>
            </w:pPr>
            <w:r>
              <w:rPr>
                <w:b/>
                <w:bCs/>
                <w:sz w:val="20"/>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spacing w:before="60" w:after="60"/>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spacing w:before="60" w:after="60"/>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spacing w:before="60" w:after="60"/>
              <w:jc w:val="center"/>
              <w:rPr>
                <w:sz w:val="20"/>
              </w:rPr>
            </w:pPr>
            <w:r>
              <w:rPr>
                <w:sz w:val="20"/>
              </w:rPr>
              <w:t>Harmonic voltage %</w:t>
            </w:r>
          </w:p>
        </w:tc>
      </w:tr>
      <w:tr>
        <w:trPr>
          <w:cantSplit/>
        </w:trPr>
        <w:tc>
          <w:tcPr>
            <w:tcW w:w="709" w:type="dxa"/>
            <w:tcBorders>
              <w:top w:val="single" w:sz="4" w:space="0" w:color="auto"/>
            </w:tcBorders>
          </w:tcPr>
          <w:p>
            <w:pPr>
              <w:pStyle w:val="TableNAm"/>
              <w:spacing w:before="60" w:after="60"/>
              <w:jc w:val="center"/>
              <w:rPr>
                <w:sz w:val="20"/>
              </w:rPr>
            </w:pPr>
            <w:r>
              <w:rPr>
                <w:sz w:val="20"/>
              </w:rPr>
              <w:t>5</w:t>
            </w:r>
          </w:p>
        </w:tc>
        <w:tc>
          <w:tcPr>
            <w:tcW w:w="1464" w:type="dxa"/>
            <w:tcBorders>
              <w:top w:val="single" w:sz="4" w:space="0" w:color="auto"/>
            </w:tcBorders>
          </w:tcPr>
          <w:p>
            <w:pPr>
              <w:pStyle w:val="TableNAm"/>
              <w:spacing w:before="60" w:after="60"/>
              <w:jc w:val="center"/>
              <w:rPr>
                <w:sz w:val="20"/>
              </w:rPr>
            </w:pPr>
            <w:r>
              <w:rPr>
                <w:sz w:val="20"/>
              </w:rPr>
              <w:t>6</w:t>
            </w:r>
          </w:p>
        </w:tc>
        <w:tc>
          <w:tcPr>
            <w:tcW w:w="704" w:type="dxa"/>
            <w:tcBorders>
              <w:top w:val="single" w:sz="4" w:space="0" w:color="auto"/>
            </w:tcBorders>
          </w:tcPr>
          <w:p>
            <w:pPr>
              <w:pStyle w:val="TableNAm"/>
              <w:spacing w:before="60" w:after="60"/>
              <w:jc w:val="center"/>
              <w:rPr>
                <w:sz w:val="20"/>
              </w:rPr>
            </w:pPr>
            <w:r>
              <w:rPr>
                <w:sz w:val="20"/>
              </w:rPr>
              <w:t>3</w:t>
            </w:r>
          </w:p>
        </w:tc>
        <w:tc>
          <w:tcPr>
            <w:tcW w:w="1470" w:type="dxa"/>
            <w:tcBorders>
              <w:top w:val="single" w:sz="4" w:space="0" w:color="auto"/>
            </w:tcBorders>
          </w:tcPr>
          <w:p>
            <w:pPr>
              <w:pStyle w:val="TableNAm"/>
              <w:spacing w:before="60" w:after="60"/>
              <w:jc w:val="center"/>
              <w:rPr>
                <w:sz w:val="20"/>
              </w:rPr>
            </w:pPr>
            <w:r>
              <w:rPr>
                <w:sz w:val="20"/>
              </w:rPr>
              <w:t>5</w:t>
            </w:r>
          </w:p>
        </w:tc>
        <w:tc>
          <w:tcPr>
            <w:tcW w:w="756" w:type="dxa"/>
            <w:tcBorders>
              <w:top w:val="single" w:sz="4" w:space="0" w:color="auto"/>
            </w:tcBorders>
          </w:tcPr>
          <w:p>
            <w:pPr>
              <w:pStyle w:val="TableNAm"/>
              <w:spacing w:before="60" w:after="60"/>
              <w:jc w:val="center"/>
              <w:rPr>
                <w:sz w:val="20"/>
              </w:rPr>
            </w:pPr>
            <w:r>
              <w:rPr>
                <w:sz w:val="20"/>
              </w:rPr>
              <w:t>2</w:t>
            </w:r>
          </w:p>
        </w:tc>
        <w:tc>
          <w:tcPr>
            <w:tcW w:w="1418" w:type="dxa"/>
            <w:tcBorders>
              <w:top w:val="single" w:sz="4" w:space="0" w:color="auto"/>
            </w:tcBorders>
          </w:tcPr>
          <w:p>
            <w:pPr>
              <w:pStyle w:val="TableNAm"/>
              <w:spacing w:before="60" w:after="60"/>
              <w:jc w:val="center"/>
              <w:rPr>
                <w:sz w:val="20"/>
              </w:rPr>
            </w:pPr>
            <w:r>
              <w:rPr>
                <w:sz w:val="20"/>
              </w:rPr>
              <w:t>2</w:t>
            </w:r>
          </w:p>
        </w:tc>
      </w:tr>
      <w:tr>
        <w:trPr>
          <w:cantSplit/>
        </w:trPr>
        <w:tc>
          <w:tcPr>
            <w:tcW w:w="709" w:type="dxa"/>
          </w:tcPr>
          <w:p>
            <w:pPr>
              <w:pStyle w:val="TableNAm"/>
              <w:spacing w:before="60" w:after="60"/>
              <w:jc w:val="center"/>
              <w:rPr>
                <w:sz w:val="20"/>
              </w:rPr>
            </w:pPr>
            <w:r>
              <w:rPr>
                <w:sz w:val="20"/>
              </w:rPr>
              <w:t>7</w:t>
            </w:r>
          </w:p>
        </w:tc>
        <w:tc>
          <w:tcPr>
            <w:tcW w:w="1464" w:type="dxa"/>
          </w:tcPr>
          <w:p>
            <w:pPr>
              <w:pStyle w:val="TableNAm"/>
              <w:spacing w:before="60" w:after="60"/>
              <w:jc w:val="center"/>
              <w:rPr>
                <w:sz w:val="20"/>
              </w:rPr>
            </w:pPr>
            <w:r>
              <w:rPr>
                <w:sz w:val="20"/>
              </w:rPr>
              <w:t>5</w:t>
            </w:r>
          </w:p>
        </w:tc>
        <w:tc>
          <w:tcPr>
            <w:tcW w:w="704" w:type="dxa"/>
          </w:tcPr>
          <w:p>
            <w:pPr>
              <w:pStyle w:val="TableNAm"/>
              <w:spacing w:before="60" w:after="60"/>
              <w:jc w:val="center"/>
              <w:rPr>
                <w:sz w:val="20"/>
              </w:rPr>
            </w:pPr>
            <w:r>
              <w:rPr>
                <w:sz w:val="20"/>
              </w:rPr>
              <w:t>9</w:t>
            </w:r>
          </w:p>
        </w:tc>
        <w:tc>
          <w:tcPr>
            <w:tcW w:w="1470" w:type="dxa"/>
          </w:tcPr>
          <w:p>
            <w:pPr>
              <w:pStyle w:val="TableNAm"/>
              <w:spacing w:before="60" w:after="60"/>
              <w:jc w:val="center"/>
              <w:rPr>
                <w:sz w:val="20"/>
              </w:rPr>
            </w:pPr>
            <w:r>
              <w:rPr>
                <w:sz w:val="20"/>
              </w:rPr>
              <w:t>1.5</w:t>
            </w:r>
          </w:p>
        </w:tc>
        <w:tc>
          <w:tcPr>
            <w:tcW w:w="756" w:type="dxa"/>
          </w:tcPr>
          <w:p>
            <w:pPr>
              <w:pStyle w:val="TableNAm"/>
              <w:spacing w:before="60" w:after="60"/>
              <w:jc w:val="center"/>
              <w:rPr>
                <w:sz w:val="20"/>
              </w:rPr>
            </w:pPr>
            <w:r>
              <w:rPr>
                <w:sz w:val="20"/>
              </w:rPr>
              <w:t>4</w:t>
            </w:r>
          </w:p>
        </w:tc>
        <w:tc>
          <w:tcPr>
            <w:tcW w:w="1418" w:type="dxa"/>
          </w:tcPr>
          <w:p>
            <w:pPr>
              <w:pStyle w:val="TableNAm"/>
              <w:spacing w:before="60" w:after="60"/>
              <w:jc w:val="center"/>
              <w:rPr>
                <w:sz w:val="20"/>
              </w:rPr>
            </w:pPr>
            <w:r>
              <w:rPr>
                <w:sz w:val="20"/>
              </w:rPr>
              <w:t>1</w:t>
            </w:r>
          </w:p>
        </w:tc>
      </w:tr>
      <w:tr>
        <w:trPr>
          <w:cantSplit/>
        </w:trPr>
        <w:tc>
          <w:tcPr>
            <w:tcW w:w="709" w:type="dxa"/>
          </w:tcPr>
          <w:p>
            <w:pPr>
              <w:pStyle w:val="TableNAm"/>
              <w:spacing w:before="60" w:after="60"/>
              <w:jc w:val="center"/>
              <w:rPr>
                <w:sz w:val="20"/>
              </w:rPr>
            </w:pPr>
            <w:r>
              <w:rPr>
                <w:sz w:val="20"/>
              </w:rPr>
              <w:t>11</w:t>
            </w:r>
          </w:p>
        </w:tc>
        <w:tc>
          <w:tcPr>
            <w:tcW w:w="1464" w:type="dxa"/>
          </w:tcPr>
          <w:p>
            <w:pPr>
              <w:pStyle w:val="TableNAm"/>
              <w:spacing w:before="60" w:after="60"/>
              <w:jc w:val="center"/>
              <w:rPr>
                <w:sz w:val="20"/>
              </w:rPr>
            </w:pPr>
            <w:r>
              <w:rPr>
                <w:sz w:val="20"/>
              </w:rPr>
              <w:t>3.5</w:t>
            </w:r>
          </w:p>
        </w:tc>
        <w:tc>
          <w:tcPr>
            <w:tcW w:w="704" w:type="dxa"/>
          </w:tcPr>
          <w:p>
            <w:pPr>
              <w:pStyle w:val="TableNAm"/>
              <w:spacing w:before="60" w:after="60"/>
              <w:jc w:val="center"/>
              <w:rPr>
                <w:sz w:val="20"/>
              </w:rPr>
            </w:pPr>
            <w:r>
              <w:rPr>
                <w:sz w:val="20"/>
              </w:rPr>
              <w:t>15</w:t>
            </w:r>
          </w:p>
        </w:tc>
        <w:tc>
          <w:tcPr>
            <w:tcW w:w="1470" w:type="dxa"/>
          </w:tcPr>
          <w:p>
            <w:pPr>
              <w:pStyle w:val="TableNAm"/>
              <w:spacing w:before="60" w:after="60"/>
              <w:jc w:val="center"/>
              <w:rPr>
                <w:sz w:val="20"/>
              </w:rPr>
            </w:pPr>
            <w:r>
              <w:rPr>
                <w:sz w:val="20"/>
              </w:rPr>
              <w:t>0.3</w:t>
            </w:r>
          </w:p>
        </w:tc>
        <w:tc>
          <w:tcPr>
            <w:tcW w:w="756" w:type="dxa"/>
          </w:tcPr>
          <w:p>
            <w:pPr>
              <w:pStyle w:val="TableNAm"/>
              <w:spacing w:before="60" w:after="60"/>
              <w:jc w:val="center"/>
              <w:rPr>
                <w:sz w:val="20"/>
              </w:rPr>
            </w:pPr>
            <w:r>
              <w:rPr>
                <w:sz w:val="20"/>
              </w:rPr>
              <w:t>6</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13</w:t>
            </w:r>
          </w:p>
        </w:tc>
        <w:tc>
          <w:tcPr>
            <w:tcW w:w="1464" w:type="dxa"/>
          </w:tcPr>
          <w:p>
            <w:pPr>
              <w:pStyle w:val="TableNAm"/>
              <w:spacing w:before="60" w:after="60"/>
              <w:jc w:val="center"/>
              <w:rPr>
                <w:sz w:val="20"/>
              </w:rPr>
            </w:pPr>
            <w:r>
              <w:rPr>
                <w:sz w:val="20"/>
              </w:rPr>
              <w:t>3</w:t>
            </w:r>
          </w:p>
        </w:tc>
        <w:tc>
          <w:tcPr>
            <w:tcW w:w="704" w:type="dxa"/>
          </w:tcPr>
          <w:p>
            <w:pPr>
              <w:pStyle w:val="TableNAm"/>
              <w:spacing w:before="60" w:after="60"/>
              <w:jc w:val="center"/>
              <w:rPr>
                <w:sz w:val="20"/>
              </w:rPr>
            </w:pPr>
            <w:r>
              <w:rPr>
                <w:sz w:val="20"/>
              </w:rPr>
              <w: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8</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17</w:t>
            </w:r>
          </w:p>
        </w:tc>
        <w:tc>
          <w:tcPr>
            <w:tcW w:w="1464" w:type="dxa"/>
          </w:tcPr>
          <w:p>
            <w:pPr>
              <w:pStyle w:val="TableNAm"/>
              <w:spacing w:before="60" w:after="60"/>
              <w:jc w:val="center"/>
              <w:rPr>
                <w:sz w:val="20"/>
              </w:rPr>
            </w:pPr>
            <w:r>
              <w:rPr>
                <w:sz w:val="20"/>
              </w:rPr>
              <w:t>2</w:t>
            </w:r>
          </w:p>
        </w:tc>
        <w:tc>
          <w:tcPr>
            <w:tcW w:w="704" w:type="dxa"/>
          </w:tcPr>
          <w:p>
            <w:pPr>
              <w:pStyle w:val="TableNAm"/>
              <w:spacing w:before="60" w:after="60"/>
              <w:jc w:val="center"/>
              <w:rPr>
                <w:sz w:val="20"/>
              </w:rPr>
            </w:pPr>
            <w:r>
              <w:rPr>
                <w:sz w:val="20"/>
              </w:rPr>
              <w:t>&gt;21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10</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19</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23</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&gt;12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25</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709" w:type="dxa"/>
          </w:tcPr>
          <w:p>
            <w:pPr>
              <w:pStyle w:val="TableNAm"/>
              <w:spacing w:before="60" w:after="60"/>
              <w:jc w:val="center"/>
              <w:rPr>
                <w:sz w:val="20"/>
              </w:rPr>
            </w:pPr>
            <w:r>
              <w:rPr>
                <w:sz w:val="20"/>
              </w:rPr>
              <w:t>&gt;25</w:t>
            </w:r>
          </w:p>
        </w:tc>
        <w:tc>
          <w:tcPr>
            <w:tcW w:w="1464" w:type="dxa"/>
          </w:tcPr>
          <w:p>
            <w:pPr>
              <w:pStyle w:val="TableNAm"/>
              <w:spacing w:before="60" w:after="60"/>
              <w:jc w:val="center"/>
              <w:rPr>
                <w:sz w:val="20"/>
              </w:rPr>
            </w:pPr>
            <w:r>
              <w:rPr>
                <w:sz w:val="20"/>
              </w:rPr>
              <w:t>0.2+1.3</w:t>
            </w:r>
            <w:r>
              <w:rPr>
                <w:sz w:val="20"/>
              </w:rPr>
              <w:br/>
              <w:t>(25/h)</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6521" w:type="dxa"/>
            <w:gridSpan w:val="6"/>
            <w:tcBorders>
              <w:bottom w:val="single" w:sz="4" w:space="0" w:color="auto"/>
            </w:tcBorders>
          </w:tcPr>
          <w:p>
            <w:pPr>
              <w:pStyle w:val="TableNAm"/>
              <w:spacing w:before="60" w:after="60"/>
              <w:jc w:val="center"/>
              <w:rPr>
                <w:sz w:val="20"/>
              </w:rPr>
            </w:pPr>
            <w:r>
              <w:rPr>
                <w:sz w:val="20"/>
              </w:rPr>
              <w:t>Note — Total harmonic distortion (THD): 8%</w:t>
            </w:r>
          </w:p>
        </w:tc>
      </w:tr>
    </w:tbl>
    <w:p>
      <w:pPr>
        <w:pStyle w:val="Heading5"/>
      </w:pPr>
      <w:bookmarkStart w:id="22" w:name="_Toc88058011"/>
      <w:r>
        <w:rPr>
          <w:rStyle w:val="CharSectno"/>
        </w:rPr>
        <w:lastRenderedPageBreak/>
        <w:t>8</w:t>
      </w:r>
      <w:r>
        <w:t>.</w:t>
      </w:r>
      <w:r>
        <w:tab/>
        <w:t>Duty to disconnect if damage may result</w:t>
      </w:r>
      <w:bookmarkEnd w:id="22"/>
    </w:p>
    <w:p>
      <w:pPr>
        <w:pStyle w:val="Subsection"/>
        <w:keepNext/>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PermNoteHeading"/>
      </w:pPr>
      <w:r>
        <w:tab/>
        <w:t>Note:</w:t>
      </w:r>
    </w:p>
    <w:p>
      <w:pPr>
        <w:pStyle w:val="PermNoteText"/>
      </w:pPr>
      <w:r>
        <w:tab/>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PermNotePara"/>
      </w:pPr>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PermNotePara"/>
      </w:pPr>
      <w:r>
        <w:tab/>
        <w:t>(b)</w:t>
      </w:r>
      <w:r>
        <w:tab/>
        <w:t>the frequency must be maintained at +/</w:t>
      </w:r>
      <w:r>
        <w:noBreakHyphen/>
        <w:t xml:space="preserve"> 2.5% of the frequency so declared namely, 50 cycles per second.</w:t>
      </w:r>
    </w:p>
    <w:p>
      <w:pPr>
        <w:pStyle w:val="Heading3"/>
      </w:pPr>
      <w:bookmarkStart w:id="23" w:name="_Toc88054028"/>
      <w:bookmarkStart w:id="24" w:name="_Toc88054079"/>
      <w:bookmarkStart w:id="25" w:name="_Toc88056550"/>
      <w:bookmarkStart w:id="26" w:name="_Toc88058012"/>
      <w:r>
        <w:rPr>
          <w:rStyle w:val="CharDivNo"/>
        </w:rPr>
        <w:t>Division 2</w:t>
      </w:r>
      <w:r>
        <w:t> — </w:t>
      </w:r>
      <w:r>
        <w:rPr>
          <w:rStyle w:val="CharDivText"/>
        </w:rPr>
        <w:t>Standards for the interruption of supply to individual customers</w:t>
      </w:r>
      <w:bookmarkEnd w:id="23"/>
      <w:bookmarkEnd w:id="24"/>
      <w:bookmarkEnd w:id="25"/>
      <w:bookmarkEnd w:id="26"/>
    </w:p>
    <w:p>
      <w:pPr>
        <w:pStyle w:val="Heading5"/>
      </w:pPr>
      <w:bookmarkStart w:id="27" w:name="_Toc88058013"/>
      <w:r>
        <w:rPr>
          <w:rStyle w:val="CharSectno"/>
        </w:rPr>
        <w:t>9</w:t>
      </w:r>
      <w:r>
        <w:t>.</w:t>
      </w:r>
      <w:r>
        <w:tab/>
        <w:t>General standard of reliability</w:t>
      </w:r>
      <w:bookmarkEnd w:id="27"/>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28" w:name="_Toc88058014"/>
      <w:r>
        <w:rPr>
          <w:rStyle w:val="CharSectno"/>
        </w:rPr>
        <w:t>10</w:t>
      </w:r>
      <w:r>
        <w:t>.</w:t>
      </w:r>
      <w:r>
        <w:tab/>
        <w:t>Duty to reduce effect of interruption</w:t>
      </w:r>
      <w:bookmarkEnd w:id="28"/>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lastRenderedPageBreak/>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spacing w:before="60"/>
      </w:pPr>
      <w:r>
        <w:tab/>
        <w:t>(a)</w:t>
      </w:r>
      <w:r>
        <w:tab/>
        <w:t>the interruption is expected to exceed the relevant period under section 11(2);</w:t>
      </w:r>
    </w:p>
    <w:p>
      <w:pPr>
        <w:pStyle w:val="Indenta"/>
        <w:spacing w:before="60"/>
      </w:pPr>
      <w:r>
        <w:tab/>
        <w:t>(b)</w:t>
      </w:r>
      <w:r>
        <w:tab/>
        <w:t>the effect of the interruption on the customer’s business is likely to be substantial; or</w:t>
      </w:r>
    </w:p>
    <w:p>
      <w:pPr>
        <w:pStyle w:val="Indenta"/>
        <w:spacing w:before="60"/>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29" w:name="_Toc88058015"/>
      <w:r>
        <w:rPr>
          <w:rStyle w:val="CharSectno"/>
        </w:rPr>
        <w:t>11</w:t>
      </w:r>
      <w:r>
        <w:t>.</w:t>
      </w:r>
      <w:r>
        <w:tab/>
        <w:t>Planned interruptions</w:t>
      </w:r>
      <w:bookmarkEnd w:id="29"/>
    </w:p>
    <w:p>
      <w:pPr>
        <w:pStyle w:val="Subsection"/>
        <w:spacing w:before="140"/>
      </w:pPr>
      <w:r>
        <w:tab/>
        <w:t>(1A)</w:t>
      </w:r>
      <w:r>
        <w:tab/>
        <w:t xml:space="preserve">In this section — </w:t>
      </w:r>
    </w:p>
    <w:p>
      <w:pPr>
        <w:pStyle w:val="Defstart"/>
        <w:spacing w:before="60"/>
      </w:pPr>
      <w:r>
        <w:tab/>
      </w:r>
      <w:r>
        <w:rPr>
          <w:rStyle w:val="CharDefText"/>
        </w:rPr>
        <w:t>customer</w:t>
      </w:r>
      <w:r>
        <w:t xml:space="preserve"> includes an eligible person as defined in section 16.</w:t>
      </w:r>
    </w:p>
    <w:p>
      <w:pPr>
        <w:pStyle w:val="Subsection"/>
        <w:spacing w:before="140"/>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spacing w:before="60"/>
      </w:pPr>
      <w:r>
        <w:tab/>
        <w:t>(a)</w:t>
      </w:r>
      <w:r>
        <w:tab/>
        <w:t>so far as is reasonably practicable, the length of the interruption does not exceed the relevant period specified in subsection (2); and</w:t>
      </w:r>
    </w:p>
    <w:p>
      <w:pPr>
        <w:pStyle w:val="Indenta"/>
        <w:spacing w:before="60"/>
      </w:pPr>
      <w:r>
        <w:tab/>
        <w:t>(b)</w:t>
      </w:r>
      <w:r>
        <w:tab/>
        <w:t xml:space="preserve">the transmitter or distributor has given notice of the proposed interruption to the customer — </w:t>
      </w:r>
    </w:p>
    <w:p>
      <w:pPr>
        <w:pStyle w:val="Indenti"/>
        <w:spacing w:before="60"/>
      </w:pPr>
      <w:r>
        <w:tab/>
        <w:t>(i)</w:t>
      </w:r>
      <w:r>
        <w:tab/>
        <w:t xml:space="preserve">not less than 72 hours before the start of the interruption; or </w:t>
      </w:r>
    </w:p>
    <w:p>
      <w:pPr>
        <w:pStyle w:val="Indenti"/>
        <w:spacing w:before="60"/>
      </w:pPr>
      <w:r>
        <w:tab/>
        <w:t>(ii)</w:t>
      </w:r>
      <w:r>
        <w:tab/>
        <w:t>if it is not reasonably practicable to comply with subparagraph (i), at the earliest practicable time before the start of the interruption.</w:t>
      </w:r>
    </w:p>
    <w:p>
      <w:pPr>
        <w:pStyle w:val="Subsection"/>
        <w:keepNext/>
        <w:rPr>
          <w:spacing w:val="-2"/>
        </w:rPr>
      </w:pPr>
      <w:r>
        <w:rPr>
          <w:spacing w:val="-2"/>
        </w:rPr>
        <w:lastRenderedPageBreak/>
        <w:tab/>
        <w:t>(2)</w:t>
      </w:r>
      <w:r>
        <w:rPr>
          <w:spacing w:val="-2"/>
        </w:rPr>
        <w:tab/>
        <w:t xml:space="preserve">The periods referred to in subsection (1)(a) </w:t>
      </w:r>
      <w:r>
        <w:t xml:space="preserve">and section 11A(3)(a) </w:t>
      </w:r>
      <w:r>
        <w:rPr>
          <w:spacing w:val="-2"/>
        </w:rPr>
        <w:t xml:space="preserve">are — </w:t>
      </w:r>
    </w:p>
    <w:p>
      <w:pPr>
        <w:pStyle w:val="Indenta"/>
        <w:keepNext/>
        <w:spacing w:before="60"/>
      </w:pPr>
      <w:r>
        <w:tab/>
        <w:t>(a)</w:t>
      </w:r>
      <w:r>
        <w:tab/>
        <w:t>if the customer’s premises are on or south of the 26</w:t>
      </w:r>
      <w:r>
        <w:rPr>
          <w:vertAlign w:val="superscript"/>
        </w:rPr>
        <w:t>th</w:t>
      </w:r>
      <w:r>
        <w:t xml:space="preserve"> parallel of latitude — </w:t>
      </w:r>
    </w:p>
    <w:p>
      <w:pPr>
        <w:pStyle w:val="Indenti"/>
        <w:spacing w:before="60"/>
      </w:pPr>
      <w:r>
        <w:tab/>
        <w:t>(i)</w:t>
      </w:r>
      <w:r>
        <w:tab/>
        <w:t>6 hours; or</w:t>
      </w:r>
    </w:p>
    <w:p>
      <w:pPr>
        <w:pStyle w:val="Indenti"/>
        <w:spacing w:before="60"/>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spacing w:before="60"/>
      </w:pPr>
      <w:r>
        <w:tab/>
      </w:r>
      <w:r>
        <w:tab/>
        <w:t>or</w:t>
      </w:r>
    </w:p>
    <w:p>
      <w:pPr>
        <w:pStyle w:val="Indenta"/>
        <w:spacing w:before="60"/>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spacing w:before="60"/>
      </w:pPr>
      <w:r>
        <w:tab/>
        <w:t>(a)</w:t>
      </w:r>
      <w:r>
        <w:tab/>
        <w:t>is sent by post to the customer at the premises concerned or delivered to the customer’s letterbox at those premises; or</w:t>
      </w:r>
    </w:p>
    <w:p>
      <w:pPr>
        <w:pStyle w:val="Indenta"/>
      </w:pPr>
      <w:r>
        <w:tab/>
        <w:t>(aa)</w:t>
      </w:r>
      <w:r>
        <w:tab/>
        <w:t>is sent by post to the customer to an address, other than the address of the premises concerned, that has been nominated by the customer for notices to be given by post under this section; or</w:t>
      </w:r>
    </w:p>
    <w:p>
      <w:pPr>
        <w:pStyle w:val="Indenta"/>
      </w:pPr>
      <w:r>
        <w:tab/>
        <w:t>(ab)</w:t>
      </w:r>
      <w:r>
        <w:tab/>
        <w:t>is sent electronically to the customer, including by email, facsimile, text message or the internet; or</w:t>
      </w:r>
    </w:p>
    <w:p>
      <w:pPr>
        <w:pStyle w:val="Indenta"/>
        <w:spacing w:before="60"/>
      </w:pPr>
      <w:r>
        <w:tab/>
        <w:t>(b)</w:t>
      </w:r>
      <w:r>
        <w:tab/>
        <w:t xml:space="preserve">is broadcast twice on a television or radio station broadcasting to the area in which the premises are situated; or </w:t>
      </w:r>
    </w:p>
    <w:p>
      <w:pPr>
        <w:pStyle w:val="Indenta"/>
        <w:spacing w:before="60"/>
      </w:pPr>
      <w:r>
        <w:tab/>
        <w:t>(c)</w:t>
      </w:r>
      <w:r>
        <w:tab/>
        <w:t>is published in a newspaper circulating in that area.</w:t>
      </w:r>
    </w:p>
    <w:p>
      <w:pPr>
        <w:pStyle w:val="Subsection"/>
      </w:pPr>
      <w:r>
        <w:tab/>
        <w:t>(4)</w:t>
      </w:r>
      <w:r>
        <w:tab/>
        <w:t>For the purposes of subsection (3)(ab), a notice cannot be given by telephone or by publication on a website maintained by the transmitter or distributor.</w:t>
      </w:r>
    </w:p>
    <w:p>
      <w:pPr>
        <w:pStyle w:val="Footnotesection"/>
      </w:pPr>
      <w:r>
        <w:tab/>
        <w:t>[Section 11 amended: Gazette 27 Nov 2009 p. 4781; 2 May 2017 p. 2287</w:t>
      </w:r>
      <w:r>
        <w:noBreakHyphen/>
        <w:t>8.]</w:t>
      </w:r>
    </w:p>
    <w:p>
      <w:pPr>
        <w:pStyle w:val="Heading5"/>
      </w:pPr>
      <w:bookmarkStart w:id="30" w:name="_Toc88058016"/>
      <w:r>
        <w:rPr>
          <w:rStyle w:val="CharSectno"/>
        </w:rPr>
        <w:lastRenderedPageBreak/>
        <w:t>11A</w:t>
      </w:r>
      <w:r>
        <w:t>.</w:t>
      </w:r>
      <w:r>
        <w:tab/>
        <w:t>Interruptions to restore supply from network</w:t>
      </w:r>
      <w:bookmarkEnd w:id="30"/>
    </w:p>
    <w:p>
      <w:pPr>
        <w:pStyle w:val="Subsection"/>
      </w:pPr>
      <w:r>
        <w:tab/>
        <w:t>(1)</w:t>
      </w:r>
      <w:r>
        <w:tab/>
        <w:t xml:space="preserve">In this section — </w:t>
      </w:r>
    </w:p>
    <w:p>
      <w:pPr>
        <w:pStyle w:val="Defstart"/>
      </w:pPr>
      <w:r>
        <w:tab/>
      </w:r>
      <w:r>
        <w:rPr>
          <w:rStyle w:val="CharDefText"/>
        </w:rPr>
        <w:t>customer</w:t>
      </w:r>
      <w:r>
        <w:t xml:space="preserve"> includes an eligible person as defined in section 16.</w:t>
      </w:r>
    </w:p>
    <w:p>
      <w:pPr>
        <w:pStyle w:val="Subsection"/>
      </w:pPr>
      <w:r>
        <w:tab/>
        <w:t>(2)</w:t>
      </w:r>
      <w:r>
        <w:tab/>
        <w:t>This section applies if a customer is being supplied with electricity by alternative means because the customer is unable to receive supply from the network.</w:t>
      </w:r>
    </w:p>
    <w:p>
      <w:pPr>
        <w:pStyle w:val="Subsection"/>
      </w:pPr>
      <w:r>
        <w:tab/>
        <w:t>(3)</w:t>
      </w:r>
      <w:r>
        <w:tab/>
        <w:t xml:space="preserve">It is not a breach of section 9 for a transmitter or distributor to interrupt the supply of electricity to a customer for the purpose of restoring the supply of electricity to the customer from the network if — </w:t>
      </w:r>
    </w:p>
    <w:p>
      <w:pPr>
        <w:pStyle w:val="Indenta"/>
      </w:pPr>
      <w:r>
        <w:tab/>
        <w:t>(a)</w:t>
      </w:r>
      <w:r>
        <w:tab/>
        <w:t>so far as is reasonably practicable, the length of the interruption does not exceed the relevant period specified in section 11(2); and</w:t>
      </w:r>
    </w:p>
    <w:p>
      <w:pPr>
        <w:pStyle w:val="Indenta"/>
      </w:pPr>
      <w:r>
        <w:tab/>
        <w:t>(b)</w:t>
      </w:r>
      <w:r>
        <w:tab/>
        <w:t xml:space="preserve">the transmitter or distributor has used its best endeavours to give notice of the proposed interruption by contacting — </w:t>
      </w:r>
    </w:p>
    <w:p>
      <w:pPr>
        <w:pStyle w:val="Indenti"/>
      </w:pPr>
      <w:r>
        <w:tab/>
        <w:t>(i)</w:t>
      </w:r>
      <w:r>
        <w:tab/>
        <w:t>the customer; or</w:t>
      </w:r>
    </w:p>
    <w:p>
      <w:pPr>
        <w:pStyle w:val="Indenti"/>
      </w:pPr>
      <w:r>
        <w:tab/>
        <w:t>(ii)</w:t>
      </w:r>
      <w:r>
        <w:tab/>
        <w:t>if the customer’s premises are residential premises, the customer or another person who resides at those premises.</w:t>
      </w:r>
    </w:p>
    <w:p>
      <w:pPr>
        <w:pStyle w:val="Subsection"/>
      </w:pPr>
      <w:r>
        <w:tab/>
        <w:t>(4)</w:t>
      </w:r>
      <w:r>
        <w:tab/>
        <w:t>For the purposes of subsection (3)(b), the customer or other person may be contacted face to face, by post or by telephone, email, facsimile, text message, the internet or other electronic means but not by the publication of a notice on a website maintained by the transmitter or distributor.</w:t>
      </w:r>
    </w:p>
    <w:p>
      <w:pPr>
        <w:pStyle w:val="Footnotesection"/>
      </w:pPr>
      <w:r>
        <w:tab/>
        <w:t>[Section 11A inserted: Gazette 2 May 2017 p. 2288.]</w:t>
      </w:r>
    </w:p>
    <w:p>
      <w:pPr>
        <w:pStyle w:val="Heading5"/>
      </w:pPr>
      <w:bookmarkStart w:id="31" w:name="_Toc88058017"/>
      <w:r>
        <w:rPr>
          <w:rStyle w:val="CharSectno"/>
        </w:rPr>
        <w:t>12</w:t>
      </w:r>
      <w:r>
        <w:t>.</w:t>
      </w:r>
      <w:r>
        <w:tab/>
        <w:t>Significant interruptions to small use customers</w:t>
      </w:r>
      <w:bookmarkEnd w:id="31"/>
    </w:p>
    <w:p>
      <w:pPr>
        <w:pStyle w:val="Subsection"/>
        <w:rPr>
          <w:spacing w:val="-2"/>
        </w:rPr>
      </w:pPr>
      <w:r>
        <w:rPr>
          <w:spacing w:val="-2"/>
        </w:rPr>
        <w:tab/>
        <w:t>(1)</w:t>
      </w:r>
      <w:r>
        <w:rPr>
          <w:spacing w:val="-2"/>
        </w:rPr>
        <w:tab/>
        <w:t xml:space="preserve">In this section — </w:t>
      </w:r>
    </w:p>
    <w:p>
      <w:pPr>
        <w:pStyle w:val="Defstart"/>
        <w:spacing w:before="60"/>
      </w:pPr>
      <w:r>
        <w:tab/>
      </w:r>
      <w:r>
        <w:rPr>
          <w:rStyle w:val="CharDefText"/>
        </w:rPr>
        <w:t>permitted number of times</w:t>
      </w:r>
      <w:r>
        <w:t xml:space="preserve"> means — </w:t>
      </w:r>
    </w:p>
    <w:p>
      <w:pPr>
        <w:pStyle w:val="Defpara"/>
        <w:spacing w:before="60"/>
      </w:pPr>
      <w:r>
        <w:tab/>
        <w:t>(a)</w:t>
      </w:r>
      <w:r>
        <w:tab/>
        <w:t xml:space="preserve">for small use customers in the Perth CBD or the urban areas, 9 times; and </w:t>
      </w:r>
    </w:p>
    <w:p>
      <w:pPr>
        <w:pStyle w:val="Defpara"/>
        <w:spacing w:before="60"/>
      </w:pPr>
      <w:r>
        <w:lastRenderedPageBreak/>
        <w:tab/>
        <w:t>(b)</w:t>
      </w:r>
      <w:r>
        <w:tab/>
        <w:t>16 times for small use customers in other areas;</w:t>
      </w:r>
    </w:p>
    <w:p>
      <w:pPr>
        <w:pStyle w:val="Defstart"/>
        <w:spacing w:before="60"/>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spacing w:before="60"/>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spacing w:before="60"/>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spacing w:before="120"/>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32" w:name="_Toc88054034"/>
      <w:bookmarkStart w:id="33" w:name="_Toc88054085"/>
      <w:bookmarkStart w:id="34" w:name="_Toc88056556"/>
      <w:bookmarkStart w:id="35" w:name="_Toc88058018"/>
      <w:r>
        <w:rPr>
          <w:rStyle w:val="CharDivNo"/>
        </w:rPr>
        <w:t>Division 3</w:t>
      </w:r>
      <w:r>
        <w:t> — </w:t>
      </w:r>
      <w:r>
        <w:rPr>
          <w:rStyle w:val="CharDivText"/>
        </w:rPr>
        <w:t>Standards for the duration of interruption of supply in particular areas</w:t>
      </w:r>
      <w:bookmarkEnd w:id="32"/>
      <w:bookmarkEnd w:id="33"/>
      <w:bookmarkEnd w:id="34"/>
      <w:bookmarkEnd w:id="35"/>
    </w:p>
    <w:p>
      <w:pPr>
        <w:pStyle w:val="Heading5"/>
      </w:pPr>
      <w:bookmarkStart w:id="36" w:name="_Toc88058019"/>
      <w:r>
        <w:rPr>
          <w:rStyle w:val="CharSectno"/>
        </w:rPr>
        <w:t>13</w:t>
      </w:r>
      <w:r>
        <w:t>.</w:t>
      </w:r>
      <w:r>
        <w:tab/>
        <w:t>Standards prescribed for particular areas</w:t>
      </w:r>
      <w:bookmarkEnd w:id="36"/>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 xml:space="preserve">A transmitter or distributor must, so far as is reasonably practicable, ensure that for customer premises in an area referred to in the first column of the Table to this subsection the average total length of interruptions of supply, as calculated under </w:t>
      </w:r>
      <w:r>
        <w:rPr>
          <w:spacing w:val="-2"/>
        </w:rPr>
        <w:lastRenderedPageBreak/>
        <w:t>subsection (3), does not exceed the number of minutes specified in the second column opposite the reference to that area.</w:t>
      </w:r>
    </w:p>
    <w:p>
      <w:pPr>
        <w:pStyle w:val="THeadingNAm"/>
      </w:pPr>
      <w:r>
        <w:t>Table</w:t>
      </w:r>
    </w:p>
    <w:tbl>
      <w:tblPr>
        <w:tblW w:w="0" w:type="auto"/>
        <w:tblInd w:w="959" w:type="dxa"/>
        <w:tblLayout w:type="fixed"/>
        <w:tblLook w:val="0000" w:firstRow="0" w:lastRow="0" w:firstColumn="0" w:lastColumn="0" w:noHBand="0" w:noVBand="0"/>
      </w:tblPr>
      <w:tblGrid>
        <w:gridCol w:w="2869"/>
        <w:gridCol w:w="3360"/>
      </w:tblGrid>
      <w:tr>
        <w:trPr>
          <w:tblHeader/>
        </w:trPr>
        <w:tc>
          <w:tcPr>
            <w:tcW w:w="2869" w:type="dxa"/>
            <w:tcBorders>
              <w:top w:val="single" w:sz="4" w:space="0" w:color="auto"/>
              <w:bottom w:val="single" w:sz="4" w:space="0" w:color="auto"/>
            </w:tcBorders>
          </w:tcPr>
          <w:p>
            <w:pPr>
              <w:pStyle w:val="TableNAm"/>
              <w:spacing w:before="60" w:after="60"/>
              <w:jc w:val="center"/>
              <w:rPr>
                <w:b/>
                <w:bCs/>
              </w:rPr>
            </w:pPr>
            <w:r>
              <w:rPr>
                <w:b/>
                <w:bCs/>
              </w:rPr>
              <w:t>Area</w:t>
            </w:r>
          </w:p>
        </w:tc>
        <w:tc>
          <w:tcPr>
            <w:tcW w:w="3360" w:type="dxa"/>
            <w:tcBorders>
              <w:top w:val="single" w:sz="4" w:space="0" w:color="auto"/>
              <w:bottom w:val="single" w:sz="4" w:space="0" w:color="auto"/>
            </w:tcBorders>
          </w:tcPr>
          <w:p>
            <w:pPr>
              <w:pStyle w:val="TableNAm"/>
              <w:spacing w:before="60" w:after="60"/>
              <w:jc w:val="center"/>
              <w:rPr>
                <w:b/>
                <w:bCs/>
              </w:rPr>
            </w:pPr>
            <w:r>
              <w:rPr>
                <w:b/>
                <w:bCs/>
              </w:rPr>
              <w:t>Standard for average total length of interruptions</w:t>
            </w:r>
          </w:p>
        </w:tc>
      </w:tr>
      <w:tr>
        <w:tc>
          <w:tcPr>
            <w:tcW w:w="2869" w:type="dxa"/>
          </w:tcPr>
          <w:p>
            <w:pPr>
              <w:pStyle w:val="TableNAm"/>
              <w:spacing w:before="60" w:after="60"/>
            </w:pPr>
            <w:r>
              <w:t>the Perth CBD</w:t>
            </w:r>
          </w:p>
        </w:tc>
        <w:tc>
          <w:tcPr>
            <w:tcW w:w="3360" w:type="dxa"/>
          </w:tcPr>
          <w:p>
            <w:pPr>
              <w:pStyle w:val="TableNAm"/>
              <w:spacing w:before="60" w:after="60"/>
              <w:ind w:right="1155"/>
              <w:jc w:val="right"/>
            </w:pPr>
            <w:r>
              <w:tab/>
              <w:t>30</w:t>
            </w:r>
          </w:p>
        </w:tc>
      </w:tr>
      <w:tr>
        <w:tc>
          <w:tcPr>
            <w:tcW w:w="2869" w:type="dxa"/>
          </w:tcPr>
          <w:p>
            <w:pPr>
              <w:pStyle w:val="TableNAm"/>
              <w:spacing w:before="60" w:after="60"/>
            </w:pPr>
            <w:r>
              <w:t>the urban areas other than the Perth CBD</w:t>
            </w:r>
          </w:p>
        </w:tc>
        <w:tc>
          <w:tcPr>
            <w:tcW w:w="3360" w:type="dxa"/>
          </w:tcPr>
          <w:p>
            <w:pPr>
              <w:pStyle w:val="TableNAm"/>
              <w:spacing w:before="60" w:after="60"/>
              <w:ind w:right="1155"/>
              <w:jc w:val="right"/>
            </w:pPr>
            <w:r>
              <w:br/>
            </w:r>
            <w:r>
              <w:tab/>
              <w:t>160</w:t>
            </w:r>
          </w:p>
        </w:tc>
      </w:tr>
      <w:tr>
        <w:tc>
          <w:tcPr>
            <w:tcW w:w="2869" w:type="dxa"/>
            <w:tcBorders>
              <w:bottom w:val="single" w:sz="4" w:space="0" w:color="auto"/>
            </w:tcBorders>
          </w:tcPr>
          <w:p>
            <w:pPr>
              <w:pStyle w:val="TableNAm"/>
              <w:spacing w:before="60" w:after="60"/>
            </w:pPr>
            <w:r>
              <w:t>any other area of the State</w:t>
            </w:r>
          </w:p>
        </w:tc>
        <w:tc>
          <w:tcPr>
            <w:tcW w:w="3360" w:type="dxa"/>
            <w:tcBorders>
              <w:bottom w:val="single" w:sz="4" w:space="0" w:color="auto"/>
            </w:tcBorders>
          </w:tcPr>
          <w:p>
            <w:pPr>
              <w:pStyle w:val="TableNAm"/>
              <w:spacing w:before="60" w:after="60"/>
              <w:ind w:right="1155"/>
              <w:jc w:val="right"/>
            </w:pPr>
            <w: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37" w:name="_Toc88054036"/>
      <w:bookmarkStart w:id="38" w:name="_Toc88054087"/>
      <w:bookmarkStart w:id="39" w:name="_Toc88056558"/>
      <w:bookmarkStart w:id="40" w:name="_Toc88058020"/>
      <w:r>
        <w:rPr>
          <w:rStyle w:val="CharDivNo"/>
        </w:rPr>
        <w:t>Division 3A</w:t>
      </w:r>
      <w:r>
        <w:t> — </w:t>
      </w:r>
      <w:r>
        <w:rPr>
          <w:rStyle w:val="CharDivText"/>
        </w:rPr>
        <w:t>Temporary reliability standards for supply to particular areas</w:t>
      </w:r>
      <w:bookmarkEnd w:id="37"/>
      <w:bookmarkEnd w:id="38"/>
      <w:bookmarkEnd w:id="39"/>
      <w:bookmarkEnd w:id="40"/>
    </w:p>
    <w:p>
      <w:pPr>
        <w:pStyle w:val="Footnoteheading"/>
      </w:pPr>
      <w:r>
        <w:tab/>
        <w:t>[Heading inserted: Gazette 25 Sep 2018 p. 3568.]</w:t>
      </w:r>
    </w:p>
    <w:p>
      <w:pPr>
        <w:pStyle w:val="Heading5"/>
      </w:pPr>
      <w:bookmarkStart w:id="41" w:name="_Toc88058021"/>
      <w:r>
        <w:rPr>
          <w:rStyle w:val="CharSectno"/>
        </w:rPr>
        <w:t>13A</w:t>
      </w:r>
      <w:r>
        <w:t>.</w:t>
      </w:r>
      <w:r>
        <w:tab/>
        <w:t>Temporary reliability standards for Eastern Goldfields and North Country</w:t>
      </w:r>
      <w:bookmarkEnd w:id="41"/>
    </w:p>
    <w:p>
      <w:pPr>
        <w:pStyle w:val="Subsection"/>
        <w:rPr>
          <w:spacing w:val="-2"/>
        </w:rPr>
      </w:pPr>
      <w:r>
        <w:rPr>
          <w:spacing w:val="-2"/>
        </w:rPr>
        <w:tab/>
        <w:t>(1)</w:t>
      </w:r>
      <w:r>
        <w:rPr>
          <w:spacing w:val="-2"/>
        </w:rPr>
        <w:tab/>
        <w:t>The reliability standards in this Division apply during the period beginning on 1 October 2018 and ending on 30 September 2023.</w:t>
      </w:r>
    </w:p>
    <w:p>
      <w:pPr>
        <w:pStyle w:val="Subsection"/>
        <w:rPr>
          <w:spacing w:val="-2"/>
        </w:rPr>
      </w:pPr>
      <w:r>
        <w:rPr>
          <w:spacing w:val="-2"/>
        </w:rPr>
        <w:lastRenderedPageBreak/>
        <w:tab/>
        <w:t>(2)</w:t>
      </w:r>
      <w:r>
        <w:rPr>
          <w:spacing w:val="-2"/>
        </w:rPr>
        <w:tab/>
        <w:t xml:space="preserve">In this Division — </w:t>
      </w:r>
    </w:p>
    <w:p>
      <w:pPr>
        <w:pStyle w:val="Defstart"/>
        <w:spacing w:before="60"/>
      </w:pPr>
      <w:r>
        <w:tab/>
      </w:r>
      <w:r>
        <w:rPr>
          <w:rStyle w:val="CharDefText"/>
        </w:rPr>
        <w:t>essential services</w:t>
      </w:r>
      <w:r>
        <w:t xml:space="preserve"> includes, but are not necessarily limited to, services such as hospitals and railways where the maintenance of a supply of electricity is necessary for the maintenance of public health, order and safety.</w:t>
      </w:r>
    </w:p>
    <w:p>
      <w:pPr>
        <w:pStyle w:val="Footnotesection"/>
      </w:pPr>
      <w:r>
        <w:tab/>
        <w:t>[Section 13A inserted: Gazette 25 Sep 2018 p. 3568.]</w:t>
      </w:r>
    </w:p>
    <w:p>
      <w:pPr>
        <w:pStyle w:val="Heading5"/>
      </w:pPr>
      <w:bookmarkStart w:id="42" w:name="_Toc88058022"/>
      <w:r>
        <w:rPr>
          <w:rStyle w:val="CharSectno"/>
        </w:rPr>
        <w:t>13B</w:t>
      </w:r>
      <w:r>
        <w:t>.</w:t>
      </w:r>
      <w:r>
        <w:tab/>
        <w:t>Temporary reliability standards for supply to Eastern Goldfields</w:t>
      </w:r>
      <w:bookmarkEnd w:id="42"/>
    </w:p>
    <w:p>
      <w:pPr>
        <w:pStyle w:val="Subsection"/>
        <w:rPr>
          <w:spacing w:val="-2"/>
        </w:rPr>
      </w:pPr>
      <w:r>
        <w:rPr>
          <w:spacing w:val="-2"/>
        </w:rPr>
        <w:tab/>
        <w:t>(1)</w:t>
      </w:r>
      <w:r>
        <w:rPr>
          <w:spacing w:val="-2"/>
        </w:rPr>
        <w:tab/>
        <w:t>Electricity Networks Corporation must, so far as is reasonably practicable, have in place arrangements to—</w:t>
      </w:r>
    </w:p>
    <w:p>
      <w:pPr>
        <w:pStyle w:val="Indenta"/>
      </w:pPr>
      <w:r>
        <w:tab/>
        <w:t>(a)</w:t>
      </w:r>
      <w:r>
        <w:tab/>
        <w:t>restore and maintain at least 45MW of supply to essential services loads and the majority of small use customers in the Eastern Goldfields as soon as is reasonably practicable following the occurrence of an unplanned outage of a transmission element supplying the Eastern Goldfields; and</w:t>
      </w:r>
    </w:p>
    <w:p>
      <w:pPr>
        <w:pStyle w:val="Indenta"/>
      </w:pPr>
      <w:r>
        <w:tab/>
        <w:t>(b)</w:t>
      </w:r>
      <w:r>
        <w:tab/>
        <w:t>maintain at least 45MW of supply to essential services loads and the majority of small use customers in the Eastern Goldfields during the occurrence of a planned outage of a transmission element supplying the Eastern Goldfields.</w:t>
      </w:r>
    </w:p>
    <w:p>
      <w:pPr>
        <w:pStyle w:val="Footnotesection"/>
      </w:pPr>
      <w:r>
        <w:tab/>
        <w:t>[Section 13B inserted: Gazette 25 Sep 2018 p. 3568</w:t>
      </w:r>
      <w:r>
        <w:noBreakHyphen/>
        <w:t>9.]</w:t>
      </w:r>
    </w:p>
    <w:p>
      <w:pPr>
        <w:pStyle w:val="Heading5"/>
      </w:pPr>
      <w:bookmarkStart w:id="43" w:name="_Toc88058023"/>
      <w:r>
        <w:rPr>
          <w:rStyle w:val="CharSectno"/>
        </w:rPr>
        <w:t>13C</w:t>
      </w:r>
      <w:r>
        <w:t>.</w:t>
      </w:r>
      <w:r>
        <w:tab/>
        <w:t>Temporary reliability standards for supply to North Country</w:t>
      </w:r>
      <w:bookmarkEnd w:id="43"/>
    </w:p>
    <w:p>
      <w:pPr>
        <w:pStyle w:val="Subsection"/>
      </w:pPr>
      <w:r>
        <w:tab/>
        <w:t>(1)</w:t>
      </w:r>
      <w:r>
        <w:tab/>
        <w:t>Electricity Networks Corporation must, so far as is reasonably practicable, have in place arrangements to—</w:t>
      </w:r>
    </w:p>
    <w:p>
      <w:pPr>
        <w:pStyle w:val="Indenta"/>
      </w:pPr>
      <w:r>
        <w:tab/>
        <w:t>(a)</w:t>
      </w:r>
      <w:r>
        <w:tab/>
        <w:t>restore and maintain at least 50MW of supply to essential services loads and the majority of small use customers in the North Country as soon as reasonably practicable following the occurrence of an unplanned outage of a transmission element supplying the North Country; and</w:t>
      </w:r>
    </w:p>
    <w:p>
      <w:pPr>
        <w:pStyle w:val="Indenta"/>
      </w:pPr>
      <w:r>
        <w:lastRenderedPageBreak/>
        <w:tab/>
        <w:t>(b)</w:t>
      </w:r>
      <w:r>
        <w:tab/>
        <w:t>maintain at least 50MW of supply to essential services loads and a majority of small use customers in the North Country during a planned outage of a transmission element supplying the North Country.</w:t>
      </w:r>
    </w:p>
    <w:p>
      <w:pPr>
        <w:pStyle w:val="Footnotesection"/>
      </w:pPr>
      <w:r>
        <w:tab/>
        <w:t>[Section 13C inserted: Gazette 25 Sep 2018 p. 3569.]</w:t>
      </w:r>
    </w:p>
    <w:p>
      <w:pPr>
        <w:pStyle w:val="Heading3"/>
      </w:pPr>
      <w:bookmarkStart w:id="44" w:name="_Toc88054040"/>
      <w:bookmarkStart w:id="45" w:name="_Toc88054091"/>
      <w:bookmarkStart w:id="46" w:name="_Toc88056562"/>
      <w:bookmarkStart w:id="47" w:name="_Toc88058024"/>
      <w:r>
        <w:rPr>
          <w:rStyle w:val="CharDivNo"/>
        </w:rPr>
        <w:t>Division 4</w:t>
      </w:r>
      <w:r>
        <w:t> — </w:t>
      </w:r>
      <w:r>
        <w:rPr>
          <w:rStyle w:val="CharDivText"/>
        </w:rPr>
        <w:t>Variation of obligations under this Part</w:t>
      </w:r>
      <w:bookmarkEnd w:id="44"/>
      <w:bookmarkEnd w:id="45"/>
      <w:bookmarkEnd w:id="46"/>
      <w:bookmarkEnd w:id="47"/>
    </w:p>
    <w:p>
      <w:pPr>
        <w:pStyle w:val="Heading5"/>
      </w:pPr>
      <w:bookmarkStart w:id="48" w:name="_Toc88058025"/>
      <w:r>
        <w:rPr>
          <w:rStyle w:val="CharSectno"/>
        </w:rPr>
        <w:t>14</w:t>
      </w:r>
      <w:r>
        <w:t>.</w:t>
      </w:r>
      <w:r>
        <w:tab/>
        <w:t>Alternative provision may be made by Minister on application</w:t>
      </w:r>
      <w:bookmarkEnd w:id="48"/>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lastRenderedPageBreak/>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49" w:name="_Toc88058026"/>
      <w:r>
        <w:rPr>
          <w:rStyle w:val="CharSectno"/>
        </w:rPr>
        <w:t>15</w:t>
      </w:r>
      <w:r>
        <w:t>.</w:t>
      </w:r>
      <w:r>
        <w:tab/>
        <w:t>Provisions may be excluded or modified by agreement</w:t>
      </w:r>
      <w:bookmarkEnd w:id="49"/>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50" w:name="_Toc88054043"/>
      <w:bookmarkStart w:id="51" w:name="_Toc88054094"/>
      <w:bookmarkStart w:id="52" w:name="_Toc88056565"/>
      <w:bookmarkStart w:id="53" w:name="_Toc88058027"/>
      <w:r>
        <w:rPr>
          <w:rStyle w:val="CharPartNo"/>
        </w:rPr>
        <w:lastRenderedPageBreak/>
        <w:t>Part 3</w:t>
      </w:r>
      <w:r>
        <w:rPr>
          <w:rStyle w:val="CharDivNo"/>
        </w:rPr>
        <w:t> </w:t>
      </w:r>
      <w:r>
        <w:t>—</w:t>
      </w:r>
      <w:r>
        <w:rPr>
          <w:rStyle w:val="CharDivText"/>
        </w:rPr>
        <w:t> </w:t>
      </w:r>
      <w:r>
        <w:rPr>
          <w:rStyle w:val="CharPartText"/>
        </w:rPr>
        <w:t>Payments for failure to meet certain standards</w:t>
      </w:r>
      <w:bookmarkEnd w:id="50"/>
      <w:bookmarkEnd w:id="51"/>
      <w:bookmarkEnd w:id="52"/>
      <w:bookmarkEnd w:id="53"/>
    </w:p>
    <w:p>
      <w:pPr>
        <w:pStyle w:val="Footnoteheading"/>
      </w:pPr>
      <w:r>
        <w:tab/>
        <w:t>[Heading amended: Gazette 27 Nov 2009 p. 4781.]</w:t>
      </w:r>
    </w:p>
    <w:p>
      <w:pPr>
        <w:pStyle w:val="Heading5"/>
      </w:pPr>
      <w:bookmarkStart w:id="54" w:name="_Toc88058028"/>
      <w:r>
        <w:rPr>
          <w:rStyle w:val="CharSectno"/>
        </w:rPr>
        <w:t>16</w:t>
      </w:r>
      <w:r>
        <w:t>.</w:t>
      </w:r>
      <w:r>
        <w:tab/>
        <w:t>Terms used</w:t>
      </w:r>
      <w:bookmarkEnd w:id="54"/>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tab/>
      </w:r>
      <w:r>
        <w:rPr>
          <w:rStyle w:val="CharDefText"/>
        </w:rPr>
        <w:t>eligible person</w:t>
      </w:r>
      <w:r>
        <w:t xml:space="preserve"> means — </w:t>
      </w:r>
    </w:p>
    <w:p>
      <w:pPr>
        <w:pStyle w:val="Defpara"/>
      </w:pPr>
      <w:r>
        <w:tab/>
        <w:t>(a)</w:t>
      </w:r>
      <w:r>
        <w:tab/>
        <w:t>a customer who is supplied with electricity from a distribution system operated by a corporation and who consumes not more than 50 MWh of electricity per year; or</w:t>
      </w:r>
    </w:p>
    <w:p>
      <w:pPr>
        <w:pStyle w:val="Defpara"/>
      </w:pPr>
      <w:r>
        <w:tab/>
        <w:t>(b)</w:t>
      </w:r>
      <w:r>
        <w:tab/>
        <w:t xml:space="preserve">a person who — </w:t>
      </w:r>
    </w:p>
    <w:p>
      <w:pPr>
        <w:pStyle w:val="Indenti"/>
      </w:pPr>
      <w:r>
        <w:tab/>
        <w:t>(i)</w:t>
      </w:r>
      <w:r>
        <w:tab/>
        <w:t>at separately metered premises; or</w:t>
      </w:r>
    </w:p>
    <w:p>
      <w:pPr>
        <w:pStyle w:val="Indenti"/>
      </w:pPr>
      <w:r>
        <w:tab/>
        <w:t>(ii)</w:t>
      </w:r>
      <w:r>
        <w:tab/>
        <w:t>at premises, other than separately metered premises, where the person principally resides or carries on a business,</w:t>
      </w:r>
    </w:p>
    <w:p>
      <w:pPr>
        <w:pStyle w:val="Defpara"/>
      </w:pPr>
      <w:r>
        <w:tab/>
      </w:r>
      <w:r>
        <w:tab/>
        <w:t>is supplied with electricity from a distribution system operated by a corporation and who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Defstart"/>
      </w:pPr>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p>
    <w:p>
      <w:pPr>
        <w:pStyle w:val="Footnotesection"/>
      </w:pPr>
      <w:r>
        <w:tab/>
        <w:t>[Section 16 amended: Gazette 31 Mar 2006 p. 1346; 27 Nov 2009 p. 4782.]</w:t>
      </w:r>
    </w:p>
    <w:p>
      <w:pPr>
        <w:pStyle w:val="Heading5"/>
      </w:pPr>
      <w:bookmarkStart w:id="55" w:name="_Toc88058029"/>
      <w:r>
        <w:rPr>
          <w:rStyle w:val="CharSectno"/>
        </w:rPr>
        <w:lastRenderedPageBreak/>
        <w:t>17</w:t>
      </w:r>
      <w:r>
        <w:t>.</w:t>
      </w:r>
      <w:r>
        <w:tab/>
        <w:t>Interruptions to which this Part does not apply</w:t>
      </w:r>
      <w:bookmarkEnd w:id="55"/>
    </w:p>
    <w:p>
      <w:pPr>
        <w:pStyle w:val="Subsection"/>
        <w:rPr>
          <w:spacing w:val="-2"/>
        </w:rPr>
      </w:pPr>
      <w:r>
        <w:rPr>
          <w:spacing w:val="-2"/>
        </w:rPr>
        <w:tab/>
        <w:t>(1)</w:t>
      </w:r>
      <w:r>
        <w:rPr>
          <w:spacing w:val="-2"/>
        </w:rPr>
        <w:tab/>
        <w:t xml:space="preserve">Sections 18 and 19 do not apply to an interruption that — </w:t>
      </w:r>
    </w:p>
    <w:p>
      <w:pPr>
        <w:pStyle w:val="Indenta"/>
        <w:spacing w:before="70"/>
      </w:pPr>
      <w:r>
        <w:tab/>
        <w:t>(a)</w:t>
      </w:r>
      <w:r>
        <w:tab/>
        <w:t xml:space="preserve">is to the supply of electricity on the South West interconnected system and — </w:t>
      </w:r>
    </w:p>
    <w:p>
      <w:pPr>
        <w:pStyle w:val="Indenti"/>
        <w:spacing w:before="70"/>
      </w:pPr>
      <w:r>
        <w:tab/>
        <w:t>(i)</w:t>
      </w:r>
      <w:r>
        <w:tab/>
        <w:t>that occurs during, or as a consequence of, an emergency operating state; or</w:t>
      </w:r>
    </w:p>
    <w:p>
      <w:pPr>
        <w:pStyle w:val="Indenti"/>
        <w:spacing w:before="70"/>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spacing w:before="70"/>
      </w:pPr>
      <w:r>
        <w:tab/>
        <w:t>(b)</w:t>
      </w:r>
      <w:r>
        <w:tab/>
        <w:t>is caused by the eligible person or equipment under the eligible person’s control; or</w:t>
      </w:r>
    </w:p>
    <w:p>
      <w:pPr>
        <w:pStyle w:val="Indenta"/>
        <w:spacing w:before="70"/>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spacing w:before="100"/>
        <w:ind w:left="890" w:hanging="890"/>
        <w:rPr>
          <w:spacing w:val="-2"/>
        </w:rPr>
      </w:pPr>
      <w:r>
        <w:tab/>
        <w:t>[Section 17 amended: Gazette 27 Nov 2009 p. 4783.]</w:t>
      </w:r>
    </w:p>
    <w:p>
      <w:pPr>
        <w:pStyle w:val="Heading5"/>
      </w:pPr>
      <w:bookmarkStart w:id="56" w:name="_Toc88058030"/>
      <w:r>
        <w:rPr>
          <w:rStyle w:val="CharSectno"/>
        </w:rPr>
        <w:t>18</w:t>
      </w:r>
      <w:r>
        <w:t>.</w:t>
      </w:r>
      <w:r>
        <w:tab/>
        <w:t>Payment for failure to give required notice of planned interruption</w:t>
      </w:r>
      <w:bookmarkEnd w:id="56"/>
    </w:p>
    <w:p>
      <w:pPr>
        <w:pStyle w:val="Subsection"/>
        <w:rPr>
          <w:spacing w:val="-2"/>
        </w:rPr>
      </w:pPr>
      <w:r>
        <w:rPr>
          <w:spacing w:val="-2"/>
        </w:rPr>
        <w:tab/>
      </w:r>
      <w:r>
        <w:rPr>
          <w:spacing w:val="-2"/>
        </w:rPr>
        <w:tab/>
        <w:t xml:space="preserve">If — </w:t>
      </w:r>
    </w:p>
    <w:p>
      <w:pPr>
        <w:pStyle w:val="Indenta"/>
        <w:spacing w:before="70"/>
      </w:pPr>
      <w:r>
        <w:tab/>
        <w:t>(a)</w:t>
      </w:r>
      <w:r>
        <w:tab/>
        <w:t>a corporation fails to give an eligible person not less than 72 hours notice of a planned interruption as required by section 11(1)(b)(i); and</w:t>
      </w:r>
    </w:p>
    <w:p>
      <w:pPr>
        <w:pStyle w:val="Indenta"/>
        <w:spacing w:before="70"/>
      </w:pPr>
      <w:r>
        <w:tab/>
        <w:t>(b)</w:t>
      </w:r>
      <w:r>
        <w:tab/>
        <w:t>the person, within 60 days after the interruption, applies to the corporation for compensation under this section,</w:t>
      </w:r>
    </w:p>
    <w:p>
      <w:pPr>
        <w:pStyle w:val="Subsection"/>
        <w:spacing w:before="120"/>
        <w:rPr>
          <w:spacing w:val="-2"/>
        </w:rPr>
      </w:pPr>
      <w:r>
        <w:rPr>
          <w:spacing w:val="-2"/>
        </w:rPr>
        <w:tab/>
      </w:r>
      <w:r>
        <w:rPr>
          <w:spacing w:val="-2"/>
        </w:rPr>
        <w:tab/>
        <w:t xml:space="preserve">the corporation must, within 30 days after the application is made, pay the sum of $20 in respect of the failure to </w:t>
      </w:r>
      <w:r>
        <w:t>the person</w:t>
      </w:r>
      <w:r>
        <w:rPr>
          <w:spacing w:val="-2"/>
        </w:rPr>
        <w:t xml:space="preserve"> or as provided by section 22.</w:t>
      </w:r>
    </w:p>
    <w:p>
      <w:pPr>
        <w:pStyle w:val="Footnotesection"/>
        <w:spacing w:before="100"/>
        <w:ind w:left="890" w:hanging="890"/>
        <w:rPr>
          <w:spacing w:val="-2"/>
        </w:rPr>
      </w:pPr>
      <w:r>
        <w:tab/>
        <w:t>[Section 18 amended: Gazette 27 Nov 2009 p. 4783.]</w:t>
      </w:r>
    </w:p>
    <w:p>
      <w:pPr>
        <w:pStyle w:val="Heading5"/>
      </w:pPr>
      <w:bookmarkStart w:id="57" w:name="_Toc88058031"/>
      <w:r>
        <w:rPr>
          <w:rStyle w:val="CharSectno"/>
        </w:rPr>
        <w:lastRenderedPageBreak/>
        <w:t>19</w:t>
      </w:r>
      <w:r>
        <w:t>.</w:t>
      </w:r>
      <w:r>
        <w:tab/>
        <w:t>Payment for supply interruptions exceeding 12 hours</w:t>
      </w:r>
      <w:bookmarkEnd w:id="57"/>
    </w:p>
    <w:p>
      <w:pPr>
        <w:pStyle w:val="Subsection"/>
        <w:rPr>
          <w:spacing w:val="-2"/>
        </w:rPr>
      </w:pPr>
      <w:r>
        <w:rPr>
          <w:spacing w:val="-2"/>
        </w:rPr>
        <w:tab/>
        <w:t>(1)</w:t>
      </w:r>
      <w:r>
        <w:rPr>
          <w:spacing w:val="-2"/>
        </w:rPr>
        <w:tab/>
        <w:t xml:space="preserve">If — </w:t>
      </w:r>
    </w:p>
    <w:p>
      <w:pPr>
        <w:pStyle w:val="Indenta"/>
      </w:pPr>
      <w:r>
        <w:tab/>
        <w:t>(a)</w:t>
      </w:r>
      <w:r>
        <w:tab/>
        <w:t xml:space="preserve">the supply of electricity by a corporation to an eligible person is interrupted for more than 12 hours continuously, whether or not notice has been given to the person under section 11(1) or 11A(3); and </w:t>
      </w:r>
    </w:p>
    <w:p>
      <w:pPr>
        <w:pStyle w:val="Indenta"/>
      </w:pPr>
      <w:r>
        <w:tab/>
        <w:t>(b)</w:t>
      </w:r>
      <w:r>
        <w:tab/>
        <w:t>the person, within 60 days after the interruption ceases,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$80 in respect of the interruption to </w:t>
      </w:r>
      <w:r>
        <w:t>the person</w:t>
      </w:r>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person that the supply of electricity was interrupted; or </w:t>
      </w:r>
    </w:p>
    <w:p>
      <w:pPr>
        <w:pStyle w:val="Indenta"/>
      </w:pPr>
      <w:r>
        <w:tab/>
        <w:t>(b)</w:t>
      </w:r>
      <w:r>
        <w:tab/>
        <w:t>should have become aware, on account of the information reasonably available to it, that the person’s supply had been interrupted,</w:t>
      </w:r>
    </w:p>
    <w:p>
      <w:pPr>
        <w:pStyle w:val="Subsection"/>
        <w:rPr>
          <w:spacing w:val="-2"/>
        </w:rPr>
      </w:pPr>
      <w:r>
        <w:rPr>
          <w:spacing w:val="-2"/>
        </w:rPr>
        <w:tab/>
      </w:r>
      <w:r>
        <w:rPr>
          <w:spacing w:val="-2"/>
        </w:rPr>
        <w:tab/>
        <w:t>whichever is the earlier.</w:t>
      </w:r>
    </w:p>
    <w:p>
      <w:pPr>
        <w:pStyle w:val="PermNoteHeading"/>
      </w:pPr>
      <w:r>
        <w:tab/>
        <w:t>Note:</w:t>
      </w:r>
    </w:p>
    <w:p>
      <w:pPr>
        <w:pStyle w:val="PermNoteText"/>
      </w:pPr>
      <w:r>
        <w:tab/>
      </w:r>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pPr>
      <w:r>
        <w:tab/>
        <w:t>[Section 19 amended: Gazette 27 Nov 2009 p. 4783; 2 May 2017 p. 2289.]</w:t>
      </w:r>
    </w:p>
    <w:p>
      <w:pPr>
        <w:pStyle w:val="Heading5"/>
      </w:pPr>
      <w:bookmarkStart w:id="58" w:name="_Toc88058032"/>
      <w:r>
        <w:rPr>
          <w:rStyle w:val="CharSectno"/>
        </w:rPr>
        <w:t>20</w:t>
      </w:r>
      <w:r>
        <w:t>.</w:t>
      </w:r>
      <w:r>
        <w:tab/>
        <w:t>Only one application for each premises</w:t>
      </w:r>
      <w:bookmarkEnd w:id="58"/>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keepNext/>
      </w:pPr>
      <w:r>
        <w:lastRenderedPageBreak/>
        <w:tab/>
        <w:t>(2)</w:t>
      </w:r>
      <w:r>
        <w:tab/>
        <w:t xml:space="preserve">Each premises or part of premises — </w:t>
      </w:r>
    </w:p>
    <w:p>
      <w:pPr>
        <w:pStyle w:val="Indenta"/>
        <w:keepNext/>
      </w:pPr>
      <w:r>
        <w:tab/>
        <w:t>(a)</w:t>
      </w:r>
      <w:r>
        <w:tab/>
        <w:t>that are separately metered premises; or</w:t>
      </w:r>
    </w:p>
    <w:p>
      <w:pPr>
        <w:pStyle w:val="Indenta"/>
      </w:pPr>
      <w:r>
        <w:tab/>
        <w:t>(b)</w:t>
      </w:r>
      <w:r>
        <w:tab/>
        <w:t>where an eligible person principally resides or carries on a business,</w:t>
      </w:r>
    </w:p>
    <w:p>
      <w:pPr>
        <w:pStyle w:val="Subsection"/>
      </w:pPr>
      <w:r>
        <w:tab/>
      </w:r>
      <w:r>
        <w:tab/>
        <w:t xml:space="preserve">are separate premises for the purposes of subsection (1). </w:t>
      </w:r>
    </w:p>
    <w:p>
      <w:pPr>
        <w:pStyle w:val="Footnotesection"/>
      </w:pPr>
      <w:r>
        <w:tab/>
        <w:t>[Section 20 amended: Gazette 27 Nov 2009 p. 4782.]</w:t>
      </w:r>
    </w:p>
    <w:p>
      <w:pPr>
        <w:pStyle w:val="Heading5"/>
      </w:pPr>
      <w:bookmarkStart w:id="59" w:name="_Toc88058033"/>
      <w:r>
        <w:rPr>
          <w:rStyle w:val="CharSectno"/>
        </w:rPr>
        <w:t>21</w:t>
      </w:r>
      <w:r>
        <w:t>.</w:t>
      </w:r>
      <w:r>
        <w:tab/>
        <w:t>Information to be provided</w:t>
      </w:r>
      <w:bookmarkEnd w:id="59"/>
    </w:p>
    <w:p>
      <w:pPr>
        <w:pStyle w:val="Subsection"/>
      </w:pPr>
      <w:r>
        <w:tab/>
        <w:t>(1)</w:t>
      </w:r>
      <w:r>
        <w:tab/>
        <w:t xml:space="preserve">A corporation must provide eligible persons who are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 customer by written notice sent to the customer at the address to which accounts are sent, whether accompanying an account or otherwise.</w:t>
      </w:r>
    </w:p>
    <w:p>
      <w:pPr>
        <w:pStyle w:val="Subsection"/>
      </w:pPr>
      <w:r>
        <w:tab/>
        <w:t>(3)</w:t>
      </w:r>
      <w:r>
        <w:tab/>
        <w:t>A notice under subsection (2) must be given to a customer by a corporation not less than once in each financial year of the corporation.</w:t>
      </w:r>
    </w:p>
    <w:p>
      <w:pPr>
        <w:pStyle w:val="Footnotesection"/>
      </w:pPr>
      <w:r>
        <w:tab/>
        <w:t>[Section 21 amended: Gazette 27 Nov 2009 p. 4782</w:t>
      </w:r>
      <w:r>
        <w:noBreakHyphen/>
        <w:t>3.]</w:t>
      </w:r>
    </w:p>
    <w:p>
      <w:pPr>
        <w:pStyle w:val="Heading5"/>
      </w:pPr>
      <w:bookmarkStart w:id="60" w:name="_Toc88058034"/>
      <w:r>
        <w:rPr>
          <w:rStyle w:val="CharSectno"/>
        </w:rPr>
        <w:t>22</w:t>
      </w:r>
      <w:r>
        <w:t>.</w:t>
      </w:r>
      <w:r>
        <w:tab/>
        <w:t>Alternative methods of payment</w:t>
      </w:r>
      <w:bookmarkEnd w:id="60"/>
    </w:p>
    <w:p>
      <w:pPr>
        <w:pStyle w:val="Subsection"/>
      </w:pPr>
      <w:r>
        <w:tab/>
      </w:r>
      <w:r>
        <w:tab/>
        <w:t xml:space="preserve">A payment under section 18 or 19 may, instead of being made to the person concerned, be made by the corporation — </w:t>
      </w:r>
    </w:p>
    <w:p>
      <w:pPr>
        <w:pStyle w:val="Indenta"/>
      </w:pPr>
      <w:r>
        <w:tab/>
        <w:t>(a)</w:t>
      </w:r>
      <w:r>
        <w:tab/>
        <w:t>to the retail licensee who supplies electricity to the person if there is an arrangement in force under which the sum will be paid or credited to the person; or</w:t>
      </w:r>
    </w:p>
    <w:p>
      <w:pPr>
        <w:pStyle w:val="Indenta"/>
      </w:pPr>
      <w:r>
        <w:tab/>
        <w:t>(b)</w:t>
      </w:r>
      <w:r>
        <w:tab/>
        <w:t>as agreed between the corporation and the person.</w:t>
      </w:r>
    </w:p>
    <w:p>
      <w:pPr>
        <w:pStyle w:val="Footnotesection"/>
      </w:pPr>
      <w:r>
        <w:tab/>
        <w:t>[Section 22 amended: Gazette 27 Nov 2009 p. 4783.]</w:t>
      </w:r>
    </w:p>
    <w:p>
      <w:pPr>
        <w:pStyle w:val="Heading2"/>
      </w:pPr>
      <w:bookmarkStart w:id="61" w:name="_Toc88054051"/>
      <w:bookmarkStart w:id="62" w:name="_Toc88054102"/>
      <w:bookmarkStart w:id="63" w:name="_Toc88056573"/>
      <w:bookmarkStart w:id="64" w:name="_Toc88058035"/>
      <w:r>
        <w:rPr>
          <w:rStyle w:val="CharPartNo"/>
        </w:rPr>
        <w:lastRenderedPageBreak/>
        <w:t>Part 4</w:t>
      </w:r>
      <w:r>
        <w:t> — </w:t>
      </w:r>
      <w:r>
        <w:rPr>
          <w:rStyle w:val="CharPartText"/>
        </w:rPr>
        <w:t>Duties incidental to the prescribed standards</w:t>
      </w:r>
      <w:bookmarkEnd w:id="61"/>
      <w:bookmarkEnd w:id="62"/>
      <w:bookmarkEnd w:id="63"/>
      <w:bookmarkEnd w:id="64"/>
    </w:p>
    <w:p>
      <w:pPr>
        <w:pStyle w:val="Heading3"/>
      </w:pPr>
      <w:bookmarkStart w:id="65" w:name="_Toc88054052"/>
      <w:bookmarkStart w:id="66" w:name="_Toc88054103"/>
      <w:bookmarkStart w:id="67" w:name="_Toc88056574"/>
      <w:bookmarkStart w:id="68" w:name="_Toc88058036"/>
      <w:r>
        <w:rPr>
          <w:rStyle w:val="CharDivNo"/>
        </w:rPr>
        <w:t>Division 1</w:t>
      </w:r>
      <w:r>
        <w:t> — </w:t>
      </w:r>
      <w:r>
        <w:rPr>
          <w:rStyle w:val="CharDivText"/>
        </w:rPr>
        <w:t>Monitoring, record keeping and investigation</w:t>
      </w:r>
      <w:bookmarkEnd w:id="65"/>
      <w:bookmarkEnd w:id="66"/>
      <w:bookmarkEnd w:id="67"/>
      <w:bookmarkEnd w:id="68"/>
    </w:p>
    <w:p>
      <w:pPr>
        <w:pStyle w:val="Heading5"/>
      </w:pPr>
      <w:bookmarkStart w:id="69" w:name="_Toc88058037"/>
      <w:r>
        <w:rPr>
          <w:rStyle w:val="CharSectno"/>
        </w:rPr>
        <w:t>23</w:t>
      </w:r>
      <w:r>
        <w:t>.</w:t>
      </w:r>
      <w:r>
        <w:tab/>
        <w:t>Monitoring and record keeping</w:t>
      </w:r>
      <w:bookmarkEnd w:id="69"/>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sections 26 and 27.</w:t>
      </w:r>
    </w:p>
    <w:p>
      <w:pPr>
        <w:pStyle w:val="Subsection"/>
        <w:rPr>
          <w:i/>
          <w:iCs/>
        </w:rPr>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26 or 27.</w:t>
      </w:r>
    </w:p>
    <w:p>
      <w:pPr>
        <w:pStyle w:val="Footnotesection"/>
      </w:pPr>
      <w:r>
        <w:tab/>
        <w:t>[Section 23 amended: Gazette 2 May 2017 p. 2289.]</w:t>
      </w:r>
    </w:p>
    <w:p>
      <w:pPr>
        <w:pStyle w:val="Heading5"/>
      </w:pPr>
      <w:bookmarkStart w:id="70" w:name="_Toc88058038"/>
      <w:r>
        <w:rPr>
          <w:rStyle w:val="CharSectno"/>
        </w:rPr>
        <w:t>24</w:t>
      </w:r>
      <w:r>
        <w:t>.</w:t>
      </w:r>
      <w:r>
        <w:tab/>
        <w:t>Quality investigations</w:t>
      </w:r>
      <w:bookmarkEnd w:id="70"/>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lastRenderedPageBreak/>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71" w:name="_Toc88054055"/>
      <w:bookmarkStart w:id="72" w:name="_Toc88054106"/>
      <w:bookmarkStart w:id="73" w:name="_Toc88056577"/>
      <w:bookmarkStart w:id="74" w:name="_Toc88058039"/>
      <w:r>
        <w:rPr>
          <w:rStyle w:val="CharDivNo"/>
        </w:rPr>
        <w:t>Division 2</w:t>
      </w:r>
      <w:r>
        <w:t> — </w:t>
      </w:r>
      <w:r>
        <w:rPr>
          <w:rStyle w:val="CharDivText"/>
        </w:rPr>
        <w:t>Complaints</w:t>
      </w:r>
      <w:bookmarkEnd w:id="71"/>
      <w:bookmarkEnd w:id="72"/>
      <w:bookmarkEnd w:id="73"/>
      <w:bookmarkEnd w:id="74"/>
    </w:p>
    <w:p>
      <w:pPr>
        <w:pStyle w:val="Heading5"/>
      </w:pPr>
      <w:bookmarkStart w:id="75" w:name="_Toc88058040"/>
      <w:r>
        <w:rPr>
          <w:rStyle w:val="CharSectno"/>
        </w:rPr>
        <w:t>25</w:t>
      </w:r>
      <w:r>
        <w:t>.</w:t>
      </w:r>
      <w:r>
        <w:tab/>
        <w:t>Information to be given to small use customers</w:t>
      </w:r>
      <w:bookmarkEnd w:id="75"/>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76" w:name="_Toc88054057"/>
      <w:bookmarkStart w:id="77" w:name="_Toc88054108"/>
      <w:bookmarkStart w:id="78" w:name="_Toc88056579"/>
      <w:bookmarkStart w:id="79" w:name="_Toc88058041"/>
      <w:r>
        <w:rPr>
          <w:rStyle w:val="CharDivNo"/>
        </w:rPr>
        <w:lastRenderedPageBreak/>
        <w:t>Division 3</w:t>
      </w:r>
      <w:r>
        <w:t> — </w:t>
      </w:r>
      <w:r>
        <w:rPr>
          <w:rStyle w:val="CharDivText"/>
        </w:rPr>
        <w:t>Performance reporting</w:t>
      </w:r>
      <w:bookmarkEnd w:id="76"/>
      <w:bookmarkEnd w:id="77"/>
      <w:bookmarkEnd w:id="78"/>
      <w:bookmarkEnd w:id="79"/>
    </w:p>
    <w:p>
      <w:pPr>
        <w:pStyle w:val="Heading5"/>
      </w:pPr>
      <w:bookmarkStart w:id="80" w:name="_Toc88058042"/>
      <w:r>
        <w:rPr>
          <w:rStyle w:val="CharSectno"/>
        </w:rPr>
        <w:t>25A</w:t>
      </w:r>
      <w:r>
        <w:t>.</w:t>
      </w:r>
      <w:r>
        <w:tab/>
        <w:t>Term used: reporting period</w:t>
      </w:r>
      <w:bookmarkEnd w:id="80"/>
    </w:p>
    <w:p>
      <w:pPr>
        <w:pStyle w:val="Subsection"/>
        <w:keepNext/>
      </w:pPr>
      <w:r>
        <w:tab/>
        <w:t>(1)</w:t>
      </w:r>
      <w:r>
        <w:tab/>
        <w:t xml:space="preserve">In this Division — </w:t>
      </w:r>
    </w:p>
    <w:p>
      <w:pPr>
        <w:pStyle w:val="Defstart"/>
        <w:keepNext/>
      </w:pPr>
      <w:r>
        <w:tab/>
      </w:r>
      <w:r>
        <w:rPr>
          <w:rStyle w:val="CharDefText"/>
        </w:rPr>
        <w:t>reporting period</w:t>
      </w:r>
      <w:r>
        <w:t xml:space="preserve">, in relation to an audit and report under section 26, means — </w:t>
      </w:r>
    </w:p>
    <w:p>
      <w:pPr>
        <w:pStyle w:val="Defpara"/>
      </w:pPr>
      <w:r>
        <w:tab/>
        <w:t>(a)</w:t>
      </w:r>
      <w:r>
        <w:tab/>
        <w:t>the period of 3 years; or</w:t>
      </w:r>
    </w:p>
    <w:p>
      <w:pPr>
        <w:pStyle w:val="Defpara"/>
      </w:pPr>
      <w:r>
        <w:tab/>
        <w:t>(b)</w:t>
      </w:r>
      <w:r>
        <w:tab/>
        <w:t>for a transmitter or distributor given a notice by the Authority under section 26A, the reporting period stated in that notice;</w:t>
      </w:r>
    </w:p>
    <w:p>
      <w:pPr>
        <w:pStyle w:val="Defstart"/>
      </w:pPr>
      <w:r>
        <w:tab/>
      </w:r>
      <w:r>
        <w:rPr>
          <w:rStyle w:val="CharDefText"/>
        </w:rPr>
        <w:t>reporting period</w:t>
      </w:r>
      <w:r>
        <w:t>, in relation to a report under section 27, means the period of 1 year.</w:t>
      </w:r>
    </w:p>
    <w:p>
      <w:pPr>
        <w:pStyle w:val="Subsection"/>
      </w:pPr>
      <w:r>
        <w:tab/>
        <w:t>(2)</w:t>
      </w:r>
      <w:r>
        <w:tab/>
        <w:t>A reporting period begins on 1 July and ends on 30 June, as relevant to that period.</w:t>
      </w:r>
    </w:p>
    <w:p>
      <w:pPr>
        <w:pStyle w:val="Footnotesection"/>
      </w:pPr>
      <w:r>
        <w:tab/>
        <w:t>[Section 25A inserted: Gazette 2 May 2017 p. 2289.]</w:t>
      </w:r>
    </w:p>
    <w:p>
      <w:pPr>
        <w:pStyle w:val="Heading5"/>
      </w:pPr>
      <w:bookmarkStart w:id="81" w:name="_Toc88058043"/>
      <w:r>
        <w:rPr>
          <w:rStyle w:val="CharSectno"/>
        </w:rPr>
        <w:t>26</w:t>
      </w:r>
      <w:r>
        <w:t>.</w:t>
      </w:r>
      <w:r>
        <w:tab/>
        <w:t>Audit and report on monitoring systems</w:t>
      </w:r>
      <w:bookmarkEnd w:id="81"/>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reporting period.</w:t>
      </w:r>
    </w:p>
    <w:p>
      <w:pPr>
        <w:pStyle w:val="Subsection"/>
      </w:pPr>
      <w:r>
        <w:tab/>
        <w:t>(3)</w:t>
      </w:r>
      <w:r>
        <w:tab/>
        <w:t>A transmitter and a distributor must publish the report referred to in subsection (1) not later than 1 October following the reporting period.</w:t>
      </w:r>
    </w:p>
    <w:p>
      <w:pPr>
        <w:pStyle w:val="Subsection"/>
      </w:pPr>
      <w:r>
        <w:tab/>
        <w:t>(4)</w:t>
      </w:r>
      <w:r>
        <w:tab/>
        <w:t xml:space="preserve">A report is published for the purposes of subsection (3) if — </w:t>
      </w:r>
    </w:p>
    <w:p>
      <w:pPr>
        <w:pStyle w:val="Indenta"/>
      </w:pPr>
      <w:r>
        <w:tab/>
        <w:t>(a)</w:t>
      </w:r>
      <w:r>
        <w:tab/>
        <w:t>copies of it are available to the public, without cost, at places where the transmitter or distributor transacts business with the public; and</w:t>
      </w:r>
    </w:p>
    <w:p>
      <w:pPr>
        <w:pStyle w:val="Indenta"/>
      </w:pPr>
      <w:r>
        <w:lastRenderedPageBreak/>
        <w:tab/>
        <w:t>(b)</w:t>
      </w:r>
      <w:r>
        <w:tab/>
        <w:t>a copy of it is posted on a website maintained by the transmitter or distributor.</w:t>
      </w:r>
    </w:p>
    <w:p>
      <w:pPr>
        <w:pStyle w:val="Subsection"/>
      </w:pPr>
      <w:r>
        <w:tab/>
        <w:t>(5)</w:t>
      </w:r>
      <w:r>
        <w:tab/>
        <w:t>A copy of each report must be given to the Minister and the Authority not less than 7 days before it is published under subsection (3).</w:t>
      </w:r>
    </w:p>
    <w:p>
      <w:pPr>
        <w:pStyle w:val="Footnotesection"/>
      </w:pPr>
      <w:r>
        <w:tab/>
        <w:t>[Section 26 amended: Gazette 2 May 2017 p. 2289</w:t>
      </w:r>
      <w:r>
        <w:noBreakHyphen/>
        <w:t>90.]</w:t>
      </w:r>
    </w:p>
    <w:p>
      <w:pPr>
        <w:pStyle w:val="Heading5"/>
      </w:pPr>
      <w:bookmarkStart w:id="82" w:name="_Toc88058044"/>
      <w:r>
        <w:rPr>
          <w:rStyle w:val="CharSectno"/>
        </w:rPr>
        <w:t>26A</w:t>
      </w:r>
      <w:r>
        <w:t>.</w:t>
      </w:r>
      <w:r>
        <w:tab/>
        <w:t>Authority may give notice regarding reporting period</w:t>
      </w:r>
      <w:bookmarkEnd w:id="82"/>
    </w:p>
    <w:p>
      <w:pPr>
        <w:pStyle w:val="Subsection"/>
      </w:pPr>
      <w:r>
        <w:tab/>
        <w:t>(1)</w:t>
      </w:r>
      <w:r>
        <w:tab/>
        <w:t>The Authority may give a transmitter or distributor a written notice stating that the reporting period is the period of 1 year or 2 years for the purposes of an audit and report under section 26.</w:t>
      </w:r>
    </w:p>
    <w:p>
      <w:pPr>
        <w:pStyle w:val="Subsection"/>
      </w:pPr>
      <w:r>
        <w:tab/>
        <w:t>(2)</w:t>
      </w:r>
      <w:r>
        <w:tab/>
        <w:t>The Authority may, by written notice, revoke a notice under subsection (1).</w:t>
      </w:r>
    </w:p>
    <w:p>
      <w:pPr>
        <w:pStyle w:val="Footnotesection"/>
      </w:pPr>
      <w:r>
        <w:tab/>
        <w:t>[Section 26A inserted: Gazette 2 May 2017 p. 2290.]</w:t>
      </w:r>
    </w:p>
    <w:p>
      <w:pPr>
        <w:pStyle w:val="Heading5"/>
      </w:pPr>
      <w:bookmarkStart w:id="83" w:name="_Toc88058045"/>
      <w:r>
        <w:rPr>
          <w:rStyle w:val="CharSectno"/>
        </w:rPr>
        <w:t>27</w:t>
      </w:r>
      <w:r>
        <w:t>.</w:t>
      </w:r>
      <w:r>
        <w:tab/>
        <w:t>Publication of information about performance</w:t>
      </w:r>
      <w:bookmarkEnd w:id="83"/>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keepNext/>
      </w:pPr>
      <w:r>
        <w:lastRenderedPageBreak/>
        <w:tab/>
        <w:t>(3)</w:t>
      </w:r>
      <w:r>
        <w:tab/>
        <w:t>A copy of each report must be given to the Minister and the Authority not less than 7 days before it is published under subsection (1).</w:t>
      </w:r>
    </w:p>
    <w:p>
      <w:pPr>
        <w:pStyle w:val="Footnotesection"/>
      </w:pPr>
      <w:r>
        <w:tab/>
        <w:t>[Section 27 amended: Gazette 2 May 2017 p. 2290.]</w:t>
      </w:r>
    </w:p>
    <w:p>
      <w:pPr>
        <w:pStyle w:val="Heading5"/>
      </w:pPr>
      <w:bookmarkStart w:id="84" w:name="_Toc88058046"/>
      <w:r>
        <w:rPr>
          <w:rStyle w:val="CharSectno"/>
        </w:rPr>
        <w:t>28</w:t>
      </w:r>
      <w:r>
        <w:t>.</w:t>
      </w:r>
      <w:r>
        <w:tab/>
        <w:t>Reports not needed if there were no small use customers</w:t>
      </w:r>
      <w:bookmarkEnd w:id="84"/>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reporting period if, during that period, the transmitter or distributor had one or more small use customers.</w:t>
      </w:r>
    </w:p>
    <w:p>
      <w:pPr>
        <w:pStyle w:val="Footnotesection"/>
        <w:rPr>
          <w:spacing w:val="-2"/>
        </w:rPr>
      </w:pPr>
      <w:r>
        <w:tab/>
        <w:t>[Section 28 inserted: Gazette 19 Sep 2007 p. 4725</w:t>
      </w:r>
      <w:r>
        <w:noBreakHyphen/>
        <w:t>6; amended: Gazette 2 May 2017 p. 2290.]</w:t>
      </w:r>
    </w:p>
    <w:p>
      <w:pPr>
        <w:pStyle w:val="Heading5"/>
      </w:pPr>
      <w:bookmarkStart w:id="85" w:name="_Toc88058047"/>
      <w:r>
        <w:rPr>
          <w:rStyle w:val="CharSectno"/>
        </w:rPr>
        <w:t>29</w:t>
      </w:r>
      <w:r>
        <w:t>.</w:t>
      </w:r>
      <w:r>
        <w:tab/>
        <w:t>Transitional provisions for Part 4 Division 3</w:t>
      </w:r>
      <w:bookmarkEnd w:id="85"/>
    </w:p>
    <w:p>
      <w:pPr>
        <w:pStyle w:val="Subsection"/>
      </w:pPr>
      <w:r>
        <w:tab/>
        <w:t>(1)</w:t>
      </w:r>
      <w:r>
        <w:tab/>
        <w:t xml:space="preserve">In this section — </w:t>
      </w:r>
    </w:p>
    <w:p>
      <w:pPr>
        <w:pStyle w:val="Defstart"/>
      </w:pPr>
      <w:r>
        <w:tab/>
      </w:r>
      <w:r>
        <w:rPr>
          <w:rStyle w:val="CharDefText"/>
        </w:rPr>
        <w:t>commencement day</w:t>
      </w:r>
      <w:r>
        <w:t xml:space="preserve"> means 1 July 2017.</w:t>
      </w:r>
    </w:p>
    <w:p>
      <w:pPr>
        <w:pStyle w:val="Subsection"/>
      </w:pPr>
      <w:r>
        <w:tab/>
        <w:t>(2)</w:t>
      </w:r>
      <w:r>
        <w:tab/>
        <w:t>This Division, as in force immediately before the commencement day, continues to have effect for the purposes of an audit and report under section 26 in respect of the year ending on 30 June 2017.</w:t>
      </w:r>
    </w:p>
    <w:p>
      <w:pPr>
        <w:pStyle w:val="Subsection"/>
      </w:pPr>
      <w:r>
        <w:tab/>
        <w:t>(3)</w:t>
      </w:r>
      <w:r>
        <w:tab/>
        <w:t>For the purposes of this Division, as in force on and from the commencement day, the first reporting period for section 26 commences on that day.</w:t>
      </w:r>
    </w:p>
    <w:p>
      <w:pPr>
        <w:pStyle w:val="Footnotesection"/>
      </w:pPr>
      <w:r>
        <w:tab/>
        <w:t>[Section 29 inserted: Gazette 2 May 2017 p. 2291.]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6" w:name="_Toc88054064"/>
      <w:bookmarkStart w:id="87" w:name="_Toc88054115"/>
      <w:bookmarkStart w:id="88" w:name="_Toc88056586"/>
      <w:bookmarkStart w:id="89" w:name="_Toc88058048"/>
      <w:r>
        <w:rPr>
          <w:rStyle w:val="CharSchNo"/>
        </w:rPr>
        <w:lastRenderedPageBreak/>
        <w:t>Schedule 1</w:t>
      </w:r>
      <w:r>
        <w:rPr>
          <w:rStyle w:val="CharSDivNo"/>
        </w:rPr>
        <w:t> </w:t>
      </w:r>
      <w:r>
        <w:t>—</w:t>
      </w:r>
      <w:r>
        <w:rPr>
          <w:rStyle w:val="CharSDivText"/>
        </w:rPr>
        <w:t> </w:t>
      </w:r>
      <w:r>
        <w:rPr>
          <w:rStyle w:val="CharSchText"/>
        </w:rPr>
        <w:t>Information to be published</w:t>
      </w:r>
      <w:bookmarkEnd w:id="86"/>
      <w:bookmarkEnd w:id="87"/>
      <w:bookmarkEnd w:id="88"/>
      <w:bookmarkEnd w:id="89"/>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 </w:t>
      </w:r>
      <w:r>
        <w:rPr>
          <w:lang w:eastAsia="zh-CN"/>
        </w:rPr>
        <w:t>and is not a stand</w:t>
      </w:r>
      <w:r>
        <w:rPr>
          <w:lang w:eastAsia="zh-CN"/>
        </w:rPr>
        <w:noBreakHyphen/>
        <w:t>alone power system that is part of a covered network</w:t>
      </w:r>
      <w:r>
        <w:t>;</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NumberedItem"/>
      </w:pPr>
      <w:r>
        <w:lastRenderedPageBreak/>
        <w:t>3.</w:t>
      </w:r>
      <w:r>
        <w:tab/>
        <w:t>In addition to the matters described in item 2, a transmitter or distributor, in preparing a report under s27(1)(a) is to set out the information specified in items 7 and 11, so far as it relates to the operations of the transmitter or distributor for all—</w:t>
      </w:r>
    </w:p>
    <w:p>
      <w:pPr>
        <w:pStyle w:val="yIndenta"/>
      </w:pPr>
      <w:r>
        <w:tab/>
        <w:t>(a)</w:t>
      </w:r>
      <w:r>
        <w:tab/>
        <w:t>stand-alone power systems that form part of the transmitter or distributor’s covered network; and</w:t>
      </w:r>
    </w:p>
    <w:p>
      <w:pPr>
        <w:pStyle w:val="yIndenta"/>
        <w:rPr>
          <w:lang w:eastAsia="zh-CN"/>
        </w:rPr>
      </w:pPr>
      <w:r>
        <w:tab/>
        <w:t>(b)</w:t>
      </w:r>
      <w:r>
        <w:tab/>
        <w:t>other stand-alone power systems provided by the transmitter or distributor.</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lastRenderedPageBreak/>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Ednoteitem"/>
        <w:tabs>
          <w:tab w:val="left" w:pos="851"/>
        </w:tabs>
      </w:pPr>
      <w:r>
        <w:t>[14-15.</w:t>
      </w:r>
      <w:r>
        <w:tab/>
        <w:t>deleted]</w:t>
      </w:r>
    </w:p>
    <w:p>
      <w:pPr>
        <w:pStyle w:val="yFootnotesection"/>
        <w:rPr>
          <w:b/>
          <w:bCs/>
          <w:iCs/>
        </w:rPr>
      </w:pPr>
      <w:r>
        <w:tab/>
        <w:t>[Schedule 1 amended: Gazette 2 May 2017 p. 2291; Gazette 5 Nov 2021 p. 4970.]</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91" w:name="_Toc88056587"/>
      <w:bookmarkStart w:id="92" w:name="_Toc88058049"/>
      <w:bookmarkStart w:id="93" w:name="_Toc88054067"/>
      <w:bookmarkStart w:id="94" w:name="_Toc88054118"/>
      <w:r>
        <w:lastRenderedPageBreak/>
        <w:t>Notes</w:t>
      </w:r>
      <w:bookmarkEnd w:id="91"/>
      <w:bookmarkEnd w:id="92"/>
    </w:p>
    <w:p>
      <w:pPr>
        <w:pStyle w:val="nStatement"/>
      </w:pPr>
      <w:r>
        <w:t xml:space="preserve">This is a compilation of the </w:t>
      </w:r>
      <w:r>
        <w:rPr>
          <w:i/>
          <w:noProof/>
        </w:rPr>
        <w:t>Electricity Industry (Network Quality and Reliability of Supply) Code 2005</w:t>
      </w:r>
      <w:r>
        <w:t xml:space="preserve"> and includes amendments made by other written laws. For provisions that have come into operation, and for information about any reprints, see the compilation table.</w:t>
      </w:r>
    </w:p>
    <w:p>
      <w:pPr>
        <w:pStyle w:val="nHeading3"/>
      </w:pPr>
      <w:bookmarkStart w:id="95" w:name="_Toc88058050"/>
      <w:r>
        <w:t>Compilation table</w:t>
      </w:r>
      <w:bookmarkEnd w:id="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iCs/>
                <w:noProof/>
                <w:snapToGrid w:val="0"/>
              </w:rPr>
              <w:t>Electricity Industry (Network Quality and Reliability of Supply) Code 2005</w:t>
            </w:r>
          </w:p>
        </w:tc>
        <w:tc>
          <w:tcPr>
            <w:tcW w:w="1276" w:type="dxa"/>
            <w:tcBorders>
              <w:top w:val="single" w:sz="8" w:space="0" w:color="auto"/>
            </w:tcBorders>
          </w:tcPr>
          <w:p>
            <w:pPr>
              <w:pStyle w:val="nTable"/>
              <w:spacing w:after="40"/>
            </w:pPr>
            <w:r>
              <w:t>13 Dec 2005 p. 6051-69</w:t>
            </w:r>
          </w:p>
        </w:tc>
        <w:tc>
          <w:tcPr>
            <w:tcW w:w="2693" w:type="dxa"/>
            <w:tcBorders>
              <w:top w:val="single" w:sz="8" w:space="0" w:color="auto"/>
            </w:tcBorders>
          </w:tcPr>
          <w:p>
            <w:pPr>
              <w:pStyle w:val="nTable"/>
              <w:spacing w:after="40"/>
            </w:pPr>
            <w:r>
              <w:t>1 Jan 2006 (see s.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iCs/>
              </w:rPr>
              <w:t>Electricity Corporations (Consequential Amendments) Regulations 2006</w:t>
            </w:r>
            <w:r>
              <w:t xml:space="preserve"> r. 75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rPr>
            </w:pPr>
            <w:r>
              <w:rPr>
                <w:i/>
                <w:iCs/>
                <w:noProof/>
                <w:snapToGrid w:val="0"/>
              </w:rPr>
              <w:t>Electricity Industry (Network Quality and Reliability of Supply) Amendment Code 2007</w:t>
            </w:r>
          </w:p>
        </w:tc>
        <w:tc>
          <w:tcPr>
            <w:tcW w:w="1276" w:type="dxa"/>
          </w:tcPr>
          <w:p>
            <w:pPr>
              <w:pStyle w:val="nTable"/>
              <w:spacing w:after="40"/>
            </w:pPr>
            <w:r>
              <w:t>19 Sep 2007 p. 4725</w:t>
            </w:r>
            <w:r>
              <w:noBreakHyphen/>
              <w:t>6</w:t>
            </w:r>
          </w:p>
        </w:tc>
        <w:tc>
          <w:tcPr>
            <w:tcW w:w="2693" w:type="dxa"/>
          </w:tcPr>
          <w:p>
            <w:pPr>
              <w:pStyle w:val="nTable"/>
              <w:spacing w:after="40"/>
            </w:pPr>
            <w:r>
              <w:rPr>
                <w:snapToGrid w:val="0"/>
              </w:rPr>
              <w:t>s. 1 and 2: 19 Sep 2007 (see s. 2(a));</w:t>
            </w:r>
            <w:r>
              <w:rPr>
                <w:snapToGrid w:val="0"/>
              </w:rPr>
              <w:br/>
              <w:t>Code other than s. 1 and 2: 20 Sep 2007 (see s. 2(b))</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noProof/>
                <w:snapToGrid w:val="0"/>
              </w:rPr>
            </w:pPr>
            <w:r>
              <w:rPr>
                <w:i/>
                <w:iCs/>
                <w:noProof/>
                <w:snapToGrid w:val="0"/>
              </w:rPr>
              <w:t>Electricity Industry (Network Quality and Reliability of Supply) Amendment Code 2009</w:t>
            </w:r>
          </w:p>
        </w:tc>
        <w:tc>
          <w:tcPr>
            <w:tcW w:w="1276" w:type="dxa"/>
          </w:tcPr>
          <w:p>
            <w:pPr>
              <w:pStyle w:val="nTable"/>
              <w:spacing w:after="40"/>
            </w:pPr>
            <w:r>
              <w:t>27 Nov 2009 p. 4781-3</w:t>
            </w:r>
          </w:p>
        </w:tc>
        <w:tc>
          <w:tcPr>
            <w:tcW w:w="2693" w:type="dxa"/>
          </w:tcPr>
          <w:p>
            <w:pPr>
              <w:pStyle w:val="nTable"/>
              <w:spacing w:after="40"/>
              <w:rPr>
                <w:snapToGrid w:val="0"/>
              </w:rPr>
            </w:pPr>
            <w:r>
              <w:rPr>
                <w:snapToGrid w:val="0"/>
              </w:rPr>
              <w:t>s. 1 and 2: 27 Nov 2009 (see s. 2(a));</w:t>
            </w:r>
            <w:r>
              <w:rPr>
                <w:snapToGrid w:val="0"/>
              </w:rPr>
              <w:br/>
              <w:t>Code other than s. 1 and 2: 28 Nov 2009 (see s.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iCs/>
                <w:noProof/>
                <w:snapToGrid w:val="0"/>
              </w:rPr>
              <w:t>Electricity Industry (Network Quality and Reliability of Supply) Code 2005</w:t>
            </w:r>
            <w:r>
              <w:rPr>
                <w:b/>
                <w:bCs/>
                <w:snapToGrid w:val="0"/>
              </w:rPr>
              <w:t xml:space="preserve"> as at 23 Jul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noProof/>
                <w:snapToGrid w:val="0"/>
              </w:rPr>
            </w:pPr>
            <w:r>
              <w:rPr>
                <w:i/>
                <w:iCs/>
                <w:noProof/>
                <w:snapToGrid w:val="0"/>
              </w:rPr>
              <w:t xml:space="preserve">Electricity Industry (Network Quality and Reliability of Supply) Amendment Code 2017 </w:t>
            </w:r>
          </w:p>
        </w:tc>
        <w:tc>
          <w:tcPr>
            <w:tcW w:w="1276" w:type="dxa"/>
          </w:tcPr>
          <w:p>
            <w:pPr>
              <w:pStyle w:val="nTable"/>
              <w:spacing w:after="40"/>
            </w:pPr>
            <w:r>
              <w:t>2 May 2017 p. 2287</w:t>
            </w:r>
            <w:r>
              <w:noBreakHyphen/>
              <w:t>91</w:t>
            </w:r>
          </w:p>
        </w:tc>
        <w:tc>
          <w:tcPr>
            <w:tcW w:w="2693" w:type="dxa"/>
          </w:tcPr>
          <w:p>
            <w:pPr>
              <w:pStyle w:val="nTable"/>
              <w:spacing w:after="40"/>
              <w:rPr>
                <w:snapToGrid w:val="0"/>
              </w:rPr>
            </w:pPr>
            <w:r>
              <w:rPr>
                <w:snapToGrid w:val="0"/>
              </w:rPr>
              <w:t xml:space="preserve">s. 1 and 2: </w:t>
            </w:r>
            <w:r>
              <w:t>2 May 2017</w:t>
            </w:r>
            <w:r>
              <w:rPr>
                <w:snapToGrid w:val="0"/>
              </w:rPr>
              <w:t xml:space="preserve"> (see s. 2(a));</w:t>
            </w:r>
            <w:r>
              <w:rPr>
                <w:snapToGrid w:val="0"/>
              </w:rPr>
              <w:br/>
              <w:t>Code other than s. 1, 2 and 8</w:t>
            </w:r>
            <w:r>
              <w:rPr>
                <w:snapToGrid w:val="0"/>
              </w:rPr>
              <w:noBreakHyphen/>
              <w:t>14: 3</w:t>
            </w:r>
            <w:r>
              <w:t> May 2017</w:t>
            </w:r>
            <w:r>
              <w:rPr>
                <w:snapToGrid w:val="0"/>
              </w:rPr>
              <w:t xml:space="preserve"> (see s. 2(c));</w:t>
            </w:r>
            <w:r>
              <w:rPr>
                <w:snapToGrid w:val="0"/>
              </w:rPr>
              <w:br/>
              <w:t>s. 8</w:t>
            </w:r>
            <w:r>
              <w:rPr>
                <w:snapToGrid w:val="0"/>
              </w:rPr>
              <w:noBreakHyphen/>
              <w:t xml:space="preserve">14: </w:t>
            </w:r>
            <w:r>
              <w:t>1 Jul 2017 (see s. 2(b))</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Amendment Code 2018</w:t>
            </w:r>
          </w:p>
        </w:tc>
        <w:tc>
          <w:tcPr>
            <w:tcW w:w="1276" w:type="dxa"/>
            <w:tcBorders>
              <w:top w:val="nil"/>
              <w:bottom w:val="nil"/>
            </w:tcBorders>
          </w:tcPr>
          <w:p>
            <w:pPr>
              <w:pStyle w:val="nTable"/>
              <w:spacing w:after="40"/>
            </w:pPr>
            <w:r>
              <w:t>25 Sep 2018 p. 3568</w:t>
            </w:r>
            <w:r>
              <w:noBreakHyphen/>
              <w:t>9</w:t>
            </w:r>
          </w:p>
        </w:tc>
        <w:tc>
          <w:tcPr>
            <w:tcW w:w="2693" w:type="dxa"/>
            <w:tcBorders>
              <w:top w:val="nil"/>
              <w:bottom w:val="nil"/>
            </w:tcBorders>
          </w:tcPr>
          <w:p>
            <w:pPr>
              <w:pStyle w:val="nTable"/>
              <w:spacing w:after="40"/>
              <w:rPr>
                <w:snapToGrid w:val="0"/>
              </w:rPr>
            </w:pPr>
            <w:r>
              <w:rPr>
                <w:snapToGrid w:val="0"/>
              </w:rPr>
              <w:t>1 Oct 2018 (see s. 2)</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iCs/>
                <w:noProof/>
                <w:snapToGrid w:val="0"/>
              </w:rPr>
            </w:pPr>
            <w:r>
              <w:rPr>
                <w:i/>
                <w:iCs/>
                <w:noProof/>
                <w:snapToGrid w:val="0"/>
              </w:rPr>
              <w:t>Electricity Industry (Network Quality and Reliability of Supply) Code Amendments 2021</w:t>
            </w:r>
          </w:p>
        </w:tc>
        <w:tc>
          <w:tcPr>
            <w:tcW w:w="1276" w:type="dxa"/>
            <w:tcBorders>
              <w:bottom w:val="single" w:sz="4" w:space="0" w:color="auto"/>
            </w:tcBorders>
          </w:tcPr>
          <w:p>
            <w:pPr>
              <w:pStyle w:val="nTable"/>
              <w:spacing w:after="40"/>
            </w:pPr>
            <w:r>
              <w:t>5 Nov 2021 p. 4968</w:t>
            </w:r>
            <w:r>
              <w:noBreakHyphen/>
              <w:t>70</w:t>
            </w:r>
          </w:p>
        </w:tc>
        <w:tc>
          <w:tcPr>
            <w:tcW w:w="2693" w:type="dxa"/>
            <w:tcBorders>
              <w:bottom w:val="single" w:sz="4" w:space="0" w:color="auto"/>
            </w:tcBorders>
          </w:tcPr>
          <w:p>
            <w:pPr>
              <w:pStyle w:val="nTable"/>
              <w:spacing w:after="40"/>
              <w:rPr>
                <w:snapToGrid w:val="0"/>
              </w:rPr>
            </w:pPr>
            <w:r>
              <w:t>6 Nov 2021</w:t>
            </w:r>
            <w:r>
              <w:rPr>
                <w:snapToGrid w:val="0"/>
              </w:rPr>
              <w:t xml:space="preserve"> (see s. 2)</w:t>
            </w:r>
          </w:p>
        </w:tc>
      </w:tr>
    </w:tbl>
    <w:p>
      <w:pPr>
        <w:pStyle w:val="nHeading3"/>
      </w:pPr>
      <w:bookmarkStart w:id="96" w:name="_Toc88058051"/>
      <w:r>
        <w:t>Other notes</w:t>
      </w:r>
      <w:bookmarkEnd w:id="96"/>
    </w:p>
    <w:p>
      <w:pPr>
        <w:pStyle w:val="nNote"/>
        <w:spacing w:before="120"/>
        <w:rPr>
          <w:rFonts w:ascii="Arial" w:hAnsi="Arial"/>
        </w:rPr>
      </w:pPr>
      <w:r>
        <w:rPr>
          <w:snapToGrid w:val="0"/>
          <w:vertAlign w:val="superscript"/>
        </w:rPr>
        <w:t>1</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w:t>
      </w:r>
      <w:r>
        <w:rPr>
          <w:i/>
          <w:snapToGrid w:val="0"/>
        </w:rPr>
        <w:lastRenderedPageBreak/>
        <w:t>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98" w:name="_Toc88058052"/>
      <w:bookmarkEnd w:id="93"/>
      <w:bookmarkEnd w:id="94"/>
      <w:r>
        <w:rPr>
          <w:sz w:val="28"/>
        </w:rPr>
        <w:lastRenderedPageBreak/>
        <w:t>Defined terms</w:t>
      </w:r>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3(1)</w:t>
      </w:r>
    </w:p>
    <w:p>
      <w:pPr>
        <w:pStyle w:val="DefinedTerms"/>
      </w:pPr>
      <w:r>
        <w:t>commencement day</w:t>
      </w:r>
      <w:r>
        <w:tab/>
        <w:t>29(1)</w:t>
      </w:r>
    </w:p>
    <w:p>
      <w:pPr>
        <w:pStyle w:val="DefinedTerms"/>
      </w:pPr>
      <w:r>
        <w:t>compatibility levels</w:t>
      </w:r>
      <w:r>
        <w:tab/>
        <w:t>4</w:t>
      </w:r>
    </w:p>
    <w:p>
      <w:pPr>
        <w:pStyle w:val="DefinedTerms"/>
      </w:pPr>
      <w:r>
        <w:t>complaint</w:t>
      </w:r>
      <w:r>
        <w:tab/>
        <w:t>25(1), Sch. 1</w:t>
      </w:r>
    </w:p>
    <w:p>
      <w:pPr>
        <w:pStyle w:val="DefinedTerms"/>
      </w:pPr>
      <w:r>
        <w:t>corporation</w:t>
      </w:r>
      <w:r>
        <w:tab/>
        <w:t>16</w:t>
      </w:r>
    </w:p>
    <w:p>
      <w:pPr>
        <w:pStyle w:val="DefinedTerms"/>
      </w:pPr>
      <w:r>
        <w:t>covered network</w:t>
      </w:r>
      <w:r>
        <w:tab/>
        <w:t>3(1)</w:t>
      </w:r>
    </w:p>
    <w:p>
      <w:pPr>
        <w:pStyle w:val="DefinedTerms"/>
      </w:pPr>
      <w:r>
        <w:t>customer</w:t>
      </w:r>
      <w:r>
        <w:tab/>
        <w:t>3(1), 11(1A), 11A(1)</w:t>
      </w:r>
    </w:p>
    <w:p>
      <w:pPr>
        <w:pStyle w:val="DefinedTerms"/>
      </w:pPr>
      <w:r>
        <w:t>customer premises</w:t>
      </w:r>
      <w:r>
        <w:tab/>
        <w:t>13(1), Sch. 1</w:t>
      </w:r>
    </w:p>
    <w:p>
      <w:pPr>
        <w:pStyle w:val="DefinedTerms"/>
      </w:pPr>
      <w:r>
        <w:t>customer’s electrical installations</w:t>
      </w:r>
      <w:r>
        <w:tab/>
        <w:t>3(1)</w:t>
      </w:r>
    </w:p>
    <w:p>
      <w:pPr>
        <w:pStyle w:val="DefinedTerms"/>
      </w:pPr>
      <w:r>
        <w:t>distribution system</w:t>
      </w:r>
      <w:r>
        <w:tab/>
        <w:t>3(1)</w:t>
      </w:r>
    </w:p>
    <w:p>
      <w:pPr>
        <w:pStyle w:val="DefinedTerms"/>
      </w:pPr>
      <w:r>
        <w:t>distributor</w:t>
      </w:r>
      <w:r>
        <w:tab/>
        <w:t>3(1)</w:t>
      </w:r>
    </w:p>
    <w:p>
      <w:pPr>
        <w:pStyle w:val="DefinedTerms"/>
      </w:pPr>
      <w:r>
        <w:t>Eastern Goldfields</w:t>
      </w:r>
      <w:r>
        <w:tab/>
        <w:t>3(1)</w:t>
      </w:r>
    </w:p>
    <w:p>
      <w:pPr>
        <w:pStyle w:val="DefinedTerms"/>
      </w:pPr>
      <w:r>
        <w:t>eligible person</w:t>
      </w:r>
      <w:r>
        <w:tab/>
        <w:t>16</w:t>
      </w:r>
    </w:p>
    <w:p>
      <w:pPr>
        <w:pStyle w:val="DefinedTerms"/>
      </w:pPr>
      <w:r>
        <w:t>emergency operating state</w:t>
      </w:r>
      <w:r>
        <w:tab/>
        <w:t>16</w:t>
      </w:r>
    </w:p>
    <w:p>
      <w:pPr>
        <w:pStyle w:val="DefinedTerms"/>
      </w:pPr>
      <w:r>
        <w:t>essential services</w:t>
      </w:r>
      <w:r>
        <w:tab/>
        <w:t>13A(2)</w:t>
      </w:r>
    </w:p>
    <w:p>
      <w:pPr>
        <w:pStyle w:val="DefinedTerms"/>
      </w:pPr>
      <w:r>
        <w:t>interruption</w:t>
      </w:r>
      <w:r>
        <w:tab/>
        <w:t>3(1)</w:t>
      </w:r>
    </w:p>
    <w:p>
      <w:pPr>
        <w:pStyle w:val="DefinedTerms"/>
      </w:pPr>
      <w:r>
        <w:t>isolated system</w:t>
      </w:r>
      <w:r>
        <w:tab/>
        <w:t>Sch. 1</w:t>
      </w:r>
    </w:p>
    <w:p>
      <w:pPr>
        <w:pStyle w:val="DefinedTerms"/>
      </w:pPr>
      <w:r>
        <w:t>network</w:t>
      </w:r>
      <w:r>
        <w:tab/>
        <w:t>3(1)</w:t>
      </w:r>
    </w:p>
    <w:p>
      <w:pPr>
        <w:pStyle w:val="DefinedTerms"/>
        <w:rPr>
          <w:b/>
          <w:i/>
        </w:rPr>
      </w:pPr>
      <w:r>
        <w:rPr>
          <w:rStyle w:val="CharDefText"/>
          <w:b w:val="0"/>
          <w:i w:val="0"/>
        </w:rPr>
        <w:t>network infrastructure facilities</w:t>
      </w:r>
      <w:r>
        <w:rPr>
          <w:rStyle w:val="CharDefText"/>
          <w:b w:val="0"/>
          <w:i w:val="0"/>
        </w:rPr>
        <w:tab/>
        <w:t>3(1)</w:t>
      </w:r>
    </w:p>
    <w:p>
      <w:pPr>
        <w:pStyle w:val="DefinedTerms"/>
      </w:pPr>
      <w:r>
        <w:t>North Country</w:t>
      </w:r>
      <w:r>
        <w:tab/>
        <w:t>3(1)</w:t>
      </w:r>
    </w:p>
    <w:p>
      <w:pPr>
        <w:pStyle w:val="DefinedTerms"/>
      </w:pPr>
      <w:r>
        <w:t>North West interconnected system</w:t>
      </w:r>
      <w:r>
        <w:tab/>
        <w:t>Sch. 1</w:t>
      </w:r>
    </w:p>
    <w:p>
      <w:pPr>
        <w:pStyle w:val="DefinedTerms"/>
      </w:pPr>
      <w:r>
        <w:t>permitted number of times</w:t>
      </w:r>
      <w:r>
        <w:tab/>
        <w:t>12(1)</w:t>
      </w:r>
    </w:p>
    <w:p>
      <w:pPr>
        <w:pStyle w:val="DefinedTerms"/>
      </w:pPr>
      <w:r>
        <w:t>Perth CBD</w:t>
      </w:r>
      <w:r>
        <w:tab/>
        <w:t>3(1)</w:t>
      </w:r>
    </w:p>
    <w:p>
      <w:pPr>
        <w:pStyle w:val="DefinedTerms"/>
      </w:pPr>
      <w:r>
        <w:t>planned interruption</w:t>
      </w:r>
      <w:r>
        <w:tab/>
        <w:t>3(1)</w:t>
      </w:r>
    </w:p>
    <w:p>
      <w:pPr>
        <w:pStyle w:val="DefinedTerms"/>
      </w:pPr>
      <w:r>
        <w:t>Plt</w:t>
      </w:r>
      <w:r>
        <w:tab/>
        <w:t>6(1)</w:t>
      </w:r>
    </w:p>
    <w:p>
      <w:pPr>
        <w:pStyle w:val="DefinedTerms"/>
      </w:pPr>
      <w:r>
        <w:t>prescribed standard</w:t>
      </w:r>
      <w:r>
        <w:tab/>
        <w:t>12(1)</w:t>
      </w:r>
    </w:p>
    <w:p>
      <w:pPr>
        <w:pStyle w:val="DefinedTerms"/>
      </w:pPr>
      <w:r>
        <w:t>Pst</w:t>
      </w:r>
      <w:r>
        <w:tab/>
        <w:t>6(1)</w:t>
      </w:r>
    </w:p>
    <w:p>
      <w:pPr>
        <w:pStyle w:val="DefinedTerms"/>
      </w:pPr>
      <w:r>
        <w:t>reporting period</w:t>
      </w:r>
      <w:r>
        <w:tab/>
        <w:t>25A(1)</w:t>
      </w:r>
    </w:p>
    <w:p>
      <w:pPr>
        <w:pStyle w:val="DefinedTerms"/>
      </w:pPr>
      <w:r>
        <w:t>separately metered premises</w:t>
      </w:r>
      <w:r>
        <w:tab/>
        <w:t>16</w:t>
      </w:r>
    </w:p>
    <w:p>
      <w:pPr>
        <w:pStyle w:val="DefinedTerms"/>
      </w:pPr>
      <w:r>
        <w:t>small use customer</w:t>
      </w:r>
      <w:r>
        <w:tab/>
        <w:t>3(1)</w:t>
      </w:r>
    </w:p>
    <w:p>
      <w:pPr>
        <w:pStyle w:val="DefinedTerms"/>
      </w:pPr>
      <w:r>
        <w:t>stand-alone power system</w:t>
      </w:r>
      <w:r>
        <w:tab/>
        <w:t>3(1)</w:t>
      </w:r>
    </w:p>
    <w:p>
      <w:pPr>
        <w:pStyle w:val="DefinedTerms"/>
      </w:pPr>
      <w:r>
        <w:t>transmitter</w:t>
      </w:r>
      <w:r>
        <w:tab/>
        <w:t>3(1)</w:t>
      </w:r>
    </w:p>
    <w:p>
      <w:pPr>
        <w:pStyle w:val="DefinedTerms"/>
      </w:pPr>
      <w:r>
        <w:t>urban areas</w:t>
      </w:r>
      <w:r>
        <w:tab/>
        <w:t>3(1)</w:t>
      </w:r>
    </w:p>
    <w:p>
      <w:pPr>
        <w:pStyle w:val="DefinedTerms"/>
      </w:pPr>
      <w:r>
        <w:t>working day</w:t>
      </w:r>
      <w:r>
        <w:tab/>
        <w:t>24(1)</w:t>
      </w:r>
    </w:p>
    <w:p>
      <w:pPr>
        <w:pStyle w:val="DefinedTerms"/>
      </w:pPr>
      <w:r>
        <w:t>year</w:t>
      </w:r>
      <w:r>
        <w:tab/>
        <w:t>12(1)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0" w:name="Schedule"/>
    <w:bookmarkEnd w:id="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 w:name="Coversheet"/>
    <w:bookmarkEnd w:id="1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DFEB58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7150519"/>
    <w:docVar w:name="WAFER_20140123090510" w:val="RemoveTocBookmarks,RemoveUnusedBookmarks,RemoveLanguageTags,UsedStyles,ResetPageSize,UpdateArrangement"/>
    <w:docVar w:name="WAFER_20140123090510_GUID" w:val="4478a2c0-6482-4183-949f-b2aa8f1de802"/>
    <w:docVar w:name="WAFER_20140123090920" w:val="RemoveTocBookmarks,RunningHeaders"/>
    <w:docVar w:name="WAFER_20140123090920_GUID" w:val="f9cc7268-47c2-4002-843b-17bd79adcd9a"/>
    <w:docVar w:name="WAFER_20150413121047" w:val="ResetPageSize,UpdateArrangement,UpdateNTable"/>
    <w:docVar w:name="WAFER_20150413121047_GUID" w:val="d46a698f-4ce5-4671-8d0f-77d87d634f8f"/>
    <w:docVar w:name="WAFER_20151112154640" w:val="UpdateStyles"/>
    <w:docVar w:name="WAFER_20151112154640_GUID" w:val="6a4bb2da-b10e-4a7e-ac81-0a40488b9955"/>
    <w:docVar w:name="WAFER_20151112164240" w:val="UsedStyles"/>
    <w:docVar w:name="WAFER_20151112164240_GUID" w:val="1acb4d58-325f-4625-b23b-302efeee5ab1"/>
    <w:docVar w:name="WAFER_20151201104854" w:val="RemoveTrackChanges"/>
    <w:docVar w:name="WAFER_20151201104854_GUID" w:val="a73d7707-b709-452a-82a1-f7bfbf3c8fe2"/>
    <w:docVar w:name="WAFER_20170501135241" w:val="RemoveTocBookmarks,RemoveUnusedBookmarks,RemoveLanguageTags,UsedStyles,ResetPageSize"/>
    <w:docVar w:name="WAFER_20170501135241_GUID" w:val="26feb995-5c8d-4c03-92df-5657a8fcfb7c"/>
    <w:docVar w:name="WAFER_20170501135446" w:val="RemoveTocBookmarks,RemoveUnusedBookmarks,RemoveLanguageTags,UsedStyles,ResetPageSize"/>
    <w:docVar w:name="WAFER_20170501135446_GUID" w:val="c1507672-2c41-4ffe-8b0a-c5f48503a586"/>
    <w:docVar w:name="WAFER_2021111715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50519_GUID" w:val="dd2e3aca-6130-4640-83a9-2d2cccd81d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9C3DBB-7BEE-4B19-B742-2DF4C06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Hang24">
    <w:name w:val="Hang 2/4"/>
    <w:basedOn w:val="Normal"/>
    <w:uiPriority w:val="20"/>
    <w:pPr>
      <w:spacing w:after="60" w:line="190" w:lineRule="exact"/>
      <w:ind w:left="680" w:hanging="340"/>
      <w:jc w:val="both"/>
    </w:pPr>
    <w:rPr>
      <w:rFonts w:ascii="Century Schoolbook" w:hAnsi="Century Schoolbook"/>
      <w:sz w:val="18"/>
      <w:lang w:eastAsia="en-US"/>
    </w:rPr>
  </w:style>
  <w:style w:type="paragraph" w:customStyle="1" w:styleId="Hang46">
    <w:name w:val="Hang 4/6"/>
    <w:basedOn w:val="Hang24"/>
    <w:uiPriority w:val="21"/>
    <w:pPr>
      <w:ind w:left="1020"/>
    </w:pPr>
  </w:style>
  <w:style w:type="paragraph" w:customStyle="1" w:styleId="Indent46">
    <w:name w:val="Indent 4/6"/>
    <w:basedOn w:val="Normal"/>
    <w:uiPriority w:val="22"/>
    <w:pPr>
      <w:tabs>
        <w:tab w:val="right" w:pos="907"/>
        <w:tab w:val="left" w:pos="1021"/>
      </w:tabs>
      <w:spacing w:after="60" w:line="190" w:lineRule="exact"/>
      <w:ind w:left="1021" w:hanging="1021"/>
      <w:jc w:val="both"/>
    </w:pPr>
    <w:rPr>
      <w:rFonts w:ascii="Century Schoolbook" w:hAnsi="Century Schoolbook"/>
      <w:sz w:val="18"/>
      <w:lang w:eastAsia="en-US"/>
    </w:rPr>
  </w:style>
  <w:style w:type="paragraph" w:customStyle="1" w:styleId="Indent2">
    <w:name w:val="Indent 2"/>
    <w:basedOn w:val="Normal"/>
    <w:uiPriority w:val="12"/>
    <w:pPr>
      <w:spacing w:after="60" w:line="190" w:lineRule="exact"/>
      <w:ind w:left="340"/>
      <w:jc w:val="both"/>
    </w:pPr>
    <w:rPr>
      <w:rFonts w:ascii="Century Schoolbook" w:hAnsi="Century Schoolbook"/>
      <w:sz w:val="18"/>
      <w:lang w:eastAsia="en-US"/>
    </w:rPr>
  </w:style>
  <w:style w:type="paragraph" w:customStyle="1" w:styleId="Indent4">
    <w:name w:val="Indent 4"/>
    <w:basedOn w:val="Indent2"/>
    <w:uiPriority w:val="13"/>
    <w:pPr>
      <w:ind w:left="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6325">
      <w:bodyDiv w:val="1"/>
      <w:marLeft w:val="0"/>
      <w:marRight w:val="0"/>
      <w:marTop w:val="0"/>
      <w:marBottom w:val="0"/>
      <w:divBdr>
        <w:top w:val="none" w:sz="0" w:space="0" w:color="auto"/>
        <w:left w:val="none" w:sz="0" w:space="0" w:color="auto"/>
        <w:bottom w:val="none" w:sz="0" w:space="0" w:color="auto"/>
        <w:right w:val="none" w:sz="0" w:space="0" w:color="auto"/>
      </w:divBdr>
    </w:div>
    <w:div w:id="189298899">
      <w:bodyDiv w:val="1"/>
      <w:marLeft w:val="0"/>
      <w:marRight w:val="0"/>
      <w:marTop w:val="0"/>
      <w:marBottom w:val="0"/>
      <w:divBdr>
        <w:top w:val="none" w:sz="0" w:space="0" w:color="auto"/>
        <w:left w:val="none" w:sz="0" w:space="0" w:color="auto"/>
        <w:bottom w:val="none" w:sz="0" w:space="0" w:color="auto"/>
        <w:right w:val="none" w:sz="0" w:space="0" w:color="auto"/>
      </w:divBdr>
    </w:div>
    <w:div w:id="816383989">
      <w:bodyDiv w:val="1"/>
      <w:marLeft w:val="0"/>
      <w:marRight w:val="0"/>
      <w:marTop w:val="0"/>
      <w:marBottom w:val="0"/>
      <w:divBdr>
        <w:top w:val="none" w:sz="0" w:space="0" w:color="auto"/>
        <w:left w:val="none" w:sz="0" w:space="0" w:color="auto"/>
        <w:bottom w:val="none" w:sz="0" w:space="0" w:color="auto"/>
        <w:right w:val="none" w:sz="0" w:space="0" w:color="auto"/>
      </w:divBdr>
    </w:div>
    <w:div w:id="1364287830">
      <w:bodyDiv w:val="1"/>
      <w:marLeft w:val="0"/>
      <w:marRight w:val="0"/>
      <w:marTop w:val="0"/>
      <w:marBottom w:val="0"/>
      <w:divBdr>
        <w:top w:val="none" w:sz="0" w:space="0" w:color="auto"/>
        <w:left w:val="none" w:sz="0" w:space="0" w:color="auto"/>
        <w:bottom w:val="none" w:sz="0" w:space="0" w:color="auto"/>
        <w:right w:val="none" w:sz="0" w:space="0" w:color="auto"/>
      </w:divBdr>
    </w:div>
    <w:div w:id="1420522920">
      <w:bodyDiv w:val="1"/>
      <w:marLeft w:val="0"/>
      <w:marRight w:val="0"/>
      <w:marTop w:val="0"/>
      <w:marBottom w:val="0"/>
      <w:divBdr>
        <w:top w:val="none" w:sz="0" w:space="0" w:color="auto"/>
        <w:left w:val="none" w:sz="0" w:space="0" w:color="auto"/>
        <w:bottom w:val="none" w:sz="0" w:space="0" w:color="auto"/>
        <w:right w:val="none" w:sz="0" w:space="0" w:color="auto"/>
      </w:divBdr>
    </w:div>
    <w:div w:id="18344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5BDD-BEC2-42CF-A3F0-19D21A3E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7458</Words>
  <Characters>37365</Characters>
  <Application>Microsoft Office Word</Application>
  <DocSecurity>0</DocSecurity>
  <Lines>1132</Lines>
  <Paragraphs>711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44112</CharactersWithSpaces>
  <SharedDoc>false</SharedDoc>
  <HLinks>
    <vt:vector size="18" baseType="variant">
      <vt:variant>
        <vt:i4>3014716</vt:i4>
      </vt:variant>
      <vt:variant>
        <vt:i4>4374</vt:i4>
      </vt:variant>
      <vt:variant>
        <vt:i4>1025</vt:i4>
      </vt:variant>
      <vt:variant>
        <vt:i4>1</vt:i4>
      </vt:variant>
      <vt:variant>
        <vt:lpwstr>C:\Program Files\PCO DLL\Support\Crest.wpg</vt:lpwstr>
      </vt:variant>
      <vt:variant>
        <vt:lpwstr/>
      </vt:variant>
      <vt:variant>
        <vt:i4>5439608</vt:i4>
      </vt:variant>
      <vt:variant>
        <vt:i4>32972</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2005 - 01-e0-00</dc:title>
  <dc:subject/>
  <dc:creator/>
  <cp:keywords/>
  <dc:description/>
  <cp:lastModifiedBy>Master Repository Process</cp:lastModifiedBy>
  <cp:revision>4</cp:revision>
  <cp:lastPrinted>2017-05-02T04:46:00Z</cp:lastPrinted>
  <dcterms:created xsi:type="dcterms:W3CDTF">2021-11-17T08:19:00Z</dcterms:created>
  <dcterms:modified xsi:type="dcterms:W3CDTF">2021-11-17T08:19:00Z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DocumentType">
    <vt:lpwstr>Reg</vt:lpwstr>
  </property>
  <property fmtid="{D5CDD505-2E9C-101B-9397-08002B2CF9AE}" pid="4" name="OwlsUID">
    <vt:i4>38021</vt:i4>
  </property>
  <property fmtid="{D5CDD505-2E9C-101B-9397-08002B2CF9AE}" pid="5" name="ReprintedAsAt">
    <vt:filetime>2010-07-22T16:00:00Z</vt:filetime>
  </property>
  <property fmtid="{D5CDD505-2E9C-101B-9397-08002B2CF9AE}" pid="6" name="ReprintNo">
    <vt:lpwstr>1</vt:lpwstr>
  </property>
  <property fmtid="{D5CDD505-2E9C-101B-9397-08002B2CF9AE}" pid="7" name="AsAtDate">
    <vt:lpwstr>06 Nov 2021</vt:lpwstr>
  </property>
  <property fmtid="{D5CDD505-2E9C-101B-9397-08002B2CF9AE}" pid="8" name="Suffix">
    <vt:lpwstr>01-e0-00</vt:lpwstr>
  </property>
  <property fmtid="{D5CDD505-2E9C-101B-9397-08002B2CF9AE}" pid="9" name="CommencementDate">
    <vt:lpwstr>20211106</vt:lpwstr>
  </property>
</Properties>
</file>