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Administration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Administration Regulations 1998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_Toc87968878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_Toc87968879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 xml:space="preserve">Services prescribed (Act s. 3(1) </w:t>
      </w:r>
      <w:r>
        <w:rPr>
          <w:i/>
        </w:rPr>
        <w:t>public utility services</w:t>
      </w:r>
      <w:r>
        <w:t>)</w:t>
      </w:r>
      <w:r>
        <w:tab/>
      </w:r>
      <w:r>
        <w:fldChar w:fldCharType="begin"/>
      </w:r>
      <w:r>
        <w:instrText xml:space="preserve"> PAGEREF _Toc87968881 \h </w:instrText>
      </w:r>
      <w:r>
        <w:fldChar w:fldCharType="separate"/>
      </w:r>
      <w:r>
        <w:t>2</w:t>
      </w:r>
      <w:r>
        <w:fldChar w:fldCharType="end"/>
      </w:r>
    </w:p>
    <w:p>
      <w:pPr>
        <w:pStyle w:val="TOC8"/>
        <w:rPr>
          <w:rFonts w:asciiTheme="minorHAnsi" w:eastAsiaTheme="minorEastAsia" w:hAnsiTheme="minorHAnsi" w:cstheme="minorBidi"/>
          <w:szCs w:val="22"/>
        </w:rPr>
      </w:pPr>
      <w:r>
        <w:t>3A.</w:t>
      </w:r>
      <w:r>
        <w:tab/>
        <w:t>Classes of persons prescribed (Act s. 9(1)(c)) for certain delegations</w:t>
      </w:r>
      <w:r>
        <w:tab/>
      </w:r>
      <w:r>
        <w:fldChar w:fldCharType="begin"/>
      </w:r>
      <w:r>
        <w:instrText xml:space="preserve"> PAGEREF _Toc87968882 \h </w:instrText>
      </w:r>
      <w:r>
        <w:fldChar w:fldCharType="separate"/>
      </w:r>
      <w:r>
        <w:t>2</w:t>
      </w:r>
      <w:r>
        <w:fldChar w:fldCharType="end"/>
      </w:r>
    </w:p>
    <w:p>
      <w:pPr>
        <w:pStyle w:val="TOC8"/>
        <w:rPr>
          <w:rFonts w:asciiTheme="minorHAnsi" w:eastAsiaTheme="minorEastAsia" w:hAnsiTheme="minorHAnsi" w:cstheme="minorBidi"/>
          <w:szCs w:val="22"/>
        </w:rPr>
      </w:pPr>
      <w:r>
        <w:t>3B.</w:t>
      </w:r>
      <w:r>
        <w:tab/>
        <w:t>Persons prescribed (Act s. 9(1)(c))</w:t>
      </w:r>
      <w:r>
        <w:tab/>
      </w:r>
      <w:r>
        <w:fldChar w:fldCharType="begin"/>
      </w:r>
      <w:r>
        <w:instrText xml:space="preserve"> PAGEREF _Toc87968883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Conditions of delegation by Minister of powers to convey or transfer fee simple in Crown land (Act s. 9(1))</w:t>
      </w:r>
      <w:r>
        <w:tab/>
      </w:r>
      <w:r>
        <w:fldChar w:fldCharType="begin"/>
      </w:r>
      <w:r>
        <w:instrText xml:space="preserve"> PAGEREF _Toc87968884 \h </w:instrText>
      </w:r>
      <w:r>
        <w:fldChar w:fldCharType="separate"/>
      </w:r>
      <w:r>
        <w:t>4</w:t>
      </w:r>
      <w:r>
        <w:fldChar w:fldCharType="end"/>
      </w:r>
    </w:p>
    <w:p>
      <w:pPr>
        <w:pStyle w:val="TOC8"/>
        <w:rPr>
          <w:rFonts w:asciiTheme="minorHAnsi" w:eastAsiaTheme="minorEastAsia" w:hAnsiTheme="minorHAnsi" w:cstheme="minorBidi"/>
          <w:szCs w:val="22"/>
        </w:rPr>
      </w:pPr>
      <w:r>
        <w:t>5A.</w:t>
      </w:r>
      <w:r>
        <w:tab/>
        <w:t>Certain City Arcade transactions etc. prescribed (Act s. 18(7)(b))</w:t>
      </w:r>
      <w:r>
        <w:tab/>
      </w:r>
      <w:r>
        <w:fldChar w:fldCharType="begin"/>
      </w:r>
      <w:r>
        <w:instrText xml:space="preserve"> PAGEREF _Toc87968885 \h </w:instrText>
      </w:r>
      <w:r>
        <w:fldChar w:fldCharType="separate"/>
      </w:r>
      <w:r>
        <w:t>5</w:t>
      </w:r>
      <w:r>
        <w:fldChar w:fldCharType="end"/>
      </w:r>
    </w:p>
    <w:p>
      <w:pPr>
        <w:pStyle w:val="TOC8"/>
        <w:rPr>
          <w:rFonts w:asciiTheme="minorHAnsi" w:eastAsiaTheme="minorEastAsia" w:hAnsiTheme="minorHAnsi" w:cstheme="minorBidi"/>
          <w:szCs w:val="22"/>
        </w:rPr>
      </w:pPr>
      <w:r>
        <w:t>5B.</w:t>
      </w:r>
      <w:r>
        <w:tab/>
        <w:t>Certain Collier Park Retirement Complex transactions etc. prescribed (Act s. 18(7)(b))</w:t>
      </w:r>
      <w:r>
        <w:tab/>
      </w:r>
      <w:r>
        <w:fldChar w:fldCharType="begin"/>
      </w:r>
      <w:r>
        <w:instrText xml:space="preserve"> PAGEREF _Toc87968886 \h </w:instrText>
      </w:r>
      <w:r>
        <w:fldChar w:fldCharType="separate"/>
      </w:r>
      <w:r>
        <w:t>5</w:t>
      </w:r>
      <w:r>
        <w:fldChar w:fldCharType="end"/>
      </w:r>
    </w:p>
    <w:p>
      <w:pPr>
        <w:pStyle w:val="TOC8"/>
        <w:rPr>
          <w:rFonts w:asciiTheme="minorHAnsi" w:eastAsiaTheme="minorEastAsia" w:hAnsiTheme="minorHAnsi" w:cstheme="minorBidi"/>
          <w:szCs w:val="22"/>
        </w:rPr>
      </w:pPr>
      <w:r>
        <w:t>5C.</w:t>
      </w:r>
      <w:r>
        <w:tab/>
        <w:t>Certain Perth Convention and Exhibition Centre transactions etc. prescribed (Act s. 18(7)(b))</w:t>
      </w:r>
      <w:r>
        <w:tab/>
      </w:r>
      <w:r>
        <w:fldChar w:fldCharType="begin"/>
      </w:r>
      <w:r>
        <w:instrText xml:space="preserve"> PAGEREF _Toc87968887 \h </w:instrText>
      </w:r>
      <w:r>
        <w:fldChar w:fldCharType="separate"/>
      </w:r>
      <w:r>
        <w:t>6</w:t>
      </w:r>
      <w:r>
        <w:fldChar w:fldCharType="end"/>
      </w:r>
    </w:p>
    <w:p>
      <w:pPr>
        <w:pStyle w:val="TOC8"/>
        <w:rPr>
          <w:rFonts w:asciiTheme="minorHAnsi" w:eastAsiaTheme="minorEastAsia" w:hAnsiTheme="minorHAnsi" w:cstheme="minorBidi"/>
          <w:szCs w:val="22"/>
        </w:rPr>
      </w:pPr>
      <w:r>
        <w:t>5D.</w:t>
      </w:r>
      <w:r>
        <w:tab/>
        <w:t>Certain Old Swan Brewery transactions etc. prescribed (Act s. 18(7)(b))</w:t>
      </w:r>
      <w:r>
        <w:tab/>
      </w:r>
      <w:r>
        <w:fldChar w:fldCharType="begin"/>
      </w:r>
      <w:r>
        <w:instrText xml:space="preserve"> PAGEREF _Toc87968888 \h </w:instrText>
      </w:r>
      <w:r>
        <w:fldChar w:fldCharType="separate"/>
      </w:r>
      <w:r>
        <w:t>7</w:t>
      </w:r>
      <w:r>
        <w:fldChar w:fldCharType="end"/>
      </w:r>
    </w:p>
    <w:p>
      <w:pPr>
        <w:pStyle w:val="TOC8"/>
        <w:rPr>
          <w:rFonts w:asciiTheme="minorHAnsi" w:eastAsiaTheme="minorEastAsia" w:hAnsiTheme="minorHAnsi" w:cstheme="minorBidi"/>
          <w:szCs w:val="22"/>
        </w:rPr>
      </w:pPr>
      <w:r>
        <w:t>5E.</w:t>
      </w:r>
      <w:r>
        <w:tab/>
        <w:t>Land prescribed (Act s. 51A(1))</w:t>
      </w:r>
      <w:r>
        <w:tab/>
      </w:r>
      <w:r>
        <w:fldChar w:fldCharType="begin"/>
      </w:r>
      <w:r>
        <w:instrText xml:space="preserve"> PAGEREF _Toc87968889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Procedures to be followed by local government before requesting acquisition of alienated land designated for public purpose (Act s. 52(1)(a))</w:t>
      </w:r>
      <w:r>
        <w:tab/>
      </w:r>
      <w:r>
        <w:fldChar w:fldCharType="begin"/>
      </w:r>
      <w:r>
        <w:instrText xml:space="preserve"> PAGEREF _Toc87968890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Procedures to be followed by local government before requesting acquisition of private road (Act s. 52(1)(b))</w:t>
      </w:r>
      <w:r>
        <w:tab/>
      </w:r>
      <w:r>
        <w:fldChar w:fldCharType="begin"/>
      </w:r>
      <w:r>
        <w:instrText xml:space="preserve"> PAGEREF _Toc87968891 \h </w:instrText>
      </w:r>
      <w:r>
        <w:fldChar w:fldCharType="separate"/>
      </w:r>
      <w:r>
        <w:t>9</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t>Procedures to be followed by local government before requesting acquisition of alienated land in a townsite (Act s. 52(1)(c))</w:t>
      </w:r>
      <w:r>
        <w:tab/>
      </w:r>
      <w:r>
        <w:fldChar w:fldCharType="begin"/>
      </w:r>
      <w:r>
        <w:instrText xml:space="preserve"> PAGEREF _Toc87968892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Local government request to dedicate land as a road (Act s. 56), requirements for</w:t>
      </w:r>
      <w:r>
        <w:tab/>
      </w:r>
      <w:r>
        <w:fldChar w:fldCharType="begin"/>
      </w:r>
      <w:r>
        <w:instrText xml:space="preserve"> PAGEREF _Toc87968893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Local government request to close road permanently (Act s. 58(2)), requirements for</w:t>
      </w:r>
      <w:r>
        <w:tab/>
      </w:r>
      <w:r>
        <w:fldChar w:fldCharType="begin"/>
      </w:r>
      <w:r>
        <w:instrText xml:space="preserve"> PAGEREF _Toc87968894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Manner of advertising prescribed etc. for proposed mall reserve (Act s. 59)</w:t>
      </w:r>
      <w:r>
        <w:tab/>
      </w:r>
      <w:r>
        <w:fldChar w:fldCharType="begin"/>
      </w:r>
      <w:r>
        <w:instrText xml:space="preserve"> PAGEREF _Toc87968895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Manner of advertising prescribed etc. for cancelling mall reserve (Act s. 62)</w:t>
      </w:r>
      <w:r>
        <w:tab/>
      </w:r>
      <w:r>
        <w:fldChar w:fldCharType="begin"/>
      </w:r>
      <w:r>
        <w:instrText xml:space="preserve"> PAGEREF _Toc87968896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Procedure to be followed by Minister when determining and altering prices of Crown land (Act s. 74(2)(a))</w:t>
      </w:r>
      <w:r>
        <w:tab/>
      </w:r>
      <w:r>
        <w:fldChar w:fldCharType="begin"/>
      </w:r>
      <w:r>
        <w:instrText xml:space="preserve"> PAGEREF _Toc87968897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Requirements for entering joint ventures prescribed (Act s. 78(1))</w:t>
      </w:r>
      <w:r>
        <w:tab/>
      </w:r>
      <w:r>
        <w:fldChar w:fldCharType="begin"/>
      </w:r>
      <w:r>
        <w:instrText xml:space="preserve"> PAGEREF _Toc87968898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Conditions prescribed (Act s. 89)</w:t>
      </w:r>
      <w:r>
        <w:tab/>
      </w:r>
      <w:r>
        <w:fldChar w:fldCharType="begin"/>
      </w:r>
      <w:r>
        <w:instrText xml:space="preserve"> PAGEREF _Toc87968899 \h </w:instrText>
      </w:r>
      <w:r>
        <w:fldChar w:fldCharType="separate"/>
      </w:r>
      <w:r>
        <w:t>17</w:t>
      </w:r>
      <w:r>
        <w:fldChar w:fldCharType="end"/>
      </w:r>
    </w:p>
    <w:p>
      <w:pPr>
        <w:pStyle w:val="TOC8"/>
        <w:rPr>
          <w:rFonts w:asciiTheme="minorHAnsi" w:eastAsiaTheme="minorEastAsia" w:hAnsiTheme="minorHAnsi" w:cstheme="minorBidi"/>
          <w:szCs w:val="22"/>
        </w:rPr>
      </w:pPr>
      <w:r>
        <w:t>15.</w:t>
      </w:r>
      <w:r>
        <w:tab/>
        <w:t>Phasing in of increased rents for pastoral leases (Act s. 124A)</w:t>
      </w:r>
      <w:r>
        <w:tab/>
      </w:r>
      <w:r>
        <w:fldChar w:fldCharType="begin"/>
      </w:r>
      <w:r>
        <w:instrText xml:space="preserve"> PAGEREF _Toc87968900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Rate of interest prescribed (Act s. 125(4))</w:t>
      </w:r>
      <w:r>
        <w:tab/>
      </w:r>
      <w:r>
        <w:fldChar w:fldCharType="begin"/>
      </w:r>
      <w:r>
        <w:instrText xml:space="preserve"> PAGEREF _Toc87968901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(Sch. 1)</w:t>
      </w:r>
      <w:r>
        <w:tab/>
      </w:r>
      <w:r>
        <w:fldChar w:fldCharType="begin"/>
      </w:r>
      <w:r>
        <w:instrText xml:space="preserve"> PAGEREF _Toc87968902 \h </w:instrText>
      </w:r>
      <w:r>
        <w:fldChar w:fldCharType="separate"/>
      </w:r>
      <w:r>
        <w:t>18</w:t>
      </w:r>
      <w:r>
        <w:fldChar w:fldCharType="end"/>
      </w:r>
    </w:p>
    <w:p>
      <w:pPr>
        <w:pStyle w:val="TOC8"/>
        <w:rPr>
          <w:rFonts w:asciiTheme="minorHAnsi" w:eastAsiaTheme="minorEastAsia" w:hAnsiTheme="minorHAnsi" w:cstheme="minorBidi"/>
          <w:szCs w:val="22"/>
        </w:rPr>
      </w:pPr>
      <w:r>
        <w:t>17A.</w:t>
      </w:r>
      <w:r>
        <w:tab/>
        <w:t>Geocentric Datum of Australia 2020 prescribed (Act s. 5A)</w:t>
      </w:r>
      <w:r>
        <w:tab/>
      </w:r>
      <w:r>
        <w:fldChar w:fldCharType="begin"/>
      </w:r>
      <w:r>
        <w:instrText xml:space="preserve"> PAGEREF _Toc87968903 \h </w:instrText>
      </w:r>
      <w:r>
        <w:fldChar w:fldCharType="separate"/>
      </w:r>
      <w:r>
        <w:t>19</w:t>
      </w:r>
      <w:r>
        <w:fldChar w:fldCharType="end"/>
      </w:r>
    </w:p>
    <w:p>
      <w:pPr>
        <w:pStyle w:val="TOC8"/>
        <w:rPr>
          <w:rFonts w:asciiTheme="minorHAnsi" w:eastAsiaTheme="minorEastAsia" w:hAnsiTheme="minorHAnsi" w:cstheme="minorBidi"/>
          <w:szCs w:val="22"/>
        </w:rPr>
      </w:pPr>
      <w:r>
        <w:t>17B.</w:t>
      </w:r>
      <w:r>
        <w:tab/>
        <w:t>Acts prescribed (Act s. 18(8)(b)(ii))</w:t>
      </w:r>
      <w:r>
        <w:tab/>
      </w:r>
      <w:r>
        <w:fldChar w:fldCharType="begin"/>
      </w:r>
      <w:r>
        <w:instrText xml:space="preserve"> PAGEREF _Toc87968904 \h </w:instrText>
      </w:r>
      <w:r>
        <w:fldChar w:fldCharType="separate"/>
      </w:r>
      <w:r>
        <w:t>20</w:t>
      </w:r>
      <w:r>
        <w:fldChar w:fldCharType="end"/>
      </w:r>
    </w:p>
    <w:p>
      <w:pPr>
        <w:pStyle w:val="TOC8"/>
        <w:rPr>
          <w:rFonts w:asciiTheme="minorHAnsi" w:eastAsiaTheme="minorEastAsia" w:hAnsiTheme="minorHAnsi" w:cstheme="minorBidi"/>
          <w:szCs w:val="22"/>
        </w:rPr>
      </w:pPr>
      <w:r>
        <w:t>17C.</w:t>
      </w:r>
      <w:r>
        <w:tab/>
        <w:t xml:space="preserve">Stock prescribed (Act s. 93 </w:t>
      </w:r>
      <w:r>
        <w:rPr>
          <w:i/>
        </w:rPr>
        <w:t>authorised stock</w:t>
      </w:r>
      <w:r>
        <w:t>)</w:t>
      </w:r>
      <w:r>
        <w:tab/>
      </w:r>
      <w:r>
        <w:fldChar w:fldCharType="begin"/>
      </w:r>
      <w:r>
        <w:instrText xml:space="preserve"> PAGEREF _Toc87968905 \h </w:instrText>
      </w:r>
      <w:r>
        <w:fldChar w:fldCharType="separate"/>
      </w:r>
      <w:r>
        <w:t>20</w:t>
      </w:r>
      <w:r>
        <w:fldChar w:fldCharType="end"/>
      </w:r>
    </w:p>
    <w:p>
      <w:pPr>
        <w:pStyle w:val="TOC8"/>
        <w:rPr>
          <w:rFonts w:asciiTheme="minorHAnsi" w:eastAsiaTheme="minorEastAsia" w:hAnsiTheme="minorHAnsi" w:cstheme="minorBidi"/>
          <w:szCs w:val="22"/>
        </w:rPr>
      </w:pPr>
      <w:r>
        <w:t>17D.</w:t>
      </w:r>
      <w:r>
        <w:tab/>
        <w:t>Longer period prescribed (Act 143(6g) etc.)</w:t>
      </w:r>
      <w:r>
        <w:tab/>
      </w:r>
      <w:r>
        <w:fldChar w:fldCharType="begin"/>
      </w:r>
      <w:r>
        <w:instrText xml:space="preserve"> PAGEREF _Toc87968906 \h </w:instrText>
      </w:r>
      <w:r>
        <w:fldChar w:fldCharType="separate"/>
      </w:r>
      <w:r>
        <w:t>20</w:t>
      </w:r>
      <w:r>
        <w:fldChar w:fldCharType="end"/>
      </w:r>
    </w:p>
    <w:p>
      <w:pPr>
        <w:pStyle w:val="TOC8"/>
        <w:rPr>
          <w:rFonts w:asciiTheme="minorHAnsi" w:eastAsiaTheme="minorEastAsia" w:hAnsiTheme="minorHAnsi" w:cstheme="minorBidi"/>
          <w:szCs w:val="22"/>
        </w:rPr>
      </w:pPr>
      <w:r>
        <w:t>17E.</w:t>
      </w:r>
      <w:r>
        <w:tab/>
        <w:t>Circumstances prescribed (Act s. 75(7a))</w:t>
      </w:r>
      <w:r>
        <w:tab/>
      </w:r>
      <w:r>
        <w:fldChar w:fldCharType="begin"/>
      </w:r>
      <w:r>
        <w:instrText xml:space="preserve"> PAGEREF _Toc87968907 \h </w:instrText>
      </w:r>
      <w:r>
        <w:fldChar w:fldCharType="separate"/>
      </w:r>
      <w:r>
        <w:t>21</w:t>
      </w:r>
      <w:r>
        <w:fldChar w:fldCharType="end"/>
      </w:r>
    </w:p>
    <w:p>
      <w:pPr>
        <w:pStyle w:val="TOC8"/>
        <w:rPr>
          <w:rFonts w:asciiTheme="minorHAnsi" w:eastAsiaTheme="minorEastAsia" w:hAnsiTheme="minorHAnsi" w:cstheme="minorBidi"/>
          <w:szCs w:val="22"/>
        </w:rPr>
      </w:pPr>
      <w:r>
        <w:t>17F.</w:t>
      </w:r>
      <w:r>
        <w:tab/>
        <w:t xml:space="preserve">Commonwealth agencies prescribed (Act s. 275A(1) </w:t>
      </w:r>
      <w:r>
        <w:rPr>
          <w:i/>
        </w:rPr>
        <w:t>public authority</w:t>
      </w:r>
      <w:r>
        <w:t>)</w:t>
      </w:r>
      <w:r>
        <w:tab/>
      </w:r>
      <w:r>
        <w:fldChar w:fldCharType="begin"/>
      </w:r>
      <w:r>
        <w:instrText xml:space="preserve"> PAGEREF _Toc87968908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 — Surveys</w:t>
      </w:r>
    </w:p>
    <w:p>
      <w:pPr>
        <w:pStyle w:val="TOC8"/>
        <w:rPr>
          <w:rFonts w:asciiTheme="minorHAnsi" w:eastAsiaTheme="minorEastAsia" w:hAnsiTheme="minorHAnsi" w:cstheme="minorBidi"/>
          <w:szCs w:val="22"/>
        </w:rPr>
      </w:pPr>
      <w:r>
        <w:t>18</w:t>
      </w:r>
      <w:r>
        <w:rPr>
          <w:snapToGrid w:val="0"/>
        </w:rPr>
        <w:t>.</w:t>
      </w:r>
      <w:r>
        <w:rPr>
          <w:snapToGrid w:val="0"/>
        </w:rPr>
        <w:tab/>
        <w:t>Terms used</w:t>
      </w:r>
      <w:r>
        <w:tab/>
      </w:r>
      <w:r>
        <w:fldChar w:fldCharType="begin"/>
      </w:r>
      <w:r>
        <w:instrText xml:space="preserve"> PAGEREF _Toc87968910 \h </w:instrText>
      </w:r>
      <w:r>
        <w:fldChar w:fldCharType="separate"/>
      </w:r>
      <w:r>
        <w:t>24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Doubts etc. about survey, duties of departmental surveyor as to</w:t>
      </w:r>
      <w:r>
        <w:tab/>
      </w:r>
      <w:r>
        <w:fldChar w:fldCharType="begin"/>
      </w:r>
      <w:r>
        <w:instrText xml:space="preserve"> PAGEREF _Toc87968911 \h </w:instrText>
      </w:r>
      <w:r>
        <w:fldChar w:fldCharType="separate"/>
      </w:r>
      <w:r>
        <w:t>24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Authorised land officer’s powers for Act s. 32</w:t>
      </w:r>
      <w:r>
        <w:tab/>
      </w:r>
      <w:r>
        <w:fldChar w:fldCharType="begin"/>
      </w:r>
      <w:r>
        <w:instrText xml:space="preserve"> PAGEREF _Toc87968912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Alternative methodology for authorised surveys in special cases</w:t>
      </w:r>
      <w:r>
        <w:tab/>
      </w:r>
      <w:r>
        <w:fldChar w:fldCharType="begin"/>
      </w:r>
      <w:r>
        <w:instrText xml:space="preserve"> PAGEREF _Toc87968913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Documents of departmental surveyor are Crown property</w:t>
      </w:r>
      <w:r>
        <w:tab/>
      </w:r>
      <w:r>
        <w:fldChar w:fldCharType="begin"/>
      </w:r>
      <w:r>
        <w:instrText xml:space="preserve"> PAGEREF _Toc87968914 \h </w:instrText>
      </w:r>
      <w:r>
        <w:fldChar w:fldCharType="separate"/>
      </w:r>
      <w:r>
        <w:t>25</w:t>
      </w:r>
      <w:r>
        <w:fldChar w:fldCharType="end"/>
      </w:r>
    </w:p>
    <w:p>
      <w:pPr>
        <w:pStyle w:val="TOC8"/>
        <w:rPr>
          <w:rFonts w:asciiTheme="minorHAnsi" w:eastAsiaTheme="minorEastAsia" w:hAnsiTheme="minorHAnsi" w:cstheme="minorBidi"/>
          <w:szCs w:val="22"/>
        </w:rPr>
      </w:pPr>
      <w:r>
        <w:lastRenderedPageBreak/>
        <w:t>23</w:t>
      </w:r>
      <w:r>
        <w:rPr>
          <w:snapToGrid w:val="0"/>
        </w:rPr>
        <w:t>.</w:t>
      </w:r>
      <w:r>
        <w:rPr>
          <w:snapToGrid w:val="0"/>
        </w:rPr>
        <w:tab/>
        <w:t xml:space="preserve">Inconsistency with </w:t>
      </w:r>
      <w:r>
        <w:rPr>
          <w:i/>
          <w:snapToGrid w:val="0"/>
        </w:rPr>
        <w:t>Licensed Surveyors (Guidance of Surveyors) Regulations 1961</w:t>
      </w:r>
      <w:r>
        <w:tab/>
      </w:r>
      <w:r>
        <w:fldChar w:fldCharType="begin"/>
      </w:r>
      <w:r>
        <w:instrText xml:space="preserve"> PAGEREF _Toc87968915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Advisory panels</w:t>
      </w:r>
    </w:p>
    <w:p>
      <w:pPr>
        <w:pStyle w:val="TOC8"/>
        <w:rPr>
          <w:rFonts w:asciiTheme="minorHAnsi" w:eastAsiaTheme="minorEastAsia" w:hAnsiTheme="minorHAnsi" w:cstheme="minorBidi"/>
          <w:szCs w:val="22"/>
        </w:rPr>
      </w:pPr>
      <w:r>
        <w:t>24</w:t>
      </w:r>
      <w:r>
        <w:rPr>
          <w:snapToGrid w:val="0"/>
        </w:rPr>
        <w:t>.</w:t>
      </w:r>
      <w:r>
        <w:rPr>
          <w:snapToGrid w:val="0"/>
        </w:rPr>
        <w:tab/>
        <w:t>Terms used</w:t>
      </w:r>
      <w:r>
        <w:tab/>
      </w:r>
      <w:r>
        <w:fldChar w:fldCharType="begin"/>
      </w:r>
      <w:r>
        <w:instrText xml:space="preserve"> PAGEREF _Toc87968917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Members of panels</w:t>
      </w:r>
      <w:r>
        <w:tab/>
      </w:r>
      <w:r>
        <w:fldChar w:fldCharType="begin"/>
      </w:r>
      <w:r>
        <w:instrText xml:space="preserve"> PAGEREF _Toc87968918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Remuneration of members</w:t>
      </w:r>
      <w:r>
        <w:tab/>
      </w:r>
      <w:r>
        <w:fldChar w:fldCharType="begin"/>
      </w:r>
      <w:r>
        <w:instrText xml:space="preserve"> PAGEREF _Toc87968919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Term of office</w:t>
      </w:r>
      <w:r>
        <w:tab/>
      </w:r>
      <w:r>
        <w:fldChar w:fldCharType="begin"/>
      </w:r>
      <w:r>
        <w:instrText xml:space="preserve"> PAGEREF _Toc87968920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Member unable to act</w:t>
      </w:r>
      <w:r>
        <w:tab/>
      </w:r>
      <w:r>
        <w:fldChar w:fldCharType="begin"/>
      </w:r>
      <w:r>
        <w:instrText xml:space="preserve"> PAGEREF _Toc87968921 \h </w:instrText>
      </w:r>
      <w:r>
        <w:fldChar w:fldCharType="separate"/>
      </w:r>
      <w:r>
        <w:t>28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Calling of meetings</w:t>
      </w:r>
      <w:r>
        <w:tab/>
      </w:r>
      <w:r>
        <w:fldChar w:fldCharType="begin"/>
      </w:r>
      <w:r>
        <w:instrText xml:space="preserve"> PAGEREF _Toc87968922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Who presides at meetings</w:t>
      </w:r>
      <w:r>
        <w:tab/>
      </w:r>
      <w:r>
        <w:fldChar w:fldCharType="begin"/>
      </w:r>
      <w:r>
        <w:instrText xml:space="preserve"> PAGEREF _Toc87968923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Quorum</w:t>
      </w:r>
      <w:r>
        <w:tab/>
      </w:r>
      <w:r>
        <w:fldChar w:fldCharType="begin"/>
      </w:r>
      <w:r>
        <w:instrText xml:space="preserve"> PAGEREF _Toc87968924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Voting</w:t>
      </w:r>
      <w:r>
        <w:tab/>
      </w:r>
      <w:r>
        <w:fldChar w:fldCharType="begin"/>
      </w:r>
      <w:r>
        <w:instrText xml:space="preserve"> PAGEREF _Toc87968925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Minutes</w:t>
      </w:r>
      <w:r>
        <w:tab/>
      </w:r>
      <w:r>
        <w:fldChar w:fldCharType="begin"/>
      </w:r>
      <w:r>
        <w:instrText xml:space="preserve"> PAGEREF _Toc87968926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Telephone or video meetings</w:t>
      </w:r>
      <w:r>
        <w:tab/>
      </w:r>
      <w:r>
        <w:fldChar w:fldCharType="begin"/>
      </w:r>
      <w:r>
        <w:instrText xml:space="preserve"> PAGEREF _Toc87968927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How panel is to inform itself</w:t>
      </w:r>
      <w:r>
        <w:tab/>
      </w:r>
      <w:r>
        <w:fldChar w:fldCharType="begin"/>
      </w:r>
      <w:r>
        <w:instrText xml:space="preserve"> PAGEREF _Toc87968928 \h </w:instrText>
      </w:r>
      <w:r>
        <w:fldChar w:fldCharType="separate"/>
      </w:r>
      <w:r>
        <w:t>29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Public hearings</w:t>
      </w:r>
      <w:r>
        <w:tab/>
      </w:r>
      <w:r>
        <w:fldChar w:fldCharType="begin"/>
      </w:r>
      <w:r>
        <w:instrText xml:space="preserve"> PAGEREF _Toc87968929 \h </w:instrText>
      </w:r>
      <w:r>
        <w:fldChar w:fldCharType="separate"/>
      </w:r>
      <w:r>
        <w:t>29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Panel to determine own procedures</w:t>
      </w:r>
      <w:r>
        <w:tab/>
      </w:r>
      <w:r>
        <w:fldChar w:fldCharType="begin"/>
      </w:r>
      <w:r>
        <w:instrText xml:space="preserve"> PAGEREF _Toc87968930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Conflict of interest</w:t>
      </w:r>
      <w:r>
        <w:tab/>
      </w:r>
      <w:r>
        <w:fldChar w:fldCharType="begin"/>
      </w:r>
      <w:r>
        <w:instrText xml:space="preserve"> PAGEREF _Toc87968931 \h </w:instrText>
      </w:r>
      <w:r>
        <w:fldChar w:fldCharType="separate"/>
      </w:r>
      <w:r>
        <w:t>30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Confidentiality</w:t>
      </w:r>
      <w:r>
        <w:tab/>
      </w:r>
      <w:r>
        <w:fldChar w:fldCharType="begin"/>
      </w:r>
      <w:r>
        <w:instrText xml:space="preserve"> PAGEREF _Toc87968932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payable to chief executive officer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_Toc87968935 \h </w:instrText>
      </w:r>
      <w:r>
        <w:fldChar w:fldCharType="separate"/>
      </w:r>
      <w:r>
        <w:t>33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_Toc87968936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Land Administration Act 1997</w:t>
      </w:r>
    </w:p>
    <w:p>
      <w:pPr>
        <w:pStyle w:val="NameofActReg"/>
        <w:spacing w:before="960" w:after="1200"/>
      </w:pPr>
      <w:r>
        <w:t>Land Administration Regulations 1998</w:t>
      </w:r>
    </w:p>
    <w:p>
      <w:pPr>
        <w:pStyle w:val="Heading2"/>
        <w:pageBreakBefore w:val="0"/>
      </w:pPr>
      <w:bookmarkStart w:id="3" w:name="_Toc87956822"/>
      <w:bookmarkStart w:id="4" w:name="_Toc87957666"/>
      <w:bookmarkStart w:id="5" w:name="_Toc87968877"/>
      <w:r>
        <w:rPr>
          <w:rStyle w:val="CharPartNo"/>
        </w:rPr>
        <w:t>Part 1 </w:t>
      </w:r>
      <w:r>
        <w:t>— </w:t>
      </w:r>
      <w:r>
        <w:rPr>
          <w:rStyle w:val="CharPartText"/>
        </w:rPr>
        <w:t>Preliminary</w:t>
      </w:r>
      <w:bookmarkEnd w:id="3"/>
      <w:bookmarkEnd w:id="4"/>
      <w:bookmarkEnd w:id="5"/>
    </w:p>
    <w:p>
      <w:pPr>
        <w:pStyle w:val="Heading5"/>
        <w:rPr>
          <w:snapToGrid w:val="0"/>
        </w:rPr>
      </w:pPr>
      <w:bookmarkStart w:id="6" w:name="_Toc87968878"/>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Land Administration Regulations 1998</w:t>
      </w:r>
      <w:r>
        <w:rPr>
          <w:snapToGrid w:val="0"/>
        </w:rPr>
        <w:t>.</w:t>
      </w:r>
    </w:p>
    <w:p>
      <w:pPr>
        <w:pStyle w:val="Heading5"/>
        <w:rPr>
          <w:snapToGrid w:val="0"/>
        </w:rPr>
      </w:pPr>
      <w:bookmarkStart w:id="7" w:name="_Toc87968879"/>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come into operation on the day fixed under section 2(1) of the Act.</w:t>
      </w:r>
    </w:p>
    <w:p>
      <w:pPr>
        <w:pStyle w:val="Heading2"/>
      </w:pPr>
      <w:bookmarkStart w:id="8" w:name="_Toc87956825"/>
      <w:bookmarkStart w:id="9" w:name="_Toc87957669"/>
      <w:bookmarkStart w:id="10" w:name="_Toc87968880"/>
      <w:r>
        <w:rPr>
          <w:rStyle w:val="CharPartNo"/>
        </w:rPr>
        <w:lastRenderedPageBreak/>
        <w:t>Part 2</w:t>
      </w:r>
      <w:r>
        <w:rPr>
          <w:rStyle w:val="CharDivNo"/>
        </w:rPr>
        <w:t> </w:t>
      </w:r>
      <w:r>
        <w:t>—</w:t>
      </w:r>
      <w:r>
        <w:rPr>
          <w:rStyle w:val="CharDivText"/>
        </w:rPr>
        <w:t> </w:t>
      </w:r>
      <w:r>
        <w:rPr>
          <w:rStyle w:val="CharPartText"/>
        </w:rPr>
        <w:t>General</w:t>
      </w:r>
      <w:bookmarkEnd w:id="8"/>
      <w:bookmarkEnd w:id="9"/>
      <w:bookmarkEnd w:id="10"/>
    </w:p>
    <w:p>
      <w:pPr>
        <w:pStyle w:val="Heading5"/>
      </w:pPr>
      <w:bookmarkStart w:id="11" w:name="_Toc87968881"/>
      <w:r>
        <w:rPr>
          <w:rStyle w:val="CharSectno"/>
        </w:rPr>
        <w:t>3</w:t>
      </w:r>
      <w:r>
        <w:t>.</w:t>
      </w:r>
      <w:r>
        <w:tab/>
        <w:t xml:space="preserve">Services prescribed (Act s. 3(1) </w:t>
      </w:r>
      <w:r>
        <w:rPr>
          <w:i/>
        </w:rPr>
        <w:t>public utility services</w:t>
      </w:r>
      <w:r>
        <w:t>)</w:t>
      </w:r>
      <w:bookmarkEnd w:id="11"/>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 Gazette 6 Jul 2012 p. 3024.]</w:t>
      </w:r>
    </w:p>
    <w:p>
      <w:pPr>
        <w:pStyle w:val="Heading5"/>
      </w:pPr>
      <w:bookmarkStart w:id="12" w:name="_Toc87968882"/>
      <w:r>
        <w:t>3A.</w:t>
      </w:r>
      <w:r>
        <w:tab/>
        <w:t>Classes of persons prescribed (Act s. 9(1)(c)) for certain delegations</w:t>
      </w:r>
      <w:bookmarkEnd w:id="12"/>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 and</w:t>
      </w:r>
    </w:p>
    <w:p>
      <w:pPr>
        <w:pStyle w:val="Indenta"/>
        <w:spacing w:before="60"/>
      </w:pPr>
      <w:r>
        <w:lastRenderedPageBreak/>
        <w:tab/>
        <w:t>(b)</w:t>
      </w:r>
      <w:r>
        <w:tab/>
        <w:t>persons responsible for Crown land transactions for which no Minister of the Crown is responsible; and</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Gazette 20 Nov 1998 p. 6268.]</w:t>
      </w:r>
    </w:p>
    <w:p>
      <w:pPr>
        <w:pStyle w:val="Heading5"/>
      </w:pPr>
      <w:bookmarkStart w:id="13" w:name="_Toc87968883"/>
      <w:r>
        <w:rPr>
          <w:rStyle w:val="CharSectno"/>
        </w:rPr>
        <w:t>3B</w:t>
      </w:r>
      <w:r>
        <w:t>.</w:t>
      </w:r>
      <w:r>
        <w:tab/>
        <w:t>Persons prescribed (Act s. 9(1)(c))</w:t>
      </w:r>
      <w:bookmarkEnd w:id="13"/>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Indenta"/>
      </w:pPr>
      <w:r>
        <w:tab/>
        <w:t>(e)</w:t>
      </w:r>
      <w:r>
        <w:tab/>
        <w:t xml:space="preserve">the Minister responsible for the administration of the </w:t>
      </w:r>
      <w:r>
        <w:rPr>
          <w:i/>
        </w:rPr>
        <w:t>Conservation and Land Management Act 1984</w:t>
      </w:r>
      <w:r>
        <w:t>;</w:t>
      </w:r>
    </w:p>
    <w:p>
      <w:pPr>
        <w:pStyle w:val="Indenta"/>
        <w:keepNext/>
      </w:pPr>
      <w:r>
        <w:lastRenderedPageBreak/>
        <w:tab/>
        <w:t>(f)</w:t>
      </w:r>
      <w:r>
        <w:tab/>
        <w:t xml:space="preserve">public service officers of the department of the Public Service principally assisting in the administration of the </w:t>
      </w:r>
      <w:r>
        <w:rPr>
          <w:i/>
        </w:rPr>
        <w:t>Conservation and Land Management Act 1984</w:t>
      </w:r>
      <w:r>
        <w:t>.</w:t>
      </w:r>
    </w:p>
    <w:p>
      <w:pPr>
        <w:pStyle w:val="Footnotesection"/>
      </w:pPr>
      <w:r>
        <w:tab/>
        <w:t>[Regulation 3B inserted: Gazette 27 Jun 2003 p. 2396; amended: Gazette 16 Nov 2004 p. 5068; 29 Dec 2006 p. 5896; 16 Jul 2013 p. 3247</w:t>
      </w:r>
      <w:r>
        <w:noBreakHyphen/>
        <w:t>8.]</w:t>
      </w:r>
    </w:p>
    <w:p>
      <w:pPr>
        <w:pStyle w:val="Heading5"/>
        <w:rPr>
          <w:snapToGrid w:val="0"/>
        </w:rPr>
      </w:pPr>
      <w:bookmarkStart w:id="14" w:name="_Toc87968884"/>
      <w:r>
        <w:rPr>
          <w:rStyle w:val="CharSectno"/>
        </w:rPr>
        <w:t>4</w:t>
      </w:r>
      <w:r>
        <w:rPr>
          <w:snapToGrid w:val="0"/>
        </w:rPr>
        <w:t>.</w:t>
      </w:r>
      <w:r>
        <w:rPr>
          <w:snapToGrid w:val="0"/>
        </w:rPr>
        <w:tab/>
        <w:t>Conditions of delegation by Minister of powers to convey or transfer fee simple in Crown land (Act s. 9(1))</w:t>
      </w:r>
      <w:bookmarkEnd w:id="14"/>
    </w:p>
    <w:p>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spacing w:before="56"/>
        <w:rPr>
          <w:snapToGrid w:val="0"/>
        </w:rPr>
      </w:pPr>
      <w:r>
        <w:rPr>
          <w:snapToGrid w:val="0"/>
        </w:rPr>
        <w:tab/>
        <w:t>(b)</w:t>
      </w:r>
      <w:r>
        <w:rPr>
          <w:snapToGrid w:val="0"/>
        </w:rPr>
        <w:tab/>
        <w:t>the fee simple in the land is conveyed or transferred —</w:t>
      </w:r>
    </w:p>
    <w:p>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pPr>
        <w:pStyle w:val="Footnotesection"/>
        <w:spacing w:before="40"/>
        <w:ind w:left="890" w:hanging="890"/>
      </w:pPr>
      <w:r>
        <w:tab/>
        <w:t>[Regulation 4 amended: Gazette 10 Apr 2001 p. 2074.]</w:t>
      </w:r>
    </w:p>
    <w:p>
      <w:pPr>
        <w:pStyle w:val="Ednotesection"/>
        <w:spacing w:before="180"/>
      </w:pPr>
      <w:r>
        <w:t>[</w:t>
      </w:r>
      <w:r>
        <w:rPr>
          <w:b/>
          <w:bCs/>
        </w:rPr>
        <w:t>4A.</w:t>
      </w:r>
      <w:r>
        <w:tab/>
        <w:t>Deleted: Gazette 18 Sep 2009 p. 3619.]</w:t>
      </w:r>
    </w:p>
    <w:p>
      <w:pPr>
        <w:pStyle w:val="Heading5"/>
        <w:spacing w:before="180"/>
      </w:pPr>
      <w:bookmarkStart w:id="15" w:name="_Toc87968885"/>
      <w:r>
        <w:rPr>
          <w:rStyle w:val="CharSectno"/>
        </w:rPr>
        <w:lastRenderedPageBreak/>
        <w:t>5A</w:t>
      </w:r>
      <w:r>
        <w:t>.</w:t>
      </w:r>
      <w:r>
        <w:tab/>
        <w:t>Certain City Arcade transactions etc. prescribed (Act s. 18(7)(b))</w:t>
      </w:r>
      <w:bookmarkEnd w:id="15"/>
    </w:p>
    <w:p>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spacing w:before="60"/>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Gazette 18 Sep 2009 p. 3619-20.]</w:t>
      </w:r>
    </w:p>
    <w:p>
      <w:pPr>
        <w:pStyle w:val="Heading5"/>
      </w:pPr>
      <w:bookmarkStart w:id="16" w:name="_Toc87968886"/>
      <w:r>
        <w:rPr>
          <w:rStyle w:val="CharSectno"/>
        </w:rPr>
        <w:t>5B</w:t>
      </w:r>
      <w:r>
        <w:t>.</w:t>
      </w:r>
      <w:r>
        <w:tab/>
        <w:t>Certain Collier Park Retirement Complex transactions etc. prescribed (Act s. 18(7)(b))</w:t>
      </w:r>
      <w:bookmarkEnd w:id="16"/>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lastRenderedPageBreak/>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Gazette 18 Sep 2009 p. 3620-1.]</w:t>
      </w:r>
    </w:p>
    <w:p>
      <w:pPr>
        <w:pStyle w:val="Heading5"/>
      </w:pPr>
      <w:bookmarkStart w:id="17" w:name="_Toc87968887"/>
      <w:r>
        <w:rPr>
          <w:rStyle w:val="CharSectno"/>
        </w:rPr>
        <w:t>5C</w:t>
      </w:r>
      <w:r>
        <w:t>.</w:t>
      </w:r>
      <w:r>
        <w:tab/>
        <w:t>Certain Perth Convention and Exhibition Centre transactions etc. prescribed (Act s. 18(7)(b))</w:t>
      </w:r>
      <w:bookmarkEnd w:id="17"/>
    </w:p>
    <w:p>
      <w:pPr>
        <w:pStyle w:val="Subsection"/>
      </w:pPr>
      <w:r>
        <w:tab/>
        <w:t>(1)</w:t>
      </w:r>
      <w:r>
        <w:tab/>
        <w:t xml:space="preserve">The circumstances and conditions prescribed for the purposes of section 18(7)(b) of the Act in relation to a transaction being the </w:t>
      </w:r>
      <w:r>
        <w:lastRenderedPageBreak/>
        <w:t xml:space="preserve">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Gazette 18 Sep 2009 p. 3621.]</w:t>
      </w:r>
    </w:p>
    <w:p>
      <w:pPr>
        <w:pStyle w:val="Heading5"/>
      </w:pPr>
      <w:bookmarkStart w:id="18" w:name="_Toc87968888"/>
      <w:r>
        <w:rPr>
          <w:rStyle w:val="CharSectno"/>
        </w:rPr>
        <w:t>5D</w:t>
      </w:r>
      <w:r>
        <w:t>.</w:t>
      </w:r>
      <w:r>
        <w:tab/>
        <w:t>Certain Old Swan Brewery transactions etc. prescribed (Act s. 18(7)(b))</w:t>
      </w:r>
      <w:bookmarkEnd w:id="18"/>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lastRenderedPageBreak/>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Gazette 18 Sep 2009 p. 3621-2.]</w:t>
      </w:r>
    </w:p>
    <w:p>
      <w:pPr>
        <w:pStyle w:val="Heading5"/>
        <w:spacing w:before="240"/>
      </w:pPr>
      <w:bookmarkStart w:id="19" w:name="_Toc87968889"/>
      <w:r>
        <w:rPr>
          <w:rStyle w:val="CharSectno"/>
        </w:rPr>
        <w:t>5E</w:t>
      </w:r>
      <w:r>
        <w:t>.</w:t>
      </w:r>
      <w:r>
        <w:tab/>
        <w:t>Land prescribed (Act s. 51A(1))</w:t>
      </w:r>
      <w:bookmarkEnd w:id="19"/>
    </w:p>
    <w:p>
      <w:pPr>
        <w:pStyle w:val="Subsection"/>
      </w:pPr>
      <w:r>
        <w:tab/>
      </w:r>
      <w:r>
        <w:tab/>
        <w:t>Reserve 26741 is land that is prescribed for the purposes of section 51A(1) of the Act.</w:t>
      </w:r>
    </w:p>
    <w:p>
      <w:pPr>
        <w:pStyle w:val="Footnotesection"/>
      </w:pPr>
      <w:r>
        <w:tab/>
        <w:t>[Regulation 5E inserted: Gazette 18 Sep 2009 p. 3622.]</w:t>
      </w:r>
    </w:p>
    <w:p>
      <w:pPr>
        <w:pStyle w:val="Heading5"/>
        <w:spacing w:before="240"/>
        <w:rPr>
          <w:snapToGrid w:val="0"/>
        </w:rPr>
      </w:pPr>
      <w:bookmarkStart w:id="20" w:name="_Toc87968890"/>
      <w:r>
        <w:rPr>
          <w:rStyle w:val="CharSectno"/>
        </w:rPr>
        <w:t>5</w:t>
      </w:r>
      <w:r>
        <w:rPr>
          <w:snapToGrid w:val="0"/>
        </w:rPr>
        <w:t>.</w:t>
      </w:r>
      <w:r>
        <w:rPr>
          <w:snapToGrid w:val="0"/>
        </w:rPr>
        <w:tab/>
        <w:t>Procedures to be followed by local government before requesting acquisition of alienated land designated for public purpose (Act s. 52(1)(a))</w:t>
      </w:r>
      <w:bookmarkEnd w:id="20"/>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pPr>
        <w:pStyle w:val="Indenta"/>
        <w:rPr>
          <w:snapToGrid w:val="0"/>
        </w:rPr>
      </w:pPr>
      <w:r>
        <w:rPr>
          <w:snapToGrid w:val="0"/>
        </w:rPr>
        <w:lastRenderedPageBreak/>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spacing w:before="240"/>
        <w:rPr>
          <w:snapToGrid w:val="0"/>
        </w:rPr>
      </w:pPr>
      <w:bookmarkStart w:id="21" w:name="_Toc87968891"/>
      <w:r>
        <w:rPr>
          <w:rStyle w:val="CharSectno"/>
        </w:rPr>
        <w:t>6</w:t>
      </w:r>
      <w:r>
        <w:rPr>
          <w:snapToGrid w:val="0"/>
        </w:rPr>
        <w:t>.</w:t>
      </w:r>
      <w:r>
        <w:rPr>
          <w:snapToGrid w:val="0"/>
        </w:rPr>
        <w:tab/>
        <w:t>Procedures to be followed by local government before requesting acquisition of private road (Act s. 52(1)(b))</w:t>
      </w:r>
      <w:bookmarkEnd w:id="21"/>
    </w:p>
    <w:p>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 xml:space="preserve">copies of any submissions (other than objections given under section 52(2)(b) of the Act) relating to the proposed request to acquire the subject land that, after complying with the requirements to give notice and advertise under section 52(3) </w:t>
      </w:r>
      <w:r>
        <w:rPr>
          <w:snapToGrid w:val="0"/>
        </w:rPr>
        <w:lastRenderedPageBreak/>
        <w:t>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Gazette 16 Jun 2000 p. 2943.]</w:t>
      </w:r>
    </w:p>
    <w:p>
      <w:pPr>
        <w:pStyle w:val="Heading5"/>
        <w:rPr>
          <w:snapToGrid w:val="0"/>
        </w:rPr>
      </w:pPr>
      <w:bookmarkStart w:id="22" w:name="_Toc87968892"/>
      <w:r>
        <w:rPr>
          <w:rStyle w:val="CharSectno"/>
        </w:rPr>
        <w:t>7</w:t>
      </w:r>
      <w:r>
        <w:rPr>
          <w:snapToGrid w:val="0"/>
        </w:rPr>
        <w:t>.</w:t>
      </w:r>
      <w:r>
        <w:rPr>
          <w:snapToGrid w:val="0"/>
        </w:rPr>
        <w:tab/>
        <w:t>Procedures to be followed by local government before requesting acquisition of alienated land in a townsite (Act s. 52(1)(c))</w:t>
      </w:r>
      <w:bookmarkEnd w:id="22"/>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pPr>
        <w:pStyle w:val="Indenta"/>
        <w:spacing w:before="60"/>
        <w:rPr>
          <w:snapToGrid w:val="0"/>
        </w:rPr>
      </w:pPr>
      <w:r>
        <w:rPr>
          <w:snapToGrid w:val="0"/>
        </w:rPr>
        <w:tab/>
        <w:t>(a)</w:t>
      </w:r>
      <w:r>
        <w:rPr>
          <w:snapToGrid w:val="0"/>
        </w:rPr>
        <w:tab/>
        <w:t>must comply with regulation 6(1)(a), (b), (d), (e) and (f) as if those paragraphs were set out in this regulation; and</w:t>
      </w:r>
    </w:p>
    <w:p>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pPr>
        <w:pStyle w:val="Indenti"/>
        <w:spacing w:before="60"/>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pPr>
        <w:pStyle w:val="Indenti"/>
        <w:spacing w:before="60"/>
        <w:rPr>
          <w:snapToGrid w:val="0"/>
        </w:rPr>
      </w:pPr>
      <w:r>
        <w:rPr>
          <w:snapToGrid w:val="0"/>
        </w:rPr>
        <w:lastRenderedPageBreak/>
        <w:tab/>
        <w:t>(ii)</w:t>
      </w:r>
      <w:r>
        <w:rPr>
          <w:snapToGrid w:val="0"/>
        </w:rPr>
        <w:tab/>
        <w:t xml:space="preserve">The National Trust of Australia (W.A.) established under the </w:t>
      </w:r>
      <w:r>
        <w:rPr>
          <w:i/>
          <w:snapToGrid w:val="0"/>
        </w:rPr>
        <w:t>National Trust of Australia (W.A.) Act 1964</w:t>
      </w:r>
      <w:r>
        <w:rPr>
          <w:snapToGrid w:val="0"/>
        </w:rPr>
        <w:t>.</w:t>
      </w:r>
    </w:p>
    <w:p>
      <w:pPr>
        <w:pStyle w:val="Heading5"/>
        <w:rPr>
          <w:snapToGrid w:val="0"/>
        </w:rPr>
      </w:pPr>
      <w:bookmarkStart w:id="23" w:name="_Toc87968893"/>
      <w:r>
        <w:rPr>
          <w:rStyle w:val="CharSectno"/>
        </w:rPr>
        <w:t>8</w:t>
      </w:r>
      <w:r>
        <w:rPr>
          <w:snapToGrid w:val="0"/>
        </w:rPr>
        <w:t>.</w:t>
      </w:r>
      <w:r>
        <w:rPr>
          <w:snapToGrid w:val="0"/>
        </w:rPr>
        <w:tab/>
        <w:t>Local government request to dedicate land as a road (Act s. 56), requirements for</w:t>
      </w:r>
      <w:bookmarkEnd w:id="23"/>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 and</w:t>
      </w:r>
    </w:p>
    <w:p>
      <w:pPr>
        <w:pStyle w:val="Indenta"/>
        <w:rPr>
          <w:snapToGrid w:val="0"/>
        </w:rPr>
      </w:pPr>
      <w:r>
        <w:rPr>
          <w:snapToGrid w:val="0"/>
        </w:rPr>
        <w:lastRenderedPageBreak/>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24" w:name="_Toc87968894"/>
      <w:r>
        <w:rPr>
          <w:rStyle w:val="CharSectno"/>
        </w:rPr>
        <w:t>9</w:t>
      </w:r>
      <w:r>
        <w:rPr>
          <w:snapToGrid w:val="0"/>
        </w:rPr>
        <w:t>.</w:t>
      </w:r>
      <w:r>
        <w:rPr>
          <w:snapToGrid w:val="0"/>
        </w:rPr>
        <w:tab/>
        <w:t>Local government request to close road permanently (Act s. 58(2)), requirements for</w:t>
      </w:r>
      <w:bookmarkEnd w:id="24"/>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pPr>
        <w:pStyle w:val="Indenta"/>
        <w:spacing w:before="60"/>
        <w:rPr>
          <w:snapToGrid w:val="0"/>
        </w:rPr>
      </w:pPr>
      <w:r>
        <w:rPr>
          <w:snapToGrid w:val="0"/>
        </w:rPr>
        <w:tab/>
        <w:t>(d)</w:t>
      </w:r>
      <w:r>
        <w:rPr>
          <w:snapToGrid w:val="0"/>
        </w:rPr>
        <w:tab/>
        <w:t>a copy of the relevant notice of motion referred to in paragraph (c); and</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25" w:name="_Toc87968895"/>
      <w:r>
        <w:rPr>
          <w:rStyle w:val="CharSectno"/>
        </w:rPr>
        <w:lastRenderedPageBreak/>
        <w:t>10</w:t>
      </w:r>
      <w:r>
        <w:rPr>
          <w:snapToGrid w:val="0"/>
        </w:rPr>
        <w:t>.</w:t>
      </w:r>
      <w:r>
        <w:rPr>
          <w:snapToGrid w:val="0"/>
        </w:rPr>
        <w:tab/>
        <w:t>Manner of advertising prescribed etc. for proposed mall reserve (Act s. 59)</w:t>
      </w:r>
      <w:bookmarkEnd w:id="25"/>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a sketch plan describing the extent of the proposed mall reserve; and</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26" w:name="_Toc87968896"/>
      <w:r>
        <w:rPr>
          <w:rStyle w:val="CharSectno"/>
        </w:rPr>
        <w:t>11</w:t>
      </w:r>
      <w:r>
        <w:rPr>
          <w:snapToGrid w:val="0"/>
        </w:rPr>
        <w:t>.</w:t>
      </w:r>
      <w:r>
        <w:rPr>
          <w:snapToGrid w:val="0"/>
        </w:rPr>
        <w:tab/>
        <w:t>Manner of advertising prescribed etc. for cancelling mall reserve (Act s. 62)</w:t>
      </w:r>
      <w:bookmarkEnd w:id="26"/>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 and</w:t>
      </w:r>
    </w:p>
    <w:p>
      <w:pPr>
        <w:pStyle w:val="Indenta"/>
        <w:rPr>
          <w:snapToGrid w:val="0"/>
        </w:rPr>
      </w:pPr>
      <w:r>
        <w:rPr>
          <w:snapToGrid w:val="0"/>
        </w:rPr>
        <w:lastRenderedPageBreak/>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written details of any lease, sublease, licence or mortgage that has been granted in respect of the mall reserve; and</w:t>
      </w:r>
    </w:p>
    <w:p>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spacing w:before="200"/>
        <w:rPr>
          <w:snapToGrid w:val="0"/>
        </w:rPr>
      </w:pPr>
      <w:bookmarkStart w:id="27" w:name="_Toc87968897"/>
      <w:r>
        <w:rPr>
          <w:rStyle w:val="CharSectno"/>
        </w:rPr>
        <w:t>12</w:t>
      </w:r>
      <w:r>
        <w:rPr>
          <w:snapToGrid w:val="0"/>
        </w:rPr>
        <w:t>.</w:t>
      </w:r>
      <w:r>
        <w:rPr>
          <w:snapToGrid w:val="0"/>
        </w:rPr>
        <w:tab/>
        <w:t>Procedure to be followed by Minister when determining and altering prices of Crown land (Act s. 74(2)(a))</w:t>
      </w:r>
      <w:bookmarkEnd w:id="27"/>
    </w:p>
    <w:p>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keepNext/>
        <w:spacing w:before="120"/>
      </w:pPr>
      <w:r>
        <w:lastRenderedPageBreak/>
        <w:tab/>
        <w:t>(2)</w:t>
      </w:r>
      <w:r>
        <w:tab/>
        <w:t>Subregulation (1) does not apply to Crown land that was a private road that became Crown land under section 52 of the Act if —</w:t>
      </w:r>
    </w:p>
    <w:p>
      <w:pPr>
        <w:pStyle w:val="Indenta"/>
        <w:spacing w:before="60"/>
      </w:pPr>
      <w:r>
        <w:tab/>
        <w:t>(a)</w:t>
      </w:r>
      <w:r>
        <w:tab/>
        <w:t>the land is being sold at the request of the local government within whose district the land is situated; and</w:t>
      </w:r>
    </w:p>
    <w:p>
      <w:pPr>
        <w:pStyle w:val="Indenta"/>
        <w:spacing w:before="60"/>
      </w:pPr>
      <w:r>
        <w:tab/>
        <w:t>(b)</w:t>
      </w:r>
      <w:r>
        <w:tab/>
        <w:t>the purpose of the sale is to allow the land to be amalgamated with adjoining land held in fee simple for the purpose of reducing crime or anti</w:t>
      </w:r>
      <w:r>
        <w:noBreakHyphen/>
        <w:t>social behaviour; and</w:t>
      </w:r>
    </w:p>
    <w:p>
      <w:pPr>
        <w:pStyle w:val="Indenta"/>
        <w:spacing w:before="60"/>
      </w:pPr>
      <w:r>
        <w:tab/>
        <w:t>(c)</w:t>
      </w:r>
      <w:r>
        <w:tab/>
        <w:t>an adjoining land owner did not request the acquisition of the private road under section 52 of the Act for a purpose other than a purpose referred to in paragraph (b); and</w:t>
      </w:r>
    </w:p>
    <w:p>
      <w:pPr>
        <w:pStyle w:val="Indenta"/>
        <w:spacing w:before="60"/>
      </w:pPr>
      <w:r>
        <w:tab/>
        <w:t>(d)</w:t>
      </w:r>
      <w:r>
        <w:tab/>
        <w:t>the land is being sold to an adjoining land owner.</w:t>
      </w:r>
    </w:p>
    <w:p>
      <w:pPr>
        <w:pStyle w:val="Subsection"/>
        <w:spacing w:before="120"/>
      </w:pPr>
      <w:r>
        <w:tab/>
        <w:t>(3)</w:t>
      </w:r>
      <w:r>
        <w:tab/>
        <w:t>Subregulation (1) does not apply to —</w:t>
      </w:r>
    </w:p>
    <w:p>
      <w:pPr>
        <w:pStyle w:val="Indenta"/>
        <w:spacing w:before="60"/>
      </w:pPr>
      <w:r>
        <w:tab/>
        <w:t>(a)</w:t>
      </w:r>
      <w:r>
        <w:tab/>
        <w:t xml:space="preserve">Crown land that was vested in the Crown under section 20A of the </w:t>
      </w:r>
      <w:r>
        <w:rPr>
          <w:i/>
        </w:rPr>
        <w:t>Town Planning and Development Act 1928</w:t>
      </w:r>
      <w:r>
        <w:rPr>
          <w:iCs/>
          <w:vertAlign w:val="superscript"/>
        </w:rPr>
        <w:t> 1</w:t>
      </w:r>
      <w:r>
        <w:t xml:space="preserve"> as a right of way or pedestrian access way; or</w:t>
      </w:r>
    </w:p>
    <w:p>
      <w:pPr>
        <w:pStyle w:val="Indenta"/>
        <w:spacing w:before="60"/>
      </w:pPr>
      <w:r>
        <w:tab/>
        <w:t>(b)</w:t>
      </w:r>
      <w:r>
        <w:tab/>
        <w:t xml:space="preserve">land referred to in section 167A(2)(b) of the </w:t>
      </w:r>
      <w:r>
        <w:rPr>
          <w:i/>
        </w:rPr>
        <w:t>Transfer of Land Act 1893</w:t>
      </w:r>
      <w:r>
        <w:t>; or</w:t>
      </w:r>
    </w:p>
    <w:p>
      <w:pPr>
        <w:pStyle w:val="Indenta"/>
        <w:spacing w:before="60"/>
      </w:pPr>
      <w:r>
        <w:tab/>
        <w:t>(c)</w:t>
      </w:r>
      <w:r>
        <w:tab/>
        <w:t>land shown and marked on a plan of subdivision of Crown land as a pedestrian accessway, right of way, or other similar use,</w:t>
      </w:r>
    </w:p>
    <w:p>
      <w:pPr>
        <w:pStyle w:val="Subsection"/>
      </w:pPr>
      <w:r>
        <w:tab/>
      </w:r>
      <w:r>
        <w:tab/>
        <w:t>if —</w:t>
      </w:r>
    </w:p>
    <w:p>
      <w:pPr>
        <w:pStyle w:val="Indenta"/>
        <w:spacing w:before="60"/>
      </w:pPr>
      <w:r>
        <w:tab/>
        <w:t>(d)</w:t>
      </w:r>
      <w:r>
        <w:tab/>
        <w:t>the land is being sold at the request of the local government within whose district the land is situated; and</w:t>
      </w:r>
    </w:p>
    <w:p>
      <w:pPr>
        <w:pStyle w:val="Indenta"/>
        <w:spacing w:before="60"/>
      </w:pPr>
      <w:r>
        <w:tab/>
        <w:t>(e)</w:t>
      </w:r>
      <w:r>
        <w:tab/>
        <w:t>the purpose of the sale is to allow the land to be amalgamated with adjoining land held in fee simple for the purpose of reducing crime or antisocial behaviour; and</w:t>
      </w:r>
    </w:p>
    <w:p>
      <w:pPr>
        <w:pStyle w:val="Indenta"/>
        <w:spacing w:before="60"/>
      </w:pPr>
      <w:r>
        <w:lastRenderedPageBreak/>
        <w:tab/>
        <w:t>(f)</w:t>
      </w:r>
      <w:r>
        <w:tab/>
        <w:t>an adjoining land owner did not request the sale of the land for a purpose other than a purpose referred to in paragraph (e); and</w:t>
      </w:r>
    </w:p>
    <w:p>
      <w:pPr>
        <w:pStyle w:val="Indenta"/>
        <w:spacing w:before="60"/>
      </w:pPr>
      <w:r>
        <w:tab/>
        <w:t>(g)</w:t>
      </w:r>
      <w:r>
        <w:tab/>
        <w:t>the land is being sold to an adjoining land owner.</w:t>
      </w:r>
    </w:p>
    <w:p>
      <w:pPr>
        <w:pStyle w:val="Subsection"/>
      </w:pPr>
      <w:r>
        <w:tab/>
        <w:t>(4)</w:t>
      </w:r>
      <w:r>
        <w:tab/>
        <w:t>Subregulation (1) does not apply if, after having regard to —</w:t>
      </w:r>
    </w:p>
    <w:p>
      <w:pPr>
        <w:pStyle w:val="Indenta"/>
        <w:spacing w:before="60"/>
      </w:pPr>
      <w:r>
        <w:tab/>
        <w:t>(a)</w:t>
      </w:r>
      <w:r>
        <w:tab/>
        <w:t>the location of the relevant Crown land; and</w:t>
      </w:r>
    </w:p>
    <w:p>
      <w:pPr>
        <w:pStyle w:val="Indenta"/>
        <w:spacing w:before="60"/>
      </w:pPr>
      <w:r>
        <w:tab/>
        <w:t>(b)</w:t>
      </w:r>
      <w:r>
        <w:tab/>
        <w:t>the area of the relevant Crown land; and</w:t>
      </w:r>
    </w:p>
    <w:p>
      <w:pPr>
        <w:pStyle w:val="Indenta"/>
        <w:spacing w:before="60"/>
      </w:pPr>
      <w:r>
        <w:tab/>
        <w:t>(c)</w:t>
      </w:r>
      <w:r>
        <w:tab/>
        <w:t>the value of land adjoining or in the neighbourhood of the relevant Crown land; and</w:t>
      </w:r>
    </w:p>
    <w:p>
      <w:pPr>
        <w:pStyle w:val="Indenta"/>
        <w:keepNext/>
        <w:spacing w:before="60"/>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Gazette 16 Jun 2000 p. 2943</w:t>
      </w:r>
      <w:r>
        <w:noBreakHyphen/>
        <w:t>5; 5 Mar 2004 p. 699.]</w:t>
      </w:r>
    </w:p>
    <w:p>
      <w:pPr>
        <w:pStyle w:val="Heading5"/>
        <w:rPr>
          <w:snapToGrid w:val="0"/>
        </w:rPr>
      </w:pPr>
      <w:bookmarkStart w:id="28" w:name="_Toc87968898"/>
      <w:r>
        <w:rPr>
          <w:rStyle w:val="CharSectno"/>
        </w:rPr>
        <w:t>13</w:t>
      </w:r>
      <w:r>
        <w:rPr>
          <w:snapToGrid w:val="0"/>
        </w:rPr>
        <w:t>.</w:t>
      </w:r>
      <w:r>
        <w:rPr>
          <w:snapToGrid w:val="0"/>
        </w:rPr>
        <w:tab/>
        <w:t>Requirements for entering joint ventures prescribed (Act s. 78(1))</w:t>
      </w:r>
      <w:bookmarkEnd w:id="28"/>
    </w:p>
    <w:p>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 or</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lastRenderedPageBreak/>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29" w:name="_Toc87968899"/>
      <w:r>
        <w:rPr>
          <w:rStyle w:val="CharSectno"/>
        </w:rPr>
        <w:t>14</w:t>
      </w:r>
      <w:r>
        <w:rPr>
          <w:snapToGrid w:val="0"/>
        </w:rPr>
        <w:t>.</w:t>
      </w:r>
      <w:r>
        <w:rPr>
          <w:snapToGrid w:val="0"/>
        </w:rPr>
        <w:tab/>
        <w:t>Conditions prescribed (Act s. 89)</w:t>
      </w:r>
      <w:bookmarkEnd w:id="29"/>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30" w:name="_Toc87968900"/>
      <w:r>
        <w:rPr>
          <w:rStyle w:val="CharSectno"/>
        </w:rPr>
        <w:t>15</w:t>
      </w:r>
      <w:r>
        <w:t>.</w:t>
      </w:r>
      <w:r>
        <w:tab/>
        <w:t>Phasing in of increased rents for pastoral leases (Act s. 124A)</w:t>
      </w:r>
      <w:bookmarkEnd w:id="30"/>
    </w:p>
    <w:p>
      <w:pPr>
        <w:pStyle w:val="Subsection"/>
      </w:pPr>
      <w:r>
        <w:tab/>
        <w:t>(1)</w:t>
      </w:r>
      <w:r>
        <w:tab/>
        <w:t xml:space="preserve">This regulation applies, for the purposes of section 124A of the Act, to the annual rent for a pastoral lease (the </w:t>
      </w:r>
      <w:r>
        <w:rPr>
          <w:rStyle w:val="CharDefText"/>
        </w:rPr>
        <w:t>2019 determined rent</w:t>
      </w:r>
      <w:r>
        <w:t xml:space="preserve">) that, as the result of a determination under section 123 of the Act as at 1 July 2019, is greater than 120% of the </w:t>
      </w:r>
      <w:r>
        <w:rPr>
          <w:b/>
          <w:i/>
        </w:rPr>
        <w:t>2014 determined rent</w:t>
      </w:r>
      <w:r>
        <w:t xml:space="preserve"> (see subregulation (2)).</w:t>
      </w:r>
    </w:p>
    <w:p>
      <w:pPr>
        <w:pStyle w:val="Subsection"/>
      </w:pPr>
      <w:r>
        <w:lastRenderedPageBreak/>
        <w:tab/>
        <w:t>(2)</w:t>
      </w:r>
      <w:r>
        <w:tab/>
        <w:t xml:space="preserve">The </w:t>
      </w:r>
      <w:r>
        <w:rPr>
          <w:rStyle w:val="CharDefText"/>
        </w:rPr>
        <w:t>2014 determined rent</w:t>
      </w:r>
      <w:r>
        <w:t xml:space="preserve"> is the annual rent for the pastoral lease that applied immediately before the determination referred to in subregulation (1).</w:t>
      </w:r>
    </w:p>
    <w:p>
      <w:pPr>
        <w:pStyle w:val="Subsection"/>
      </w:pPr>
      <w:r>
        <w:tab/>
        <w:t>(3)</w:t>
      </w:r>
      <w:r>
        <w:tab/>
        <w:t>Subregulations (4) and (5) apply if the 2019 determined rent is not greater than 144% of the 2014 determined rent.</w:t>
      </w:r>
    </w:p>
    <w:p>
      <w:pPr>
        <w:pStyle w:val="Subsection"/>
      </w:pPr>
      <w:r>
        <w:tab/>
        <w:t>(4)</w:t>
      </w:r>
      <w:r>
        <w:tab/>
        <w:t>Instead of the 2019 determined rent, the annual rent payable for the pastoral lease as at 1 July 2019 is 120% of the 2014 determined rent.</w:t>
      </w:r>
    </w:p>
    <w:p>
      <w:pPr>
        <w:pStyle w:val="Subsection"/>
      </w:pPr>
      <w:r>
        <w:tab/>
        <w:t>(5)</w:t>
      </w:r>
      <w:r>
        <w:tab/>
        <w:t>The annual rent payable for the pastoral lease as at 1 July 2020 is the 2019 determined rent.</w:t>
      </w:r>
    </w:p>
    <w:p>
      <w:pPr>
        <w:pStyle w:val="Subsection"/>
      </w:pPr>
      <w:r>
        <w:tab/>
        <w:t>(6)</w:t>
      </w:r>
      <w:r>
        <w:tab/>
        <w:t>Subregulations (7) and (8) apply if the 2019 determined rent is greater than 144% of the 2014 determined rent.</w:t>
      </w:r>
    </w:p>
    <w:p>
      <w:pPr>
        <w:pStyle w:val="Subsection"/>
      </w:pPr>
      <w:r>
        <w:tab/>
        <w:t>(7)</w:t>
      </w:r>
      <w:r>
        <w:tab/>
        <w:t xml:space="preserve">Instead of the 2019 determined rent, the annual rent payable for the pastoral lease — </w:t>
      </w:r>
    </w:p>
    <w:p>
      <w:pPr>
        <w:pStyle w:val="Indenta"/>
      </w:pPr>
      <w:r>
        <w:tab/>
        <w:t>(a)</w:t>
      </w:r>
      <w:r>
        <w:tab/>
        <w:t>as at 1 July 2019, is 120% of the 2014 determined rent; and</w:t>
      </w:r>
    </w:p>
    <w:p>
      <w:pPr>
        <w:pStyle w:val="Indenta"/>
      </w:pPr>
      <w:r>
        <w:tab/>
        <w:t>(b)</w:t>
      </w:r>
      <w:r>
        <w:tab/>
        <w:t>as at 1 July 2020, is 144% of the 2014 determined rent.</w:t>
      </w:r>
    </w:p>
    <w:p>
      <w:pPr>
        <w:pStyle w:val="Subsection"/>
      </w:pPr>
      <w:r>
        <w:tab/>
        <w:t>(8)</w:t>
      </w:r>
      <w:r>
        <w:tab/>
        <w:t>The annual rent payable for the pastoral lease as at 1 July 2021 is the 2019 determined rent.</w:t>
      </w:r>
    </w:p>
    <w:p>
      <w:pPr>
        <w:pStyle w:val="Footnotesection"/>
      </w:pPr>
      <w:r>
        <w:tab/>
        <w:t>[Regulation 15 inserted: Gazette 28 Jun 2019 p. 2484</w:t>
      </w:r>
      <w:r>
        <w:noBreakHyphen/>
        <w:t>5.]</w:t>
      </w:r>
    </w:p>
    <w:p>
      <w:pPr>
        <w:pStyle w:val="Heading5"/>
        <w:rPr>
          <w:snapToGrid w:val="0"/>
        </w:rPr>
      </w:pPr>
      <w:bookmarkStart w:id="31" w:name="_Toc87968901"/>
      <w:r>
        <w:rPr>
          <w:rStyle w:val="CharSectno"/>
        </w:rPr>
        <w:t>16</w:t>
      </w:r>
      <w:r>
        <w:rPr>
          <w:snapToGrid w:val="0"/>
        </w:rPr>
        <w:t>.</w:t>
      </w:r>
      <w:r>
        <w:rPr>
          <w:snapToGrid w:val="0"/>
        </w:rPr>
        <w:tab/>
        <w:t>Rate of interest prescribed (Act s. 125(4))</w:t>
      </w:r>
      <w:bookmarkEnd w:id="31"/>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32" w:name="_Toc87968902"/>
      <w:r>
        <w:rPr>
          <w:rStyle w:val="CharSectno"/>
        </w:rPr>
        <w:t>17</w:t>
      </w:r>
      <w:r>
        <w:rPr>
          <w:snapToGrid w:val="0"/>
        </w:rPr>
        <w:t>.</w:t>
      </w:r>
      <w:r>
        <w:rPr>
          <w:snapToGrid w:val="0"/>
        </w:rPr>
        <w:tab/>
        <w:t>Fees (Sch. 1)</w:t>
      </w:r>
      <w:bookmarkEnd w:id="32"/>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keepNext/>
      </w:pPr>
      <w:r>
        <w:lastRenderedPageBreak/>
        <w:tab/>
        <w:t>(1A)</w:t>
      </w:r>
      <w:r>
        <w:tab/>
        <w:t xml:space="preserve">For the purposes of Schedule 1 item 1 — </w:t>
      </w:r>
    </w:p>
    <w:p>
      <w:pPr>
        <w:pStyle w:val="Indenta"/>
      </w:pPr>
      <w:r>
        <w:tab/>
        <w:t>(a)</w:t>
      </w:r>
      <w:r>
        <w:tab/>
        <w:t>a permit under Part 7 Division 5 of the Act is classified as moderate; and</w:t>
      </w:r>
    </w:p>
    <w:p>
      <w:pPr>
        <w:pStyle w:val="Indenta"/>
      </w:pPr>
      <w:r>
        <w:tab/>
        <w:t>(b)</w:t>
      </w:r>
      <w:r>
        <w:tab/>
        <w:t>any other document to which that item applies is classified as simple, moderate or complex according to the Minister’s assessment of the costs incurred by the Department in the preparation of a document of that kind.</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Gazette 10 Apr 2001 p. 2074; 27 Jun 2017 p. 3436.]</w:t>
      </w:r>
    </w:p>
    <w:p>
      <w:pPr>
        <w:pStyle w:val="Heading5"/>
      </w:pPr>
      <w:bookmarkStart w:id="33" w:name="_Toc87968903"/>
      <w:r>
        <w:rPr>
          <w:rStyle w:val="CharSectno"/>
        </w:rPr>
        <w:t>17A</w:t>
      </w:r>
      <w:r>
        <w:t>.</w:t>
      </w:r>
      <w:r>
        <w:tab/>
        <w:t>Geocentric Datum of Australia 2020 prescribed (Act s. 5A)</w:t>
      </w:r>
      <w:bookmarkEnd w:id="33"/>
    </w:p>
    <w:p>
      <w:pPr>
        <w:pStyle w:val="Subsection"/>
      </w:pPr>
      <w:r>
        <w:tab/>
        <w:t>(1)</w:t>
      </w:r>
      <w:r>
        <w:tab/>
        <w:t xml:space="preserve">In this regulation — </w:t>
      </w:r>
    </w:p>
    <w:p>
      <w:pPr>
        <w:pStyle w:val="Defstart"/>
      </w:pPr>
      <w:r>
        <w:tab/>
      </w:r>
      <w:r>
        <w:rPr>
          <w:rStyle w:val="CharDefText"/>
        </w:rPr>
        <w:t>2017 Determination</w:t>
      </w:r>
      <w:r>
        <w:t xml:space="preserve"> means the </w:t>
      </w:r>
      <w:r>
        <w:rPr>
          <w:i/>
        </w:rPr>
        <w:t>National Measurement (Recognized</w:t>
      </w:r>
      <w:r>
        <w:rPr>
          <w:i/>
        </w:rPr>
        <w:noBreakHyphen/>
        <w:t xml:space="preserve">Value Standard of Measurement of Position) Determination 2017 </w:t>
      </w:r>
      <w:r>
        <w:t>(Commonwealth), as in force on 1 July 2020;</w:t>
      </w:r>
    </w:p>
    <w:p>
      <w:pPr>
        <w:pStyle w:val="Defstart"/>
      </w:pPr>
      <w:r>
        <w:tab/>
      </w:r>
      <w:r>
        <w:rPr>
          <w:rStyle w:val="CharDefText"/>
        </w:rPr>
        <w:t>Geocentric Datum of Australia 2020</w:t>
      </w:r>
      <w:r>
        <w:t xml:space="preserve"> means the Reference Frame defined in the 2017 Determination clause 4.</w:t>
      </w:r>
    </w:p>
    <w:p>
      <w:pPr>
        <w:pStyle w:val="Subsection"/>
      </w:pPr>
      <w:r>
        <w:tab/>
        <w:t>(2)</w:t>
      </w:r>
      <w:r>
        <w:tab/>
        <w:t>For the purposes of section 5A(1) of the Act, the Geocentric Datum of Australia 2020 is prescribed.</w:t>
      </w:r>
    </w:p>
    <w:p>
      <w:pPr>
        <w:pStyle w:val="Footnotesection"/>
      </w:pPr>
      <w:r>
        <w:tab/>
        <w:t>[Regulation 17A inserted: SL 2020/64 r. 4.]</w:t>
      </w:r>
    </w:p>
    <w:p>
      <w:pPr>
        <w:pStyle w:val="Heading5"/>
      </w:pPr>
      <w:bookmarkStart w:id="34" w:name="_Toc87968904"/>
      <w:r>
        <w:rPr>
          <w:rStyle w:val="CharSectno"/>
        </w:rPr>
        <w:lastRenderedPageBreak/>
        <w:t>17B</w:t>
      </w:r>
      <w:r>
        <w:t>.</w:t>
      </w:r>
      <w:r>
        <w:tab/>
        <w:t>Acts prescribed (Act s. 18(8)(b)(ii))</w:t>
      </w:r>
      <w:bookmarkEnd w:id="34"/>
    </w:p>
    <w:p>
      <w:pPr>
        <w:pStyle w:val="Subsection"/>
        <w:keepNext/>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Tree Plantation Agreements Act 2003</w:t>
      </w:r>
      <w:r>
        <w:t>.</w:t>
      </w:r>
    </w:p>
    <w:p>
      <w:pPr>
        <w:pStyle w:val="Footnotesection"/>
      </w:pPr>
      <w:r>
        <w:tab/>
        <w:t>[Regulation 17B inserted: Gazette 10 Apr 2001 p. 2074; amended: Gazette 18 Sep 2009 p. 3622.]</w:t>
      </w:r>
    </w:p>
    <w:p>
      <w:pPr>
        <w:pStyle w:val="Heading5"/>
      </w:pPr>
      <w:bookmarkStart w:id="35" w:name="_Toc87968905"/>
      <w:r>
        <w:rPr>
          <w:rStyle w:val="CharSectno"/>
        </w:rPr>
        <w:t>17C</w:t>
      </w:r>
      <w:r>
        <w:t>.</w:t>
      </w:r>
      <w:r>
        <w:tab/>
        <w:t xml:space="preserve">Stock prescribed (Act s. 93 </w:t>
      </w:r>
      <w:r>
        <w:rPr>
          <w:i/>
        </w:rPr>
        <w:t>authorised stock</w:t>
      </w:r>
      <w:r>
        <w:t>)</w:t>
      </w:r>
      <w:bookmarkEnd w:id="35"/>
    </w:p>
    <w:p>
      <w:pPr>
        <w:pStyle w:val="Subsection"/>
      </w:pPr>
      <w:r>
        <w:tab/>
      </w:r>
      <w:r>
        <w:tab/>
        <w:t>For the purposes of the definition of authorised stock in section 93 of the Act the following stock is prescribed —</w:t>
      </w:r>
    </w:p>
    <w:p>
      <w:pPr>
        <w:pStyle w:val="Indenta"/>
      </w:pPr>
      <w:r>
        <w:tab/>
        <w:t>(a)</w:t>
      </w:r>
      <w:r>
        <w:tab/>
        <w:t>sheep (ovis aries); and</w:t>
      </w:r>
    </w:p>
    <w:p>
      <w:pPr>
        <w:pStyle w:val="Indenta"/>
      </w:pPr>
      <w:r>
        <w:tab/>
        <w:t>(b)</w:t>
      </w:r>
      <w:r>
        <w:tab/>
        <w:t>cattle (bos indicus, bos taurus); and</w:t>
      </w:r>
    </w:p>
    <w:p>
      <w:pPr>
        <w:pStyle w:val="Indenta"/>
      </w:pPr>
      <w:r>
        <w:tab/>
        <w:t>(c)</w:t>
      </w:r>
      <w:r>
        <w:tab/>
        <w:t>horses (equus caballas); and</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Gazette 10 Apr 2001 p. 2074; amended: Gazette 27 Aug 2002 p. 4355.]</w:t>
      </w:r>
    </w:p>
    <w:p>
      <w:pPr>
        <w:pStyle w:val="Heading5"/>
      </w:pPr>
      <w:bookmarkStart w:id="36" w:name="_Toc87968906"/>
      <w:r>
        <w:rPr>
          <w:rStyle w:val="CharSectno"/>
        </w:rPr>
        <w:t>17D</w:t>
      </w:r>
      <w:r>
        <w:t>.</w:t>
      </w:r>
      <w:r>
        <w:tab/>
        <w:t>Longer period prescribed (Act 143(6g) etc.)</w:t>
      </w:r>
      <w:bookmarkEnd w:id="36"/>
    </w:p>
    <w:p>
      <w:pPr>
        <w:pStyle w:val="Subsection"/>
        <w:keepNext/>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 xml:space="preserve">that has the effect that the </w:t>
      </w:r>
      <w:r>
        <w:rPr>
          <w:b/>
          <w:i/>
        </w:rPr>
        <w:t>final day</w:t>
      </w:r>
      <w:r>
        <w:t xml:space="preserve"> referred to in those provisions is 17 December 2004.</w:t>
      </w:r>
    </w:p>
    <w:p>
      <w:pPr>
        <w:pStyle w:val="Footnotesection"/>
      </w:pPr>
      <w:r>
        <w:rPr>
          <w:i w:val="0"/>
          <w:iCs/>
        </w:rPr>
        <w:tab/>
      </w:r>
      <w:r>
        <w:t>[Regulation 17D inserted: Gazette 24 Nov 2004 p. 5255</w:t>
      </w:r>
      <w:r>
        <w:noBreakHyphen/>
        <w:t>6.]</w:t>
      </w:r>
    </w:p>
    <w:p>
      <w:pPr>
        <w:pStyle w:val="Heading5"/>
      </w:pPr>
      <w:bookmarkStart w:id="37" w:name="_Toc87968907"/>
      <w:r>
        <w:rPr>
          <w:rStyle w:val="CharSectno"/>
        </w:rPr>
        <w:lastRenderedPageBreak/>
        <w:t>17E</w:t>
      </w:r>
      <w:r>
        <w:t>.</w:t>
      </w:r>
      <w:r>
        <w:tab/>
        <w:t>Circumstances prescribed (Act s. 75(7a))</w:t>
      </w:r>
      <w:bookmarkEnd w:id="37"/>
    </w:p>
    <w:p>
      <w:pPr>
        <w:pStyle w:val="Subsection"/>
        <w:keepNext/>
      </w:pPr>
      <w:r>
        <w:tab/>
        <w:t>(1)</w:t>
      </w:r>
      <w:r>
        <w:tab/>
        <w:t xml:space="preserve">In this regulation — </w:t>
      </w:r>
    </w:p>
    <w:p>
      <w:pPr>
        <w:pStyle w:val="Defstart"/>
      </w:pPr>
      <w:r>
        <w:tab/>
      </w:r>
      <w:r>
        <w:rPr>
          <w:rStyle w:val="CharDefText"/>
        </w:rPr>
        <w:t>Jolimont land</w:t>
      </w:r>
      <w:r>
        <w:t xml:space="preserve"> means Lots 101 and 102 on Deposited Plan 404549, being the whole of the land in Certificate of Title Volume 2890 Folio 6 and Certificate of Title Volume 2890 Folio 7;</w:t>
      </w:r>
    </w:p>
    <w:p>
      <w:pPr>
        <w:pStyle w:val="Defstart"/>
      </w:pPr>
      <w:r>
        <w:tab/>
      </w:r>
      <w:r>
        <w:rPr>
          <w:rStyle w:val="CharDefText"/>
        </w:rPr>
        <w:t>Knutsford land</w:t>
      </w:r>
      <w:r>
        <w:t xml:space="preserve"> means all of the following — </w:t>
      </w:r>
    </w:p>
    <w:p>
      <w:pPr>
        <w:pStyle w:val="Defpara"/>
      </w:pPr>
      <w:r>
        <w:tab/>
        <w:t>(a)</w:t>
      </w:r>
      <w:r>
        <w:tab/>
        <w:t>Lots 1186 to 1192, 1197 to 1200, 1207, 1208, 1213 and 1214 on Deposited Plan 40767, being the whole of the land in Certificates of Title Volume 2183 Folio 606 to 620;</w:t>
      </w:r>
    </w:p>
    <w:p>
      <w:pPr>
        <w:pStyle w:val="Defpara"/>
      </w:pPr>
      <w:r>
        <w:tab/>
        <w:t>(b)</w:t>
      </w:r>
      <w:r>
        <w:tab/>
        <w:t>Lot 1215 on Deposited Plan 40767, being the whole of the land in Certificate of Title Volume 1686 Folio 343;</w:t>
      </w:r>
    </w:p>
    <w:p>
      <w:pPr>
        <w:pStyle w:val="Defpara"/>
      </w:pPr>
      <w:r>
        <w:tab/>
        <w:t>(c)</w:t>
      </w:r>
      <w:r>
        <w:tab/>
        <w:t>Lot 1725 on Deposited Plan 40767, being the whole of the land in Certificate of Title Volume 1044 Folio 112;</w:t>
      </w:r>
    </w:p>
    <w:p>
      <w:pPr>
        <w:pStyle w:val="Defstart"/>
      </w:pPr>
      <w:r>
        <w:tab/>
      </w:r>
      <w:r>
        <w:rPr>
          <w:rStyle w:val="CharDefText"/>
        </w:rPr>
        <w:t>Mosman Park land</w:t>
      </w:r>
      <w:r>
        <w:t xml:space="preserve"> means any part of Lot 591 on Deposited Plan 68376, being the whole of the land in Certificate of Title Volume 2741 Folio 263;</w:t>
      </w:r>
    </w:p>
    <w:p>
      <w:pPr>
        <w:pStyle w:val="Defstart"/>
      </w:pPr>
      <w:r>
        <w:tab/>
      </w:r>
      <w:r>
        <w:rPr>
          <w:rStyle w:val="CharDefText"/>
        </w:rPr>
        <w:t>Narrogin land</w:t>
      </w:r>
      <w:r>
        <w:t xml:space="preserve"> means any of the following — </w:t>
      </w:r>
    </w:p>
    <w:p>
      <w:pPr>
        <w:pStyle w:val="Defpara"/>
      </w:pPr>
      <w:r>
        <w:tab/>
        <w:t>(a)</w:t>
      </w:r>
      <w:r>
        <w:tab/>
        <w:t>Lot 36 on Deposited Plan 222890, being the whole of the land in Certificate of Title Volume 411 Folio 169;</w:t>
      </w:r>
    </w:p>
    <w:p>
      <w:pPr>
        <w:pStyle w:val="Defpara"/>
      </w:pPr>
      <w:r>
        <w:tab/>
        <w:t>(b)</w:t>
      </w:r>
      <w:r>
        <w:tab/>
        <w:t>Lot 206 on Deposited Plan 222890, being the whole of the land in Certificate of Title Volume 444 Folio 127;</w:t>
      </w:r>
    </w:p>
    <w:p>
      <w:pPr>
        <w:pStyle w:val="Defpara"/>
      </w:pPr>
      <w:r>
        <w:tab/>
        <w:t>(c)</w:t>
      </w:r>
      <w:r>
        <w:tab/>
        <w:t>Lot 46 on Deposited Plan 222890 and portion of Lot 264 on Deposited Plan 110059, being the whole of the land in Certificate of Title Volume 1908 Folio 583.</w:t>
      </w:r>
    </w:p>
    <w:p>
      <w:pPr>
        <w:pStyle w:val="Subsection"/>
      </w:pPr>
      <w:r>
        <w:tab/>
        <w:t>(2)</w:t>
      </w:r>
      <w:r>
        <w:tab/>
        <w:t>The Minister may exercise the power described in section 75(7a) of the Act if the application under section 75(7) of the Act is made by the Shire of Narrogin in respect of Narrogin land.</w:t>
      </w:r>
    </w:p>
    <w:p>
      <w:pPr>
        <w:pStyle w:val="Subsection"/>
      </w:pPr>
      <w:r>
        <w:tab/>
        <w:t>(3)</w:t>
      </w:r>
      <w:r>
        <w:tab/>
        <w:t xml:space="preserve">The Minister may exercise the power described in section 75(7a) of the Act if the application under section 75(7) of the </w:t>
      </w:r>
      <w:r>
        <w:lastRenderedPageBreak/>
        <w:t>Act is made by the Western Australian Land Authority in respect of Jolimont land.</w:t>
      </w:r>
    </w:p>
    <w:p>
      <w:pPr>
        <w:pStyle w:val="Subsection"/>
      </w:pPr>
      <w:r>
        <w:tab/>
        <w:t>(4)</w:t>
      </w:r>
      <w:r>
        <w:tab/>
        <w:t>The Minister may exercise the power described in section 75(7a) of the Act if the application under section 75(7) of the Act is made by the Trustees of Public Education Endowment in respect of the Knutsford land.</w:t>
      </w:r>
    </w:p>
    <w:p>
      <w:pPr>
        <w:pStyle w:val="Subsection"/>
      </w:pPr>
      <w:r>
        <w:tab/>
        <w:t>(5)</w:t>
      </w:r>
      <w:r>
        <w:tab/>
        <w:t>The Minister may exercise the power described in section 75(7a) of the Act if the application under section 75(7) of the Act is made by Rocky Bay Limited (ACN 636 892 898) in respect of Mosman Park land.</w:t>
      </w:r>
    </w:p>
    <w:p>
      <w:pPr>
        <w:pStyle w:val="Footnotesection"/>
      </w:pPr>
      <w:r>
        <w:tab/>
        <w:t>[Regulation 17E inserted: Gazette 6 Sep 2016 p. 3826</w:t>
      </w:r>
      <w:r>
        <w:noBreakHyphen/>
        <w:t>7; amended: Gazette 6 Sep 2016 p. 3825-6; SL 2021/189 r. 4.]</w:t>
      </w:r>
    </w:p>
    <w:p>
      <w:pPr>
        <w:pStyle w:val="Heading5"/>
      </w:pPr>
      <w:bookmarkStart w:id="38" w:name="_Toc87968908"/>
      <w:r>
        <w:rPr>
          <w:rStyle w:val="CharSectno"/>
        </w:rPr>
        <w:t>17F</w:t>
      </w:r>
      <w:r>
        <w:t>.</w:t>
      </w:r>
      <w:r>
        <w:tab/>
        <w:t xml:space="preserve">Commonwealth agencies prescribed (Act s. 275A(1) </w:t>
      </w:r>
      <w:r>
        <w:rPr>
          <w:i/>
        </w:rPr>
        <w:t>public authority</w:t>
      </w:r>
      <w:r>
        <w:t>)</w:t>
      </w:r>
      <w:bookmarkEnd w:id="38"/>
    </w:p>
    <w:p>
      <w:pPr>
        <w:pStyle w:val="Subsection"/>
        <w:keepNext/>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p>
    <w:p>
      <w:pPr>
        <w:pStyle w:val="Indenta"/>
      </w:pPr>
      <w:r>
        <w:tab/>
        <w:t>(f)</w:t>
      </w:r>
      <w:r>
        <w:tab/>
        <w:t xml:space="preserve">the department of the Commonwealth public service principally assisting the Commonwealth Minister in the administration of any of the following Acts — </w:t>
      </w:r>
    </w:p>
    <w:p>
      <w:pPr>
        <w:pStyle w:val="Indenti"/>
      </w:pPr>
      <w:r>
        <w:lastRenderedPageBreak/>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 Gazette 6 Jul 2012 p. 3024</w:t>
      </w:r>
      <w:r>
        <w:noBreakHyphen/>
        <w:t>5.]</w:t>
      </w:r>
    </w:p>
    <w:p>
      <w:pPr>
        <w:pStyle w:val="Heading2"/>
      </w:pPr>
      <w:bookmarkStart w:id="39" w:name="_Toc87956854"/>
      <w:bookmarkStart w:id="40" w:name="_Toc87957698"/>
      <w:bookmarkStart w:id="41" w:name="_Toc87968909"/>
      <w:r>
        <w:rPr>
          <w:rStyle w:val="CharPartNo"/>
        </w:rPr>
        <w:lastRenderedPageBreak/>
        <w:t>Part 3</w:t>
      </w:r>
      <w:r>
        <w:rPr>
          <w:rStyle w:val="CharDivNo"/>
        </w:rPr>
        <w:t> </w:t>
      </w:r>
      <w:r>
        <w:t>—</w:t>
      </w:r>
      <w:r>
        <w:rPr>
          <w:rStyle w:val="CharDivText"/>
        </w:rPr>
        <w:t> </w:t>
      </w:r>
      <w:r>
        <w:rPr>
          <w:rStyle w:val="CharPartText"/>
        </w:rPr>
        <w:t>Surveys</w:t>
      </w:r>
      <w:bookmarkEnd w:id="39"/>
      <w:bookmarkEnd w:id="40"/>
      <w:bookmarkEnd w:id="41"/>
    </w:p>
    <w:p>
      <w:pPr>
        <w:pStyle w:val="Heading5"/>
        <w:rPr>
          <w:snapToGrid w:val="0"/>
        </w:rPr>
      </w:pPr>
      <w:bookmarkStart w:id="42" w:name="_Toc87968910"/>
      <w:r>
        <w:rPr>
          <w:rStyle w:val="CharSectno"/>
        </w:rPr>
        <w:t>18</w:t>
      </w:r>
      <w:r>
        <w:rPr>
          <w:snapToGrid w:val="0"/>
        </w:rPr>
        <w:t>.</w:t>
      </w:r>
      <w:r>
        <w:rPr>
          <w:snapToGrid w:val="0"/>
        </w:rPr>
        <w:tab/>
        <w:t>Terms used</w:t>
      </w:r>
      <w:bookmarkEnd w:id="42"/>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43" w:name="_Toc87968911"/>
      <w:r>
        <w:rPr>
          <w:rStyle w:val="CharSectno"/>
        </w:rPr>
        <w:t>19</w:t>
      </w:r>
      <w:r>
        <w:rPr>
          <w:snapToGrid w:val="0"/>
        </w:rPr>
        <w:t>.</w:t>
      </w:r>
      <w:r>
        <w:rPr>
          <w:snapToGrid w:val="0"/>
        </w:rPr>
        <w:tab/>
        <w:t>Doubts etc. about survey, duties of departmental surveyor as to</w:t>
      </w:r>
      <w:bookmarkEnd w:id="43"/>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spacing w:before="60"/>
        <w:rPr>
          <w:snapToGrid w:val="0"/>
        </w:rPr>
      </w:pPr>
      <w:r>
        <w:rPr>
          <w:snapToGrid w:val="0"/>
        </w:rPr>
        <w:tab/>
        <w:t>(a)</w:t>
      </w:r>
      <w:r>
        <w:rPr>
          <w:snapToGrid w:val="0"/>
        </w:rPr>
        <w:tab/>
        <w:t>any doubts about the survey; and</w:t>
      </w:r>
    </w:p>
    <w:p>
      <w:pPr>
        <w:pStyle w:val="Indenta"/>
        <w:spacing w:before="60"/>
        <w:rPr>
          <w:snapToGrid w:val="0"/>
        </w:rPr>
      </w:pPr>
      <w:r>
        <w:rPr>
          <w:snapToGrid w:val="0"/>
        </w:rPr>
        <w:tab/>
        <w:t>(b)</w:t>
      </w:r>
      <w:r>
        <w:rPr>
          <w:snapToGrid w:val="0"/>
        </w:rPr>
        <w:tab/>
        <w:t>any discrepancies found in existing surveys, data or plans; and</w:t>
      </w:r>
    </w:p>
    <w:p>
      <w:pPr>
        <w:pStyle w:val="Indenta"/>
        <w:spacing w:before="60"/>
        <w:rPr>
          <w:snapToGrid w:val="0"/>
        </w:rPr>
      </w:pPr>
      <w:r>
        <w:rPr>
          <w:snapToGrid w:val="0"/>
        </w:rPr>
        <w:tab/>
        <w:t>(c)</w:t>
      </w:r>
      <w:r>
        <w:rPr>
          <w:snapToGrid w:val="0"/>
        </w:rPr>
        <w:tab/>
        <w:t>any difficulties encountered while carrying out the survey; and</w:t>
      </w:r>
    </w:p>
    <w:p>
      <w:pPr>
        <w:pStyle w:val="Indenta"/>
        <w:spacing w:before="60"/>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44" w:name="_Toc87968912"/>
      <w:r>
        <w:rPr>
          <w:rStyle w:val="CharSectno"/>
        </w:rPr>
        <w:t>20</w:t>
      </w:r>
      <w:r>
        <w:rPr>
          <w:snapToGrid w:val="0"/>
        </w:rPr>
        <w:t>.</w:t>
      </w:r>
      <w:r>
        <w:rPr>
          <w:snapToGrid w:val="0"/>
        </w:rPr>
        <w:tab/>
        <w:t>Authorised land officer’s powers for Act s. 32</w:t>
      </w:r>
      <w:bookmarkEnd w:id="44"/>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spacing w:before="60"/>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lastRenderedPageBreak/>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45" w:name="_Toc87968913"/>
      <w:r>
        <w:rPr>
          <w:rStyle w:val="CharSectno"/>
        </w:rPr>
        <w:t>21</w:t>
      </w:r>
      <w:r>
        <w:rPr>
          <w:snapToGrid w:val="0"/>
        </w:rPr>
        <w:t>.</w:t>
      </w:r>
      <w:r>
        <w:rPr>
          <w:snapToGrid w:val="0"/>
        </w:rPr>
        <w:tab/>
        <w:t>Alternative methodology for authorised surveys in special cases</w:t>
      </w:r>
      <w:bookmarkEnd w:id="45"/>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 or</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46" w:name="_Toc87968914"/>
      <w:r>
        <w:rPr>
          <w:rStyle w:val="CharSectno"/>
        </w:rPr>
        <w:t>22</w:t>
      </w:r>
      <w:r>
        <w:rPr>
          <w:snapToGrid w:val="0"/>
        </w:rPr>
        <w:t>.</w:t>
      </w:r>
      <w:r>
        <w:rPr>
          <w:snapToGrid w:val="0"/>
        </w:rPr>
        <w:tab/>
        <w:t>Documents of departmental surveyor are Crown property</w:t>
      </w:r>
      <w:bookmarkEnd w:id="46"/>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47" w:name="_Toc87968915"/>
      <w:r>
        <w:rPr>
          <w:rStyle w:val="CharSectno"/>
        </w:rPr>
        <w:lastRenderedPageBreak/>
        <w:t>23</w:t>
      </w:r>
      <w:r>
        <w:rPr>
          <w:snapToGrid w:val="0"/>
        </w:rPr>
        <w:t>.</w:t>
      </w:r>
      <w:r>
        <w:rPr>
          <w:snapToGrid w:val="0"/>
        </w:rPr>
        <w:tab/>
        <w:t xml:space="preserve">Inconsistency with </w:t>
      </w:r>
      <w:r>
        <w:rPr>
          <w:i/>
          <w:snapToGrid w:val="0"/>
        </w:rPr>
        <w:t>Licensed Surveyors (Guidance of Surveyors) Regulations 1961</w:t>
      </w:r>
      <w:bookmarkEnd w:id="47"/>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48" w:name="_Toc87956861"/>
      <w:bookmarkStart w:id="49" w:name="_Toc87957705"/>
      <w:bookmarkStart w:id="50" w:name="_Toc87968916"/>
      <w:r>
        <w:rPr>
          <w:rStyle w:val="CharPartNo"/>
        </w:rPr>
        <w:lastRenderedPageBreak/>
        <w:t>Part 4</w:t>
      </w:r>
      <w:r>
        <w:rPr>
          <w:rStyle w:val="CharDivNo"/>
        </w:rPr>
        <w:t> </w:t>
      </w:r>
      <w:r>
        <w:t>—</w:t>
      </w:r>
      <w:r>
        <w:rPr>
          <w:rStyle w:val="CharDivText"/>
        </w:rPr>
        <w:t> </w:t>
      </w:r>
      <w:r>
        <w:rPr>
          <w:rStyle w:val="CharPartText"/>
        </w:rPr>
        <w:t>Advisory panels</w:t>
      </w:r>
      <w:bookmarkEnd w:id="48"/>
      <w:bookmarkEnd w:id="49"/>
      <w:bookmarkEnd w:id="50"/>
    </w:p>
    <w:p>
      <w:pPr>
        <w:pStyle w:val="Heading5"/>
        <w:rPr>
          <w:snapToGrid w:val="0"/>
        </w:rPr>
      </w:pPr>
      <w:bookmarkStart w:id="51" w:name="_Toc87968917"/>
      <w:r>
        <w:rPr>
          <w:rStyle w:val="CharSectno"/>
        </w:rPr>
        <w:t>24</w:t>
      </w:r>
      <w:r>
        <w:rPr>
          <w:snapToGrid w:val="0"/>
        </w:rPr>
        <w:t>.</w:t>
      </w:r>
      <w:r>
        <w:rPr>
          <w:snapToGrid w:val="0"/>
        </w:rPr>
        <w:tab/>
        <w:t>Terms used</w:t>
      </w:r>
      <w:bookmarkEnd w:id="51"/>
    </w:p>
    <w:p>
      <w:pPr>
        <w:pStyle w:val="Subsection"/>
        <w:spacing w:before="140"/>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52" w:name="_Toc87968918"/>
      <w:r>
        <w:rPr>
          <w:rStyle w:val="CharSectno"/>
        </w:rPr>
        <w:t>25</w:t>
      </w:r>
      <w:r>
        <w:rPr>
          <w:snapToGrid w:val="0"/>
        </w:rPr>
        <w:t>.</w:t>
      </w:r>
      <w:r>
        <w:rPr>
          <w:snapToGrid w:val="0"/>
        </w:rPr>
        <w:tab/>
        <w:t>Members of panels</w:t>
      </w:r>
      <w:bookmarkEnd w:id="52"/>
    </w:p>
    <w:p>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53" w:name="_Toc87968919"/>
      <w:r>
        <w:rPr>
          <w:rStyle w:val="CharSectno"/>
        </w:rPr>
        <w:t>26</w:t>
      </w:r>
      <w:r>
        <w:rPr>
          <w:snapToGrid w:val="0"/>
        </w:rPr>
        <w:t>.</w:t>
      </w:r>
      <w:r>
        <w:rPr>
          <w:snapToGrid w:val="0"/>
        </w:rPr>
        <w:tab/>
        <w:t>Remuneration of members</w:t>
      </w:r>
      <w:bookmarkEnd w:id="53"/>
    </w:p>
    <w:p>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Gazette </w:t>
      </w:r>
      <w:r>
        <w:rPr>
          <w:szCs w:val="24"/>
        </w:rPr>
        <w:t>11 Feb 2011 p. 506</w:t>
      </w:r>
      <w:r>
        <w:rPr>
          <w:szCs w:val="24"/>
        </w:rPr>
        <w:noBreakHyphen/>
        <w:t>7.]</w:t>
      </w:r>
    </w:p>
    <w:p>
      <w:pPr>
        <w:pStyle w:val="Heading5"/>
        <w:rPr>
          <w:snapToGrid w:val="0"/>
        </w:rPr>
      </w:pPr>
      <w:bookmarkStart w:id="54" w:name="_Toc87968920"/>
      <w:r>
        <w:rPr>
          <w:rStyle w:val="CharSectno"/>
        </w:rPr>
        <w:t>27</w:t>
      </w:r>
      <w:r>
        <w:rPr>
          <w:snapToGrid w:val="0"/>
        </w:rPr>
        <w:t>.</w:t>
      </w:r>
      <w:r>
        <w:rPr>
          <w:snapToGrid w:val="0"/>
        </w:rPr>
        <w:tab/>
        <w:t>Term of office</w:t>
      </w:r>
      <w:bookmarkEnd w:id="54"/>
    </w:p>
    <w:p>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spacing w:before="140"/>
        <w:rPr>
          <w:snapToGrid w:val="0"/>
        </w:rPr>
      </w:pPr>
      <w:r>
        <w:rPr>
          <w:snapToGrid w:val="0"/>
        </w:rPr>
        <w:tab/>
        <w:t>(3)</w:t>
      </w:r>
      <w:r>
        <w:rPr>
          <w:snapToGrid w:val="0"/>
        </w:rPr>
        <w:tab/>
        <w:t>A member may resign by giving written notice to the Minister.</w:t>
      </w:r>
    </w:p>
    <w:p>
      <w:pPr>
        <w:pStyle w:val="Subsection"/>
        <w:spacing w:before="140"/>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55" w:name="_Toc87968921"/>
      <w:r>
        <w:rPr>
          <w:rStyle w:val="CharSectno"/>
        </w:rPr>
        <w:lastRenderedPageBreak/>
        <w:t>28</w:t>
      </w:r>
      <w:r>
        <w:rPr>
          <w:snapToGrid w:val="0"/>
        </w:rPr>
        <w:t>.</w:t>
      </w:r>
      <w:r>
        <w:rPr>
          <w:snapToGrid w:val="0"/>
        </w:rPr>
        <w:tab/>
        <w:t>Member unable to act</w:t>
      </w:r>
      <w:bookmarkEnd w:id="55"/>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56" w:name="_Toc87968922"/>
      <w:r>
        <w:rPr>
          <w:rStyle w:val="CharSectno"/>
        </w:rPr>
        <w:t>29</w:t>
      </w:r>
      <w:r>
        <w:rPr>
          <w:snapToGrid w:val="0"/>
        </w:rPr>
        <w:t>.</w:t>
      </w:r>
      <w:r>
        <w:rPr>
          <w:snapToGrid w:val="0"/>
        </w:rPr>
        <w:tab/>
        <w:t>Calling of meetings</w:t>
      </w:r>
      <w:bookmarkEnd w:id="56"/>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57" w:name="_Toc87968923"/>
      <w:r>
        <w:rPr>
          <w:rStyle w:val="CharSectno"/>
        </w:rPr>
        <w:t>30</w:t>
      </w:r>
      <w:r>
        <w:rPr>
          <w:snapToGrid w:val="0"/>
        </w:rPr>
        <w:t>.</w:t>
      </w:r>
      <w:r>
        <w:rPr>
          <w:snapToGrid w:val="0"/>
        </w:rPr>
        <w:tab/>
        <w:t>Who presides at meetings</w:t>
      </w:r>
      <w:bookmarkEnd w:id="57"/>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58" w:name="_Toc87968924"/>
      <w:r>
        <w:rPr>
          <w:rStyle w:val="CharSectno"/>
        </w:rPr>
        <w:t>31</w:t>
      </w:r>
      <w:r>
        <w:rPr>
          <w:snapToGrid w:val="0"/>
        </w:rPr>
        <w:t>.</w:t>
      </w:r>
      <w:r>
        <w:rPr>
          <w:snapToGrid w:val="0"/>
        </w:rPr>
        <w:tab/>
        <w:t>Quorum</w:t>
      </w:r>
      <w:bookmarkEnd w:id="58"/>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59" w:name="_Toc87968925"/>
      <w:r>
        <w:rPr>
          <w:rStyle w:val="CharSectno"/>
        </w:rPr>
        <w:t>32</w:t>
      </w:r>
      <w:r>
        <w:rPr>
          <w:snapToGrid w:val="0"/>
        </w:rPr>
        <w:t>.</w:t>
      </w:r>
      <w:r>
        <w:rPr>
          <w:snapToGrid w:val="0"/>
        </w:rPr>
        <w:tab/>
        <w:t>Voting</w:t>
      </w:r>
      <w:bookmarkEnd w:id="59"/>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60" w:name="_Toc87968926"/>
      <w:r>
        <w:rPr>
          <w:rStyle w:val="CharSectno"/>
        </w:rPr>
        <w:lastRenderedPageBreak/>
        <w:t>33</w:t>
      </w:r>
      <w:r>
        <w:rPr>
          <w:snapToGrid w:val="0"/>
        </w:rPr>
        <w:t>.</w:t>
      </w:r>
      <w:r>
        <w:rPr>
          <w:snapToGrid w:val="0"/>
        </w:rPr>
        <w:tab/>
        <w:t>Minutes</w:t>
      </w:r>
      <w:bookmarkEnd w:id="60"/>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61" w:name="_Toc87968927"/>
      <w:r>
        <w:rPr>
          <w:rStyle w:val="CharSectno"/>
        </w:rPr>
        <w:t>34</w:t>
      </w:r>
      <w:r>
        <w:rPr>
          <w:snapToGrid w:val="0"/>
        </w:rPr>
        <w:t>.</w:t>
      </w:r>
      <w:r>
        <w:rPr>
          <w:snapToGrid w:val="0"/>
        </w:rPr>
        <w:tab/>
        <w:t>Telephone or video meetings</w:t>
      </w:r>
      <w:bookmarkEnd w:id="61"/>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62" w:name="_Toc87968928"/>
      <w:r>
        <w:rPr>
          <w:rStyle w:val="CharSectno"/>
        </w:rPr>
        <w:t>35</w:t>
      </w:r>
      <w:r>
        <w:rPr>
          <w:snapToGrid w:val="0"/>
        </w:rPr>
        <w:t>.</w:t>
      </w:r>
      <w:r>
        <w:rPr>
          <w:snapToGrid w:val="0"/>
        </w:rPr>
        <w:tab/>
        <w:t>How panel is to inform itself</w:t>
      </w:r>
      <w:bookmarkEnd w:id="62"/>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 and</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r>
        <w:tab/>
        <w:t>[Regulation 35 amended: Gazette 5 Mar 2004 p. 700.]</w:t>
      </w:r>
    </w:p>
    <w:p>
      <w:pPr>
        <w:pStyle w:val="Heading5"/>
        <w:spacing w:before="200"/>
        <w:rPr>
          <w:snapToGrid w:val="0"/>
        </w:rPr>
      </w:pPr>
      <w:bookmarkStart w:id="63" w:name="_Toc87968929"/>
      <w:r>
        <w:rPr>
          <w:rStyle w:val="CharSectno"/>
        </w:rPr>
        <w:t>36</w:t>
      </w:r>
      <w:r>
        <w:rPr>
          <w:snapToGrid w:val="0"/>
        </w:rPr>
        <w:t>.</w:t>
      </w:r>
      <w:r>
        <w:rPr>
          <w:snapToGrid w:val="0"/>
        </w:rPr>
        <w:tab/>
        <w:t>Public hearings</w:t>
      </w:r>
      <w:bookmarkEnd w:id="63"/>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lastRenderedPageBreak/>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64" w:name="_Toc87968930"/>
      <w:r>
        <w:rPr>
          <w:rStyle w:val="CharSectno"/>
        </w:rPr>
        <w:t>37</w:t>
      </w:r>
      <w:r>
        <w:rPr>
          <w:snapToGrid w:val="0"/>
        </w:rPr>
        <w:t>.</w:t>
      </w:r>
      <w:r>
        <w:rPr>
          <w:snapToGrid w:val="0"/>
        </w:rPr>
        <w:tab/>
        <w:t>Panel to determine own procedures</w:t>
      </w:r>
      <w:bookmarkEnd w:id="64"/>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65" w:name="_Toc87968931"/>
      <w:r>
        <w:rPr>
          <w:rStyle w:val="CharSectno"/>
        </w:rPr>
        <w:t>38</w:t>
      </w:r>
      <w:r>
        <w:rPr>
          <w:snapToGrid w:val="0"/>
        </w:rPr>
        <w:t>.</w:t>
      </w:r>
      <w:r>
        <w:rPr>
          <w:snapToGrid w:val="0"/>
        </w:rPr>
        <w:tab/>
        <w:t>Conflict of interest</w:t>
      </w:r>
      <w:bookmarkEnd w:id="65"/>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66" w:name="_Toc87968932"/>
      <w:r>
        <w:rPr>
          <w:rStyle w:val="CharSectno"/>
        </w:rPr>
        <w:t>39</w:t>
      </w:r>
      <w:r>
        <w:rPr>
          <w:snapToGrid w:val="0"/>
        </w:rPr>
        <w:t>.</w:t>
      </w:r>
      <w:r>
        <w:rPr>
          <w:snapToGrid w:val="0"/>
        </w:rPr>
        <w:tab/>
        <w:t>Confidentiality</w:t>
      </w:r>
      <w:bookmarkEnd w:id="66"/>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 or</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67" w:name="_Toc87956878"/>
      <w:bookmarkStart w:id="68" w:name="_Toc87957722"/>
      <w:bookmarkStart w:id="69" w:name="_Toc87968933"/>
      <w:r>
        <w:rPr>
          <w:rStyle w:val="CharSchNo"/>
        </w:rPr>
        <w:lastRenderedPageBreak/>
        <w:t>Schedule 1</w:t>
      </w:r>
      <w:r>
        <w:t> — </w:t>
      </w:r>
      <w:r>
        <w:rPr>
          <w:rStyle w:val="CharSchText"/>
        </w:rPr>
        <w:t>Fees payable to chief executive officer</w:t>
      </w:r>
      <w:bookmarkEnd w:id="67"/>
      <w:bookmarkEnd w:id="68"/>
      <w:bookmarkEnd w:id="69"/>
    </w:p>
    <w:p>
      <w:pPr>
        <w:pStyle w:val="yShoulderClause"/>
        <w:rPr>
          <w:snapToGrid w:val="0"/>
        </w:rPr>
      </w:pPr>
      <w:r>
        <w:t>[r. 17]</w:t>
      </w:r>
    </w:p>
    <w:p>
      <w:pPr>
        <w:pStyle w:val="yFootnoteheading"/>
      </w:pPr>
      <w:r>
        <w:tab/>
        <w:t>[Heading amended: SL 2021/103 r. 4(1).]</w:t>
      </w:r>
    </w:p>
    <w:tbl>
      <w:tblPr>
        <w:tblW w:w="7350" w:type="dxa"/>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 —</w:t>
            </w:r>
          </w:p>
        </w:tc>
        <w:tc>
          <w:tcPr>
            <w:tcW w:w="1560" w:type="dxa"/>
          </w:tcPr>
          <w:p>
            <w:pPr>
              <w:pStyle w:val="yTableNAm"/>
            </w:pPr>
          </w:p>
        </w:tc>
      </w:tr>
      <w:tr>
        <w:tc>
          <w:tcPr>
            <w:tcW w:w="5790" w:type="dxa"/>
          </w:tcPr>
          <w:p>
            <w:pPr>
              <w:pStyle w:val="yTableNAm"/>
              <w:ind w:left="578" w:hanging="578"/>
            </w:pPr>
            <w:r>
              <w:tab/>
              <w:t>(a)</w:t>
            </w:r>
            <w:r>
              <w:tab/>
              <w:t>simple document</w:t>
            </w:r>
          </w:p>
        </w:tc>
        <w:tc>
          <w:tcPr>
            <w:tcW w:w="1560" w:type="dxa"/>
          </w:tcPr>
          <w:p>
            <w:pPr>
              <w:pStyle w:val="yTableNAm"/>
            </w:pPr>
            <w:r>
              <w:rPr>
                <w:szCs w:val="22"/>
              </w:rPr>
              <w:t>194.00</w:t>
            </w:r>
          </w:p>
        </w:tc>
      </w:tr>
      <w:tr>
        <w:tc>
          <w:tcPr>
            <w:tcW w:w="5790" w:type="dxa"/>
          </w:tcPr>
          <w:p>
            <w:pPr>
              <w:pStyle w:val="yTableNAm"/>
              <w:ind w:left="578" w:hanging="578"/>
            </w:pPr>
            <w:r>
              <w:tab/>
              <w:t>(b)</w:t>
            </w:r>
            <w:r>
              <w:tab/>
              <w:t>moderate document</w:t>
            </w:r>
          </w:p>
        </w:tc>
        <w:tc>
          <w:tcPr>
            <w:tcW w:w="1560" w:type="dxa"/>
          </w:tcPr>
          <w:p>
            <w:pPr>
              <w:pStyle w:val="yTableNAm"/>
            </w:pPr>
            <w:r>
              <w:rPr>
                <w:szCs w:val="22"/>
              </w:rPr>
              <w:t>743.00</w:t>
            </w:r>
          </w:p>
        </w:tc>
      </w:tr>
      <w:tr>
        <w:tc>
          <w:tcPr>
            <w:tcW w:w="5790" w:type="dxa"/>
          </w:tcPr>
          <w:p>
            <w:pPr>
              <w:pStyle w:val="yTableNAm"/>
              <w:ind w:left="578" w:hanging="578"/>
            </w:pPr>
            <w:r>
              <w:tab/>
              <w:t>(c)</w:t>
            </w:r>
            <w:r>
              <w:tab/>
              <w:t>complex document</w:t>
            </w:r>
          </w:p>
        </w:tc>
        <w:tc>
          <w:tcPr>
            <w:tcW w:w="1560" w:type="dxa"/>
          </w:tcPr>
          <w:p>
            <w:pPr>
              <w:pStyle w:val="yTableNAm"/>
            </w:pPr>
            <w:r>
              <w:rPr>
                <w:szCs w:val="22"/>
              </w:rPr>
              <w:t>1 356.00</w:t>
            </w:r>
          </w:p>
        </w:tc>
      </w:tr>
      <w:tr>
        <w:tc>
          <w:tcPr>
            <w:tcW w:w="5790" w:type="dxa"/>
          </w:tcPr>
          <w:p>
            <w:pPr>
              <w:pStyle w:val="yTableNAm"/>
              <w:ind w:left="578" w:hanging="578"/>
            </w:pPr>
            <w:r>
              <w:t>1A.</w:t>
            </w:r>
            <w:r>
              <w:tab/>
              <w:t>For an application for the issue of a permit under the Act Part 7 Division 5</w:t>
            </w:r>
          </w:p>
        </w:tc>
        <w:tc>
          <w:tcPr>
            <w:tcW w:w="1560" w:type="dxa"/>
          </w:tcPr>
          <w:p>
            <w:pPr>
              <w:pStyle w:val="yTableNAm"/>
            </w:pPr>
            <w:r>
              <w:rPr>
                <w:szCs w:val="22"/>
              </w:rPr>
              <w:t>153.00</w:t>
            </w:r>
          </w:p>
        </w:tc>
      </w:tr>
      <w:tr>
        <w:tc>
          <w:tcPr>
            <w:tcW w:w="7350" w:type="dxa"/>
            <w:gridSpan w:val="2"/>
          </w:tcPr>
          <w:p>
            <w:pPr>
              <w:pStyle w:val="yEdnoteitem"/>
            </w:pPr>
            <w:r>
              <w:t>[2</w:t>
            </w:r>
            <w:r>
              <w:noBreakHyphen/>
              <w:t>4 deleted]</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7350" w:type="dxa"/>
            <w:gridSpan w:val="2"/>
          </w:tcPr>
          <w:p>
            <w:pPr>
              <w:pStyle w:val="yEdnoteitem"/>
            </w:pPr>
            <w:r>
              <w:t>[6 and 7 deleted]</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lastRenderedPageBreak/>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Gazette 16 Jun 2000 p. 2950; 13 Jul 2001 p. 3509; 27 Aug 2002 p. 4355; 30 Jun 2003 p. 2569; 17 Feb 2006 p. 703; 22 Jun 2007 p. 2848; 30 May 2008 p. 2072; 23 Jun 2009 p. 2482; 6 Dec 2011 p. 5131; 13 Oct 2015 p. 4063; 27 Jun 2017 p. 3436; 22 Jun 2018 p. 2182; 18 Jun 2019 p. 2057; SL 2021/103 r. 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71" w:name="_Toc87956879"/>
      <w:bookmarkStart w:id="72" w:name="_Toc87957723"/>
      <w:bookmarkStart w:id="73" w:name="_Toc87968934"/>
      <w:r>
        <w:lastRenderedPageBreak/>
        <w:t>Notes</w:t>
      </w:r>
      <w:bookmarkEnd w:id="71"/>
      <w:bookmarkEnd w:id="72"/>
      <w:bookmarkEnd w:id="73"/>
    </w:p>
    <w:p>
      <w:pPr>
        <w:pStyle w:val="nStatement"/>
      </w:pPr>
      <w:r>
        <w:t xml:space="preserve">This is a compilation of the </w:t>
      </w:r>
      <w:r>
        <w:rPr>
          <w:i/>
          <w:noProof/>
        </w:rPr>
        <w:t>Land Administration Regulations 1998</w:t>
      </w:r>
      <w:r>
        <w:t xml:space="preserve"> and includes amendments made by other written laws. For provisions that have come into operation, and for information about any reprints, see the compilation table.</w:t>
      </w:r>
    </w:p>
    <w:p>
      <w:pPr>
        <w:pStyle w:val="nHeading3"/>
      </w:pPr>
      <w:bookmarkStart w:id="74" w:name="_Toc87968935"/>
      <w:r>
        <w:t>Compilation table</w:t>
      </w:r>
      <w:bookmarkEnd w:id="74"/>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Land Administration Regulations 1998</w:t>
            </w:r>
          </w:p>
        </w:tc>
        <w:tc>
          <w:tcPr>
            <w:tcW w:w="1276" w:type="dxa"/>
            <w:tcBorders>
              <w:top w:val="single" w:sz="8" w:space="0" w:color="auto"/>
            </w:tcBorders>
          </w:tcPr>
          <w:p>
            <w:pPr>
              <w:pStyle w:val="nTable"/>
              <w:spacing w:after="40"/>
            </w:pPr>
            <w:r>
              <w:t>27 Mar 1998 p. 1741</w:t>
            </w:r>
            <w:r>
              <w:noBreakHyphen/>
              <w:t>61</w:t>
            </w:r>
          </w:p>
        </w:tc>
        <w:tc>
          <w:tcPr>
            <w:tcW w:w="2693" w:type="dxa"/>
            <w:tcBorders>
              <w:top w:val="single" w:sz="8" w:space="0" w:color="auto"/>
            </w:tcBorders>
          </w:tcPr>
          <w:p>
            <w:pPr>
              <w:pStyle w:val="nTable"/>
              <w:spacing w:after="40"/>
            </w:pPr>
            <w:r>
              <w:t xml:space="preserve">30 Mar 1998 (see r.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1998</w:t>
            </w:r>
          </w:p>
        </w:tc>
        <w:tc>
          <w:tcPr>
            <w:tcW w:w="1276" w:type="dxa"/>
          </w:tcPr>
          <w:p>
            <w:pPr>
              <w:pStyle w:val="nTable"/>
              <w:spacing w:after="40"/>
            </w:pPr>
            <w:r>
              <w:t>20 Nov 1998 p. 6267</w:t>
            </w:r>
            <w:r>
              <w:noBreakHyphen/>
              <w:t>8</w:t>
            </w:r>
          </w:p>
        </w:tc>
        <w:tc>
          <w:tcPr>
            <w:tcW w:w="2693" w:type="dxa"/>
          </w:tcPr>
          <w:p>
            <w:pPr>
              <w:pStyle w:val="nTable"/>
              <w:spacing w:after="40"/>
            </w:pPr>
            <w:r>
              <w:t>20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Land Administration Amendment Regulations 2000 </w:t>
            </w:r>
          </w:p>
        </w:tc>
        <w:tc>
          <w:tcPr>
            <w:tcW w:w="1276" w:type="dxa"/>
          </w:tcPr>
          <w:p>
            <w:pPr>
              <w:pStyle w:val="nTable"/>
              <w:spacing w:after="40"/>
            </w:pPr>
            <w:r>
              <w:t>16 Jun 2000 p. 2943</w:t>
            </w:r>
            <w:r>
              <w:noBreakHyphen/>
              <w:t>5</w:t>
            </w:r>
          </w:p>
        </w:tc>
        <w:tc>
          <w:tcPr>
            <w:tcW w:w="2693" w:type="dxa"/>
          </w:tcPr>
          <w:p>
            <w:pPr>
              <w:pStyle w:val="nTable"/>
              <w:spacing w:after="40"/>
            </w:pPr>
            <w:r>
              <w:t xml:space="preserve">16 Jun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2000</w:t>
            </w:r>
          </w:p>
        </w:tc>
        <w:tc>
          <w:tcPr>
            <w:tcW w:w="1276" w:type="dxa"/>
          </w:tcPr>
          <w:p>
            <w:pPr>
              <w:pStyle w:val="nTable"/>
              <w:spacing w:after="40"/>
            </w:pPr>
            <w:r>
              <w:t>16 Jun 2000 p. 2950</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2000</w:t>
            </w:r>
          </w:p>
        </w:tc>
        <w:tc>
          <w:tcPr>
            <w:tcW w:w="1276" w:type="dxa"/>
          </w:tcPr>
          <w:p>
            <w:pPr>
              <w:pStyle w:val="nTable"/>
              <w:spacing w:after="40"/>
            </w:pPr>
            <w:r>
              <w:t>15 Dec 2000 p. 7209</w:t>
            </w:r>
            <w:r>
              <w:noBreakHyphen/>
              <w:t>10</w:t>
            </w:r>
          </w:p>
        </w:tc>
        <w:tc>
          <w:tcPr>
            <w:tcW w:w="2693" w:type="dxa"/>
          </w:tcPr>
          <w:p>
            <w:pPr>
              <w:pStyle w:val="nTable"/>
              <w:spacing w:after="40"/>
            </w:pPr>
            <w:r>
              <w:t xml:space="preserve">16 Dec 2000 (see r. 2 and </w:t>
            </w:r>
            <w:r>
              <w:rPr>
                <w:i/>
              </w:rPr>
              <w:t xml:space="preserve">Gazette </w:t>
            </w:r>
            <w:r>
              <w:t>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2001</w:t>
            </w:r>
          </w:p>
        </w:tc>
        <w:tc>
          <w:tcPr>
            <w:tcW w:w="1276" w:type="dxa"/>
          </w:tcPr>
          <w:p>
            <w:pPr>
              <w:pStyle w:val="nTable"/>
              <w:spacing w:after="40"/>
            </w:pPr>
            <w:r>
              <w:t>10 Apr 2001 p. 2073</w:t>
            </w:r>
            <w:r>
              <w:noBreakHyphen/>
              <w:t>4</w:t>
            </w:r>
          </w:p>
        </w:tc>
        <w:tc>
          <w:tcPr>
            <w:tcW w:w="2693" w:type="dxa"/>
          </w:tcPr>
          <w:p>
            <w:pPr>
              <w:pStyle w:val="nTable"/>
              <w:spacing w:after="40"/>
              <w:rPr>
                <w:i/>
              </w:rPr>
            </w:pPr>
            <w:r>
              <w:t xml:space="preserve">11 Apr 2001 (see r. 2 and </w:t>
            </w:r>
            <w:r>
              <w:rPr>
                <w:i/>
              </w:rPr>
              <w:t xml:space="preserve">Gazette </w:t>
            </w:r>
            <w:r>
              <w:t xml:space="preserve"> 10 Apr 2001 p. 2073)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2001</w:t>
            </w:r>
          </w:p>
        </w:tc>
        <w:tc>
          <w:tcPr>
            <w:tcW w:w="1276" w:type="dxa"/>
          </w:tcPr>
          <w:p>
            <w:pPr>
              <w:pStyle w:val="nTable"/>
              <w:spacing w:after="40"/>
            </w:pPr>
            <w:r>
              <w:t>13 Jul 2001 p. 3509</w:t>
            </w:r>
          </w:p>
        </w:tc>
        <w:tc>
          <w:tcPr>
            <w:tcW w:w="2693" w:type="dxa"/>
          </w:tcPr>
          <w:p>
            <w:pPr>
              <w:pStyle w:val="nTable"/>
              <w:spacing w:after="40"/>
            </w:pPr>
            <w:r>
              <w:t>13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2002</w:t>
            </w:r>
          </w:p>
        </w:tc>
        <w:tc>
          <w:tcPr>
            <w:tcW w:w="1276" w:type="dxa"/>
          </w:tcPr>
          <w:p>
            <w:pPr>
              <w:pStyle w:val="nTable"/>
              <w:spacing w:after="40"/>
            </w:pPr>
            <w:r>
              <w:t>27 Aug 2002 p. 4354-5</w:t>
            </w:r>
          </w:p>
        </w:tc>
        <w:tc>
          <w:tcPr>
            <w:tcW w:w="2693" w:type="dxa"/>
          </w:tcPr>
          <w:p>
            <w:pPr>
              <w:pStyle w:val="nTable"/>
              <w:spacing w:after="40"/>
            </w:pPr>
            <w:r>
              <w:t>27 Aug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2003</w:t>
            </w:r>
          </w:p>
        </w:tc>
        <w:tc>
          <w:tcPr>
            <w:tcW w:w="1276" w:type="dxa"/>
          </w:tcPr>
          <w:p>
            <w:pPr>
              <w:pStyle w:val="nTable"/>
              <w:spacing w:after="40"/>
            </w:pPr>
            <w:r>
              <w:t>27 Jun 2003 p. 2395-6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2003</w:t>
            </w:r>
          </w:p>
        </w:tc>
        <w:tc>
          <w:tcPr>
            <w:tcW w:w="1276" w:type="dxa"/>
          </w:tcPr>
          <w:p>
            <w:pPr>
              <w:pStyle w:val="nTable"/>
              <w:spacing w:after="40"/>
            </w:pPr>
            <w:r>
              <w:t>30 Jun 2003 p. 2569</w:t>
            </w:r>
          </w:p>
        </w:tc>
        <w:tc>
          <w:tcPr>
            <w:tcW w:w="2693" w:type="dxa"/>
          </w:tcPr>
          <w:p>
            <w:pPr>
              <w:pStyle w:val="nTable"/>
              <w:spacing w:after="40"/>
            </w:pPr>
            <w:r>
              <w:t>7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2004</w:t>
            </w:r>
          </w:p>
        </w:tc>
        <w:tc>
          <w:tcPr>
            <w:tcW w:w="1276" w:type="dxa"/>
          </w:tcPr>
          <w:p>
            <w:pPr>
              <w:pStyle w:val="nTable"/>
              <w:spacing w:after="40"/>
            </w:pPr>
            <w:r>
              <w:t>5 Mar 2004 p. 699-700</w:t>
            </w:r>
          </w:p>
        </w:tc>
        <w:tc>
          <w:tcPr>
            <w:tcW w:w="2693" w:type="dxa"/>
          </w:tcPr>
          <w:p>
            <w:pPr>
              <w:pStyle w:val="nTable"/>
              <w:spacing w:after="40"/>
            </w:pPr>
            <w:r>
              <w:t>5 Mar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Land Administration Amendment Regulations (No. 2) 2004</w:t>
            </w:r>
            <w:r>
              <w:rPr>
                <w:iCs/>
                <w:vertAlign w:val="superscript"/>
              </w:rPr>
              <w:t> 2</w:t>
            </w:r>
          </w:p>
        </w:tc>
        <w:tc>
          <w:tcPr>
            <w:tcW w:w="1276" w:type="dxa"/>
          </w:tcPr>
          <w:p>
            <w:pPr>
              <w:pStyle w:val="nTable"/>
              <w:spacing w:after="40"/>
            </w:pPr>
            <w:r>
              <w:t>16 Nov 2004 p. 5068</w:t>
            </w:r>
          </w:p>
        </w:tc>
        <w:tc>
          <w:tcPr>
            <w:tcW w:w="2693" w:type="dxa"/>
          </w:tcPr>
          <w:p>
            <w:pPr>
              <w:pStyle w:val="nTable"/>
              <w:spacing w:after="40"/>
            </w:pPr>
            <w:r>
              <w:t>16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5) 2004</w:t>
            </w:r>
          </w:p>
        </w:tc>
        <w:tc>
          <w:tcPr>
            <w:tcW w:w="1276" w:type="dxa"/>
          </w:tcPr>
          <w:p>
            <w:pPr>
              <w:pStyle w:val="nTable"/>
              <w:spacing w:after="40"/>
            </w:pPr>
            <w:r>
              <w:t>24 Nov 2004 p. 5255</w:t>
            </w:r>
            <w:r>
              <w:noBreakHyphen/>
              <w:t>6</w:t>
            </w:r>
          </w:p>
        </w:tc>
        <w:tc>
          <w:tcPr>
            <w:tcW w:w="2693" w:type="dxa"/>
          </w:tcPr>
          <w:p>
            <w:pPr>
              <w:pStyle w:val="nTable"/>
              <w:spacing w:after="40"/>
            </w:pPr>
            <w:r>
              <w:t>24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2006</w:t>
            </w:r>
          </w:p>
        </w:tc>
        <w:tc>
          <w:tcPr>
            <w:tcW w:w="1276" w:type="dxa"/>
          </w:tcPr>
          <w:p>
            <w:pPr>
              <w:pStyle w:val="nTable"/>
              <w:spacing w:after="40"/>
            </w:pPr>
            <w:r>
              <w:t>17 Feb 2006 p. 703</w:t>
            </w:r>
          </w:p>
        </w:tc>
        <w:tc>
          <w:tcPr>
            <w:tcW w:w="2693" w:type="dxa"/>
          </w:tcPr>
          <w:p>
            <w:pPr>
              <w:pStyle w:val="nTable"/>
              <w:spacing w:after="40"/>
            </w:pPr>
            <w:r>
              <w:t>17 Feb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Land Administration Regulations 1998</w:t>
            </w:r>
            <w:r>
              <w:rPr>
                <w:b/>
              </w:rPr>
              <w:t xml:space="preserve"> as at 9 Jun 2006</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Land Administration Amendment Regulations (No. 3) 2006</w:t>
            </w:r>
          </w:p>
        </w:tc>
        <w:tc>
          <w:tcPr>
            <w:tcW w:w="1276" w:type="dxa"/>
          </w:tcPr>
          <w:p>
            <w:pPr>
              <w:pStyle w:val="nTable"/>
              <w:spacing w:after="40"/>
            </w:pPr>
            <w:r>
              <w:t>29 Dec 2006 p. 5896</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2007</w:t>
            </w:r>
          </w:p>
        </w:tc>
        <w:tc>
          <w:tcPr>
            <w:tcW w:w="1276" w:type="dxa"/>
          </w:tcPr>
          <w:p>
            <w:pPr>
              <w:pStyle w:val="nTable"/>
              <w:spacing w:after="40"/>
            </w:pPr>
            <w:r>
              <w:t>22 Jun 2007 p. 2847</w:t>
            </w:r>
            <w:r>
              <w:noBreakHyphen/>
              <w:t>8</w:t>
            </w:r>
          </w:p>
        </w:tc>
        <w:tc>
          <w:tcPr>
            <w:tcW w:w="2693" w:type="dxa"/>
          </w:tcPr>
          <w:p>
            <w:pPr>
              <w:pStyle w:val="nTable"/>
              <w:spacing w:after="40"/>
              <w:rPr>
                <w:snapToGrid w:val="0"/>
              </w:rPr>
            </w:pPr>
            <w:r>
              <w:rPr>
                <w:snapToGrid w:val="0"/>
              </w:rP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Land Administration Amendment Regulations 2008</w:t>
            </w:r>
          </w:p>
        </w:tc>
        <w:tc>
          <w:tcPr>
            <w:tcW w:w="1276" w:type="dxa"/>
          </w:tcPr>
          <w:p>
            <w:pPr>
              <w:pStyle w:val="nTable"/>
              <w:spacing w:after="40"/>
            </w:pPr>
            <w:r>
              <w:t>30 May 2008 p. 2072</w:t>
            </w:r>
          </w:p>
        </w:tc>
        <w:tc>
          <w:tcPr>
            <w:tcW w:w="2693" w:type="dxa"/>
          </w:tcPr>
          <w:p>
            <w:pPr>
              <w:pStyle w:val="nTable"/>
              <w:spacing w:after="40"/>
            </w:pPr>
            <w:r>
              <w:rPr>
                <w:snapToGrid w:val="0"/>
              </w:rPr>
              <w:t>1 Jul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2009</w:t>
            </w:r>
          </w:p>
        </w:tc>
        <w:tc>
          <w:tcPr>
            <w:tcW w:w="1276" w:type="dxa"/>
          </w:tcPr>
          <w:p>
            <w:pPr>
              <w:pStyle w:val="nTable"/>
              <w:spacing w:after="40"/>
            </w:pPr>
            <w:r>
              <w:t>23 Jun 2009 p. 2482</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2009</w:t>
            </w:r>
          </w:p>
        </w:tc>
        <w:tc>
          <w:tcPr>
            <w:tcW w:w="1276" w:type="dxa"/>
          </w:tcPr>
          <w:p>
            <w:pPr>
              <w:pStyle w:val="nTable"/>
              <w:spacing w:after="40"/>
            </w:pPr>
            <w:r>
              <w:t>18 Sep 2009 p. 3619-22</w:t>
            </w:r>
          </w:p>
        </w:tc>
        <w:tc>
          <w:tcPr>
            <w:tcW w:w="2693" w:type="dxa"/>
          </w:tcPr>
          <w:p>
            <w:pPr>
              <w:pStyle w:val="nTable"/>
              <w:spacing w:after="40"/>
              <w:rPr>
                <w:snapToGrid w:val="0"/>
              </w:rPr>
            </w:pPr>
            <w:r>
              <w:rPr>
                <w:snapToGrid w:val="0"/>
              </w:rPr>
              <w:t>r. 1 and 2: 18 Sep 2009 (see r. 2(a));</w:t>
            </w:r>
            <w:r>
              <w:rPr>
                <w:snapToGrid w:val="0"/>
              </w:rPr>
              <w:br/>
              <w:t>Regulations other than r. 1 and 2: 19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2009</w:t>
            </w:r>
          </w:p>
        </w:tc>
        <w:tc>
          <w:tcPr>
            <w:tcW w:w="1276" w:type="dxa"/>
          </w:tcPr>
          <w:p>
            <w:pPr>
              <w:pStyle w:val="nTable"/>
              <w:spacing w:after="40"/>
            </w:pPr>
            <w:r>
              <w:t>24 Dec 2009 p. 5297-8</w:t>
            </w:r>
          </w:p>
        </w:tc>
        <w:tc>
          <w:tcPr>
            <w:tcW w:w="2693" w:type="dxa"/>
          </w:tcPr>
          <w:p>
            <w:pPr>
              <w:pStyle w:val="nTable"/>
              <w:spacing w:after="40"/>
              <w:rPr>
                <w:snapToGrid w:val="0"/>
              </w:rPr>
            </w:pPr>
            <w:r>
              <w:rPr>
                <w:snapToGrid w:val="0"/>
              </w:rPr>
              <w:t>r. 4: 1 Jul 2009 (see r. 2(c));</w:t>
            </w:r>
            <w:r>
              <w:rPr>
                <w:snapToGrid w:val="0"/>
              </w:rPr>
              <w:br/>
              <w:t>r. 1 and 2: 24 Dec 2009 (see r. 2(a));</w:t>
            </w:r>
            <w:r>
              <w:rPr>
                <w:snapToGrid w:val="0"/>
              </w:rPr>
              <w:br/>
              <w:t>r. 3: 25 Dec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2011</w:t>
            </w:r>
          </w:p>
        </w:tc>
        <w:tc>
          <w:tcPr>
            <w:tcW w:w="1276" w:type="dxa"/>
          </w:tcPr>
          <w:p>
            <w:pPr>
              <w:pStyle w:val="nTable"/>
              <w:spacing w:after="40"/>
            </w:pPr>
            <w:r>
              <w:t>6 Dec 2011 p. 5130-1</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(No. 2) 2012</w:t>
            </w:r>
          </w:p>
        </w:tc>
        <w:tc>
          <w:tcPr>
            <w:tcW w:w="1276" w:type="dxa"/>
          </w:tcPr>
          <w:p>
            <w:pPr>
              <w:pStyle w:val="nTable"/>
              <w:spacing w:after="40"/>
            </w:pPr>
            <w:r>
              <w:t>23 Mar 2012 p. 1370</w:t>
            </w:r>
            <w:r>
              <w:noBreakHyphen/>
              <w:t>1</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2012</w:t>
            </w:r>
          </w:p>
        </w:tc>
        <w:tc>
          <w:tcPr>
            <w:tcW w:w="1276" w:type="dxa"/>
            <w:shd w:val="clear" w:color="auto" w:fill="auto"/>
          </w:tcPr>
          <w:p>
            <w:pPr>
              <w:pStyle w:val="nTable"/>
              <w:spacing w:after="40"/>
            </w:pPr>
            <w:r>
              <w:t>6 Jul 2012 p. 3023</w:t>
            </w:r>
            <w:r>
              <w:noBreakHyphen/>
              <w:t>5</w:t>
            </w:r>
          </w:p>
        </w:tc>
        <w:tc>
          <w:tcPr>
            <w:tcW w:w="2693" w:type="dxa"/>
            <w:shd w:val="clear" w:color="auto" w:fill="auto"/>
          </w:tcPr>
          <w:p>
            <w:pPr>
              <w:pStyle w:val="nTable"/>
              <w:spacing w:after="40"/>
              <w:rPr>
                <w:snapToGrid w:val="0"/>
              </w:rPr>
            </w:pPr>
            <w:r>
              <w:rPr>
                <w:snapToGrid w:val="0"/>
              </w:rPr>
              <w:t>r. 1 and 2: 6 Jul 2012 (see r. 2(a));</w:t>
            </w:r>
            <w:r>
              <w:rPr>
                <w:snapToGrid w:val="0"/>
              </w:rPr>
              <w:br/>
              <w:t>Regulations other than r. 1 and 2: 7 Jul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rPr>
              <w:t xml:space="preserve">Reprint 4: The </w:t>
            </w:r>
            <w:r>
              <w:rPr>
                <w:b/>
                <w:i/>
              </w:rPr>
              <w:t>Land Administration Regulations 1998</w:t>
            </w:r>
            <w:r>
              <w:rPr>
                <w:b/>
              </w:rPr>
              <w:t xml:space="preserve"> as at 17 Aug 2012</w:t>
            </w:r>
            <w:r>
              <w:b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2013</w:t>
            </w:r>
          </w:p>
        </w:tc>
        <w:tc>
          <w:tcPr>
            <w:tcW w:w="1276" w:type="dxa"/>
            <w:shd w:val="clear" w:color="auto" w:fill="auto"/>
          </w:tcPr>
          <w:p>
            <w:pPr>
              <w:pStyle w:val="nTable"/>
              <w:spacing w:after="40"/>
            </w:pPr>
            <w:r>
              <w:t>16 Jul 2013 p. 3247</w:t>
            </w:r>
            <w:r>
              <w:noBreakHyphen/>
              <w:t>8</w:t>
            </w:r>
          </w:p>
        </w:tc>
        <w:tc>
          <w:tcPr>
            <w:tcW w:w="2693" w:type="dxa"/>
            <w:shd w:val="clear" w:color="auto" w:fill="auto"/>
          </w:tcPr>
          <w:p>
            <w:pPr>
              <w:pStyle w:val="nTable"/>
              <w:spacing w:after="40"/>
              <w:rPr>
                <w:snapToGrid w:val="0"/>
              </w:rPr>
            </w:pPr>
            <w:r>
              <w:rPr>
                <w:snapToGrid w:val="0"/>
              </w:rPr>
              <w:t>r. 1 and 2: 16 Jul 2013 (see r. 2(a));</w:t>
            </w:r>
            <w:r>
              <w:rPr>
                <w:snapToGrid w:val="0"/>
              </w:rPr>
              <w:br/>
              <w:t>Regulations other than r. 1 and 2: 17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lastRenderedPageBreak/>
              <w:t>Land Administration Amendment Regulations 2015</w:t>
            </w:r>
          </w:p>
        </w:tc>
        <w:tc>
          <w:tcPr>
            <w:tcW w:w="1276" w:type="dxa"/>
            <w:shd w:val="clear" w:color="auto" w:fill="auto"/>
          </w:tcPr>
          <w:p>
            <w:pPr>
              <w:pStyle w:val="nTable"/>
              <w:keepNext/>
              <w:spacing w:after="40"/>
            </w:pPr>
            <w:r>
              <w:t>13 Oct 2015 p. 4062</w:t>
            </w:r>
            <w:r>
              <w:noBreakHyphen/>
              <w:t>3</w:t>
            </w:r>
          </w:p>
        </w:tc>
        <w:tc>
          <w:tcPr>
            <w:tcW w:w="2693" w:type="dxa"/>
            <w:shd w:val="clear" w:color="auto" w:fill="auto"/>
          </w:tcPr>
          <w:p>
            <w:pPr>
              <w:pStyle w:val="nTable"/>
              <w:keepNext/>
              <w:spacing w:after="40"/>
              <w:rPr>
                <w:snapToGrid w:val="0"/>
              </w:rPr>
            </w:pPr>
            <w:r>
              <w:rPr>
                <w:bCs/>
                <w:snapToGrid w:val="0"/>
                <w:spacing w:val="-2"/>
              </w:rPr>
              <w:t>r. 1 and 2: 13 Oct 2015 (see r. 2(a));</w:t>
            </w:r>
            <w:r>
              <w:rPr>
                <w:bCs/>
                <w:snapToGrid w:val="0"/>
                <w:spacing w:val="-2"/>
              </w:rPr>
              <w:br/>
              <w:t>Regulations other than r. 1 and 2: 14 Oct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2016</w:t>
            </w:r>
          </w:p>
        </w:tc>
        <w:tc>
          <w:tcPr>
            <w:tcW w:w="1276" w:type="dxa"/>
            <w:shd w:val="clear" w:color="auto" w:fill="auto"/>
          </w:tcPr>
          <w:p>
            <w:pPr>
              <w:pStyle w:val="nTable"/>
              <w:spacing w:after="40"/>
            </w:pPr>
            <w:r>
              <w:t>6 Sep 2016 p. 3825-6</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 xml:space="preserve">Regulations other than r. 1 and 2: 7 Sep 2016 (see r. 2(b) and </w:t>
            </w:r>
            <w:r>
              <w:rPr>
                <w:bCs/>
                <w:i/>
                <w:snapToGrid w:val="0"/>
                <w:spacing w:val="-2"/>
              </w:rPr>
              <w:t xml:space="preserve">Gazette </w:t>
            </w:r>
            <w:r>
              <w:rPr>
                <w:bCs/>
                <w:snapToGrid w:val="0"/>
                <w:spacing w:val="-2"/>
              </w:rPr>
              <w:t>6 Sep 2016 p. 3826)</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Land Administration Regulations Amendment Regulations 2016 </w:t>
            </w:r>
            <w:r>
              <w:t>Pt. 2</w:t>
            </w:r>
          </w:p>
        </w:tc>
        <w:tc>
          <w:tcPr>
            <w:tcW w:w="1276" w:type="dxa"/>
            <w:shd w:val="clear" w:color="auto" w:fill="auto"/>
          </w:tcPr>
          <w:p>
            <w:pPr>
              <w:pStyle w:val="nTable"/>
              <w:spacing w:after="40"/>
            </w:pPr>
            <w:r>
              <w:t>6 Sep 2016 p. 3826-7</w:t>
            </w:r>
          </w:p>
        </w:tc>
        <w:tc>
          <w:tcPr>
            <w:tcW w:w="2693" w:type="dxa"/>
            <w:shd w:val="clear" w:color="auto" w:fill="auto"/>
          </w:tcPr>
          <w:p>
            <w:pPr>
              <w:pStyle w:val="nTable"/>
              <w:spacing w:after="40"/>
              <w:rPr>
                <w:bCs/>
                <w:snapToGrid w:val="0"/>
                <w:spacing w:val="-2"/>
              </w:rPr>
            </w:pPr>
            <w:r>
              <w:rPr>
                <w:bCs/>
                <w:snapToGrid w:val="0"/>
                <w:spacing w:val="-2"/>
              </w:rPr>
              <w:t>7 Sep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(No. 2) 2017</w:t>
            </w:r>
          </w:p>
        </w:tc>
        <w:tc>
          <w:tcPr>
            <w:tcW w:w="1276" w:type="dxa"/>
            <w:shd w:val="clear" w:color="auto" w:fill="auto"/>
          </w:tcPr>
          <w:p>
            <w:pPr>
              <w:pStyle w:val="nTable"/>
              <w:spacing w:after="40"/>
            </w:pPr>
            <w:r>
              <w:t>27 Jun 2017 p. 3435</w:t>
            </w:r>
            <w:r>
              <w:noBreakHyphen/>
              <w:t>6</w:t>
            </w:r>
          </w:p>
        </w:tc>
        <w:tc>
          <w:tcPr>
            <w:tcW w:w="2693" w:type="dxa"/>
            <w:shd w:val="clear" w:color="auto" w:fill="auto"/>
          </w:tcPr>
          <w:p>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2018</w:t>
            </w:r>
          </w:p>
        </w:tc>
        <w:tc>
          <w:tcPr>
            <w:tcW w:w="1276" w:type="dxa"/>
            <w:shd w:val="clear" w:color="auto" w:fill="auto"/>
          </w:tcPr>
          <w:p>
            <w:pPr>
              <w:pStyle w:val="nTable"/>
              <w:spacing w:after="40"/>
            </w:pPr>
            <w:r>
              <w:t>22 Jun 2018 p. 2181</w:t>
            </w:r>
            <w:r>
              <w:noBreakHyphen/>
              <w:t>2</w:t>
            </w:r>
          </w:p>
        </w:tc>
        <w:tc>
          <w:tcPr>
            <w:tcW w:w="2693" w:type="dxa"/>
            <w:shd w:val="clear" w:color="auto" w:fill="auto"/>
          </w:tcPr>
          <w:p>
            <w:pPr>
              <w:pStyle w:val="nTable"/>
              <w:spacing w:after="40"/>
              <w:rPr>
                <w:bCs/>
                <w:snapToGrid w:val="0"/>
                <w:spacing w:val="-2"/>
              </w:rPr>
            </w:pPr>
            <w:r>
              <w:rPr>
                <w:bCs/>
                <w:snapToGrid w:val="0"/>
                <w:spacing w:val="-2"/>
              </w:rPr>
              <w:t>r. 1 and 2: 22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2019</w:t>
            </w:r>
          </w:p>
        </w:tc>
        <w:tc>
          <w:tcPr>
            <w:tcW w:w="1276" w:type="dxa"/>
            <w:shd w:val="clear" w:color="auto" w:fill="auto"/>
          </w:tcPr>
          <w:p>
            <w:pPr>
              <w:pStyle w:val="nTable"/>
              <w:spacing w:after="40"/>
            </w:pPr>
            <w:r>
              <w:t>18 Jun 2019 p. 2056</w:t>
            </w:r>
            <w:r>
              <w:noBreakHyphen/>
              <w:t>7</w:t>
            </w:r>
          </w:p>
        </w:tc>
        <w:tc>
          <w:tcPr>
            <w:tcW w:w="2693" w:type="dxa"/>
            <w:shd w:val="clear" w:color="auto" w:fill="auto"/>
          </w:tcPr>
          <w:p>
            <w:pPr>
              <w:pStyle w:val="nTable"/>
              <w:spacing w:after="40"/>
              <w:rPr>
                <w:bCs/>
                <w:snapToGrid w:val="0"/>
                <w:spacing w:val="-2"/>
              </w:rPr>
            </w:pPr>
            <w:r>
              <w:rPr>
                <w:bCs/>
                <w:snapToGrid w:val="0"/>
                <w:spacing w:val="-2"/>
              </w:rPr>
              <w:t>r. 1 and 2: 18 Jun 2018 (see r. 2(a));</w:t>
            </w:r>
            <w:r>
              <w:rPr>
                <w:bCs/>
                <w:snapToGrid w:val="0"/>
                <w:spacing w:val="-2"/>
              </w:rPr>
              <w:br/>
              <w:t>Regulations other than r. 1 and 2: 1 Jul 2019 (see r. 2(b))</w:t>
            </w:r>
          </w:p>
        </w:tc>
      </w:tr>
      <w:tr>
        <w:tc>
          <w:tcPr>
            <w:tcW w:w="3119" w:type="dxa"/>
            <w:tcBorders>
              <w:top w:val="nil"/>
              <w:bottom w:val="nil"/>
            </w:tcBorders>
            <w:shd w:val="clear" w:color="auto" w:fill="auto"/>
          </w:tcPr>
          <w:p>
            <w:pPr>
              <w:pStyle w:val="nTable"/>
              <w:spacing w:after="40"/>
              <w:rPr>
                <w:i/>
              </w:rPr>
            </w:pPr>
            <w:r>
              <w:rPr>
                <w:i/>
              </w:rPr>
              <w:t>Land Administration Amendment Regulations (No. 2) 2019</w:t>
            </w:r>
          </w:p>
        </w:tc>
        <w:tc>
          <w:tcPr>
            <w:tcW w:w="1276" w:type="dxa"/>
            <w:tcBorders>
              <w:top w:val="nil"/>
              <w:bottom w:val="nil"/>
            </w:tcBorders>
            <w:shd w:val="clear" w:color="auto" w:fill="auto"/>
          </w:tcPr>
          <w:p>
            <w:pPr>
              <w:pStyle w:val="nTable"/>
              <w:spacing w:after="40"/>
            </w:pPr>
            <w:r>
              <w:t>28 Jun 2019 p. 2484</w:t>
            </w:r>
            <w:r>
              <w:noBreakHyphen/>
              <w:t>5 </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Jun 2019</w:t>
            </w:r>
            <w:r>
              <w:rPr>
                <w:bCs/>
                <w:snapToGrid w:val="0"/>
                <w:spacing w:val="-2"/>
              </w:rPr>
              <w:t xml:space="preserve"> (see r. 2(a));</w:t>
            </w:r>
            <w:r>
              <w:rPr>
                <w:bCs/>
                <w:snapToGrid w:val="0"/>
                <w:spacing w:val="-2"/>
              </w:rPr>
              <w:br/>
              <w:t>Regulations other than r. 1 and 2: 1 Jul 2019 (see r. 2(b))</w:t>
            </w:r>
          </w:p>
        </w:tc>
      </w:tr>
      <w:tr>
        <w:tc>
          <w:tcPr>
            <w:tcW w:w="3119" w:type="dxa"/>
            <w:tcBorders>
              <w:top w:val="nil"/>
              <w:bottom w:val="nil"/>
            </w:tcBorders>
            <w:shd w:val="clear" w:color="auto" w:fill="auto"/>
          </w:tcPr>
          <w:p>
            <w:pPr>
              <w:pStyle w:val="nTable"/>
              <w:spacing w:after="40"/>
              <w:rPr>
                <w:i/>
              </w:rPr>
            </w:pPr>
            <w:r>
              <w:rPr>
                <w:i/>
              </w:rPr>
              <w:t>Land Regulations Amendment (Geocentric Datum) Regulations 2020</w:t>
            </w:r>
            <w:r>
              <w:rPr>
                <w:noProof/>
              </w:rPr>
              <w:t xml:space="preserve"> Pt. 2</w:t>
            </w:r>
          </w:p>
        </w:tc>
        <w:tc>
          <w:tcPr>
            <w:tcW w:w="1276" w:type="dxa"/>
            <w:tcBorders>
              <w:top w:val="nil"/>
              <w:bottom w:val="nil"/>
            </w:tcBorders>
            <w:shd w:val="clear" w:color="auto" w:fill="auto"/>
          </w:tcPr>
          <w:p>
            <w:pPr>
              <w:pStyle w:val="nTable"/>
              <w:spacing w:after="40"/>
            </w:pPr>
            <w:r>
              <w:t>SL 2020/64 22 May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2020 (see r. 2(b))</w:t>
            </w:r>
          </w:p>
        </w:tc>
      </w:tr>
      <w:tr>
        <w:tc>
          <w:tcPr>
            <w:tcW w:w="3119" w:type="dxa"/>
            <w:tcBorders>
              <w:top w:val="nil"/>
              <w:bottom w:val="nil"/>
            </w:tcBorders>
            <w:shd w:val="clear" w:color="auto" w:fill="auto"/>
          </w:tcPr>
          <w:p>
            <w:pPr>
              <w:pStyle w:val="nTable"/>
              <w:spacing w:after="40"/>
              <w:rPr>
                <w:i/>
              </w:rPr>
            </w:pPr>
            <w:r>
              <w:rPr>
                <w:i/>
              </w:rPr>
              <w:t>Land Administration Amendment Regulations 2021</w:t>
            </w:r>
          </w:p>
        </w:tc>
        <w:tc>
          <w:tcPr>
            <w:tcW w:w="1276" w:type="dxa"/>
            <w:tcBorders>
              <w:top w:val="nil"/>
              <w:bottom w:val="nil"/>
            </w:tcBorders>
            <w:shd w:val="clear" w:color="auto" w:fill="auto"/>
          </w:tcPr>
          <w:p>
            <w:pPr>
              <w:pStyle w:val="nTable"/>
              <w:spacing w:after="40"/>
            </w:pPr>
            <w:r>
              <w:t>SL 2021/103 29 Jun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29 Jun 2021</w:t>
            </w:r>
            <w:r>
              <w:rPr>
                <w:bCs/>
                <w:snapToGrid w:val="0"/>
                <w:spacing w:val="-2"/>
              </w:rPr>
              <w:t xml:space="preserve"> (see r. 2(a));</w:t>
            </w:r>
            <w:r>
              <w:rPr>
                <w:bCs/>
                <w:snapToGrid w:val="0"/>
                <w:spacing w:val="-2"/>
              </w:rPr>
              <w:br/>
              <w:t>Regulations other than r. 1 and 2: 1 Jul 2021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rPr>
                <w:i/>
              </w:rPr>
            </w:pPr>
            <w:r>
              <w:rPr>
                <w:i/>
              </w:rPr>
              <w:t>Land Administration Amendment Regulations (No. 2) 2021</w:t>
            </w:r>
          </w:p>
        </w:tc>
        <w:tc>
          <w:tcPr>
            <w:tcW w:w="1276" w:type="dxa"/>
            <w:tcBorders>
              <w:bottom w:val="single" w:sz="4" w:space="0" w:color="auto"/>
            </w:tcBorders>
            <w:shd w:val="clear" w:color="auto" w:fill="auto"/>
          </w:tcPr>
          <w:p>
            <w:pPr>
              <w:pStyle w:val="nTable"/>
              <w:spacing w:after="40"/>
            </w:pPr>
            <w:r>
              <w:t>SL 2021/189 19 Nov 2021</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r. 1 and 2: 19 Nov 2021 (see r. 2(a));</w:t>
            </w:r>
            <w:r>
              <w:rPr>
                <w:bCs/>
                <w:snapToGrid w:val="0"/>
                <w:spacing w:val="-2"/>
              </w:rPr>
              <w:br/>
              <w:t>Regulations other than r. 1 and 2: 20 Nov 2021 (see r. 2(b))</w:t>
            </w:r>
          </w:p>
        </w:tc>
      </w:tr>
    </w:tbl>
    <w:p>
      <w:pPr>
        <w:pStyle w:val="nHeading3"/>
      </w:pPr>
      <w:bookmarkStart w:id="75" w:name="_Toc87968936"/>
      <w:r>
        <w:lastRenderedPageBreak/>
        <w:t>Other notes</w:t>
      </w:r>
      <w:bookmarkEnd w:id="75"/>
    </w:p>
    <w:p>
      <w:pPr>
        <w:pStyle w:val="nNote"/>
        <w:keepNext/>
      </w:pPr>
      <w:r>
        <w:rPr>
          <w:vertAlign w:val="superscript"/>
        </w:rPr>
        <w:t>1</w:t>
      </w:r>
      <w:r>
        <w:tab/>
        <w:t xml:space="preserve">Repealed by the </w:t>
      </w:r>
      <w:r>
        <w:rPr>
          <w:i/>
          <w:iCs/>
        </w:rPr>
        <w:t>Planning and Development (Consequential and Transitional Provisions) Act 2005</w:t>
      </w:r>
      <w:r>
        <w:t>.</w:t>
      </w:r>
    </w:p>
    <w:p>
      <w:pPr>
        <w:pStyle w:val="nNote"/>
      </w:pPr>
      <w:r>
        <w:rPr>
          <w:vertAlign w:val="superscript"/>
        </w:rPr>
        <w:t>2</w:t>
      </w:r>
      <w:r>
        <w:tab/>
        <w:t xml:space="preserve">Published again in </w:t>
      </w:r>
      <w:r>
        <w:rPr>
          <w:i/>
          <w:iCs/>
        </w:rPr>
        <w:t>Gazette</w:t>
      </w:r>
      <w:r>
        <w:t xml:space="preserve"> 19 Nov 2004 p. 5081 but amendment of 19 Nov 2004 has no effect.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77" w:name="_Toc87968937"/>
      <w:r>
        <w:rPr>
          <w:sz w:val="28"/>
        </w:rPr>
        <w:lastRenderedPageBreak/>
        <w:t>Defined terms</w:t>
      </w:r>
      <w:bookmarkEnd w:id="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2014 determined rent</w:t>
      </w:r>
      <w:r>
        <w:tab/>
        <w:t>15(2)</w:t>
      </w:r>
    </w:p>
    <w:p>
      <w:pPr>
        <w:pStyle w:val="DefinedTerms"/>
      </w:pPr>
      <w:r>
        <w:t>2017 Determination</w:t>
      </w:r>
      <w:r>
        <w:tab/>
        <w:t>17A(1)</w:t>
      </w:r>
    </w:p>
    <w:p>
      <w:pPr>
        <w:pStyle w:val="DefinedTerms"/>
      </w:pPr>
      <w:r>
        <w:t>2019 determined rent</w:t>
      </w:r>
      <w:r>
        <w:tab/>
        <w:t>15(1)</w:t>
      </w:r>
    </w:p>
    <w:p>
      <w:pPr>
        <w:pStyle w:val="DefinedTerms"/>
      </w:pPr>
      <w:r>
        <w:t>authorised survey</w:t>
      </w:r>
      <w:r>
        <w:tab/>
        <w:t>18</w:t>
      </w:r>
    </w:p>
    <w:p>
      <w:pPr>
        <w:pStyle w:val="DefinedTerms"/>
      </w:pPr>
      <w:r>
        <w:t>Crown land transaction</w:t>
      </w:r>
      <w:r>
        <w:tab/>
        <w:t>3A(3)</w:t>
      </w:r>
    </w:p>
    <w:p>
      <w:pPr>
        <w:pStyle w:val="DefinedTerms"/>
      </w:pPr>
      <w:r>
        <w:t>departmental surveyor</w:t>
      </w:r>
      <w:r>
        <w:tab/>
        <w:t>18</w:t>
      </w:r>
    </w:p>
    <w:p>
      <w:pPr>
        <w:pStyle w:val="DefinedTerms"/>
      </w:pPr>
      <w:r>
        <w:t>Geocentric Datum of Australia 2020</w:t>
      </w:r>
      <w:r>
        <w:tab/>
        <w:t>17A(1)</w:t>
      </w:r>
    </w:p>
    <w:p>
      <w:pPr>
        <w:pStyle w:val="DefinedTerms"/>
      </w:pPr>
      <w:r>
        <w:t>Jolimont land</w:t>
      </w:r>
      <w:r>
        <w:tab/>
        <w:t>17E(1)</w:t>
      </w:r>
    </w:p>
    <w:p>
      <w:pPr>
        <w:pStyle w:val="DefinedTerms"/>
      </w:pPr>
      <w:r>
        <w:t>Knutsford land</w:t>
      </w:r>
      <w:r>
        <w:tab/>
        <w:t>17E(1)</w:t>
      </w:r>
    </w:p>
    <w:p>
      <w:pPr>
        <w:pStyle w:val="DefinedTerms"/>
      </w:pPr>
      <w:r>
        <w:t>marine navigational aid</w:t>
      </w:r>
      <w:r>
        <w:tab/>
        <w:t>3(1)</w:t>
      </w:r>
    </w:p>
    <w:p>
      <w:pPr>
        <w:pStyle w:val="DefinedTerms"/>
      </w:pPr>
      <w:r>
        <w:t>member</w:t>
      </w:r>
      <w:r>
        <w:tab/>
        <w:t>24</w:t>
      </w:r>
    </w:p>
    <w:p>
      <w:pPr>
        <w:pStyle w:val="DefinedTerms"/>
      </w:pPr>
      <w:r>
        <w:t>Mosman Park land</w:t>
      </w:r>
      <w:r>
        <w:tab/>
        <w:t>17E(1)</w:t>
      </w:r>
    </w:p>
    <w:p>
      <w:pPr>
        <w:pStyle w:val="DefinedTerms"/>
      </w:pPr>
      <w:r>
        <w:t>Narrogin land</w:t>
      </w:r>
      <w:r>
        <w:tab/>
        <w:t>17E(1)</w:t>
      </w:r>
    </w:p>
    <w:p>
      <w:pPr>
        <w:pStyle w:val="DefinedTerms"/>
      </w:pPr>
      <w:r>
        <w:t>other joint venturer</w:t>
      </w:r>
      <w:r>
        <w:tab/>
        <w:t>13(1)</w:t>
      </w:r>
    </w:p>
    <w:p>
      <w:pPr>
        <w:pStyle w:val="DefinedTerms"/>
      </w:pPr>
      <w:r>
        <w:t>panel</w:t>
      </w:r>
      <w:r>
        <w:tab/>
        <w:t>24</w:t>
      </w:r>
    </w:p>
    <w:p>
      <w:pPr>
        <w:pStyle w:val="DefinedTerms"/>
      </w:pPr>
      <w:r>
        <w:t>relevant matter</w:t>
      </w:r>
      <w:r>
        <w:tab/>
        <w:t>24</w:t>
      </w:r>
    </w:p>
    <w:p>
      <w:pPr>
        <w:pStyle w:val="DefinedTerms"/>
      </w:pPr>
      <w:r>
        <w:t>subject land</w:t>
      </w:r>
      <w:r>
        <w:tab/>
        <w:t>5, 6(1), 7</w:t>
      </w:r>
    </w:p>
    <w:p>
      <w:pPr>
        <w:pStyle w:val="DefinedTerms"/>
      </w:pPr>
      <w:r>
        <w:t>survey</w:t>
      </w:r>
      <w:r>
        <w:tab/>
        <w:t>18</w:t>
      </w:r>
    </w:p>
    <w:p>
      <w:pPr>
        <w:pStyle w:val="DefinedTerms"/>
      </w:pPr>
      <w:r>
        <w:t>survey mark</w:t>
      </w:r>
      <w:r>
        <w:tab/>
        <w:t>3(1)</w:t>
      </w:r>
    </w:p>
    <w:p>
      <w:pPr>
        <w:pStyle w:val="DefinedTerms"/>
      </w:pPr>
      <w:r>
        <w:t>surveyor at fault</w:t>
      </w:r>
      <w:r>
        <w:tab/>
        <w:t>20(2)</w:t>
      </w:r>
    </w:p>
    <w:p>
      <w:pPr>
        <w:pStyle w:val="DefinedTerms"/>
      </w:pPr>
      <w:r>
        <w:t>telecommunications network</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Nov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Nov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xxxv</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0" w:name="Schedule"/>
    <w:bookmarkEnd w:id="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78" w:name="DefinedTerms"/>
    <w:bookmarkEnd w:id="7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 w:name="Coversheet"/>
    <w:bookmarkEnd w:id="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3E85EA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16120520"/>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 w:name="WAFER_20151012105805" w:val="RemoveTocBookmarks,RemoveUnusedBookmarks,RemoveLanguageTags,UsedStyles,ResetPageSize"/>
    <w:docVar w:name="WAFER_20151012105805_GUID" w:val="f9b2431f-818c-454c-805a-32cf3b59d1ec"/>
    <w:docVar w:name="WAFER_20151106090453" w:val="UpdateStyles,UsedStyles"/>
    <w:docVar w:name="WAFER_20151106090453_GUID" w:val="51312c52-cbee-425a-aafc-a7df4c44b9a3"/>
    <w:docVar w:name="WAFER_20180627110053" w:val="RemoveTocBookmarks,RemoveUnusedBookmarks,RemoveLanguageTags,UsedStyles,ResetPageSize"/>
    <w:docVar w:name="WAFER_20180627110053_GUID" w:val="66c3aa6d-d975-41fb-97af-6e82c13caf23"/>
    <w:docVar w:name="WAFER_20200521165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1165845_GUID" w:val="de90559b-f10d-4dc1-8817-9c9f6e38c7be"/>
    <w:docVar w:name="WAFER_202006161555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55537_GUID" w:val="e867e31a-f451-4a86-bd3e-820a479c4689"/>
    <w:docVar w:name="WAFER_2021062809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92210_GUID" w:val="664271a1-3af9-46f7-ab57-12dc86028828"/>
    <w:docVar w:name="WAFER_20211116120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6120520_GUID" w:val="668d48cd-010c-4ed4-a343-3f606c09f3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5:docId w15:val="{62E0E769-FF61-42EA-868D-EFA76E74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9060</Words>
  <Characters>43489</Characters>
  <Application>Microsoft Office Word</Application>
  <DocSecurity>0</DocSecurity>
  <Lines>1359</Lines>
  <Paragraphs>772</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51777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1998 - 04-l0-00</dc:title>
  <dc:subject/>
  <dc:creator/>
  <cp:keywords/>
  <dc:description/>
  <cp:lastModifiedBy>Master Repository Process</cp:lastModifiedBy>
  <cp:revision>4</cp:revision>
  <cp:lastPrinted>2019-06-28T02:23:00Z</cp:lastPrinted>
  <dcterms:created xsi:type="dcterms:W3CDTF">2021-11-18T06:53:00Z</dcterms:created>
  <dcterms:modified xsi:type="dcterms:W3CDTF">2021-11-18T06:53:00Z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DocumentType">
    <vt:lpwstr>Reg</vt:lpwstr>
  </property>
  <property fmtid="{D5CDD505-2E9C-101B-9397-08002B2CF9AE}" pid="4" name="OwlsUID">
    <vt:i4>47</vt:i4>
  </property>
  <property fmtid="{D5CDD505-2E9C-101B-9397-08002B2CF9AE}" pid="5" name="ReprintNo">
    <vt:lpwstr>4</vt:lpwstr>
  </property>
  <property fmtid="{D5CDD505-2E9C-101B-9397-08002B2CF9AE}" pid="6" name="ReprintedAsAt">
    <vt:filetime>2012-08-16T16:00:00Z</vt:filetime>
  </property>
  <property fmtid="{D5CDD505-2E9C-101B-9397-08002B2CF9AE}" pid="7" name="AsAtDate">
    <vt:lpwstr>20 Nov 2021</vt:lpwstr>
  </property>
  <property fmtid="{D5CDD505-2E9C-101B-9397-08002B2CF9AE}" pid="8" name="Suffix">
    <vt:lpwstr>04-l0-00</vt:lpwstr>
  </property>
  <property fmtid="{D5CDD505-2E9C-101B-9397-08002B2CF9AE}" pid="9" name="CommencementDate">
    <vt:lpwstr>20211120</vt:lpwstr>
  </property>
</Properties>
</file>