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Criminal Code Act Compilation Act 1913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rPr>
          <w:noProof/>
        </w:rPr>
        <w:t>Criminal Code Act Compilation Act 1913</w:t>
      </w:r>
    </w:p>
    <w:p>
      <w:pPr>
        <w:pStyle w:val="Arrangement"/>
      </w:pPr>
      <w:r>
        <w:t>Contents</w:t>
      </w:r>
    </w:p>
    <w:p>
      <w:pPr>
        <w:pStyle w:val="TOC4"/>
        <w:tabs>
          <w:tab w:val="right" w:pos="6840"/>
        </w:tabs>
        <w:spacing w:before="400"/>
        <w:ind w:left="1440" w:hanging="839"/>
        <w:rPr>
          <w:b w:val="0"/>
          <w:bCs/>
        </w:rPr>
      </w:pPr>
      <w:r>
        <w:tab/>
      </w:r>
      <w:r>
        <w:rPr>
          <w:b w:val="0"/>
          <w:bCs/>
        </w:rPr>
        <w:t>Preamble</w:t>
      </w:r>
      <w:r>
        <w:rPr>
          <w:b w:val="0"/>
          <w:bCs/>
        </w:rPr>
        <w:tab/>
        <w:t>2</w:t>
      </w:r>
    </w:p>
    <w:p>
      <w:pPr>
        <w:pStyle w:val="TOC4"/>
        <w:tabs>
          <w:tab w:val="right" w:pos="6840"/>
        </w:tabs>
        <w:spacing w:before="40" w:after="0"/>
        <w:ind w:left="1440" w:hanging="839"/>
        <w:rPr>
          <w:b w:val="0"/>
          <w:bCs/>
        </w:rPr>
      </w:pPr>
      <w:r>
        <w:rPr>
          <w:b w:val="0"/>
          <w:bCs/>
        </w:rPr>
        <w:t>1.</w:t>
      </w:r>
      <w:r>
        <w:rPr>
          <w:b w:val="0"/>
          <w:bCs/>
        </w:rPr>
        <w:tab/>
        <w:t>Short title and commencement</w:t>
      </w:r>
      <w:r>
        <w:rPr>
          <w:b w:val="0"/>
          <w:bCs/>
        </w:rPr>
        <w:tab/>
        <w:t>3</w:t>
      </w:r>
    </w:p>
    <w:p>
      <w:pPr>
        <w:pStyle w:val="TOC4"/>
        <w:tabs>
          <w:tab w:val="right" w:pos="6840"/>
        </w:tabs>
        <w:spacing w:before="0" w:after="0"/>
        <w:ind w:left="1440" w:hanging="839"/>
        <w:rPr>
          <w:b w:val="0"/>
          <w:bCs/>
        </w:rPr>
      </w:pPr>
      <w:r>
        <w:rPr>
          <w:b w:val="0"/>
          <w:bCs/>
        </w:rPr>
        <w:t>2.</w:t>
      </w:r>
      <w:r>
        <w:rPr>
          <w:b w:val="0"/>
          <w:bCs/>
        </w:rPr>
        <w:tab/>
        <w:t>Repeal</w:t>
      </w:r>
      <w:r>
        <w:rPr>
          <w:b w:val="0"/>
          <w:bCs/>
        </w:rPr>
        <w:tab/>
        <w:t>3</w:t>
      </w:r>
    </w:p>
    <w:p>
      <w:pPr>
        <w:pStyle w:val="TOC4"/>
        <w:tabs>
          <w:tab w:val="right" w:pos="6840"/>
        </w:tabs>
        <w:spacing w:before="0" w:after="0"/>
        <w:ind w:left="1440" w:hanging="839"/>
        <w:rPr>
          <w:b w:val="0"/>
          <w:bCs/>
        </w:rPr>
      </w:pPr>
      <w:r>
        <w:rPr>
          <w:b w:val="0"/>
          <w:bCs/>
        </w:rPr>
        <w:t>3.</w:t>
      </w:r>
      <w:r>
        <w:rPr>
          <w:b w:val="0"/>
          <w:bCs/>
        </w:rPr>
        <w:tab/>
        <w:t>Matters and things originated under repealed Acts to enure for the purposes of the compiled Act</w:t>
      </w:r>
      <w:r>
        <w:rPr>
          <w:b w:val="0"/>
          <w:bCs/>
        </w:rPr>
        <w:tab/>
        <w:t>3</w:t>
      </w:r>
    </w:p>
    <w:p>
      <w:pPr>
        <w:pStyle w:val="TOC2"/>
        <w:tabs>
          <w:tab w:val="right" w:pos="6240"/>
        </w:tabs>
      </w:pPr>
      <w:r>
        <w:t>Appendix A — Acts and Parts of Act Repealed</w:t>
      </w:r>
    </w:p>
    <w:p>
      <w:pPr>
        <w:pStyle w:val="TOC2"/>
        <w:tabs>
          <w:tab w:val="right" w:pos="6240"/>
        </w:tabs>
        <w:rPr>
          <w:i/>
        </w:rPr>
      </w:pPr>
      <w:r>
        <w:t>Appendix B — </w:t>
      </w:r>
      <w:r>
        <w:rPr>
          <w:i/>
        </w:rPr>
        <w:t>Criminal Code Act 1913</w:t>
      </w:r>
    </w:p>
    <w:p>
      <w:pPr>
        <w:pStyle w:val="TOC4"/>
        <w:tabs>
          <w:tab w:val="right" w:pos="6840"/>
        </w:tabs>
        <w:ind w:left="1440" w:hanging="840"/>
        <w:rPr>
          <w:b w:val="0"/>
          <w:bCs/>
        </w:rPr>
      </w:pPr>
      <w:r>
        <w:tab/>
      </w:r>
      <w:r>
        <w:rPr>
          <w:b w:val="0"/>
          <w:bCs/>
        </w:rPr>
        <w:t>Preamble</w:t>
      </w:r>
      <w:r>
        <w:rPr>
          <w:b w:val="0"/>
          <w:bCs/>
        </w:rPr>
        <w:tab/>
        <w:t>5</w:t>
      </w:r>
    </w:p>
    <w:p>
      <w:pPr>
        <w:pStyle w:val="TOC4"/>
        <w:tabs>
          <w:tab w:val="right" w:pos="6840"/>
        </w:tabs>
        <w:spacing w:before="40" w:after="0"/>
        <w:ind w:left="1440" w:hanging="839"/>
        <w:rPr>
          <w:b w:val="0"/>
          <w:bCs/>
        </w:rPr>
      </w:pPr>
      <w:r>
        <w:rPr>
          <w:b w:val="0"/>
          <w:bCs/>
        </w:rPr>
        <w:t>1.</w:t>
      </w:r>
      <w:r>
        <w:rPr>
          <w:b w:val="0"/>
          <w:bCs/>
        </w:rPr>
        <w:tab/>
        <w:t>Short title</w:t>
      </w:r>
      <w:r>
        <w:rPr>
          <w:b w:val="0"/>
          <w:bCs/>
        </w:rPr>
        <w:tab/>
        <w:t>5</w:t>
      </w:r>
    </w:p>
    <w:p>
      <w:pPr>
        <w:pStyle w:val="TOC4"/>
        <w:tabs>
          <w:tab w:val="right" w:pos="6840"/>
        </w:tabs>
        <w:spacing w:before="0" w:after="0"/>
        <w:ind w:left="1440" w:hanging="839"/>
        <w:rPr>
          <w:b w:val="0"/>
          <w:bCs/>
        </w:rPr>
      </w:pPr>
      <w:r>
        <w:rPr>
          <w:b w:val="0"/>
          <w:bCs/>
        </w:rPr>
        <w:t>2.</w:t>
      </w:r>
      <w:r>
        <w:rPr>
          <w:b w:val="0"/>
          <w:bCs/>
        </w:rPr>
        <w:tab/>
      </w:r>
      <w:r>
        <w:rPr>
          <w:b w:val="0"/>
          <w:bCs/>
          <w:i/>
        </w:rPr>
        <w:t xml:space="preserve">The Criminal Code </w:t>
      </w:r>
      <w:r>
        <w:rPr>
          <w:b w:val="0"/>
          <w:bCs/>
          <w:iCs/>
        </w:rPr>
        <w:t>established</w:t>
      </w:r>
      <w:r>
        <w:rPr>
          <w:b w:val="0"/>
          <w:bCs/>
        </w:rPr>
        <w:tab/>
        <w:t>5</w:t>
      </w:r>
    </w:p>
    <w:p>
      <w:pPr>
        <w:pStyle w:val="TOC4"/>
        <w:tabs>
          <w:tab w:val="right" w:pos="6840"/>
        </w:tabs>
        <w:spacing w:before="0" w:after="0"/>
        <w:ind w:left="1440" w:hanging="839"/>
        <w:rPr>
          <w:b w:val="0"/>
          <w:bCs/>
        </w:rPr>
      </w:pPr>
      <w:r>
        <w:rPr>
          <w:b w:val="0"/>
          <w:bCs/>
        </w:rPr>
        <w:t>3.</w:t>
      </w:r>
      <w:r>
        <w:rPr>
          <w:b w:val="0"/>
          <w:bCs/>
        </w:rPr>
        <w:tab/>
        <w:t>Construction of statutes, statutory rules, and other instruments</w:t>
      </w:r>
      <w:r>
        <w:rPr>
          <w:b w:val="0"/>
          <w:bCs/>
        </w:rPr>
        <w:tab/>
        <w:t>5</w:t>
      </w:r>
    </w:p>
    <w:p>
      <w:pPr>
        <w:pStyle w:val="TOC4"/>
        <w:tabs>
          <w:tab w:val="right" w:pos="6840"/>
        </w:tabs>
        <w:spacing w:before="0" w:after="0"/>
        <w:ind w:left="1440" w:hanging="839"/>
        <w:rPr>
          <w:b w:val="0"/>
          <w:bCs/>
        </w:rPr>
      </w:pPr>
      <w:r>
        <w:rPr>
          <w:b w:val="0"/>
          <w:bCs/>
        </w:rPr>
        <w:t>4.</w:t>
      </w:r>
      <w:r>
        <w:rPr>
          <w:b w:val="0"/>
          <w:bCs/>
        </w:rPr>
        <w:tab/>
        <w:t>Provisions of Code exclusive, with certain exceptions</w:t>
      </w:r>
      <w:r>
        <w:rPr>
          <w:b w:val="0"/>
          <w:bCs/>
        </w:rPr>
        <w:tab/>
        <w:t>6</w:t>
      </w:r>
    </w:p>
    <w:p>
      <w:pPr>
        <w:pStyle w:val="TOC4"/>
        <w:tabs>
          <w:tab w:val="right" w:pos="6840"/>
        </w:tabs>
        <w:spacing w:before="0" w:after="0"/>
        <w:ind w:left="1440" w:hanging="839"/>
        <w:rPr>
          <w:b w:val="0"/>
          <w:bCs/>
        </w:rPr>
      </w:pPr>
      <w:r>
        <w:rPr>
          <w:b w:val="0"/>
          <w:bCs/>
        </w:rPr>
        <w:t>5.</w:t>
      </w:r>
      <w:r>
        <w:rPr>
          <w:b w:val="0"/>
          <w:bCs/>
        </w:rPr>
        <w:tab/>
        <w:t>Civil remedies and saving</w:t>
      </w:r>
      <w:r>
        <w:rPr>
          <w:b w:val="0"/>
          <w:bCs/>
        </w:rPr>
        <w:tab/>
        <w:t>7</w:t>
      </w:r>
    </w:p>
    <w:p>
      <w:pPr>
        <w:pStyle w:val="TOC4"/>
        <w:keepNext w:val="0"/>
        <w:tabs>
          <w:tab w:val="right" w:pos="6840"/>
        </w:tabs>
        <w:spacing w:before="0" w:after="0"/>
        <w:ind w:left="1440" w:hanging="839"/>
      </w:pPr>
      <w:r>
        <w:rPr>
          <w:b w:val="0"/>
          <w:bCs/>
        </w:rPr>
        <w:t>7.</w:t>
      </w:r>
      <w:r>
        <w:rPr>
          <w:b w:val="0"/>
          <w:bCs/>
        </w:rPr>
        <w:tab/>
        <w:t>Contempt of court</w:t>
      </w:r>
      <w:r>
        <w:rPr>
          <w:b w:val="0"/>
          <w:bCs/>
        </w:rPr>
        <w:tab/>
        <w:t>7</w:t>
      </w:r>
    </w:p>
    <w:p>
      <w:pPr>
        <w:pStyle w:val="TOC2"/>
        <w:keepNext w:val="0"/>
        <w:tabs>
          <w:tab w:val="right" w:pos="6240"/>
        </w:tabs>
      </w:pPr>
      <w:r>
        <w:t>Schedule — </w:t>
      </w:r>
      <w:r>
        <w:rPr>
          <w:i/>
        </w:rPr>
        <w:t>The Criminal Code</w:t>
      </w:r>
    </w:p>
    <w:p>
      <w:pPr>
        <w:pStyle w:val="TOC2"/>
        <w:keepLines/>
        <w:tabs>
          <w:tab w:val="right" w:pos="6240"/>
          <w:tab w:val="right" w:pos="6840"/>
        </w:tabs>
        <w:spacing w:before="0" w:after="0"/>
        <w:rPr>
          <w:b w:val="0"/>
        </w:rPr>
      </w:pPr>
      <w:r>
        <w:lastRenderedPageBreak/>
        <w:t>Notes</w:t>
      </w:r>
    </w:p>
    <w:p>
      <w:pPr>
        <w:pStyle w:val="TOC4"/>
        <w:keepLines/>
        <w:tabs>
          <w:tab w:val="right" w:pos="6840"/>
        </w:tabs>
        <w:spacing w:after="0"/>
        <w:rPr>
          <w:b w:val="0"/>
        </w:rPr>
      </w:pPr>
      <w:r>
        <w:rPr>
          <w:b w:val="0"/>
        </w:rPr>
        <w:t xml:space="preserve">Compilation table </w:t>
      </w:r>
      <w:r>
        <w:rPr>
          <w:b w:val="0"/>
        </w:rPr>
        <w:tab/>
        <w:t>327</w:t>
      </w:r>
    </w:p>
    <w:p>
      <w:pPr>
        <w:pStyle w:val="TOC4"/>
        <w:keepLines/>
        <w:tabs>
          <w:tab w:val="right" w:pos="6840"/>
        </w:tabs>
        <w:spacing w:before="0"/>
        <w:rPr>
          <w:b w:val="0"/>
        </w:rPr>
      </w:pPr>
      <w:r>
        <w:rPr>
          <w:b w:val="0"/>
        </w:rPr>
        <w:t>Uncommenced provisions table</w:t>
      </w:r>
      <w:r>
        <w:rPr>
          <w:b w:val="0"/>
        </w:rPr>
        <w:tab/>
        <w:t>342</w:t>
      </w:r>
    </w:p>
    <w:p>
      <w:pPr>
        <w:pStyle w:val="TOC4"/>
        <w:keepLines/>
        <w:tabs>
          <w:tab w:val="right" w:pos="6840"/>
        </w:tabs>
        <w:spacing w:before="0"/>
        <w:rPr>
          <w:b w:val="0"/>
        </w:rPr>
      </w:pPr>
      <w:r>
        <w:rPr>
          <w:b w:val="0"/>
        </w:rPr>
        <w:t>Other notes</w:t>
      </w:r>
      <w:r>
        <w:rPr>
          <w:b w:val="0"/>
        </w:rPr>
        <w:tab/>
        <w:t>342</w:t>
      </w:r>
    </w:p>
    <w:p>
      <w:pPr>
        <w:pStyle w:val="TOC2"/>
      </w:pPr>
      <w:r>
        <w:t>Defined terms</w:t>
      </w:r>
    </w:p>
    <w:p>
      <w:pPr>
        <w:pStyle w:val="TOC2"/>
      </w:pP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fmt="lowerRoman" w:start="1"/>
          <w:cols w:space="720"/>
          <w:noEndnote/>
          <w:titlePg/>
          <w:docGrid w:linePitch="326"/>
        </w:sectPr>
      </w:pPr>
    </w:p>
    <w:p>
      <w:pPr>
        <w:pStyle w:val="WA"/>
      </w:pPr>
      <w:r>
        <w:lastRenderedPageBreak/>
        <w:t>Western Australia</w:t>
      </w:r>
    </w:p>
    <w:p>
      <w:pPr>
        <w:pStyle w:val="NameofActReg"/>
        <w:spacing w:before="800" w:after="900"/>
        <w:rPr>
          <w:noProof/>
        </w:rPr>
      </w:pPr>
      <w:r>
        <w:rPr>
          <w:noProof/>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and for other related purposes.</w:t>
      </w:r>
    </w:p>
    <w:p>
      <w:pPr>
        <w:pStyle w:val="Preamble"/>
      </w:pPr>
      <w:r>
        <w:rPr>
          <w:snapToGrid w:val="0"/>
        </w:rPr>
        <w:br w:type="page"/>
      </w:r>
      <w:r>
        <w:rPr>
          <w:rFonts w:ascii="Times New Roman" w:hAnsi="Times New Roman"/>
          <w:b/>
          <w:snapToGrid w:val="0"/>
        </w:rPr>
        <w:lastRenderedPageBreak/>
        <w:t>Preamble</w:t>
      </w:r>
      <w:r>
        <w:rPr>
          <w:b/>
          <w:snapToGrid w:val="0"/>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w:t>
      </w:r>
    </w:p>
    <w:p>
      <w:pPr>
        <w:pStyle w:val="Enactment"/>
        <w:spacing w:before="600"/>
        <w:rPr>
          <w:snapToGrid w:val="0"/>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and shall come into operation on 1 January 1914.</w:t>
      </w:r>
    </w:p>
    <w:p>
      <w:pPr>
        <w:pStyle w:val="Enactment"/>
        <w:keepNext/>
        <w:tabs>
          <w:tab w:val="left" w:pos="879"/>
        </w:tabs>
        <w:spacing w:before="220"/>
        <w:ind w:left="879" w:hanging="879"/>
        <w:rPr>
          <w:b/>
          <w:snapToGrid w:val="0"/>
        </w:rPr>
      </w:pPr>
      <w:r>
        <w:rPr>
          <w:rStyle w:val="CharSectno"/>
          <w:b/>
        </w:rPr>
        <w:t>2</w:t>
      </w:r>
      <w:r>
        <w:rPr>
          <w:b/>
          <w:snapToGrid w:val="0"/>
        </w:rPr>
        <w:t>.</w:t>
      </w:r>
      <w:r>
        <w:rPr>
          <w:b/>
          <w:snapToGrid w:val="0"/>
        </w:rPr>
        <w:tab/>
        <w:t>Acts repealed</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r>
        <w:rPr>
          <w:rStyle w:val="CharSectno"/>
          <w:b/>
        </w:rPr>
        <w:t>3</w:t>
      </w:r>
      <w:r>
        <w:rPr>
          <w:b/>
          <w:snapToGrid w:val="0"/>
        </w:rPr>
        <w:t>.</w:t>
      </w:r>
      <w:r>
        <w:rPr>
          <w:b/>
          <w:snapToGrid w:val="0"/>
        </w:rPr>
        <w:tab/>
        <w:t>Savings for things done under repealed Acts</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4"/>
          <w:headerReference w:type="default" r:id="rId25"/>
          <w:pgSz w:w="11907" w:h="16840" w:code="9"/>
          <w:pgMar w:top="2381" w:right="2409" w:bottom="3543" w:left="2409" w:header="720" w:footer="3380" w:gutter="0"/>
          <w:cols w:space="720"/>
          <w:noEndnote/>
          <w:docGrid w:linePitch="326"/>
        </w:sectPr>
      </w:pPr>
    </w:p>
    <w:p>
      <w:pPr>
        <w:pStyle w:val="MiscellaneousHeading"/>
        <w:pageBreakBefore/>
        <w:spacing w:before="0"/>
      </w:pPr>
      <w:r>
        <w:rPr>
          <w:rStyle w:val="CharPartNo"/>
          <w:b/>
        </w:rPr>
        <w:lastRenderedPageBreak/>
        <w:t>Appendix A</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p>
    <w:p>
      <w:pPr>
        <w:pStyle w:val="Table"/>
        <w:keepNext/>
        <w:keepLines/>
        <w:spacing w:before="240" w:line="240" w:lineRule="auto"/>
        <w:ind w:left="567"/>
        <w:rPr>
          <w:snapToGrid w:val="0"/>
        </w:rPr>
      </w:pPr>
      <w:r>
        <w:rPr>
          <w:snapToGrid w:val="0"/>
        </w:rPr>
        <w:t>No. 13 of 1905 — </w:t>
      </w:r>
      <w:r>
        <w:rPr>
          <w:i/>
          <w:snapToGrid w:val="0"/>
        </w:rPr>
        <w:t>The Secret Commissions Act 1905</w:t>
      </w:r>
    </w:p>
    <w:p>
      <w:pPr>
        <w:pStyle w:val="Table"/>
        <w:keepNext/>
        <w:keepLines/>
        <w:spacing w:before="240" w:line="240" w:lineRule="auto"/>
        <w:ind w:left="567"/>
        <w:rPr>
          <w:snapToGrid w:val="0"/>
        </w:rPr>
      </w:pPr>
      <w:r>
        <w:rPr>
          <w:snapToGrid w:val="0"/>
        </w:rPr>
        <w:t>No. 31 of 1906 — </w:t>
      </w:r>
      <w:r>
        <w:rPr>
          <w:i/>
          <w:snapToGrid w:val="0"/>
        </w:rPr>
        <w:t>The Criminal Code Amendment Act 1906</w:t>
      </w:r>
    </w:p>
    <w:p>
      <w:pPr>
        <w:pStyle w:val="Table"/>
        <w:keepNext/>
        <w:keepLines/>
        <w:spacing w:before="240" w:line="240" w:lineRule="auto"/>
        <w:ind w:left="567"/>
        <w:rPr>
          <w:snapToGrid w:val="0"/>
        </w:rPr>
      </w:pPr>
      <w:r>
        <w:rPr>
          <w:snapToGrid w:val="0"/>
        </w:rPr>
        <w:t>No. 28 of 1911 — </w:t>
      </w:r>
      <w:r>
        <w:rPr>
          <w:i/>
          <w:snapToGrid w:val="0"/>
        </w:rPr>
        <w:t>The Criminal Code Amendment Act 1911</w:t>
      </w:r>
    </w:p>
    <w:p>
      <w:pPr>
        <w:pStyle w:val="Table"/>
        <w:keepNext/>
        <w:keepLines/>
        <w:spacing w:before="240" w:line="240" w:lineRule="auto"/>
        <w:ind w:left="567"/>
        <w:rPr>
          <w:snapToGrid w:val="0"/>
        </w:rPr>
      </w:pPr>
      <w:r>
        <w:rPr>
          <w:snapToGrid w:val="0"/>
        </w:rPr>
        <w:t>No. 52 of 1911 — </w:t>
      </w:r>
      <w:r>
        <w:rPr>
          <w:i/>
          <w:snapToGrid w:val="0"/>
        </w:rPr>
        <w:t>The Criminal Code Amendment Act 1911</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p>
    <w:p>
      <w:pPr>
        <w:rPr>
          <w:snapToGrid w:val="0"/>
        </w:rPr>
        <w:sectPr>
          <w:headerReference w:type="even" r:id="rId26"/>
          <w:headerReference w:type="default" r:id="rId27"/>
          <w:pgSz w:w="11907" w:h="16840" w:code="9"/>
          <w:pgMar w:top="2381" w:right="2409" w:bottom="3543" w:left="2409" w:header="720" w:footer="3380" w:gutter="0"/>
          <w:cols w:space="720"/>
          <w:noEndnote/>
          <w:docGrid w:linePitch="326"/>
        </w:sectPr>
      </w:pPr>
    </w:p>
    <w:p>
      <w:pPr>
        <w:pStyle w:val="MiscellaneousHeading"/>
        <w:pageBreakBefore/>
        <w:spacing w:before="0" w:after="600"/>
        <w:rPr>
          <w:b/>
        </w:rPr>
      </w:pPr>
      <w:r>
        <w:rPr>
          <w:rStyle w:val="CharPartNo"/>
          <w:b/>
        </w:rPr>
        <w:lastRenderedPageBreak/>
        <w:t>Appendix B</w:t>
      </w:r>
    </w:p>
    <w:p>
      <w:pPr>
        <w:pStyle w:val="LongTitle"/>
        <w:spacing w:before="20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22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240"/>
        <w:ind w:left="879" w:hanging="879"/>
        <w:rPr>
          <w:b/>
          <w:snapToGrid w:val="0"/>
        </w:rPr>
      </w:pPr>
      <w:r>
        <w:rPr>
          <w:rStyle w:val="CharSectno"/>
          <w:b/>
        </w:rPr>
        <w:t>1</w:t>
      </w:r>
      <w:r>
        <w:rPr>
          <w:b/>
          <w:snapToGrid w:val="0"/>
        </w:rPr>
        <w:t>.</w:t>
      </w:r>
      <w:r>
        <w:rPr>
          <w:b/>
          <w:snapToGrid w:val="0"/>
        </w:rPr>
        <w:tab/>
        <w:t>Short title</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w:t>
      </w:r>
    </w:p>
    <w:p>
      <w:pPr>
        <w:pStyle w:val="Enactment"/>
        <w:keepNext/>
        <w:tabs>
          <w:tab w:val="left" w:pos="879"/>
        </w:tabs>
        <w:spacing w:before="220"/>
        <w:ind w:left="879" w:hanging="879"/>
        <w:rPr>
          <w:b/>
          <w:snapToGrid w:val="0"/>
        </w:rPr>
      </w:pPr>
      <w:r>
        <w:rPr>
          <w:rStyle w:val="CharSectno"/>
          <w:b/>
          <w:bCs/>
        </w:rPr>
        <w:t>2</w:t>
      </w:r>
      <w:r>
        <w:rPr>
          <w:b/>
          <w:snapToGrid w:val="0"/>
        </w:rPr>
        <w:t>.</w:t>
      </w:r>
      <w:r>
        <w:rPr>
          <w:b/>
          <w:snapToGrid w:val="0"/>
        </w:rPr>
        <w:tab/>
      </w:r>
      <w:r>
        <w:rPr>
          <w:b/>
          <w:i/>
          <w:snapToGrid w:val="0"/>
        </w:rPr>
        <w:t>The Criminal Code</w:t>
      </w:r>
      <w:r>
        <w:rPr>
          <w:b/>
          <w:snapToGrid w:val="0"/>
        </w:rPr>
        <w:t xml:space="preserve"> established</w:t>
      </w:r>
    </w:p>
    <w:p>
      <w:pPr>
        <w:pStyle w:val="Subsection"/>
        <w:keepNext/>
        <w:rPr>
          <w:snapToGrid w:val="0"/>
        </w:rPr>
      </w:pPr>
      <w:r>
        <w:rPr>
          <w:snapToGrid w:val="0"/>
        </w:rPr>
        <w:tab/>
      </w:r>
      <w:r>
        <w:rPr>
          <w:snapToGrid w:val="0"/>
        </w:rPr>
        <w:tab/>
        <w:t xml:space="preserve">The provisions contained in the Code of Criminal Law set forth in the Schedule to this Act, and hereinafter called </w:t>
      </w:r>
      <w:r>
        <w:t xml:space="preserve">the </w:t>
      </w:r>
      <w:r>
        <w:rPr>
          <w:rStyle w:val="CharDefText"/>
        </w:rPr>
        <w:t>Code</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220"/>
        <w:ind w:left="879" w:hanging="879"/>
        <w:rPr>
          <w:b/>
          <w:snapToGrid w:val="0"/>
        </w:rPr>
      </w:pPr>
      <w:r>
        <w:rPr>
          <w:rStyle w:val="CharSectno"/>
          <w:b/>
          <w:bCs/>
        </w:rPr>
        <w:t>3</w:t>
      </w:r>
      <w:r>
        <w:rPr>
          <w:b/>
          <w:snapToGrid w:val="0"/>
        </w:rPr>
        <w:t>.</w:t>
      </w:r>
      <w:r>
        <w:rPr>
          <w:b/>
          <w:snapToGrid w:val="0"/>
        </w:rPr>
        <w:tab/>
        <w:t>Construction of statutes, statutory rules, and other instruments</w:t>
      </w:r>
    </w:p>
    <w:p>
      <w:pPr>
        <w:pStyle w:val="Subsection"/>
        <w:keepNext/>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w:t>
      </w:r>
    </w:p>
    <w:p>
      <w:pPr>
        <w:pStyle w:val="Indenta"/>
        <w:rPr>
          <w:snapToGrid w:val="0"/>
        </w:rPr>
      </w:pPr>
      <w:r>
        <w:rPr>
          <w:snapToGrid w:val="0"/>
        </w:rPr>
        <w:tab/>
        <w:t>(1)</w:t>
      </w:r>
      <w:r>
        <w:rPr>
          <w:snapToGrid w:val="0"/>
        </w:rPr>
        <w:tab/>
        <w:t>When in any statute, statutory rule, local law, by</w:t>
      </w:r>
      <w:r>
        <w:rPr>
          <w:snapToGrid w:val="0"/>
        </w:rPr>
        <w:noBreakHyphen/>
        <w:t xml:space="preserve">law, or other instrument, public or private, the term </w:t>
      </w:r>
      <w:r>
        <w:rPr>
          <w:b/>
          <w:i/>
          <w:snapToGrid w:val="0"/>
        </w:rPr>
        <w:t>felony</w:t>
      </w:r>
      <w:r>
        <w:rPr>
          <w:snapToGrid w:val="0"/>
        </w:rPr>
        <w:t xml:space="preserve"> is used, or reference is made to an offence by the name of felony, it shall be taken that reference is intended to an offence which is a crime under the provisions of the Code:</w:t>
      </w:r>
    </w:p>
    <w:p>
      <w:pPr>
        <w:pStyle w:val="Indenta"/>
        <w:rPr>
          <w:snapToGrid w:val="0"/>
        </w:rPr>
      </w:pPr>
      <w:r>
        <w:rPr>
          <w:snapToGrid w:val="0"/>
        </w:rPr>
        <w:lastRenderedPageBreak/>
        <w:tab/>
        <w:t>(2)</w:t>
      </w:r>
      <w:r>
        <w:rPr>
          <w:snapToGrid w:val="0"/>
        </w:rPr>
        <w:tab/>
        <w:t>When in any statute, statutory rule, local law, by</w:t>
      </w:r>
      <w:r>
        <w:rPr>
          <w:snapToGrid w:val="0"/>
        </w:rPr>
        <w:noBreakHyphen/>
        <w:t xml:space="preserve">law, or other instrument, public or private, the term </w:t>
      </w:r>
      <w:r>
        <w:rPr>
          <w:b/>
          <w:i/>
          <w:snapToGrid w:val="0"/>
        </w:rPr>
        <w:t>murder</w:t>
      </w:r>
      <w:r>
        <w:rPr>
          <w:snapToGrid w:val="0"/>
        </w:rPr>
        <w:t xml:space="preserve"> is used, it shall be taken that reference is intended to </w:t>
      </w:r>
      <w:r>
        <w:t xml:space="preserve">include the crime that was called wilful murder under the Code as it was before the commencement of the </w:t>
      </w:r>
      <w:r>
        <w:rPr>
          <w:i/>
          <w:iCs/>
        </w:rPr>
        <w:t>Criminal Law Amendment (Homicide) Act 2008</w:t>
      </w:r>
      <w:r>
        <w:t>:</w:t>
      </w:r>
    </w:p>
    <w:p>
      <w:pPr>
        <w:pStyle w:val="Indenta"/>
        <w:rPr>
          <w:snapToGrid w:val="0"/>
        </w:rPr>
      </w:pPr>
      <w:r>
        <w:rPr>
          <w:snapToGrid w:val="0"/>
        </w:rPr>
        <w:tab/>
        <w:t>(3)</w:t>
      </w:r>
      <w:r>
        <w:rPr>
          <w:snapToGrid w:val="0"/>
        </w:rPr>
        <w:tab/>
        <w:t>When in any statute, statutory rule, local law, by</w:t>
      </w:r>
      <w:r>
        <w:rPr>
          <w:snapToGrid w:val="0"/>
        </w:rPr>
        <w:noBreakHyphen/>
        <w:t xml:space="preserve">law, or other instrument, public or private, the term </w:t>
      </w:r>
      <w:r>
        <w:rPr>
          <w:b/>
          <w:i/>
          <w:snapToGrid w:val="0"/>
        </w:rPr>
        <w:t>larceny</w:t>
      </w:r>
      <w:r>
        <w:rPr>
          <w:snapToGrid w:val="0"/>
        </w:rPr>
        <w:t xml:space="preserve">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ind w:left="890" w:hanging="890"/>
      </w:pPr>
      <w:r>
        <w:tab/>
        <w:t>[Section 3 amended: No. 14 of 1996 s. 4; No. 57 of 1997 s. 45; No. 29 of 2008 s. 27.]</w:t>
      </w:r>
    </w:p>
    <w:p>
      <w:pPr>
        <w:pStyle w:val="Enactment"/>
        <w:keepNext/>
        <w:tabs>
          <w:tab w:val="left" w:pos="879"/>
        </w:tabs>
        <w:spacing w:before="220"/>
        <w:ind w:left="879" w:hanging="879"/>
        <w:rPr>
          <w:b/>
          <w:snapToGrid w:val="0"/>
        </w:rPr>
      </w:pPr>
      <w:r>
        <w:rPr>
          <w:rStyle w:val="CharSectno"/>
          <w:b/>
          <w:bCs/>
        </w:rPr>
        <w:t>4</w:t>
      </w:r>
      <w:r>
        <w:rPr>
          <w:b/>
          <w:snapToGrid w:val="0"/>
        </w:rPr>
        <w:t>.</w:t>
      </w:r>
      <w:r>
        <w:rPr>
          <w:b/>
          <w:snapToGrid w:val="0"/>
        </w:rPr>
        <w:tab/>
        <w:t>Offences are only those in WA’s statute law with some exceptions</w:t>
      </w:r>
    </w:p>
    <w:p>
      <w:pPr>
        <w:pStyle w:val="Subsection"/>
        <w:rPr>
          <w:snapToGrid w:val="0"/>
        </w:rPr>
      </w:pPr>
      <w:r>
        <w:rPr>
          <w:snapToGrid w:val="0"/>
        </w:rPr>
        <w:tab/>
      </w:r>
      <w:r>
        <w:rPr>
          <w:snapToGrid w:val="0"/>
        </w:rPr>
        <w:tab/>
        <w:t xml:space="preserve">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t>
      </w:r>
      <w:r>
        <w:rPr>
          <w:snapToGrid w:val="0"/>
        </w:rPr>
        <w:lastRenderedPageBreak/>
        <w:t>Western Australia, committed offences against the laws of the Commonwealth of Australia or of the United Kingdom.</w:t>
      </w:r>
    </w:p>
    <w:p>
      <w:pPr>
        <w:pStyle w:val="Footnotesection"/>
      </w:pPr>
      <w:r>
        <w:tab/>
        <w:t>[Section 4 amended: No. 4 of 2004 s. 58.]</w:t>
      </w:r>
    </w:p>
    <w:p>
      <w:pPr>
        <w:pStyle w:val="Enactment"/>
        <w:keepNext/>
        <w:tabs>
          <w:tab w:val="left" w:pos="879"/>
        </w:tabs>
        <w:spacing w:before="220"/>
        <w:ind w:left="879" w:hanging="879"/>
        <w:rPr>
          <w:b/>
          <w:snapToGrid w:val="0"/>
        </w:rPr>
      </w:pPr>
      <w:r>
        <w:rPr>
          <w:rStyle w:val="CharSectno"/>
          <w:b/>
          <w:bCs/>
        </w:rPr>
        <w:t>5</w:t>
      </w:r>
      <w:r>
        <w:rPr>
          <w:b/>
          <w:snapToGrid w:val="0"/>
        </w:rPr>
        <w:t>.</w:t>
      </w:r>
      <w:r>
        <w:rPr>
          <w:b/>
          <w:snapToGrid w:val="0"/>
        </w:rPr>
        <w:tab/>
        <w:t>No civil action for lawful acts; saving</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t>Deleted: No. 78 of 1995 s. 22.]</w:t>
      </w:r>
    </w:p>
    <w:p>
      <w:pPr>
        <w:pStyle w:val="Enactment"/>
        <w:keepNext/>
        <w:tabs>
          <w:tab w:val="left" w:pos="879"/>
        </w:tabs>
        <w:spacing w:before="220"/>
        <w:ind w:left="879" w:hanging="879"/>
        <w:rPr>
          <w:b/>
          <w:snapToGrid w:val="0"/>
        </w:rPr>
      </w:pPr>
      <w:r>
        <w:rPr>
          <w:rStyle w:val="CharSectno"/>
          <w:b/>
          <w:bCs/>
        </w:rPr>
        <w:t>7</w:t>
      </w:r>
      <w:r>
        <w:rPr>
          <w:b/>
          <w:snapToGrid w:val="0"/>
        </w:rPr>
        <w:t>.</w:t>
      </w:r>
      <w:r>
        <w:rPr>
          <w:b/>
          <w:snapToGrid w:val="0"/>
        </w:rPr>
        <w:tab/>
        <w:t>Contempt of court powers not affected</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t>Deleted: No. 13 of 1984 s. 9.]</w:t>
      </w:r>
    </w:p>
    <w:p>
      <w:pPr>
        <w:pStyle w:val="MiscellaneousHeading"/>
        <w:rPr>
          <w:b/>
          <w:snapToGrid w:val="0"/>
          <w:sz w:val="38"/>
        </w:rPr>
        <w:sectPr>
          <w:headerReference w:type="even" r:id="rId28"/>
          <w:headerReference w:type="default" r:id="rId29"/>
          <w:pgSz w:w="11907" w:h="16840" w:code="9"/>
          <w:pgMar w:top="2381" w:right="2409" w:bottom="3543" w:left="2409" w:header="720" w:footer="3380" w:gutter="0"/>
          <w:cols w:space="720"/>
          <w:noEndnote/>
          <w:docGrid w:linePitch="326"/>
        </w:sectPr>
      </w:pPr>
    </w:p>
    <w:p>
      <w:pPr>
        <w:pStyle w:val="WA"/>
        <w:spacing w:before="120"/>
      </w:pPr>
      <w:r>
        <w:rPr>
          <w:b/>
          <w:sz w:val="28"/>
        </w:rPr>
        <w:lastRenderedPageBreak/>
        <w:t>Schedule</w:t>
      </w:r>
    </w:p>
    <w:p>
      <w:pPr>
        <w:pStyle w:val="NameofActReg"/>
        <w:spacing w:before="1000" w:after="1000"/>
        <w:rPr>
          <w:noProof/>
        </w:rPr>
      </w:pPr>
      <w:r>
        <w:rPr>
          <w:noProof/>
        </w:rPr>
        <w:t xml:space="preserve">The </w:t>
      </w:r>
      <w:r>
        <w:t>Criminal</w:t>
      </w:r>
      <w:r>
        <w:rPr>
          <w:noProof/>
        </w:rPr>
        <w:t xml:space="preserve"> Code</w:t>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Introductory</w:t>
      </w:r>
    </w:p>
    <w:p>
      <w:pPr>
        <w:pStyle w:val="TOC4"/>
        <w:tabs>
          <w:tab w:val="right" w:leader="dot" w:pos="7077"/>
        </w:tabs>
        <w:rPr>
          <w:rFonts w:asciiTheme="minorHAnsi" w:eastAsiaTheme="minorEastAsia" w:hAnsiTheme="minorHAnsi" w:cstheme="minorBidi"/>
          <w:b w:val="0"/>
          <w:szCs w:val="22"/>
        </w:rPr>
      </w:pPr>
      <w:r>
        <w:rPr>
          <w:snapToGrid w:val="0"/>
        </w:rPr>
        <w:t>Interpretation: Application: General principles</w:t>
      </w:r>
    </w:p>
    <w:p>
      <w:pPr>
        <w:pStyle w:val="TOC4"/>
        <w:tabs>
          <w:tab w:val="right" w:leader="dot" w:pos="7077"/>
        </w:tabs>
        <w:rPr>
          <w:rFonts w:asciiTheme="minorHAnsi" w:eastAsiaTheme="minorEastAsia" w:hAnsiTheme="minorHAnsi" w:cstheme="minorBidi"/>
          <w:b w:val="0"/>
          <w:szCs w:val="22"/>
        </w:rPr>
      </w:pPr>
      <w:r>
        <w:t>Chapter I</w:t>
      </w:r>
      <w:r>
        <w:rPr>
          <w:snapToGrid w:val="0"/>
        </w:rPr>
        <w:t> — </w:t>
      </w:r>
      <w:r>
        <w:t>Interpretation</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_Toc88662024 \h </w:instrText>
      </w:r>
      <w:r>
        <w:fldChar w:fldCharType="separate"/>
      </w:r>
      <w:r>
        <w:t>27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 xml:space="preserve">Term used: </w:t>
      </w:r>
      <w:r>
        <w:rPr>
          <w:bCs/>
          <w:iCs/>
        </w:rPr>
        <w:t>offence</w:t>
      </w:r>
      <w:r>
        <w:tab/>
      </w:r>
      <w:r>
        <w:fldChar w:fldCharType="begin"/>
      </w:r>
      <w:r>
        <w:instrText xml:space="preserve"> PAGEREF _Toc88662025 \h </w:instrText>
      </w:r>
      <w:r>
        <w:fldChar w:fldCharType="separate"/>
      </w:r>
      <w:r>
        <w:t>36</w:t>
      </w:r>
      <w:r>
        <w:fldChar w:fldCharType="end"/>
      </w:r>
    </w:p>
    <w:p>
      <w:pPr>
        <w:pStyle w:val="TOC8"/>
        <w:rPr>
          <w:rFonts w:asciiTheme="minorHAnsi" w:eastAsiaTheme="minorEastAsia" w:hAnsiTheme="minorHAnsi" w:cstheme="minorBidi"/>
          <w:szCs w:val="22"/>
        </w:rPr>
      </w:pPr>
      <w:r>
        <w:t>3.</w:t>
      </w:r>
      <w:r>
        <w:tab/>
        <w:t>Indictable offences, general provisions as to</w:t>
      </w:r>
      <w:r>
        <w:tab/>
      </w:r>
      <w:r>
        <w:fldChar w:fldCharType="begin"/>
      </w:r>
      <w:r>
        <w:instrText xml:space="preserve"> PAGEREF _Toc88662026 \h </w:instrText>
      </w:r>
      <w:r>
        <w:fldChar w:fldCharType="separate"/>
      </w:r>
      <w:r>
        <w:t>36</w:t>
      </w:r>
      <w:r>
        <w:fldChar w:fldCharType="end"/>
      </w:r>
    </w:p>
    <w:p>
      <w:pPr>
        <w:pStyle w:val="TOC8"/>
        <w:rPr>
          <w:rFonts w:asciiTheme="minorHAnsi" w:eastAsiaTheme="minorEastAsia" w:hAnsiTheme="minorHAnsi" w:cstheme="minorBidi"/>
          <w:szCs w:val="22"/>
        </w:rPr>
      </w:pPr>
      <w:r>
        <w:t>4</w:t>
      </w:r>
      <w:r>
        <w:rPr>
          <w:snapToGrid w:val="0"/>
        </w:rPr>
        <w:t>.</w:t>
      </w:r>
      <w:r>
        <w:rPr>
          <w:bCs/>
          <w:i/>
          <w:iCs/>
          <w:snapToGrid w:val="0"/>
        </w:rPr>
        <w:tab/>
      </w:r>
      <w:r>
        <w:rPr>
          <w:snapToGrid w:val="0"/>
        </w:rPr>
        <w:t>Term used:</w:t>
      </w:r>
      <w:r>
        <w:rPr>
          <w:bCs/>
          <w:i/>
          <w:iCs/>
          <w:snapToGrid w:val="0"/>
        </w:rPr>
        <w:t xml:space="preserve"> </w:t>
      </w:r>
      <w:r>
        <w:rPr>
          <w:bCs/>
          <w:iCs/>
        </w:rPr>
        <w:t>attempt to commit offence</w:t>
      </w:r>
      <w:r>
        <w:tab/>
      </w:r>
      <w:r>
        <w:fldChar w:fldCharType="begin"/>
      </w:r>
      <w:r>
        <w:instrText xml:space="preserve"> PAGEREF _Toc88662027 \h </w:instrText>
      </w:r>
      <w:r>
        <w:fldChar w:fldCharType="separate"/>
      </w:r>
      <w:r>
        <w:t>36</w:t>
      </w:r>
      <w:r>
        <w:fldChar w:fldCharType="end"/>
      </w:r>
    </w:p>
    <w:p>
      <w:pPr>
        <w:pStyle w:val="TOC8"/>
        <w:rPr>
          <w:rFonts w:asciiTheme="minorHAnsi" w:eastAsiaTheme="minorEastAsia" w:hAnsiTheme="minorHAnsi" w:cstheme="minorBidi"/>
          <w:szCs w:val="22"/>
        </w:rPr>
      </w:pPr>
      <w:r>
        <w:t>5.</w:t>
      </w:r>
      <w:r>
        <w:tab/>
        <w:t>Summary conviction penalty, meaning and effect of</w:t>
      </w:r>
      <w:r>
        <w:tab/>
      </w:r>
      <w:r>
        <w:fldChar w:fldCharType="begin"/>
      </w:r>
      <w:r>
        <w:instrText xml:space="preserve"> PAGEREF _Toc88662028 \h </w:instrText>
      </w:r>
      <w:r>
        <w:fldChar w:fldCharType="separate"/>
      </w:r>
      <w:r>
        <w:t>37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Terms used: </w:t>
      </w:r>
      <w:r>
        <w:t>carnal knowledge, carnal connection</w:t>
      </w:r>
      <w:r>
        <w:tab/>
      </w:r>
      <w:r>
        <w:fldChar w:fldCharType="begin"/>
      </w:r>
      <w:r>
        <w:instrText xml:space="preserve"> PAGEREF _Toc88662029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Chapter II</w:t>
      </w:r>
      <w:r>
        <w:rPr>
          <w:snapToGrid w:val="0"/>
        </w:rPr>
        <w:t> — </w:t>
      </w:r>
      <w:r>
        <w:t>Parties to offence</w:t>
      </w:r>
    </w:p>
    <w:p>
      <w:pPr>
        <w:pStyle w:val="TOC8"/>
        <w:rPr>
          <w:rFonts w:asciiTheme="minorHAnsi" w:eastAsiaTheme="minorEastAsia" w:hAnsiTheme="minorHAnsi" w:cstheme="minorBidi"/>
          <w:szCs w:val="22"/>
        </w:rPr>
      </w:pPr>
      <w:r>
        <w:t>7</w:t>
      </w:r>
      <w:r>
        <w:rPr>
          <w:snapToGrid w:val="0"/>
        </w:rPr>
        <w:t>.</w:t>
      </w:r>
      <w:r>
        <w:rPr>
          <w:snapToGrid w:val="0"/>
        </w:rPr>
        <w:tab/>
        <w:t>Principal offenders</w:t>
      </w:r>
      <w:r>
        <w:tab/>
      </w:r>
      <w:r>
        <w:fldChar w:fldCharType="begin"/>
      </w:r>
      <w:r>
        <w:instrText xml:space="preserve"> PAGEREF _Toc88662031 \h </w:instrText>
      </w:r>
      <w:r>
        <w:fldChar w:fldCharType="separate"/>
      </w:r>
      <w:r>
        <w:t>40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Offence committed in prosecution of common purpose</w:t>
      </w:r>
      <w:r>
        <w:tab/>
      </w:r>
      <w:r>
        <w:fldChar w:fldCharType="begin"/>
      </w:r>
      <w:r>
        <w:instrText xml:space="preserve"> PAGEREF _Toc88662032 \h </w:instrText>
      </w:r>
      <w:r>
        <w:fldChar w:fldCharType="separate"/>
      </w:r>
      <w:r>
        <w:t>40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Counselled offence, mode of execution immaterial</w:t>
      </w:r>
      <w:r>
        <w:tab/>
      </w:r>
      <w:r>
        <w:fldChar w:fldCharType="begin"/>
      </w:r>
      <w:r>
        <w:instrText xml:space="preserve"> PAGEREF _Toc88662033 \h </w:instrText>
      </w:r>
      <w:r>
        <w:fldChar w:fldCharType="separate"/>
      </w:r>
      <w:r>
        <w:t>41</w:t>
      </w:r>
      <w:r>
        <w:fldChar w:fldCharType="end"/>
      </w:r>
    </w:p>
    <w:p>
      <w:pPr>
        <w:pStyle w:val="TOC8"/>
        <w:rPr>
          <w:rFonts w:asciiTheme="minorHAnsi" w:eastAsiaTheme="minorEastAsia" w:hAnsiTheme="minorHAnsi" w:cstheme="minorBidi"/>
          <w:szCs w:val="22"/>
        </w:rPr>
      </w:pPr>
      <w:r>
        <w:t>10</w:t>
      </w:r>
      <w:r>
        <w:rPr>
          <w:snapToGrid w:val="0"/>
        </w:rPr>
        <w:t xml:space="preserve">. </w:t>
      </w:r>
      <w:r>
        <w:rPr>
          <w:bCs/>
          <w:iCs/>
          <w:snapToGrid w:val="0"/>
        </w:rPr>
        <w:tab/>
        <w:t xml:space="preserve">Term used: </w:t>
      </w:r>
      <w:r>
        <w:t>accessory after the fact</w:t>
      </w:r>
      <w:r>
        <w:tab/>
      </w:r>
      <w:r>
        <w:fldChar w:fldCharType="begin"/>
      </w:r>
      <w:r>
        <w:instrText xml:space="preserve"> PAGEREF _Toc88662034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Chapter IIA — Alternative offences</w:t>
      </w:r>
    </w:p>
    <w:p>
      <w:pPr>
        <w:pStyle w:val="TOC8"/>
        <w:rPr>
          <w:rFonts w:asciiTheme="minorHAnsi" w:eastAsiaTheme="minorEastAsia" w:hAnsiTheme="minorHAnsi" w:cstheme="minorBidi"/>
          <w:szCs w:val="22"/>
        </w:rPr>
      </w:pPr>
      <w:r>
        <w:t>10A.</w:t>
      </w:r>
      <w:r>
        <w:tab/>
        <w:t>Conviction of alternative offence, when possible</w:t>
      </w:r>
      <w:r>
        <w:tab/>
      </w:r>
      <w:r>
        <w:fldChar w:fldCharType="begin"/>
      </w:r>
      <w:r>
        <w:instrText xml:space="preserve"> PAGEREF _Toc88662036 \h </w:instrText>
      </w:r>
      <w:r>
        <w:fldChar w:fldCharType="separate"/>
      </w:r>
      <w:r>
        <w:t>42</w:t>
      </w:r>
      <w:r>
        <w:fldChar w:fldCharType="end"/>
      </w:r>
    </w:p>
    <w:p>
      <w:pPr>
        <w:pStyle w:val="TOC8"/>
        <w:rPr>
          <w:rFonts w:asciiTheme="minorHAnsi" w:eastAsiaTheme="minorEastAsia" w:hAnsiTheme="minorHAnsi" w:cstheme="minorBidi"/>
          <w:szCs w:val="22"/>
        </w:rPr>
      </w:pPr>
      <w:r>
        <w:t>10B.</w:t>
      </w:r>
      <w:r>
        <w:tab/>
      </w:r>
      <w:r>
        <w:rPr>
          <w:bCs/>
          <w:iCs/>
        </w:rPr>
        <w:t>Alternative offence</w:t>
      </w:r>
      <w:r>
        <w:t>, meaning and effect of</w:t>
      </w:r>
      <w:r>
        <w:tab/>
      </w:r>
      <w:r>
        <w:fldChar w:fldCharType="begin"/>
      </w:r>
      <w:r>
        <w:instrText xml:space="preserve"> PAGEREF _Toc88662037 \h </w:instrText>
      </w:r>
      <w:r>
        <w:fldChar w:fldCharType="separate"/>
      </w:r>
      <w:r>
        <w:t>42</w:t>
      </w:r>
      <w:r>
        <w:fldChar w:fldCharType="end"/>
      </w:r>
    </w:p>
    <w:p>
      <w:pPr>
        <w:pStyle w:val="TOC8"/>
        <w:rPr>
          <w:rFonts w:asciiTheme="minorHAnsi" w:eastAsiaTheme="minorEastAsia" w:hAnsiTheme="minorHAnsi" w:cstheme="minorBidi"/>
          <w:szCs w:val="22"/>
        </w:rPr>
      </w:pPr>
      <w:r>
        <w:t>10C.</w:t>
      </w:r>
      <w:r>
        <w:tab/>
        <w:t>Conviction of alternative offence, consequences of</w:t>
      </w:r>
      <w:r>
        <w:tab/>
      </w:r>
      <w:r>
        <w:fldChar w:fldCharType="begin"/>
      </w:r>
      <w:r>
        <w:instrText xml:space="preserve"> PAGEREF _Toc88662038 \h </w:instrText>
      </w:r>
      <w:r>
        <w:fldChar w:fldCharType="separate"/>
      </w:r>
      <w:r>
        <w:t>43</w:t>
      </w:r>
      <w:r>
        <w:fldChar w:fldCharType="end"/>
      </w:r>
    </w:p>
    <w:p>
      <w:pPr>
        <w:pStyle w:val="TOC8"/>
        <w:rPr>
          <w:rFonts w:asciiTheme="minorHAnsi" w:eastAsiaTheme="minorEastAsia" w:hAnsiTheme="minorHAnsi" w:cstheme="minorBidi"/>
          <w:szCs w:val="22"/>
        </w:rPr>
      </w:pPr>
      <w:r>
        <w:t>10D.</w:t>
      </w:r>
      <w:r>
        <w:tab/>
        <w:t>Charge of offence, alternative convictions of attempt etc.</w:t>
      </w:r>
      <w:r>
        <w:tab/>
      </w:r>
      <w:r>
        <w:fldChar w:fldCharType="begin"/>
      </w:r>
      <w:r>
        <w:instrText xml:space="preserve"> PAGEREF _Toc88662039 \h </w:instrText>
      </w:r>
      <w:r>
        <w:fldChar w:fldCharType="separate"/>
      </w:r>
      <w:r>
        <w:t>43</w:t>
      </w:r>
      <w:r>
        <w:fldChar w:fldCharType="end"/>
      </w:r>
    </w:p>
    <w:p>
      <w:pPr>
        <w:pStyle w:val="TOC8"/>
        <w:rPr>
          <w:rFonts w:asciiTheme="minorHAnsi" w:eastAsiaTheme="minorEastAsia" w:hAnsiTheme="minorHAnsi" w:cstheme="minorBidi"/>
          <w:szCs w:val="22"/>
        </w:rPr>
      </w:pPr>
      <w:r>
        <w:t>10E.</w:t>
      </w:r>
      <w:r>
        <w:tab/>
        <w:t>Charge of attempt, alternative convictions on</w:t>
      </w:r>
      <w:r>
        <w:tab/>
      </w:r>
      <w:r>
        <w:fldChar w:fldCharType="begin"/>
      </w:r>
      <w:r>
        <w:instrText xml:space="preserve"> PAGEREF _Toc88662040 \h </w:instrText>
      </w:r>
      <w:r>
        <w:fldChar w:fldCharType="separate"/>
      </w:r>
      <w:r>
        <w:t>44</w:t>
      </w:r>
      <w:r>
        <w:fldChar w:fldCharType="end"/>
      </w:r>
    </w:p>
    <w:p>
      <w:pPr>
        <w:pStyle w:val="TOC8"/>
        <w:rPr>
          <w:rFonts w:asciiTheme="minorHAnsi" w:eastAsiaTheme="minorEastAsia" w:hAnsiTheme="minorHAnsi" w:cstheme="minorBidi"/>
          <w:szCs w:val="22"/>
        </w:rPr>
      </w:pPr>
      <w:r>
        <w:t>10F.</w:t>
      </w:r>
      <w:r>
        <w:tab/>
        <w:t>Charge of conspiracy, alternative convictions on</w:t>
      </w:r>
      <w:r>
        <w:tab/>
      </w:r>
      <w:r>
        <w:fldChar w:fldCharType="begin"/>
      </w:r>
      <w:r>
        <w:instrText xml:space="preserve"> PAGEREF _Toc88662041 \h </w:instrText>
      </w:r>
      <w:r>
        <w:fldChar w:fldCharType="separate"/>
      </w:r>
      <w:r>
        <w:t>44</w:t>
      </w:r>
      <w:r>
        <w:fldChar w:fldCharType="end"/>
      </w:r>
    </w:p>
    <w:p>
      <w:pPr>
        <w:pStyle w:val="TOC8"/>
        <w:rPr>
          <w:rFonts w:asciiTheme="minorHAnsi" w:eastAsiaTheme="minorEastAsia" w:hAnsiTheme="minorHAnsi" w:cstheme="minorBidi"/>
          <w:szCs w:val="22"/>
        </w:rPr>
      </w:pPr>
      <w:r>
        <w:t>10G.</w:t>
      </w:r>
      <w:r>
        <w:tab/>
        <w:t>Charge of procuring, alternative convictions on</w:t>
      </w:r>
      <w:r>
        <w:tab/>
      </w:r>
      <w:r>
        <w:fldChar w:fldCharType="begin"/>
      </w:r>
      <w:r>
        <w:instrText xml:space="preserve"> PAGEREF _Toc88662042 \h </w:instrText>
      </w:r>
      <w:r>
        <w:fldChar w:fldCharType="separate"/>
      </w:r>
      <w:r>
        <w:t>45</w:t>
      </w:r>
      <w:r>
        <w:fldChar w:fldCharType="end"/>
      </w:r>
    </w:p>
    <w:p>
      <w:pPr>
        <w:pStyle w:val="TOC8"/>
        <w:rPr>
          <w:rFonts w:asciiTheme="minorHAnsi" w:eastAsiaTheme="minorEastAsia" w:hAnsiTheme="minorHAnsi" w:cstheme="minorBidi"/>
          <w:szCs w:val="22"/>
        </w:rPr>
      </w:pPr>
      <w:r>
        <w:lastRenderedPageBreak/>
        <w:t>10H.</w:t>
      </w:r>
      <w:r>
        <w:tab/>
        <w:t>Charge of attempting to procure, alternative convictions on</w:t>
      </w:r>
      <w:r>
        <w:tab/>
      </w:r>
      <w:r>
        <w:fldChar w:fldCharType="begin"/>
      </w:r>
      <w:r>
        <w:instrText xml:space="preserve"> PAGEREF _Toc88662043 \h </w:instrText>
      </w:r>
      <w:r>
        <w:fldChar w:fldCharType="separate"/>
      </w:r>
      <w:r>
        <w:t>45</w:t>
      </w:r>
      <w:r>
        <w:fldChar w:fldCharType="end"/>
      </w:r>
    </w:p>
    <w:p>
      <w:pPr>
        <w:pStyle w:val="TOC8"/>
        <w:rPr>
          <w:rFonts w:asciiTheme="minorHAnsi" w:eastAsiaTheme="minorEastAsia" w:hAnsiTheme="minorHAnsi" w:cstheme="minorBidi"/>
          <w:szCs w:val="22"/>
        </w:rPr>
      </w:pPr>
      <w:r>
        <w:t>10I.</w:t>
      </w:r>
      <w:r>
        <w:tab/>
        <w:t>Joined charges of receiving, verdicts on</w:t>
      </w:r>
      <w:r>
        <w:tab/>
      </w:r>
      <w:r>
        <w:fldChar w:fldCharType="begin"/>
      </w:r>
      <w:r>
        <w:instrText xml:space="preserve"> PAGEREF _Toc88662044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Chapter IIB — Charges where date of offence, or age of victim, is uncertain</w:t>
      </w:r>
    </w:p>
    <w:p>
      <w:pPr>
        <w:pStyle w:val="TOC8"/>
        <w:rPr>
          <w:rFonts w:asciiTheme="minorHAnsi" w:eastAsiaTheme="minorEastAsia" w:hAnsiTheme="minorHAnsi" w:cstheme="minorBidi"/>
          <w:szCs w:val="22"/>
        </w:rPr>
      </w:pPr>
      <w:r>
        <w:t>10J.</w:t>
      </w:r>
      <w:r>
        <w:tab/>
        <w:t>Application of Chapter</w:t>
      </w:r>
      <w:r>
        <w:tab/>
      </w:r>
      <w:r>
        <w:fldChar w:fldCharType="begin"/>
      </w:r>
      <w:r>
        <w:instrText xml:space="preserve"> PAGEREF _Toc88662046 \h </w:instrText>
      </w:r>
      <w:r>
        <w:fldChar w:fldCharType="separate"/>
      </w:r>
      <w:r>
        <w:t>46</w:t>
      </w:r>
      <w:r>
        <w:fldChar w:fldCharType="end"/>
      </w:r>
    </w:p>
    <w:p>
      <w:pPr>
        <w:pStyle w:val="TOC8"/>
        <w:rPr>
          <w:rFonts w:asciiTheme="minorHAnsi" w:eastAsiaTheme="minorEastAsia" w:hAnsiTheme="minorHAnsi" w:cstheme="minorBidi"/>
          <w:szCs w:val="22"/>
        </w:rPr>
      </w:pPr>
      <w:r>
        <w:t>10K.</w:t>
      </w:r>
      <w:r>
        <w:tab/>
        <w:t>Terms used</w:t>
      </w:r>
      <w:r>
        <w:tab/>
      </w:r>
      <w:r>
        <w:fldChar w:fldCharType="begin"/>
      </w:r>
      <w:r>
        <w:instrText xml:space="preserve"> PAGEREF _Toc88662047 \h </w:instrText>
      </w:r>
      <w:r>
        <w:fldChar w:fldCharType="separate"/>
      </w:r>
      <w:r>
        <w:t>46</w:t>
      </w:r>
      <w:r>
        <w:fldChar w:fldCharType="end"/>
      </w:r>
    </w:p>
    <w:p>
      <w:pPr>
        <w:pStyle w:val="TOC8"/>
        <w:rPr>
          <w:rFonts w:asciiTheme="minorHAnsi" w:eastAsiaTheme="minorEastAsia" w:hAnsiTheme="minorHAnsi" w:cstheme="minorBidi"/>
          <w:szCs w:val="22"/>
        </w:rPr>
      </w:pPr>
      <w:r>
        <w:t>10L.</w:t>
      </w:r>
      <w:r>
        <w:tab/>
        <w:t>Charge of indictable offence committed in period when written law amended</w:t>
      </w:r>
      <w:r>
        <w:tab/>
      </w:r>
      <w:r>
        <w:fldChar w:fldCharType="begin"/>
      </w:r>
      <w:r>
        <w:instrText xml:space="preserve"> PAGEREF _Toc88662048 \h </w:instrText>
      </w:r>
      <w:r>
        <w:fldChar w:fldCharType="separate"/>
      </w:r>
      <w:r>
        <w:t>47</w:t>
      </w:r>
      <w:r>
        <w:fldChar w:fldCharType="end"/>
      </w:r>
    </w:p>
    <w:p>
      <w:pPr>
        <w:pStyle w:val="TOC8"/>
        <w:rPr>
          <w:rFonts w:asciiTheme="minorHAnsi" w:eastAsiaTheme="minorEastAsia" w:hAnsiTheme="minorHAnsi" w:cstheme="minorBidi"/>
          <w:szCs w:val="22"/>
        </w:rPr>
      </w:pPr>
      <w:r>
        <w:t>10M.</w:t>
      </w:r>
      <w:r>
        <w:tab/>
        <w:t>Charge of sexual offence committed in period when victim has birthday</w:t>
      </w:r>
      <w:r>
        <w:tab/>
      </w:r>
      <w:r>
        <w:fldChar w:fldCharType="begin"/>
      </w:r>
      <w:r>
        <w:instrText xml:space="preserve"> PAGEREF _Toc88662049 \h </w:instrText>
      </w:r>
      <w:r>
        <w:fldChar w:fldCharType="separate"/>
      </w:r>
      <w:r>
        <w:t>48</w:t>
      </w:r>
      <w:r>
        <w:fldChar w:fldCharType="end"/>
      </w:r>
    </w:p>
    <w:p>
      <w:pPr>
        <w:pStyle w:val="TOC8"/>
        <w:rPr>
          <w:rFonts w:asciiTheme="minorHAnsi" w:eastAsiaTheme="minorEastAsia" w:hAnsiTheme="minorHAnsi" w:cstheme="minorBidi"/>
          <w:szCs w:val="22"/>
        </w:rPr>
      </w:pPr>
      <w:r>
        <w:t>10N.</w:t>
      </w:r>
      <w:r>
        <w:tab/>
        <w:t>Charge of sexual offence when victim’s age uncertain</w:t>
      </w:r>
      <w:r>
        <w:tab/>
      </w:r>
      <w:r>
        <w:fldChar w:fldCharType="begin"/>
      </w:r>
      <w:r>
        <w:instrText xml:space="preserve"> PAGEREF _Toc88662050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Chapter III</w:t>
      </w:r>
      <w:r>
        <w:rPr>
          <w:snapToGrid w:val="0"/>
        </w:rPr>
        <w:t> — </w:t>
      </w:r>
      <w:r>
        <w:t>Application of criminal law</w:t>
      </w:r>
    </w:p>
    <w:p>
      <w:pPr>
        <w:pStyle w:val="TOC8"/>
        <w:rPr>
          <w:rFonts w:asciiTheme="minorHAnsi" w:eastAsiaTheme="minorEastAsia" w:hAnsiTheme="minorHAnsi" w:cstheme="minorBidi"/>
          <w:szCs w:val="22"/>
        </w:rPr>
      </w:pPr>
      <w:r>
        <w:t>11</w:t>
      </w:r>
      <w:r>
        <w:rPr>
          <w:snapToGrid w:val="0"/>
        </w:rPr>
        <w:t>.</w:t>
      </w:r>
      <w:r>
        <w:rPr>
          <w:snapToGrid w:val="0"/>
        </w:rPr>
        <w:tab/>
        <w:t>Effect of changes in law</w:t>
      </w:r>
      <w:r>
        <w:tab/>
      </w:r>
      <w:r>
        <w:fldChar w:fldCharType="begin"/>
      </w:r>
      <w:r>
        <w:instrText xml:space="preserve"> PAGEREF _Toc88662052 \h </w:instrText>
      </w:r>
      <w:r>
        <w:fldChar w:fldCharType="separate"/>
      </w:r>
      <w:r>
        <w:t>49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Territorial application of criminal law</w:t>
      </w:r>
      <w:r>
        <w:tab/>
      </w:r>
      <w:r>
        <w:fldChar w:fldCharType="begin"/>
      </w:r>
      <w:r>
        <w:instrText xml:space="preserve"> PAGEREF _Toc88662053 \h </w:instrText>
      </w:r>
      <w:r>
        <w:fldChar w:fldCharType="separate"/>
      </w:r>
      <w:r>
        <w:t>50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Offence aided, counselled or procured by person out of WA</w:t>
      </w:r>
      <w:r>
        <w:tab/>
      </w:r>
      <w:r>
        <w:fldChar w:fldCharType="begin"/>
      </w:r>
      <w:r>
        <w:instrText xml:space="preserve"> PAGEREF _Toc88662054 \h </w:instrText>
      </w:r>
      <w:r>
        <w:fldChar w:fldCharType="separate"/>
      </w:r>
      <w:r>
        <w:t>50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Offence procured in WA to be committed out of WA</w:t>
      </w:r>
      <w:r>
        <w:tab/>
      </w:r>
      <w:r>
        <w:fldChar w:fldCharType="begin"/>
      </w:r>
      <w:r>
        <w:instrText xml:space="preserve"> PAGEREF _Toc88662055 \h </w:instrText>
      </w:r>
      <w:r>
        <w:fldChar w:fldCharType="separate"/>
      </w:r>
      <w:r>
        <w:t>51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Defence force not exempt from Code</w:t>
      </w:r>
      <w:r>
        <w:tab/>
      </w:r>
      <w:r>
        <w:fldChar w:fldCharType="begin"/>
      </w:r>
      <w:r>
        <w:instrText xml:space="preserve"> PAGEREF _Toc88662056 \h </w:instrText>
      </w:r>
      <w:r>
        <w:fldChar w:fldCharType="separate"/>
      </w:r>
      <w:r>
        <w:t>51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Previous conviction or acquittal a defence</w:t>
      </w:r>
      <w:r>
        <w:tab/>
      </w:r>
      <w:r>
        <w:fldChar w:fldCharType="begin"/>
      </w:r>
      <w:r>
        <w:instrText xml:space="preserve"> PAGEREF _Toc88662057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Chapter V</w:t>
      </w:r>
      <w:r>
        <w:rPr>
          <w:snapToGrid w:val="0"/>
        </w:rPr>
        <w:t> — </w:t>
      </w:r>
      <w:r>
        <w:t>Criminal responsibility</w:t>
      </w:r>
    </w:p>
    <w:p>
      <w:pPr>
        <w:pStyle w:val="TOC8"/>
        <w:rPr>
          <w:rFonts w:asciiTheme="minorHAnsi" w:eastAsiaTheme="minorEastAsia" w:hAnsiTheme="minorHAnsi" w:cstheme="minorBidi"/>
          <w:szCs w:val="22"/>
        </w:rPr>
      </w:pPr>
      <w:r>
        <w:t>22</w:t>
      </w:r>
      <w:r>
        <w:rPr>
          <w:snapToGrid w:val="0"/>
        </w:rPr>
        <w:t>.</w:t>
      </w:r>
      <w:r>
        <w:rPr>
          <w:snapToGrid w:val="0"/>
        </w:rPr>
        <w:tab/>
        <w:t>Ignorance of law, honest claim of right</w:t>
      </w:r>
      <w:r>
        <w:tab/>
      </w:r>
      <w:r>
        <w:fldChar w:fldCharType="begin"/>
      </w:r>
      <w:r>
        <w:instrText xml:space="preserve"> PAGEREF _Toc88662059 \h </w:instrText>
      </w:r>
      <w:r>
        <w:fldChar w:fldCharType="separate"/>
      </w:r>
      <w:r>
        <w:t>52</w:t>
      </w:r>
      <w:r>
        <w:fldChar w:fldCharType="end"/>
      </w:r>
    </w:p>
    <w:p>
      <w:pPr>
        <w:pStyle w:val="TOC8"/>
        <w:rPr>
          <w:rFonts w:asciiTheme="minorHAnsi" w:eastAsiaTheme="minorEastAsia" w:hAnsiTheme="minorHAnsi" w:cstheme="minorBidi"/>
          <w:szCs w:val="22"/>
        </w:rPr>
      </w:pPr>
      <w:r>
        <w:t>23.</w:t>
      </w:r>
      <w:r>
        <w:tab/>
        <w:t>Intention and motive</w:t>
      </w:r>
      <w:r>
        <w:tab/>
      </w:r>
      <w:r>
        <w:fldChar w:fldCharType="begin"/>
      </w:r>
      <w:r>
        <w:instrText xml:space="preserve"> PAGEREF _Toc88662060 \h </w:instrText>
      </w:r>
      <w:r>
        <w:fldChar w:fldCharType="separate"/>
      </w:r>
      <w:r>
        <w:t>52</w:t>
      </w:r>
      <w:r>
        <w:fldChar w:fldCharType="end"/>
      </w:r>
    </w:p>
    <w:p>
      <w:pPr>
        <w:pStyle w:val="TOC8"/>
        <w:rPr>
          <w:rFonts w:asciiTheme="minorHAnsi" w:eastAsiaTheme="minorEastAsia" w:hAnsiTheme="minorHAnsi" w:cstheme="minorBidi"/>
          <w:szCs w:val="22"/>
        </w:rPr>
      </w:pPr>
      <w:r>
        <w:t>23A.</w:t>
      </w:r>
      <w:r>
        <w:tab/>
        <w:t>Unwilled acts and omissions</w:t>
      </w:r>
      <w:r>
        <w:tab/>
      </w:r>
      <w:r>
        <w:fldChar w:fldCharType="begin"/>
      </w:r>
      <w:r>
        <w:instrText xml:space="preserve"> PAGEREF _Toc88662061 \h </w:instrText>
      </w:r>
      <w:r>
        <w:fldChar w:fldCharType="separate"/>
      </w:r>
      <w:r>
        <w:t>53</w:t>
      </w:r>
      <w:r>
        <w:fldChar w:fldCharType="end"/>
      </w:r>
    </w:p>
    <w:p>
      <w:pPr>
        <w:pStyle w:val="TOC8"/>
        <w:rPr>
          <w:rFonts w:asciiTheme="minorHAnsi" w:eastAsiaTheme="minorEastAsia" w:hAnsiTheme="minorHAnsi" w:cstheme="minorBidi"/>
          <w:szCs w:val="22"/>
        </w:rPr>
      </w:pPr>
      <w:r>
        <w:t>23B.</w:t>
      </w:r>
      <w:r>
        <w:tab/>
        <w:t>Accident</w:t>
      </w:r>
      <w:r>
        <w:tab/>
      </w:r>
      <w:r>
        <w:fldChar w:fldCharType="begin"/>
      </w:r>
      <w:r>
        <w:instrText xml:space="preserve"> PAGEREF _Toc88662062 \h </w:instrText>
      </w:r>
      <w:r>
        <w:fldChar w:fldCharType="separate"/>
      </w:r>
      <w:r>
        <w:t>53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Mistake of fact</w:t>
      </w:r>
      <w:r>
        <w:tab/>
      </w:r>
      <w:r>
        <w:fldChar w:fldCharType="begin"/>
      </w:r>
      <w:r>
        <w:instrText xml:space="preserve"> PAGEREF _Toc88662063 \h </w:instrText>
      </w:r>
      <w:r>
        <w:fldChar w:fldCharType="separate"/>
      </w:r>
      <w:r>
        <w:t>54</w:t>
      </w:r>
      <w:r>
        <w:fldChar w:fldCharType="end"/>
      </w:r>
    </w:p>
    <w:p>
      <w:pPr>
        <w:pStyle w:val="TOC8"/>
        <w:rPr>
          <w:rFonts w:asciiTheme="minorHAnsi" w:eastAsiaTheme="minorEastAsia" w:hAnsiTheme="minorHAnsi" w:cstheme="minorBidi"/>
          <w:szCs w:val="22"/>
        </w:rPr>
      </w:pPr>
      <w:r>
        <w:t>25.</w:t>
      </w:r>
      <w:r>
        <w:tab/>
        <w:t>Emergency</w:t>
      </w:r>
      <w:r>
        <w:tab/>
      </w:r>
      <w:r>
        <w:fldChar w:fldCharType="begin"/>
      </w:r>
      <w:r>
        <w:instrText xml:space="preserve"> PAGEREF _Toc88662064 \h </w:instrText>
      </w:r>
      <w:r>
        <w:fldChar w:fldCharType="separate"/>
      </w:r>
      <w:r>
        <w:t>54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Presumption of sanity</w:t>
      </w:r>
      <w:r>
        <w:tab/>
      </w:r>
      <w:r>
        <w:fldChar w:fldCharType="begin"/>
      </w:r>
      <w:r>
        <w:instrText xml:space="preserve"> PAGEREF _Toc88662065 \h </w:instrText>
      </w:r>
      <w:r>
        <w:fldChar w:fldCharType="separate"/>
      </w:r>
      <w:r>
        <w:t>54</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Insanity</w:t>
      </w:r>
      <w:r>
        <w:tab/>
      </w:r>
      <w:r>
        <w:fldChar w:fldCharType="begin"/>
      </w:r>
      <w:r>
        <w:instrText xml:space="preserve"> PAGEREF _Toc88662066 \h </w:instrText>
      </w:r>
      <w:r>
        <w:fldChar w:fldCharType="separate"/>
      </w:r>
      <w:r>
        <w:t>55</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Intoxication</w:t>
      </w:r>
      <w:r>
        <w:tab/>
      </w:r>
      <w:r>
        <w:fldChar w:fldCharType="begin"/>
      </w:r>
      <w:r>
        <w:instrText xml:space="preserve"> PAGEREF _Toc88662067 \h </w:instrText>
      </w:r>
      <w:r>
        <w:fldChar w:fldCharType="separate"/>
      </w:r>
      <w:r>
        <w:t>55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Immature age</w:t>
      </w:r>
      <w:r>
        <w:tab/>
      </w:r>
      <w:r>
        <w:fldChar w:fldCharType="begin"/>
      </w:r>
      <w:r>
        <w:instrText xml:space="preserve"> PAGEREF _Toc88662068 \h </w:instrText>
      </w:r>
      <w:r>
        <w:fldChar w:fldCharType="separate"/>
      </w:r>
      <w:r>
        <w:t>55</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Judicial officers</w:t>
      </w:r>
      <w:r>
        <w:tab/>
      </w:r>
      <w:r>
        <w:fldChar w:fldCharType="begin"/>
      </w:r>
      <w:r>
        <w:instrText xml:space="preserve"> PAGEREF _Toc88662069 \h </w:instrText>
      </w:r>
      <w:r>
        <w:fldChar w:fldCharType="separate"/>
      </w:r>
      <w:r>
        <w:t>56</w:t>
      </w:r>
      <w:r>
        <w:fldChar w:fldCharType="end"/>
      </w:r>
    </w:p>
    <w:p>
      <w:pPr>
        <w:pStyle w:val="TOC8"/>
        <w:rPr>
          <w:rFonts w:asciiTheme="minorHAnsi" w:eastAsiaTheme="minorEastAsia" w:hAnsiTheme="minorHAnsi" w:cstheme="minorBidi"/>
          <w:szCs w:val="22"/>
        </w:rPr>
      </w:pPr>
      <w:r>
        <w:t>31.</w:t>
      </w:r>
      <w:r>
        <w:tab/>
        <w:t>Lawful authority</w:t>
      </w:r>
      <w:r>
        <w:tab/>
      </w:r>
      <w:r>
        <w:fldChar w:fldCharType="begin"/>
      </w:r>
      <w:r>
        <w:instrText xml:space="preserve"> PAGEREF _Toc88662070 \h </w:instrText>
      </w:r>
      <w:r>
        <w:fldChar w:fldCharType="separate"/>
      </w:r>
      <w:r>
        <w:t>56</w:t>
      </w:r>
      <w:r>
        <w:fldChar w:fldCharType="end"/>
      </w:r>
    </w:p>
    <w:p>
      <w:pPr>
        <w:pStyle w:val="TOC8"/>
        <w:rPr>
          <w:rFonts w:asciiTheme="minorHAnsi" w:eastAsiaTheme="minorEastAsia" w:hAnsiTheme="minorHAnsi" w:cstheme="minorBidi"/>
          <w:szCs w:val="22"/>
        </w:rPr>
      </w:pPr>
      <w:r>
        <w:t>32.</w:t>
      </w:r>
      <w:r>
        <w:tab/>
        <w:t>Duress</w:t>
      </w:r>
      <w:r>
        <w:tab/>
      </w:r>
      <w:r>
        <w:fldChar w:fldCharType="begin"/>
      </w:r>
      <w:r>
        <w:instrText xml:space="preserve"> PAGEREF _Toc88662071 \h </w:instrText>
      </w:r>
      <w:r>
        <w:fldChar w:fldCharType="separate"/>
      </w:r>
      <w:r>
        <w:t>56</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Offences by partners and members of companies with respect to partnership or corporate property</w:t>
      </w:r>
      <w:r>
        <w:tab/>
      </w:r>
      <w:r>
        <w:fldChar w:fldCharType="begin"/>
      </w:r>
      <w:r>
        <w:instrText xml:space="preserve"> PAGEREF _Toc88662072 \h </w:instrText>
      </w:r>
      <w:r>
        <w:fldChar w:fldCharType="separate"/>
      </w:r>
      <w:r>
        <w:t>57</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Application of Chapter V</w:t>
      </w:r>
      <w:r>
        <w:tab/>
      </w:r>
      <w:r>
        <w:fldChar w:fldCharType="begin"/>
      </w:r>
      <w:r>
        <w:instrText xml:space="preserve"> PAGEREF _Toc88662073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II — Offences against public order</w:t>
      </w:r>
    </w:p>
    <w:p>
      <w:pPr>
        <w:pStyle w:val="TOC4"/>
        <w:tabs>
          <w:tab w:val="right" w:leader="dot" w:pos="7077"/>
        </w:tabs>
        <w:rPr>
          <w:rFonts w:asciiTheme="minorHAnsi" w:eastAsiaTheme="minorEastAsia" w:hAnsiTheme="minorHAnsi" w:cstheme="minorBidi"/>
          <w:b w:val="0"/>
          <w:szCs w:val="22"/>
        </w:rPr>
      </w:pPr>
      <w:r>
        <w:t>Chapter VII</w:t>
      </w:r>
      <w:r>
        <w:rPr>
          <w:snapToGrid w:val="0"/>
        </w:rPr>
        <w:t> — </w:t>
      </w:r>
      <w:r>
        <w:t>Sedition</w:t>
      </w:r>
    </w:p>
    <w:p>
      <w:pPr>
        <w:pStyle w:val="TOC8"/>
        <w:rPr>
          <w:rFonts w:asciiTheme="minorHAnsi" w:eastAsiaTheme="minorEastAsia" w:hAnsiTheme="minorHAnsi" w:cstheme="minorBidi"/>
          <w:szCs w:val="22"/>
        </w:rPr>
      </w:pPr>
      <w:r>
        <w:t>44</w:t>
      </w:r>
      <w:r>
        <w:rPr>
          <w:snapToGrid w:val="0"/>
        </w:rPr>
        <w:t>.</w:t>
      </w:r>
      <w:r>
        <w:rPr>
          <w:snapToGrid w:val="0"/>
        </w:rPr>
        <w:tab/>
        <w:t xml:space="preserve">Term used: </w:t>
      </w:r>
      <w:r>
        <w:rPr>
          <w:bCs/>
          <w:iCs/>
        </w:rPr>
        <w:t>seditious intention</w:t>
      </w:r>
      <w:r>
        <w:tab/>
      </w:r>
      <w:r>
        <w:fldChar w:fldCharType="begin"/>
      </w:r>
      <w:r>
        <w:instrText xml:space="preserve"> PAGEREF _Toc88662076 \h </w:instrText>
      </w:r>
      <w:r>
        <w:fldChar w:fldCharType="separate"/>
      </w:r>
      <w:r>
        <w:t>58</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Acts excepted from s. 44</w:t>
      </w:r>
      <w:r>
        <w:tab/>
      </w:r>
      <w:r>
        <w:fldChar w:fldCharType="begin"/>
      </w:r>
      <w:r>
        <w:instrText xml:space="preserve"> PAGEREF _Toc88662077 \h </w:instrText>
      </w:r>
      <w:r>
        <w:fldChar w:fldCharType="separate"/>
      </w:r>
      <w:r>
        <w:t>58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 xml:space="preserve">Terms used: </w:t>
      </w:r>
      <w:r>
        <w:rPr>
          <w:bCs/>
          <w:iCs/>
        </w:rPr>
        <w:t>seditious enterprise</w:t>
      </w:r>
      <w:r>
        <w:t xml:space="preserve">, </w:t>
      </w:r>
      <w:r>
        <w:rPr>
          <w:bCs/>
          <w:iCs/>
        </w:rPr>
        <w:t>seditious words</w:t>
      </w:r>
      <w:r>
        <w:t>, seditious writing</w:t>
      </w:r>
      <w:r>
        <w:tab/>
      </w:r>
      <w:r>
        <w:fldChar w:fldCharType="begin"/>
      </w:r>
      <w:r>
        <w:instrText xml:space="preserve"> PAGEREF _Toc88662078 \h </w:instrText>
      </w:r>
      <w:r>
        <w:fldChar w:fldCharType="separate"/>
      </w:r>
      <w:r>
        <w:t>59</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Oath to kill person</w:t>
      </w:r>
      <w:r>
        <w:tab/>
      </w:r>
      <w:r>
        <w:fldChar w:fldCharType="begin"/>
      </w:r>
      <w:r>
        <w:instrText xml:space="preserve"> PAGEREF _Toc88662079 \h </w:instrText>
      </w:r>
      <w:r>
        <w:fldChar w:fldCharType="separate"/>
      </w:r>
      <w:r>
        <w:t>59</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Other unlawful oaths</w:t>
      </w:r>
      <w:r>
        <w:tab/>
      </w:r>
      <w:r>
        <w:fldChar w:fldCharType="begin"/>
      </w:r>
      <w:r>
        <w:instrText xml:space="preserve"> PAGEREF _Toc88662080 \h </w:instrText>
      </w:r>
      <w:r>
        <w:fldChar w:fldCharType="separate"/>
      </w:r>
      <w:r>
        <w:t>60</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Compulsion, how far a defence to s. 47 and 48</w:t>
      </w:r>
      <w:r>
        <w:tab/>
      </w:r>
      <w:r>
        <w:fldChar w:fldCharType="begin"/>
      </w:r>
      <w:r>
        <w:instrText xml:space="preserve"> PAGEREF _Toc88662081 \h </w:instrText>
      </w:r>
      <w:r>
        <w:fldChar w:fldCharType="separate"/>
      </w:r>
      <w:r>
        <w:t>61</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Unlawful military activities</w:t>
      </w:r>
      <w:r>
        <w:tab/>
      </w:r>
      <w:r>
        <w:fldChar w:fldCharType="begin"/>
      </w:r>
      <w:r>
        <w:instrText xml:space="preserve"> PAGEREF _Toc88662082 \h </w:instrText>
      </w:r>
      <w:r>
        <w:fldChar w:fldCharType="separate"/>
      </w:r>
      <w:r>
        <w:t>61</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Sedition</w:t>
      </w:r>
      <w:r>
        <w:tab/>
      </w:r>
      <w:r>
        <w:fldChar w:fldCharType="begin"/>
      </w:r>
      <w:r>
        <w:instrText xml:space="preserve"> PAGEREF _Toc88662083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Chapter VIII</w:t>
      </w:r>
      <w:r>
        <w:rPr>
          <w:snapToGrid w:val="0"/>
        </w:rPr>
        <w:t> — </w:t>
      </w:r>
      <w:r>
        <w:t>Offences against the executive and legislative power</w:t>
      </w:r>
    </w:p>
    <w:p>
      <w:pPr>
        <w:pStyle w:val="TOC8"/>
        <w:rPr>
          <w:rFonts w:asciiTheme="minorHAnsi" w:eastAsiaTheme="minorEastAsia" w:hAnsiTheme="minorHAnsi" w:cstheme="minorBidi"/>
          <w:szCs w:val="22"/>
        </w:rPr>
      </w:pPr>
      <w:r>
        <w:t>54</w:t>
      </w:r>
      <w:r>
        <w:rPr>
          <w:snapToGrid w:val="0"/>
        </w:rPr>
        <w:t>.</w:t>
      </w:r>
      <w:r>
        <w:rPr>
          <w:snapToGrid w:val="0"/>
        </w:rPr>
        <w:tab/>
        <w:t>Interfering with Governor or Ministers</w:t>
      </w:r>
      <w:r>
        <w:tab/>
      </w:r>
      <w:r>
        <w:fldChar w:fldCharType="begin"/>
      </w:r>
      <w:r>
        <w:instrText xml:space="preserve"> PAGEREF _Toc88662085 \h </w:instrText>
      </w:r>
      <w:r>
        <w:fldChar w:fldCharType="separate"/>
      </w:r>
      <w:r>
        <w:t>63</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Interfering with legislature</w:t>
      </w:r>
      <w:r>
        <w:tab/>
      </w:r>
      <w:r>
        <w:fldChar w:fldCharType="begin"/>
      </w:r>
      <w:r>
        <w:instrText xml:space="preserve"> PAGEREF _Toc88662086 \h </w:instrText>
      </w:r>
      <w:r>
        <w:fldChar w:fldCharType="separate"/>
      </w:r>
      <w:r>
        <w:t>63</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Disturbing Parliament</w:t>
      </w:r>
      <w:r>
        <w:tab/>
      </w:r>
      <w:r>
        <w:fldChar w:fldCharType="begin"/>
      </w:r>
      <w:r>
        <w:instrText xml:space="preserve"> PAGEREF _Toc88662087 \h </w:instrText>
      </w:r>
      <w:r>
        <w:fldChar w:fldCharType="separate"/>
      </w:r>
      <w:r>
        <w:t>64</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False evidence before Parliament</w:t>
      </w:r>
      <w:r>
        <w:tab/>
      </w:r>
      <w:r>
        <w:fldChar w:fldCharType="begin"/>
      </w:r>
      <w:r>
        <w:instrText xml:space="preserve"> PAGEREF _Toc88662088 \h </w:instrText>
      </w:r>
      <w:r>
        <w:fldChar w:fldCharType="separate"/>
      </w:r>
      <w:r>
        <w:t>64</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Threatening witness before Parliament</w:t>
      </w:r>
      <w:r>
        <w:tab/>
      </w:r>
      <w:r>
        <w:fldChar w:fldCharType="begin"/>
      </w:r>
      <w:r>
        <w:instrText xml:space="preserve"> PAGEREF _Toc88662089 \h </w:instrText>
      </w:r>
      <w:r>
        <w:fldChar w:fldCharType="separate"/>
      </w:r>
      <w:r>
        <w:t>64</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Witness not attending or giving evidence before Parliament</w:t>
      </w:r>
      <w:r>
        <w:tab/>
      </w:r>
      <w:r>
        <w:fldChar w:fldCharType="begin"/>
      </w:r>
      <w:r>
        <w:instrText xml:space="preserve"> PAGEREF _Toc88662090 \h </w:instrText>
      </w:r>
      <w:r>
        <w:fldChar w:fldCharType="separate"/>
      </w:r>
      <w:r>
        <w:t>65</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Member of Parliament receiving bribe</w:t>
      </w:r>
      <w:r>
        <w:tab/>
      </w:r>
      <w:r>
        <w:fldChar w:fldCharType="begin"/>
      </w:r>
      <w:r>
        <w:instrText xml:space="preserve"> PAGEREF _Toc88662091 \h </w:instrText>
      </w:r>
      <w:r>
        <w:fldChar w:fldCharType="separate"/>
      </w:r>
      <w:r>
        <w:t>65</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Bribery of member of Parliament</w:t>
      </w:r>
      <w:r>
        <w:tab/>
      </w:r>
      <w:r>
        <w:fldChar w:fldCharType="begin"/>
      </w:r>
      <w:r>
        <w:instrText xml:space="preserve"> PAGEREF _Toc88662092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Chapter IX</w:t>
      </w:r>
      <w:r>
        <w:rPr>
          <w:snapToGrid w:val="0"/>
        </w:rPr>
        <w:t> — </w:t>
      </w:r>
      <w:r>
        <w:t>Unlawful assemblies: Breaches of the peace</w:t>
      </w:r>
    </w:p>
    <w:p>
      <w:pPr>
        <w:pStyle w:val="TOC8"/>
        <w:rPr>
          <w:rFonts w:asciiTheme="minorHAnsi" w:eastAsiaTheme="minorEastAsia" w:hAnsiTheme="minorHAnsi" w:cstheme="minorBidi"/>
          <w:szCs w:val="22"/>
        </w:rPr>
      </w:pPr>
      <w:r>
        <w:t>62</w:t>
      </w:r>
      <w:r>
        <w:rPr>
          <w:snapToGrid w:val="0"/>
        </w:rPr>
        <w:t>.</w:t>
      </w:r>
      <w:r>
        <w:rPr>
          <w:snapToGrid w:val="0"/>
        </w:rPr>
        <w:tab/>
        <w:t xml:space="preserve">Terms used: </w:t>
      </w:r>
      <w:r>
        <w:rPr>
          <w:bCs/>
        </w:rPr>
        <w:t>unlawful assembly</w:t>
      </w:r>
      <w:r>
        <w:rPr>
          <w:snapToGrid w:val="0"/>
        </w:rPr>
        <w:t xml:space="preserve">, </w:t>
      </w:r>
      <w:r>
        <w:rPr>
          <w:bCs/>
        </w:rPr>
        <w:t>riot</w:t>
      </w:r>
      <w:r>
        <w:t>,</w:t>
      </w:r>
      <w:r>
        <w:rPr>
          <w:i/>
          <w:iCs/>
        </w:rPr>
        <w:t xml:space="preserve"> </w:t>
      </w:r>
      <w:r>
        <w:rPr>
          <w:iCs/>
        </w:rPr>
        <w:t>riotously assembled</w:t>
      </w:r>
      <w:r>
        <w:tab/>
      </w:r>
      <w:r>
        <w:fldChar w:fldCharType="begin"/>
      </w:r>
      <w:r>
        <w:instrText xml:space="preserve"> PAGEREF _Toc88662094 \h </w:instrText>
      </w:r>
      <w:r>
        <w:fldChar w:fldCharType="separate"/>
      </w:r>
      <w:r>
        <w:t>67</w:t>
      </w:r>
      <w:r>
        <w:fldChar w:fldCharType="end"/>
      </w:r>
    </w:p>
    <w:p>
      <w:pPr>
        <w:pStyle w:val="TOC8"/>
        <w:rPr>
          <w:rFonts w:asciiTheme="minorHAnsi" w:eastAsiaTheme="minorEastAsia" w:hAnsiTheme="minorHAnsi" w:cstheme="minorBidi"/>
          <w:szCs w:val="22"/>
        </w:rPr>
      </w:pPr>
      <w:r>
        <w:t>63.</w:t>
      </w:r>
      <w:r>
        <w:tab/>
        <w:t>Taking part in an unlawful assembly</w:t>
      </w:r>
      <w:r>
        <w:tab/>
      </w:r>
      <w:r>
        <w:fldChar w:fldCharType="begin"/>
      </w:r>
      <w:r>
        <w:instrText xml:space="preserve"> PAGEREF _Toc88662095 \h </w:instrText>
      </w:r>
      <w:r>
        <w:fldChar w:fldCharType="separate"/>
      </w:r>
      <w:r>
        <w:t>67</w:t>
      </w:r>
      <w:r>
        <w:fldChar w:fldCharType="end"/>
      </w:r>
    </w:p>
    <w:p>
      <w:pPr>
        <w:pStyle w:val="TOC8"/>
        <w:rPr>
          <w:rFonts w:asciiTheme="minorHAnsi" w:eastAsiaTheme="minorEastAsia" w:hAnsiTheme="minorHAnsi" w:cstheme="minorBidi"/>
          <w:szCs w:val="22"/>
        </w:rPr>
      </w:pPr>
      <w:r>
        <w:t>64.</w:t>
      </w:r>
      <w:r>
        <w:tab/>
        <w:t>Unlawful assembly may be ordered to disperse</w:t>
      </w:r>
      <w:r>
        <w:tab/>
      </w:r>
      <w:r>
        <w:fldChar w:fldCharType="begin"/>
      </w:r>
      <w:r>
        <w:instrText xml:space="preserve"> PAGEREF _Toc88662096 \h </w:instrText>
      </w:r>
      <w:r>
        <w:fldChar w:fldCharType="separate"/>
      </w:r>
      <w:r>
        <w:t>67</w:t>
      </w:r>
      <w:r>
        <w:fldChar w:fldCharType="end"/>
      </w:r>
    </w:p>
    <w:p>
      <w:pPr>
        <w:pStyle w:val="TOC8"/>
        <w:rPr>
          <w:rFonts w:asciiTheme="minorHAnsi" w:eastAsiaTheme="minorEastAsia" w:hAnsiTheme="minorHAnsi" w:cstheme="minorBidi"/>
          <w:szCs w:val="22"/>
        </w:rPr>
      </w:pPr>
      <w:r>
        <w:t>65.</w:t>
      </w:r>
      <w:r>
        <w:tab/>
        <w:t>Taking part in riot</w:t>
      </w:r>
      <w:r>
        <w:tab/>
      </w:r>
      <w:r>
        <w:fldChar w:fldCharType="begin"/>
      </w:r>
      <w:r>
        <w:instrText xml:space="preserve"> PAGEREF _Toc88662097 \h </w:instrText>
      </w:r>
      <w:r>
        <w:fldChar w:fldCharType="separate"/>
      </w:r>
      <w:r>
        <w:t>68</w:t>
      </w:r>
      <w:r>
        <w:fldChar w:fldCharType="end"/>
      </w:r>
    </w:p>
    <w:p>
      <w:pPr>
        <w:pStyle w:val="TOC8"/>
        <w:rPr>
          <w:rFonts w:asciiTheme="minorHAnsi" w:eastAsiaTheme="minorEastAsia" w:hAnsiTheme="minorHAnsi" w:cstheme="minorBidi"/>
          <w:szCs w:val="22"/>
        </w:rPr>
      </w:pPr>
      <w:r>
        <w:t>66.</w:t>
      </w:r>
      <w:r>
        <w:tab/>
        <w:t>Rioters may be ordered to disperse</w:t>
      </w:r>
      <w:r>
        <w:tab/>
      </w:r>
      <w:r>
        <w:fldChar w:fldCharType="begin"/>
      </w:r>
      <w:r>
        <w:instrText xml:space="preserve"> PAGEREF _Toc88662098 \h </w:instrText>
      </w:r>
      <w:r>
        <w:fldChar w:fldCharType="separate"/>
      </w:r>
      <w:r>
        <w:t>68</w:t>
      </w:r>
      <w:r>
        <w:fldChar w:fldCharType="end"/>
      </w:r>
    </w:p>
    <w:p>
      <w:pPr>
        <w:pStyle w:val="TOC8"/>
        <w:rPr>
          <w:rFonts w:asciiTheme="minorHAnsi" w:eastAsiaTheme="minorEastAsia" w:hAnsiTheme="minorHAnsi" w:cstheme="minorBidi"/>
          <w:szCs w:val="22"/>
        </w:rPr>
      </w:pPr>
      <w:r>
        <w:t>67.</w:t>
      </w:r>
      <w:r>
        <w:tab/>
        <w:t>Rioters causing damage</w:t>
      </w:r>
      <w:r>
        <w:tab/>
      </w:r>
      <w:r>
        <w:fldChar w:fldCharType="begin"/>
      </w:r>
      <w:r>
        <w:instrText xml:space="preserve"> PAGEREF _Toc88662099 \h </w:instrText>
      </w:r>
      <w:r>
        <w:fldChar w:fldCharType="separate"/>
      </w:r>
      <w:r>
        <w:t>68</w:t>
      </w:r>
      <w:r>
        <w:fldChar w:fldCharType="end"/>
      </w:r>
    </w:p>
    <w:p>
      <w:pPr>
        <w:pStyle w:val="TOC8"/>
        <w:rPr>
          <w:rFonts w:asciiTheme="minorHAnsi" w:eastAsiaTheme="minorEastAsia" w:hAnsiTheme="minorHAnsi" w:cstheme="minorBidi"/>
          <w:szCs w:val="22"/>
        </w:rPr>
      </w:pPr>
      <w:r>
        <w:t>68A.</w:t>
      </w:r>
      <w:r>
        <w:tab/>
        <w:t>Provisions about lawful excuses under s. 68B, 68C, 68D and 68E</w:t>
      </w:r>
      <w:r>
        <w:tab/>
      </w:r>
      <w:r>
        <w:fldChar w:fldCharType="begin"/>
      </w:r>
      <w:r>
        <w:instrText xml:space="preserve"> PAGEREF _Toc88662100 \h </w:instrText>
      </w:r>
      <w:r>
        <w:fldChar w:fldCharType="separate"/>
      </w:r>
      <w:r>
        <w:t>69</w:t>
      </w:r>
      <w:r>
        <w:fldChar w:fldCharType="end"/>
      </w:r>
    </w:p>
    <w:p>
      <w:pPr>
        <w:pStyle w:val="TOC8"/>
        <w:rPr>
          <w:rFonts w:asciiTheme="minorHAnsi" w:eastAsiaTheme="minorEastAsia" w:hAnsiTheme="minorHAnsi" w:cstheme="minorBidi"/>
          <w:szCs w:val="22"/>
        </w:rPr>
      </w:pPr>
      <w:r>
        <w:t>68B.</w:t>
      </w:r>
      <w:r>
        <w:tab/>
        <w:t>Being armed in or near place of public entertainment</w:t>
      </w:r>
      <w:r>
        <w:tab/>
      </w:r>
      <w:r>
        <w:fldChar w:fldCharType="begin"/>
      </w:r>
      <w:r>
        <w:instrText xml:space="preserve"> PAGEREF _Toc88662101 \h </w:instrText>
      </w:r>
      <w:r>
        <w:fldChar w:fldCharType="separate"/>
      </w:r>
      <w:r>
        <w:t>70</w:t>
      </w:r>
      <w:r>
        <w:fldChar w:fldCharType="end"/>
      </w:r>
    </w:p>
    <w:p>
      <w:pPr>
        <w:pStyle w:val="TOC8"/>
        <w:rPr>
          <w:rFonts w:asciiTheme="minorHAnsi" w:eastAsiaTheme="minorEastAsia" w:hAnsiTheme="minorHAnsi" w:cstheme="minorBidi"/>
          <w:szCs w:val="22"/>
        </w:rPr>
      </w:pPr>
      <w:r>
        <w:t>68C.</w:t>
      </w:r>
      <w:r>
        <w:tab/>
        <w:t>Being armed in public in company</w:t>
      </w:r>
      <w:r>
        <w:tab/>
      </w:r>
      <w:r>
        <w:fldChar w:fldCharType="begin"/>
      </w:r>
      <w:r>
        <w:instrText xml:space="preserve"> PAGEREF _Toc88662102 \h </w:instrText>
      </w:r>
      <w:r>
        <w:fldChar w:fldCharType="separate"/>
      </w:r>
      <w:r>
        <w:t>70</w:t>
      </w:r>
      <w:r>
        <w:fldChar w:fldCharType="end"/>
      </w:r>
    </w:p>
    <w:p>
      <w:pPr>
        <w:pStyle w:val="TOC8"/>
        <w:rPr>
          <w:rFonts w:asciiTheme="minorHAnsi" w:eastAsiaTheme="minorEastAsia" w:hAnsiTheme="minorHAnsi" w:cstheme="minorBidi"/>
          <w:szCs w:val="22"/>
        </w:rPr>
      </w:pPr>
      <w:r>
        <w:t>68D.</w:t>
      </w:r>
      <w:r>
        <w:tab/>
        <w:t>Having ready access to both weapon and cash</w:t>
      </w:r>
      <w:r>
        <w:tab/>
      </w:r>
      <w:r>
        <w:fldChar w:fldCharType="begin"/>
      </w:r>
      <w:r>
        <w:instrText xml:space="preserve"> PAGEREF _Toc88662103 \h </w:instrText>
      </w:r>
      <w:r>
        <w:fldChar w:fldCharType="separate"/>
      </w:r>
      <w:r>
        <w:t>71</w:t>
      </w:r>
      <w:r>
        <w:fldChar w:fldCharType="end"/>
      </w:r>
    </w:p>
    <w:p>
      <w:pPr>
        <w:pStyle w:val="TOC8"/>
        <w:rPr>
          <w:rFonts w:asciiTheme="minorHAnsi" w:eastAsiaTheme="minorEastAsia" w:hAnsiTheme="minorHAnsi" w:cstheme="minorBidi"/>
          <w:szCs w:val="22"/>
        </w:rPr>
      </w:pPr>
      <w:r>
        <w:lastRenderedPageBreak/>
        <w:t>68E.</w:t>
      </w:r>
      <w:r>
        <w:tab/>
        <w:t>Having ready access to both weapon and illegal drug</w:t>
      </w:r>
      <w:r>
        <w:tab/>
      </w:r>
      <w:r>
        <w:fldChar w:fldCharType="begin"/>
      </w:r>
      <w:r>
        <w:instrText xml:space="preserve"> PAGEREF _Toc88662104 \h </w:instrText>
      </w:r>
      <w:r>
        <w:fldChar w:fldCharType="separate"/>
      </w:r>
      <w:r>
        <w:t>71</w:t>
      </w:r>
      <w:r>
        <w:fldChar w:fldCharType="end"/>
      </w:r>
    </w:p>
    <w:p>
      <w:pPr>
        <w:pStyle w:val="TOC8"/>
        <w:rPr>
          <w:rFonts w:asciiTheme="minorHAnsi" w:eastAsiaTheme="minorEastAsia" w:hAnsiTheme="minorHAnsi" w:cstheme="minorBidi"/>
          <w:szCs w:val="22"/>
        </w:rPr>
      </w:pPr>
      <w:r>
        <w:t>68.</w:t>
      </w:r>
      <w:r>
        <w:tab/>
        <w:t>Being armed in a way that may cause fear</w:t>
      </w:r>
      <w:r>
        <w:tab/>
      </w:r>
      <w:r>
        <w:fldChar w:fldCharType="begin"/>
      </w:r>
      <w:r>
        <w:instrText xml:space="preserve"> PAGEREF _Toc88662105 \h </w:instrText>
      </w:r>
      <w:r>
        <w:fldChar w:fldCharType="separate"/>
      </w:r>
      <w:r>
        <w:t>72</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Forcibly entering land</w:t>
      </w:r>
      <w:r>
        <w:tab/>
      </w:r>
      <w:r>
        <w:fldChar w:fldCharType="begin"/>
      </w:r>
      <w:r>
        <w:instrText xml:space="preserve"> PAGEREF _Toc88662106 \h </w:instrText>
      </w:r>
      <w:r>
        <w:fldChar w:fldCharType="separate"/>
      </w:r>
      <w:r>
        <w:t>72</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Forcibly keeping possession of land</w:t>
      </w:r>
      <w:r>
        <w:tab/>
      </w:r>
      <w:r>
        <w:fldChar w:fldCharType="begin"/>
      </w:r>
      <w:r>
        <w:instrText xml:space="preserve"> PAGEREF _Toc88662107 \h </w:instrText>
      </w:r>
      <w:r>
        <w:fldChar w:fldCharType="separate"/>
      </w:r>
      <w:r>
        <w:t>73</w:t>
      </w:r>
      <w:r>
        <w:fldChar w:fldCharType="end"/>
      </w:r>
    </w:p>
    <w:p>
      <w:pPr>
        <w:pStyle w:val="TOC8"/>
        <w:rPr>
          <w:rFonts w:asciiTheme="minorHAnsi" w:eastAsiaTheme="minorEastAsia" w:hAnsiTheme="minorHAnsi" w:cstheme="minorBidi"/>
          <w:szCs w:val="22"/>
        </w:rPr>
      </w:pPr>
      <w:r>
        <w:t>70A.</w:t>
      </w:r>
      <w:r>
        <w:tab/>
        <w:t>Trespass</w:t>
      </w:r>
      <w:r>
        <w:tab/>
      </w:r>
      <w:r>
        <w:fldChar w:fldCharType="begin"/>
      </w:r>
      <w:r>
        <w:instrText xml:space="preserve"> PAGEREF _Toc88662108 \h </w:instrText>
      </w:r>
      <w:r>
        <w:fldChar w:fldCharType="separate"/>
      </w:r>
      <w:r>
        <w:t>73</w:t>
      </w:r>
      <w:r>
        <w:fldChar w:fldCharType="end"/>
      </w:r>
    </w:p>
    <w:p>
      <w:pPr>
        <w:pStyle w:val="TOC8"/>
        <w:rPr>
          <w:rFonts w:asciiTheme="minorHAnsi" w:eastAsiaTheme="minorEastAsia" w:hAnsiTheme="minorHAnsi" w:cstheme="minorBidi"/>
          <w:szCs w:val="22"/>
        </w:rPr>
      </w:pPr>
      <w:r>
        <w:t>70B.</w:t>
      </w:r>
      <w:r>
        <w:tab/>
        <w:t>Trespasser may be asked for name and address</w:t>
      </w:r>
      <w:r>
        <w:tab/>
      </w:r>
      <w:r>
        <w:fldChar w:fldCharType="begin"/>
      </w:r>
      <w:r>
        <w:instrText xml:space="preserve"> PAGEREF _Toc88662109 \h </w:instrText>
      </w:r>
      <w:r>
        <w:fldChar w:fldCharType="separate"/>
      </w:r>
      <w:r>
        <w:t>74</w:t>
      </w:r>
      <w:r>
        <w:fldChar w:fldCharType="end"/>
      </w:r>
    </w:p>
    <w:p>
      <w:pPr>
        <w:pStyle w:val="TOC8"/>
        <w:rPr>
          <w:rFonts w:asciiTheme="minorHAnsi" w:eastAsiaTheme="minorEastAsia" w:hAnsiTheme="minorHAnsi" w:cstheme="minorBidi"/>
          <w:szCs w:val="22"/>
        </w:rPr>
      </w:pPr>
      <w:r>
        <w:t>71.</w:t>
      </w:r>
      <w:r>
        <w:tab/>
        <w:t>Fighting in public causing fear</w:t>
      </w:r>
      <w:r>
        <w:tab/>
      </w:r>
      <w:r>
        <w:fldChar w:fldCharType="begin"/>
      </w:r>
      <w:r>
        <w:instrText xml:space="preserve"> PAGEREF _Toc88662110 \h </w:instrText>
      </w:r>
      <w:r>
        <w:fldChar w:fldCharType="separate"/>
      </w:r>
      <w:r>
        <w:t>75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Challenge to fight duel</w:t>
      </w:r>
      <w:r>
        <w:tab/>
      </w:r>
      <w:r>
        <w:fldChar w:fldCharType="begin"/>
      </w:r>
      <w:r>
        <w:instrText xml:space="preserve"> PAGEREF _Toc88662111 \h </w:instrText>
      </w:r>
      <w:r>
        <w:fldChar w:fldCharType="separate"/>
      </w:r>
      <w:r>
        <w:t>75</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Prize fight</w:t>
      </w:r>
      <w:r>
        <w:tab/>
      </w:r>
      <w:r>
        <w:fldChar w:fldCharType="begin"/>
      </w:r>
      <w:r>
        <w:instrText xml:space="preserve"> PAGEREF _Toc88662112 \h </w:instrText>
      </w:r>
      <w:r>
        <w:fldChar w:fldCharType="separate"/>
      </w:r>
      <w:r>
        <w:t>75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r>
      <w:r>
        <w:t>Threat toward dwelling</w:t>
      </w:r>
      <w:r>
        <w:tab/>
      </w:r>
      <w:r>
        <w:fldChar w:fldCharType="begin"/>
      </w:r>
      <w:r>
        <w:instrText xml:space="preserve"> PAGEREF _Toc88662113 \h </w:instrText>
      </w:r>
      <w:r>
        <w:fldChar w:fldCharType="separate"/>
      </w:r>
      <w:r>
        <w:t>75</w:t>
      </w:r>
      <w:r>
        <w:fldChar w:fldCharType="end"/>
      </w:r>
    </w:p>
    <w:p>
      <w:pPr>
        <w:pStyle w:val="TOC8"/>
        <w:rPr>
          <w:rFonts w:asciiTheme="minorHAnsi" w:eastAsiaTheme="minorEastAsia" w:hAnsiTheme="minorHAnsi" w:cstheme="minorBidi"/>
          <w:szCs w:val="22"/>
        </w:rPr>
      </w:pPr>
      <w:r>
        <w:t>74A.</w:t>
      </w:r>
      <w:r>
        <w:tab/>
        <w:t>Disorderly behaviour in public</w:t>
      </w:r>
      <w:r>
        <w:tab/>
      </w:r>
      <w:r>
        <w:fldChar w:fldCharType="begin"/>
      </w:r>
      <w:r>
        <w:instrText xml:space="preserve"> PAGEREF _Toc88662114 \h </w:instrText>
      </w:r>
      <w:r>
        <w:fldChar w:fldCharType="separate"/>
      </w:r>
      <w:r>
        <w:t>76</w:t>
      </w:r>
      <w:r>
        <w:fldChar w:fldCharType="end"/>
      </w:r>
    </w:p>
    <w:p>
      <w:pPr>
        <w:pStyle w:val="TOC8"/>
        <w:rPr>
          <w:rFonts w:asciiTheme="minorHAnsi" w:eastAsiaTheme="minorEastAsia" w:hAnsiTheme="minorHAnsi" w:cstheme="minorBidi"/>
          <w:szCs w:val="22"/>
        </w:rPr>
      </w:pPr>
      <w:r>
        <w:t>74B.</w:t>
      </w:r>
      <w:r>
        <w:tab/>
        <w:t>Causing fear or alarm to driver of conveyance or others</w:t>
      </w:r>
      <w:r>
        <w:tab/>
      </w:r>
      <w:r>
        <w:fldChar w:fldCharType="begin"/>
      </w:r>
      <w:r>
        <w:instrText xml:space="preserve"> PAGEREF _Toc88662115 \h </w:instrText>
      </w:r>
      <w:r>
        <w:fldChar w:fldCharType="separate"/>
      </w:r>
      <w:r>
        <w:t>76</w:t>
      </w:r>
      <w:r>
        <w:fldChar w:fldCharType="end"/>
      </w:r>
    </w:p>
    <w:p>
      <w:pPr>
        <w:pStyle w:val="TOC8"/>
        <w:rPr>
          <w:rFonts w:asciiTheme="minorHAnsi" w:eastAsiaTheme="minorEastAsia" w:hAnsiTheme="minorHAnsi" w:cstheme="minorBidi"/>
          <w:szCs w:val="22"/>
        </w:rPr>
      </w:pPr>
      <w:r>
        <w:t>75A.</w:t>
      </w:r>
      <w:r>
        <w:tab/>
        <w:t>Term used: out</w:t>
      </w:r>
      <w:r>
        <w:noBreakHyphen/>
        <w:t>of</w:t>
      </w:r>
      <w:r>
        <w:noBreakHyphen/>
        <w:t>control gathering</w:t>
      </w:r>
      <w:r>
        <w:tab/>
      </w:r>
      <w:r>
        <w:fldChar w:fldCharType="begin"/>
      </w:r>
      <w:r>
        <w:instrText xml:space="preserve"> PAGEREF _Toc88662116 \h </w:instrText>
      </w:r>
      <w:r>
        <w:fldChar w:fldCharType="separate"/>
      </w:r>
      <w:r>
        <w:t>77</w:t>
      </w:r>
      <w:r>
        <w:fldChar w:fldCharType="end"/>
      </w:r>
    </w:p>
    <w:p>
      <w:pPr>
        <w:pStyle w:val="TOC8"/>
        <w:rPr>
          <w:rFonts w:asciiTheme="minorHAnsi" w:eastAsiaTheme="minorEastAsia" w:hAnsiTheme="minorHAnsi" w:cstheme="minorBidi"/>
          <w:szCs w:val="22"/>
        </w:rPr>
      </w:pPr>
      <w:r>
        <w:t>75B.</w:t>
      </w:r>
      <w:r>
        <w:tab/>
        <w:t>Organising out</w:t>
      </w:r>
      <w:r>
        <w:noBreakHyphen/>
        <w:t>of</w:t>
      </w:r>
      <w:r>
        <w:noBreakHyphen/>
        <w:t>control gathering</w:t>
      </w:r>
      <w:r>
        <w:tab/>
      </w:r>
      <w:r>
        <w:fldChar w:fldCharType="begin"/>
      </w:r>
      <w:r>
        <w:instrText xml:space="preserve"> PAGEREF _Toc88662117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Chapter X</w:t>
      </w:r>
      <w:r>
        <w:rPr>
          <w:snapToGrid w:val="0"/>
        </w:rPr>
        <w:t> — </w:t>
      </w:r>
      <w:r>
        <w:t>Offences against political liberty</w:t>
      </w:r>
    </w:p>
    <w:p>
      <w:pPr>
        <w:pStyle w:val="TOC8"/>
        <w:rPr>
          <w:rFonts w:asciiTheme="minorHAnsi" w:eastAsiaTheme="minorEastAsia" w:hAnsiTheme="minorHAnsi" w:cstheme="minorBidi"/>
          <w:szCs w:val="22"/>
        </w:rPr>
      </w:pPr>
      <w:r>
        <w:t>75</w:t>
      </w:r>
      <w:r>
        <w:rPr>
          <w:snapToGrid w:val="0"/>
        </w:rPr>
        <w:t>.</w:t>
      </w:r>
      <w:r>
        <w:rPr>
          <w:snapToGrid w:val="0"/>
        </w:rPr>
        <w:tab/>
        <w:t>Interfering with political liberty</w:t>
      </w:r>
      <w:r>
        <w:tab/>
      </w:r>
      <w:r>
        <w:fldChar w:fldCharType="begin"/>
      </w:r>
      <w:r>
        <w:instrText xml:space="preserve"> PAGEREF _Toc88662119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Chapter XI — Racist harassment and incitement to racial hatred</w:t>
      </w:r>
    </w:p>
    <w:p>
      <w:pPr>
        <w:pStyle w:val="TOC8"/>
        <w:rPr>
          <w:rFonts w:asciiTheme="minorHAnsi" w:eastAsiaTheme="minorEastAsia" w:hAnsiTheme="minorHAnsi" w:cstheme="minorBidi"/>
          <w:szCs w:val="22"/>
        </w:rPr>
      </w:pPr>
      <w:r>
        <w:t>76</w:t>
      </w:r>
      <w:r>
        <w:rPr>
          <w:snapToGrid w:val="0"/>
        </w:rPr>
        <w:t>.</w:t>
      </w:r>
      <w:r>
        <w:rPr>
          <w:snapToGrid w:val="0"/>
        </w:rPr>
        <w:tab/>
        <w:t>Terms used</w:t>
      </w:r>
      <w:r>
        <w:tab/>
      </w:r>
      <w:r>
        <w:fldChar w:fldCharType="begin"/>
      </w:r>
      <w:r>
        <w:instrText xml:space="preserve"> PAGEREF _Toc88662121 \h </w:instrText>
      </w:r>
      <w:r>
        <w:fldChar w:fldCharType="separate"/>
      </w:r>
      <w:r>
        <w:t>81</w:t>
      </w:r>
      <w:r>
        <w:fldChar w:fldCharType="end"/>
      </w:r>
    </w:p>
    <w:p>
      <w:pPr>
        <w:pStyle w:val="TOC8"/>
        <w:rPr>
          <w:rFonts w:asciiTheme="minorHAnsi" w:eastAsiaTheme="minorEastAsia" w:hAnsiTheme="minorHAnsi" w:cstheme="minorBidi"/>
          <w:szCs w:val="22"/>
        </w:rPr>
      </w:pPr>
      <w:r>
        <w:t>77.</w:t>
      </w:r>
      <w:r>
        <w:tab/>
        <w:t>Conduct intended to incite racial animosity or racist harassment</w:t>
      </w:r>
      <w:r>
        <w:tab/>
      </w:r>
      <w:r>
        <w:fldChar w:fldCharType="begin"/>
      </w:r>
      <w:r>
        <w:instrText xml:space="preserve"> PAGEREF _Toc88662122 \h </w:instrText>
      </w:r>
      <w:r>
        <w:fldChar w:fldCharType="separate"/>
      </w:r>
      <w:r>
        <w:t>82</w:t>
      </w:r>
      <w:r>
        <w:fldChar w:fldCharType="end"/>
      </w:r>
    </w:p>
    <w:p>
      <w:pPr>
        <w:pStyle w:val="TOC8"/>
        <w:rPr>
          <w:rFonts w:asciiTheme="minorHAnsi" w:eastAsiaTheme="minorEastAsia" w:hAnsiTheme="minorHAnsi" w:cstheme="minorBidi"/>
          <w:szCs w:val="22"/>
        </w:rPr>
      </w:pPr>
      <w:r>
        <w:t>78.</w:t>
      </w:r>
      <w:r>
        <w:tab/>
        <w:t>Conduct likely to incite racial animosity or racist harassment</w:t>
      </w:r>
      <w:r>
        <w:tab/>
      </w:r>
      <w:r>
        <w:fldChar w:fldCharType="begin"/>
      </w:r>
      <w:r>
        <w:instrText xml:space="preserve"> PAGEREF _Toc88662123 \h </w:instrText>
      </w:r>
      <w:r>
        <w:fldChar w:fldCharType="separate"/>
      </w:r>
      <w:r>
        <w:t>82</w:t>
      </w:r>
      <w:r>
        <w:fldChar w:fldCharType="end"/>
      </w:r>
    </w:p>
    <w:p>
      <w:pPr>
        <w:pStyle w:val="TOC8"/>
        <w:rPr>
          <w:rFonts w:asciiTheme="minorHAnsi" w:eastAsiaTheme="minorEastAsia" w:hAnsiTheme="minorHAnsi" w:cstheme="minorBidi"/>
          <w:szCs w:val="22"/>
        </w:rPr>
      </w:pPr>
      <w:r>
        <w:t>79.</w:t>
      </w:r>
      <w:r>
        <w:tab/>
        <w:t>Possession of material for dissemination with intent to incite racial animosity or racist harassment</w:t>
      </w:r>
      <w:r>
        <w:tab/>
      </w:r>
      <w:r>
        <w:fldChar w:fldCharType="begin"/>
      </w:r>
      <w:r>
        <w:instrText xml:space="preserve"> PAGEREF _Toc88662124 \h </w:instrText>
      </w:r>
      <w:r>
        <w:fldChar w:fldCharType="separate"/>
      </w:r>
      <w:r>
        <w:t>83</w:t>
      </w:r>
      <w:r>
        <w:fldChar w:fldCharType="end"/>
      </w:r>
    </w:p>
    <w:p>
      <w:pPr>
        <w:pStyle w:val="TOC8"/>
        <w:rPr>
          <w:rFonts w:asciiTheme="minorHAnsi" w:eastAsiaTheme="minorEastAsia" w:hAnsiTheme="minorHAnsi" w:cstheme="minorBidi"/>
          <w:szCs w:val="22"/>
        </w:rPr>
      </w:pPr>
      <w:r>
        <w:t>80.</w:t>
      </w:r>
      <w:r>
        <w:tab/>
        <w:t>Possession of material for dissemination that is likely to incite racial animosity or racist harassment</w:t>
      </w:r>
      <w:r>
        <w:tab/>
      </w:r>
      <w:r>
        <w:fldChar w:fldCharType="begin"/>
      </w:r>
      <w:r>
        <w:instrText xml:space="preserve"> PAGEREF _Toc88662125 \h </w:instrText>
      </w:r>
      <w:r>
        <w:fldChar w:fldCharType="separate"/>
      </w:r>
      <w:r>
        <w:t>83</w:t>
      </w:r>
      <w:r>
        <w:fldChar w:fldCharType="end"/>
      </w:r>
    </w:p>
    <w:p>
      <w:pPr>
        <w:pStyle w:val="TOC8"/>
        <w:rPr>
          <w:rFonts w:asciiTheme="minorHAnsi" w:eastAsiaTheme="minorEastAsia" w:hAnsiTheme="minorHAnsi" w:cstheme="minorBidi"/>
          <w:szCs w:val="22"/>
        </w:rPr>
      </w:pPr>
      <w:r>
        <w:t>80A.</w:t>
      </w:r>
      <w:r>
        <w:tab/>
        <w:t>Conduct intended to racially harass</w:t>
      </w:r>
      <w:r>
        <w:tab/>
      </w:r>
      <w:r>
        <w:fldChar w:fldCharType="begin"/>
      </w:r>
      <w:r>
        <w:instrText xml:space="preserve"> PAGEREF _Toc88662126 \h </w:instrText>
      </w:r>
      <w:r>
        <w:fldChar w:fldCharType="separate"/>
      </w:r>
      <w:r>
        <w:t>84</w:t>
      </w:r>
      <w:r>
        <w:fldChar w:fldCharType="end"/>
      </w:r>
    </w:p>
    <w:p>
      <w:pPr>
        <w:pStyle w:val="TOC8"/>
        <w:rPr>
          <w:rFonts w:asciiTheme="minorHAnsi" w:eastAsiaTheme="minorEastAsia" w:hAnsiTheme="minorHAnsi" w:cstheme="minorBidi"/>
          <w:szCs w:val="22"/>
        </w:rPr>
      </w:pPr>
      <w:r>
        <w:t>80B.</w:t>
      </w:r>
      <w:r>
        <w:tab/>
        <w:t>Conduct likely to racially harass</w:t>
      </w:r>
      <w:r>
        <w:tab/>
      </w:r>
      <w:r>
        <w:fldChar w:fldCharType="begin"/>
      </w:r>
      <w:r>
        <w:instrText xml:space="preserve"> PAGEREF _Toc88662127 \h </w:instrText>
      </w:r>
      <w:r>
        <w:fldChar w:fldCharType="separate"/>
      </w:r>
      <w:r>
        <w:t>84</w:t>
      </w:r>
      <w:r>
        <w:fldChar w:fldCharType="end"/>
      </w:r>
    </w:p>
    <w:p>
      <w:pPr>
        <w:pStyle w:val="TOC8"/>
        <w:rPr>
          <w:rFonts w:asciiTheme="minorHAnsi" w:eastAsiaTheme="minorEastAsia" w:hAnsiTheme="minorHAnsi" w:cstheme="minorBidi"/>
          <w:szCs w:val="22"/>
        </w:rPr>
      </w:pPr>
      <w:r>
        <w:t>80C.</w:t>
      </w:r>
      <w:r>
        <w:tab/>
        <w:t>Possession</w:t>
      </w:r>
      <w:r>
        <w:rPr>
          <w:snapToGrid w:val="0"/>
        </w:rPr>
        <w:t xml:space="preserve"> of material for display with intent to racially harass</w:t>
      </w:r>
      <w:r>
        <w:tab/>
      </w:r>
      <w:r>
        <w:fldChar w:fldCharType="begin"/>
      </w:r>
      <w:r>
        <w:instrText xml:space="preserve"> PAGEREF _Toc88662128 \h </w:instrText>
      </w:r>
      <w:r>
        <w:fldChar w:fldCharType="separate"/>
      </w:r>
      <w:r>
        <w:t>85</w:t>
      </w:r>
      <w:r>
        <w:fldChar w:fldCharType="end"/>
      </w:r>
    </w:p>
    <w:p>
      <w:pPr>
        <w:pStyle w:val="TOC8"/>
        <w:rPr>
          <w:rFonts w:asciiTheme="minorHAnsi" w:eastAsiaTheme="minorEastAsia" w:hAnsiTheme="minorHAnsi" w:cstheme="minorBidi"/>
          <w:szCs w:val="22"/>
        </w:rPr>
      </w:pPr>
      <w:r>
        <w:t>80D.</w:t>
      </w:r>
      <w:r>
        <w:tab/>
        <w:t>Possession</w:t>
      </w:r>
      <w:r>
        <w:rPr>
          <w:snapToGrid w:val="0"/>
        </w:rPr>
        <w:t xml:space="preserve"> of material for display that is likely to racially harass</w:t>
      </w:r>
      <w:r>
        <w:tab/>
      </w:r>
      <w:r>
        <w:fldChar w:fldCharType="begin"/>
      </w:r>
      <w:r>
        <w:instrText xml:space="preserve"> PAGEREF _Toc88662129 \h </w:instrText>
      </w:r>
      <w:r>
        <w:fldChar w:fldCharType="separate"/>
      </w:r>
      <w:r>
        <w:t>85</w:t>
      </w:r>
      <w:r>
        <w:fldChar w:fldCharType="end"/>
      </w:r>
    </w:p>
    <w:p>
      <w:pPr>
        <w:pStyle w:val="TOC8"/>
        <w:rPr>
          <w:rFonts w:asciiTheme="minorHAnsi" w:eastAsiaTheme="minorEastAsia" w:hAnsiTheme="minorHAnsi" w:cstheme="minorBidi"/>
          <w:szCs w:val="22"/>
        </w:rPr>
      </w:pPr>
      <w:r>
        <w:t>80E.</w:t>
      </w:r>
      <w:r>
        <w:tab/>
        <w:t>Conduct and private conduct, meaning of in s. 77, 78, 80A and 80B</w:t>
      </w:r>
      <w:r>
        <w:tab/>
      </w:r>
      <w:r>
        <w:fldChar w:fldCharType="begin"/>
      </w:r>
      <w:r>
        <w:instrText xml:space="preserve"> PAGEREF _Toc88662130 \h </w:instrText>
      </w:r>
      <w:r>
        <w:fldChar w:fldCharType="separate"/>
      </w:r>
      <w:r>
        <w:t>86</w:t>
      </w:r>
      <w:r>
        <w:fldChar w:fldCharType="end"/>
      </w:r>
    </w:p>
    <w:p>
      <w:pPr>
        <w:pStyle w:val="TOC8"/>
        <w:rPr>
          <w:rFonts w:asciiTheme="minorHAnsi" w:eastAsiaTheme="minorEastAsia" w:hAnsiTheme="minorHAnsi" w:cstheme="minorBidi"/>
          <w:szCs w:val="22"/>
        </w:rPr>
      </w:pPr>
      <w:r>
        <w:lastRenderedPageBreak/>
        <w:t>80F.</w:t>
      </w:r>
      <w:r>
        <w:tab/>
        <w:t>Belief as to existence or membership of racial group</w:t>
      </w:r>
      <w:r>
        <w:tab/>
      </w:r>
      <w:r>
        <w:fldChar w:fldCharType="begin"/>
      </w:r>
      <w:r>
        <w:instrText xml:space="preserve"> PAGEREF _Toc88662131 \h </w:instrText>
      </w:r>
      <w:r>
        <w:fldChar w:fldCharType="separate"/>
      </w:r>
      <w:r>
        <w:t>86</w:t>
      </w:r>
      <w:r>
        <w:fldChar w:fldCharType="end"/>
      </w:r>
    </w:p>
    <w:p>
      <w:pPr>
        <w:pStyle w:val="TOC8"/>
        <w:rPr>
          <w:rFonts w:asciiTheme="minorHAnsi" w:eastAsiaTheme="minorEastAsia" w:hAnsiTheme="minorHAnsi" w:cstheme="minorBidi"/>
          <w:szCs w:val="22"/>
        </w:rPr>
      </w:pPr>
      <w:r>
        <w:t>80G.</w:t>
      </w:r>
      <w:r>
        <w:tab/>
        <w:t>Defences to s. 78, 80, 80B or 80D charge</w:t>
      </w:r>
      <w:r>
        <w:tab/>
      </w:r>
      <w:r>
        <w:fldChar w:fldCharType="begin"/>
      </w:r>
      <w:r>
        <w:instrText xml:space="preserve"> PAGEREF _Toc88662132 \h </w:instrText>
      </w:r>
      <w:r>
        <w:fldChar w:fldCharType="separate"/>
      </w:r>
      <w:r>
        <w:t>86</w:t>
      </w:r>
      <w:r>
        <w:fldChar w:fldCharType="end"/>
      </w:r>
    </w:p>
    <w:p>
      <w:pPr>
        <w:pStyle w:val="TOC8"/>
        <w:rPr>
          <w:rFonts w:asciiTheme="minorHAnsi" w:eastAsiaTheme="minorEastAsia" w:hAnsiTheme="minorHAnsi" w:cstheme="minorBidi"/>
          <w:szCs w:val="22"/>
        </w:rPr>
      </w:pPr>
      <w:r>
        <w:t>80H.</w:t>
      </w:r>
      <w:r>
        <w:tab/>
        <w:t>Consent to prosecution under s. 77, 78, 79 or 80 required</w:t>
      </w:r>
      <w:r>
        <w:tab/>
      </w:r>
      <w:r>
        <w:fldChar w:fldCharType="begin"/>
      </w:r>
      <w:r>
        <w:instrText xml:space="preserve"> PAGEREF _Toc88662133 \h </w:instrText>
      </w:r>
      <w:r>
        <w:fldChar w:fldCharType="separate"/>
      </w:r>
      <w:r>
        <w:t>87</w:t>
      </w:r>
      <w:r>
        <w:fldChar w:fldCharType="end"/>
      </w:r>
    </w:p>
    <w:p>
      <w:pPr>
        <w:pStyle w:val="TOC8"/>
        <w:rPr>
          <w:rFonts w:asciiTheme="minorHAnsi" w:eastAsiaTheme="minorEastAsia" w:hAnsiTheme="minorHAnsi" w:cstheme="minorBidi"/>
          <w:szCs w:val="22"/>
        </w:rPr>
      </w:pPr>
      <w:r>
        <w:t>80I.</w:t>
      </w:r>
      <w:r>
        <w:tab/>
        <w:t xml:space="preserve">Term used: </w:t>
      </w:r>
      <w:r>
        <w:rPr>
          <w:snapToGrid w:val="0"/>
        </w:rPr>
        <w:t>circumstances of racial aggravation</w:t>
      </w:r>
      <w:r>
        <w:tab/>
      </w:r>
      <w:r>
        <w:fldChar w:fldCharType="begin"/>
      </w:r>
      <w:r>
        <w:instrText xml:space="preserve"> PAGEREF _Toc88662134 \h </w:instrText>
      </w:r>
      <w:r>
        <w:fldChar w:fldCharType="separate"/>
      </w:r>
      <w:r>
        <w:t>87</w:t>
      </w:r>
      <w:r>
        <w:fldChar w:fldCharType="end"/>
      </w:r>
    </w:p>
    <w:p>
      <w:pPr>
        <w:pStyle w:val="TOC8"/>
        <w:rPr>
          <w:rFonts w:asciiTheme="minorHAnsi" w:eastAsiaTheme="minorEastAsia" w:hAnsiTheme="minorHAnsi" w:cstheme="minorBidi"/>
          <w:szCs w:val="22"/>
        </w:rPr>
      </w:pPr>
      <w:r>
        <w:t>80J.</w:t>
      </w:r>
      <w:r>
        <w:tab/>
        <w:t>Unlawful material, forfeiture of</w:t>
      </w:r>
      <w:r>
        <w:tab/>
      </w:r>
      <w:r>
        <w:fldChar w:fldCharType="begin"/>
      </w:r>
      <w:r>
        <w:instrText xml:space="preserve"> PAGEREF _Toc88662135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Part III — Offences against the administration of law and justice and against public authority</w:t>
      </w:r>
    </w:p>
    <w:p>
      <w:pPr>
        <w:pStyle w:val="TOC4"/>
        <w:tabs>
          <w:tab w:val="right" w:leader="dot" w:pos="7077"/>
        </w:tabs>
        <w:rPr>
          <w:rFonts w:asciiTheme="minorHAnsi" w:eastAsiaTheme="minorEastAsia" w:hAnsiTheme="minorHAnsi" w:cstheme="minorBidi"/>
          <w:b w:val="0"/>
          <w:szCs w:val="22"/>
        </w:rPr>
      </w:pPr>
      <w:r>
        <w:t>Chapter XII</w:t>
      </w:r>
      <w:r>
        <w:rPr>
          <w:snapToGrid w:val="0"/>
        </w:rPr>
        <w:t> — </w:t>
      </w:r>
      <w:r>
        <w:t>Disclosing official secrets</w:t>
      </w:r>
    </w:p>
    <w:p>
      <w:pPr>
        <w:pStyle w:val="TOC8"/>
        <w:rPr>
          <w:rFonts w:asciiTheme="minorHAnsi" w:eastAsiaTheme="minorEastAsia" w:hAnsiTheme="minorHAnsi" w:cstheme="minorBidi"/>
          <w:szCs w:val="22"/>
        </w:rPr>
      </w:pPr>
      <w:r>
        <w:t>81.</w:t>
      </w:r>
      <w:r>
        <w:tab/>
        <w:t>Disclosing official secrets</w:t>
      </w:r>
      <w:r>
        <w:tab/>
      </w:r>
      <w:r>
        <w:fldChar w:fldCharType="begin"/>
      </w:r>
      <w:r>
        <w:instrText xml:space="preserve"> PAGEREF _Toc88662138 \h </w:instrText>
      </w:r>
      <w:r>
        <w:fldChar w:fldCharType="separate"/>
      </w:r>
      <w:r>
        <w:t>89</w:t>
      </w:r>
      <w:r>
        <w:fldChar w:fldCharType="end"/>
      </w:r>
    </w:p>
    <w:p>
      <w:pPr>
        <w:pStyle w:val="TOC4"/>
        <w:tabs>
          <w:tab w:val="right" w:leader="dot" w:pos="7077"/>
        </w:tabs>
        <w:rPr>
          <w:rFonts w:asciiTheme="minorHAnsi" w:eastAsiaTheme="minorEastAsia" w:hAnsiTheme="minorHAnsi" w:cstheme="minorBidi"/>
          <w:b w:val="0"/>
          <w:szCs w:val="22"/>
        </w:rPr>
      </w:pPr>
      <w:r>
        <w:t>Chapter XIII</w:t>
      </w:r>
      <w:r>
        <w:rPr>
          <w:snapToGrid w:val="0"/>
        </w:rPr>
        <w:t> — </w:t>
      </w:r>
      <w:r>
        <w:t>Corruption and abuse of office</w:t>
      </w:r>
    </w:p>
    <w:p>
      <w:pPr>
        <w:pStyle w:val="TOC8"/>
        <w:rPr>
          <w:rFonts w:asciiTheme="minorHAnsi" w:eastAsiaTheme="minorEastAsia" w:hAnsiTheme="minorHAnsi" w:cstheme="minorBidi"/>
          <w:szCs w:val="22"/>
        </w:rPr>
      </w:pPr>
      <w:r>
        <w:t>82</w:t>
      </w:r>
      <w:r>
        <w:rPr>
          <w:snapToGrid w:val="0"/>
        </w:rPr>
        <w:t>.</w:t>
      </w:r>
      <w:r>
        <w:rPr>
          <w:snapToGrid w:val="0"/>
        </w:rPr>
        <w:tab/>
        <w:t>Bribery of public officer</w:t>
      </w:r>
      <w:r>
        <w:tab/>
      </w:r>
      <w:r>
        <w:fldChar w:fldCharType="begin"/>
      </w:r>
      <w:r>
        <w:instrText xml:space="preserve"> PAGEREF _Toc88662140 \h </w:instrText>
      </w:r>
      <w:r>
        <w:fldChar w:fldCharType="separate"/>
      </w:r>
      <w:r>
        <w:t>90</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Corruption</w:t>
      </w:r>
      <w:r>
        <w:tab/>
      </w:r>
      <w:r>
        <w:fldChar w:fldCharType="begin"/>
      </w:r>
      <w:r>
        <w:instrText xml:space="preserve"> PAGEREF _Toc88662141 \h </w:instrText>
      </w:r>
      <w:r>
        <w:fldChar w:fldCharType="separate"/>
      </w:r>
      <w:r>
        <w:t>90</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Judicial officer, s. 82 and 83 do not apply to</w:t>
      </w:r>
      <w:r>
        <w:tab/>
      </w:r>
      <w:r>
        <w:fldChar w:fldCharType="begin"/>
      </w:r>
      <w:r>
        <w:instrText xml:space="preserve"> PAGEREF _Toc88662142 \h </w:instrText>
      </w:r>
      <w:r>
        <w:fldChar w:fldCharType="separate"/>
      </w:r>
      <w:r>
        <w:t>91</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Falsification of record by public officer</w:t>
      </w:r>
      <w:r>
        <w:tab/>
      </w:r>
      <w:r>
        <w:fldChar w:fldCharType="begin"/>
      </w:r>
      <w:r>
        <w:instrText xml:space="preserve"> PAGEREF _Toc88662143 \h </w:instrText>
      </w:r>
      <w:r>
        <w:fldChar w:fldCharType="separate"/>
      </w:r>
      <w:r>
        <w:t>91</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Administering oath without authority</w:t>
      </w:r>
      <w:r>
        <w:tab/>
      </w:r>
      <w:r>
        <w:fldChar w:fldCharType="begin"/>
      </w:r>
      <w:r>
        <w:instrText xml:space="preserve"> PAGEREF _Toc88662144 \h </w:instrText>
      </w:r>
      <w:r>
        <w:fldChar w:fldCharType="separate"/>
      </w:r>
      <w:r>
        <w:t>91</w:t>
      </w:r>
      <w:r>
        <w:fldChar w:fldCharType="end"/>
      </w:r>
    </w:p>
    <w:p>
      <w:pPr>
        <w:pStyle w:val="TOC8"/>
        <w:rPr>
          <w:rFonts w:asciiTheme="minorHAnsi" w:eastAsiaTheme="minorEastAsia" w:hAnsiTheme="minorHAnsi" w:cstheme="minorBidi"/>
          <w:szCs w:val="22"/>
        </w:rPr>
      </w:pPr>
      <w:r>
        <w:t>87.</w:t>
      </w:r>
      <w:r>
        <w:tab/>
        <w:t>Impersonating public officer</w:t>
      </w:r>
      <w:r>
        <w:tab/>
      </w:r>
      <w:r>
        <w:fldChar w:fldCharType="begin"/>
      </w:r>
      <w:r>
        <w:instrText xml:space="preserve"> PAGEREF _Toc88662145 \h </w:instrText>
      </w:r>
      <w:r>
        <w:fldChar w:fldCharType="separate"/>
      </w:r>
      <w:r>
        <w:t>92</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Bargaining for public office</w:t>
      </w:r>
      <w:r>
        <w:tab/>
      </w:r>
      <w:r>
        <w:fldChar w:fldCharType="begin"/>
      </w:r>
      <w:r>
        <w:instrText xml:space="preserve"> PAGEREF _Toc88662146 \h </w:instrText>
      </w:r>
      <w:r>
        <w:fldChar w:fldCharType="separate"/>
      </w:r>
      <w:r>
        <w:t>93</w:t>
      </w:r>
      <w:r>
        <w:fldChar w:fldCharType="end"/>
      </w:r>
    </w:p>
    <w:p>
      <w:pPr>
        <w:pStyle w:val="TOC4"/>
        <w:tabs>
          <w:tab w:val="right" w:leader="dot" w:pos="7077"/>
        </w:tabs>
        <w:rPr>
          <w:rFonts w:asciiTheme="minorHAnsi" w:eastAsiaTheme="minorEastAsia" w:hAnsiTheme="minorHAnsi" w:cstheme="minorBidi"/>
          <w:b w:val="0"/>
          <w:szCs w:val="22"/>
        </w:rPr>
      </w:pPr>
      <w:r>
        <w:t>Chapter XIV — Offences at elections</w:t>
      </w:r>
    </w:p>
    <w:p>
      <w:pPr>
        <w:pStyle w:val="TOC8"/>
        <w:rPr>
          <w:rFonts w:asciiTheme="minorHAnsi" w:eastAsiaTheme="minorEastAsia" w:hAnsiTheme="minorHAnsi" w:cstheme="minorBidi"/>
          <w:szCs w:val="22"/>
        </w:rPr>
      </w:pPr>
      <w:r>
        <w:t>93.</w:t>
      </w:r>
      <w:r>
        <w:tab/>
        <w:t>Terms used</w:t>
      </w:r>
      <w:r>
        <w:tab/>
      </w:r>
      <w:r>
        <w:fldChar w:fldCharType="begin"/>
      </w:r>
      <w:r>
        <w:instrText xml:space="preserve"> PAGEREF _Toc88662148 \h </w:instrText>
      </w:r>
      <w:r>
        <w:fldChar w:fldCharType="separate"/>
      </w:r>
      <w:r>
        <w:t>93</w:t>
      </w:r>
      <w:r>
        <w:fldChar w:fldCharType="end"/>
      </w:r>
    </w:p>
    <w:p>
      <w:pPr>
        <w:pStyle w:val="TOC8"/>
        <w:rPr>
          <w:rFonts w:asciiTheme="minorHAnsi" w:eastAsiaTheme="minorEastAsia" w:hAnsiTheme="minorHAnsi" w:cstheme="minorBidi"/>
          <w:szCs w:val="22"/>
        </w:rPr>
      </w:pPr>
      <w:r>
        <w:t>94.</w:t>
      </w:r>
      <w:r>
        <w:tab/>
        <w:t>Application of this Chapter</w:t>
      </w:r>
      <w:r>
        <w:tab/>
      </w:r>
      <w:r>
        <w:fldChar w:fldCharType="begin"/>
      </w:r>
      <w:r>
        <w:instrText xml:space="preserve"> PAGEREF _Toc88662149 \h </w:instrText>
      </w:r>
      <w:r>
        <w:fldChar w:fldCharType="separate"/>
      </w:r>
      <w:r>
        <w:t>94</w:t>
      </w:r>
      <w:r>
        <w:fldChar w:fldCharType="end"/>
      </w:r>
    </w:p>
    <w:p>
      <w:pPr>
        <w:pStyle w:val="TOC8"/>
        <w:rPr>
          <w:rFonts w:asciiTheme="minorHAnsi" w:eastAsiaTheme="minorEastAsia" w:hAnsiTheme="minorHAnsi" w:cstheme="minorBidi"/>
          <w:szCs w:val="22"/>
        </w:rPr>
      </w:pPr>
      <w:r>
        <w:t>95.</w:t>
      </w:r>
      <w:r>
        <w:tab/>
        <w:t>Liability for acts of others</w:t>
      </w:r>
      <w:r>
        <w:tab/>
      </w:r>
      <w:r>
        <w:fldChar w:fldCharType="begin"/>
      </w:r>
      <w:r>
        <w:instrText xml:space="preserve"> PAGEREF _Toc88662150 \h </w:instrText>
      </w:r>
      <w:r>
        <w:fldChar w:fldCharType="separate"/>
      </w:r>
      <w:r>
        <w:t>94</w:t>
      </w:r>
      <w:r>
        <w:fldChar w:fldCharType="end"/>
      </w:r>
    </w:p>
    <w:p>
      <w:pPr>
        <w:pStyle w:val="TOC8"/>
        <w:rPr>
          <w:rFonts w:asciiTheme="minorHAnsi" w:eastAsiaTheme="minorEastAsia" w:hAnsiTheme="minorHAnsi" w:cstheme="minorBidi"/>
          <w:szCs w:val="22"/>
        </w:rPr>
      </w:pPr>
      <w:r>
        <w:t>96.</w:t>
      </w:r>
      <w:r>
        <w:tab/>
        <w:t>Bribery</w:t>
      </w:r>
      <w:r>
        <w:tab/>
      </w:r>
      <w:r>
        <w:fldChar w:fldCharType="begin"/>
      </w:r>
      <w:r>
        <w:instrText xml:space="preserve"> PAGEREF _Toc88662151 \h </w:instrText>
      </w:r>
      <w:r>
        <w:fldChar w:fldCharType="separate"/>
      </w:r>
      <w:r>
        <w:t>94</w:t>
      </w:r>
      <w:r>
        <w:fldChar w:fldCharType="end"/>
      </w:r>
    </w:p>
    <w:p>
      <w:pPr>
        <w:pStyle w:val="TOC8"/>
        <w:rPr>
          <w:rFonts w:asciiTheme="minorHAnsi" w:eastAsiaTheme="minorEastAsia" w:hAnsiTheme="minorHAnsi" w:cstheme="minorBidi"/>
          <w:szCs w:val="22"/>
        </w:rPr>
      </w:pPr>
      <w:r>
        <w:t>97.</w:t>
      </w:r>
      <w:r>
        <w:tab/>
        <w:t>Undue influence</w:t>
      </w:r>
      <w:r>
        <w:tab/>
      </w:r>
      <w:r>
        <w:fldChar w:fldCharType="begin"/>
      </w:r>
      <w:r>
        <w:instrText xml:space="preserve"> PAGEREF _Toc88662152 \h </w:instrText>
      </w:r>
      <w:r>
        <w:fldChar w:fldCharType="separate"/>
      </w:r>
      <w:r>
        <w:t>95</w:t>
      </w:r>
      <w:r>
        <w:fldChar w:fldCharType="end"/>
      </w:r>
    </w:p>
    <w:p>
      <w:pPr>
        <w:pStyle w:val="TOC8"/>
        <w:rPr>
          <w:rFonts w:asciiTheme="minorHAnsi" w:eastAsiaTheme="minorEastAsia" w:hAnsiTheme="minorHAnsi" w:cstheme="minorBidi"/>
          <w:szCs w:val="22"/>
        </w:rPr>
      </w:pPr>
      <w:r>
        <w:t>98.</w:t>
      </w:r>
      <w:r>
        <w:tab/>
        <w:t>Electoral material, printing and publication of</w:t>
      </w:r>
      <w:r>
        <w:tab/>
      </w:r>
      <w:r>
        <w:fldChar w:fldCharType="begin"/>
      </w:r>
      <w:r>
        <w:instrText xml:space="preserve"> PAGEREF _Toc88662153 \h </w:instrText>
      </w:r>
      <w:r>
        <w:fldChar w:fldCharType="separate"/>
      </w:r>
      <w:r>
        <w:t>96</w:t>
      </w:r>
      <w:r>
        <w:fldChar w:fldCharType="end"/>
      </w:r>
    </w:p>
    <w:p>
      <w:pPr>
        <w:pStyle w:val="TOC8"/>
        <w:rPr>
          <w:rFonts w:asciiTheme="minorHAnsi" w:eastAsiaTheme="minorEastAsia" w:hAnsiTheme="minorHAnsi" w:cstheme="minorBidi"/>
          <w:szCs w:val="22"/>
        </w:rPr>
      </w:pPr>
      <w:r>
        <w:t>99.</w:t>
      </w:r>
      <w:r>
        <w:tab/>
        <w:t>False or defamatory statements or deceptive material, publication of</w:t>
      </w:r>
      <w:r>
        <w:tab/>
      </w:r>
      <w:r>
        <w:fldChar w:fldCharType="begin"/>
      </w:r>
      <w:r>
        <w:instrText xml:space="preserve"> PAGEREF _Toc88662154 \h </w:instrText>
      </w:r>
      <w:r>
        <w:fldChar w:fldCharType="separate"/>
      </w:r>
      <w:r>
        <w:t>97</w:t>
      </w:r>
      <w:r>
        <w:fldChar w:fldCharType="end"/>
      </w:r>
    </w:p>
    <w:p>
      <w:pPr>
        <w:pStyle w:val="TOC8"/>
        <w:rPr>
          <w:rFonts w:asciiTheme="minorHAnsi" w:eastAsiaTheme="minorEastAsia" w:hAnsiTheme="minorHAnsi" w:cstheme="minorBidi"/>
          <w:szCs w:val="22"/>
        </w:rPr>
      </w:pPr>
      <w:r>
        <w:t>100.</w:t>
      </w:r>
      <w:r>
        <w:tab/>
        <w:t>Postal voting, offences in connection with</w:t>
      </w:r>
      <w:r>
        <w:tab/>
      </w:r>
      <w:r>
        <w:fldChar w:fldCharType="begin"/>
      </w:r>
      <w:r>
        <w:instrText xml:space="preserve"> PAGEREF _Toc88662155 \h </w:instrText>
      </w:r>
      <w:r>
        <w:fldChar w:fldCharType="separate"/>
      </w:r>
      <w:r>
        <w:t>98</w:t>
      </w:r>
      <w:r>
        <w:fldChar w:fldCharType="end"/>
      </w:r>
    </w:p>
    <w:p>
      <w:pPr>
        <w:pStyle w:val="TOC8"/>
        <w:rPr>
          <w:rFonts w:asciiTheme="minorHAnsi" w:eastAsiaTheme="minorEastAsia" w:hAnsiTheme="minorHAnsi" w:cstheme="minorBidi"/>
          <w:szCs w:val="22"/>
        </w:rPr>
      </w:pPr>
      <w:r>
        <w:t>101.</w:t>
      </w:r>
      <w:r>
        <w:tab/>
        <w:t>Polling place, offences at or near</w:t>
      </w:r>
      <w:r>
        <w:tab/>
      </w:r>
      <w:r>
        <w:fldChar w:fldCharType="begin"/>
      </w:r>
      <w:r>
        <w:instrText xml:space="preserve"> PAGEREF _Toc88662156 \h </w:instrText>
      </w:r>
      <w:r>
        <w:fldChar w:fldCharType="separate"/>
      </w:r>
      <w:r>
        <w:t>98</w:t>
      </w:r>
      <w:r>
        <w:fldChar w:fldCharType="end"/>
      </w:r>
    </w:p>
    <w:p>
      <w:pPr>
        <w:pStyle w:val="TOC8"/>
        <w:rPr>
          <w:rFonts w:asciiTheme="minorHAnsi" w:eastAsiaTheme="minorEastAsia" w:hAnsiTheme="minorHAnsi" w:cstheme="minorBidi"/>
          <w:szCs w:val="22"/>
        </w:rPr>
      </w:pPr>
      <w:r>
        <w:t>102.</w:t>
      </w:r>
      <w:r>
        <w:tab/>
        <w:t>Voting offences</w:t>
      </w:r>
      <w:r>
        <w:tab/>
      </w:r>
      <w:r>
        <w:fldChar w:fldCharType="begin"/>
      </w:r>
      <w:r>
        <w:instrText xml:space="preserve"> PAGEREF _Toc88662157 \h </w:instrText>
      </w:r>
      <w:r>
        <w:fldChar w:fldCharType="separate"/>
      </w:r>
      <w:r>
        <w:t>99</w:t>
      </w:r>
      <w:r>
        <w:fldChar w:fldCharType="end"/>
      </w:r>
    </w:p>
    <w:p>
      <w:pPr>
        <w:pStyle w:val="TOC8"/>
        <w:rPr>
          <w:rFonts w:asciiTheme="minorHAnsi" w:eastAsiaTheme="minorEastAsia" w:hAnsiTheme="minorHAnsi" w:cstheme="minorBidi"/>
          <w:szCs w:val="22"/>
        </w:rPr>
      </w:pPr>
      <w:r>
        <w:t>103.</w:t>
      </w:r>
      <w:r>
        <w:tab/>
        <w:t>Ballot paper and ballot box offences</w:t>
      </w:r>
      <w:r>
        <w:tab/>
      </w:r>
      <w:r>
        <w:fldChar w:fldCharType="begin"/>
      </w:r>
      <w:r>
        <w:instrText xml:space="preserve"> PAGEREF _Toc88662158 \h </w:instrText>
      </w:r>
      <w:r>
        <w:fldChar w:fldCharType="separate"/>
      </w:r>
      <w:r>
        <w:t>100</w:t>
      </w:r>
      <w:r>
        <w:fldChar w:fldCharType="end"/>
      </w:r>
    </w:p>
    <w:p>
      <w:pPr>
        <w:pStyle w:val="TOC8"/>
        <w:rPr>
          <w:rFonts w:asciiTheme="minorHAnsi" w:eastAsiaTheme="minorEastAsia" w:hAnsiTheme="minorHAnsi" w:cstheme="minorBidi"/>
          <w:szCs w:val="22"/>
        </w:rPr>
      </w:pPr>
      <w:r>
        <w:t>104.</w:t>
      </w:r>
      <w:r>
        <w:tab/>
        <w:t>Secrecy offences</w:t>
      </w:r>
      <w:r>
        <w:tab/>
      </w:r>
      <w:r>
        <w:fldChar w:fldCharType="begin"/>
      </w:r>
      <w:r>
        <w:instrText xml:space="preserve"> PAGEREF _Toc88662159 \h </w:instrText>
      </w:r>
      <w:r>
        <w:fldChar w:fldCharType="separate"/>
      </w:r>
      <w:r>
        <w:t>100</w:t>
      </w:r>
      <w:r>
        <w:fldChar w:fldCharType="end"/>
      </w:r>
    </w:p>
    <w:p>
      <w:pPr>
        <w:pStyle w:val="TOC8"/>
        <w:rPr>
          <w:rFonts w:asciiTheme="minorHAnsi" w:eastAsiaTheme="minorEastAsia" w:hAnsiTheme="minorHAnsi" w:cstheme="minorBidi"/>
          <w:szCs w:val="22"/>
        </w:rPr>
      </w:pPr>
      <w:r>
        <w:t>105.</w:t>
      </w:r>
      <w:r>
        <w:tab/>
        <w:t>Electoral officer, offences by</w:t>
      </w:r>
      <w:r>
        <w:tab/>
      </w:r>
      <w:r>
        <w:fldChar w:fldCharType="begin"/>
      </w:r>
      <w:r>
        <w:instrText xml:space="preserve"> PAGEREF _Toc88662160 \h </w:instrText>
      </w:r>
      <w:r>
        <w:fldChar w:fldCharType="separate"/>
      </w:r>
      <w:r>
        <w:t>101</w:t>
      </w:r>
      <w:r>
        <w:fldChar w:fldCharType="end"/>
      </w:r>
    </w:p>
    <w:p>
      <w:pPr>
        <w:pStyle w:val="TOC8"/>
        <w:rPr>
          <w:rFonts w:asciiTheme="minorHAnsi" w:eastAsiaTheme="minorEastAsia" w:hAnsiTheme="minorHAnsi" w:cstheme="minorBidi"/>
          <w:szCs w:val="22"/>
        </w:rPr>
      </w:pPr>
      <w:r>
        <w:t>106.</w:t>
      </w:r>
      <w:r>
        <w:tab/>
        <w:t>False statements in connection with an election</w:t>
      </w:r>
      <w:r>
        <w:tab/>
      </w:r>
      <w:r>
        <w:fldChar w:fldCharType="begin"/>
      </w:r>
      <w:r>
        <w:instrText xml:space="preserve"> PAGEREF _Toc88662161 \h </w:instrText>
      </w:r>
      <w:r>
        <w:fldChar w:fldCharType="separate"/>
      </w:r>
      <w:r>
        <w:t>101</w:t>
      </w:r>
      <w:r>
        <w:fldChar w:fldCharType="end"/>
      </w:r>
    </w:p>
    <w:p>
      <w:pPr>
        <w:pStyle w:val="TOC8"/>
        <w:rPr>
          <w:rFonts w:asciiTheme="minorHAnsi" w:eastAsiaTheme="minorEastAsia" w:hAnsiTheme="minorHAnsi" w:cstheme="minorBidi"/>
          <w:szCs w:val="22"/>
        </w:rPr>
      </w:pPr>
      <w:r>
        <w:t>107.</w:t>
      </w:r>
      <w:r>
        <w:tab/>
        <w:t>Evidentiary matters</w:t>
      </w:r>
      <w:r>
        <w:tab/>
      </w:r>
      <w:r>
        <w:fldChar w:fldCharType="begin"/>
      </w:r>
      <w:r>
        <w:instrText xml:space="preserve"> PAGEREF _Toc88662162 \h </w:instrText>
      </w:r>
      <w:r>
        <w:fldChar w:fldCharType="separate"/>
      </w:r>
      <w:r>
        <w:t>102</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XVI</w:t>
      </w:r>
      <w:r>
        <w:rPr>
          <w:snapToGrid w:val="0"/>
        </w:rPr>
        <w:t> — </w:t>
      </w:r>
      <w:r>
        <w:t>Offences relating to the administration of justice</w:t>
      </w:r>
    </w:p>
    <w:p>
      <w:pPr>
        <w:pStyle w:val="TOC8"/>
        <w:rPr>
          <w:rFonts w:asciiTheme="minorHAnsi" w:eastAsiaTheme="minorEastAsia" w:hAnsiTheme="minorHAnsi" w:cstheme="minorBidi"/>
          <w:szCs w:val="22"/>
        </w:rPr>
      </w:pPr>
      <w:r>
        <w:t>120</w:t>
      </w:r>
      <w:r>
        <w:rPr>
          <w:snapToGrid w:val="0"/>
        </w:rPr>
        <w:t>.</w:t>
      </w:r>
      <w:r>
        <w:rPr>
          <w:snapToGrid w:val="0"/>
        </w:rPr>
        <w:tab/>
      </w:r>
      <w:r>
        <w:t>Term used: judicial proceeding</w:t>
      </w:r>
      <w:r>
        <w:tab/>
      </w:r>
      <w:r>
        <w:fldChar w:fldCharType="begin"/>
      </w:r>
      <w:r>
        <w:instrText xml:space="preserve"> PAGEREF _Toc88662164 \h </w:instrText>
      </w:r>
      <w:r>
        <w:fldChar w:fldCharType="separate"/>
      </w:r>
      <w:r>
        <w:t>103</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Judicial corruption</w:t>
      </w:r>
      <w:r>
        <w:tab/>
      </w:r>
      <w:r>
        <w:fldChar w:fldCharType="begin"/>
      </w:r>
      <w:r>
        <w:instrText xml:space="preserve"> PAGEREF _Toc88662165 \h </w:instrText>
      </w:r>
      <w:r>
        <w:fldChar w:fldCharType="separate"/>
      </w:r>
      <w:r>
        <w:t>103</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Official corruption not judicial but relating to offences</w:t>
      </w:r>
      <w:r>
        <w:tab/>
      </w:r>
      <w:r>
        <w:fldChar w:fldCharType="begin"/>
      </w:r>
      <w:r>
        <w:instrText xml:space="preserve"> PAGEREF _Toc88662166 \h </w:instrText>
      </w:r>
      <w:r>
        <w:fldChar w:fldCharType="separate"/>
      </w:r>
      <w:r>
        <w:t>104</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Corrupting or threatening juror</w:t>
      </w:r>
      <w:r>
        <w:tab/>
      </w:r>
      <w:r>
        <w:fldChar w:fldCharType="begin"/>
      </w:r>
      <w:r>
        <w:instrText xml:space="preserve"> PAGEREF _Toc88662167 \h </w:instrText>
      </w:r>
      <w:r>
        <w:fldChar w:fldCharType="separate"/>
      </w:r>
      <w:r>
        <w:t>104</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Perjury</w:t>
      </w:r>
      <w:r>
        <w:tab/>
      </w:r>
      <w:r>
        <w:fldChar w:fldCharType="begin"/>
      </w:r>
      <w:r>
        <w:instrText xml:space="preserve"> PAGEREF _Toc88662168 \h </w:instrText>
      </w:r>
      <w:r>
        <w:fldChar w:fldCharType="separate"/>
      </w:r>
      <w:r>
        <w:t>105</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Perjury, penalty for</w:t>
      </w:r>
      <w:r>
        <w:tab/>
      </w:r>
      <w:r>
        <w:fldChar w:fldCharType="begin"/>
      </w:r>
      <w:r>
        <w:instrText xml:space="preserve"> PAGEREF _Toc88662169 \h </w:instrText>
      </w:r>
      <w:r>
        <w:fldChar w:fldCharType="separate"/>
      </w:r>
      <w:r>
        <w:t>106</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r>
      <w:r>
        <w:t>False</w:t>
      </w:r>
      <w:r>
        <w:rPr>
          <w:snapToGrid w:val="0"/>
        </w:rPr>
        <w:t xml:space="preserve"> evidence before Royal Commission</w:t>
      </w:r>
      <w:r>
        <w:tab/>
      </w:r>
      <w:r>
        <w:fldChar w:fldCharType="begin"/>
      </w:r>
      <w:r>
        <w:instrText xml:space="preserve"> PAGEREF _Toc88662170 \h </w:instrText>
      </w:r>
      <w:r>
        <w:fldChar w:fldCharType="separate"/>
      </w:r>
      <w:r>
        <w:t>106</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Threatening witness before Royal Commission etc.</w:t>
      </w:r>
      <w:r>
        <w:tab/>
      </w:r>
      <w:r>
        <w:fldChar w:fldCharType="begin"/>
      </w:r>
      <w:r>
        <w:instrText xml:space="preserve"> PAGEREF _Toc88662171 \h </w:instrText>
      </w:r>
      <w:r>
        <w:fldChar w:fldCharType="separate"/>
      </w:r>
      <w:r>
        <w:t>106</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Fabricating evidence</w:t>
      </w:r>
      <w:r>
        <w:tab/>
      </w:r>
      <w:r>
        <w:fldChar w:fldCharType="begin"/>
      </w:r>
      <w:r>
        <w:instrText xml:space="preserve"> PAGEREF _Toc88662172 \h </w:instrText>
      </w:r>
      <w:r>
        <w:fldChar w:fldCharType="separate"/>
      </w:r>
      <w:r>
        <w:t>107</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Corruption of witness</w:t>
      </w:r>
      <w:r>
        <w:tab/>
      </w:r>
      <w:r>
        <w:fldChar w:fldCharType="begin"/>
      </w:r>
      <w:r>
        <w:instrText xml:space="preserve"> PAGEREF _Toc88662173 \h </w:instrText>
      </w:r>
      <w:r>
        <w:fldChar w:fldCharType="separate"/>
      </w:r>
      <w:r>
        <w:t>107</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Deceiving witness</w:t>
      </w:r>
      <w:r>
        <w:tab/>
      </w:r>
      <w:r>
        <w:fldChar w:fldCharType="begin"/>
      </w:r>
      <w:r>
        <w:instrText xml:space="preserve"> PAGEREF _Toc88662174 \h </w:instrText>
      </w:r>
      <w:r>
        <w:fldChar w:fldCharType="separate"/>
      </w:r>
      <w:r>
        <w:t>108</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Destroying evidence</w:t>
      </w:r>
      <w:r>
        <w:tab/>
      </w:r>
      <w:r>
        <w:fldChar w:fldCharType="begin"/>
      </w:r>
      <w:r>
        <w:instrText xml:space="preserve"> PAGEREF _Toc88662175 \h </w:instrText>
      </w:r>
      <w:r>
        <w:fldChar w:fldCharType="separate"/>
      </w:r>
      <w:r>
        <w:t>108</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Preventing witness from attending</w:t>
      </w:r>
      <w:r>
        <w:tab/>
      </w:r>
      <w:r>
        <w:fldChar w:fldCharType="begin"/>
      </w:r>
      <w:r>
        <w:instrText xml:space="preserve"> PAGEREF _Toc88662176 \h </w:instrText>
      </w:r>
      <w:r>
        <w:fldChar w:fldCharType="separate"/>
      </w:r>
      <w:r>
        <w:t>108</w:t>
      </w:r>
      <w:r>
        <w:fldChar w:fldCharType="end"/>
      </w:r>
    </w:p>
    <w:p>
      <w:pPr>
        <w:pStyle w:val="TOC8"/>
        <w:rPr>
          <w:rFonts w:asciiTheme="minorHAnsi" w:eastAsiaTheme="minorEastAsia" w:hAnsiTheme="minorHAnsi" w:cstheme="minorBidi"/>
          <w:szCs w:val="22"/>
        </w:rPr>
      </w:pPr>
      <w:r>
        <w:t>133A.</w:t>
      </w:r>
      <w:r>
        <w:tab/>
        <w:t xml:space="preserve">False </w:t>
      </w:r>
      <w:r>
        <w:rPr>
          <w:snapToGrid w:val="0"/>
        </w:rPr>
        <w:t>prosecution, commencing</w:t>
      </w:r>
      <w:r>
        <w:tab/>
      </w:r>
      <w:r>
        <w:fldChar w:fldCharType="begin"/>
      </w:r>
      <w:r>
        <w:instrText xml:space="preserve"> PAGEREF _Toc88662177 \h </w:instrText>
      </w:r>
      <w:r>
        <w:fldChar w:fldCharType="separate"/>
      </w:r>
      <w:r>
        <w:t>109</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Conspiracy to commence false prosecution</w:t>
      </w:r>
      <w:r>
        <w:tab/>
      </w:r>
      <w:r>
        <w:fldChar w:fldCharType="begin"/>
      </w:r>
      <w:r>
        <w:instrText xml:space="preserve"> PAGEREF _Toc88662178 \h </w:instrText>
      </w:r>
      <w:r>
        <w:fldChar w:fldCharType="separate"/>
      </w:r>
      <w:r>
        <w:t>109</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Conspiring to pervert etc. course of justice</w:t>
      </w:r>
      <w:r>
        <w:tab/>
      </w:r>
      <w:r>
        <w:fldChar w:fldCharType="begin"/>
      </w:r>
      <w:r>
        <w:instrText xml:space="preserve"> PAGEREF _Toc88662179 \h </w:instrText>
      </w:r>
      <w:r>
        <w:fldChar w:fldCharType="separate"/>
      </w:r>
      <w:r>
        <w:t>109</w:t>
      </w:r>
      <w:r>
        <w:fldChar w:fldCharType="end"/>
      </w:r>
    </w:p>
    <w:p>
      <w:pPr>
        <w:pStyle w:val="TOC8"/>
        <w:rPr>
          <w:rFonts w:asciiTheme="minorHAnsi" w:eastAsiaTheme="minorEastAsia" w:hAnsiTheme="minorHAnsi" w:cstheme="minorBidi"/>
          <w:szCs w:val="22"/>
        </w:rPr>
      </w:pPr>
      <w:r>
        <w:t>136.</w:t>
      </w:r>
      <w:r>
        <w:tab/>
        <w:t>Compounding or concealing offence</w:t>
      </w:r>
      <w:r>
        <w:tab/>
      </w:r>
      <w:r>
        <w:fldChar w:fldCharType="begin"/>
      </w:r>
      <w:r>
        <w:instrText xml:space="preserve"> PAGEREF _Toc88662180 \h </w:instrText>
      </w:r>
      <w:r>
        <w:fldChar w:fldCharType="separate"/>
      </w:r>
      <w:r>
        <w:t>110</w:t>
      </w:r>
      <w:r>
        <w:fldChar w:fldCharType="end"/>
      </w:r>
    </w:p>
    <w:p>
      <w:pPr>
        <w:pStyle w:val="TOC8"/>
        <w:rPr>
          <w:rFonts w:asciiTheme="minorHAnsi" w:eastAsiaTheme="minorEastAsia" w:hAnsiTheme="minorHAnsi" w:cstheme="minorBidi"/>
          <w:szCs w:val="22"/>
        </w:rPr>
      </w:pPr>
      <w:r>
        <w:t>138.</w:t>
      </w:r>
      <w:r>
        <w:tab/>
        <w:t>Advertising reward etc. for stolen property</w:t>
      </w:r>
      <w:r>
        <w:tab/>
      </w:r>
      <w:r>
        <w:fldChar w:fldCharType="begin"/>
      </w:r>
      <w:r>
        <w:instrText xml:space="preserve"> PAGEREF _Toc88662181 \h </w:instrText>
      </w:r>
      <w:r>
        <w:fldChar w:fldCharType="separate"/>
      </w:r>
      <w:r>
        <w:t>110</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Justice acting when personally interested</w:t>
      </w:r>
      <w:r>
        <w:tab/>
      </w:r>
      <w:r>
        <w:fldChar w:fldCharType="begin"/>
      </w:r>
      <w:r>
        <w:instrText xml:space="preserve"> PAGEREF _Toc88662182 \h </w:instrText>
      </w:r>
      <w:r>
        <w:fldChar w:fldCharType="separate"/>
      </w:r>
      <w:r>
        <w:t>111</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Bringing fictitious action on penal statute</w:t>
      </w:r>
      <w:r>
        <w:tab/>
      </w:r>
      <w:r>
        <w:fldChar w:fldCharType="begin"/>
      </w:r>
      <w:r>
        <w:instrText xml:space="preserve"> PAGEREF _Toc88662183 \h </w:instrText>
      </w:r>
      <w:r>
        <w:fldChar w:fldCharType="separate"/>
      </w:r>
      <w:r>
        <w:t>111</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Inserting advertisement without authority of court</w:t>
      </w:r>
      <w:r>
        <w:tab/>
      </w:r>
      <w:r>
        <w:fldChar w:fldCharType="begin"/>
      </w:r>
      <w:r>
        <w:instrText xml:space="preserve"> PAGEREF _Toc88662184 \h </w:instrText>
      </w:r>
      <w:r>
        <w:fldChar w:fldCharType="separate"/>
      </w:r>
      <w:r>
        <w:t>111</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Attempting to pervert etc. course of justice</w:t>
      </w:r>
      <w:r>
        <w:tab/>
      </w:r>
      <w:r>
        <w:fldChar w:fldCharType="begin"/>
      </w:r>
      <w:r>
        <w:instrText xml:space="preserve"> PAGEREF _Toc88662185 \h </w:instrText>
      </w:r>
      <w:r>
        <w:fldChar w:fldCharType="separate"/>
      </w:r>
      <w:r>
        <w:t>112</w:t>
      </w:r>
      <w:r>
        <w:fldChar w:fldCharType="end"/>
      </w:r>
    </w:p>
    <w:p>
      <w:pPr>
        <w:pStyle w:val="TOC4"/>
        <w:tabs>
          <w:tab w:val="right" w:leader="dot" w:pos="7077"/>
        </w:tabs>
        <w:rPr>
          <w:rFonts w:asciiTheme="minorHAnsi" w:eastAsiaTheme="minorEastAsia" w:hAnsiTheme="minorHAnsi" w:cstheme="minorBidi"/>
          <w:b w:val="0"/>
          <w:szCs w:val="22"/>
        </w:rPr>
      </w:pPr>
      <w:r>
        <w:t>Chapter XVII</w:t>
      </w:r>
      <w:r>
        <w:rPr>
          <w:snapToGrid w:val="0"/>
        </w:rPr>
        <w:t> — </w:t>
      </w:r>
      <w:r>
        <w:t>Escapes: Rescues: Obstructing officers of courts</w:t>
      </w:r>
    </w:p>
    <w:p>
      <w:pPr>
        <w:pStyle w:val="TOC8"/>
        <w:rPr>
          <w:rFonts w:asciiTheme="minorHAnsi" w:eastAsiaTheme="minorEastAsia" w:hAnsiTheme="minorHAnsi" w:cstheme="minorBidi"/>
          <w:szCs w:val="22"/>
        </w:rPr>
      </w:pPr>
      <w:r>
        <w:t>144.</w:t>
      </w:r>
      <w:r>
        <w:tab/>
        <w:t>Forcibly freeing person from lawful custody</w:t>
      </w:r>
      <w:r>
        <w:tab/>
      </w:r>
      <w:r>
        <w:fldChar w:fldCharType="begin"/>
      </w:r>
      <w:r>
        <w:instrText xml:space="preserve"> PAGEREF _Toc88662187 \h </w:instrText>
      </w:r>
      <w:r>
        <w:fldChar w:fldCharType="separate"/>
      </w:r>
      <w:r>
        <w:t>112</w:t>
      </w:r>
      <w:r>
        <w:fldChar w:fldCharType="end"/>
      </w:r>
    </w:p>
    <w:p>
      <w:pPr>
        <w:pStyle w:val="TOC8"/>
        <w:rPr>
          <w:rFonts w:asciiTheme="minorHAnsi" w:eastAsiaTheme="minorEastAsia" w:hAnsiTheme="minorHAnsi" w:cstheme="minorBidi"/>
          <w:szCs w:val="22"/>
        </w:rPr>
      </w:pPr>
      <w:r>
        <w:t>145.</w:t>
      </w:r>
      <w:r>
        <w:tab/>
        <w:t>Aiding escape from lawful custody</w:t>
      </w:r>
      <w:r>
        <w:tab/>
      </w:r>
      <w:r>
        <w:fldChar w:fldCharType="begin"/>
      </w:r>
      <w:r>
        <w:instrText xml:space="preserve"> PAGEREF _Toc88662188 \h </w:instrText>
      </w:r>
      <w:r>
        <w:fldChar w:fldCharType="separate"/>
      </w:r>
      <w:r>
        <w:t>112</w:t>
      </w:r>
      <w:r>
        <w:fldChar w:fldCharType="end"/>
      </w:r>
    </w:p>
    <w:p>
      <w:pPr>
        <w:pStyle w:val="TOC8"/>
        <w:rPr>
          <w:rFonts w:asciiTheme="minorHAnsi" w:eastAsiaTheme="minorEastAsia" w:hAnsiTheme="minorHAnsi" w:cstheme="minorBidi"/>
          <w:szCs w:val="22"/>
        </w:rPr>
      </w:pPr>
      <w:r>
        <w:t>146.</w:t>
      </w:r>
      <w:r>
        <w:tab/>
        <w:t>Escaping from lawful custody</w:t>
      </w:r>
      <w:r>
        <w:tab/>
      </w:r>
      <w:r>
        <w:fldChar w:fldCharType="begin"/>
      </w:r>
      <w:r>
        <w:instrText xml:space="preserve"> PAGEREF _Toc88662189 \h </w:instrText>
      </w:r>
      <w:r>
        <w:fldChar w:fldCharType="separate"/>
      </w:r>
      <w:r>
        <w:t>113</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Permitting escape from lawful custody</w:t>
      </w:r>
      <w:r>
        <w:tab/>
      </w:r>
      <w:r>
        <w:fldChar w:fldCharType="begin"/>
      </w:r>
      <w:r>
        <w:instrText xml:space="preserve"> PAGEREF _Toc88662190 \h </w:instrText>
      </w:r>
      <w:r>
        <w:fldChar w:fldCharType="separate"/>
      </w:r>
      <w:r>
        <w:t>113</w:t>
      </w:r>
      <w:r>
        <w:fldChar w:fldCharType="end"/>
      </w:r>
    </w:p>
    <w:p>
      <w:pPr>
        <w:pStyle w:val="TOC8"/>
        <w:rPr>
          <w:rFonts w:asciiTheme="minorHAnsi" w:eastAsiaTheme="minorEastAsia" w:hAnsiTheme="minorHAnsi" w:cstheme="minorBidi"/>
          <w:szCs w:val="22"/>
        </w:rPr>
      </w:pPr>
      <w:r>
        <w:t>148.</w:t>
      </w:r>
      <w:r>
        <w:tab/>
        <w:t>Aiding escapee from lawful custody</w:t>
      </w:r>
      <w:r>
        <w:tab/>
      </w:r>
      <w:r>
        <w:fldChar w:fldCharType="begin"/>
      </w:r>
      <w:r>
        <w:instrText xml:space="preserve"> PAGEREF _Toc88662191 \h </w:instrText>
      </w:r>
      <w:r>
        <w:fldChar w:fldCharType="separate"/>
      </w:r>
      <w:r>
        <w:t>113</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Rescuing, permitting escape of or concealing a person subject to any law relating to mental disorder</w:t>
      </w:r>
      <w:r>
        <w:tab/>
      </w:r>
      <w:r>
        <w:fldChar w:fldCharType="begin"/>
      </w:r>
      <w:r>
        <w:instrText xml:space="preserve"> PAGEREF _Toc88662192 \h </w:instrText>
      </w:r>
      <w:r>
        <w:fldChar w:fldCharType="separate"/>
      </w:r>
      <w:r>
        <w:t>113</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Removing etc. property under lawful seizure</w:t>
      </w:r>
      <w:r>
        <w:tab/>
      </w:r>
      <w:r>
        <w:fldChar w:fldCharType="begin"/>
      </w:r>
      <w:r>
        <w:instrText xml:space="preserve"> PAGEREF _Toc88662193 \h </w:instrText>
      </w:r>
      <w:r>
        <w:fldChar w:fldCharType="separate"/>
      </w:r>
      <w:r>
        <w:t>114</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Obstructing court officer</w:t>
      </w:r>
      <w:r>
        <w:tab/>
      </w:r>
      <w:r>
        <w:fldChar w:fldCharType="begin"/>
      </w:r>
      <w:r>
        <w:instrText xml:space="preserve"> PAGEREF _Toc88662194 \h </w:instrText>
      </w:r>
      <w:r>
        <w:fldChar w:fldCharType="separate"/>
      </w:r>
      <w:r>
        <w:t>114</w:t>
      </w:r>
      <w:r>
        <w:fldChar w:fldCharType="end"/>
      </w:r>
    </w:p>
    <w:p>
      <w:pPr>
        <w:pStyle w:val="TOC4"/>
        <w:tabs>
          <w:tab w:val="right" w:leader="dot" w:pos="7077"/>
        </w:tabs>
        <w:rPr>
          <w:rFonts w:asciiTheme="minorHAnsi" w:eastAsiaTheme="minorEastAsia" w:hAnsiTheme="minorHAnsi" w:cstheme="minorBidi"/>
          <w:b w:val="0"/>
          <w:szCs w:val="22"/>
        </w:rPr>
      </w:pPr>
      <w:r>
        <w:t>Chapter XX</w:t>
      </w:r>
      <w:r>
        <w:rPr>
          <w:snapToGrid w:val="0"/>
        </w:rPr>
        <w:t> — </w:t>
      </w:r>
      <w:r>
        <w:t>Miscellaneous offences against public authority</w:t>
      </w:r>
    </w:p>
    <w:p>
      <w:pPr>
        <w:pStyle w:val="TOC8"/>
        <w:rPr>
          <w:rFonts w:asciiTheme="minorHAnsi" w:eastAsiaTheme="minorEastAsia" w:hAnsiTheme="minorHAnsi" w:cstheme="minorBidi"/>
          <w:szCs w:val="22"/>
        </w:rPr>
      </w:pPr>
      <w:r>
        <w:t>169.</w:t>
      </w:r>
      <w:r>
        <w:tab/>
        <w:t>False statement on oath</w:t>
      </w:r>
      <w:r>
        <w:tab/>
      </w:r>
      <w:r>
        <w:fldChar w:fldCharType="begin"/>
      </w:r>
      <w:r>
        <w:instrText xml:space="preserve"> PAGEREF _Toc88662196 \h </w:instrText>
      </w:r>
      <w:r>
        <w:fldChar w:fldCharType="separate"/>
      </w:r>
      <w:r>
        <w:t>115</w:t>
      </w:r>
      <w:r>
        <w:fldChar w:fldCharType="end"/>
      </w:r>
    </w:p>
    <w:p>
      <w:pPr>
        <w:pStyle w:val="TOC8"/>
        <w:rPr>
          <w:rFonts w:asciiTheme="minorHAnsi" w:eastAsiaTheme="minorEastAsia" w:hAnsiTheme="minorHAnsi" w:cstheme="minorBidi"/>
          <w:szCs w:val="22"/>
        </w:rPr>
      </w:pPr>
      <w:r>
        <w:lastRenderedPageBreak/>
        <w:t>170.</w:t>
      </w:r>
      <w:r>
        <w:tab/>
        <w:t>False information to official etc.</w:t>
      </w:r>
      <w:r>
        <w:tab/>
      </w:r>
      <w:r>
        <w:fldChar w:fldCharType="begin"/>
      </w:r>
      <w:r>
        <w:instrText xml:space="preserve"> PAGEREF _Toc88662197 \h </w:instrText>
      </w:r>
      <w:r>
        <w:fldChar w:fldCharType="separate"/>
      </w:r>
      <w:r>
        <w:t>115</w:t>
      </w:r>
      <w:r>
        <w:fldChar w:fldCharType="end"/>
      </w:r>
    </w:p>
    <w:p>
      <w:pPr>
        <w:pStyle w:val="TOC8"/>
        <w:rPr>
          <w:rFonts w:asciiTheme="minorHAnsi" w:eastAsiaTheme="minorEastAsia" w:hAnsiTheme="minorHAnsi" w:cstheme="minorBidi"/>
          <w:szCs w:val="22"/>
        </w:rPr>
      </w:pPr>
      <w:r>
        <w:t>171.</w:t>
      </w:r>
      <w:r>
        <w:tab/>
        <w:t>Creating false belief</w:t>
      </w:r>
      <w:r>
        <w:tab/>
      </w:r>
      <w:r>
        <w:fldChar w:fldCharType="begin"/>
      </w:r>
      <w:r>
        <w:instrText xml:space="preserve"> PAGEREF _Toc88662198 \h </w:instrText>
      </w:r>
      <w:r>
        <w:fldChar w:fldCharType="separate"/>
      </w:r>
      <w:r>
        <w:t>116</w:t>
      </w:r>
      <w:r>
        <w:fldChar w:fldCharType="end"/>
      </w:r>
    </w:p>
    <w:p>
      <w:pPr>
        <w:pStyle w:val="TOC8"/>
        <w:rPr>
          <w:rFonts w:asciiTheme="minorHAnsi" w:eastAsiaTheme="minorEastAsia" w:hAnsiTheme="minorHAnsi" w:cstheme="minorBidi"/>
          <w:szCs w:val="22"/>
        </w:rPr>
      </w:pPr>
      <w:r>
        <w:t>172.</w:t>
      </w:r>
      <w:r>
        <w:tab/>
        <w:t>Obstructing public officer</w:t>
      </w:r>
      <w:r>
        <w:tab/>
      </w:r>
      <w:r>
        <w:fldChar w:fldCharType="begin"/>
      </w:r>
      <w:r>
        <w:instrText xml:space="preserve"> PAGEREF _Toc88662199 \h </w:instrText>
      </w:r>
      <w:r>
        <w:fldChar w:fldCharType="separate"/>
      </w:r>
      <w:r>
        <w:t>116</w:t>
      </w:r>
      <w:r>
        <w:fldChar w:fldCharType="end"/>
      </w:r>
    </w:p>
    <w:p>
      <w:pPr>
        <w:pStyle w:val="TOC8"/>
        <w:rPr>
          <w:rFonts w:asciiTheme="minorHAnsi" w:eastAsiaTheme="minorEastAsia" w:hAnsiTheme="minorHAnsi" w:cstheme="minorBidi"/>
          <w:szCs w:val="22"/>
        </w:rPr>
      </w:pPr>
      <w:r>
        <w:t>173</w:t>
      </w:r>
      <w:r>
        <w:rPr>
          <w:snapToGrid w:val="0"/>
        </w:rPr>
        <w:t>.</w:t>
      </w:r>
      <w:r>
        <w:rPr>
          <w:snapToGrid w:val="0"/>
        </w:rPr>
        <w:tab/>
        <w:t>Public officer refusing to perform duty</w:t>
      </w:r>
      <w:r>
        <w:tab/>
      </w:r>
      <w:r>
        <w:fldChar w:fldCharType="begin"/>
      </w:r>
      <w:r>
        <w:instrText xml:space="preserve"> PAGEREF _Toc88662200 \h </w:instrText>
      </w:r>
      <w:r>
        <w:fldChar w:fldCharType="separate"/>
      </w:r>
      <w:r>
        <w:t>117</w:t>
      </w:r>
      <w:r>
        <w:fldChar w:fldCharType="end"/>
      </w:r>
    </w:p>
    <w:p>
      <w:pPr>
        <w:pStyle w:val="TOC8"/>
        <w:rPr>
          <w:rFonts w:asciiTheme="minorHAnsi" w:eastAsiaTheme="minorEastAsia" w:hAnsiTheme="minorHAnsi" w:cstheme="minorBidi"/>
          <w:szCs w:val="22"/>
        </w:rPr>
      </w:pPr>
      <w:r>
        <w:t>176</w:t>
      </w:r>
      <w:r>
        <w:rPr>
          <w:snapToGrid w:val="0"/>
        </w:rPr>
        <w:t>.</w:t>
      </w:r>
      <w:r>
        <w:rPr>
          <w:snapToGrid w:val="0"/>
        </w:rPr>
        <w:tab/>
        <w:t>Disobeying request to help arrest person</w:t>
      </w:r>
      <w:r>
        <w:tab/>
      </w:r>
      <w:r>
        <w:fldChar w:fldCharType="begin"/>
      </w:r>
      <w:r>
        <w:instrText xml:space="preserve"> PAGEREF _Toc88662201 \h </w:instrText>
      </w:r>
      <w:r>
        <w:fldChar w:fldCharType="separate"/>
      </w:r>
      <w:r>
        <w:t>117</w:t>
      </w:r>
      <w:r>
        <w:fldChar w:fldCharType="end"/>
      </w:r>
    </w:p>
    <w:p>
      <w:pPr>
        <w:pStyle w:val="TOC8"/>
        <w:rPr>
          <w:rFonts w:asciiTheme="minorHAnsi" w:eastAsiaTheme="minorEastAsia" w:hAnsiTheme="minorHAnsi" w:cstheme="minorBidi"/>
          <w:szCs w:val="22"/>
        </w:rPr>
      </w:pPr>
      <w:r>
        <w:t>177</w:t>
      </w:r>
      <w:r>
        <w:rPr>
          <w:snapToGrid w:val="0"/>
        </w:rPr>
        <w:t>.</w:t>
      </w:r>
      <w:r>
        <w:rPr>
          <w:snapToGrid w:val="0"/>
        </w:rPr>
        <w:tab/>
        <w:t>Disobeying statute law</w:t>
      </w:r>
      <w:r>
        <w:tab/>
      </w:r>
      <w:r>
        <w:fldChar w:fldCharType="begin"/>
      </w:r>
      <w:r>
        <w:instrText xml:space="preserve"> PAGEREF _Toc88662202 \h </w:instrText>
      </w:r>
      <w:r>
        <w:fldChar w:fldCharType="separate"/>
      </w:r>
      <w:r>
        <w:t>117</w:t>
      </w:r>
      <w:r>
        <w:fldChar w:fldCharType="end"/>
      </w:r>
    </w:p>
    <w:p>
      <w:pPr>
        <w:pStyle w:val="TOC8"/>
        <w:rPr>
          <w:rFonts w:asciiTheme="minorHAnsi" w:eastAsiaTheme="minorEastAsia" w:hAnsiTheme="minorHAnsi" w:cstheme="minorBidi"/>
          <w:szCs w:val="22"/>
        </w:rPr>
      </w:pPr>
      <w:r>
        <w:t>178</w:t>
      </w:r>
      <w:r>
        <w:rPr>
          <w:snapToGrid w:val="0"/>
        </w:rPr>
        <w:t>.</w:t>
      </w:r>
      <w:r>
        <w:rPr>
          <w:snapToGrid w:val="0"/>
        </w:rPr>
        <w:tab/>
        <w:t>Disobeying lawful order issued by statutory authority</w:t>
      </w:r>
      <w:r>
        <w:tab/>
      </w:r>
      <w:r>
        <w:fldChar w:fldCharType="begin"/>
      </w:r>
      <w:r>
        <w:instrText xml:space="preserve"> PAGEREF _Toc88662203 \h </w:instrText>
      </w:r>
      <w:r>
        <w:fldChar w:fldCharType="separate"/>
      </w:r>
      <w:r>
        <w:t>118</w:t>
      </w:r>
      <w:r>
        <w:fldChar w:fldCharType="end"/>
      </w:r>
    </w:p>
    <w:p>
      <w:pPr>
        <w:pStyle w:val="TOC2"/>
        <w:tabs>
          <w:tab w:val="right" w:leader="dot" w:pos="7077"/>
        </w:tabs>
        <w:rPr>
          <w:rFonts w:asciiTheme="minorHAnsi" w:eastAsiaTheme="minorEastAsia" w:hAnsiTheme="minorHAnsi" w:cstheme="minorBidi"/>
          <w:b w:val="0"/>
          <w:sz w:val="22"/>
          <w:szCs w:val="22"/>
        </w:rPr>
      </w:pPr>
      <w:r>
        <w:t>Part IV — Acts injurious to the public in general</w:t>
      </w:r>
    </w:p>
    <w:p>
      <w:pPr>
        <w:pStyle w:val="TOC4"/>
        <w:tabs>
          <w:tab w:val="right" w:leader="dot" w:pos="7077"/>
        </w:tabs>
        <w:rPr>
          <w:rFonts w:asciiTheme="minorHAnsi" w:eastAsiaTheme="minorEastAsia" w:hAnsiTheme="minorHAnsi" w:cstheme="minorBidi"/>
          <w:b w:val="0"/>
          <w:szCs w:val="22"/>
        </w:rPr>
      </w:pPr>
      <w:r>
        <w:t>Chapter XXII</w:t>
      </w:r>
      <w:r>
        <w:rPr>
          <w:snapToGrid w:val="0"/>
        </w:rPr>
        <w:t> — </w:t>
      </w:r>
      <w:r>
        <w:t>Offences against morality</w:t>
      </w:r>
    </w:p>
    <w:p>
      <w:pPr>
        <w:pStyle w:val="TOC8"/>
        <w:rPr>
          <w:rFonts w:asciiTheme="minorHAnsi" w:eastAsiaTheme="minorEastAsia" w:hAnsiTheme="minorHAnsi" w:cstheme="minorBidi"/>
          <w:szCs w:val="22"/>
        </w:rPr>
      </w:pPr>
      <w:r>
        <w:t>181</w:t>
      </w:r>
      <w:r>
        <w:rPr>
          <w:snapToGrid w:val="0"/>
        </w:rPr>
        <w:t>.</w:t>
      </w:r>
      <w:r>
        <w:rPr>
          <w:snapToGrid w:val="0"/>
        </w:rPr>
        <w:tab/>
        <w:t>Carnal knowledge of animal</w:t>
      </w:r>
      <w:r>
        <w:tab/>
      </w:r>
      <w:r>
        <w:fldChar w:fldCharType="begin"/>
      </w:r>
      <w:r>
        <w:instrText xml:space="preserve"> PAGEREF _Toc88662206 \h </w:instrText>
      </w:r>
      <w:r>
        <w:fldChar w:fldCharType="separate"/>
      </w:r>
      <w:r>
        <w:t>119</w:t>
      </w:r>
      <w:r>
        <w:fldChar w:fldCharType="end"/>
      </w:r>
    </w:p>
    <w:p>
      <w:pPr>
        <w:pStyle w:val="TOC8"/>
        <w:rPr>
          <w:rFonts w:asciiTheme="minorHAnsi" w:eastAsiaTheme="minorEastAsia" w:hAnsiTheme="minorHAnsi" w:cstheme="minorBidi"/>
          <w:szCs w:val="22"/>
        </w:rPr>
      </w:pPr>
      <w:r>
        <w:t>186</w:t>
      </w:r>
      <w:r>
        <w:rPr>
          <w:snapToGrid w:val="0"/>
        </w:rPr>
        <w:t>.</w:t>
      </w:r>
      <w:r>
        <w:rPr>
          <w:snapToGrid w:val="0"/>
        </w:rPr>
        <w:tab/>
        <w:t>Occupier or owner allowing young person to be on premises for unlawful carnal knowledge</w:t>
      </w:r>
      <w:r>
        <w:tab/>
      </w:r>
      <w:r>
        <w:fldChar w:fldCharType="begin"/>
      </w:r>
      <w:r>
        <w:instrText xml:space="preserve"> PAGEREF _Toc88662207 \h </w:instrText>
      </w:r>
      <w:r>
        <w:fldChar w:fldCharType="separate"/>
      </w:r>
      <w:r>
        <w:t>119</w:t>
      </w:r>
      <w:r>
        <w:fldChar w:fldCharType="end"/>
      </w:r>
    </w:p>
    <w:p>
      <w:pPr>
        <w:pStyle w:val="TOC8"/>
        <w:rPr>
          <w:rFonts w:asciiTheme="minorHAnsi" w:eastAsiaTheme="minorEastAsia" w:hAnsiTheme="minorHAnsi" w:cstheme="minorBidi"/>
          <w:szCs w:val="22"/>
        </w:rPr>
      </w:pPr>
      <w:r>
        <w:t>187.</w:t>
      </w:r>
      <w:r>
        <w:tab/>
        <w:t>Facilitating sexual offence against child outside WA</w:t>
      </w:r>
      <w:r>
        <w:tab/>
      </w:r>
      <w:r>
        <w:fldChar w:fldCharType="begin"/>
      </w:r>
      <w:r>
        <w:instrText xml:space="preserve"> PAGEREF _Toc88662208 \h </w:instrText>
      </w:r>
      <w:r>
        <w:fldChar w:fldCharType="separate"/>
      </w:r>
      <w:r>
        <w:t>120</w:t>
      </w:r>
      <w:r>
        <w:fldChar w:fldCharType="end"/>
      </w:r>
    </w:p>
    <w:p>
      <w:pPr>
        <w:pStyle w:val="TOC8"/>
        <w:rPr>
          <w:rFonts w:asciiTheme="minorHAnsi" w:eastAsiaTheme="minorEastAsia" w:hAnsiTheme="minorHAnsi" w:cstheme="minorBidi"/>
          <w:szCs w:val="22"/>
        </w:rPr>
      </w:pPr>
      <w:r>
        <w:t>190.</w:t>
      </w:r>
      <w:r>
        <w:tab/>
        <w:t>Being involved with prostitution</w:t>
      </w:r>
      <w:r>
        <w:tab/>
      </w:r>
      <w:r>
        <w:fldChar w:fldCharType="begin"/>
      </w:r>
      <w:r>
        <w:instrText xml:space="preserve"> PAGEREF _Toc88662209 \h </w:instrText>
      </w:r>
      <w:r>
        <w:fldChar w:fldCharType="separate"/>
      </w:r>
      <w:r>
        <w:t>120</w:t>
      </w:r>
      <w:r>
        <w:fldChar w:fldCharType="end"/>
      </w:r>
    </w:p>
    <w:p>
      <w:pPr>
        <w:pStyle w:val="TOC8"/>
        <w:rPr>
          <w:rFonts w:asciiTheme="minorHAnsi" w:eastAsiaTheme="minorEastAsia" w:hAnsiTheme="minorHAnsi" w:cstheme="minorBidi"/>
          <w:szCs w:val="22"/>
        </w:rPr>
      </w:pPr>
      <w:r>
        <w:t>191</w:t>
      </w:r>
      <w:r>
        <w:rPr>
          <w:snapToGrid w:val="0"/>
        </w:rPr>
        <w:t>.</w:t>
      </w:r>
      <w:r>
        <w:rPr>
          <w:snapToGrid w:val="0"/>
        </w:rPr>
        <w:tab/>
        <w:t>Procuring person to be prostitute etc.</w:t>
      </w:r>
      <w:r>
        <w:tab/>
      </w:r>
      <w:r>
        <w:fldChar w:fldCharType="begin"/>
      </w:r>
      <w:r>
        <w:instrText xml:space="preserve"> PAGEREF _Toc88662210 \h </w:instrText>
      </w:r>
      <w:r>
        <w:fldChar w:fldCharType="separate"/>
      </w:r>
      <w:r>
        <w:t>121</w:t>
      </w:r>
      <w:r>
        <w:fldChar w:fldCharType="end"/>
      </w:r>
    </w:p>
    <w:p>
      <w:pPr>
        <w:pStyle w:val="TOC8"/>
        <w:rPr>
          <w:rFonts w:asciiTheme="minorHAnsi" w:eastAsiaTheme="minorEastAsia" w:hAnsiTheme="minorHAnsi" w:cstheme="minorBidi"/>
          <w:szCs w:val="22"/>
        </w:rPr>
      </w:pPr>
      <w:r>
        <w:t>192</w:t>
      </w:r>
      <w:r>
        <w:rPr>
          <w:snapToGrid w:val="0"/>
        </w:rPr>
        <w:t>.</w:t>
      </w:r>
      <w:r>
        <w:rPr>
          <w:snapToGrid w:val="0"/>
        </w:rPr>
        <w:tab/>
        <w:t>Procuring person to have unlawful carnal knowledge by threat, fraud or administering drug</w:t>
      </w:r>
      <w:r>
        <w:tab/>
      </w:r>
      <w:r>
        <w:fldChar w:fldCharType="begin"/>
      </w:r>
      <w:r>
        <w:instrText xml:space="preserve"> PAGEREF _Toc88662211 \h </w:instrText>
      </w:r>
      <w:r>
        <w:fldChar w:fldCharType="separate"/>
      </w:r>
      <w:r>
        <w:t>122</w:t>
      </w:r>
      <w:r>
        <w:fldChar w:fldCharType="end"/>
      </w:r>
    </w:p>
    <w:p>
      <w:pPr>
        <w:pStyle w:val="TOC8"/>
        <w:rPr>
          <w:rFonts w:asciiTheme="minorHAnsi" w:eastAsiaTheme="minorEastAsia" w:hAnsiTheme="minorHAnsi" w:cstheme="minorBidi"/>
          <w:szCs w:val="22"/>
        </w:rPr>
      </w:pPr>
      <w:r>
        <w:t>199.</w:t>
      </w:r>
      <w:r>
        <w:tab/>
      </w:r>
      <w:r>
        <w:rPr>
          <w:snapToGrid w:val="0"/>
        </w:rPr>
        <w:t>Abortion</w:t>
      </w:r>
      <w:r>
        <w:tab/>
      </w:r>
      <w:r>
        <w:fldChar w:fldCharType="begin"/>
      </w:r>
      <w:r>
        <w:instrText xml:space="preserve"> PAGEREF _Toc88662212 \h </w:instrText>
      </w:r>
      <w:r>
        <w:fldChar w:fldCharType="separate"/>
      </w:r>
      <w:r>
        <w:t>123</w:t>
      </w:r>
      <w:r>
        <w:fldChar w:fldCharType="end"/>
      </w:r>
    </w:p>
    <w:p>
      <w:pPr>
        <w:pStyle w:val="TOC8"/>
        <w:rPr>
          <w:rFonts w:asciiTheme="minorHAnsi" w:eastAsiaTheme="minorEastAsia" w:hAnsiTheme="minorHAnsi" w:cstheme="minorBidi"/>
          <w:szCs w:val="22"/>
        </w:rPr>
      </w:pPr>
      <w:r>
        <w:t>202.</w:t>
      </w:r>
      <w:r>
        <w:tab/>
        <w:t>Obscene act in public</w:t>
      </w:r>
      <w:r>
        <w:tab/>
      </w:r>
      <w:r>
        <w:fldChar w:fldCharType="begin"/>
      </w:r>
      <w:r>
        <w:instrText xml:space="preserve"> PAGEREF _Toc88662213 \h </w:instrText>
      </w:r>
      <w:r>
        <w:fldChar w:fldCharType="separate"/>
      </w:r>
      <w:r>
        <w:t>124</w:t>
      </w:r>
      <w:r>
        <w:fldChar w:fldCharType="end"/>
      </w:r>
    </w:p>
    <w:p>
      <w:pPr>
        <w:pStyle w:val="TOC8"/>
        <w:rPr>
          <w:rFonts w:asciiTheme="minorHAnsi" w:eastAsiaTheme="minorEastAsia" w:hAnsiTheme="minorHAnsi" w:cstheme="minorBidi"/>
          <w:szCs w:val="22"/>
        </w:rPr>
      </w:pPr>
      <w:r>
        <w:t>203.</w:t>
      </w:r>
      <w:r>
        <w:tab/>
        <w:t>Indecent act in public</w:t>
      </w:r>
      <w:r>
        <w:tab/>
      </w:r>
      <w:r>
        <w:fldChar w:fldCharType="begin"/>
      </w:r>
      <w:r>
        <w:instrText xml:space="preserve"> PAGEREF _Toc88662214 \h </w:instrText>
      </w:r>
      <w:r>
        <w:fldChar w:fldCharType="separate"/>
      </w:r>
      <w:r>
        <w:t>125</w:t>
      </w:r>
      <w:r>
        <w:fldChar w:fldCharType="end"/>
      </w:r>
    </w:p>
    <w:p>
      <w:pPr>
        <w:pStyle w:val="TOC8"/>
        <w:rPr>
          <w:rFonts w:asciiTheme="minorHAnsi" w:eastAsiaTheme="minorEastAsia" w:hAnsiTheme="minorHAnsi" w:cstheme="minorBidi"/>
          <w:szCs w:val="22"/>
        </w:rPr>
      </w:pPr>
      <w:r>
        <w:t>204.</w:t>
      </w:r>
      <w:r>
        <w:tab/>
        <w:t>Indecent act with intent to offend</w:t>
      </w:r>
      <w:r>
        <w:tab/>
      </w:r>
      <w:r>
        <w:fldChar w:fldCharType="begin"/>
      </w:r>
      <w:r>
        <w:instrText xml:space="preserve"> PAGEREF _Toc88662215 \h </w:instrText>
      </w:r>
      <w:r>
        <w:fldChar w:fldCharType="separate"/>
      </w:r>
      <w:r>
        <w:t>126</w:t>
      </w:r>
      <w:r>
        <w:fldChar w:fldCharType="end"/>
      </w:r>
    </w:p>
    <w:p>
      <w:pPr>
        <w:pStyle w:val="TOC8"/>
        <w:rPr>
          <w:rFonts w:asciiTheme="minorHAnsi" w:eastAsiaTheme="minorEastAsia" w:hAnsiTheme="minorHAnsi" w:cstheme="minorBidi"/>
          <w:szCs w:val="22"/>
        </w:rPr>
      </w:pPr>
      <w:r>
        <w:t>204A</w:t>
      </w:r>
      <w:r>
        <w:rPr>
          <w:snapToGrid w:val="0"/>
        </w:rPr>
        <w:t>.</w:t>
      </w:r>
      <w:r>
        <w:rPr>
          <w:snapToGrid w:val="0"/>
        </w:rPr>
        <w:tab/>
        <w:t>Showing offensive material to child under 16</w:t>
      </w:r>
      <w:r>
        <w:tab/>
      </w:r>
      <w:r>
        <w:fldChar w:fldCharType="begin"/>
      </w:r>
      <w:r>
        <w:instrText xml:space="preserve"> PAGEREF _Toc88662216 \h </w:instrText>
      </w:r>
      <w:r>
        <w:fldChar w:fldCharType="separate"/>
      </w:r>
      <w:r>
        <w:t>126</w:t>
      </w:r>
      <w:r>
        <w:fldChar w:fldCharType="end"/>
      </w:r>
    </w:p>
    <w:p>
      <w:pPr>
        <w:pStyle w:val="TOC8"/>
        <w:rPr>
          <w:rFonts w:asciiTheme="minorHAnsi" w:eastAsiaTheme="minorEastAsia" w:hAnsiTheme="minorHAnsi" w:cstheme="minorBidi"/>
          <w:szCs w:val="22"/>
        </w:rPr>
      </w:pPr>
      <w:r>
        <w:t>204B.</w:t>
      </w:r>
      <w:r>
        <w:tab/>
        <w:t>Using electronic communication to procure, or expose to indecent matter, child under 16</w:t>
      </w:r>
      <w:r>
        <w:tab/>
      </w:r>
      <w:r>
        <w:fldChar w:fldCharType="begin"/>
      </w:r>
      <w:r>
        <w:instrText xml:space="preserve"> PAGEREF _Toc88662217 \h </w:instrText>
      </w:r>
      <w:r>
        <w:fldChar w:fldCharType="separate"/>
      </w:r>
      <w:r>
        <w:t>128</w:t>
      </w:r>
      <w:r>
        <w:fldChar w:fldCharType="end"/>
      </w:r>
    </w:p>
    <w:p>
      <w:pPr>
        <w:pStyle w:val="TOC8"/>
        <w:rPr>
          <w:rFonts w:asciiTheme="minorHAnsi" w:eastAsiaTheme="minorEastAsia" w:hAnsiTheme="minorHAnsi" w:cstheme="minorBidi"/>
          <w:szCs w:val="22"/>
        </w:rPr>
      </w:pPr>
      <w:r>
        <w:t>205</w:t>
      </w:r>
      <w:r>
        <w:rPr>
          <w:snapToGrid w:val="0"/>
        </w:rPr>
        <w:t>.</w:t>
      </w:r>
      <w:r>
        <w:rPr>
          <w:snapToGrid w:val="0"/>
        </w:rPr>
        <w:tab/>
        <w:t>Ignorance of age no defence to charge under this Chapter</w:t>
      </w:r>
      <w:r>
        <w:tab/>
      </w:r>
      <w:r>
        <w:fldChar w:fldCharType="begin"/>
      </w:r>
      <w:r>
        <w:instrText xml:space="preserve"> PAGEREF _Toc88662218 \h </w:instrText>
      </w:r>
      <w:r>
        <w:fldChar w:fldCharType="separate"/>
      </w:r>
      <w:r>
        <w:t>131</w:t>
      </w:r>
      <w:r>
        <w:fldChar w:fldCharType="end"/>
      </w:r>
    </w:p>
    <w:p>
      <w:pPr>
        <w:pStyle w:val="TOC8"/>
        <w:rPr>
          <w:rFonts w:asciiTheme="minorHAnsi" w:eastAsiaTheme="minorEastAsia" w:hAnsiTheme="minorHAnsi" w:cstheme="minorBidi"/>
          <w:szCs w:val="22"/>
        </w:rPr>
      </w:pPr>
      <w:r>
        <w:t>206.</w:t>
      </w:r>
      <w:r>
        <w:tab/>
        <w:t>Supplying intoxicant to person likely to abuse them</w:t>
      </w:r>
      <w:r>
        <w:tab/>
      </w:r>
      <w:r>
        <w:fldChar w:fldCharType="begin"/>
      </w:r>
      <w:r>
        <w:instrText xml:space="preserve"> PAGEREF _Toc88662219 \h </w:instrText>
      </w:r>
      <w:r>
        <w:fldChar w:fldCharType="separate"/>
      </w:r>
      <w:r>
        <w:t>131</w:t>
      </w:r>
      <w:r>
        <w:fldChar w:fldCharType="end"/>
      </w:r>
    </w:p>
    <w:p>
      <w:pPr>
        <w:pStyle w:val="TOC4"/>
        <w:tabs>
          <w:tab w:val="right" w:leader="dot" w:pos="7077"/>
        </w:tabs>
        <w:rPr>
          <w:rFonts w:asciiTheme="minorHAnsi" w:eastAsiaTheme="minorEastAsia" w:hAnsiTheme="minorHAnsi" w:cstheme="minorBidi"/>
          <w:b w:val="0"/>
          <w:szCs w:val="22"/>
        </w:rPr>
      </w:pPr>
      <w:r>
        <w:t>Chapter XXIII</w:t>
      </w:r>
      <w:r>
        <w:rPr>
          <w:snapToGrid w:val="0"/>
        </w:rPr>
        <w:t> — </w:t>
      </w:r>
      <w:r>
        <w:t>Misconduct relating to corpses</w:t>
      </w:r>
    </w:p>
    <w:p>
      <w:pPr>
        <w:pStyle w:val="TOC8"/>
        <w:rPr>
          <w:rFonts w:asciiTheme="minorHAnsi" w:eastAsiaTheme="minorEastAsia" w:hAnsiTheme="minorHAnsi" w:cstheme="minorBidi"/>
          <w:szCs w:val="22"/>
        </w:rPr>
      </w:pPr>
      <w:r>
        <w:t>214</w:t>
      </w:r>
      <w:r>
        <w:rPr>
          <w:snapToGrid w:val="0"/>
        </w:rPr>
        <w:t>.</w:t>
      </w:r>
      <w:r>
        <w:rPr>
          <w:snapToGrid w:val="0"/>
        </w:rPr>
        <w:tab/>
      </w:r>
      <w:r>
        <w:t>Misconduct</w:t>
      </w:r>
      <w:r>
        <w:rPr>
          <w:snapToGrid w:val="0"/>
        </w:rPr>
        <w:t xml:space="preserve"> with regard to corpse</w:t>
      </w:r>
      <w:r>
        <w:tab/>
      </w:r>
      <w:r>
        <w:fldChar w:fldCharType="begin"/>
      </w:r>
      <w:r>
        <w:instrText xml:space="preserve"> PAGEREF _Toc88662221 \h </w:instrText>
      </w:r>
      <w:r>
        <w:fldChar w:fldCharType="separate"/>
      </w:r>
      <w:r>
        <w:t>132</w:t>
      </w:r>
      <w:r>
        <w:fldChar w:fldCharType="end"/>
      </w:r>
    </w:p>
    <w:p>
      <w:pPr>
        <w:pStyle w:val="TOC8"/>
        <w:rPr>
          <w:rFonts w:asciiTheme="minorHAnsi" w:eastAsiaTheme="minorEastAsia" w:hAnsiTheme="minorHAnsi" w:cstheme="minorBidi"/>
          <w:szCs w:val="22"/>
        </w:rPr>
      </w:pPr>
      <w:r>
        <w:t>215.</w:t>
      </w:r>
      <w:r>
        <w:tab/>
        <w:t>Interfering with corpse to hinder inquiry</w:t>
      </w:r>
      <w:r>
        <w:tab/>
      </w:r>
      <w:r>
        <w:fldChar w:fldCharType="begin"/>
      </w:r>
      <w:r>
        <w:instrText xml:space="preserve"> PAGEREF _Toc88662222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Chapter XXV</w:t>
      </w:r>
      <w:r>
        <w:rPr>
          <w:b w:val="0"/>
        </w:rPr>
        <w:t> </w:t>
      </w:r>
      <w:r>
        <w:t>—</w:t>
      </w:r>
      <w:r>
        <w:rPr>
          <w:b w:val="0"/>
        </w:rPr>
        <w:t> </w:t>
      </w:r>
      <w:r>
        <w:t>Child exploitation material</w:t>
      </w:r>
    </w:p>
    <w:p>
      <w:pPr>
        <w:pStyle w:val="TOC8"/>
        <w:rPr>
          <w:rFonts w:asciiTheme="minorHAnsi" w:eastAsiaTheme="minorEastAsia" w:hAnsiTheme="minorHAnsi" w:cstheme="minorBidi"/>
          <w:szCs w:val="22"/>
        </w:rPr>
      </w:pPr>
      <w:r>
        <w:t>217A.</w:t>
      </w:r>
      <w:r>
        <w:tab/>
        <w:t>Terms used</w:t>
      </w:r>
      <w:r>
        <w:tab/>
      </w:r>
      <w:r>
        <w:fldChar w:fldCharType="begin"/>
      </w:r>
      <w:r>
        <w:instrText xml:space="preserve"> PAGEREF _Toc88662224 \h </w:instrText>
      </w:r>
      <w:r>
        <w:fldChar w:fldCharType="separate"/>
      </w:r>
      <w:r>
        <w:t>133</w:t>
      </w:r>
      <w:r>
        <w:fldChar w:fldCharType="end"/>
      </w:r>
    </w:p>
    <w:p>
      <w:pPr>
        <w:pStyle w:val="TOC8"/>
        <w:rPr>
          <w:rFonts w:asciiTheme="minorHAnsi" w:eastAsiaTheme="minorEastAsia" w:hAnsiTheme="minorHAnsi" w:cstheme="minorBidi"/>
          <w:szCs w:val="22"/>
        </w:rPr>
      </w:pPr>
      <w:r>
        <w:t>217.</w:t>
      </w:r>
      <w:r>
        <w:tab/>
        <w:t>Involving child in child exploitation</w:t>
      </w:r>
      <w:r>
        <w:tab/>
      </w:r>
      <w:r>
        <w:fldChar w:fldCharType="begin"/>
      </w:r>
      <w:r>
        <w:instrText xml:space="preserve"> PAGEREF _Toc88662225 \h </w:instrText>
      </w:r>
      <w:r>
        <w:fldChar w:fldCharType="separate"/>
      </w:r>
      <w:r>
        <w:t>134</w:t>
      </w:r>
      <w:r>
        <w:fldChar w:fldCharType="end"/>
      </w:r>
    </w:p>
    <w:p>
      <w:pPr>
        <w:pStyle w:val="TOC8"/>
        <w:rPr>
          <w:rFonts w:asciiTheme="minorHAnsi" w:eastAsiaTheme="minorEastAsia" w:hAnsiTheme="minorHAnsi" w:cstheme="minorBidi"/>
          <w:szCs w:val="22"/>
        </w:rPr>
      </w:pPr>
      <w:r>
        <w:t>218.</w:t>
      </w:r>
      <w:r>
        <w:tab/>
        <w:t>Producing child exploitation material</w:t>
      </w:r>
      <w:r>
        <w:tab/>
      </w:r>
      <w:r>
        <w:fldChar w:fldCharType="begin"/>
      </w:r>
      <w:r>
        <w:instrText xml:space="preserve"> PAGEREF _Toc88662226 \h </w:instrText>
      </w:r>
      <w:r>
        <w:fldChar w:fldCharType="separate"/>
      </w:r>
      <w:r>
        <w:t>134</w:t>
      </w:r>
      <w:r>
        <w:fldChar w:fldCharType="end"/>
      </w:r>
    </w:p>
    <w:p>
      <w:pPr>
        <w:pStyle w:val="TOC8"/>
        <w:rPr>
          <w:rFonts w:asciiTheme="minorHAnsi" w:eastAsiaTheme="minorEastAsia" w:hAnsiTheme="minorHAnsi" w:cstheme="minorBidi"/>
          <w:szCs w:val="22"/>
        </w:rPr>
      </w:pPr>
      <w:r>
        <w:lastRenderedPageBreak/>
        <w:t>219.</w:t>
      </w:r>
      <w:r>
        <w:tab/>
        <w:t>Distributing child exploitation material</w:t>
      </w:r>
      <w:r>
        <w:tab/>
      </w:r>
      <w:r>
        <w:fldChar w:fldCharType="begin"/>
      </w:r>
      <w:r>
        <w:instrText xml:space="preserve"> PAGEREF _Toc88662227 \h </w:instrText>
      </w:r>
      <w:r>
        <w:fldChar w:fldCharType="separate"/>
      </w:r>
      <w:r>
        <w:t>134</w:t>
      </w:r>
      <w:r>
        <w:fldChar w:fldCharType="end"/>
      </w:r>
    </w:p>
    <w:p>
      <w:pPr>
        <w:pStyle w:val="TOC8"/>
        <w:rPr>
          <w:rFonts w:asciiTheme="minorHAnsi" w:eastAsiaTheme="minorEastAsia" w:hAnsiTheme="minorHAnsi" w:cstheme="minorBidi"/>
          <w:szCs w:val="22"/>
        </w:rPr>
      </w:pPr>
      <w:r>
        <w:t>220.</w:t>
      </w:r>
      <w:r>
        <w:tab/>
        <w:t>Possession of child exploitation material</w:t>
      </w:r>
      <w:r>
        <w:tab/>
      </w:r>
      <w:r>
        <w:fldChar w:fldCharType="begin"/>
      </w:r>
      <w:r>
        <w:instrText xml:space="preserve"> PAGEREF _Toc88662228 \h </w:instrText>
      </w:r>
      <w:r>
        <w:fldChar w:fldCharType="separate"/>
      </w:r>
      <w:r>
        <w:t>135</w:t>
      </w:r>
      <w:r>
        <w:fldChar w:fldCharType="end"/>
      </w:r>
    </w:p>
    <w:p>
      <w:pPr>
        <w:pStyle w:val="TOC8"/>
        <w:rPr>
          <w:rFonts w:asciiTheme="minorHAnsi" w:eastAsiaTheme="minorEastAsia" w:hAnsiTheme="minorHAnsi" w:cstheme="minorBidi"/>
          <w:szCs w:val="22"/>
        </w:rPr>
      </w:pPr>
      <w:r>
        <w:t>221A.</w:t>
      </w:r>
      <w:r>
        <w:tab/>
        <w:t>Defences and exclusions for s. 217, 218, 219 and 220</w:t>
      </w:r>
      <w:r>
        <w:tab/>
      </w:r>
      <w:r>
        <w:fldChar w:fldCharType="begin"/>
      </w:r>
      <w:r>
        <w:instrText xml:space="preserve"> PAGEREF _Toc88662229 \h </w:instrText>
      </w:r>
      <w:r>
        <w:fldChar w:fldCharType="separate"/>
      </w:r>
      <w:r>
        <w:t>135</w:t>
      </w:r>
      <w:r>
        <w:fldChar w:fldCharType="end"/>
      </w:r>
    </w:p>
    <w:p>
      <w:pPr>
        <w:pStyle w:val="TOC8"/>
        <w:rPr>
          <w:rFonts w:asciiTheme="minorHAnsi" w:eastAsiaTheme="minorEastAsia" w:hAnsiTheme="minorHAnsi" w:cstheme="minorBidi"/>
          <w:szCs w:val="22"/>
        </w:rPr>
      </w:pPr>
      <w:r>
        <w:t>221B.</w:t>
      </w:r>
      <w:r>
        <w:tab/>
        <w:t>Unlawful material, forfeiture of</w:t>
      </w:r>
      <w:r>
        <w:tab/>
      </w:r>
      <w:r>
        <w:fldChar w:fldCharType="begin"/>
      </w:r>
      <w:r>
        <w:instrText xml:space="preserve"> PAGEREF _Toc88662230 \h </w:instrText>
      </w:r>
      <w:r>
        <w:fldChar w:fldCharType="separate"/>
      </w:r>
      <w:r>
        <w:t>137</w:t>
      </w:r>
      <w:r>
        <w:fldChar w:fldCharType="end"/>
      </w:r>
    </w:p>
    <w:p>
      <w:pPr>
        <w:pStyle w:val="TOC4"/>
        <w:tabs>
          <w:tab w:val="right" w:leader="dot" w:pos="7077"/>
        </w:tabs>
        <w:rPr>
          <w:rFonts w:asciiTheme="minorHAnsi" w:eastAsiaTheme="minorEastAsia" w:hAnsiTheme="minorHAnsi" w:cstheme="minorBidi"/>
          <w:b w:val="0"/>
          <w:szCs w:val="22"/>
        </w:rPr>
      </w:pPr>
      <w:r>
        <w:t>Chapter XXVA — Intimate images</w:t>
      </w:r>
    </w:p>
    <w:p>
      <w:pPr>
        <w:pStyle w:val="TOC8"/>
        <w:rPr>
          <w:rFonts w:asciiTheme="minorHAnsi" w:eastAsiaTheme="minorEastAsia" w:hAnsiTheme="minorHAnsi" w:cstheme="minorBidi"/>
          <w:szCs w:val="22"/>
        </w:rPr>
      </w:pPr>
      <w:r>
        <w:t>221BA.</w:t>
      </w:r>
      <w:r>
        <w:tab/>
        <w:t>Terms used</w:t>
      </w:r>
      <w:r>
        <w:tab/>
      </w:r>
      <w:r>
        <w:fldChar w:fldCharType="begin"/>
      </w:r>
      <w:r>
        <w:instrText xml:space="preserve"> PAGEREF _Toc88662232 \h </w:instrText>
      </w:r>
      <w:r>
        <w:fldChar w:fldCharType="separate"/>
      </w:r>
      <w:r>
        <w:t>137</w:t>
      </w:r>
      <w:r>
        <w:fldChar w:fldCharType="end"/>
      </w:r>
    </w:p>
    <w:p>
      <w:pPr>
        <w:pStyle w:val="TOC8"/>
        <w:rPr>
          <w:rFonts w:asciiTheme="minorHAnsi" w:eastAsiaTheme="minorEastAsia" w:hAnsiTheme="minorHAnsi" w:cstheme="minorBidi"/>
          <w:szCs w:val="22"/>
        </w:rPr>
      </w:pPr>
      <w:r>
        <w:t>221BB.</w:t>
      </w:r>
      <w:r>
        <w:tab/>
        <w:t>Term used: consent</w:t>
      </w:r>
      <w:r>
        <w:tab/>
      </w:r>
      <w:r>
        <w:fldChar w:fldCharType="begin"/>
      </w:r>
      <w:r>
        <w:instrText xml:space="preserve"> PAGEREF _Toc88662233 \h </w:instrText>
      </w:r>
      <w:r>
        <w:fldChar w:fldCharType="separate"/>
      </w:r>
      <w:r>
        <w:t>138</w:t>
      </w:r>
      <w:r>
        <w:fldChar w:fldCharType="end"/>
      </w:r>
    </w:p>
    <w:p>
      <w:pPr>
        <w:pStyle w:val="TOC8"/>
        <w:rPr>
          <w:rFonts w:asciiTheme="minorHAnsi" w:eastAsiaTheme="minorEastAsia" w:hAnsiTheme="minorHAnsi" w:cstheme="minorBidi"/>
          <w:szCs w:val="22"/>
        </w:rPr>
      </w:pPr>
      <w:r>
        <w:t>221BC.</w:t>
      </w:r>
      <w:r>
        <w:tab/>
        <w:t>Term used: distributes</w:t>
      </w:r>
      <w:r>
        <w:tab/>
      </w:r>
      <w:r>
        <w:fldChar w:fldCharType="begin"/>
      </w:r>
      <w:r>
        <w:instrText xml:space="preserve"> PAGEREF _Toc88662234 \h </w:instrText>
      </w:r>
      <w:r>
        <w:fldChar w:fldCharType="separate"/>
      </w:r>
      <w:r>
        <w:t>139</w:t>
      </w:r>
      <w:r>
        <w:fldChar w:fldCharType="end"/>
      </w:r>
    </w:p>
    <w:p>
      <w:pPr>
        <w:pStyle w:val="TOC8"/>
        <w:rPr>
          <w:rFonts w:asciiTheme="minorHAnsi" w:eastAsiaTheme="minorEastAsia" w:hAnsiTheme="minorHAnsi" w:cstheme="minorBidi"/>
          <w:szCs w:val="22"/>
        </w:rPr>
      </w:pPr>
      <w:r>
        <w:t>221BD.</w:t>
      </w:r>
      <w:r>
        <w:tab/>
        <w:t>Distribution of intimate image</w:t>
      </w:r>
      <w:r>
        <w:tab/>
      </w:r>
      <w:r>
        <w:fldChar w:fldCharType="begin"/>
      </w:r>
      <w:r>
        <w:instrText xml:space="preserve"> PAGEREF _Toc88662235 \h </w:instrText>
      </w:r>
      <w:r>
        <w:fldChar w:fldCharType="separate"/>
      </w:r>
      <w:r>
        <w:t>140</w:t>
      </w:r>
      <w:r>
        <w:fldChar w:fldCharType="end"/>
      </w:r>
    </w:p>
    <w:p>
      <w:pPr>
        <w:pStyle w:val="TOC8"/>
        <w:rPr>
          <w:rFonts w:asciiTheme="minorHAnsi" w:eastAsiaTheme="minorEastAsia" w:hAnsiTheme="minorHAnsi" w:cstheme="minorBidi"/>
          <w:szCs w:val="22"/>
        </w:rPr>
      </w:pPr>
      <w:r>
        <w:t>221BE.</w:t>
      </w:r>
      <w:r>
        <w:tab/>
        <w:t>Court may order rectification</w:t>
      </w:r>
      <w:r>
        <w:tab/>
      </w:r>
      <w:r>
        <w:fldChar w:fldCharType="begin"/>
      </w:r>
      <w:r>
        <w:instrText xml:space="preserve"> PAGEREF _Toc88662236 \h </w:instrText>
      </w:r>
      <w:r>
        <w:fldChar w:fldCharType="separate"/>
      </w:r>
      <w:r>
        <w:t>141</w:t>
      </w:r>
      <w:r>
        <w:fldChar w:fldCharType="end"/>
      </w:r>
    </w:p>
    <w:p>
      <w:pPr>
        <w:pStyle w:val="TOC8"/>
        <w:rPr>
          <w:rFonts w:asciiTheme="minorHAnsi" w:eastAsiaTheme="minorEastAsia" w:hAnsiTheme="minorHAnsi" w:cstheme="minorBidi"/>
          <w:szCs w:val="22"/>
        </w:rPr>
      </w:pPr>
      <w:r>
        <w:t>221BF.</w:t>
      </w:r>
      <w:r>
        <w:tab/>
        <w:t xml:space="preserve">Review of amendments made by </w:t>
      </w:r>
      <w:r>
        <w:rPr>
          <w:i/>
        </w:rPr>
        <w:t>Criminal Law Amendment (Intimate Images) Act 2019</w:t>
      </w:r>
      <w:r>
        <w:tab/>
      </w:r>
      <w:r>
        <w:fldChar w:fldCharType="begin"/>
      </w:r>
      <w:r>
        <w:instrText xml:space="preserve"> PAGEREF _Toc88662237 \h </w:instrText>
      </w:r>
      <w:r>
        <w:fldChar w:fldCharType="separate"/>
      </w:r>
      <w:r>
        <w:t>143</w:t>
      </w:r>
      <w:r>
        <w:fldChar w:fldCharType="end"/>
      </w:r>
    </w:p>
    <w:p>
      <w:pPr>
        <w:pStyle w:val="TOC4"/>
        <w:tabs>
          <w:tab w:val="right" w:leader="dot" w:pos="7077"/>
        </w:tabs>
        <w:rPr>
          <w:rFonts w:asciiTheme="minorHAnsi" w:eastAsiaTheme="minorEastAsia" w:hAnsiTheme="minorHAnsi" w:cstheme="minorBidi"/>
          <w:b w:val="0"/>
          <w:szCs w:val="22"/>
        </w:rPr>
      </w:pPr>
      <w:r>
        <w:t>Chapter XXVIA — Facilitating activities of criminal organisations</w:t>
      </w:r>
    </w:p>
    <w:p>
      <w:pPr>
        <w:pStyle w:val="TOC8"/>
        <w:rPr>
          <w:rFonts w:asciiTheme="minorHAnsi" w:eastAsiaTheme="minorEastAsia" w:hAnsiTheme="minorHAnsi" w:cstheme="minorBidi"/>
          <w:szCs w:val="22"/>
        </w:rPr>
      </w:pPr>
      <w:r>
        <w:t>221C.</w:t>
      </w:r>
      <w:r>
        <w:tab/>
        <w:t>Terms used</w:t>
      </w:r>
      <w:r>
        <w:tab/>
      </w:r>
      <w:r>
        <w:fldChar w:fldCharType="begin"/>
      </w:r>
      <w:r>
        <w:instrText xml:space="preserve"> PAGEREF _Toc88662239 \h </w:instrText>
      </w:r>
      <w:r>
        <w:fldChar w:fldCharType="separate"/>
      </w:r>
      <w:r>
        <w:t>143</w:t>
      </w:r>
      <w:r>
        <w:fldChar w:fldCharType="end"/>
      </w:r>
    </w:p>
    <w:p>
      <w:pPr>
        <w:pStyle w:val="TOC8"/>
        <w:rPr>
          <w:rFonts w:asciiTheme="minorHAnsi" w:eastAsiaTheme="minorEastAsia" w:hAnsiTheme="minorHAnsi" w:cstheme="minorBidi"/>
          <w:szCs w:val="22"/>
        </w:rPr>
      </w:pPr>
      <w:r>
        <w:t>221D.</w:t>
      </w:r>
      <w:r>
        <w:tab/>
        <w:t>Term used: criminal organisation</w:t>
      </w:r>
      <w:r>
        <w:tab/>
      </w:r>
      <w:r>
        <w:fldChar w:fldCharType="begin"/>
      </w:r>
      <w:r>
        <w:instrText xml:space="preserve"> PAGEREF _Toc88662240 \h </w:instrText>
      </w:r>
      <w:r>
        <w:fldChar w:fldCharType="separate"/>
      </w:r>
      <w:r>
        <w:t>144</w:t>
      </w:r>
      <w:r>
        <w:fldChar w:fldCharType="end"/>
      </w:r>
    </w:p>
    <w:p>
      <w:pPr>
        <w:pStyle w:val="TOC8"/>
        <w:rPr>
          <w:rFonts w:asciiTheme="minorHAnsi" w:eastAsiaTheme="minorEastAsia" w:hAnsiTheme="minorHAnsi" w:cstheme="minorBidi"/>
          <w:szCs w:val="22"/>
        </w:rPr>
      </w:pPr>
      <w:r>
        <w:t>221E.</w:t>
      </w:r>
      <w:r>
        <w:tab/>
        <w:t>Participating in activities of criminal organisation</w:t>
      </w:r>
      <w:r>
        <w:tab/>
      </w:r>
      <w:r>
        <w:fldChar w:fldCharType="begin"/>
      </w:r>
      <w:r>
        <w:instrText xml:space="preserve"> PAGEREF _Toc88662241 \h </w:instrText>
      </w:r>
      <w:r>
        <w:fldChar w:fldCharType="separate"/>
      </w:r>
      <w:r>
        <w:t>144</w:t>
      </w:r>
      <w:r>
        <w:fldChar w:fldCharType="end"/>
      </w:r>
    </w:p>
    <w:p>
      <w:pPr>
        <w:pStyle w:val="TOC8"/>
        <w:rPr>
          <w:rFonts w:asciiTheme="minorHAnsi" w:eastAsiaTheme="minorEastAsia" w:hAnsiTheme="minorHAnsi" w:cstheme="minorBidi"/>
          <w:szCs w:val="22"/>
        </w:rPr>
      </w:pPr>
      <w:r>
        <w:t>221F.</w:t>
      </w:r>
      <w:r>
        <w:tab/>
        <w:t>Instructing commission of offence for benefit of criminal organisation</w:t>
      </w:r>
      <w:r>
        <w:tab/>
      </w:r>
      <w:r>
        <w:fldChar w:fldCharType="begin"/>
      </w:r>
      <w:r>
        <w:instrText xml:space="preserve"> PAGEREF _Toc88662242 \h </w:instrText>
      </w:r>
      <w:r>
        <w:fldChar w:fldCharType="separate"/>
      </w:r>
      <w:r>
        <w:t>145</w:t>
      </w:r>
      <w:r>
        <w:fldChar w:fldCharType="end"/>
      </w:r>
    </w:p>
    <w:p>
      <w:pPr>
        <w:pStyle w:val="TOC2"/>
        <w:tabs>
          <w:tab w:val="right" w:leader="dot" w:pos="7077"/>
        </w:tabs>
        <w:rPr>
          <w:rFonts w:asciiTheme="minorHAnsi" w:eastAsiaTheme="minorEastAsia" w:hAnsiTheme="minorHAnsi" w:cstheme="minorBidi"/>
          <w:b w:val="0"/>
          <w:sz w:val="22"/>
          <w:szCs w:val="22"/>
        </w:rPr>
      </w:pPr>
      <w:r>
        <w:t>Part V — Offences against the person and relating to parental rights and duties and against the reputation of individuals</w:t>
      </w:r>
    </w:p>
    <w:p>
      <w:pPr>
        <w:pStyle w:val="TOC4"/>
        <w:tabs>
          <w:tab w:val="right" w:leader="dot" w:pos="7077"/>
        </w:tabs>
        <w:rPr>
          <w:rFonts w:asciiTheme="minorHAnsi" w:eastAsiaTheme="minorEastAsia" w:hAnsiTheme="minorHAnsi" w:cstheme="minorBidi"/>
          <w:b w:val="0"/>
          <w:szCs w:val="22"/>
        </w:rPr>
      </w:pPr>
      <w:r>
        <w:t>Chapter XXVI</w:t>
      </w:r>
      <w:r>
        <w:rPr>
          <w:snapToGrid w:val="0"/>
        </w:rPr>
        <w:t> — </w:t>
      </w:r>
      <w:r>
        <w:t>Assaults and violence to the person generally: Justification, excuse and circumstances of aggravation</w:t>
      </w:r>
    </w:p>
    <w:p>
      <w:pPr>
        <w:pStyle w:val="TOC8"/>
        <w:rPr>
          <w:rFonts w:asciiTheme="minorHAnsi" w:eastAsiaTheme="minorEastAsia" w:hAnsiTheme="minorHAnsi" w:cstheme="minorBidi"/>
          <w:szCs w:val="22"/>
        </w:rPr>
      </w:pPr>
      <w:r>
        <w:t>221.</w:t>
      </w:r>
      <w:r>
        <w:tab/>
        <w:t>Term used: circumstances of aggravation</w:t>
      </w:r>
      <w:r>
        <w:tab/>
      </w:r>
      <w:r>
        <w:fldChar w:fldCharType="begin"/>
      </w:r>
      <w:r>
        <w:instrText xml:space="preserve"> PAGEREF _Toc88662245 \h </w:instrText>
      </w:r>
      <w:r>
        <w:fldChar w:fldCharType="separate"/>
      </w:r>
      <w:r>
        <w:t>147</w:t>
      </w:r>
      <w:r>
        <w:fldChar w:fldCharType="end"/>
      </w:r>
    </w:p>
    <w:p>
      <w:pPr>
        <w:pStyle w:val="TOC8"/>
        <w:rPr>
          <w:rFonts w:asciiTheme="minorHAnsi" w:eastAsiaTheme="minorEastAsia" w:hAnsiTheme="minorHAnsi" w:cstheme="minorBidi"/>
          <w:szCs w:val="22"/>
        </w:rPr>
      </w:pPr>
      <w:r>
        <w:t>222</w:t>
      </w:r>
      <w:r>
        <w:rPr>
          <w:snapToGrid w:val="0"/>
        </w:rPr>
        <w:t>.</w:t>
      </w:r>
      <w:r>
        <w:rPr>
          <w:snapToGrid w:val="0"/>
        </w:rPr>
        <w:tab/>
        <w:t xml:space="preserve">Term used: </w:t>
      </w:r>
      <w:r>
        <w:rPr>
          <w:bCs/>
        </w:rPr>
        <w:t>assault</w:t>
      </w:r>
      <w:r>
        <w:tab/>
      </w:r>
      <w:r>
        <w:fldChar w:fldCharType="begin"/>
      </w:r>
      <w:r>
        <w:instrText xml:space="preserve"> PAGEREF _Toc88662246 \h </w:instrText>
      </w:r>
      <w:r>
        <w:fldChar w:fldCharType="separate"/>
      </w:r>
      <w:r>
        <w:t>148</w:t>
      </w:r>
      <w:r>
        <w:fldChar w:fldCharType="end"/>
      </w:r>
    </w:p>
    <w:p>
      <w:pPr>
        <w:pStyle w:val="TOC8"/>
        <w:rPr>
          <w:rFonts w:asciiTheme="minorHAnsi" w:eastAsiaTheme="minorEastAsia" w:hAnsiTheme="minorHAnsi" w:cstheme="minorBidi"/>
          <w:szCs w:val="22"/>
        </w:rPr>
      </w:pPr>
      <w:r>
        <w:t>223</w:t>
      </w:r>
      <w:r>
        <w:rPr>
          <w:snapToGrid w:val="0"/>
        </w:rPr>
        <w:t>.</w:t>
      </w:r>
      <w:r>
        <w:rPr>
          <w:snapToGrid w:val="0"/>
        </w:rPr>
        <w:tab/>
        <w:t>Assault is unlawful</w:t>
      </w:r>
      <w:r>
        <w:tab/>
      </w:r>
      <w:r>
        <w:fldChar w:fldCharType="begin"/>
      </w:r>
      <w:r>
        <w:instrText xml:space="preserve"> PAGEREF _Toc88662247 \h </w:instrText>
      </w:r>
      <w:r>
        <w:fldChar w:fldCharType="separate"/>
      </w:r>
      <w:r>
        <w:t>148</w:t>
      </w:r>
      <w:r>
        <w:fldChar w:fldCharType="end"/>
      </w:r>
    </w:p>
    <w:p>
      <w:pPr>
        <w:pStyle w:val="TOC8"/>
        <w:rPr>
          <w:rFonts w:asciiTheme="minorHAnsi" w:eastAsiaTheme="minorEastAsia" w:hAnsiTheme="minorHAnsi" w:cstheme="minorBidi"/>
          <w:szCs w:val="22"/>
        </w:rPr>
      </w:pPr>
      <w:r>
        <w:t>224</w:t>
      </w:r>
      <w:r>
        <w:rPr>
          <w:snapToGrid w:val="0"/>
        </w:rPr>
        <w:t>.</w:t>
      </w:r>
      <w:r>
        <w:rPr>
          <w:snapToGrid w:val="0"/>
        </w:rPr>
        <w:tab/>
        <w:t>Execution of sentence is lawful</w:t>
      </w:r>
      <w:r>
        <w:tab/>
      </w:r>
      <w:r>
        <w:fldChar w:fldCharType="begin"/>
      </w:r>
      <w:r>
        <w:instrText xml:space="preserve"> PAGEREF _Toc88662248 \h </w:instrText>
      </w:r>
      <w:r>
        <w:fldChar w:fldCharType="separate"/>
      </w:r>
      <w:r>
        <w:t>148</w:t>
      </w:r>
      <w:r>
        <w:fldChar w:fldCharType="end"/>
      </w:r>
    </w:p>
    <w:p>
      <w:pPr>
        <w:pStyle w:val="TOC8"/>
        <w:rPr>
          <w:rFonts w:asciiTheme="minorHAnsi" w:eastAsiaTheme="minorEastAsia" w:hAnsiTheme="minorHAnsi" w:cstheme="minorBidi"/>
          <w:szCs w:val="22"/>
        </w:rPr>
      </w:pPr>
      <w:r>
        <w:t>225</w:t>
      </w:r>
      <w:r>
        <w:rPr>
          <w:snapToGrid w:val="0"/>
        </w:rPr>
        <w:t>.</w:t>
      </w:r>
      <w:r>
        <w:rPr>
          <w:snapToGrid w:val="0"/>
        </w:rPr>
        <w:tab/>
        <w:t>Execution of process is lawful</w:t>
      </w:r>
      <w:r>
        <w:tab/>
      </w:r>
      <w:r>
        <w:fldChar w:fldCharType="begin"/>
      </w:r>
      <w:r>
        <w:instrText xml:space="preserve"> PAGEREF _Toc88662249 \h </w:instrText>
      </w:r>
      <w:r>
        <w:fldChar w:fldCharType="separate"/>
      </w:r>
      <w:r>
        <w:t>149</w:t>
      </w:r>
      <w:r>
        <w:fldChar w:fldCharType="end"/>
      </w:r>
    </w:p>
    <w:p>
      <w:pPr>
        <w:pStyle w:val="TOC8"/>
        <w:rPr>
          <w:rFonts w:asciiTheme="minorHAnsi" w:eastAsiaTheme="minorEastAsia" w:hAnsiTheme="minorHAnsi" w:cstheme="minorBidi"/>
          <w:szCs w:val="22"/>
        </w:rPr>
      </w:pPr>
      <w:r>
        <w:t>226</w:t>
      </w:r>
      <w:r>
        <w:rPr>
          <w:snapToGrid w:val="0"/>
        </w:rPr>
        <w:t>.</w:t>
      </w:r>
      <w:r>
        <w:rPr>
          <w:snapToGrid w:val="0"/>
        </w:rPr>
        <w:tab/>
        <w:t>Execution of warrant is lawful</w:t>
      </w:r>
      <w:r>
        <w:tab/>
      </w:r>
      <w:r>
        <w:fldChar w:fldCharType="begin"/>
      </w:r>
      <w:r>
        <w:instrText xml:space="preserve"> PAGEREF _Toc88662250 \h </w:instrText>
      </w:r>
      <w:r>
        <w:fldChar w:fldCharType="separate"/>
      </w:r>
      <w:r>
        <w:t>149</w:t>
      </w:r>
      <w:r>
        <w:fldChar w:fldCharType="end"/>
      </w:r>
    </w:p>
    <w:p>
      <w:pPr>
        <w:pStyle w:val="TOC8"/>
        <w:rPr>
          <w:rFonts w:asciiTheme="minorHAnsi" w:eastAsiaTheme="minorEastAsia" w:hAnsiTheme="minorHAnsi" w:cstheme="minorBidi"/>
          <w:szCs w:val="22"/>
        </w:rPr>
      </w:pPr>
      <w:r>
        <w:t>227</w:t>
      </w:r>
      <w:r>
        <w:rPr>
          <w:snapToGrid w:val="0"/>
        </w:rPr>
        <w:t>.</w:t>
      </w:r>
      <w:r>
        <w:rPr>
          <w:snapToGrid w:val="0"/>
        </w:rPr>
        <w:tab/>
        <w:t>Sentence, process or warrant issued without authority, effect of</w:t>
      </w:r>
      <w:r>
        <w:tab/>
      </w:r>
      <w:r>
        <w:fldChar w:fldCharType="begin"/>
      </w:r>
      <w:r>
        <w:instrText xml:space="preserve"> PAGEREF _Toc88662251 \h </w:instrText>
      </w:r>
      <w:r>
        <w:fldChar w:fldCharType="separate"/>
      </w:r>
      <w:r>
        <w:t>149</w:t>
      </w:r>
      <w:r>
        <w:fldChar w:fldCharType="end"/>
      </w:r>
    </w:p>
    <w:p>
      <w:pPr>
        <w:pStyle w:val="TOC8"/>
        <w:rPr>
          <w:rFonts w:asciiTheme="minorHAnsi" w:eastAsiaTheme="minorEastAsia" w:hAnsiTheme="minorHAnsi" w:cstheme="minorBidi"/>
          <w:szCs w:val="22"/>
        </w:rPr>
      </w:pPr>
      <w:r>
        <w:t>228</w:t>
      </w:r>
      <w:r>
        <w:rPr>
          <w:snapToGrid w:val="0"/>
        </w:rPr>
        <w:t>.</w:t>
      </w:r>
      <w:r>
        <w:rPr>
          <w:snapToGrid w:val="0"/>
        </w:rPr>
        <w:tab/>
        <w:t>Sentence, process or warrant issued without authority, liability of person executing etc.</w:t>
      </w:r>
      <w:r>
        <w:tab/>
      </w:r>
      <w:r>
        <w:fldChar w:fldCharType="begin"/>
      </w:r>
      <w:r>
        <w:instrText xml:space="preserve"> PAGEREF _Toc88662252 \h </w:instrText>
      </w:r>
      <w:r>
        <w:fldChar w:fldCharType="separate"/>
      </w:r>
      <w:r>
        <w:t>149</w:t>
      </w:r>
      <w:r>
        <w:fldChar w:fldCharType="end"/>
      </w:r>
    </w:p>
    <w:p>
      <w:pPr>
        <w:pStyle w:val="TOC8"/>
        <w:rPr>
          <w:rFonts w:asciiTheme="minorHAnsi" w:eastAsiaTheme="minorEastAsia" w:hAnsiTheme="minorHAnsi" w:cstheme="minorBidi"/>
          <w:szCs w:val="22"/>
        </w:rPr>
      </w:pPr>
      <w:r>
        <w:t>229</w:t>
      </w:r>
      <w:r>
        <w:rPr>
          <w:snapToGrid w:val="0"/>
        </w:rPr>
        <w:t>.</w:t>
      </w:r>
      <w:r>
        <w:rPr>
          <w:snapToGrid w:val="0"/>
        </w:rPr>
        <w:tab/>
        <w:t>Arrest of wrong person</w:t>
      </w:r>
      <w:r>
        <w:tab/>
      </w:r>
      <w:r>
        <w:fldChar w:fldCharType="begin"/>
      </w:r>
      <w:r>
        <w:instrText xml:space="preserve"> PAGEREF _Toc88662253 \h </w:instrText>
      </w:r>
      <w:r>
        <w:fldChar w:fldCharType="separate"/>
      </w:r>
      <w:r>
        <w:t>150</w:t>
      </w:r>
      <w:r>
        <w:fldChar w:fldCharType="end"/>
      </w:r>
    </w:p>
    <w:p>
      <w:pPr>
        <w:pStyle w:val="TOC8"/>
        <w:rPr>
          <w:rFonts w:asciiTheme="minorHAnsi" w:eastAsiaTheme="minorEastAsia" w:hAnsiTheme="minorHAnsi" w:cstheme="minorBidi"/>
          <w:szCs w:val="22"/>
        </w:rPr>
      </w:pPr>
      <w:r>
        <w:lastRenderedPageBreak/>
        <w:t>230</w:t>
      </w:r>
      <w:r>
        <w:rPr>
          <w:snapToGrid w:val="0"/>
        </w:rPr>
        <w:t>.</w:t>
      </w:r>
      <w:r>
        <w:rPr>
          <w:snapToGrid w:val="0"/>
        </w:rPr>
        <w:tab/>
        <w:t>Process or warrant that is bad in law, liability of person executing etc.</w:t>
      </w:r>
      <w:r>
        <w:tab/>
      </w:r>
      <w:r>
        <w:fldChar w:fldCharType="begin"/>
      </w:r>
      <w:r>
        <w:instrText xml:space="preserve"> PAGEREF _Toc88662254 \h </w:instrText>
      </w:r>
      <w:r>
        <w:fldChar w:fldCharType="separate"/>
      </w:r>
      <w:r>
        <w:t>150</w:t>
      </w:r>
      <w:r>
        <w:fldChar w:fldCharType="end"/>
      </w:r>
    </w:p>
    <w:p>
      <w:pPr>
        <w:pStyle w:val="TOC8"/>
        <w:rPr>
          <w:rFonts w:asciiTheme="minorHAnsi" w:eastAsiaTheme="minorEastAsia" w:hAnsiTheme="minorHAnsi" w:cstheme="minorBidi"/>
          <w:szCs w:val="22"/>
        </w:rPr>
      </w:pPr>
      <w:r>
        <w:t>231</w:t>
      </w:r>
      <w:r>
        <w:rPr>
          <w:snapToGrid w:val="0"/>
        </w:rPr>
        <w:t>.</w:t>
      </w:r>
      <w:r>
        <w:rPr>
          <w:snapToGrid w:val="0"/>
        </w:rPr>
        <w:tab/>
        <w:t>Executing sentence, process or warrant or making arrest, using force for</w:t>
      </w:r>
      <w:r>
        <w:tab/>
      </w:r>
      <w:r>
        <w:fldChar w:fldCharType="begin"/>
      </w:r>
      <w:r>
        <w:instrText xml:space="preserve"> PAGEREF _Toc88662255 \h </w:instrText>
      </w:r>
      <w:r>
        <w:fldChar w:fldCharType="separate"/>
      </w:r>
      <w:r>
        <w:t>151</w:t>
      </w:r>
      <w:r>
        <w:fldChar w:fldCharType="end"/>
      </w:r>
    </w:p>
    <w:p>
      <w:pPr>
        <w:pStyle w:val="TOC8"/>
        <w:rPr>
          <w:rFonts w:asciiTheme="minorHAnsi" w:eastAsiaTheme="minorEastAsia" w:hAnsiTheme="minorHAnsi" w:cstheme="minorBidi"/>
          <w:szCs w:val="22"/>
        </w:rPr>
      </w:pPr>
      <w:r>
        <w:t>233</w:t>
      </w:r>
      <w:r>
        <w:rPr>
          <w:snapToGrid w:val="0"/>
        </w:rPr>
        <w:t>.</w:t>
      </w:r>
      <w:r>
        <w:rPr>
          <w:snapToGrid w:val="0"/>
        </w:rPr>
        <w:tab/>
        <w:t>Flight from arrest, use of force to prevent</w:t>
      </w:r>
      <w:r>
        <w:tab/>
      </w:r>
      <w:r>
        <w:fldChar w:fldCharType="begin"/>
      </w:r>
      <w:r>
        <w:instrText xml:space="preserve"> PAGEREF _Toc88662256 \h </w:instrText>
      </w:r>
      <w:r>
        <w:fldChar w:fldCharType="separate"/>
      </w:r>
      <w:r>
        <w:t>151</w:t>
      </w:r>
      <w:r>
        <w:fldChar w:fldCharType="end"/>
      </w:r>
    </w:p>
    <w:p>
      <w:pPr>
        <w:pStyle w:val="TOC8"/>
        <w:rPr>
          <w:rFonts w:asciiTheme="minorHAnsi" w:eastAsiaTheme="minorEastAsia" w:hAnsiTheme="minorHAnsi" w:cstheme="minorBidi"/>
          <w:szCs w:val="22"/>
        </w:rPr>
      </w:pPr>
      <w:r>
        <w:t>235</w:t>
      </w:r>
      <w:r>
        <w:rPr>
          <w:snapToGrid w:val="0"/>
        </w:rPr>
        <w:t>.</w:t>
      </w:r>
      <w:r>
        <w:rPr>
          <w:snapToGrid w:val="0"/>
        </w:rPr>
        <w:tab/>
        <w:t>Escape or rescue after arrest, use of force to prevent</w:t>
      </w:r>
      <w:r>
        <w:tab/>
      </w:r>
      <w:r>
        <w:fldChar w:fldCharType="begin"/>
      </w:r>
      <w:r>
        <w:instrText xml:space="preserve"> PAGEREF _Toc88662257 \h </w:instrText>
      </w:r>
      <w:r>
        <w:fldChar w:fldCharType="separate"/>
      </w:r>
      <w:r>
        <w:t>152</w:t>
      </w:r>
      <w:r>
        <w:fldChar w:fldCharType="end"/>
      </w:r>
    </w:p>
    <w:p>
      <w:pPr>
        <w:pStyle w:val="TOC8"/>
        <w:rPr>
          <w:rFonts w:asciiTheme="minorHAnsi" w:eastAsiaTheme="minorEastAsia" w:hAnsiTheme="minorHAnsi" w:cstheme="minorBidi"/>
          <w:szCs w:val="22"/>
        </w:rPr>
      </w:pPr>
      <w:r>
        <w:t>238</w:t>
      </w:r>
      <w:r>
        <w:rPr>
          <w:snapToGrid w:val="0"/>
        </w:rPr>
        <w:t>.</w:t>
      </w:r>
      <w:r>
        <w:rPr>
          <w:snapToGrid w:val="0"/>
        </w:rPr>
        <w:tab/>
        <w:t>Riot, use of force to suppress</w:t>
      </w:r>
      <w:r>
        <w:tab/>
      </w:r>
      <w:r>
        <w:fldChar w:fldCharType="begin"/>
      </w:r>
      <w:r>
        <w:instrText xml:space="preserve"> PAGEREF _Toc88662258 \h </w:instrText>
      </w:r>
      <w:r>
        <w:fldChar w:fldCharType="separate"/>
      </w:r>
      <w:r>
        <w:t>152</w:t>
      </w:r>
      <w:r>
        <w:fldChar w:fldCharType="end"/>
      </w:r>
    </w:p>
    <w:p>
      <w:pPr>
        <w:pStyle w:val="TOC8"/>
        <w:rPr>
          <w:rFonts w:asciiTheme="minorHAnsi" w:eastAsiaTheme="minorEastAsia" w:hAnsiTheme="minorHAnsi" w:cstheme="minorBidi"/>
          <w:szCs w:val="22"/>
        </w:rPr>
      </w:pPr>
      <w:r>
        <w:t>239</w:t>
      </w:r>
      <w:r>
        <w:rPr>
          <w:snapToGrid w:val="0"/>
        </w:rPr>
        <w:t>.</w:t>
      </w:r>
      <w:r>
        <w:rPr>
          <w:snapToGrid w:val="0"/>
        </w:rPr>
        <w:tab/>
        <w:t>Riot, use of force to suppress by justice and police officer</w:t>
      </w:r>
      <w:r>
        <w:tab/>
      </w:r>
      <w:r>
        <w:fldChar w:fldCharType="begin"/>
      </w:r>
      <w:r>
        <w:instrText xml:space="preserve"> PAGEREF _Toc88662259 \h </w:instrText>
      </w:r>
      <w:r>
        <w:fldChar w:fldCharType="separate"/>
      </w:r>
      <w:r>
        <w:t>152</w:t>
      </w:r>
      <w:r>
        <w:fldChar w:fldCharType="end"/>
      </w:r>
    </w:p>
    <w:p>
      <w:pPr>
        <w:pStyle w:val="TOC8"/>
        <w:rPr>
          <w:rFonts w:asciiTheme="minorHAnsi" w:eastAsiaTheme="minorEastAsia" w:hAnsiTheme="minorHAnsi" w:cstheme="minorBidi"/>
          <w:szCs w:val="22"/>
        </w:rPr>
      </w:pPr>
      <w:r>
        <w:t>240</w:t>
      </w:r>
      <w:r>
        <w:rPr>
          <w:snapToGrid w:val="0"/>
        </w:rPr>
        <w:t>.</w:t>
      </w:r>
      <w:r>
        <w:rPr>
          <w:snapToGrid w:val="0"/>
        </w:rPr>
        <w:tab/>
        <w:t>Riot, use of force to suppress by person acting under lawful order</w:t>
      </w:r>
      <w:r>
        <w:tab/>
      </w:r>
      <w:r>
        <w:fldChar w:fldCharType="begin"/>
      </w:r>
      <w:r>
        <w:instrText xml:space="preserve"> PAGEREF _Toc88662260 \h </w:instrText>
      </w:r>
      <w:r>
        <w:fldChar w:fldCharType="separate"/>
      </w:r>
      <w:r>
        <w:t>153</w:t>
      </w:r>
      <w:r>
        <w:fldChar w:fldCharType="end"/>
      </w:r>
    </w:p>
    <w:p>
      <w:pPr>
        <w:pStyle w:val="TOC8"/>
        <w:rPr>
          <w:rFonts w:asciiTheme="minorHAnsi" w:eastAsiaTheme="minorEastAsia" w:hAnsiTheme="minorHAnsi" w:cstheme="minorBidi"/>
          <w:szCs w:val="22"/>
        </w:rPr>
      </w:pPr>
      <w:r>
        <w:t>241</w:t>
      </w:r>
      <w:r>
        <w:rPr>
          <w:snapToGrid w:val="0"/>
        </w:rPr>
        <w:t>.</w:t>
      </w:r>
      <w:r>
        <w:rPr>
          <w:snapToGrid w:val="0"/>
        </w:rPr>
        <w:tab/>
        <w:t>Riot, use of force to suppress by person acting without order in case of emergency</w:t>
      </w:r>
      <w:r>
        <w:tab/>
      </w:r>
      <w:r>
        <w:fldChar w:fldCharType="begin"/>
      </w:r>
      <w:r>
        <w:instrText xml:space="preserve"> PAGEREF _Toc88662261 \h </w:instrText>
      </w:r>
      <w:r>
        <w:fldChar w:fldCharType="separate"/>
      </w:r>
      <w:r>
        <w:t>153</w:t>
      </w:r>
      <w:r>
        <w:fldChar w:fldCharType="end"/>
      </w:r>
    </w:p>
    <w:p>
      <w:pPr>
        <w:pStyle w:val="TOC8"/>
        <w:rPr>
          <w:rFonts w:asciiTheme="minorHAnsi" w:eastAsiaTheme="minorEastAsia" w:hAnsiTheme="minorHAnsi" w:cstheme="minorBidi"/>
          <w:szCs w:val="22"/>
        </w:rPr>
      </w:pPr>
      <w:r>
        <w:t>242</w:t>
      </w:r>
      <w:r>
        <w:rPr>
          <w:snapToGrid w:val="0"/>
        </w:rPr>
        <w:t>.</w:t>
      </w:r>
      <w:r>
        <w:rPr>
          <w:snapToGrid w:val="0"/>
        </w:rPr>
        <w:tab/>
        <w:t>Riot, use of force to suppress by military personnel</w:t>
      </w:r>
      <w:r>
        <w:tab/>
      </w:r>
      <w:r>
        <w:fldChar w:fldCharType="begin"/>
      </w:r>
      <w:r>
        <w:instrText xml:space="preserve"> PAGEREF _Toc88662262 \h </w:instrText>
      </w:r>
      <w:r>
        <w:fldChar w:fldCharType="separate"/>
      </w:r>
      <w:r>
        <w:t>153</w:t>
      </w:r>
      <w:r>
        <w:fldChar w:fldCharType="end"/>
      </w:r>
    </w:p>
    <w:p>
      <w:pPr>
        <w:pStyle w:val="TOC8"/>
        <w:rPr>
          <w:rFonts w:asciiTheme="minorHAnsi" w:eastAsiaTheme="minorEastAsia" w:hAnsiTheme="minorHAnsi" w:cstheme="minorBidi"/>
          <w:szCs w:val="22"/>
        </w:rPr>
      </w:pPr>
      <w:r>
        <w:t>243.</w:t>
      </w:r>
      <w:r>
        <w:tab/>
        <w:t>Violence by mentally impaired person, use of force to prevent</w:t>
      </w:r>
      <w:r>
        <w:tab/>
      </w:r>
      <w:r>
        <w:fldChar w:fldCharType="begin"/>
      </w:r>
      <w:r>
        <w:instrText xml:space="preserve"> PAGEREF _Toc88662263 \h </w:instrText>
      </w:r>
      <w:r>
        <w:fldChar w:fldCharType="separate"/>
      </w:r>
      <w:r>
        <w:t>153</w:t>
      </w:r>
      <w:r>
        <w:fldChar w:fldCharType="end"/>
      </w:r>
    </w:p>
    <w:p>
      <w:pPr>
        <w:pStyle w:val="TOC8"/>
        <w:rPr>
          <w:rFonts w:asciiTheme="minorHAnsi" w:eastAsiaTheme="minorEastAsia" w:hAnsiTheme="minorHAnsi" w:cstheme="minorBidi"/>
          <w:szCs w:val="22"/>
        </w:rPr>
      </w:pPr>
      <w:r>
        <w:t>244.</w:t>
      </w:r>
      <w:r>
        <w:tab/>
        <w:t>Home invasion, use of force to prevent etc.</w:t>
      </w:r>
      <w:r>
        <w:tab/>
      </w:r>
      <w:r>
        <w:fldChar w:fldCharType="begin"/>
      </w:r>
      <w:r>
        <w:instrText xml:space="preserve"> PAGEREF _Toc88662264 \h </w:instrText>
      </w:r>
      <w:r>
        <w:fldChar w:fldCharType="separate"/>
      </w:r>
      <w:r>
        <w:t>154</w:t>
      </w:r>
      <w:r>
        <w:fldChar w:fldCharType="end"/>
      </w:r>
    </w:p>
    <w:p>
      <w:pPr>
        <w:pStyle w:val="TOC8"/>
        <w:rPr>
          <w:rFonts w:asciiTheme="minorHAnsi" w:eastAsiaTheme="minorEastAsia" w:hAnsiTheme="minorHAnsi" w:cstheme="minorBidi"/>
          <w:szCs w:val="22"/>
        </w:rPr>
      </w:pPr>
      <w:r>
        <w:t>245</w:t>
      </w:r>
      <w:r>
        <w:rPr>
          <w:snapToGrid w:val="0"/>
        </w:rPr>
        <w:t>.</w:t>
      </w:r>
      <w:r>
        <w:rPr>
          <w:snapToGrid w:val="0"/>
        </w:rPr>
        <w:tab/>
        <w:t xml:space="preserve">Term used: </w:t>
      </w:r>
      <w:r>
        <w:t>provocation</w:t>
      </w:r>
      <w:r>
        <w:tab/>
      </w:r>
      <w:r>
        <w:fldChar w:fldCharType="begin"/>
      </w:r>
      <w:r>
        <w:instrText xml:space="preserve"> PAGEREF _Toc88662265 \h </w:instrText>
      </w:r>
      <w:r>
        <w:fldChar w:fldCharType="separate"/>
      </w:r>
      <w:r>
        <w:t>155</w:t>
      </w:r>
      <w:r>
        <w:fldChar w:fldCharType="end"/>
      </w:r>
    </w:p>
    <w:p>
      <w:pPr>
        <w:pStyle w:val="TOC8"/>
        <w:rPr>
          <w:rFonts w:asciiTheme="minorHAnsi" w:eastAsiaTheme="minorEastAsia" w:hAnsiTheme="minorHAnsi" w:cstheme="minorBidi"/>
          <w:szCs w:val="22"/>
        </w:rPr>
      </w:pPr>
      <w:r>
        <w:t>246</w:t>
      </w:r>
      <w:r>
        <w:rPr>
          <w:snapToGrid w:val="0"/>
        </w:rPr>
        <w:t>.</w:t>
      </w:r>
      <w:r>
        <w:rPr>
          <w:snapToGrid w:val="0"/>
        </w:rPr>
        <w:tab/>
        <w:t>Defence of provocation</w:t>
      </w:r>
      <w:r>
        <w:tab/>
      </w:r>
      <w:r>
        <w:fldChar w:fldCharType="begin"/>
      </w:r>
      <w:r>
        <w:instrText xml:space="preserve"> PAGEREF _Toc88662266 \h </w:instrText>
      </w:r>
      <w:r>
        <w:fldChar w:fldCharType="separate"/>
      </w:r>
      <w:r>
        <w:t>156</w:t>
      </w:r>
      <w:r>
        <w:fldChar w:fldCharType="end"/>
      </w:r>
    </w:p>
    <w:p>
      <w:pPr>
        <w:pStyle w:val="TOC8"/>
        <w:rPr>
          <w:rFonts w:asciiTheme="minorHAnsi" w:eastAsiaTheme="minorEastAsia" w:hAnsiTheme="minorHAnsi" w:cstheme="minorBidi"/>
          <w:szCs w:val="22"/>
        </w:rPr>
      </w:pPr>
      <w:r>
        <w:t>247</w:t>
      </w:r>
      <w:r>
        <w:rPr>
          <w:snapToGrid w:val="0"/>
        </w:rPr>
        <w:t>.</w:t>
      </w:r>
      <w:r>
        <w:rPr>
          <w:snapToGrid w:val="0"/>
        </w:rPr>
        <w:tab/>
        <w:t>Repetition of insult, use of force to prevent</w:t>
      </w:r>
      <w:r>
        <w:tab/>
      </w:r>
      <w:r>
        <w:fldChar w:fldCharType="begin"/>
      </w:r>
      <w:r>
        <w:instrText xml:space="preserve"> PAGEREF _Toc88662267 \h </w:instrText>
      </w:r>
      <w:r>
        <w:fldChar w:fldCharType="separate"/>
      </w:r>
      <w:r>
        <w:t>157</w:t>
      </w:r>
      <w:r>
        <w:fldChar w:fldCharType="end"/>
      </w:r>
    </w:p>
    <w:p>
      <w:pPr>
        <w:pStyle w:val="TOC8"/>
        <w:rPr>
          <w:rFonts w:asciiTheme="minorHAnsi" w:eastAsiaTheme="minorEastAsia" w:hAnsiTheme="minorHAnsi" w:cstheme="minorBidi"/>
          <w:szCs w:val="22"/>
        </w:rPr>
      </w:pPr>
      <w:r>
        <w:t>248.</w:t>
      </w:r>
      <w:r>
        <w:tab/>
        <w:t>Self</w:t>
      </w:r>
      <w:r>
        <w:noBreakHyphen/>
        <w:t>defence</w:t>
      </w:r>
      <w:r>
        <w:tab/>
      </w:r>
      <w:r>
        <w:fldChar w:fldCharType="begin"/>
      </w:r>
      <w:r>
        <w:instrText xml:space="preserve"> PAGEREF _Toc88662268 \h </w:instrText>
      </w:r>
      <w:r>
        <w:fldChar w:fldCharType="separate"/>
      </w:r>
      <w:r>
        <w:t>157</w:t>
      </w:r>
      <w:r>
        <w:fldChar w:fldCharType="end"/>
      </w:r>
    </w:p>
    <w:p>
      <w:pPr>
        <w:pStyle w:val="TOC8"/>
        <w:rPr>
          <w:rFonts w:asciiTheme="minorHAnsi" w:eastAsiaTheme="minorEastAsia" w:hAnsiTheme="minorHAnsi" w:cstheme="minorBidi"/>
          <w:szCs w:val="22"/>
        </w:rPr>
      </w:pPr>
      <w:r>
        <w:t>251</w:t>
      </w:r>
      <w:r>
        <w:rPr>
          <w:snapToGrid w:val="0"/>
        </w:rPr>
        <w:t>.</w:t>
      </w:r>
      <w:r>
        <w:rPr>
          <w:snapToGrid w:val="0"/>
        </w:rPr>
        <w:tab/>
        <w:t>Movable property, use of force to resist taking of by trespasser etc.</w:t>
      </w:r>
      <w:r>
        <w:tab/>
      </w:r>
      <w:r>
        <w:fldChar w:fldCharType="begin"/>
      </w:r>
      <w:r>
        <w:instrText xml:space="preserve"> PAGEREF _Toc88662269 \h </w:instrText>
      </w:r>
      <w:r>
        <w:fldChar w:fldCharType="separate"/>
      </w:r>
      <w:r>
        <w:t>158</w:t>
      </w:r>
      <w:r>
        <w:fldChar w:fldCharType="end"/>
      </w:r>
    </w:p>
    <w:p>
      <w:pPr>
        <w:pStyle w:val="TOC8"/>
        <w:rPr>
          <w:rFonts w:asciiTheme="minorHAnsi" w:eastAsiaTheme="minorEastAsia" w:hAnsiTheme="minorHAnsi" w:cstheme="minorBidi"/>
          <w:szCs w:val="22"/>
        </w:rPr>
      </w:pPr>
      <w:r>
        <w:t>252</w:t>
      </w:r>
      <w:r>
        <w:rPr>
          <w:snapToGrid w:val="0"/>
        </w:rPr>
        <w:t>.</w:t>
      </w:r>
      <w:r>
        <w:rPr>
          <w:snapToGrid w:val="0"/>
        </w:rPr>
        <w:tab/>
        <w:t>Movable property possessed with claim of right, use of force to defend possession of</w:t>
      </w:r>
      <w:r>
        <w:tab/>
      </w:r>
      <w:r>
        <w:fldChar w:fldCharType="begin"/>
      </w:r>
      <w:r>
        <w:instrText xml:space="preserve"> PAGEREF _Toc88662270 \h </w:instrText>
      </w:r>
      <w:r>
        <w:fldChar w:fldCharType="separate"/>
      </w:r>
      <w:r>
        <w:t>158</w:t>
      </w:r>
      <w:r>
        <w:fldChar w:fldCharType="end"/>
      </w:r>
    </w:p>
    <w:p>
      <w:pPr>
        <w:pStyle w:val="TOC8"/>
        <w:rPr>
          <w:rFonts w:asciiTheme="minorHAnsi" w:eastAsiaTheme="minorEastAsia" w:hAnsiTheme="minorHAnsi" w:cstheme="minorBidi"/>
          <w:szCs w:val="22"/>
        </w:rPr>
      </w:pPr>
      <w:r>
        <w:t>253</w:t>
      </w:r>
      <w:r>
        <w:rPr>
          <w:snapToGrid w:val="0"/>
        </w:rPr>
        <w:t>.</w:t>
      </w:r>
      <w:r>
        <w:rPr>
          <w:snapToGrid w:val="0"/>
        </w:rPr>
        <w:tab/>
        <w:t>Movable property possessed without claim of right etc., use of force to take</w:t>
      </w:r>
      <w:r>
        <w:tab/>
      </w:r>
      <w:r>
        <w:fldChar w:fldCharType="begin"/>
      </w:r>
      <w:r>
        <w:instrText xml:space="preserve"> PAGEREF _Toc88662271 \h </w:instrText>
      </w:r>
      <w:r>
        <w:fldChar w:fldCharType="separate"/>
      </w:r>
      <w:r>
        <w:t>158</w:t>
      </w:r>
      <w:r>
        <w:fldChar w:fldCharType="end"/>
      </w:r>
    </w:p>
    <w:p>
      <w:pPr>
        <w:pStyle w:val="TOC8"/>
        <w:rPr>
          <w:rFonts w:asciiTheme="minorHAnsi" w:eastAsiaTheme="minorEastAsia" w:hAnsiTheme="minorHAnsi" w:cstheme="minorBidi"/>
          <w:szCs w:val="22"/>
        </w:rPr>
      </w:pPr>
      <w:r>
        <w:t>254</w:t>
      </w:r>
      <w:r>
        <w:rPr>
          <w:snapToGrid w:val="0"/>
        </w:rPr>
        <w:t>.</w:t>
      </w:r>
      <w:r>
        <w:rPr>
          <w:snapToGrid w:val="0"/>
        </w:rPr>
        <w:tab/>
        <w:t>Place, use of force to prevent entry to and remove people from</w:t>
      </w:r>
      <w:r>
        <w:tab/>
      </w:r>
      <w:r>
        <w:fldChar w:fldCharType="begin"/>
      </w:r>
      <w:r>
        <w:instrText xml:space="preserve"> PAGEREF _Toc88662272 \h </w:instrText>
      </w:r>
      <w:r>
        <w:fldChar w:fldCharType="separate"/>
      </w:r>
      <w:r>
        <w:t>159</w:t>
      </w:r>
      <w:r>
        <w:fldChar w:fldCharType="end"/>
      </w:r>
    </w:p>
    <w:p>
      <w:pPr>
        <w:pStyle w:val="TOC8"/>
        <w:rPr>
          <w:rFonts w:asciiTheme="minorHAnsi" w:eastAsiaTheme="minorEastAsia" w:hAnsiTheme="minorHAnsi" w:cstheme="minorBidi"/>
          <w:szCs w:val="22"/>
        </w:rPr>
      </w:pPr>
      <w:r>
        <w:t>255</w:t>
      </w:r>
      <w:r>
        <w:rPr>
          <w:snapToGrid w:val="0"/>
        </w:rPr>
        <w:t>.</w:t>
      </w:r>
      <w:r>
        <w:rPr>
          <w:snapToGrid w:val="0"/>
        </w:rPr>
        <w:tab/>
        <w:t>Place possessed with claim of right, use of force to defend</w:t>
      </w:r>
      <w:r>
        <w:tab/>
      </w:r>
      <w:r>
        <w:fldChar w:fldCharType="begin"/>
      </w:r>
      <w:r>
        <w:instrText xml:space="preserve"> PAGEREF _Toc88662273 \h </w:instrText>
      </w:r>
      <w:r>
        <w:fldChar w:fldCharType="separate"/>
      </w:r>
      <w:r>
        <w:t>160</w:t>
      </w:r>
      <w:r>
        <w:fldChar w:fldCharType="end"/>
      </w:r>
    </w:p>
    <w:p>
      <w:pPr>
        <w:pStyle w:val="TOC8"/>
        <w:rPr>
          <w:rFonts w:asciiTheme="minorHAnsi" w:eastAsiaTheme="minorEastAsia" w:hAnsiTheme="minorHAnsi" w:cstheme="minorBidi"/>
          <w:szCs w:val="22"/>
        </w:rPr>
      </w:pPr>
      <w:r>
        <w:t>256</w:t>
      </w:r>
      <w:r>
        <w:rPr>
          <w:snapToGrid w:val="0"/>
        </w:rPr>
        <w:t>.</w:t>
      </w:r>
      <w:r>
        <w:rPr>
          <w:snapToGrid w:val="0"/>
        </w:rPr>
        <w:tab/>
        <w:t>Entry to land to exercise disputed right</w:t>
      </w:r>
      <w:r>
        <w:rPr>
          <w:snapToGrid w:val="0"/>
        </w:rPr>
        <w:noBreakHyphen/>
        <w:t>of</w:t>
      </w:r>
      <w:r>
        <w:rPr>
          <w:snapToGrid w:val="0"/>
        </w:rPr>
        <w:noBreakHyphen/>
        <w:t>way etc., use of force to prevent</w:t>
      </w:r>
      <w:r>
        <w:tab/>
      </w:r>
      <w:r>
        <w:fldChar w:fldCharType="begin"/>
      </w:r>
      <w:r>
        <w:instrText xml:space="preserve"> PAGEREF _Toc88662274 \h </w:instrText>
      </w:r>
      <w:r>
        <w:fldChar w:fldCharType="separate"/>
      </w:r>
      <w:r>
        <w:t>160</w:t>
      </w:r>
      <w:r>
        <w:fldChar w:fldCharType="end"/>
      </w:r>
    </w:p>
    <w:p>
      <w:pPr>
        <w:pStyle w:val="TOC8"/>
        <w:rPr>
          <w:rFonts w:asciiTheme="minorHAnsi" w:eastAsiaTheme="minorEastAsia" w:hAnsiTheme="minorHAnsi" w:cstheme="minorBidi"/>
          <w:szCs w:val="22"/>
        </w:rPr>
      </w:pPr>
      <w:r>
        <w:t>257</w:t>
      </w:r>
      <w:r>
        <w:rPr>
          <w:snapToGrid w:val="0"/>
        </w:rPr>
        <w:t>.</w:t>
      </w:r>
      <w:r>
        <w:rPr>
          <w:snapToGrid w:val="0"/>
        </w:rPr>
        <w:tab/>
        <w:t>Discipline of children, use of force for</w:t>
      </w:r>
      <w:r>
        <w:tab/>
      </w:r>
      <w:r>
        <w:fldChar w:fldCharType="begin"/>
      </w:r>
      <w:r>
        <w:instrText xml:space="preserve"> PAGEREF _Toc88662275 \h </w:instrText>
      </w:r>
      <w:r>
        <w:fldChar w:fldCharType="separate"/>
      </w:r>
      <w:r>
        <w:t>160</w:t>
      </w:r>
      <w:r>
        <w:fldChar w:fldCharType="end"/>
      </w:r>
    </w:p>
    <w:p>
      <w:pPr>
        <w:pStyle w:val="TOC8"/>
        <w:rPr>
          <w:rFonts w:asciiTheme="minorHAnsi" w:eastAsiaTheme="minorEastAsia" w:hAnsiTheme="minorHAnsi" w:cstheme="minorBidi"/>
          <w:szCs w:val="22"/>
        </w:rPr>
      </w:pPr>
      <w:r>
        <w:t>258</w:t>
      </w:r>
      <w:r>
        <w:rPr>
          <w:snapToGrid w:val="0"/>
        </w:rPr>
        <w:t>.</w:t>
      </w:r>
      <w:r>
        <w:rPr>
          <w:snapToGrid w:val="0"/>
        </w:rPr>
        <w:tab/>
        <w:t>Discipline on ship or aircraft, use of force for</w:t>
      </w:r>
      <w:r>
        <w:tab/>
      </w:r>
      <w:r>
        <w:fldChar w:fldCharType="begin"/>
      </w:r>
      <w:r>
        <w:instrText xml:space="preserve"> PAGEREF _Toc88662276 \h </w:instrText>
      </w:r>
      <w:r>
        <w:fldChar w:fldCharType="separate"/>
      </w:r>
      <w:r>
        <w:t>160</w:t>
      </w:r>
      <w:r>
        <w:fldChar w:fldCharType="end"/>
      </w:r>
    </w:p>
    <w:p>
      <w:pPr>
        <w:pStyle w:val="TOC8"/>
        <w:rPr>
          <w:rFonts w:asciiTheme="minorHAnsi" w:eastAsiaTheme="minorEastAsia" w:hAnsiTheme="minorHAnsi" w:cstheme="minorBidi"/>
          <w:szCs w:val="22"/>
        </w:rPr>
      </w:pPr>
      <w:r>
        <w:t>259.</w:t>
      </w:r>
      <w:r>
        <w:tab/>
        <w:t>Surgical and medical treatment, liability for</w:t>
      </w:r>
      <w:r>
        <w:tab/>
      </w:r>
      <w:r>
        <w:fldChar w:fldCharType="begin"/>
      </w:r>
      <w:r>
        <w:instrText xml:space="preserve"> PAGEREF _Toc88662277 \h </w:instrText>
      </w:r>
      <w:r>
        <w:fldChar w:fldCharType="separate"/>
      </w:r>
      <w:r>
        <w:t>161</w:t>
      </w:r>
      <w:r>
        <w:fldChar w:fldCharType="end"/>
      </w:r>
    </w:p>
    <w:p>
      <w:pPr>
        <w:pStyle w:val="TOC8"/>
        <w:rPr>
          <w:rFonts w:asciiTheme="minorHAnsi" w:eastAsiaTheme="minorEastAsia" w:hAnsiTheme="minorHAnsi" w:cstheme="minorBidi"/>
          <w:szCs w:val="22"/>
        </w:rPr>
      </w:pPr>
      <w:r>
        <w:t>259A</w:t>
      </w:r>
      <w:r>
        <w:rPr>
          <w:snapToGrid w:val="0"/>
        </w:rPr>
        <w:t>.</w:t>
      </w:r>
      <w:r>
        <w:rPr>
          <w:snapToGrid w:val="0"/>
        </w:rPr>
        <w:tab/>
        <w:t>Inoculation procedure, liability for</w:t>
      </w:r>
      <w:r>
        <w:tab/>
      </w:r>
      <w:r>
        <w:fldChar w:fldCharType="begin"/>
      </w:r>
      <w:r>
        <w:instrText xml:space="preserve"> PAGEREF _Toc88662278 \h </w:instrText>
      </w:r>
      <w:r>
        <w:fldChar w:fldCharType="separate"/>
      </w:r>
      <w:r>
        <w:t>161</w:t>
      </w:r>
      <w:r>
        <w:fldChar w:fldCharType="end"/>
      </w:r>
    </w:p>
    <w:p>
      <w:pPr>
        <w:pStyle w:val="TOC8"/>
        <w:rPr>
          <w:rFonts w:asciiTheme="minorHAnsi" w:eastAsiaTheme="minorEastAsia" w:hAnsiTheme="minorHAnsi" w:cstheme="minorBidi"/>
          <w:szCs w:val="22"/>
        </w:rPr>
      </w:pPr>
      <w:r>
        <w:t>260</w:t>
      </w:r>
      <w:r>
        <w:rPr>
          <w:snapToGrid w:val="0"/>
        </w:rPr>
        <w:t>.</w:t>
      </w:r>
      <w:r>
        <w:rPr>
          <w:snapToGrid w:val="0"/>
        </w:rPr>
        <w:tab/>
        <w:t>Excessive force is unlawful</w:t>
      </w:r>
      <w:r>
        <w:tab/>
      </w:r>
      <w:r>
        <w:fldChar w:fldCharType="begin"/>
      </w:r>
      <w:r>
        <w:instrText xml:space="preserve"> PAGEREF _Toc88662279 \h </w:instrText>
      </w:r>
      <w:r>
        <w:fldChar w:fldCharType="separate"/>
      </w:r>
      <w:r>
        <w:t>162</w:t>
      </w:r>
      <w:r>
        <w:fldChar w:fldCharType="end"/>
      </w:r>
    </w:p>
    <w:p>
      <w:pPr>
        <w:pStyle w:val="TOC8"/>
        <w:rPr>
          <w:rFonts w:asciiTheme="minorHAnsi" w:eastAsiaTheme="minorEastAsia" w:hAnsiTheme="minorHAnsi" w:cstheme="minorBidi"/>
          <w:szCs w:val="22"/>
        </w:rPr>
      </w:pPr>
      <w:r>
        <w:t>261</w:t>
      </w:r>
      <w:r>
        <w:rPr>
          <w:snapToGrid w:val="0"/>
        </w:rPr>
        <w:t>.</w:t>
      </w:r>
      <w:r>
        <w:rPr>
          <w:snapToGrid w:val="0"/>
        </w:rPr>
        <w:tab/>
        <w:t>Consent to death immaterial</w:t>
      </w:r>
      <w:r>
        <w:tab/>
      </w:r>
      <w:r>
        <w:fldChar w:fldCharType="begin"/>
      </w:r>
      <w:r>
        <w:instrText xml:space="preserve"> PAGEREF _Toc88662280 \h </w:instrText>
      </w:r>
      <w:r>
        <w:fldChar w:fldCharType="separate"/>
      </w:r>
      <w:r>
        <w:t>162</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XXVII</w:t>
      </w:r>
      <w:r>
        <w:rPr>
          <w:snapToGrid w:val="0"/>
        </w:rPr>
        <w:t> — </w:t>
      </w:r>
      <w:r>
        <w:t>Duties relating to the preservation of human life</w:t>
      </w:r>
    </w:p>
    <w:p>
      <w:pPr>
        <w:pStyle w:val="TOC8"/>
        <w:rPr>
          <w:rFonts w:asciiTheme="minorHAnsi" w:eastAsiaTheme="minorEastAsia" w:hAnsiTheme="minorHAnsi" w:cstheme="minorBidi"/>
          <w:szCs w:val="22"/>
        </w:rPr>
      </w:pPr>
      <w:r>
        <w:t>262</w:t>
      </w:r>
      <w:r>
        <w:rPr>
          <w:snapToGrid w:val="0"/>
        </w:rPr>
        <w:t>.</w:t>
      </w:r>
      <w:r>
        <w:rPr>
          <w:snapToGrid w:val="0"/>
        </w:rPr>
        <w:tab/>
        <w:t>Duty to provide necessaries of life</w:t>
      </w:r>
      <w:r>
        <w:tab/>
      </w:r>
      <w:r>
        <w:fldChar w:fldCharType="begin"/>
      </w:r>
      <w:r>
        <w:instrText xml:space="preserve"> PAGEREF _Toc88662282 \h </w:instrText>
      </w:r>
      <w:r>
        <w:fldChar w:fldCharType="separate"/>
      </w:r>
      <w:r>
        <w:t>162</w:t>
      </w:r>
      <w:r>
        <w:fldChar w:fldCharType="end"/>
      </w:r>
    </w:p>
    <w:p>
      <w:pPr>
        <w:pStyle w:val="TOC8"/>
        <w:rPr>
          <w:rFonts w:asciiTheme="minorHAnsi" w:eastAsiaTheme="minorEastAsia" w:hAnsiTheme="minorHAnsi" w:cstheme="minorBidi"/>
          <w:szCs w:val="22"/>
        </w:rPr>
      </w:pPr>
      <w:r>
        <w:t>263</w:t>
      </w:r>
      <w:r>
        <w:rPr>
          <w:snapToGrid w:val="0"/>
        </w:rPr>
        <w:t>.</w:t>
      </w:r>
      <w:r>
        <w:rPr>
          <w:snapToGrid w:val="0"/>
        </w:rPr>
        <w:tab/>
        <w:t>Duty of head of family</w:t>
      </w:r>
      <w:r>
        <w:tab/>
      </w:r>
      <w:r>
        <w:fldChar w:fldCharType="begin"/>
      </w:r>
      <w:r>
        <w:instrText xml:space="preserve"> PAGEREF _Toc88662283 \h </w:instrText>
      </w:r>
      <w:r>
        <w:fldChar w:fldCharType="separate"/>
      </w:r>
      <w:r>
        <w:t>162</w:t>
      </w:r>
      <w:r>
        <w:fldChar w:fldCharType="end"/>
      </w:r>
    </w:p>
    <w:p>
      <w:pPr>
        <w:pStyle w:val="TOC8"/>
        <w:rPr>
          <w:rFonts w:asciiTheme="minorHAnsi" w:eastAsiaTheme="minorEastAsia" w:hAnsiTheme="minorHAnsi" w:cstheme="minorBidi"/>
          <w:szCs w:val="22"/>
        </w:rPr>
      </w:pPr>
      <w:r>
        <w:t>265</w:t>
      </w:r>
      <w:r>
        <w:rPr>
          <w:snapToGrid w:val="0"/>
        </w:rPr>
        <w:t>.</w:t>
      </w:r>
      <w:r>
        <w:rPr>
          <w:snapToGrid w:val="0"/>
        </w:rPr>
        <w:tab/>
        <w:t>Duty of person doing dangerous act</w:t>
      </w:r>
      <w:r>
        <w:tab/>
      </w:r>
      <w:r>
        <w:fldChar w:fldCharType="begin"/>
      </w:r>
      <w:r>
        <w:instrText xml:space="preserve"> PAGEREF _Toc88662284 \h </w:instrText>
      </w:r>
      <w:r>
        <w:fldChar w:fldCharType="separate"/>
      </w:r>
      <w:r>
        <w:t>163</w:t>
      </w:r>
      <w:r>
        <w:fldChar w:fldCharType="end"/>
      </w:r>
    </w:p>
    <w:p>
      <w:pPr>
        <w:pStyle w:val="TOC8"/>
        <w:rPr>
          <w:rFonts w:asciiTheme="minorHAnsi" w:eastAsiaTheme="minorEastAsia" w:hAnsiTheme="minorHAnsi" w:cstheme="minorBidi"/>
          <w:szCs w:val="22"/>
        </w:rPr>
      </w:pPr>
      <w:r>
        <w:t>266</w:t>
      </w:r>
      <w:r>
        <w:rPr>
          <w:snapToGrid w:val="0"/>
        </w:rPr>
        <w:t>.</w:t>
      </w:r>
      <w:r>
        <w:rPr>
          <w:snapToGrid w:val="0"/>
        </w:rPr>
        <w:tab/>
        <w:t>Duty of person in charge of dangerous thing</w:t>
      </w:r>
      <w:r>
        <w:tab/>
      </w:r>
      <w:r>
        <w:fldChar w:fldCharType="begin"/>
      </w:r>
      <w:r>
        <w:instrText xml:space="preserve"> PAGEREF _Toc88662285 \h </w:instrText>
      </w:r>
      <w:r>
        <w:fldChar w:fldCharType="separate"/>
      </w:r>
      <w:r>
        <w:t>163</w:t>
      </w:r>
      <w:r>
        <w:fldChar w:fldCharType="end"/>
      </w:r>
    </w:p>
    <w:p>
      <w:pPr>
        <w:pStyle w:val="TOC8"/>
        <w:rPr>
          <w:rFonts w:asciiTheme="minorHAnsi" w:eastAsiaTheme="minorEastAsia" w:hAnsiTheme="minorHAnsi" w:cstheme="minorBidi"/>
          <w:szCs w:val="22"/>
        </w:rPr>
      </w:pPr>
      <w:r>
        <w:t>267</w:t>
      </w:r>
      <w:r>
        <w:rPr>
          <w:snapToGrid w:val="0"/>
        </w:rPr>
        <w:t>.</w:t>
      </w:r>
      <w:r>
        <w:rPr>
          <w:snapToGrid w:val="0"/>
        </w:rPr>
        <w:tab/>
        <w:t>Duty to do certain acts</w:t>
      </w:r>
      <w:r>
        <w:tab/>
      </w:r>
      <w:r>
        <w:fldChar w:fldCharType="begin"/>
      </w:r>
      <w:r>
        <w:instrText xml:space="preserve"> PAGEREF _Toc88662286 \h </w:instrText>
      </w:r>
      <w:r>
        <w:fldChar w:fldCharType="separate"/>
      </w:r>
      <w:r>
        <w:t>163</w:t>
      </w:r>
      <w:r>
        <w:fldChar w:fldCharType="end"/>
      </w:r>
    </w:p>
    <w:p>
      <w:pPr>
        <w:pStyle w:val="TOC4"/>
        <w:tabs>
          <w:tab w:val="right" w:leader="dot" w:pos="7077"/>
        </w:tabs>
        <w:rPr>
          <w:rFonts w:asciiTheme="minorHAnsi" w:eastAsiaTheme="minorEastAsia" w:hAnsiTheme="minorHAnsi" w:cstheme="minorBidi"/>
          <w:b w:val="0"/>
          <w:szCs w:val="22"/>
        </w:rPr>
      </w:pPr>
      <w:r>
        <w:t>Chapter XXVIII</w:t>
      </w:r>
      <w:r>
        <w:rPr>
          <w:snapToGrid w:val="0"/>
        </w:rPr>
        <w:t> — </w:t>
      </w:r>
      <w:r>
        <w:t>Homicide: Suicide: Concealment of birth</w:t>
      </w:r>
    </w:p>
    <w:p>
      <w:pPr>
        <w:pStyle w:val="TOC8"/>
        <w:rPr>
          <w:rFonts w:asciiTheme="minorHAnsi" w:eastAsiaTheme="minorEastAsia" w:hAnsiTheme="minorHAnsi" w:cstheme="minorBidi"/>
          <w:szCs w:val="22"/>
        </w:rPr>
      </w:pPr>
      <w:r>
        <w:t>268</w:t>
      </w:r>
      <w:r>
        <w:rPr>
          <w:snapToGrid w:val="0"/>
        </w:rPr>
        <w:t>.</w:t>
      </w:r>
      <w:r>
        <w:rPr>
          <w:snapToGrid w:val="0"/>
        </w:rPr>
        <w:tab/>
      </w:r>
      <w:r>
        <w:t>Killing</w:t>
      </w:r>
      <w:r>
        <w:rPr>
          <w:snapToGrid w:val="0"/>
        </w:rPr>
        <w:t xml:space="preserve"> a person is unlawful</w:t>
      </w:r>
      <w:r>
        <w:tab/>
      </w:r>
      <w:r>
        <w:fldChar w:fldCharType="begin"/>
      </w:r>
      <w:r>
        <w:instrText xml:space="preserve"> PAGEREF _Toc88662288 \h </w:instrText>
      </w:r>
      <w:r>
        <w:fldChar w:fldCharType="separate"/>
      </w:r>
      <w:r>
        <w:t>164</w:t>
      </w:r>
      <w:r>
        <w:fldChar w:fldCharType="end"/>
      </w:r>
    </w:p>
    <w:p>
      <w:pPr>
        <w:pStyle w:val="TOC8"/>
        <w:rPr>
          <w:rFonts w:asciiTheme="minorHAnsi" w:eastAsiaTheme="minorEastAsia" w:hAnsiTheme="minorHAnsi" w:cstheme="minorBidi"/>
          <w:szCs w:val="22"/>
        </w:rPr>
      </w:pPr>
      <w:r>
        <w:t>269</w:t>
      </w:r>
      <w:r>
        <w:rPr>
          <w:snapToGrid w:val="0"/>
        </w:rPr>
        <w:t>.</w:t>
      </w:r>
      <w:r>
        <w:rPr>
          <w:snapToGrid w:val="0"/>
        </w:rPr>
        <w:tab/>
        <w:t>When a child becomes a human being</w:t>
      </w:r>
      <w:r>
        <w:tab/>
      </w:r>
      <w:r>
        <w:fldChar w:fldCharType="begin"/>
      </w:r>
      <w:r>
        <w:instrText xml:space="preserve"> PAGEREF _Toc88662289 \h </w:instrText>
      </w:r>
      <w:r>
        <w:fldChar w:fldCharType="separate"/>
      </w:r>
      <w:r>
        <w:t>164</w:t>
      </w:r>
      <w:r>
        <w:fldChar w:fldCharType="end"/>
      </w:r>
    </w:p>
    <w:p>
      <w:pPr>
        <w:pStyle w:val="TOC8"/>
        <w:rPr>
          <w:rFonts w:asciiTheme="minorHAnsi" w:eastAsiaTheme="minorEastAsia" w:hAnsiTheme="minorHAnsi" w:cstheme="minorBidi"/>
          <w:szCs w:val="22"/>
        </w:rPr>
      </w:pPr>
      <w:r>
        <w:t>270</w:t>
      </w:r>
      <w:r>
        <w:rPr>
          <w:snapToGrid w:val="0"/>
        </w:rPr>
        <w:t>.</w:t>
      </w:r>
      <w:r>
        <w:rPr>
          <w:snapToGrid w:val="0"/>
        </w:rPr>
        <w:tab/>
        <w:t xml:space="preserve">Term used: </w:t>
      </w:r>
      <w:r>
        <w:rPr>
          <w:bCs/>
          <w:iCs/>
        </w:rPr>
        <w:t>kill</w:t>
      </w:r>
      <w:r>
        <w:tab/>
      </w:r>
      <w:r>
        <w:fldChar w:fldCharType="begin"/>
      </w:r>
      <w:r>
        <w:instrText xml:space="preserve"> PAGEREF _Toc88662290 \h </w:instrText>
      </w:r>
      <w:r>
        <w:fldChar w:fldCharType="separate"/>
      </w:r>
      <w:r>
        <w:t>164</w:t>
      </w:r>
      <w:r>
        <w:fldChar w:fldCharType="end"/>
      </w:r>
    </w:p>
    <w:p>
      <w:pPr>
        <w:pStyle w:val="TOC8"/>
        <w:rPr>
          <w:rFonts w:asciiTheme="minorHAnsi" w:eastAsiaTheme="minorEastAsia" w:hAnsiTheme="minorHAnsi" w:cstheme="minorBidi"/>
          <w:szCs w:val="22"/>
        </w:rPr>
      </w:pPr>
      <w:r>
        <w:t>271</w:t>
      </w:r>
      <w:r>
        <w:rPr>
          <w:snapToGrid w:val="0"/>
        </w:rPr>
        <w:t>.</w:t>
      </w:r>
      <w:r>
        <w:rPr>
          <w:snapToGrid w:val="0"/>
        </w:rPr>
        <w:tab/>
        <w:t>Death from act done at childbirth</w:t>
      </w:r>
      <w:r>
        <w:tab/>
      </w:r>
      <w:r>
        <w:fldChar w:fldCharType="begin"/>
      </w:r>
      <w:r>
        <w:instrText xml:space="preserve"> PAGEREF _Toc88662291 \h </w:instrText>
      </w:r>
      <w:r>
        <w:fldChar w:fldCharType="separate"/>
      </w:r>
      <w:r>
        <w:t>164</w:t>
      </w:r>
      <w:r>
        <w:fldChar w:fldCharType="end"/>
      </w:r>
    </w:p>
    <w:p>
      <w:pPr>
        <w:pStyle w:val="TOC8"/>
        <w:rPr>
          <w:rFonts w:asciiTheme="minorHAnsi" w:eastAsiaTheme="minorEastAsia" w:hAnsiTheme="minorHAnsi" w:cstheme="minorBidi"/>
          <w:szCs w:val="22"/>
        </w:rPr>
      </w:pPr>
      <w:r>
        <w:t>272</w:t>
      </w:r>
      <w:r>
        <w:rPr>
          <w:snapToGrid w:val="0"/>
        </w:rPr>
        <w:t>.</w:t>
      </w:r>
      <w:r>
        <w:rPr>
          <w:snapToGrid w:val="0"/>
        </w:rPr>
        <w:tab/>
        <w:t>Causing death by threat</w:t>
      </w:r>
      <w:r>
        <w:tab/>
      </w:r>
      <w:r>
        <w:fldChar w:fldCharType="begin"/>
      </w:r>
      <w:r>
        <w:instrText xml:space="preserve"> PAGEREF _Toc88662292 \h </w:instrText>
      </w:r>
      <w:r>
        <w:fldChar w:fldCharType="separate"/>
      </w:r>
      <w:r>
        <w:t>164</w:t>
      </w:r>
      <w:r>
        <w:fldChar w:fldCharType="end"/>
      </w:r>
    </w:p>
    <w:p>
      <w:pPr>
        <w:pStyle w:val="TOC8"/>
        <w:rPr>
          <w:rFonts w:asciiTheme="minorHAnsi" w:eastAsiaTheme="minorEastAsia" w:hAnsiTheme="minorHAnsi" w:cstheme="minorBidi"/>
          <w:szCs w:val="22"/>
        </w:rPr>
      </w:pPr>
      <w:r>
        <w:t>273</w:t>
      </w:r>
      <w:r>
        <w:rPr>
          <w:snapToGrid w:val="0"/>
        </w:rPr>
        <w:t>.</w:t>
      </w:r>
      <w:r>
        <w:rPr>
          <w:snapToGrid w:val="0"/>
        </w:rPr>
        <w:tab/>
        <w:t>Acceleration of death</w:t>
      </w:r>
      <w:r>
        <w:tab/>
      </w:r>
      <w:r>
        <w:fldChar w:fldCharType="begin"/>
      </w:r>
      <w:r>
        <w:instrText xml:space="preserve"> PAGEREF _Toc88662293 \h </w:instrText>
      </w:r>
      <w:r>
        <w:fldChar w:fldCharType="separate"/>
      </w:r>
      <w:r>
        <w:t>164</w:t>
      </w:r>
      <w:r>
        <w:fldChar w:fldCharType="end"/>
      </w:r>
    </w:p>
    <w:p>
      <w:pPr>
        <w:pStyle w:val="TOC8"/>
        <w:rPr>
          <w:rFonts w:asciiTheme="minorHAnsi" w:eastAsiaTheme="minorEastAsia" w:hAnsiTheme="minorHAnsi" w:cstheme="minorBidi"/>
          <w:szCs w:val="22"/>
        </w:rPr>
      </w:pPr>
      <w:r>
        <w:t>274</w:t>
      </w:r>
      <w:r>
        <w:rPr>
          <w:snapToGrid w:val="0"/>
        </w:rPr>
        <w:t>.</w:t>
      </w:r>
      <w:r>
        <w:rPr>
          <w:snapToGrid w:val="0"/>
        </w:rPr>
        <w:tab/>
        <w:t>Death from bodily injury that might have been avoided or prevented</w:t>
      </w:r>
      <w:r>
        <w:tab/>
      </w:r>
      <w:r>
        <w:fldChar w:fldCharType="begin"/>
      </w:r>
      <w:r>
        <w:instrText xml:space="preserve"> PAGEREF _Toc88662294 \h </w:instrText>
      </w:r>
      <w:r>
        <w:fldChar w:fldCharType="separate"/>
      </w:r>
      <w:r>
        <w:t>165</w:t>
      </w:r>
      <w:r>
        <w:fldChar w:fldCharType="end"/>
      </w:r>
    </w:p>
    <w:p>
      <w:pPr>
        <w:pStyle w:val="TOC8"/>
        <w:rPr>
          <w:rFonts w:asciiTheme="minorHAnsi" w:eastAsiaTheme="minorEastAsia" w:hAnsiTheme="minorHAnsi" w:cstheme="minorBidi"/>
          <w:szCs w:val="22"/>
        </w:rPr>
      </w:pPr>
      <w:r>
        <w:t>275</w:t>
      </w:r>
      <w:r>
        <w:rPr>
          <w:snapToGrid w:val="0"/>
        </w:rPr>
        <w:t>.</w:t>
      </w:r>
      <w:r>
        <w:rPr>
          <w:snapToGrid w:val="0"/>
        </w:rPr>
        <w:tab/>
        <w:t>Death from, or from treatment of, grievous bodily harm</w:t>
      </w:r>
      <w:r>
        <w:tab/>
      </w:r>
      <w:r>
        <w:fldChar w:fldCharType="begin"/>
      </w:r>
      <w:r>
        <w:instrText xml:space="preserve"> PAGEREF _Toc88662295 \h </w:instrText>
      </w:r>
      <w:r>
        <w:fldChar w:fldCharType="separate"/>
      </w:r>
      <w:r>
        <w:t>165</w:t>
      </w:r>
      <w:r>
        <w:fldChar w:fldCharType="end"/>
      </w:r>
    </w:p>
    <w:p>
      <w:pPr>
        <w:pStyle w:val="TOC8"/>
        <w:rPr>
          <w:rFonts w:asciiTheme="minorHAnsi" w:eastAsiaTheme="minorEastAsia" w:hAnsiTheme="minorHAnsi" w:cstheme="minorBidi"/>
          <w:szCs w:val="22"/>
        </w:rPr>
      </w:pPr>
      <w:r>
        <w:t>277</w:t>
      </w:r>
      <w:r>
        <w:rPr>
          <w:snapToGrid w:val="0"/>
        </w:rPr>
        <w:t>.</w:t>
      </w:r>
      <w:r>
        <w:rPr>
          <w:snapToGrid w:val="0"/>
        </w:rPr>
        <w:tab/>
        <w:t>Unlawful homicide is murder or manslaughter</w:t>
      </w:r>
      <w:r>
        <w:tab/>
      </w:r>
      <w:r>
        <w:fldChar w:fldCharType="begin"/>
      </w:r>
      <w:r>
        <w:instrText xml:space="preserve"> PAGEREF _Toc88662296 \h </w:instrText>
      </w:r>
      <w:r>
        <w:fldChar w:fldCharType="separate"/>
      </w:r>
      <w:r>
        <w:t>165</w:t>
      </w:r>
      <w:r>
        <w:fldChar w:fldCharType="end"/>
      </w:r>
    </w:p>
    <w:p>
      <w:pPr>
        <w:pStyle w:val="TOC8"/>
        <w:rPr>
          <w:rFonts w:asciiTheme="minorHAnsi" w:eastAsiaTheme="minorEastAsia" w:hAnsiTheme="minorHAnsi" w:cstheme="minorBidi"/>
          <w:szCs w:val="22"/>
        </w:rPr>
      </w:pPr>
      <w:r>
        <w:t>279.</w:t>
      </w:r>
      <w:r>
        <w:tab/>
        <w:t>Murder</w:t>
      </w:r>
      <w:r>
        <w:tab/>
      </w:r>
      <w:r>
        <w:fldChar w:fldCharType="begin"/>
      </w:r>
      <w:r>
        <w:instrText xml:space="preserve"> PAGEREF _Toc88662297 \h </w:instrText>
      </w:r>
      <w:r>
        <w:fldChar w:fldCharType="separate"/>
      </w:r>
      <w:r>
        <w:t>165</w:t>
      </w:r>
      <w:r>
        <w:fldChar w:fldCharType="end"/>
      </w:r>
    </w:p>
    <w:p>
      <w:pPr>
        <w:pStyle w:val="TOC8"/>
        <w:rPr>
          <w:rFonts w:asciiTheme="minorHAnsi" w:eastAsiaTheme="minorEastAsia" w:hAnsiTheme="minorHAnsi" w:cstheme="minorBidi"/>
          <w:szCs w:val="22"/>
        </w:rPr>
      </w:pPr>
      <w:r>
        <w:t>280.</w:t>
      </w:r>
      <w:r>
        <w:tab/>
        <w:t>Manslaughter</w:t>
      </w:r>
      <w:r>
        <w:tab/>
      </w:r>
      <w:r>
        <w:fldChar w:fldCharType="begin"/>
      </w:r>
      <w:r>
        <w:instrText xml:space="preserve"> PAGEREF _Toc88662298 \h </w:instrText>
      </w:r>
      <w:r>
        <w:fldChar w:fldCharType="separate"/>
      </w:r>
      <w:r>
        <w:t>167</w:t>
      </w:r>
      <w:r>
        <w:fldChar w:fldCharType="end"/>
      </w:r>
    </w:p>
    <w:p>
      <w:pPr>
        <w:pStyle w:val="TOC8"/>
        <w:rPr>
          <w:rFonts w:asciiTheme="minorHAnsi" w:eastAsiaTheme="minorEastAsia" w:hAnsiTheme="minorHAnsi" w:cstheme="minorBidi"/>
          <w:szCs w:val="22"/>
        </w:rPr>
      </w:pPr>
      <w:r>
        <w:t>281.</w:t>
      </w:r>
      <w:r>
        <w:tab/>
        <w:t>Unlawful assault causing death</w:t>
      </w:r>
      <w:r>
        <w:tab/>
      </w:r>
      <w:r>
        <w:fldChar w:fldCharType="begin"/>
      </w:r>
      <w:r>
        <w:instrText xml:space="preserve"> PAGEREF _Toc88662299 \h </w:instrText>
      </w:r>
      <w:r>
        <w:fldChar w:fldCharType="separate"/>
      </w:r>
      <w:r>
        <w:t>168</w:t>
      </w:r>
      <w:r>
        <w:fldChar w:fldCharType="end"/>
      </w:r>
    </w:p>
    <w:p>
      <w:pPr>
        <w:pStyle w:val="TOC8"/>
        <w:rPr>
          <w:rFonts w:asciiTheme="minorHAnsi" w:eastAsiaTheme="minorEastAsia" w:hAnsiTheme="minorHAnsi" w:cstheme="minorBidi"/>
          <w:szCs w:val="22"/>
        </w:rPr>
      </w:pPr>
      <w:r>
        <w:t>283</w:t>
      </w:r>
      <w:r>
        <w:rPr>
          <w:snapToGrid w:val="0"/>
        </w:rPr>
        <w:t>.</w:t>
      </w:r>
      <w:r>
        <w:rPr>
          <w:snapToGrid w:val="0"/>
        </w:rPr>
        <w:tab/>
        <w:t>Attempt to unlawfully kill</w:t>
      </w:r>
      <w:r>
        <w:tab/>
      </w:r>
      <w:r>
        <w:fldChar w:fldCharType="begin"/>
      </w:r>
      <w:r>
        <w:instrText xml:space="preserve"> PAGEREF _Toc88662300 \h </w:instrText>
      </w:r>
      <w:r>
        <w:fldChar w:fldCharType="separate"/>
      </w:r>
      <w:r>
        <w:t>169</w:t>
      </w:r>
      <w:r>
        <w:fldChar w:fldCharType="end"/>
      </w:r>
    </w:p>
    <w:p>
      <w:pPr>
        <w:pStyle w:val="TOC8"/>
        <w:rPr>
          <w:rFonts w:asciiTheme="minorHAnsi" w:eastAsiaTheme="minorEastAsia" w:hAnsiTheme="minorHAnsi" w:cstheme="minorBidi"/>
          <w:szCs w:val="22"/>
        </w:rPr>
      </w:pPr>
      <w:r>
        <w:t>284.</w:t>
      </w:r>
      <w:r>
        <w:tab/>
        <w:t>Culpable driving (not of motor vehicle) causing death or grievous bodily harm</w:t>
      </w:r>
      <w:r>
        <w:tab/>
      </w:r>
      <w:r>
        <w:fldChar w:fldCharType="begin"/>
      </w:r>
      <w:r>
        <w:instrText xml:space="preserve"> PAGEREF _Toc88662301 \h </w:instrText>
      </w:r>
      <w:r>
        <w:fldChar w:fldCharType="separate"/>
      </w:r>
      <w:r>
        <w:t>171</w:t>
      </w:r>
      <w:r>
        <w:fldChar w:fldCharType="end"/>
      </w:r>
    </w:p>
    <w:p>
      <w:pPr>
        <w:pStyle w:val="TOC8"/>
        <w:rPr>
          <w:rFonts w:asciiTheme="minorHAnsi" w:eastAsiaTheme="minorEastAsia" w:hAnsiTheme="minorHAnsi" w:cstheme="minorBidi"/>
          <w:szCs w:val="22"/>
        </w:rPr>
      </w:pPr>
      <w:r>
        <w:t>288</w:t>
      </w:r>
      <w:r>
        <w:rPr>
          <w:snapToGrid w:val="0"/>
        </w:rPr>
        <w:t>.</w:t>
      </w:r>
      <w:r>
        <w:rPr>
          <w:snapToGrid w:val="0"/>
        </w:rPr>
        <w:tab/>
        <w:t>Procuring etc. suicide</w:t>
      </w:r>
      <w:r>
        <w:tab/>
      </w:r>
      <w:r>
        <w:fldChar w:fldCharType="begin"/>
      </w:r>
      <w:r>
        <w:instrText xml:space="preserve"> PAGEREF _Toc88662302 \h </w:instrText>
      </w:r>
      <w:r>
        <w:fldChar w:fldCharType="separate"/>
      </w:r>
      <w:r>
        <w:t>172</w:t>
      </w:r>
      <w:r>
        <w:fldChar w:fldCharType="end"/>
      </w:r>
    </w:p>
    <w:p>
      <w:pPr>
        <w:pStyle w:val="TOC8"/>
        <w:rPr>
          <w:rFonts w:asciiTheme="minorHAnsi" w:eastAsiaTheme="minorEastAsia" w:hAnsiTheme="minorHAnsi" w:cstheme="minorBidi"/>
          <w:szCs w:val="22"/>
        </w:rPr>
      </w:pPr>
      <w:r>
        <w:t>290</w:t>
      </w:r>
      <w:r>
        <w:rPr>
          <w:snapToGrid w:val="0"/>
        </w:rPr>
        <w:t>.</w:t>
      </w:r>
      <w:r>
        <w:rPr>
          <w:snapToGrid w:val="0"/>
        </w:rPr>
        <w:tab/>
        <w:t>Preventing birth of live child</w:t>
      </w:r>
      <w:r>
        <w:tab/>
      </w:r>
      <w:r>
        <w:fldChar w:fldCharType="begin"/>
      </w:r>
      <w:r>
        <w:instrText xml:space="preserve"> PAGEREF _Toc88662303 \h </w:instrText>
      </w:r>
      <w:r>
        <w:fldChar w:fldCharType="separate"/>
      </w:r>
      <w:r>
        <w:t>172</w:t>
      </w:r>
      <w:r>
        <w:fldChar w:fldCharType="end"/>
      </w:r>
    </w:p>
    <w:p>
      <w:pPr>
        <w:pStyle w:val="TOC8"/>
        <w:rPr>
          <w:rFonts w:asciiTheme="minorHAnsi" w:eastAsiaTheme="minorEastAsia" w:hAnsiTheme="minorHAnsi" w:cstheme="minorBidi"/>
          <w:szCs w:val="22"/>
        </w:rPr>
      </w:pPr>
      <w:r>
        <w:t>291</w:t>
      </w:r>
      <w:r>
        <w:rPr>
          <w:snapToGrid w:val="0"/>
        </w:rPr>
        <w:t>.</w:t>
      </w:r>
      <w:r>
        <w:rPr>
          <w:snapToGrid w:val="0"/>
        </w:rPr>
        <w:tab/>
        <w:t>Concealing birth of dead child</w:t>
      </w:r>
      <w:r>
        <w:tab/>
      </w:r>
      <w:r>
        <w:fldChar w:fldCharType="begin"/>
      </w:r>
      <w:r>
        <w:instrText xml:space="preserve"> PAGEREF _Toc88662304 \h </w:instrText>
      </w:r>
      <w:r>
        <w:fldChar w:fldCharType="separate"/>
      </w:r>
      <w:r>
        <w:t>172</w:t>
      </w:r>
      <w:r>
        <w:fldChar w:fldCharType="end"/>
      </w:r>
    </w:p>
    <w:p>
      <w:pPr>
        <w:pStyle w:val="TOC4"/>
        <w:tabs>
          <w:tab w:val="right" w:leader="dot" w:pos="7077"/>
        </w:tabs>
        <w:rPr>
          <w:rFonts w:asciiTheme="minorHAnsi" w:eastAsiaTheme="minorEastAsia" w:hAnsiTheme="minorHAnsi" w:cstheme="minorBidi"/>
          <w:b w:val="0"/>
          <w:szCs w:val="22"/>
        </w:rPr>
      </w:pPr>
      <w:r>
        <w:t>Chapter XXIX</w:t>
      </w:r>
      <w:r>
        <w:rPr>
          <w:snapToGrid w:val="0"/>
        </w:rPr>
        <w:t> — </w:t>
      </w:r>
      <w:r>
        <w:t>Offences endangering life or health</w:t>
      </w:r>
    </w:p>
    <w:p>
      <w:pPr>
        <w:pStyle w:val="TOC8"/>
        <w:rPr>
          <w:rFonts w:asciiTheme="minorHAnsi" w:eastAsiaTheme="minorEastAsia" w:hAnsiTheme="minorHAnsi" w:cstheme="minorBidi"/>
          <w:szCs w:val="22"/>
        </w:rPr>
      </w:pPr>
      <w:r>
        <w:t>292</w:t>
      </w:r>
      <w:r>
        <w:rPr>
          <w:snapToGrid w:val="0"/>
        </w:rPr>
        <w:t>.</w:t>
      </w:r>
      <w:r>
        <w:rPr>
          <w:snapToGrid w:val="0"/>
        </w:rPr>
        <w:tab/>
        <w:t>Disabling in order to commit indictable offence etc.</w:t>
      </w:r>
      <w:r>
        <w:tab/>
      </w:r>
      <w:r>
        <w:fldChar w:fldCharType="begin"/>
      </w:r>
      <w:r>
        <w:instrText xml:space="preserve"> PAGEREF _Toc88662306 \h </w:instrText>
      </w:r>
      <w:r>
        <w:fldChar w:fldCharType="separate"/>
      </w:r>
      <w:r>
        <w:t>173</w:t>
      </w:r>
      <w:r>
        <w:fldChar w:fldCharType="end"/>
      </w:r>
    </w:p>
    <w:p>
      <w:pPr>
        <w:pStyle w:val="TOC8"/>
        <w:rPr>
          <w:rFonts w:asciiTheme="minorHAnsi" w:eastAsiaTheme="minorEastAsia" w:hAnsiTheme="minorHAnsi" w:cstheme="minorBidi"/>
          <w:szCs w:val="22"/>
        </w:rPr>
      </w:pPr>
      <w:r>
        <w:t>293</w:t>
      </w:r>
      <w:r>
        <w:rPr>
          <w:snapToGrid w:val="0"/>
        </w:rPr>
        <w:t>.</w:t>
      </w:r>
      <w:r>
        <w:rPr>
          <w:snapToGrid w:val="0"/>
        </w:rPr>
        <w:tab/>
        <w:t>Stupefying in order to commit indictable offence etc.</w:t>
      </w:r>
      <w:r>
        <w:tab/>
      </w:r>
      <w:r>
        <w:fldChar w:fldCharType="begin"/>
      </w:r>
      <w:r>
        <w:instrText xml:space="preserve"> PAGEREF _Toc88662307 \h </w:instrText>
      </w:r>
      <w:r>
        <w:fldChar w:fldCharType="separate"/>
      </w:r>
      <w:r>
        <w:t>173</w:t>
      </w:r>
      <w:r>
        <w:fldChar w:fldCharType="end"/>
      </w:r>
    </w:p>
    <w:p>
      <w:pPr>
        <w:pStyle w:val="TOC8"/>
        <w:rPr>
          <w:rFonts w:asciiTheme="minorHAnsi" w:eastAsiaTheme="minorEastAsia" w:hAnsiTheme="minorHAnsi" w:cstheme="minorBidi"/>
          <w:szCs w:val="22"/>
        </w:rPr>
      </w:pPr>
      <w:r>
        <w:t>294</w:t>
      </w:r>
      <w:r>
        <w:rPr>
          <w:snapToGrid w:val="0"/>
        </w:rPr>
        <w:t>.</w:t>
      </w:r>
      <w:r>
        <w:rPr>
          <w:snapToGrid w:val="0"/>
        </w:rPr>
        <w:tab/>
        <w:t>Act intended to cause grievous bodily harm or prevent arrest</w:t>
      </w:r>
      <w:r>
        <w:tab/>
      </w:r>
      <w:r>
        <w:fldChar w:fldCharType="begin"/>
      </w:r>
      <w:r>
        <w:instrText xml:space="preserve"> PAGEREF _Toc88662308 \h </w:instrText>
      </w:r>
      <w:r>
        <w:fldChar w:fldCharType="separate"/>
      </w:r>
      <w:r>
        <w:t>174</w:t>
      </w:r>
      <w:r>
        <w:fldChar w:fldCharType="end"/>
      </w:r>
    </w:p>
    <w:p>
      <w:pPr>
        <w:pStyle w:val="TOC8"/>
        <w:rPr>
          <w:rFonts w:asciiTheme="minorHAnsi" w:eastAsiaTheme="minorEastAsia" w:hAnsiTheme="minorHAnsi" w:cstheme="minorBidi"/>
          <w:szCs w:val="22"/>
        </w:rPr>
      </w:pPr>
      <w:r>
        <w:t>294A</w:t>
      </w:r>
      <w:r>
        <w:rPr>
          <w:snapToGrid w:val="0"/>
        </w:rPr>
        <w:t>.</w:t>
      </w:r>
      <w:r>
        <w:rPr>
          <w:snapToGrid w:val="0"/>
        </w:rPr>
        <w:tab/>
        <w:t>Dangerous goods on aircraft</w:t>
      </w:r>
      <w:r>
        <w:tab/>
      </w:r>
      <w:r>
        <w:fldChar w:fldCharType="begin"/>
      </w:r>
      <w:r>
        <w:instrText xml:space="preserve"> PAGEREF _Toc88662309 \h </w:instrText>
      </w:r>
      <w:r>
        <w:fldChar w:fldCharType="separate"/>
      </w:r>
      <w:r>
        <w:t>175</w:t>
      </w:r>
      <w:r>
        <w:fldChar w:fldCharType="end"/>
      </w:r>
    </w:p>
    <w:p>
      <w:pPr>
        <w:pStyle w:val="TOC8"/>
        <w:rPr>
          <w:rFonts w:asciiTheme="minorHAnsi" w:eastAsiaTheme="minorEastAsia" w:hAnsiTheme="minorHAnsi" w:cstheme="minorBidi"/>
          <w:szCs w:val="22"/>
        </w:rPr>
      </w:pPr>
      <w:r>
        <w:t>295</w:t>
      </w:r>
      <w:r>
        <w:rPr>
          <w:snapToGrid w:val="0"/>
        </w:rPr>
        <w:t>.</w:t>
      </w:r>
      <w:r>
        <w:rPr>
          <w:snapToGrid w:val="0"/>
        </w:rPr>
        <w:tab/>
        <w:t>Preventing escape from wreck</w:t>
      </w:r>
      <w:r>
        <w:tab/>
      </w:r>
      <w:r>
        <w:fldChar w:fldCharType="begin"/>
      </w:r>
      <w:r>
        <w:instrText xml:space="preserve"> PAGEREF _Toc88662310 \h </w:instrText>
      </w:r>
      <w:r>
        <w:fldChar w:fldCharType="separate"/>
      </w:r>
      <w:r>
        <w:t>176</w:t>
      </w:r>
      <w:r>
        <w:fldChar w:fldCharType="end"/>
      </w:r>
    </w:p>
    <w:p>
      <w:pPr>
        <w:pStyle w:val="TOC8"/>
        <w:rPr>
          <w:rFonts w:asciiTheme="minorHAnsi" w:eastAsiaTheme="minorEastAsia" w:hAnsiTheme="minorHAnsi" w:cstheme="minorBidi"/>
          <w:szCs w:val="22"/>
        </w:rPr>
      </w:pPr>
      <w:r>
        <w:t>297</w:t>
      </w:r>
      <w:r>
        <w:rPr>
          <w:snapToGrid w:val="0"/>
        </w:rPr>
        <w:t>.</w:t>
      </w:r>
      <w:r>
        <w:rPr>
          <w:snapToGrid w:val="0"/>
        </w:rPr>
        <w:tab/>
        <w:t>Grievous bodily harm</w:t>
      </w:r>
      <w:r>
        <w:tab/>
      </w:r>
      <w:r>
        <w:fldChar w:fldCharType="begin"/>
      </w:r>
      <w:r>
        <w:instrText xml:space="preserve"> PAGEREF _Toc88662311 \h </w:instrText>
      </w:r>
      <w:r>
        <w:fldChar w:fldCharType="separate"/>
      </w:r>
      <w:r>
        <w:t>177</w:t>
      </w:r>
      <w:r>
        <w:fldChar w:fldCharType="end"/>
      </w:r>
    </w:p>
    <w:p>
      <w:pPr>
        <w:pStyle w:val="TOC8"/>
        <w:rPr>
          <w:rFonts w:asciiTheme="minorHAnsi" w:eastAsiaTheme="minorEastAsia" w:hAnsiTheme="minorHAnsi" w:cstheme="minorBidi"/>
          <w:szCs w:val="22"/>
        </w:rPr>
      </w:pPr>
      <w:r>
        <w:lastRenderedPageBreak/>
        <w:t>298.</w:t>
      </w:r>
      <w:r>
        <w:tab/>
        <w:t>Suffocation and strangulation</w:t>
      </w:r>
      <w:r>
        <w:tab/>
      </w:r>
      <w:r>
        <w:fldChar w:fldCharType="begin"/>
      </w:r>
      <w:r>
        <w:instrText xml:space="preserve"> PAGEREF _Toc88662312 \h </w:instrText>
      </w:r>
      <w:r>
        <w:fldChar w:fldCharType="separate"/>
      </w:r>
      <w:r>
        <w:t>180</w:t>
      </w:r>
      <w:r>
        <w:fldChar w:fldCharType="end"/>
      </w:r>
    </w:p>
    <w:p>
      <w:pPr>
        <w:pStyle w:val="TOC8"/>
        <w:rPr>
          <w:rFonts w:asciiTheme="minorHAnsi" w:eastAsiaTheme="minorEastAsia" w:hAnsiTheme="minorHAnsi" w:cstheme="minorBidi"/>
          <w:szCs w:val="22"/>
        </w:rPr>
      </w:pPr>
      <w:r>
        <w:t>299.</w:t>
      </w:r>
      <w:r>
        <w:tab/>
        <w:t>Terms used in relation to s. 300 (persistent family violence)</w:t>
      </w:r>
      <w:r>
        <w:tab/>
      </w:r>
      <w:r>
        <w:fldChar w:fldCharType="begin"/>
      </w:r>
      <w:r>
        <w:instrText xml:space="preserve"> PAGEREF _Toc88662313 \h </w:instrText>
      </w:r>
      <w:r>
        <w:fldChar w:fldCharType="separate"/>
      </w:r>
      <w:r>
        <w:t>181</w:t>
      </w:r>
      <w:r>
        <w:fldChar w:fldCharType="end"/>
      </w:r>
    </w:p>
    <w:p>
      <w:pPr>
        <w:pStyle w:val="TOC8"/>
        <w:rPr>
          <w:rFonts w:asciiTheme="minorHAnsi" w:eastAsiaTheme="minorEastAsia" w:hAnsiTheme="minorHAnsi" w:cstheme="minorBidi"/>
          <w:szCs w:val="22"/>
        </w:rPr>
      </w:pPr>
      <w:r>
        <w:t>300.</w:t>
      </w:r>
      <w:r>
        <w:tab/>
        <w:t>Persistent family violence</w:t>
      </w:r>
      <w:r>
        <w:tab/>
      </w:r>
      <w:r>
        <w:fldChar w:fldCharType="begin"/>
      </w:r>
      <w:r>
        <w:instrText xml:space="preserve"> PAGEREF _Toc88662314 \h </w:instrText>
      </w:r>
      <w:r>
        <w:fldChar w:fldCharType="separate"/>
      </w:r>
      <w:r>
        <w:t>183</w:t>
      </w:r>
      <w:r>
        <w:fldChar w:fldCharType="end"/>
      </w:r>
    </w:p>
    <w:p>
      <w:pPr>
        <w:pStyle w:val="TOC8"/>
        <w:rPr>
          <w:rFonts w:asciiTheme="minorHAnsi" w:eastAsiaTheme="minorEastAsia" w:hAnsiTheme="minorHAnsi" w:cstheme="minorBidi"/>
          <w:szCs w:val="22"/>
        </w:rPr>
      </w:pPr>
      <w:r>
        <w:t>301</w:t>
      </w:r>
      <w:r>
        <w:rPr>
          <w:snapToGrid w:val="0"/>
        </w:rPr>
        <w:t>.</w:t>
      </w:r>
      <w:r>
        <w:rPr>
          <w:snapToGrid w:val="0"/>
        </w:rPr>
        <w:tab/>
        <w:t>Wounding and similar acts</w:t>
      </w:r>
      <w:r>
        <w:tab/>
      </w:r>
      <w:r>
        <w:fldChar w:fldCharType="begin"/>
      </w:r>
      <w:r>
        <w:instrText xml:space="preserve"> PAGEREF _Toc88662315 \h </w:instrText>
      </w:r>
      <w:r>
        <w:fldChar w:fldCharType="separate"/>
      </w:r>
      <w:r>
        <w:t>185</w:t>
      </w:r>
      <w:r>
        <w:fldChar w:fldCharType="end"/>
      </w:r>
    </w:p>
    <w:p>
      <w:pPr>
        <w:pStyle w:val="TOC8"/>
        <w:rPr>
          <w:rFonts w:asciiTheme="minorHAnsi" w:eastAsiaTheme="minorEastAsia" w:hAnsiTheme="minorHAnsi" w:cstheme="minorBidi"/>
          <w:szCs w:val="22"/>
        </w:rPr>
      </w:pPr>
      <w:r>
        <w:t>304.</w:t>
      </w:r>
      <w:r>
        <w:tab/>
        <w:t>Act or omission causing bodily harm or danger</w:t>
      </w:r>
      <w:r>
        <w:tab/>
      </w:r>
      <w:r>
        <w:fldChar w:fldCharType="begin"/>
      </w:r>
      <w:r>
        <w:instrText xml:space="preserve"> PAGEREF _Toc88662316 \h </w:instrText>
      </w:r>
      <w:r>
        <w:fldChar w:fldCharType="separate"/>
      </w:r>
      <w:r>
        <w:t>185</w:t>
      </w:r>
      <w:r>
        <w:fldChar w:fldCharType="end"/>
      </w:r>
    </w:p>
    <w:p>
      <w:pPr>
        <w:pStyle w:val="TOC8"/>
        <w:rPr>
          <w:rFonts w:asciiTheme="minorHAnsi" w:eastAsiaTheme="minorEastAsia" w:hAnsiTheme="minorHAnsi" w:cstheme="minorBidi"/>
          <w:szCs w:val="22"/>
        </w:rPr>
      </w:pPr>
      <w:r>
        <w:t>305.</w:t>
      </w:r>
      <w:r>
        <w:tab/>
        <w:t>Setting dangerous thing</w:t>
      </w:r>
      <w:r>
        <w:tab/>
      </w:r>
      <w:r>
        <w:fldChar w:fldCharType="begin"/>
      </w:r>
      <w:r>
        <w:instrText xml:space="preserve"> PAGEREF _Toc88662317 \h </w:instrText>
      </w:r>
      <w:r>
        <w:fldChar w:fldCharType="separate"/>
      </w:r>
      <w:r>
        <w:t>186</w:t>
      </w:r>
      <w:r>
        <w:fldChar w:fldCharType="end"/>
      </w:r>
    </w:p>
    <w:p>
      <w:pPr>
        <w:pStyle w:val="TOC8"/>
        <w:rPr>
          <w:rFonts w:asciiTheme="minorHAnsi" w:eastAsiaTheme="minorEastAsia" w:hAnsiTheme="minorHAnsi" w:cstheme="minorBidi"/>
          <w:szCs w:val="22"/>
        </w:rPr>
      </w:pPr>
      <w:r>
        <w:t>305A.</w:t>
      </w:r>
      <w:r>
        <w:tab/>
        <w:t>Intoxication by deception</w:t>
      </w:r>
      <w:r>
        <w:tab/>
      </w:r>
      <w:r>
        <w:fldChar w:fldCharType="begin"/>
      </w:r>
      <w:r>
        <w:instrText xml:space="preserve"> PAGEREF _Toc88662318 \h </w:instrText>
      </w:r>
      <w:r>
        <w:fldChar w:fldCharType="separate"/>
      </w:r>
      <w:r>
        <w:t>187</w:t>
      </w:r>
      <w:r>
        <w:fldChar w:fldCharType="end"/>
      </w:r>
    </w:p>
    <w:p>
      <w:pPr>
        <w:pStyle w:val="TOC8"/>
        <w:rPr>
          <w:rFonts w:asciiTheme="minorHAnsi" w:eastAsiaTheme="minorEastAsia" w:hAnsiTheme="minorHAnsi" w:cstheme="minorBidi"/>
          <w:szCs w:val="22"/>
        </w:rPr>
      </w:pPr>
      <w:r>
        <w:t>306.</w:t>
      </w:r>
      <w:r>
        <w:tab/>
        <w:t>Female genital mutilation</w:t>
      </w:r>
      <w:r>
        <w:tab/>
      </w:r>
      <w:r>
        <w:fldChar w:fldCharType="begin"/>
      </w:r>
      <w:r>
        <w:instrText xml:space="preserve"> PAGEREF _Toc88662319 \h </w:instrText>
      </w:r>
      <w:r>
        <w:fldChar w:fldCharType="separate"/>
      </w:r>
      <w:r>
        <w:t>188</w:t>
      </w:r>
      <w:r>
        <w:fldChar w:fldCharType="end"/>
      </w:r>
    </w:p>
    <w:p>
      <w:pPr>
        <w:pStyle w:val="TOC4"/>
        <w:tabs>
          <w:tab w:val="right" w:leader="dot" w:pos="7077"/>
        </w:tabs>
        <w:rPr>
          <w:rFonts w:asciiTheme="minorHAnsi" w:eastAsiaTheme="minorEastAsia" w:hAnsiTheme="minorHAnsi" w:cstheme="minorBidi"/>
          <w:b w:val="0"/>
          <w:szCs w:val="22"/>
        </w:rPr>
      </w:pPr>
      <w:r>
        <w:t>Chapter XXX</w:t>
      </w:r>
      <w:r>
        <w:rPr>
          <w:snapToGrid w:val="0"/>
        </w:rPr>
        <w:t> — </w:t>
      </w:r>
      <w:r>
        <w:t>Assaults</w:t>
      </w:r>
    </w:p>
    <w:p>
      <w:pPr>
        <w:pStyle w:val="TOC8"/>
        <w:rPr>
          <w:rFonts w:asciiTheme="minorHAnsi" w:eastAsiaTheme="minorEastAsia" w:hAnsiTheme="minorHAnsi" w:cstheme="minorBidi"/>
          <w:szCs w:val="22"/>
        </w:rPr>
      </w:pPr>
      <w:r>
        <w:t>313</w:t>
      </w:r>
      <w:r>
        <w:rPr>
          <w:snapToGrid w:val="0"/>
        </w:rPr>
        <w:t>.</w:t>
      </w:r>
      <w:r>
        <w:rPr>
          <w:snapToGrid w:val="0"/>
        </w:rPr>
        <w:tab/>
        <w:t>Common assault</w:t>
      </w:r>
      <w:r>
        <w:tab/>
      </w:r>
      <w:r>
        <w:fldChar w:fldCharType="begin"/>
      </w:r>
      <w:r>
        <w:instrText xml:space="preserve"> PAGEREF _Toc88662321 \h </w:instrText>
      </w:r>
      <w:r>
        <w:fldChar w:fldCharType="separate"/>
      </w:r>
      <w:r>
        <w:t>190</w:t>
      </w:r>
      <w:r>
        <w:fldChar w:fldCharType="end"/>
      </w:r>
    </w:p>
    <w:p>
      <w:pPr>
        <w:pStyle w:val="TOC8"/>
        <w:rPr>
          <w:rFonts w:asciiTheme="minorHAnsi" w:eastAsiaTheme="minorEastAsia" w:hAnsiTheme="minorHAnsi" w:cstheme="minorBidi"/>
          <w:szCs w:val="22"/>
        </w:rPr>
      </w:pPr>
      <w:r>
        <w:t>317</w:t>
      </w:r>
      <w:r>
        <w:rPr>
          <w:snapToGrid w:val="0"/>
        </w:rPr>
        <w:t>.</w:t>
      </w:r>
      <w:r>
        <w:rPr>
          <w:snapToGrid w:val="0"/>
        </w:rPr>
        <w:tab/>
        <w:t>Assault causing bodily harm</w:t>
      </w:r>
      <w:r>
        <w:tab/>
      </w:r>
      <w:r>
        <w:fldChar w:fldCharType="begin"/>
      </w:r>
      <w:r>
        <w:instrText xml:space="preserve"> PAGEREF _Toc88662322 \h </w:instrText>
      </w:r>
      <w:r>
        <w:fldChar w:fldCharType="separate"/>
      </w:r>
      <w:r>
        <w:t>190</w:t>
      </w:r>
      <w:r>
        <w:fldChar w:fldCharType="end"/>
      </w:r>
    </w:p>
    <w:p>
      <w:pPr>
        <w:pStyle w:val="TOC8"/>
        <w:rPr>
          <w:rFonts w:asciiTheme="minorHAnsi" w:eastAsiaTheme="minorEastAsia" w:hAnsiTheme="minorHAnsi" w:cstheme="minorBidi"/>
          <w:szCs w:val="22"/>
        </w:rPr>
      </w:pPr>
      <w:r>
        <w:t>317A</w:t>
      </w:r>
      <w:r>
        <w:rPr>
          <w:snapToGrid w:val="0"/>
        </w:rPr>
        <w:t>.</w:t>
      </w:r>
      <w:r>
        <w:rPr>
          <w:snapToGrid w:val="0"/>
        </w:rPr>
        <w:tab/>
        <w:t>Assault with intent</w:t>
      </w:r>
      <w:r>
        <w:tab/>
      </w:r>
      <w:r>
        <w:fldChar w:fldCharType="begin"/>
      </w:r>
      <w:r>
        <w:instrText xml:space="preserve"> PAGEREF _Toc88662323 \h </w:instrText>
      </w:r>
      <w:r>
        <w:fldChar w:fldCharType="separate"/>
      </w:r>
      <w:r>
        <w:t>191</w:t>
      </w:r>
      <w:r>
        <w:fldChar w:fldCharType="end"/>
      </w:r>
    </w:p>
    <w:p>
      <w:pPr>
        <w:pStyle w:val="TOC8"/>
        <w:rPr>
          <w:rFonts w:asciiTheme="minorHAnsi" w:eastAsiaTheme="minorEastAsia" w:hAnsiTheme="minorHAnsi" w:cstheme="minorBidi"/>
          <w:szCs w:val="22"/>
        </w:rPr>
      </w:pPr>
      <w:r>
        <w:t>318</w:t>
      </w:r>
      <w:r>
        <w:rPr>
          <w:snapToGrid w:val="0"/>
        </w:rPr>
        <w:t>.</w:t>
      </w:r>
      <w:r>
        <w:rPr>
          <w:snapToGrid w:val="0"/>
        </w:rPr>
        <w:tab/>
        <w:t>Serious assault</w:t>
      </w:r>
      <w:r>
        <w:tab/>
      </w:r>
      <w:r>
        <w:fldChar w:fldCharType="begin"/>
      </w:r>
      <w:r>
        <w:instrText xml:space="preserve"> PAGEREF _Toc88662324 \h </w:instrText>
      </w:r>
      <w:r>
        <w:fldChar w:fldCharType="separate"/>
      </w:r>
      <w:r>
        <w:t>192</w:t>
      </w:r>
      <w:r>
        <w:fldChar w:fldCharType="end"/>
      </w:r>
    </w:p>
    <w:p>
      <w:pPr>
        <w:pStyle w:val="TOC8"/>
        <w:rPr>
          <w:rFonts w:asciiTheme="minorHAnsi" w:eastAsiaTheme="minorEastAsia" w:hAnsiTheme="minorHAnsi" w:cstheme="minorBidi"/>
          <w:szCs w:val="22"/>
        </w:rPr>
      </w:pPr>
      <w:r>
        <w:t>318A</w:t>
      </w:r>
      <w:r>
        <w:rPr>
          <w:snapToGrid w:val="0"/>
        </w:rPr>
        <w:t>.</w:t>
      </w:r>
      <w:r>
        <w:rPr>
          <w:snapToGrid w:val="0"/>
        </w:rPr>
        <w:tab/>
        <w:t>Assault on aircraft’s crew</w:t>
      </w:r>
      <w:r>
        <w:tab/>
      </w:r>
      <w:r>
        <w:fldChar w:fldCharType="begin"/>
      </w:r>
      <w:r>
        <w:instrText xml:space="preserve"> PAGEREF _Toc88662325 \h </w:instrText>
      </w:r>
      <w:r>
        <w:fldChar w:fldCharType="separate"/>
      </w:r>
      <w:r>
        <w:t>196</w:t>
      </w:r>
      <w:r>
        <w:fldChar w:fldCharType="end"/>
      </w:r>
    </w:p>
    <w:p>
      <w:pPr>
        <w:pStyle w:val="TOC4"/>
        <w:tabs>
          <w:tab w:val="right" w:leader="dot" w:pos="7077"/>
        </w:tabs>
        <w:rPr>
          <w:rFonts w:asciiTheme="minorHAnsi" w:eastAsiaTheme="minorEastAsia" w:hAnsiTheme="minorHAnsi" w:cstheme="minorBidi"/>
          <w:b w:val="0"/>
          <w:szCs w:val="22"/>
        </w:rPr>
      </w:pPr>
      <w:r>
        <w:t>Chapter XXXI</w:t>
      </w:r>
      <w:r>
        <w:rPr>
          <w:snapToGrid w:val="0"/>
        </w:rPr>
        <w:t> — </w:t>
      </w:r>
      <w:r>
        <w:t>Sexual offences</w:t>
      </w:r>
    </w:p>
    <w:p>
      <w:pPr>
        <w:pStyle w:val="TOC8"/>
        <w:rPr>
          <w:rFonts w:asciiTheme="minorHAnsi" w:eastAsiaTheme="minorEastAsia" w:hAnsiTheme="minorHAnsi" w:cstheme="minorBidi"/>
          <w:szCs w:val="22"/>
        </w:rPr>
      </w:pPr>
      <w:r>
        <w:t>319</w:t>
      </w:r>
      <w:r>
        <w:rPr>
          <w:snapToGrid w:val="0"/>
        </w:rPr>
        <w:t>.</w:t>
      </w:r>
      <w:r>
        <w:rPr>
          <w:snapToGrid w:val="0"/>
        </w:rPr>
        <w:tab/>
        <w:t>Terms used</w:t>
      </w:r>
      <w:r>
        <w:tab/>
      </w:r>
      <w:r>
        <w:fldChar w:fldCharType="begin"/>
      </w:r>
      <w:r>
        <w:instrText xml:space="preserve"> PAGEREF _Toc88662327 \h </w:instrText>
      </w:r>
      <w:r>
        <w:fldChar w:fldCharType="separate"/>
      </w:r>
      <w:r>
        <w:t>197</w:t>
      </w:r>
      <w:r>
        <w:fldChar w:fldCharType="end"/>
      </w:r>
    </w:p>
    <w:p>
      <w:pPr>
        <w:pStyle w:val="TOC8"/>
        <w:rPr>
          <w:rFonts w:asciiTheme="minorHAnsi" w:eastAsiaTheme="minorEastAsia" w:hAnsiTheme="minorHAnsi" w:cstheme="minorBidi"/>
          <w:szCs w:val="22"/>
        </w:rPr>
      </w:pPr>
      <w:r>
        <w:t>320</w:t>
      </w:r>
      <w:r>
        <w:rPr>
          <w:snapToGrid w:val="0"/>
        </w:rPr>
        <w:t>.</w:t>
      </w:r>
      <w:r>
        <w:rPr>
          <w:snapToGrid w:val="0"/>
        </w:rPr>
        <w:tab/>
        <w:t>Child under 13, sexual offences against</w:t>
      </w:r>
      <w:r>
        <w:tab/>
      </w:r>
      <w:r>
        <w:fldChar w:fldCharType="begin"/>
      </w:r>
      <w:r>
        <w:instrText xml:space="preserve"> PAGEREF _Toc88662328 \h </w:instrText>
      </w:r>
      <w:r>
        <w:fldChar w:fldCharType="separate"/>
      </w:r>
      <w:r>
        <w:t>199</w:t>
      </w:r>
      <w:r>
        <w:fldChar w:fldCharType="end"/>
      </w:r>
    </w:p>
    <w:p>
      <w:pPr>
        <w:pStyle w:val="TOC8"/>
        <w:rPr>
          <w:rFonts w:asciiTheme="minorHAnsi" w:eastAsiaTheme="minorEastAsia" w:hAnsiTheme="minorHAnsi" w:cstheme="minorBidi"/>
          <w:szCs w:val="22"/>
        </w:rPr>
      </w:pPr>
      <w:r>
        <w:t>321</w:t>
      </w:r>
      <w:r>
        <w:rPr>
          <w:snapToGrid w:val="0"/>
        </w:rPr>
        <w:t>.</w:t>
      </w:r>
      <w:r>
        <w:rPr>
          <w:snapToGrid w:val="0"/>
        </w:rPr>
        <w:tab/>
        <w:t>Child of or over 13 and under 16, sexual offences against</w:t>
      </w:r>
      <w:r>
        <w:tab/>
      </w:r>
      <w:r>
        <w:fldChar w:fldCharType="begin"/>
      </w:r>
      <w:r>
        <w:instrText xml:space="preserve"> PAGEREF _Toc88662329 \h </w:instrText>
      </w:r>
      <w:r>
        <w:fldChar w:fldCharType="separate"/>
      </w:r>
      <w:r>
        <w:t>201</w:t>
      </w:r>
      <w:r>
        <w:fldChar w:fldCharType="end"/>
      </w:r>
    </w:p>
    <w:p>
      <w:pPr>
        <w:pStyle w:val="TOC8"/>
        <w:rPr>
          <w:rFonts w:asciiTheme="minorHAnsi" w:eastAsiaTheme="minorEastAsia" w:hAnsiTheme="minorHAnsi" w:cstheme="minorBidi"/>
          <w:szCs w:val="22"/>
        </w:rPr>
      </w:pPr>
      <w:r>
        <w:t>321A.</w:t>
      </w:r>
      <w:r>
        <w:tab/>
        <w:t>Child under 16, persistent sexual conduct with</w:t>
      </w:r>
      <w:r>
        <w:tab/>
      </w:r>
      <w:r>
        <w:fldChar w:fldCharType="begin"/>
      </w:r>
      <w:r>
        <w:instrText xml:space="preserve"> PAGEREF _Toc88662330 \h </w:instrText>
      </w:r>
      <w:r>
        <w:fldChar w:fldCharType="separate"/>
      </w:r>
      <w:r>
        <w:t>203</w:t>
      </w:r>
      <w:r>
        <w:fldChar w:fldCharType="end"/>
      </w:r>
    </w:p>
    <w:p>
      <w:pPr>
        <w:pStyle w:val="TOC8"/>
        <w:rPr>
          <w:rFonts w:asciiTheme="minorHAnsi" w:eastAsiaTheme="minorEastAsia" w:hAnsiTheme="minorHAnsi" w:cstheme="minorBidi"/>
          <w:szCs w:val="22"/>
        </w:rPr>
      </w:pPr>
      <w:r>
        <w:t>322</w:t>
      </w:r>
      <w:r>
        <w:rPr>
          <w:snapToGrid w:val="0"/>
        </w:rPr>
        <w:t>.</w:t>
      </w:r>
      <w:r>
        <w:rPr>
          <w:snapToGrid w:val="0"/>
        </w:rPr>
        <w:tab/>
        <w:t>Child of or over 16, sexual offences against by person in authority etc.</w:t>
      </w:r>
      <w:r>
        <w:tab/>
      </w:r>
      <w:r>
        <w:fldChar w:fldCharType="begin"/>
      </w:r>
      <w:r>
        <w:instrText xml:space="preserve"> PAGEREF _Toc88662331 \h </w:instrText>
      </w:r>
      <w:r>
        <w:fldChar w:fldCharType="separate"/>
      </w:r>
      <w:r>
        <w:t>205</w:t>
      </w:r>
      <w:r>
        <w:fldChar w:fldCharType="end"/>
      </w:r>
    </w:p>
    <w:p>
      <w:pPr>
        <w:pStyle w:val="TOC8"/>
        <w:rPr>
          <w:rFonts w:asciiTheme="minorHAnsi" w:eastAsiaTheme="minorEastAsia" w:hAnsiTheme="minorHAnsi" w:cstheme="minorBidi"/>
          <w:szCs w:val="22"/>
        </w:rPr>
      </w:pPr>
      <w:r>
        <w:t>323</w:t>
      </w:r>
      <w:r>
        <w:rPr>
          <w:snapToGrid w:val="0"/>
        </w:rPr>
        <w:t>.</w:t>
      </w:r>
      <w:r>
        <w:rPr>
          <w:snapToGrid w:val="0"/>
        </w:rPr>
        <w:tab/>
        <w:t>Indecent assault</w:t>
      </w:r>
      <w:r>
        <w:tab/>
      </w:r>
      <w:r>
        <w:fldChar w:fldCharType="begin"/>
      </w:r>
      <w:r>
        <w:instrText xml:space="preserve"> PAGEREF _Toc88662332 \h </w:instrText>
      </w:r>
      <w:r>
        <w:fldChar w:fldCharType="separate"/>
      </w:r>
      <w:r>
        <w:t>206</w:t>
      </w:r>
      <w:r>
        <w:fldChar w:fldCharType="end"/>
      </w:r>
    </w:p>
    <w:p>
      <w:pPr>
        <w:pStyle w:val="TOC8"/>
        <w:rPr>
          <w:rFonts w:asciiTheme="minorHAnsi" w:eastAsiaTheme="minorEastAsia" w:hAnsiTheme="minorHAnsi" w:cstheme="minorBidi"/>
          <w:szCs w:val="22"/>
        </w:rPr>
      </w:pPr>
      <w:r>
        <w:t>324</w:t>
      </w:r>
      <w:r>
        <w:rPr>
          <w:snapToGrid w:val="0"/>
        </w:rPr>
        <w:t>.</w:t>
      </w:r>
      <w:r>
        <w:rPr>
          <w:snapToGrid w:val="0"/>
        </w:rPr>
        <w:tab/>
        <w:t>Aggravated indecent assault</w:t>
      </w:r>
      <w:r>
        <w:tab/>
      </w:r>
      <w:r>
        <w:fldChar w:fldCharType="begin"/>
      </w:r>
      <w:r>
        <w:instrText xml:space="preserve"> PAGEREF _Toc88662333 \h </w:instrText>
      </w:r>
      <w:r>
        <w:fldChar w:fldCharType="separate"/>
      </w:r>
      <w:r>
        <w:t>206</w:t>
      </w:r>
      <w:r>
        <w:fldChar w:fldCharType="end"/>
      </w:r>
    </w:p>
    <w:p>
      <w:pPr>
        <w:pStyle w:val="TOC8"/>
        <w:rPr>
          <w:rFonts w:asciiTheme="minorHAnsi" w:eastAsiaTheme="minorEastAsia" w:hAnsiTheme="minorHAnsi" w:cstheme="minorBidi"/>
          <w:szCs w:val="22"/>
        </w:rPr>
      </w:pPr>
      <w:r>
        <w:t>325</w:t>
      </w:r>
      <w:r>
        <w:rPr>
          <w:snapToGrid w:val="0"/>
        </w:rPr>
        <w:t>.</w:t>
      </w:r>
      <w:r>
        <w:rPr>
          <w:snapToGrid w:val="0"/>
        </w:rPr>
        <w:tab/>
        <w:t>Sexual penetration without consent</w:t>
      </w:r>
      <w:r>
        <w:tab/>
      </w:r>
      <w:r>
        <w:fldChar w:fldCharType="begin"/>
      </w:r>
      <w:r>
        <w:instrText xml:space="preserve"> PAGEREF _Toc88662334 \h </w:instrText>
      </w:r>
      <w:r>
        <w:fldChar w:fldCharType="separate"/>
      </w:r>
      <w:r>
        <w:t>208</w:t>
      </w:r>
      <w:r>
        <w:fldChar w:fldCharType="end"/>
      </w:r>
    </w:p>
    <w:p>
      <w:pPr>
        <w:pStyle w:val="TOC8"/>
        <w:rPr>
          <w:rFonts w:asciiTheme="minorHAnsi" w:eastAsiaTheme="minorEastAsia" w:hAnsiTheme="minorHAnsi" w:cstheme="minorBidi"/>
          <w:szCs w:val="22"/>
        </w:rPr>
      </w:pPr>
      <w:r>
        <w:t>326</w:t>
      </w:r>
      <w:r>
        <w:rPr>
          <w:snapToGrid w:val="0"/>
        </w:rPr>
        <w:t>.</w:t>
      </w:r>
      <w:r>
        <w:rPr>
          <w:snapToGrid w:val="0"/>
        </w:rPr>
        <w:tab/>
        <w:t>Aggravated sexual penetration without consent</w:t>
      </w:r>
      <w:r>
        <w:tab/>
      </w:r>
      <w:r>
        <w:fldChar w:fldCharType="begin"/>
      </w:r>
      <w:r>
        <w:instrText xml:space="preserve"> PAGEREF _Toc88662335 \h </w:instrText>
      </w:r>
      <w:r>
        <w:fldChar w:fldCharType="separate"/>
      </w:r>
      <w:r>
        <w:t>209</w:t>
      </w:r>
      <w:r>
        <w:fldChar w:fldCharType="end"/>
      </w:r>
    </w:p>
    <w:p>
      <w:pPr>
        <w:pStyle w:val="TOC8"/>
        <w:rPr>
          <w:rFonts w:asciiTheme="minorHAnsi" w:eastAsiaTheme="minorEastAsia" w:hAnsiTheme="minorHAnsi" w:cstheme="minorBidi"/>
          <w:szCs w:val="22"/>
        </w:rPr>
      </w:pPr>
      <w:r>
        <w:t>327</w:t>
      </w:r>
      <w:r>
        <w:rPr>
          <w:snapToGrid w:val="0"/>
        </w:rPr>
        <w:t>.</w:t>
      </w:r>
      <w:r>
        <w:rPr>
          <w:snapToGrid w:val="0"/>
        </w:rPr>
        <w:tab/>
        <w:t>Sexual coercion</w:t>
      </w:r>
      <w:r>
        <w:tab/>
      </w:r>
      <w:r>
        <w:fldChar w:fldCharType="begin"/>
      </w:r>
      <w:r>
        <w:instrText xml:space="preserve"> PAGEREF _Toc88662336 \h </w:instrText>
      </w:r>
      <w:r>
        <w:fldChar w:fldCharType="separate"/>
      </w:r>
      <w:r>
        <w:t>210</w:t>
      </w:r>
      <w:r>
        <w:fldChar w:fldCharType="end"/>
      </w:r>
    </w:p>
    <w:p>
      <w:pPr>
        <w:pStyle w:val="TOC8"/>
        <w:rPr>
          <w:rFonts w:asciiTheme="minorHAnsi" w:eastAsiaTheme="minorEastAsia" w:hAnsiTheme="minorHAnsi" w:cstheme="minorBidi"/>
          <w:szCs w:val="22"/>
        </w:rPr>
      </w:pPr>
      <w:r>
        <w:t>328</w:t>
      </w:r>
      <w:r>
        <w:rPr>
          <w:snapToGrid w:val="0"/>
        </w:rPr>
        <w:t>.</w:t>
      </w:r>
      <w:r>
        <w:rPr>
          <w:snapToGrid w:val="0"/>
        </w:rPr>
        <w:tab/>
        <w:t>Aggravated sexual coercion</w:t>
      </w:r>
      <w:r>
        <w:tab/>
      </w:r>
      <w:r>
        <w:fldChar w:fldCharType="begin"/>
      </w:r>
      <w:r>
        <w:instrText xml:space="preserve"> PAGEREF _Toc88662337 \h </w:instrText>
      </w:r>
      <w:r>
        <w:fldChar w:fldCharType="separate"/>
      </w:r>
      <w:r>
        <w:t>211</w:t>
      </w:r>
      <w:r>
        <w:fldChar w:fldCharType="end"/>
      </w:r>
    </w:p>
    <w:p>
      <w:pPr>
        <w:pStyle w:val="TOC8"/>
        <w:rPr>
          <w:rFonts w:asciiTheme="minorHAnsi" w:eastAsiaTheme="minorEastAsia" w:hAnsiTheme="minorHAnsi" w:cstheme="minorBidi"/>
          <w:szCs w:val="22"/>
        </w:rPr>
      </w:pPr>
      <w:r>
        <w:t>329</w:t>
      </w:r>
      <w:r>
        <w:rPr>
          <w:snapToGrid w:val="0"/>
        </w:rPr>
        <w:t>.</w:t>
      </w:r>
      <w:r>
        <w:rPr>
          <w:snapToGrid w:val="0"/>
        </w:rPr>
        <w:tab/>
        <w:t>Relatives and the like, sexual offences by</w:t>
      </w:r>
      <w:r>
        <w:tab/>
      </w:r>
      <w:r>
        <w:fldChar w:fldCharType="begin"/>
      </w:r>
      <w:r>
        <w:instrText xml:space="preserve"> PAGEREF _Toc88662338 \h </w:instrText>
      </w:r>
      <w:r>
        <w:fldChar w:fldCharType="separate"/>
      </w:r>
      <w:r>
        <w:t>211</w:t>
      </w:r>
      <w:r>
        <w:fldChar w:fldCharType="end"/>
      </w:r>
    </w:p>
    <w:p>
      <w:pPr>
        <w:pStyle w:val="TOC8"/>
        <w:rPr>
          <w:rFonts w:asciiTheme="minorHAnsi" w:eastAsiaTheme="minorEastAsia" w:hAnsiTheme="minorHAnsi" w:cstheme="minorBidi"/>
          <w:szCs w:val="22"/>
        </w:rPr>
      </w:pPr>
      <w:r>
        <w:t>330</w:t>
      </w:r>
      <w:r>
        <w:rPr>
          <w:snapToGrid w:val="0"/>
        </w:rPr>
        <w:t>.</w:t>
      </w:r>
      <w:r>
        <w:rPr>
          <w:snapToGrid w:val="0"/>
        </w:rPr>
        <w:tab/>
        <w:t>Incapable person, sexual offences against</w:t>
      </w:r>
      <w:r>
        <w:tab/>
      </w:r>
      <w:r>
        <w:fldChar w:fldCharType="begin"/>
      </w:r>
      <w:r>
        <w:instrText xml:space="preserve"> PAGEREF _Toc88662339 \h </w:instrText>
      </w:r>
      <w:r>
        <w:fldChar w:fldCharType="separate"/>
      </w:r>
      <w:r>
        <w:t>213</w:t>
      </w:r>
      <w:r>
        <w:fldChar w:fldCharType="end"/>
      </w:r>
    </w:p>
    <w:p>
      <w:pPr>
        <w:pStyle w:val="TOC8"/>
        <w:rPr>
          <w:rFonts w:asciiTheme="minorHAnsi" w:eastAsiaTheme="minorEastAsia" w:hAnsiTheme="minorHAnsi" w:cstheme="minorBidi"/>
          <w:szCs w:val="22"/>
        </w:rPr>
      </w:pPr>
      <w:r>
        <w:t>331</w:t>
      </w:r>
      <w:r>
        <w:rPr>
          <w:snapToGrid w:val="0"/>
        </w:rPr>
        <w:t>.</w:t>
      </w:r>
      <w:r>
        <w:rPr>
          <w:snapToGrid w:val="0"/>
        </w:rPr>
        <w:tab/>
        <w:t>Ignorance of age no defence for s. 320 and 329</w:t>
      </w:r>
      <w:r>
        <w:tab/>
      </w:r>
      <w:r>
        <w:fldChar w:fldCharType="begin"/>
      </w:r>
      <w:r>
        <w:instrText xml:space="preserve"> PAGEREF _Toc88662340 \h </w:instrText>
      </w:r>
      <w:r>
        <w:fldChar w:fldCharType="separate"/>
      </w:r>
      <w:r>
        <w:t>216</w:t>
      </w:r>
      <w:r>
        <w:fldChar w:fldCharType="end"/>
      </w:r>
    </w:p>
    <w:p>
      <w:pPr>
        <w:pStyle w:val="TOC8"/>
        <w:rPr>
          <w:rFonts w:asciiTheme="minorHAnsi" w:eastAsiaTheme="minorEastAsia" w:hAnsiTheme="minorHAnsi" w:cstheme="minorBidi"/>
          <w:szCs w:val="22"/>
        </w:rPr>
      </w:pPr>
      <w:r>
        <w:t>331A.</w:t>
      </w:r>
      <w:r>
        <w:tab/>
        <w:t>Terms used in s. 331B to 331D</w:t>
      </w:r>
      <w:r>
        <w:tab/>
      </w:r>
      <w:r>
        <w:fldChar w:fldCharType="begin"/>
      </w:r>
      <w:r>
        <w:instrText xml:space="preserve"> PAGEREF _Toc88662341 \h </w:instrText>
      </w:r>
      <w:r>
        <w:fldChar w:fldCharType="separate"/>
      </w:r>
      <w:r>
        <w:t>216</w:t>
      </w:r>
      <w:r>
        <w:fldChar w:fldCharType="end"/>
      </w:r>
    </w:p>
    <w:p>
      <w:pPr>
        <w:pStyle w:val="TOC8"/>
        <w:rPr>
          <w:rFonts w:asciiTheme="minorHAnsi" w:eastAsiaTheme="minorEastAsia" w:hAnsiTheme="minorHAnsi" w:cstheme="minorBidi"/>
          <w:szCs w:val="22"/>
        </w:rPr>
      </w:pPr>
      <w:r>
        <w:t>331B.</w:t>
      </w:r>
      <w:r>
        <w:tab/>
        <w:t>Sexual servitude</w:t>
      </w:r>
      <w:r>
        <w:tab/>
      </w:r>
      <w:r>
        <w:fldChar w:fldCharType="begin"/>
      </w:r>
      <w:r>
        <w:instrText xml:space="preserve"> PAGEREF _Toc88662342 \h </w:instrText>
      </w:r>
      <w:r>
        <w:fldChar w:fldCharType="separate"/>
      </w:r>
      <w:r>
        <w:t>216</w:t>
      </w:r>
      <w:r>
        <w:fldChar w:fldCharType="end"/>
      </w:r>
    </w:p>
    <w:p>
      <w:pPr>
        <w:pStyle w:val="TOC8"/>
        <w:rPr>
          <w:rFonts w:asciiTheme="minorHAnsi" w:eastAsiaTheme="minorEastAsia" w:hAnsiTheme="minorHAnsi" w:cstheme="minorBidi"/>
          <w:szCs w:val="22"/>
        </w:rPr>
      </w:pPr>
      <w:r>
        <w:t>331C.</w:t>
      </w:r>
      <w:r>
        <w:tab/>
        <w:t>Conducting business involving sexual servitude</w:t>
      </w:r>
      <w:r>
        <w:tab/>
      </w:r>
      <w:r>
        <w:fldChar w:fldCharType="begin"/>
      </w:r>
      <w:r>
        <w:instrText xml:space="preserve"> PAGEREF _Toc88662343 \h </w:instrText>
      </w:r>
      <w:r>
        <w:fldChar w:fldCharType="separate"/>
      </w:r>
      <w:r>
        <w:t>216</w:t>
      </w:r>
      <w:r>
        <w:fldChar w:fldCharType="end"/>
      </w:r>
    </w:p>
    <w:p>
      <w:pPr>
        <w:pStyle w:val="TOC8"/>
        <w:rPr>
          <w:rFonts w:asciiTheme="minorHAnsi" w:eastAsiaTheme="minorEastAsia" w:hAnsiTheme="minorHAnsi" w:cstheme="minorBidi"/>
          <w:szCs w:val="22"/>
        </w:rPr>
      </w:pPr>
      <w:r>
        <w:t>331D.</w:t>
      </w:r>
      <w:r>
        <w:tab/>
        <w:t>Deceptive recruiting for commercial sexual service</w:t>
      </w:r>
      <w:r>
        <w:tab/>
      </w:r>
      <w:r>
        <w:fldChar w:fldCharType="begin"/>
      </w:r>
      <w:r>
        <w:instrText xml:space="preserve"> PAGEREF _Toc88662344 \h </w:instrText>
      </w:r>
      <w:r>
        <w:fldChar w:fldCharType="separate"/>
      </w:r>
      <w:r>
        <w:t>217</w:t>
      </w:r>
      <w:r>
        <w:fldChar w:fldCharType="end"/>
      </w:r>
    </w:p>
    <w:p>
      <w:pPr>
        <w:pStyle w:val="TOC4"/>
        <w:tabs>
          <w:tab w:val="right" w:leader="dot" w:pos="7077"/>
        </w:tabs>
        <w:rPr>
          <w:rFonts w:asciiTheme="minorHAnsi" w:eastAsiaTheme="minorEastAsia" w:hAnsiTheme="minorHAnsi" w:cstheme="minorBidi"/>
          <w:b w:val="0"/>
          <w:szCs w:val="22"/>
        </w:rPr>
      </w:pPr>
      <w:r>
        <w:t>Chapter XXXIII</w:t>
      </w:r>
      <w:r>
        <w:rPr>
          <w:snapToGrid w:val="0"/>
        </w:rPr>
        <w:t> — </w:t>
      </w:r>
      <w:r>
        <w:t>Offences against liberty</w:t>
      </w:r>
    </w:p>
    <w:p>
      <w:pPr>
        <w:pStyle w:val="TOC8"/>
        <w:rPr>
          <w:rFonts w:asciiTheme="minorHAnsi" w:eastAsiaTheme="minorEastAsia" w:hAnsiTheme="minorHAnsi" w:cstheme="minorBidi"/>
          <w:szCs w:val="22"/>
        </w:rPr>
      </w:pPr>
      <w:r>
        <w:t>332</w:t>
      </w:r>
      <w:r>
        <w:rPr>
          <w:snapToGrid w:val="0"/>
        </w:rPr>
        <w:t>.</w:t>
      </w:r>
      <w:r>
        <w:rPr>
          <w:snapToGrid w:val="0"/>
        </w:rPr>
        <w:tab/>
        <w:t>Kidnapping</w:t>
      </w:r>
      <w:r>
        <w:tab/>
      </w:r>
      <w:r>
        <w:fldChar w:fldCharType="begin"/>
      </w:r>
      <w:r>
        <w:instrText xml:space="preserve"> PAGEREF _Toc88662346 \h </w:instrText>
      </w:r>
      <w:r>
        <w:fldChar w:fldCharType="separate"/>
      </w:r>
      <w:r>
        <w:t>218</w:t>
      </w:r>
      <w:r>
        <w:fldChar w:fldCharType="end"/>
      </w:r>
    </w:p>
    <w:p>
      <w:pPr>
        <w:pStyle w:val="TOC8"/>
        <w:rPr>
          <w:rFonts w:asciiTheme="minorHAnsi" w:eastAsiaTheme="minorEastAsia" w:hAnsiTheme="minorHAnsi" w:cstheme="minorBidi"/>
          <w:szCs w:val="22"/>
        </w:rPr>
      </w:pPr>
      <w:r>
        <w:t>333.</w:t>
      </w:r>
      <w:r>
        <w:tab/>
        <w:t>Deprivation of liberty</w:t>
      </w:r>
      <w:r>
        <w:tab/>
      </w:r>
      <w:r>
        <w:fldChar w:fldCharType="begin"/>
      </w:r>
      <w:r>
        <w:instrText xml:space="preserve"> PAGEREF _Toc88662347 \h </w:instrText>
      </w:r>
      <w:r>
        <w:fldChar w:fldCharType="separate"/>
      </w:r>
      <w:r>
        <w:t>219</w:t>
      </w:r>
      <w:r>
        <w:fldChar w:fldCharType="end"/>
      </w:r>
    </w:p>
    <w:p>
      <w:pPr>
        <w:pStyle w:val="TOC8"/>
        <w:rPr>
          <w:rFonts w:asciiTheme="minorHAnsi" w:eastAsiaTheme="minorEastAsia" w:hAnsiTheme="minorHAnsi" w:cstheme="minorBidi"/>
          <w:szCs w:val="22"/>
        </w:rPr>
      </w:pPr>
      <w:r>
        <w:lastRenderedPageBreak/>
        <w:t>336.</w:t>
      </w:r>
      <w:r>
        <w:tab/>
        <w:t>Procuring apprehension or detention of person not suffering from mental illness or impairment</w:t>
      </w:r>
      <w:r>
        <w:tab/>
      </w:r>
      <w:r>
        <w:fldChar w:fldCharType="begin"/>
      </w:r>
      <w:r>
        <w:instrText xml:space="preserve"> PAGEREF _Toc88662348 \h </w:instrText>
      </w:r>
      <w:r>
        <w:fldChar w:fldCharType="separate"/>
      </w:r>
      <w:r>
        <w:t>219</w:t>
      </w:r>
      <w:r>
        <w:fldChar w:fldCharType="end"/>
      </w:r>
    </w:p>
    <w:p>
      <w:pPr>
        <w:pStyle w:val="TOC8"/>
        <w:rPr>
          <w:rFonts w:asciiTheme="minorHAnsi" w:eastAsiaTheme="minorEastAsia" w:hAnsiTheme="minorHAnsi" w:cstheme="minorBidi"/>
          <w:szCs w:val="22"/>
        </w:rPr>
      </w:pPr>
      <w:r>
        <w:t>337.</w:t>
      </w:r>
      <w:r>
        <w:tab/>
        <w:t>Unlawful detention or custody of person who is mentally ill or impaired</w:t>
      </w:r>
      <w:r>
        <w:tab/>
      </w:r>
      <w:r>
        <w:fldChar w:fldCharType="begin"/>
      </w:r>
      <w:r>
        <w:instrText xml:space="preserve"> PAGEREF _Toc88662349 \h </w:instrText>
      </w:r>
      <w:r>
        <w:fldChar w:fldCharType="separate"/>
      </w:r>
      <w:r>
        <w:t>220</w:t>
      </w:r>
      <w:r>
        <w:fldChar w:fldCharType="end"/>
      </w:r>
    </w:p>
    <w:p>
      <w:pPr>
        <w:pStyle w:val="TOC4"/>
        <w:tabs>
          <w:tab w:val="right" w:leader="dot" w:pos="7077"/>
        </w:tabs>
        <w:rPr>
          <w:rFonts w:asciiTheme="minorHAnsi" w:eastAsiaTheme="minorEastAsia" w:hAnsiTheme="minorHAnsi" w:cstheme="minorBidi"/>
          <w:b w:val="0"/>
          <w:szCs w:val="22"/>
        </w:rPr>
      </w:pPr>
      <w:r>
        <w:t>Chapter XXXIIIA</w:t>
      </w:r>
      <w:r>
        <w:rPr>
          <w:snapToGrid w:val="0"/>
        </w:rPr>
        <w:t> — </w:t>
      </w:r>
      <w:r>
        <w:t>Threats</w:t>
      </w:r>
    </w:p>
    <w:p>
      <w:pPr>
        <w:pStyle w:val="TOC8"/>
        <w:rPr>
          <w:rFonts w:asciiTheme="minorHAnsi" w:eastAsiaTheme="minorEastAsia" w:hAnsiTheme="minorHAnsi" w:cstheme="minorBidi"/>
          <w:szCs w:val="22"/>
        </w:rPr>
      </w:pPr>
      <w:r>
        <w:t>338</w:t>
      </w:r>
      <w:r>
        <w:rPr>
          <w:snapToGrid w:val="0"/>
        </w:rPr>
        <w:t>.</w:t>
      </w:r>
      <w:r>
        <w:rPr>
          <w:snapToGrid w:val="0"/>
        </w:rPr>
        <w:tab/>
        <w:t xml:space="preserve">Term used: </w:t>
      </w:r>
      <w:r>
        <w:rPr>
          <w:bCs/>
          <w:iCs/>
        </w:rPr>
        <w:t>threat</w:t>
      </w:r>
      <w:r>
        <w:tab/>
      </w:r>
      <w:r>
        <w:fldChar w:fldCharType="begin"/>
      </w:r>
      <w:r>
        <w:instrText xml:space="preserve"> PAGEREF _Toc88662351 \h </w:instrText>
      </w:r>
      <w:r>
        <w:fldChar w:fldCharType="separate"/>
      </w:r>
      <w:r>
        <w:t>220</w:t>
      </w:r>
      <w:r>
        <w:fldChar w:fldCharType="end"/>
      </w:r>
    </w:p>
    <w:p>
      <w:pPr>
        <w:pStyle w:val="TOC8"/>
        <w:rPr>
          <w:rFonts w:asciiTheme="minorHAnsi" w:eastAsiaTheme="minorEastAsia" w:hAnsiTheme="minorHAnsi" w:cstheme="minorBidi"/>
          <w:szCs w:val="22"/>
        </w:rPr>
      </w:pPr>
      <w:r>
        <w:t>338A</w:t>
      </w:r>
      <w:r>
        <w:rPr>
          <w:snapToGrid w:val="0"/>
        </w:rPr>
        <w:t>.</w:t>
      </w:r>
      <w:r>
        <w:rPr>
          <w:snapToGrid w:val="0"/>
        </w:rPr>
        <w:tab/>
        <w:t>Threat with intent to gain etc.</w:t>
      </w:r>
      <w:r>
        <w:tab/>
      </w:r>
      <w:r>
        <w:fldChar w:fldCharType="begin"/>
      </w:r>
      <w:r>
        <w:instrText xml:space="preserve"> PAGEREF _Toc88662352 \h </w:instrText>
      </w:r>
      <w:r>
        <w:fldChar w:fldCharType="separate"/>
      </w:r>
      <w:r>
        <w:t>221</w:t>
      </w:r>
      <w:r>
        <w:fldChar w:fldCharType="end"/>
      </w:r>
    </w:p>
    <w:p>
      <w:pPr>
        <w:pStyle w:val="TOC8"/>
        <w:rPr>
          <w:rFonts w:asciiTheme="minorHAnsi" w:eastAsiaTheme="minorEastAsia" w:hAnsiTheme="minorHAnsi" w:cstheme="minorBidi"/>
          <w:szCs w:val="22"/>
        </w:rPr>
      </w:pPr>
      <w:r>
        <w:t>338B</w:t>
      </w:r>
      <w:r>
        <w:rPr>
          <w:snapToGrid w:val="0"/>
        </w:rPr>
        <w:t>.</w:t>
      </w:r>
      <w:r>
        <w:rPr>
          <w:snapToGrid w:val="0"/>
        </w:rPr>
        <w:tab/>
        <w:t>Threats</w:t>
      </w:r>
      <w:r>
        <w:tab/>
      </w:r>
      <w:r>
        <w:fldChar w:fldCharType="begin"/>
      </w:r>
      <w:r>
        <w:instrText xml:space="preserve"> PAGEREF _Toc88662353 \h </w:instrText>
      </w:r>
      <w:r>
        <w:fldChar w:fldCharType="separate"/>
      </w:r>
      <w:r>
        <w:t>222</w:t>
      </w:r>
      <w:r>
        <w:fldChar w:fldCharType="end"/>
      </w:r>
    </w:p>
    <w:p>
      <w:pPr>
        <w:pStyle w:val="TOC8"/>
        <w:rPr>
          <w:rFonts w:asciiTheme="minorHAnsi" w:eastAsiaTheme="minorEastAsia" w:hAnsiTheme="minorHAnsi" w:cstheme="minorBidi"/>
          <w:szCs w:val="22"/>
        </w:rPr>
      </w:pPr>
      <w:r>
        <w:t>338C.</w:t>
      </w:r>
      <w:r>
        <w:tab/>
      </w:r>
      <w:r>
        <w:rPr>
          <w:snapToGrid w:val="0"/>
        </w:rPr>
        <w:t>Statement or act creating false apprehension as to existence of threat or danger</w:t>
      </w:r>
      <w:r>
        <w:tab/>
      </w:r>
      <w:r>
        <w:fldChar w:fldCharType="begin"/>
      </w:r>
      <w:r>
        <w:instrText xml:space="preserve"> PAGEREF _Toc88662354 \h </w:instrText>
      </w:r>
      <w:r>
        <w:fldChar w:fldCharType="separate"/>
      </w:r>
      <w:r>
        <w:t>223</w:t>
      </w:r>
      <w:r>
        <w:fldChar w:fldCharType="end"/>
      </w:r>
    </w:p>
    <w:p>
      <w:pPr>
        <w:pStyle w:val="TOC4"/>
        <w:tabs>
          <w:tab w:val="right" w:leader="dot" w:pos="7077"/>
        </w:tabs>
        <w:rPr>
          <w:rFonts w:asciiTheme="minorHAnsi" w:eastAsiaTheme="minorEastAsia" w:hAnsiTheme="minorHAnsi" w:cstheme="minorBidi"/>
          <w:b w:val="0"/>
          <w:szCs w:val="22"/>
        </w:rPr>
      </w:pPr>
      <w:r>
        <w:t>Chapter XXXIIIB — Stalking</w:t>
      </w:r>
    </w:p>
    <w:p>
      <w:pPr>
        <w:pStyle w:val="TOC8"/>
        <w:rPr>
          <w:rFonts w:asciiTheme="minorHAnsi" w:eastAsiaTheme="minorEastAsia" w:hAnsiTheme="minorHAnsi" w:cstheme="minorBidi"/>
          <w:szCs w:val="22"/>
        </w:rPr>
      </w:pPr>
      <w:r>
        <w:t>338D.</w:t>
      </w:r>
      <w:r>
        <w:tab/>
        <w:t>Terms used</w:t>
      </w:r>
      <w:r>
        <w:tab/>
      </w:r>
      <w:r>
        <w:fldChar w:fldCharType="begin"/>
      </w:r>
      <w:r>
        <w:instrText xml:space="preserve"> PAGEREF _Toc88662356 \h </w:instrText>
      </w:r>
      <w:r>
        <w:fldChar w:fldCharType="separate"/>
      </w:r>
      <w:r>
        <w:t>225</w:t>
      </w:r>
      <w:r>
        <w:fldChar w:fldCharType="end"/>
      </w:r>
    </w:p>
    <w:p>
      <w:pPr>
        <w:pStyle w:val="TOC8"/>
        <w:rPr>
          <w:rFonts w:asciiTheme="minorHAnsi" w:eastAsiaTheme="minorEastAsia" w:hAnsiTheme="minorHAnsi" w:cstheme="minorBidi"/>
          <w:szCs w:val="22"/>
        </w:rPr>
      </w:pPr>
      <w:r>
        <w:t>338E.</w:t>
      </w:r>
      <w:r>
        <w:tab/>
        <w:t>Stalking</w:t>
      </w:r>
      <w:r>
        <w:tab/>
      </w:r>
      <w:r>
        <w:fldChar w:fldCharType="begin"/>
      </w:r>
      <w:r>
        <w:instrText xml:space="preserve"> PAGEREF _Toc88662357 \h </w:instrText>
      </w:r>
      <w:r>
        <w:fldChar w:fldCharType="separate"/>
      </w:r>
      <w:r>
        <w:t>227</w:t>
      </w:r>
      <w:r>
        <w:fldChar w:fldCharType="end"/>
      </w:r>
    </w:p>
    <w:p>
      <w:pPr>
        <w:pStyle w:val="TOC4"/>
        <w:tabs>
          <w:tab w:val="right" w:leader="dot" w:pos="7077"/>
        </w:tabs>
        <w:rPr>
          <w:rFonts w:asciiTheme="minorHAnsi" w:eastAsiaTheme="minorEastAsia" w:hAnsiTheme="minorHAnsi" w:cstheme="minorBidi"/>
          <w:b w:val="0"/>
          <w:szCs w:val="22"/>
        </w:rPr>
      </w:pPr>
      <w:r>
        <w:t>Chapter XXXIV — Offences relating to parental rights and duties</w:t>
      </w:r>
    </w:p>
    <w:p>
      <w:pPr>
        <w:pStyle w:val="TOC8"/>
        <w:rPr>
          <w:rFonts w:asciiTheme="minorHAnsi" w:eastAsiaTheme="minorEastAsia" w:hAnsiTheme="minorHAnsi" w:cstheme="minorBidi"/>
          <w:szCs w:val="22"/>
        </w:rPr>
      </w:pPr>
      <w:r>
        <w:t>343</w:t>
      </w:r>
      <w:r>
        <w:rPr>
          <w:snapToGrid w:val="0"/>
        </w:rPr>
        <w:t>.</w:t>
      </w:r>
      <w:r>
        <w:rPr>
          <w:snapToGrid w:val="0"/>
        </w:rPr>
        <w:tab/>
        <w:t>Child stealing</w:t>
      </w:r>
      <w:r>
        <w:tab/>
      </w:r>
      <w:r>
        <w:fldChar w:fldCharType="begin"/>
      </w:r>
      <w:r>
        <w:instrText xml:space="preserve"> PAGEREF _Toc88662359 \h </w:instrText>
      </w:r>
      <w:r>
        <w:fldChar w:fldCharType="separate"/>
      </w:r>
      <w:r>
        <w:t>228</w:t>
      </w:r>
      <w:r>
        <w:fldChar w:fldCharType="end"/>
      </w:r>
    </w:p>
    <w:p>
      <w:pPr>
        <w:pStyle w:val="TOC8"/>
        <w:rPr>
          <w:rFonts w:asciiTheme="minorHAnsi" w:eastAsiaTheme="minorEastAsia" w:hAnsiTheme="minorHAnsi" w:cstheme="minorBidi"/>
          <w:szCs w:val="22"/>
        </w:rPr>
      </w:pPr>
      <w:r>
        <w:t>343A</w:t>
      </w:r>
      <w:r>
        <w:rPr>
          <w:snapToGrid w:val="0"/>
        </w:rPr>
        <w:t>.</w:t>
      </w:r>
      <w:r>
        <w:rPr>
          <w:snapToGrid w:val="0"/>
        </w:rPr>
        <w:tab/>
        <w:t>Publication of report of child</w:t>
      </w:r>
      <w:r>
        <w:rPr>
          <w:snapToGrid w:val="0"/>
        </w:rPr>
        <w:noBreakHyphen/>
        <w:t>stealing unlawful unless approved</w:t>
      </w:r>
      <w:r>
        <w:tab/>
      </w:r>
      <w:r>
        <w:fldChar w:fldCharType="begin"/>
      </w:r>
      <w:r>
        <w:instrText xml:space="preserve"> PAGEREF _Toc88662360 \h </w:instrText>
      </w:r>
      <w:r>
        <w:fldChar w:fldCharType="separate"/>
      </w:r>
      <w:r>
        <w:t>228</w:t>
      </w:r>
      <w:r>
        <w:fldChar w:fldCharType="end"/>
      </w:r>
    </w:p>
    <w:p>
      <w:pPr>
        <w:pStyle w:val="TOC8"/>
        <w:rPr>
          <w:rFonts w:asciiTheme="minorHAnsi" w:eastAsiaTheme="minorEastAsia" w:hAnsiTheme="minorHAnsi" w:cstheme="minorBidi"/>
          <w:szCs w:val="22"/>
        </w:rPr>
      </w:pPr>
      <w:r>
        <w:t>344</w:t>
      </w:r>
      <w:r>
        <w:rPr>
          <w:snapToGrid w:val="0"/>
        </w:rPr>
        <w:t>.</w:t>
      </w:r>
      <w:r>
        <w:rPr>
          <w:snapToGrid w:val="0"/>
        </w:rPr>
        <w:tab/>
        <w:t>Deserting child under 16</w:t>
      </w:r>
      <w:r>
        <w:tab/>
      </w:r>
      <w:r>
        <w:fldChar w:fldCharType="begin"/>
      </w:r>
      <w:r>
        <w:instrText xml:space="preserve"> PAGEREF _Toc88662361 \h </w:instrText>
      </w:r>
      <w:r>
        <w:fldChar w:fldCharType="separate"/>
      </w:r>
      <w:r>
        <w:t>229</w:t>
      </w:r>
      <w:r>
        <w:fldChar w:fldCharType="end"/>
      </w:r>
    </w:p>
    <w:p>
      <w:pPr>
        <w:pStyle w:val="TOC4"/>
        <w:tabs>
          <w:tab w:val="right" w:leader="dot" w:pos="7077"/>
        </w:tabs>
        <w:rPr>
          <w:rFonts w:asciiTheme="minorHAnsi" w:eastAsiaTheme="minorEastAsia" w:hAnsiTheme="minorHAnsi" w:cstheme="minorBidi"/>
          <w:b w:val="0"/>
          <w:szCs w:val="22"/>
        </w:rPr>
      </w:pPr>
      <w:r>
        <w:t>Chapter XXXV</w:t>
      </w:r>
      <w:r>
        <w:rPr>
          <w:b w:val="0"/>
        </w:rPr>
        <w:t> </w:t>
      </w:r>
      <w:r>
        <w:t>—</w:t>
      </w:r>
      <w:r>
        <w:rPr>
          <w:b w:val="0"/>
        </w:rPr>
        <w:t> </w:t>
      </w:r>
      <w:r>
        <w:t>Criminal defamation</w:t>
      </w:r>
    </w:p>
    <w:p>
      <w:pPr>
        <w:pStyle w:val="TOC8"/>
        <w:rPr>
          <w:rFonts w:asciiTheme="minorHAnsi" w:eastAsiaTheme="minorEastAsia" w:hAnsiTheme="minorHAnsi" w:cstheme="minorBidi"/>
          <w:szCs w:val="22"/>
        </w:rPr>
      </w:pPr>
      <w:r>
        <w:t>345.</w:t>
      </w:r>
      <w:r>
        <w:tab/>
        <w:t>Criminal defamation</w:t>
      </w:r>
      <w:r>
        <w:tab/>
      </w:r>
      <w:r>
        <w:fldChar w:fldCharType="begin"/>
      </w:r>
      <w:r>
        <w:instrText xml:space="preserve"> PAGEREF _Toc88662363 \h </w:instrText>
      </w:r>
      <w:r>
        <w:fldChar w:fldCharType="separate"/>
      </w:r>
      <w:r>
        <w:t>230</w:t>
      </w:r>
      <w:r>
        <w:fldChar w:fldCharType="end"/>
      </w:r>
    </w:p>
    <w:p>
      <w:pPr>
        <w:pStyle w:val="TOC2"/>
        <w:tabs>
          <w:tab w:val="right" w:leader="dot" w:pos="7077"/>
        </w:tabs>
        <w:rPr>
          <w:rFonts w:asciiTheme="minorHAnsi" w:eastAsiaTheme="minorEastAsia" w:hAnsiTheme="minorHAnsi" w:cstheme="minorBidi"/>
          <w:b w:val="0"/>
          <w:sz w:val="22"/>
          <w:szCs w:val="22"/>
        </w:rPr>
      </w:pPr>
      <w:r>
        <w:t>Part VI — Offences relating to property and contracts</w:t>
      </w:r>
    </w:p>
    <w:p>
      <w:pPr>
        <w:pStyle w:val="TOC4"/>
        <w:tabs>
          <w:tab w:val="right" w:leader="dot" w:pos="7077"/>
        </w:tabs>
        <w:rPr>
          <w:rFonts w:asciiTheme="minorHAnsi" w:eastAsiaTheme="minorEastAsia" w:hAnsiTheme="minorHAnsi" w:cstheme="minorBidi"/>
          <w:b w:val="0"/>
          <w:szCs w:val="22"/>
        </w:rPr>
      </w:pPr>
      <w:r>
        <w:rPr>
          <w:snapToGrid w:val="0"/>
        </w:rPr>
        <w:t>Division I — Stealing and like offences</w:t>
      </w:r>
    </w:p>
    <w:p>
      <w:pPr>
        <w:pStyle w:val="TOC4"/>
        <w:tabs>
          <w:tab w:val="right" w:leader="dot" w:pos="7077"/>
        </w:tabs>
        <w:rPr>
          <w:rFonts w:asciiTheme="minorHAnsi" w:eastAsiaTheme="minorEastAsia" w:hAnsiTheme="minorHAnsi" w:cstheme="minorBidi"/>
          <w:b w:val="0"/>
          <w:szCs w:val="22"/>
        </w:rPr>
      </w:pPr>
      <w:r>
        <w:t>Chapter XXXVI</w:t>
      </w:r>
      <w:r>
        <w:rPr>
          <w:snapToGrid w:val="0"/>
        </w:rPr>
        <w:t> — </w:t>
      </w:r>
      <w:r>
        <w:t>Stealing</w:t>
      </w:r>
    </w:p>
    <w:p>
      <w:pPr>
        <w:pStyle w:val="TOC8"/>
        <w:rPr>
          <w:rFonts w:asciiTheme="minorHAnsi" w:eastAsiaTheme="minorEastAsia" w:hAnsiTheme="minorHAnsi" w:cstheme="minorBidi"/>
          <w:szCs w:val="22"/>
        </w:rPr>
      </w:pPr>
      <w:r>
        <w:t>370</w:t>
      </w:r>
      <w:r>
        <w:rPr>
          <w:snapToGrid w:val="0"/>
        </w:rPr>
        <w:t>.</w:t>
      </w:r>
      <w:r>
        <w:rPr>
          <w:snapToGrid w:val="0"/>
        </w:rPr>
        <w:tab/>
        <w:t>Things capable of being stolen</w:t>
      </w:r>
      <w:r>
        <w:tab/>
      </w:r>
      <w:r>
        <w:fldChar w:fldCharType="begin"/>
      </w:r>
      <w:r>
        <w:instrText xml:space="preserve"> PAGEREF _Toc88662367 \h </w:instrText>
      </w:r>
      <w:r>
        <w:fldChar w:fldCharType="separate"/>
      </w:r>
      <w:r>
        <w:t>232</w:t>
      </w:r>
      <w:r>
        <w:fldChar w:fldCharType="end"/>
      </w:r>
    </w:p>
    <w:p>
      <w:pPr>
        <w:pStyle w:val="TOC8"/>
        <w:rPr>
          <w:rFonts w:asciiTheme="minorHAnsi" w:eastAsiaTheme="minorEastAsia" w:hAnsiTheme="minorHAnsi" w:cstheme="minorBidi"/>
          <w:szCs w:val="22"/>
        </w:rPr>
      </w:pPr>
      <w:r>
        <w:t>371</w:t>
      </w:r>
      <w:r>
        <w:rPr>
          <w:snapToGrid w:val="0"/>
        </w:rPr>
        <w:t>.</w:t>
      </w:r>
      <w:r>
        <w:rPr>
          <w:snapToGrid w:val="0"/>
        </w:rPr>
        <w:tab/>
        <w:t xml:space="preserve">Term used: </w:t>
      </w:r>
      <w:r>
        <w:rPr>
          <w:bCs/>
          <w:iCs/>
        </w:rPr>
        <w:t>steal</w:t>
      </w:r>
      <w:r>
        <w:tab/>
      </w:r>
      <w:r>
        <w:fldChar w:fldCharType="begin"/>
      </w:r>
      <w:r>
        <w:instrText xml:space="preserve"> PAGEREF _Toc88662368 \h </w:instrText>
      </w:r>
      <w:r>
        <w:fldChar w:fldCharType="separate"/>
      </w:r>
      <w:r>
        <w:t>233</w:t>
      </w:r>
      <w:r>
        <w:fldChar w:fldCharType="end"/>
      </w:r>
    </w:p>
    <w:p>
      <w:pPr>
        <w:pStyle w:val="TOC8"/>
        <w:rPr>
          <w:rFonts w:asciiTheme="minorHAnsi" w:eastAsiaTheme="minorEastAsia" w:hAnsiTheme="minorHAnsi" w:cstheme="minorBidi"/>
          <w:szCs w:val="22"/>
        </w:rPr>
      </w:pPr>
      <w:r>
        <w:t>371A</w:t>
      </w:r>
      <w:r>
        <w:rPr>
          <w:snapToGrid w:val="0"/>
        </w:rPr>
        <w:t>.</w:t>
      </w:r>
      <w:r>
        <w:rPr>
          <w:snapToGrid w:val="0"/>
        </w:rPr>
        <w:tab/>
        <w:t>Using etc. motor vehicle without consent is stealing</w:t>
      </w:r>
      <w:r>
        <w:tab/>
      </w:r>
      <w:r>
        <w:fldChar w:fldCharType="begin"/>
      </w:r>
      <w:r>
        <w:instrText xml:space="preserve"> PAGEREF _Toc88662369 \h </w:instrText>
      </w:r>
      <w:r>
        <w:fldChar w:fldCharType="separate"/>
      </w:r>
      <w:r>
        <w:t>235</w:t>
      </w:r>
      <w:r>
        <w:fldChar w:fldCharType="end"/>
      </w:r>
    </w:p>
    <w:p>
      <w:pPr>
        <w:pStyle w:val="TOC8"/>
        <w:rPr>
          <w:rFonts w:asciiTheme="minorHAnsi" w:eastAsiaTheme="minorEastAsia" w:hAnsiTheme="minorHAnsi" w:cstheme="minorBidi"/>
          <w:szCs w:val="22"/>
        </w:rPr>
      </w:pPr>
      <w:r>
        <w:t>372</w:t>
      </w:r>
      <w:r>
        <w:rPr>
          <w:snapToGrid w:val="0"/>
        </w:rPr>
        <w:t>.</w:t>
      </w:r>
      <w:r>
        <w:rPr>
          <w:snapToGrid w:val="0"/>
        </w:rPr>
        <w:tab/>
        <w:t>Cases which are not stealing</w:t>
      </w:r>
      <w:r>
        <w:tab/>
      </w:r>
      <w:r>
        <w:fldChar w:fldCharType="begin"/>
      </w:r>
      <w:r>
        <w:instrText xml:space="preserve"> PAGEREF _Toc88662370 \h </w:instrText>
      </w:r>
      <w:r>
        <w:fldChar w:fldCharType="separate"/>
      </w:r>
      <w:r>
        <w:t>235</w:t>
      </w:r>
      <w:r>
        <w:fldChar w:fldCharType="end"/>
      </w:r>
    </w:p>
    <w:p>
      <w:pPr>
        <w:pStyle w:val="TOC8"/>
        <w:rPr>
          <w:rFonts w:asciiTheme="minorHAnsi" w:eastAsiaTheme="minorEastAsia" w:hAnsiTheme="minorHAnsi" w:cstheme="minorBidi"/>
          <w:szCs w:val="22"/>
        </w:rPr>
      </w:pPr>
      <w:r>
        <w:t>373</w:t>
      </w:r>
      <w:r>
        <w:rPr>
          <w:snapToGrid w:val="0"/>
        </w:rPr>
        <w:t>.</w:t>
      </w:r>
      <w:r>
        <w:rPr>
          <w:snapToGrid w:val="0"/>
        </w:rPr>
        <w:tab/>
        <w:t>Funds etc. held under direction, who owns etc.</w:t>
      </w:r>
      <w:r>
        <w:tab/>
      </w:r>
      <w:r>
        <w:fldChar w:fldCharType="begin"/>
      </w:r>
      <w:r>
        <w:instrText xml:space="preserve"> PAGEREF _Toc88662371 \h </w:instrText>
      </w:r>
      <w:r>
        <w:fldChar w:fldCharType="separate"/>
      </w:r>
      <w:r>
        <w:t>235</w:t>
      </w:r>
      <w:r>
        <w:fldChar w:fldCharType="end"/>
      </w:r>
    </w:p>
    <w:p>
      <w:pPr>
        <w:pStyle w:val="TOC8"/>
        <w:rPr>
          <w:rFonts w:asciiTheme="minorHAnsi" w:eastAsiaTheme="minorEastAsia" w:hAnsiTheme="minorHAnsi" w:cstheme="minorBidi"/>
          <w:szCs w:val="22"/>
        </w:rPr>
      </w:pPr>
      <w:r>
        <w:t>374</w:t>
      </w:r>
      <w:r>
        <w:rPr>
          <w:snapToGrid w:val="0"/>
        </w:rPr>
        <w:t>.</w:t>
      </w:r>
      <w:r>
        <w:rPr>
          <w:snapToGrid w:val="0"/>
        </w:rPr>
        <w:tab/>
        <w:t>Proceeds of sale etc. of property by agent, who owns</w:t>
      </w:r>
      <w:r>
        <w:tab/>
      </w:r>
      <w:r>
        <w:fldChar w:fldCharType="begin"/>
      </w:r>
      <w:r>
        <w:instrText xml:space="preserve"> PAGEREF _Toc88662372 \h </w:instrText>
      </w:r>
      <w:r>
        <w:fldChar w:fldCharType="separate"/>
      </w:r>
      <w:r>
        <w:t>236</w:t>
      </w:r>
      <w:r>
        <w:fldChar w:fldCharType="end"/>
      </w:r>
    </w:p>
    <w:p>
      <w:pPr>
        <w:pStyle w:val="TOC8"/>
        <w:rPr>
          <w:rFonts w:asciiTheme="minorHAnsi" w:eastAsiaTheme="minorEastAsia" w:hAnsiTheme="minorHAnsi" w:cstheme="minorBidi"/>
          <w:szCs w:val="22"/>
        </w:rPr>
      </w:pPr>
      <w:r>
        <w:t>375</w:t>
      </w:r>
      <w:r>
        <w:rPr>
          <w:snapToGrid w:val="0"/>
        </w:rPr>
        <w:t>.</w:t>
      </w:r>
      <w:r>
        <w:rPr>
          <w:snapToGrid w:val="0"/>
        </w:rPr>
        <w:tab/>
        <w:t>Money received for another, who owns</w:t>
      </w:r>
      <w:r>
        <w:tab/>
      </w:r>
      <w:r>
        <w:fldChar w:fldCharType="begin"/>
      </w:r>
      <w:r>
        <w:instrText xml:space="preserve"> PAGEREF _Toc88662373 \h </w:instrText>
      </w:r>
      <w:r>
        <w:fldChar w:fldCharType="separate"/>
      </w:r>
      <w:r>
        <w:t>237</w:t>
      </w:r>
      <w:r>
        <w:fldChar w:fldCharType="end"/>
      </w:r>
    </w:p>
    <w:p>
      <w:pPr>
        <w:pStyle w:val="TOC8"/>
        <w:rPr>
          <w:rFonts w:asciiTheme="minorHAnsi" w:eastAsiaTheme="minorEastAsia" w:hAnsiTheme="minorHAnsi" w:cstheme="minorBidi"/>
          <w:szCs w:val="22"/>
        </w:rPr>
      </w:pPr>
      <w:r>
        <w:t>376</w:t>
      </w:r>
      <w:r>
        <w:rPr>
          <w:snapToGrid w:val="0"/>
        </w:rPr>
        <w:t>.</w:t>
      </w:r>
      <w:r>
        <w:rPr>
          <w:snapToGrid w:val="0"/>
        </w:rPr>
        <w:tab/>
        <w:t>Stealing by person having an interest in the thing stolen</w:t>
      </w:r>
      <w:r>
        <w:tab/>
      </w:r>
      <w:r>
        <w:fldChar w:fldCharType="begin"/>
      </w:r>
      <w:r>
        <w:instrText xml:space="preserve"> PAGEREF _Toc88662374 \h </w:instrText>
      </w:r>
      <w:r>
        <w:fldChar w:fldCharType="separate"/>
      </w:r>
      <w:r>
        <w:t>237</w:t>
      </w:r>
      <w:r>
        <w:fldChar w:fldCharType="end"/>
      </w:r>
    </w:p>
    <w:p>
      <w:pPr>
        <w:pStyle w:val="TOC8"/>
        <w:rPr>
          <w:rFonts w:asciiTheme="minorHAnsi" w:eastAsiaTheme="minorEastAsia" w:hAnsiTheme="minorHAnsi" w:cstheme="minorBidi"/>
          <w:szCs w:val="22"/>
        </w:rPr>
      </w:pPr>
      <w:r>
        <w:t>378</w:t>
      </w:r>
      <w:r>
        <w:rPr>
          <w:snapToGrid w:val="0"/>
        </w:rPr>
        <w:t>.</w:t>
      </w:r>
      <w:r>
        <w:rPr>
          <w:snapToGrid w:val="0"/>
        </w:rPr>
        <w:tab/>
        <w:t>Penalty for stealing</w:t>
      </w:r>
      <w:r>
        <w:tab/>
      </w:r>
      <w:r>
        <w:fldChar w:fldCharType="begin"/>
      </w:r>
      <w:r>
        <w:instrText xml:space="preserve"> PAGEREF _Toc88662375 \h </w:instrText>
      </w:r>
      <w:r>
        <w:fldChar w:fldCharType="separate"/>
      </w:r>
      <w:r>
        <w:t>237</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XXXVII</w:t>
      </w:r>
      <w:r>
        <w:rPr>
          <w:snapToGrid w:val="0"/>
        </w:rPr>
        <w:t> — </w:t>
      </w:r>
      <w:r>
        <w:t>Offences analogous to stealing</w:t>
      </w:r>
    </w:p>
    <w:p>
      <w:pPr>
        <w:pStyle w:val="TOC8"/>
        <w:rPr>
          <w:rFonts w:asciiTheme="minorHAnsi" w:eastAsiaTheme="minorEastAsia" w:hAnsiTheme="minorHAnsi" w:cstheme="minorBidi"/>
          <w:szCs w:val="22"/>
        </w:rPr>
      </w:pPr>
      <w:r>
        <w:t>379</w:t>
      </w:r>
      <w:r>
        <w:rPr>
          <w:snapToGrid w:val="0"/>
        </w:rPr>
        <w:t>.</w:t>
      </w:r>
      <w:r>
        <w:rPr>
          <w:snapToGrid w:val="0"/>
        </w:rPr>
        <w:tab/>
        <w:t>Concealing official register</w:t>
      </w:r>
      <w:r>
        <w:tab/>
      </w:r>
      <w:r>
        <w:fldChar w:fldCharType="begin"/>
      </w:r>
      <w:r>
        <w:instrText xml:space="preserve"> PAGEREF _Toc88662377 \h </w:instrText>
      </w:r>
      <w:r>
        <w:fldChar w:fldCharType="separate"/>
      </w:r>
      <w:r>
        <w:t>240</w:t>
      </w:r>
      <w:r>
        <w:fldChar w:fldCharType="end"/>
      </w:r>
    </w:p>
    <w:p>
      <w:pPr>
        <w:pStyle w:val="TOC8"/>
        <w:rPr>
          <w:rFonts w:asciiTheme="minorHAnsi" w:eastAsiaTheme="minorEastAsia" w:hAnsiTheme="minorHAnsi" w:cstheme="minorBidi"/>
          <w:szCs w:val="22"/>
        </w:rPr>
      </w:pPr>
      <w:r>
        <w:t>380</w:t>
      </w:r>
      <w:r>
        <w:rPr>
          <w:snapToGrid w:val="0"/>
        </w:rPr>
        <w:t>.</w:t>
      </w:r>
      <w:r>
        <w:rPr>
          <w:snapToGrid w:val="0"/>
        </w:rPr>
        <w:tab/>
        <w:t>Concealing will</w:t>
      </w:r>
      <w:r>
        <w:tab/>
      </w:r>
      <w:r>
        <w:fldChar w:fldCharType="begin"/>
      </w:r>
      <w:r>
        <w:instrText xml:space="preserve"> PAGEREF _Toc88662378 \h </w:instrText>
      </w:r>
      <w:r>
        <w:fldChar w:fldCharType="separate"/>
      </w:r>
      <w:r>
        <w:t>240</w:t>
      </w:r>
      <w:r>
        <w:fldChar w:fldCharType="end"/>
      </w:r>
    </w:p>
    <w:p>
      <w:pPr>
        <w:pStyle w:val="TOC8"/>
        <w:rPr>
          <w:rFonts w:asciiTheme="minorHAnsi" w:eastAsiaTheme="minorEastAsia" w:hAnsiTheme="minorHAnsi" w:cstheme="minorBidi"/>
          <w:szCs w:val="22"/>
        </w:rPr>
      </w:pPr>
      <w:r>
        <w:t>381</w:t>
      </w:r>
      <w:r>
        <w:rPr>
          <w:snapToGrid w:val="0"/>
        </w:rPr>
        <w:t>.</w:t>
      </w:r>
      <w:r>
        <w:rPr>
          <w:snapToGrid w:val="0"/>
        </w:rPr>
        <w:tab/>
        <w:t>Concealing certificate of title etc.</w:t>
      </w:r>
      <w:r>
        <w:tab/>
      </w:r>
      <w:r>
        <w:fldChar w:fldCharType="begin"/>
      </w:r>
      <w:r>
        <w:instrText xml:space="preserve"> PAGEREF _Toc88662379 \h </w:instrText>
      </w:r>
      <w:r>
        <w:fldChar w:fldCharType="separate"/>
      </w:r>
      <w:r>
        <w:t>240</w:t>
      </w:r>
      <w:r>
        <w:fldChar w:fldCharType="end"/>
      </w:r>
    </w:p>
    <w:p>
      <w:pPr>
        <w:pStyle w:val="TOC8"/>
        <w:rPr>
          <w:rFonts w:asciiTheme="minorHAnsi" w:eastAsiaTheme="minorEastAsia" w:hAnsiTheme="minorHAnsi" w:cstheme="minorBidi"/>
          <w:szCs w:val="22"/>
        </w:rPr>
      </w:pPr>
      <w:r>
        <w:t>382</w:t>
      </w:r>
      <w:r>
        <w:rPr>
          <w:snapToGrid w:val="0"/>
        </w:rPr>
        <w:t>.</w:t>
      </w:r>
      <w:r>
        <w:rPr>
          <w:snapToGrid w:val="0"/>
        </w:rPr>
        <w:tab/>
        <w:t>Killing animal with intent to steal</w:t>
      </w:r>
      <w:r>
        <w:tab/>
      </w:r>
      <w:r>
        <w:fldChar w:fldCharType="begin"/>
      </w:r>
      <w:r>
        <w:instrText xml:space="preserve"> PAGEREF _Toc88662380 \h </w:instrText>
      </w:r>
      <w:r>
        <w:fldChar w:fldCharType="separate"/>
      </w:r>
      <w:r>
        <w:t>240</w:t>
      </w:r>
      <w:r>
        <w:fldChar w:fldCharType="end"/>
      </w:r>
    </w:p>
    <w:p>
      <w:pPr>
        <w:pStyle w:val="TOC8"/>
        <w:rPr>
          <w:rFonts w:asciiTheme="minorHAnsi" w:eastAsiaTheme="minorEastAsia" w:hAnsiTheme="minorHAnsi" w:cstheme="minorBidi"/>
          <w:szCs w:val="22"/>
        </w:rPr>
      </w:pPr>
      <w:r>
        <w:t>383</w:t>
      </w:r>
      <w:r>
        <w:rPr>
          <w:snapToGrid w:val="0"/>
        </w:rPr>
        <w:t>.</w:t>
      </w:r>
      <w:r>
        <w:rPr>
          <w:snapToGrid w:val="0"/>
        </w:rPr>
        <w:tab/>
        <w:t>Severing with intent to steal</w:t>
      </w:r>
      <w:r>
        <w:tab/>
      </w:r>
      <w:r>
        <w:fldChar w:fldCharType="begin"/>
      </w:r>
      <w:r>
        <w:instrText xml:space="preserve"> PAGEREF _Toc88662381 \h </w:instrText>
      </w:r>
      <w:r>
        <w:fldChar w:fldCharType="separate"/>
      </w:r>
      <w:r>
        <w:t>241</w:t>
      </w:r>
      <w:r>
        <w:fldChar w:fldCharType="end"/>
      </w:r>
    </w:p>
    <w:p>
      <w:pPr>
        <w:pStyle w:val="TOC8"/>
        <w:rPr>
          <w:rFonts w:asciiTheme="minorHAnsi" w:eastAsiaTheme="minorEastAsia" w:hAnsiTheme="minorHAnsi" w:cstheme="minorBidi"/>
          <w:szCs w:val="22"/>
        </w:rPr>
      </w:pPr>
      <w:r>
        <w:t>384</w:t>
      </w:r>
      <w:r>
        <w:rPr>
          <w:snapToGrid w:val="0"/>
        </w:rPr>
        <w:t>.</w:t>
      </w:r>
      <w:r>
        <w:rPr>
          <w:snapToGrid w:val="0"/>
        </w:rPr>
        <w:tab/>
        <w:t>Using registered brand with criminal intention</w:t>
      </w:r>
      <w:r>
        <w:tab/>
      </w:r>
      <w:r>
        <w:fldChar w:fldCharType="begin"/>
      </w:r>
      <w:r>
        <w:instrText xml:space="preserve"> PAGEREF _Toc88662382 \h </w:instrText>
      </w:r>
      <w:r>
        <w:fldChar w:fldCharType="separate"/>
      </w:r>
      <w:r>
        <w:t>241</w:t>
      </w:r>
      <w:r>
        <w:fldChar w:fldCharType="end"/>
      </w:r>
    </w:p>
    <w:p>
      <w:pPr>
        <w:pStyle w:val="TOC8"/>
        <w:rPr>
          <w:rFonts w:asciiTheme="minorHAnsi" w:eastAsiaTheme="minorEastAsia" w:hAnsiTheme="minorHAnsi" w:cstheme="minorBidi"/>
          <w:szCs w:val="22"/>
        </w:rPr>
      </w:pPr>
      <w:r>
        <w:t>385</w:t>
      </w:r>
      <w:r>
        <w:rPr>
          <w:snapToGrid w:val="0"/>
        </w:rPr>
        <w:t>.</w:t>
      </w:r>
      <w:r>
        <w:rPr>
          <w:snapToGrid w:val="0"/>
        </w:rPr>
        <w:tab/>
        <w:t>Fraudulently dealing with ore at mine</w:t>
      </w:r>
      <w:r>
        <w:tab/>
      </w:r>
      <w:r>
        <w:fldChar w:fldCharType="begin"/>
      </w:r>
      <w:r>
        <w:instrText xml:space="preserve"> PAGEREF _Toc88662383 \h </w:instrText>
      </w:r>
      <w:r>
        <w:fldChar w:fldCharType="separate"/>
      </w:r>
      <w:r>
        <w:t>241</w:t>
      </w:r>
      <w:r>
        <w:fldChar w:fldCharType="end"/>
      </w:r>
    </w:p>
    <w:p>
      <w:pPr>
        <w:pStyle w:val="TOC8"/>
        <w:rPr>
          <w:rFonts w:asciiTheme="minorHAnsi" w:eastAsiaTheme="minorEastAsia" w:hAnsiTheme="minorHAnsi" w:cstheme="minorBidi"/>
          <w:szCs w:val="22"/>
        </w:rPr>
      </w:pPr>
      <w:r>
        <w:t>386</w:t>
      </w:r>
      <w:r>
        <w:rPr>
          <w:snapToGrid w:val="0"/>
        </w:rPr>
        <w:t>.</w:t>
      </w:r>
      <w:r>
        <w:rPr>
          <w:snapToGrid w:val="0"/>
        </w:rPr>
        <w:tab/>
        <w:t>Concealing royalty</w:t>
      </w:r>
      <w:r>
        <w:tab/>
      </w:r>
      <w:r>
        <w:fldChar w:fldCharType="begin"/>
      </w:r>
      <w:r>
        <w:instrText xml:space="preserve"> PAGEREF _Toc88662384 \h </w:instrText>
      </w:r>
      <w:r>
        <w:fldChar w:fldCharType="separate"/>
      </w:r>
      <w:r>
        <w:t>241</w:t>
      </w:r>
      <w:r>
        <w:fldChar w:fldCharType="end"/>
      </w:r>
    </w:p>
    <w:p>
      <w:pPr>
        <w:pStyle w:val="TOC8"/>
        <w:rPr>
          <w:rFonts w:asciiTheme="minorHAnsi" w:eastAsiaTheme="minorEastAsia" w:hAnsiTheme="minorHAnsi" w:cstheme="minorBidi"/>
          <w:szCs w:val="22"/>
        </w:rPr>
      </w:pPr>
      <w:r>
        <w:t>387</w:t>
      </w:r>
      <w:r>
        <w:rPr>
          <w:snapToGrid w:val="0"/>
        </w:rPr>
        <w:t>.</w:t>
      </w:r>
      <w:r>
        <w:rPr>
          <w:snapToGrid w:val="0"/>
        </w:rPr>
        <w:tab/>
        <w:t>Removing guano without licence</w:t>
      </w:r>
      <w:r>
        <w:tab/>
      </w:r>
      <w:r>
        <w:fldChar w:fldCharType="begin"/>
      </w:r>
      <w:r>
        <w:instrText xml:space="preserve"> PAGEREF _Toc88662385 \h </w:instrText>
      </w:r>
      <w:r>
        <w:fldChar w:fldCharType="separate"/>
      </w:r>
      <w:r>
        <w:t>242</w:t>
      </w:r>
      <w:r>
        <w:fldChar w:fldCharType="end"/>
      </w:r>
    </w:p>
    <w:p>
      <w:pPr>
        <w:pStyle w:val="TOC8"/>
        <w:rPr>
          <w:rFonts w:asciiTheme="minorHAnsi" w:eastAsiaTheme="minorEastAsia" w:hAnsiTheme="minorHAnsi" w:cstheme="minorBidi"/>
          <w:szCs w:val="22"/>
        </w:rPr>
      </w:pPr>
      <w:r>
        <w:t>388</w:t>
      </w:r>
      <w:r>
        <w:rPr>
          <w:snapToGrid w:val="0"/>
        </w:rPr>
        <w:t>.</w:t>
      </w:r>
      <w:r>
        <w:rPr>
          <w:snapToGrid w:val="0"/>
        </w:rPr>
        <w:tab/>
        <w:t>Bringing stolen goods into WA</w:t>
      </w:r>
      <w:r>
        <w:tab/>
      </w:r>
      <w:r>
        <w:fldChar w:fldCharType="begin"/>
      </w:r>
      <w:r>
        <w:instrText xml:space="preserve"> PAGEREF _Toc88662386 \h </w:instrText>
      </w:r>
      <w:r>
        <w:fldChar w:fldCharType="separate"/>
      </w:r>
      <w:r>
        <w:t>242</w:t>
      </w:r>
      <w:r>
        <w:fldChar w:fldCharType="end"/>
      </w:r>
    </w:p>
    <w:p>
      <w:pPr>
        <w:pStyle w:val="TOC8"/>
        <w:rPr>
          <w:rFonts w:asciiTheme="minorHAnsi" w:eastAsiaTheme="minorEastAsia" w:hAnsiTheme="minorHAnsi" w:cstheme="minorBidi"/>
          <w:szCs w:val="22"/>
        </w:rPr>
      </w:pPr>
      <w:r>
        <w:t>389</w:t>
      </w:r>
      <w:r>
        <w:rPr>
          <w:snapToGrid w:val="0"/>
        </w:rPr>
        <w:t>.</w:t>
      </w:r>
      <w:r>
        <w:rPr>
          <w:snapToGrid w:val="0"/>
        </w:rPr>
        <w:tab/>
        <w:t>Fraudulent disposition of mortgaged goods</w:t>
      </w:r>
      <w:r>
        <w:tab/>
      </w:r>
      <w:r>
        <w:fldChar w:fldCharType="begin"/>
      </w:r>
      <w:r>
        <w:instrText xml:space="preserve"> PAGEREF _Toc88662387 \h </w:instrText>
      </w:r>
      <w:r>
        <w:fldChar w:fldCharType="separate"/>
      </w:r>
      <w:r>
        <w:t>242</w:t>
      </w:r>
      <w:r>
        <w:fldChar w:fldCharType="end"/>
      </w:r>
    </w:p>
    <w:p>
      <w:pPr>
        <w:pStyle w:val="TOC8"/>
        <w:rPr>
          <w:rFonts w:asciiTheme="minorHAnsi" w:eastAsiaTheme="minorEastAsia" w:hAnsiTheme="minorHAnsi" w:cstheme="minorBidi"/>
          <w:szCs w:val="22"/>
        </w:rPr>
      </w:pPr>
      <w:r>
        <w:t>390</w:t>
      </w:r>
      <w:r>
        <w:rPr>
          <w:snapToGrid w:val="0"/>
        </w:rPr>
        <w:t>.</w:t>
      </w:r>
      <w:r>
        <w:rPr>
          <w:snapToGrid w:val="0"/>
        </w:rPr>
        <w:tab/>
        <w:t>Fraudulent appropriation of electricity etc.</w:t>
      </w:r>
      <w:r>
        <w:tab/>
      </w:r>
      <w:r>
        <w:fldChar w:fldCharType="begin"/>
      </w:r>
      <w:r>
        <w:instrText xml:space="preserve"> PAGEREF _Toc88662388 \h </w:instrText>
      </w:r>
      <w:r>
        <w:fldChar w:fldCharType="separate"/>
      </w:r>
      <w:r>
        <w:t>243</w:t>
      </w:r>
      <w:r>
        <w:fldChar w:fldCharType="end"/>
      </w:r>
    </w:p>
    <w:p>
      <w:pPr>
        <w:pStyle w:val="TOC8"/>
        <w:rPr>
          <w:rFonts w:asciiTheme="minorHAnsi" w:eastAsiaTheme="minorEastAsia" w:hAnsiTheme="minorHAnsi" w:cstheme="minorBidi"/>
          <w:szCs w:val="22"/>
        </w:rPr>
      </w:pPr>
      <w:r>
        <w:t>390A.</w:t>
      </w:r>
      <w:r>
        <w:tab/>
        <w:t>Unlawful use of conveyance (not of motor vehicle)</w:t>
      </w:r>
      <w:r>
        <w:tab/>
      </w:r>
      <w:r>
        <w:fldChar w:fldCharType="begin"/>
      </w:r>
      <w:r>
        <w:instrText xml:space="preserve"> PAGEREF _Toc88662389 \h </w:instrText>
      </w:r>
      <w:r>
        <w:fldChar w:fldCharType="separate"/>
      </w:r>
      <w:r>
        <w:t>243</w:t>
      </w:r>
      <w:r>
        <w:fldChar w:fldCharType="end"/>
      </w:r>
    </w:p>
    <w:p>
      <w:pPr>
        <w:pStyle w:val="TOC4"/>
        <w:tabs>
          <w:tab w:val="right" w:leader="dot" w:pos="7077"/>
        </w:tabs>
        <w:rPr>
          <w:rFonts w:asciiTheme="minorHAnsi" w:eastAsiaTheme="minorEastAsia" w:hAnsiTheme="minorHAnsi" w:cstheme="minorBidi"/>
          <w:b w:val="0"/>
          <w:szCs w:val="22"/>
        </w:rPr>
      </w:pPr>
      <w:r>
        <w:t>Chapter XXXVIII</w:t>
      </w:r>
      <w:r>
        <w:rPr>
          <w:snapToGrid w:val="0"/>
        </w:rPr>
        <w:t> — </w:t>
      </w:r>
      <w:r>
        <w:t>Robbery: Extortion by threats</w:t>
      </w:r>
    </w:p>
    <w:p>
      <w:pPr>
        <w:pStyle w:val="TOC8"/>
        <w:rPr>
          <w:rFonts w:asciiTheme="minorHAnsi" w:eastAsiaTheme="minorEastAsia" w:hAnsiTheme="minorHAnsi" w:cstheme="minorBidi"/>
          <w:szCs w:val="22"/>
        </w:rPr>
      </w:pPr>
      <w:r>
        <w:t>391.</w:t>
      </w:r>
      <w:r>
        <w:tab/>
        <w:t>Term used: circumstances of aggravation</w:t>
      </w:r>
      <w:r>
        <w:tab/>
      </w:r>
      <w:r>
        <w:fldChar w:fldCharType="begin"/>
      </w:r>
      <w:r>
        <w:instrText xml:space="preserve"> PAGEREF _Toc88662391 \h </w:instrText>
      </w:r>
      <w:r>
        <w:fldChar w:fldCharType="separate"/>
      </w:r>
      <w:r>
        <w:t>244</w:t>
      </w:r>
      <w:r>
        <w:fldChar w:fldCharType="end"/>
      </w:r>
    </w:p>
    <w:p>
      <w:pPr>
        <w:pStyle w:val="TOC8"/>
        <w:rPr>
          <w:rFonts w:asciiTheme="minorHAnsi" w:eastAsiaTheme="minorEastAsia" w:hAnsiTheme="minorHAnsi" w:cstheme="minorBidi"/>
          <w:szCs w:val="22"/>
        </w:rPr>
      </w:pPr>
      <w:r>
        <w:t>392.</w:t>
      </w:r>
      <w:r>
        <w:tab/>
        <w:t>Robbery</w:t>
      </w:r>
      <w:r>
        <w:tab/>
      </w:r>
      <w:r>
        <w:fldChar w:fldCharType="begin"/>
      </w:r>
      <w:r>
        <w:instrText xml:space="preserve"> PAGEREF _Toc88662392 \h </w:instrText>
      </w:r>
      <w:r>
        <w:fldChar w:fldCharType="separate"/>
      </w:r>
      <w:r>
        <w:t>245</w:t>
      </w:r>
      <w:r>
        <w:fldChar w:fldCharType="end"/>
      </w:r>
    </w:p>
    <w:p>
      <w:pPr>
        <w:pStyle w:val="TOC8"/>
        <w:rPr>
          <w:rFonts w:asciiTheme="minorHAnsi" w:eastAsiaTheme="minorEastAsia" w:hAnsiTheme="minorHAnsi" w:cstheme="minorBidi"/>
          <w:szCs w:val="22"/>
        </w:rPr>
      </w:pPr>
      <w:r>
        <w:t>393.</w:t>
      </w:r>
      <w:r>
        <w:tab/>
        <w:t>Assault with intent to rob</w:t>
      </w:r>
      <w:r>
        <w:tab/>
      </w:r>
      <w:r>
        <w:fldChar w:fldCharType="begin"/>
      </w:r>
      <w:r>
        <w:instrText xml:space="preserve"> PAGEREF _Toc88662393 \h </w:instrText>
      </w:r>
      <w:r>
        <w:fldChar w:fldCharType="separate"/>
      </w:r>
      <w:r>
        <w:t>245</w:t>
      </w:r>
      <w:r>
        <w:fldChar w:fldCharType="end"/>
      </w:r>
    </w:p>
    <w:p>
      <w:pPr>
        <w:pStyle w:val="TOC8"/>
        <w:rPr>
          <w:rFonts w:asciiTheme="minorHAnsi" w:eastAsiaTheme="minorEastAsia" w:hAnsiTheme="minorHAnsi" w:cstheme="minorBidi"/>
          <w:szCs w:val="22"/>
        </w:rPr>
      </w:pPr>
      <w:r>
        <w:t>396</w:t>
      </w:r>
      <w:r>
        <w:rPr>
          <w:snapToGrid w:val="0"/>
        </w:rPr>
        <w:t>.</w:t>
      </w:r>
      <w:r>
        <w:rPr>
          <w:snapToGrid w:val="0"/>
        </w:rPr>
        <w:tab/>
        <w:t>Demanding property with threats with intent to steal</w:t>
      </w:r>
      <w:r>
        <w:tab/>
      </w:r>
      <w:r>
        <w:fldChar w:fldCharType="begin"/>
      </w:r>
      <w:r>
        <w:instrText xml:space="preserve"> PAGEREF _Toc88662394 \h </w:instrText>
      </w:r>
      <w:r>
        <w:fldChar w:fldCharType="separate"/>
      </w:r>
      <w:r>
        <w:t>246</w:t>
      </w:r>
      <w:r>
        <w:fldChar w:fldCharType="end"/>
      </w:r>
    </w:p>
    <w:p>
      <w:pPr>
        <w:pStyle w:val="TOC8"/>
        <w:rPr>
          <w:rFonts w:asciiTheme="minorHAnsi" w:eastAsiaTheme="minorEastAsia" w:hAnsiTheme="minorHAnsi" w:cstheme="minorBidi"/>
          <w:szCs w:val="22"/>
        </w:rPr>
      </w:pPr>
      <w:r>
        <w:t>397</w:t>
      </w:r>
      <w:r>
        <w:rPr>
          <w:snapToGrid w:val="0"/>
        </w:rPr>
        <w:t>.</w:t>
      </w:r>
      <w:r>
        <w:rPr>
          <w:snapToGrid w:val="0"/>
        </w:rPr>
        <w:tab/>
        <w:t xml:space="preserve">Demanding property </w:t>
      </w:r>
      <w:r>
        <w:rPr>
          <w:snapToGrid w:val="0"/>
          <w:spacing w:val="-4"/>
        </w:rPr>
        <w:t>with threats with intent to extort or gain</w:t>
      </w:r>
      <w:r>
        <w:tab/>
      </w:r>
      <w:r>
        <w:fldChar w:fldCharType="begin"/>
      </w:r>
      <w:r>
        <w:instrText xml:space="preserve"> PAGEREF _Toc88662395 \h </w:instrText>
      </w:r>
      <w:r>
        <w:fldChar w:fldCharType="separate"/>
      </w:r>
      <w:r>
        <w:t>247</w:t>
      </w:r>
      <w:r>
        <w:fldChar w:fldCharType="end"/>
      </w:r>
    </w:p>
    <w:p>
      <w:pPr>
        <w:pStyle w:val="TOC8"/>
        <w:rPr>
          <w:rFonts w:asciiTheme="minorHAnsi" w:eastAsiaTheme="minorEastAsia" w:hAnsiTheme="minorHAnsi" w:cstheme="minorBidi"/>
          <w:szCs w:val="22"/>
        </w:rPr>
      </w:pPr>
      <w:r>
        <w:t>398</w:t>
      </w:r>
      <w:r>
        <w:rPr>
          <w:snapToGrid w:val="0"/>
        </w:rPr>
        <w:t>.</w:t>
      </w:r>
      <w:r>
        <w:rPr>
          <w:snapToGrid w:val="0"/>
        </w:rPr>
        <w:tab/>
        <w:t>Threats etc. with intent to extort etc.</w:t>
      </w:r>
      <w:r>
        <w:tab/>
      </w:r>
      <w:r>
        <w:fldChar w:fldCharType="begin"/>
      </w:r>
      <w:r>
        <w:instrText xml:space="preserve"> PAGEREF _Toc88662396 \h </w:instrText>
      </w:r>
      <w:r>
        <w:fldChar w:fldCharType="separate"/>
      </w:r>
      <w:r>
        <w:t>247</w:t>
      </w:r>
      <w:r>
        <w:fldChar w:fldCharType="end"/>
      </w:r>
    </w:p>
    <w:p>
      <w:pPr>
        <w:pStyle w:val="TOC8"/>
        <w:rPr>
          <w:rFonts w:asciiTheme="minorHAnsi" w:eastAsiaTheme="minorEastAsia" w:hAnsiTheme="minorHAnsi" w:cstheme="minorBidi"/>
          <w:szCs w:val="22"/>
        </w:rPr>
      </w:pPr>
      <w:r>
        <w:t>399</w:t>
      </w:r>
      <w:r>
        <w:rPr>
          <w:snapToGrid w:val="0"/>
        </w:rPr>
        <w:t>.</w:t>
      </w:r>
      <w:r>
        <w:rPr>
          <w:snapToGrid w:val="0"/>
        </w:rPr>
        <w:tab/>
        <w:t>Procuring execution of deed etc. by threat etc. with intent to defraud</w:t>
      </w:r>
      <w:r>
        <w:tab/>
      </w:r>
      <w:r>
        <w:fldChar w:fldCharType="begin"/>
      </w:r>
      <w:r>
        <w:instrText xml:space="preserve"> PAGEREF _Toc88662397 \h </w:instrText>
      </w:r>
      <w:r>
        <w:fldChar w:fldCharType="separate"/>
      </w:r>
      <w:r>
        <w:t>248</w:t>
      </w:r>
      <w:r>
        <w:fldChar w:fldCharType="end"/>
      </w:r>
    </w:p>
    <w:p>
      <w:pPr>
        <w:pStyle w:val="TOC4"/>
        <w:tabs>
          <w:tab w:val="right" w:leader="dot" w:pos="7077"/>
        </w:tabs>
        <w:rPr>
          <w:rFonts w:asciiTheme="minorHAnsi" w:eastAsiaTheme="minorEastAsia" w:hAnsiTheme="minorHAnsi" w:cstheme="minorBidi"/>
          <w:b w:val="0"/>
          <w:szCs w:val="22"/>
        </w:rPr>
      </w:pPr>
      <w:r>
        <w:t>Chapter XXXIX</w:t>
      </w:r>
      <w:r>
        <w:rPr>
          <w:snapToGrid w:val="0"/>
        </w:rPr>
        <w:t> — </w:t>
      </w:r>
      <w:r>
        <w:t>Offences in or in respect of buildings etc.</w:t>
      </w:r>
    </w:p>
    <w:p>
      <w:pPr>
        <w:pStyle w:val="TOC8"/>
        <w:rPr>
          <w:rFonts w:asciiTheme="minorHAnsi" w:eastAsiaTheme="minorEastAsia" w:hAnsiTheme="minorHAnsi" w:cstheme="minorBidi"/>
          <w:szCs w:val="22"/>
        </w:rPr>
      </w:pPr>
      <w:r>
        <w:t>400</w:t>
      </w:r>
      <w:r>
        <w:rPr>
          <w:snapToGrid w:val="0"/>
        </w:rPr>
        <w:t>.</w:t>
      </w:r>
      <w:r>
        <w:rPr>
          <w:snapToGrid w:val="0"/>
        </w:rPr>
        <w:tab/>
        <w:t>Terms used</w:t>
      </w:r>
      <w:r>
        <w:tab/>
      </w:r>
      <w:r>
        <w:fldChar w:fldCharType="begin"/>
      </w:r>
      <w:r>
        <w:instrText xml:space="preserve"> PAGEREF _Toc88662399 \h </w:instrText>
      </w:r>
      <w:r>
        <w:fldChar w:fldCharType="separate"/>
      </w:r>
      <w:r>
        <w:t>249</w:t>
      </w:r>
      <w:r>
        <w:fldChar w:fldCharType="end"/>
      </w:r>
    </w:p>
    <w:p>
      <w:pPr>
        <w:pStyle w:val="TOC8"/>
        <w:rPr>
          <w:rFonts w:asciiTheme="minorHAnsi" w:eastAsiaTheme="minorEastAsia" w:hAnsiTheme="minorHAnsi" w:cstheme="minorBidi"/>
          <w:szCs w:val="22"/>
        </w:rPr>
      </w:pPr>
      <w:r>
        <w:t>401A</w:t>
      </w:r>
      <w:r>
        <w:rPr>
          <w:snapToGrid w:val="0"/>
        </w:rPr>
        <w:t>.</w:t>
      </w:r>
      <w:r>
        <w:rPr>
          <w:snapToGrid w:val="0"/>
        </w:rPr>
        <w:tab/>
        <w:t>Term used: relevant conviction</w:t>
      </w:r>
      <w:r>
        <w:tab/>
      </w:r>
      <w:r>
        <w:fldChar w:fldCharType="begin"/>
      </w:r>
      <w:r>
        <w:instrText xml:space="preserve"> PAGEREF _Toc88662400 \h </w:instrText>
      </w:r>
      <w:r>
        <w:fldChar w:fldCharType="separate"/>
      </w:r>
      <w:r>
        <w:t>250</w:t>
      </w:r>
      <w:r>
        <w:fldChar w:fldCharType="end"/>
      </w:r>
    </w:p>
    <w:p>
      <w:pPr>
        <w:pStyle w:val="TOC8"/>
        <w:rPr>
          <w:rFonts w:asciiTheme="minorHAnsi" w:eastAsiaTheme="minorEastAsia" w:hAnsiTheme="minorHAnsi" w:cstheme="minorBidi"/>
          <w:szCs w:val="22"/>
        </w:rPr>
      </w:pPr>
      <w:r>
        <w:t>401B</w:t>
      </w:r>
      <w:r>
        <w:rPr>
          <w:snapToGrid w:val="0"/>
        </w:rPr>
        <w:t>.</w:t>
      </w:r>
      <w:r>
        <w:rPr>
          <w:snapToGrid w:val="0"/>
        </w:rPr>
        <w:tab/>
        <w:t>Term used: repeat offender</w:t>
      </w:r>
      <w:r>
        <w:tab/>
      </w:r>
      <w:r>
        <w:fldChar w:fldCharType="begin"/>
      </w:r>
      <w:r>
        <w:instrText xml:space="preserve"> PAGEREF _Toc88662401 \h </w:instrText>
      </w:r>
      <w:r>
        <w:fldChar w:fldCharType="separate"/>
      </w:r>
      <w:r>
        <w:t>254</w:t>
      </w:r>
      <w:r>
        <w:fldChar w:fldCharType="end"/>
      </w:r>
    </w:p>
    <w:p>
      <w:pPr>
        <w:pStyle w:val="TOC8"/>
        <w:rPr>
          <w:rFonts w:asciiTheme="minorHAnsi" w:eastAsiaTheme="minorEastAsia" w:hAnsiTheme="minorHAnsi" w:cstheme="minorBidi"/>
          <w:szCs w:val="22"/>
        </w:rPr>
      </w:pPr>
      <w:r>
        <w:t>401</w:t>
      </w:r>
      <w:r>
        <w:rPr>
          <w:snapToGrid w:val="0"/>
        </w:rPr>
        <w:t>.</w:t>
      </w:r>
      <w:r>
        <w:rPr>
          <w:snapToGrid w:val="0"/>
        </w:rPr>
        <w:tab/>
        <w:t>Burglary</w:t>
      </w:r>
      <w:r>
        <w:tab/>
      </w:r>
      <w:r>
        <w:fldChar w:fldCharType="begin"/>
      </w:r>
      <w:r>
        <w:instrText xml:space="preserve"> PAGEREF _Toc88662402 \h </w:instrText>
      </w:r>
      <w:r>
        <w:fldChar w:fldCharType="separate"/>
      </w:r>
      <w:r>
        <w:t>255</w:t>
      </w:r>
      <w:r>
        <w:fldChar w:fldCharType="end"/>
      </w:r>
    </w:p>
    <w:p>
      <w:pPr>
        <w:pStyle w:val="TOC8"/>
        <w:rPr>
          <w:rFonts w:asciiTheme="minorHAnsi" w:eastAsiaTheme="minorEastAsia" w:hAnsiTheme="minorHAnsi" w:cstheme="minorBidi"/>
          <w:szCs w:val="22"/>
        </w:rPr>
      </w:pPr>
      <w:r>
        <w:t>407</w:t>
      </w:r>
      <w:r>
        <w:rPr>
          <w:snapToGrid w:val="0"/>
        </w:rPr>
        <w:t>.</w:t>
      </w:r>
      <w:r>
        <w:rPr>
          <w:snapToGrid w:val="0"/>
        </w:rPr>
        <w:tab/>
        <w:t>Person found armed etc. with intent to commit crime</w:t>
      </w:r>
      <w:r>
        <w:tab/>
      </w:r>
      <w:r>
        <w:fldChar w:fldCharType="begin"/>
      </w:r>
      <w:r>
        <w:instrText xml:space="preserve"> PAGEREF _Toc88662403 \h </w:instrText>
      </w:r>
      <w:r>
        <w:fldChar w:fldCharType="separate"/>
      </w:r>
      <w:r>
        <w:t>258</w:t>
      </w:r>
      <w:r>
        <w:fldChar w:fldCharType="end"/>
      </w:r>
    </w:p>
    <w:p>
      <w:pPr>
        <w:pStyle w:val="TOC4"/>
        <w:tabs>
          <w:tab w:val="right" w:leader="dot" w:pos="7077"/>
        </w:tabs>
        <w:rPr>
          <w:rFonts w:asciiTheme="minorHAnsi" w:eastAsiaTheme="minorEastAsia" w:hAnsiTheme="minorHAnsi" w:cstheme="minorBidi"/>
          <w:b w:val="0"/>
          <w:szCs w:val="22"/>
        </w:rPr>
      </w:pPr>
      <w:r>
        <w:t>Chapter XL</w:t>
      </w:r>
      <w:r>
        <w:rPr>
          <w:snapToGrid w:val="0"/>
        </w:rPr>
        <w:t> — </w:t>
      </w:r>
      <w:r>
        <w:t>Fraud</w:t>
      </w:r>
    </w:p>
    <w:p>
      <w:pPr>
        <w:pStyle w:val="TOC8"/>
        <w:rPr>
          <w:rFonts w:asciiTheme="minorHAnsi" w:eastAsiaTheme="minorEastAsia" w:hAnsiTheme="minorHAnsi" w:cstheme="minorBidi"/>
          <w:szCs w:val="22"/>
        </w:rPr>
      </w:pPr>
      <w:r>
        <w:t>409</w:t>
      </w:r>
      <w:r>
        <w:rPr>
          <w:snapToGrid w:val="0"/>
        </w:rPr>
        <w:t>.</w:t>
      </w:r>
      <w:r>
        <w:rPr>
          <w:snapToGrid w:val="0"/>
        </w:rPr>
        <w:tab/>
        <w:t>Fraud</w:t>
      </w:r>
      <w:r>
        <w:tab/>
      </w:r>
      <w:r>
        <w:fldChar w:fldCharType="begin"/>
      </w:r>
      <w:r>
        <w:instrText xml:space="preserve"> PAGEREF _Toc88662405 \h </w:instrText>
      </w:r>
      <w:r>
        <w:fldChar w:fldCharType="separate"/>
      </w:r>
      <w:r>
        <w:t>259</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XLI</w:t>
      </w:r>
      <w:r>
        <w:rPr>
          <w:snapToGrid w:val="0"/>
        </w:rPr>
        <w:t> — </w:t>
      </w:r>
      <w:r>
        <w:t>Receiving property stolen or fraudulently obtained and like offences</w:t>
      </w:r>
    </w:p>
    <w:p>
      <w:pPr>
        <w:pStyle w:val="TOC8"/>
        <w:rPr>
          <w:rFonts w:asciiTheme="minorHAnsi" w:eastAsiaTheme="minorEastAsia" w:hAnsiTheme="minorHAnsi" w:cstheme="minorBidi"/>
          <w:szCs w:val="22"/>
        </w:rPr>
      </w:pPr>
      <w:r>
        <w:t>414</w:t>
      </w:r>
      <w:r>
        <w:rPr>
          <w:snapToGrid w:val="0"/>
        </w:rPr>
        <w:t>.</w:t>
      </w:r>
      <w:r>
        <w:rPr>
          <w:snapToGrid w:val="0"/>
        </w:rPr>
        <w:tab/>
        <w:t>Receiving stolen property etc.</w:t>
      </w:r>
      <w:r>
        <w:tab/>
      </w:r>
      <w:r>
        <w:fldChar w:fldCharType="begin"/>
      </w:r>
      <w:r>
        <w:instrText xml:space="preserve"> PAGEREF _Toc88662407 \h </w:instrText>
      </w:r>
      <w:r>
        <w:fldChar w:fldCharType="separate"/>
      </w:r>
      <w:r>
        <w:t>260</w:t>
      </w:r>
      <w:r>
        <w:fldChar w:fldCharType="end"/>
      </w:r>
    </w:p>
    <w:p>
      <w:pPr>
        <w:pStyle w:val="TOC8"/>
        <w:rPr>
          <w:rFonts w:asciiTheme="minorHAnsi" w:eastAsiaTheme="minorEastAsia" w:hAnsiTheme="minorHAnsi" w:cstheme="minorBidi"/>
          <w:szCs w:val="22"/>
        </w:rPr>
      </w:pPr>
      <w:r>
        <w:t>415</w:t>
      </w:r>
      <w:r>
        <w:rPr>
          <w:snapToGrid w:val="0"/>
        </w:rPr>
        <w:t>.</w:t>
      </w:r>
      <w:r>
        <w:rPr>
          <w:snapToGrid w:val="0"/>
        </w:rPr>
        <w:tab/>
        <w:t>Receiving after change of ownership</w:t>
      </w:r>
      <w:r>
        <w:tab/>
      </w:r>
      <w:r>
        <w:fldChar w:fldCharType="begin"/>
      </w:r>
      <w:r>
        <w:instrText xml:space="preserve"> PAGEREF _Toc88662408 \h </w:instrText>
      </w:r>
      <w:r>
        <w:fldChar w:fldCharType="separate"/>
      </w:r>
      <w:r>
        <w:t>261</w:t>
      </w:r>
      <w:r>
        <w:fldChar w:fldCharType="end"/>
      </w:r>
    </w:p>
    <w:p>
      <w:pPr>
        <w:pStyle w:val="TOC8"/>
        <w:rPr>
          <w:rFonts w:asciiTheme="minorHAnsi" w:eastAsiaTheme="minorEastAsia" w:hAnsiTheme="minorHAnsi" w:cstheme="minorBidi"/>
          <w:szCs w:val="22"/>
        </w:rPr>
      </w:pPr>
      <w:r>
        <w:t>416</w:t>
      </w:r>
      <w:r>
        <w:rPr>
          <w:snapToGrid w:val="0"/>
        </w:rPr>
        <w:t>.</w:t>
      </w:r>
      <w:r>
        <w:rPr>
          <w:snapToGrid w:val="0"/>
        </w:rPr>
        <w:tab/>
        <w:t>Taking reward for recovery of property obtained by means of indictable offence</w:t>
      </w:r>
      <w:r>
        <w:tab/>
      </w:r>
      <w:r>
        <w:fldChar w:fldCharType="begin"/>
      </w:r>
      <w:r>
        <w:instrText xml:space="preserve"> PAGEREF _Toc88662409 \h </w:instrText>
      </w:r>
      <w:r>
        <w:fldChar w:fldCharType="separate"/>
      </w:r>
      <w:r>
        <w:t>262</w:t>
      </w:r>
      <w:r>
        <w:fldChar w:fldCharType="end"/>
      </w:r>
    </w:p>
    <w:p>
      <w:pPr>
        <w:pStyle w:val="TOC8"/>
        <w:rPr>
          <w:rFonts w:asciiTheme="minorHAnsi" w:eastAsiaTheme="minorEastAsia" w:hAnsiTheme="minorHAnsi" w:cstheme="minorBidi"/>
          <w:szCs w:val="22"/>
        </w:rPr>
      </w:pPr>
      <w:r>
        <w:t>417.</w:t>
      </w:r>
      <w:r>
        <w:tab/>
        <w:t>Possessing stolen or unlawfully obtained property</w:t>
      </w:r>
      <w:r>
        <w:tab/>
      </w:r>
      <w:r>
        <w:fldChar w:fldCharType="begin"/>
      </w:r>
      <w:r>
        <w:instrText xml:space="preserve"> PAGEREF _Toc88662410 \h </w:instrText>
      </w:r>
      <w:r>
        <w:fldChar w:fldCharType="separate"/>
      </w:r>
      <w:r>
        <w:t>262</w:t>
      </w:r>
      <w:r>
        <w:fldChar w:fldCharType="end"/>
      </w:r>
    </w:p>
    <w:p>
      <w:pPr>
        <w:pStyle w:val="TOC8"/>
        <w:rPr>
          <w:rFonts w:asciiTheme="minorHAnsi" w:eastAsiaTheme="minorEastAsia" w:hAnsiTheme="minorHAnsi" w:cstheme="minorBidi"/>
          <w:szCs w:val="22"/>
        </w:rPr>
      </w:pPr>
      <w:r>
        <w:t>417A.</w:t>
      </w:r>
      <w:r>
        <w:tab/>
        <w:t>Punishment for possession in special cases</w:t>
      </w:r>
      <w:r>
        <w:tab/>
      </w:r>
      <w:r>
        <w:fldChar w:fldCharType="begin"/>
      </w:r>
      <w:r>
        <w:instrText xml:space="preserve"> PAGEREF _Toc88662411 \h </w:instrText>
      </w:r>
      <w:r>
        <w:fldChar w:fldCharType="separate"/>
      </w:r>
      <w:r>
        <w:t>262</w:t>
      </w:r>
      <w:r>
        <w:fldChar w:fldCharType="end"/>
      </w:r>
    </w:p>
    <w:p>
      <w:pPr>
        <w:pStyle w:val="TOC4"/>
        <w:tabs>
          <w:tab w:val="right" w:leader="dot" w:pos="7077"/>
        </w:tabs>
        <w:rPr>
          <w:rFonts w:asciiTheme="minorHAnsi" w:eastAsiaTheme="minorEastAsia" w:hAnsiTheme="minorHAnsi" w:cstheme="minorBidi"/>
          <w:b w:val="0"/>
          <w:szCs w:val="22"/>
        </w:rPr>
      </w:pPr>
      <w:r>
        <w:t>Chapter XLII</w:t>
      </w:r>
      <w:r>
        <w:rPr>
          <w:snapToGrid w:val="0"/>
        </w:rPr>
        <w:t> — </w:t>
      </w:r>
      <w:r>
        <w:t>Frauds by trustees and officers of companies and corporations: False accounting</w:t>
      </w:r>
    </w:p>
    <w:p>
      <w:pPr>
        <w:pStyle w:val="TOC8"/>
        <w:rPr>
          <w:rFonts w:asciiTheme="minorHAnsi" w:eastAsiaTheme="minorEastAsia" w:hAnsiTheme="minorHAnsi" w:cstheme="minorBidi"/>
          <w:szCs w:val="22"/>
        </w:rPr>
      </w:pPr>
      <w:r>
        <w:t>418</w:t>
      </w:r>
      <w:r>
        <w:rPr>
          <w:snapToGrid w:val="0"/>
        </w:rPr>
        <w:t>.</w:t>
      </w:r>
      <w:r>
        <w:rPr>
          <w:snapToGrid w:val="0"/>
        </w:rPr>
        <w:tab/>
        <w:t>Signing false document relating to company</w:t>
      </w:r>
      <w:r>
        <w:tab/>
      </w:r>
      <w:r>
        <w:fldChar w:fldCharType="begin"/>
      </w:r>
      <w:r>
        <w:instrText xml:space="preserve"> PAGEREF _Toc88662413 \h </w:instrText>
      </w:r>
      <w:r>
        <w:fldChar w:fldCharType="separate"/>
      </w:r>
      <w:r>
        <w:t>263</w:t>
      </w:r>
      <w:r>
        <w:fldChar w:fldCharType="end"/>
      </w:r>
    </w:p>
    <w:p>
      <w:pPr>
        <w:pStyle w:val="TOC8"/>
        <w:rPr>
          <w:rFonts w:asciiTheme="minorHAnsi" w:eastAsiaTheme="minorEastAsia" w:hAnsiTheme="minorHAnsi" w:cstheme="minorBidi"/>
          <w:szCs w:val="22"/>
        </w:rPr>
      </w:pPr>
      <w:r>
        <w:t>419</w:t>
      </w:r>
      <w:r>
        <w:rPr>
          <w:snapToGrid w:val="0"/>
        </w:rPr>
        <w:t>.</w:t>
      </w:r>
      <w:r>
        <w:rPr>
          <w:snapToGrid w:val="0"/>
        </w:rPr>
        <w:tab/>
        <w:t>Company’s books etc., acts etc. as to by director etc. with intent to defraud</w:t>
      </w:r>
      <w:r>
        <w:tab/>
      </w:r>
      <w:r>
        <w:fldChar w:fldCharType="begin"/>
      </w:r>
      <w:r>
        <w:instrText xml:space="preserve"> PAGEREF _Toc88662414 \h </w:instrText>
      </w:r>
      <w:r>
        <w:fldChar w:fldCharType="separate"/>
      </w:r>
      <w:r>
        <w:t>264</w:t>
      </w:r>
      <w:r>
        <w:fldChar w:fldCharType="end"/>
      </w:r>
    </w:p>
    <w:p>
      <w:pPr>
        <w:pStyle w:val="TOC8"/>
        <w:rPr>
          <w:rFonts w:asciiTheme="minorHAnsi" w:eastAsiaTheme="minorEastAsia" w:hAnsiTheme="minorHAnsi" w:cstheme="minorBidi"/>
          <w:szCs w:val="22"/>
        </w:rPr>
      </w:pPr>
      <w:r>
        <w:t>420</w:t>
      </w:r>
      <w:r>
        <w:rPr>
          <w:snapToGrid w:val="0"/>
        </w:rPr>
        <w:t>.</w:t>
      </w:r>
      <w:r>
        <w:rPr>
          <w:snapToGrid w:val="0"/>
        </w:rPr>
        <w:tab/>
        <w:t>False statement by company’s official</w:t>
      </w:r>
      <w:r>
        <w:tab/>
      </w:r>
      <w:r>
        <w:fldChar w:fldCharType="begin"/>
      </w:r>
      <w:r>
        <w:instrText xml:space="preserve"> PAGEREF _Toc88662415 \h </w:instrText>
      </w:r>
      <w:r>
        <w:fldChar w:fldCharType="separate"/>
      </w:r>
      <w:r>
        <w:t>265</w:t>
      </w:r>
      <w:r>
        <w:fldChar w:fldCharType="end"/>
      </w:r>
    </w:p>
    <w:p>
      <w:pPr>
        <w:pStyle w:val="TOC8"/>
        <w:rPr>
          <w:rFonts w:asciiTheme="minorHAnsi" w:eastAsiaTheme="minorEastAsia" w:hAnsiTheme="minorHAnsi" w:cstheme="minorBidi"/>
          <w:szCs w:val="22"/>
        </w:rPr>
      </w:pPr>
      <w:r>
        <w:t>421</w:t>
      </w:r>
      <w:r>
        <w:rPr>
          <w:snapToGrid w:val="0"/>
        </w:rPr>
        <w:t>.</w:t>
      </w:r>
      <w:r>
        <w:rPr>
          <w:snapToGrid w:val="0"/>
        </w:rPr>
        <w:tab/>
        <w:t>False statement by company’s official with intent to affect share price</w:t>
      </w:r>
      <w:r>
        <w:tab/>
      </w:r>
      <w:r>
        <w:fldChar w:fldCharType="begin"/>
      </w:r>
      <w:r>
        <w:instrText xml:space="preserve"> PAGEREF _Toc88662416 \h </w:instrText>
      </w:r>
      <w:r>
        <w:fldChar w:fldCharType="separate"/>
      </w:r>
      <w:r>
        <w:t>265</w:t>
      </w:r>
      <w:r>
        <w:fldChar w:fldCharType="end"/>
      </w:r>
    </w:p>
    <w:p>
      <w:pPr>
        <w:pStyle w:val="TOC8"/>
        <w:rPr>
          <w:rFonts w:asciiTheme="minorHAnsi" w:eastAsiaTheme="minorEastAsia" w:hAnsiTheme="minorHAnsi" w:cstheme="minorBidi"/>
          <w:szCs w:val="22"/>
        </w:rPr>
      </w:pPr>
      <w:r>
        <w:t>422</w:t>
      </w:r>
      <w:r>
        <w:rPr>
          <w:snapToGrid w:val="0"/>
        </w:rPr>
        <w:t>.</w:t>
      </w:r>
      <w:r>
        <w:rPr>
          <w:snapToGrid w:val="0"/>
        </w:rPr>
        <w:tab/>
        <w:t>Defence for this Chapter</w:t>
      </w:r>
      <w:r>
        <w:tab/>
      </w:r>
      <w:r>
        <w:fldChar w:fldCharType="begin"/>
      </w:r>
      <w:r>
        <w:instrText xml:space="preserve"> PAGEREF _Toc88662417 \h </w:instrText>
      </w:r>
      <w:r>
        <w:fldChar w:fldCharType="separate"/>
      </w:r>
      <w:r>
        <w:t>266</w:t>
      </w:r>
      <w:r>
        <w:fldChar w:fldCharType="end"/>
      </w:r>
    </w:p>
    <w:p>
      <w:pPr>
        <w:pStyle w:val="TOC8"/>
        <w:rPr>
          <w:rFonts w:asciiTheme="minorHAnsi" w:eastAsiaTheme="minorEastAsia" w:hAnsiTheme="minorHAnsi" w:cstheme="minorBidi"/>
          <w:szCs w:val="22"/>
        </w:rPr>
      </w:pPr>
      <w:r>
        <w:t>424</w:t>
      </w:r>
      <w:r>
        <w:rPr>
          <w:snapToGrid w:val="0"/>
        </w:rPr>
        <w:t>.</w:t>
      </w:r>
      <w:r>
        <w:rPr>
          <w:snapToGrid w:val="0"/>
        </w:rPr>
        <w:tab/>
        <w:t>Fraudulent falsification of record</w:t>
      </w:r>
      <w:r>
        <w:tab/>
      </w:r>
      <w:r>
        <w:fldChar w:fldCharType="begin"/>
      </w:r>
      <w:r>
        <w:instrText xml:space="preserve"> PAGEREF _Toc88662418 \h </w:instrText>
      </w:r>
      <w:r>
        <w:fldChar w:fldCharType="separate"/>
      </w:r>
      <w:r>
        <w:t>266</w:t>
      </w:r>
      <w:r>
        <w:fldChar w:fldCharType="end"/>
      </w:r>
    </w:p>
    <w:p>
      <w:pPr>
        <w:pStyle w:val="TOC4"/>
        <w:tabs>
          <w:tab w:val="right" w:leader="dot" w:pos="7077"/>
        </w:tabs>
        <w:rPr>
          <w:rFonts w:asciiTheme="minorHAnsi" w:eastAsiaTheme="minorEastAsia" w:hAnsiTheme="minorHAnsi" w:cstheme="minorBidi"/>
          <w:b w:val="0"/>
          <w:szCs w:val="22"/>
        </w:rPr>
      </w:pPr>
      <w:r>
        <w:t>Chapter XLIII</w:t>
      </w:r>
      <w:r>
        <w:rPr>
          <w:snapToGrid w:val="0"/>
        </w:rPr>
        <w:t> — </w:t>
      </w:r>
      <w:r>
        <w:t>Summary conviction for stealing and like indictable offences</w:t>
      </w:r>
    </w:p>
    <w:p>
      <w:pPr>
        <w:pStyle w:val="TOC8"/>
        <w:rPr>
          <w:rFonts w:asciiTheme="minorHAnsi" w:eastAsiaTheme="minorEastAsia" w:hAnsiTheme="minorHAnsi" w:cstheme="minorBidi"/>
          <w:szCs w:val="22"/>
        </w:rPr>
      </w:pPr>
      <w:r>
        <w:t>426</w:t>
      </w:r>
      <w:r>
        <w:rPr>
          <w:snapToGrid w:val="0"/>
        </w:rPr>
        <w:t>.</w:t>
      </w:r>
      <w:r>
        <w:rPr>
          <w:snapToGrid w:val="0"/>
        </w:rPr>
        <w:tab/>
        <w:t>Summary conviction penalty for certain stealing and like offences</w:t>
      </w:r>
      <w:r>
        <w:tab/>
      </w:r>
      <w:r>
        <w:fldChar w:fldCharType="begin"/>
      </w:r>
      <w:r>
        <w:instrText xml:space="preserve"> PAGEREF _Toc88662420 \h </w:instrText>
      </w:r>
      <w:r>
        <w:fldChar w:fldCharType="separate"/>
      </w:r>
      <w:r>
        <w:t>267</w:t>
      </w:r>
      <w:r>
        <w:fldChar w:fldCharType="end"/>
      </w:r>
    </w:p>
    <w:p>
      <w:pPr>
        <w:pStyle w:val="TOC8"/>
        <w:rPr>
          <w:rFonts w:asciiTheme="minorHAnsi" w:eastAsiaTheme="minorEastAsia" w:hAnsiTheme="minorHAnsi" w:cstheme="minorBidi"/>
          <w:szCs w:val="22"/>
        </w:rPr>
      </w:pPr>
      <w:r>
        <w:t>427.</w:t>
      </w:r>
      <w:r>
        <w:tab/>
        <w:t>Summary conviction penalty for certain offences of fraudulent nature</w:t>
      </w:r>
      <w:r>
        <w:tab/>
      </w:r>
      <w:r>
        <w:fldChar w:fldCharType="begin"/>
      </w:r>
      <w:r>
        <w:instrText xml:space="preserve"> PAGEREF _Toc88662421 \h </w:instrText>
      </w:r>
      <w:r>
        <w:fldChar w:fldCharType="separate"/>
      </w:r>
      <w:r>
        <w:t>268</w:t>
      </w:r>
      <w:r>
        <w:fldChar w:fldCharType="end"/>
      </w:r>
    </w:p>
    <w:p>
      <w:pPr>
        <w:pStyle w:val="TOC4"/>
        <w:tabs>
          <w:tab w:val="right" w:leader="dot" w:pos="7077"/>
        </w:tabs>
        <w:rPr>
          <w:rFonts w:asciiTheme="minorHAnsi" w:eastAsiaTheme="minorEastAsia" w:hAnsiTheme="minorHAnsi" w:cstheme="minorBidi"/>
          <w:b w:val="0"/>
          <w:szCs w:val="22"/>
        </w:rPr>
      </w:pPr>
      <w:r>
        <w:t>Chapter XLIV — Simple offences analogous to stealing</w:t>
      </w:r>
    </w:p>
    <w:p>
      <w:pPr>
        <w:pStyle w:val="TOC8"/>
        <w:rPr>
          <w:rFonts w:asciiTheme="minorHAnsi" w:eastAsiaTheme="minorEastAsia" w:hAnsiTheme="minorHAnsi" w:cstheme="minorBidi"/>
          <w:szCs w:val="22"/>
        </w:rPr>
      </w:pPr>
      <w:r>
        <w:t>429.</w:t>
      </w:r>
      <w:r>
        <w:tab/>
        <w:t>Unlawfully using another person’s animal</w:t>
      </w:r>
      <w:r>
        <w:tab/>
      </w:r>
      <w:r>
        <w:fldChar w:fldCharType="begin"/>
      </w:r>
      <w:r>
        <w:instrText xml:space="preserve"> PAGEREF _Toc88662423 \h </w:instrText>
      </w:r>
      <w:r>
        <w:fldChar w:fldCharType="separate"/>
      </w:r>
      <w:r>
        <w:t>269</w:t>
      </w:r>
      <w:r>
        <w:fldChar w:fldCharType="end"/>
      </w:r>
    </w:p>
    <w:p>
      <w:pPr>
        <w:pStyle w:val="TOC8"/>
        <w:rPr>
          <w:rFonts w:asciiTheme="minorHAnsi" w:eastAsiaTheme="minorEastAsia" w:hAnsiTheme="minorHAnsi" w:cstheme="minorBidi"/>
          <w:szCs w:val="22"/>
        </w:rPr>
      </w:pPr>
      <w:r>
        <w:t>436.</w:t>
      </w:r>
      <w:r>
        <w:tab/>
        <w:t>Unlawful fishing</w:t>
      </w:r>
      <w:r>
        <w:tab/>
      </w:r>
      <w:r>
        <w:fldChar w:fldCharType="begin"/>
      </w:r>
      <w:r>
        <w:instrText xml:space="preserve"> PAGEREF _Toc88662424 \h </w:instrText>
      </w:r>
      <w:r>
        <w:fldChar w:fldCharType="separate"/>
      </w:r>
      <w:r>
        <w:t>269</w:t>
      </w:r>
      <w:r>
        <w:fldChar w:fldCharType="end"/>
      </w:r>
    </w:p>
    <w:p>
      <w:pPr>
        <w:pStyle w:val="TOC8"/>
        <w:rPr>
          <w:rFonts w:asciiTheme="minorHAnsi" w:eastAsiaTheme="minorEastAsia" w:hAnsiTheme="minorHAnsi" w:cstheme="minorBidi"/>
          <w:szCs w:val="22"/>
        </w:rPr>
      </w:pPr>
      <w:r>
        <w:t>437.</w:t>
      </w:r>
      <w:r>
        <w:tab/>
        <w:t>Unlawfully taking fish etc.</w:t>
      </w:r>
      <w:r>
        <w:tab/>
      </w:r>
      <w:r>
        <w:fldChar w:fldCharType="begin"/>
      </w:r>
      <w:r>
        <w:instrText xml:space="preserve"> PAGEREF _Toc88662425 \h </w:instrText>
      </w:r>
      <w:r>
        <w:fldChar w:fldCharType="separate"/>
      </w:r>
      <w:r>
        <w:t>270</w:t>
      </w:r>
      <w:r>
        <w:fldChar w:fldCharType="end"/>
      </w:r>
    </w:p>
    <w:p>
      <w:pPr>
        <w:pStyle w:val="TOC4"/>
        <w:tabs>
          <w:tab w:val="right" w:leader="dot" w:pos="7077"/>
        </w:tabs>
        <w:rPr>
          <w:rFonts w:asciiTheme="minorHAnsi" w:eastAsiaTheme="minorEastAsia" w:hAnsiTheme="minorHAnsi" w:cstheme="minorBidi"/>
          <w:b w:val="0"/>
          <w:szCs w:val="22"/>
        </w:rPr>
      </w:pPr>
      <w:r>
        <w:t>Chapter XLIVA</w:t>
      </w:r>
      <w:r>
        <w:rPr>
          <w:snapToGrid w:val="0"/>
        </w:rPr>
        <w:t> — </w:t>
      </w:r>
      <w:r>
        <w:t>Unauthorised use of computer systems</w:t>
      </w:r>
    </w:p>
    <w:p>
      <w:pPr>
        <w:pStyle w:val="TOC8"/>
        <w:rPr>
          <w:rFonts w:asciiTheme="minorHAnsi" w:eastAsiaTheme="minorEastAsia" w:hAnsiTheme="minorHAnsi" w:cstheme="minorBidi"/>
          <w:szCs w:val="22"/>
        </w:rPr>
      </w:pPr>
      <w:r>
        <w:t>440A.</w:t>
      </w:r>
      <w:r>
        <w:tab/>
        <w:t>Unlawful use of computer</w:t>
      </w:r>
      <w:r>
        <w:tab/>
      </w:r>
      <w:r>
        <w:fldChar w:fldCharType="begin"/>
      </w:r>
      <w:r>
        <w:instrText xml:space="preserve"> PAGEREF _Toc88662427 \h </w:instrText>
      </w:r>
      <w:r>
        <w:fldChar w:fldCharType="separate"/>
      </w:r>
      <w:r>
        <w:t>270</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II — Injuries to property</w:t>
      </w:r>
    </w:p>
    <w:p>
      <w:pPr>
        <w:pStyle w:val="TOC4"/>
        <w:tabs>
          <w:tab w:val="right" w:leader="dot" w:pos="7077"/>
        </w:tabs>
        <w:rPr>
          <w:rFonts w:asciiTheme="minorHAnsi" w:eastAsiaTheme="minorEastAsia" w:hAnsiTheme="minorHAnsi" w:cstheme="minorBidi"/>
          <w:b w:val="0"/>
          <w:szCs w:val="22"/>
        </w:rPr>
      </w:pPr>
      <w:r>
        <w:t>Chapter XLV</w:t>
      </w:r>
      <w:r>
        <w:rPr>
          <w:snapToGrid w:val="0"/>
        </w:rPr>
        <w:t> — </w:t>
      </w:r>
      <w:r>
        <w:t>Preliminary matters</w:t>
      </w:r>
    </w:p>
    <w:p>
      <w:pPr>
        <w:pStyle w:val="TOC8"/>
        <w:rPr>
          <w:rFonts w:asciiTheme="minorHAnsi" w:eastAsiaTheme="minorEastAsia" w:hAnsiTheme="minorHAnsi" w:cstheme="minorBidi"/>
          <w:szCs w:val="22"/>
        </w:rPr>
      </w:pPr>
      <w:r>
        <w:t>441</w:t>
      </w:r>
      <w:r>
        <w:rPr>
          <w:snapToGrid w:val="0"/>
        </w:rPr>
        <w:t>.</w:t>
      </w:r>
      <w:r>
        <w:rPr>
          <w:snapToGrid w:val="0"/>
        </w:rPr>
        <w:tab/>
        <w:t>Acts injuring property, when unlawful etc.</w:t>
      </w:r>
      <w:r>
        <w:tab/>
      </w:r>
      <w:r>
        <w:fldChar w:fldCharType="begin"/>
      </w:r>
      <w:r>
        <w:instrText xml:space="preserve"> PAGEREF _Toc88662430 \h </w:instrText>
      </w:r>
      <w:r>
        <w:fldChar w:fldCharType="separate"/>
      </w:r>
      <w:r>
        <w:t>272</w:t>
      </w:r>
      <w:r>
        <w:fldChar w:fldCharType="end"/>
      </w:r>
    </w:p>
    <w:p>
      <w:pPr>
        <w:pStyle w:val="TOC8"/>
        <w:rPr>
          <w:rFonts w:asciiTheme="minorHAnsi" w:eastAsiaTheme="minorEastAsia" w:hAnsiTheme="minorHAnsi" w:cstheme="minorBidi"/>
          <w:szCs w:val="22"/>
        </w:rPr>
      </w:pPr>
      <w:r>
        <w:t>442</w:t>
      </w:r>
      <w:r>
        <w:rPr>
          <w:snapToGrid w:val="0"/>
        </w:rPr>
        <w:t>.</w:t>
      </w:r>
      <w:r>
        <w:rPr>
          <w:snapToGrid w:val="0"/>
        </w:rPr>
        <w:tab/>
        <w:t>Lawful act done with intent to defraud is unlawful</w:t>
      </w:r>
      <w:r>
        <w:tab/>
      </w:r>
      <w:r>
        <w:fldChar w:fldCharType="begin"/>
      </w:r>
      <w:r>
        <w:instrText xml:space="preserve"> PAGEREF _Toc88662431 \h </w:instrText>
      </w:r>
      <w:r>
        <w:fldChar w:fldCharType="separate"/>
      </w:r>
      <w:r>
        <w:t>272</w:t>
      </w:r>
      <w:r>
        <w:fldChar w:fldCharType="end"/>
      </w:r>
    </w:p>
    <w:p>
      <w:pPr>
        <w:pStyle w:val="TOC8"/>
        <w:rPr>
          <w:rFonts w:asciiTheme="minorHAnsi" w:eastAsiaTheme="minorEastAsia" w:hAnsiTheme="minorHAnsi" w:cstheme="minorBidi"/>
          <w:szCs w:val="22"/>
        </w:rPr>
      </w:pPr>
      <w:r>
        <w:t>443</w:t>
      </w:r>
      <w:r>
        <w:rPr>
          <w:snapToGrid w:val="0"/>
        </w:rPr>
        <w:t>.</w:t>
      </w:r>
      <w:r>
        <w:rPr>
          <w:iCs/>
          <w:snapToGrid w:val="0"/>
        </w:rPr>
        <w:tab/>
        <w:t xml:space="preserve">Term used: </w:t>
      </w:r>
      <w:r>
        <w:rPr>
          <w:bCs/>
        </w:rPr>
        <w:t>wilfully destroy or damage</w:t>
      </w:r>
      <w:r>
        <w:tab/>
      </w:r>
      <w:r>
        <w:fldChar w:fldCharType="begin"/>
      </w:r>
      <w:r>
        <w:instrText xml:space="preserve"> PAGEREF _Toc88662432 \h </w:instrText>
      </w:r>
      <w:r>
        <w:fldChar w:fldCharType="separate"/>
      </w:r>
      <w:r>
        <w:t>273</w:t>
      </w:r>
      <w:r>
        <w:fldChar w:fldCharType="end"/>
      </w:r>
    </w:p>
    <w:p>
      <w:pPr>
        <w:pStyle w:val="TOC8"/>
        <w:rPr>
          <w:rFonts w:asciiTheme="minorHAnsi" w:eastAsiaTheme="minorEastAsia" w:hAnsiTheme="minorHAnsi" w:cstheme="minorBidi"/>
          <w:szCs w:val="22"/>
        </w:rPr>
      </w:pPr>
      <w:r>
        <w:t>444A.</w:t>
      </w:r>
      <w:r>
        <w:tab/>
        <w:t>Duty of person in control of ignition source or fire</w:t>
      </w:r>
      <w:r>
        <w:tab/>
      </w:r>
      <w:r>
        <w:fldChar w:fldCharType="begin"/>
      </w:r>
      <w:r>
        <w:instrText xml:space="preserve"> PAGEREF _Toc88662433 \h </w:instrText>
      </w:r>
      <w:r>
        <w:fldChar w:fldCharType="separate"/>
      </w:r>
      <w:r>
        <w:t>273</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XLVI</w:t>
      </w:r>
      <w:r>
        <w:rPr>
          <w:snapToGrid w:val="0"/>
        </w:rPr>
        <w:t> — </w:t>
      </w:r>
      <w:r>
        <w:t>Offences</w:t>
      </w:r>
    </w:p>
    <w:p>
      <w:pPr>
        <w:pStyle w:val="TOC8"/>
        <w:rPr>
          <w:rFonts w:asciiTheme="minorHAnsi" w:eastAsiaTheme="minorEastAsia" w:hAnsiTheme="minorHAnsi" w:cstheme="minorBidi"/>
          <w:szCs w:val="22"/>
        </w:rPr>
      </w:pPr>
      <w:r>
        <w:t>444.</w:t>
      </w:r>
      <w:r>
        <w:tab/>
        <w:t>Criminal damage</w:t>
      </w:r>
      <w:r>
        <w:tab/>
      </w:r>
      <w:r>
        <w:fldChar w:fldCharType="begin"/>
      </w:r>
      <w:r>
        <w:instrText xml:space="preserve"> PAGEREF _Toc88662435 \h </w:instrText>
      </w:r>
      <w:r>
        <w:fldChar w:fldCharType="separate"/>
      </w:r>
      <w:r>
        <w:t>274</w:t>
      </w:r>
      <w:r>
        <w:fldChar w:fldCharType="end"/>
      </w:r>
    </w:p>
    <w:p>
      <w:pPr>
        <w:pStyle w:val="TOC8"/>
        <w:rPr>
          <w:rFonts w:asciiTheme="minorHAnsi" w:eastAsiaTheme="minorEastAsia" w:hAnsiTheme="minorHAnsi" w:cstheme="minorBidi"/>
          <w:szCs w:val="22"/>
        </w:rPr>
      </w:pPr>
      <w:r>
        <w:t>445A.</w:t>
      </w:r>
      <w:r>
        <w:tab/>
        <w:t>Breach of s. 444A duty</w:t>
      </w:r>
      <w:r>
        <w:tab/>
      </w:r>
      <w:r>
        <w:fldChar w:fldCharType="begin"/>
      </w:r>
      <w:r>
        <w:instrText xml:space="preserve"> PAGEREF _Toc88662436 \h </w:instrText>
      </w:r>
      <w:r>
        <w:fldChar w:fldCharType="separate"/>
      </w:r>
      <w:r>
        <w:t>275</w:t>
      </w:r>
      <w:r>
        <w:fldChar w:fldCharType="end"/>
      </w:r>
    </w:p>
    <w:p>
      <w:pPr>
        <w:pStyle w:val="TOC8"/>
        <w:rPr>
          <w:rFonts w:asciiTheme="minorHAnsi" w:eastAsiaTheme="minorEastAsia" w:hAnsiTheme="minorHAnsi" w:cstheme="minorBidi"/>
          <w:szCs w:val="22"/>
        </w:rPr>
      </w:pPr>
      <w:r>
        <w:t>445.</w:t>
      </w:r>
      <w:r>
        <w:tab/>
        <w:t>Damaging property</w:t>
      </w:r>
      <w:r>
        <w:tab/>
      </w:r>
      <w:r>
        <w:fldChar w:fldCharType="begin"/>
      </w:r>
      <w:r>
        <w:instrText xml:space="preserve"> PAGEREF _Toc88662437 \h </w:instrText>
      </w:r>
      <w:r>
        <w:fldChar w:fldCharType="separate"/>
      </w:r>
      <w:r>
        <w:t>275</w:t>
      </w:r>
      <w:r>
        <w:fldChar w:fldCharType="end"/>
      </w:r>
    </w:p>
    <w:p>
      <w:pPr>
        <w:pStyle w:val="TOC8"/>
        <w:rPr>
          <w:rFonts w:asciiTheme="minorHAnsi" w:eastAsiaTheme="minorEastAsia" w:hAnsiTheme="minorHAnsi" w:cstheme="minorBidi"/>
          <w:szCs w:val="22"/>
        </w:rPr>
      </w:pPr>
      <w:r>
        <w:t>449</w:t>
      </w:r>
      <w:r>
        <w:rPr>
          <w:snapToGrid w:val="0"/>
        </w:rPr>
        <w:t>.</w:t>
      </w:r>
      <w:r>
        <w:rPr>
          <w:snapToGrid w:val="0"/>
        </w:rPr>
        <w:tab/>
        <w:t>Casting away etc. vessel</w:t>
      </w:r>
      <w:r>
        <w:tab/>
      </w:r>
      <w:r>
        <w:fldChar w:fldCharType="begin"/>
      </w:r>
      <w:r>
        <w:instrText xml:space="preserve"> PAGEREF _Toc88662438 \h </w:instrText>
      </w:r>
      <w:r>
        <w:fldChar w:fldCharType="separate"/>
      </w:r>
      <w:r>
        <w:t>275</w:t>
      </w:r>
      <w:r>
        <w:fldChar w:fldCharType="end"/>
      </w:r>
    </w:p>
    <w:p>
      <w:pPr>
        <w:pStyle w:val="TOC8"/>
        <w:rPr>
          <w:rFonts w:asciiTheme="minorHAnsi" w:eastAsiaTheme="minorEastAsia" w:hAnsiTheme="minorHAnsi" w:cstheme="minorBidi"/>
          <w:szCs w:val="22"/>
        </w:rPr>
      </w:pPr>
      <w:r>
        <w:t>451</w:t>
      </w:r>
      <w:r>
        <w:rPr>
          <w:snapToGrid w:val="0"/>
        </w:rPr>
        <w:t>.</w:t>
      </w:r>
      <w:r>
        <w:rPr>
          <w:snapToGrid w:val="0"/>
        </w:rPr>
        <w:tab/>
        <w:t>Acts etc. with intent to obstruct or injure railway</w:t>
      </w:r>
      <w:r>
        <w:tab/>
      </w:r>
      <w:r>
        <w:fldChar w:fldCharType="begin"/>
      </w:r>
      <w:r>
        <w:instrText xml:space="preserve"> PAGEREF _Toc88662439 \h </w:instrText>
      </w:r>
      <w:r>
        <w:fldChar w:fldCharType="separate"/>
      </w:r>
      <w:r>
        <w:t>276</w:t>
      </w:r>
      <w:r>
        <w:fldChar w:fldCharType="end"/>
      </w:r>
    </w:p>
    <w:p>
      <w:pPr>
        <w:pStyle w:val="TOC8"/>
        <w:rPr>
          <w:rFonts w:asciiTheme="minorHAnsi" w:eastAsiaTheme="minorEastAsia" w:hAnsiTheme="minorHAnsi" w:cstheme="minorBidi"/>
          <w:szCs w:val="22"/>
        </w:rPr>
      </w:pPr>
      <w:r>
        <w:t>451A</w:t>
      </w:r>
      <w:r>
        <w:rPr>
          <w:snapToGrid w:val="0"/>
        </w:rPr>
        <w:t>.</w:t>
      </w:r>
      <w:r>
        <w:rPr>
          <w:snapToGrid w:val="0"/>
        </w:rPr>
        <w:tab/>
        <w:t>Acts etc. with intent to prejudice safe use of aircraft etc.</w:t>
      </w:r>
      <w:r>
        <w:tab/>
      </w:r>
      <w:r>
        <w:fldChar w:fldCharType="begin"/>
      </w:r>
      <w:r>
        <w:instrText xml:space="preserve"> PAGEREF _Toc88662440 \h </w:instrText>
      </w:r>
      <w:r>
        <w:fldChar w:fldCharType="separate"/>
      </w:r>
      <w:r>
        <w:t>276</w:t>
      </w:r>
      <w:r>
        <w:fldChar w:fldCharType="end"/>
      </w:r>
    </w:p>
    <w:p>
      <w:pPr>
        <w:pStyle w:val="TOC8"/>
        <w:rPr>
          <w:rFonts w:asciiTheme="minorHAnsi" w:eastAsiaTheme="minorEastAsia" w:hAnsiTheme="minorHAnsi" w:cstheme="minorBidi"/>
          <w:szCs w:val="22"/>
        </w:rPr>
      </w:pPr>
      <w:r>
        <w:t>451B</w:t>
      </w:r>
      <w:r>
        <w:rPr>
          <w:snapToGrid w:val="0"/>
        </w:rPr>
        <w:t>.</w:t>
      </w:r>
      <w:r>
        <w:rPr>
          <w:snapToGrid w:val="0"/>
        </w:rPr>
        <w:tab/>
        <w:t>Unlawfully interfering with aircraft</w:t>
      </w:r>
      <w:r>
        <w:tab/>
      </w:r>
      <w:r>
        <w:fldChar w:fldCharType="begin"/>
      </w:r>
      <w:r>
        <w:instrText xml:space="preserve"> PAGEREF _Toc88662441 \h </w:instrText>
      </w:r>
      <w:r>
        <w:fldChar w:fldCharType="separate"/>
      </w:r>
      <w:r>
        <w:t>277</w:t>
      </w:r>
      <w:r>
        <w:fldChar w:fldCharType="end"/>
      </w:r>
    </w:p>
    <w:p>
      <w:pPr>
        <w:pStyle w:val="TOC8"/>
        <w:rPr>
          <w:rFonts w:asciiTheme="minorHAnsi" w:eastAsiaTheme="minorEastAsia" w:hAnsiTheme="minorHAnsi" w:cstheme="minorBidi"/>
          <w:szCs w:val="22"/>
        </w:rPr>
      </w:pPr>
      <w:r>
        <w:t>454</w:t>
      </w:r>
      <w:r>
        <w:rPr>
          <w:snapToGrid w:val="0"/>
        </w:rPr>
        <w:t>.</w:t>
      </w:r>
      <w:r>
        <w:rPr>
          <w:snapToGrid w:val="0"/>
        </w:rPr>
        <w:tab/>
        <w:t>Causing explosion likely to do serious injury to property</w:t>
      </w:r>
      <w:r>
        <w:tab/>
      </w:r>
      <w:r>
        <w:fldChar w:fldCharType="begin"/>
      </w:r>
      <w:r>
        <w:instrText xml:space="preserve"> PAGEREF _Toc88662442 \h </w:instrText>
      </w:r>
      <w:r>
        <w:fldChar w:fldCharType="separate"/>
      </w:r>
      <w:r>
        <w:t>277</w:t>
      </w:r>
      <w:r>
        <w:fldChar w:fldCharType="end"/>
      </w:r>
    </w:p>
    <w:p>
      <w:pPr>
        <w:pStyle w:val="TOC8"/>
        <w:rPr>
          <w:rFonts w:asciiTheme="minorHAnsi" w:eastAsiaTheme="minorEastAsia" w:hAnsiTheme="minorHAnsi" w:cstheme="minorBidi"/>
          <w:szCs w:val="22"/>
        </w:rPr>
      </w:pPr>
      <w:r>
        <w:t>455</w:t>
      </w:r>
      <w:r>
        <w:rPr>
          <w:snapToGrid w:val="0"/>
        </w:rPr>
        <w:t>.</w:t>
      </w:r>
      <w:r>
        <w:rPr>
          <w:snapToGrid w:val="0"/>
        </w:rPr>
        <w:tab/>
        <w:t>Acts done with intent to cause explosion likely to do serious injury to property</w:t>
      </w:r>
      <w:r>
        <w:tab/>
      </w:r>
      <w:r>
        <w:fldChar w:fldCharType="begin"/>
      </w:r>
      <w:r>
        <w:instrText xml:space="preserve"> PAGEREF _Toc88662443 \h </w:instrText>
      </w:r>
      <w:r>
        <w:fldChar w:fldCharType="separate"/>
      </w:r>
      <w:r>
        <w:t>277</w:t>
      </w:r>
      <w:r>
        <w:fldChar w:fldCharType="end"/>
      </w:r>
    </w:p>
    <w:p>
      <w:pPr>
        <w:pStyle w:val="TOC8"/>
        <w:rPr>
          <w:rFonts w:asciiTheme="minorHAnsi" w:eastAsiaTheme="minorEastAsia" w:hAnsiTheme="minorHAnsi" w:cstheme="minorBidi"/>
          <w:szCs w:val="22"/>
        </w:rPr>
      </w:pPr>
      <w:r>
        <w:t>456</w:t>
      </w:r>
      <w:r>
        <w:rPr>
          <w:snapToGrid w:val="0"/>
        </w:rPr>
        <w:t>.</w:t>
      </w:r>
      <w:r>
        <w:rPr>
          <w:snapToGrid w:val="0"/>
        </w:rPr>
        <w:tab/>
        <w:t>Acts with intent to injure mine etc.</w:t>
      </w:r>
      <w:r>
        <w:tab/>
      </w:r>
      <w:r>
        <w:fldChar w:fldCharType="begin"/>
      </w:r>
      <w:r>
        <w:instrText xml:space="preserve"> PAGEREF _Toc88662444 \h </w:instrText>
      </w:r>
      <w:r>
        <w:fldChar w:fldCharType="separate"/>
      </w:r>
      <w:r>
        <w:t>278</w:t>
      </w:r>
      <w:r>
        <w:fldChar w:fldCharType="end"/>
      </w:r>
    </w:p>
    <w:p>
      <w:pPr>
        <w:pStyle w:val="TOC8"/>
        <w:rPr>
          <w:rFonts w:asciiTheme="minorHAnsi" w:eastAsiaTheme="minorEastAsia" w:hAnsiTheme="minorHAnsi" w:cstheme="minorBidi"/>
          <w:szCs w:val="22"/>
        </w:rPr>
      </w:pPr>
      <w:r>
        <w:t>457</w:t>
      </w:r>
      <w:r>
        <w:rPr>
          <w:snapToGrid w:val="0"/>
        </w:rPr>
        <w:t>.</w:t>
      </w:r>
      <w:r>
        <w:rPr>
          <w:snapToGrid w:val="0"/>
        </w:rPr>
        <w:tab/>
        <w:t>Interfering with marine navigation aid</w:t>
      </w:r>
      <w:r>
        <w:tab/>
      </w:r>
      <w:r>
        <w:fldChar w:fldCharType="begin"/>
      </w:r>
      <w:r>
        <w:instrText xml:space="preserve"> PAGEREF _Toc88662445 \h </w:instrText>
      </w:r>
      <w:r>
        <w:fldChar w:fldCharType="separate"/>
      </w:r>
      <w:r>
        <w:t>279</w:t>
      </w:r>
      <w:r>
        <w:fldChar w:fldCharType="end"/>
      </w:r>
    </w:p>
    <w:p>
      <w:pPr>
        <w:pStyle w:val="TOC8"/>
        <w:rPr>
          <w:rFonts w:asciiTheme="minorHAnsi" w:eastAsiaTheme="minorEastAsia" w:hAnsiTheme="minorHAnsi" w:cstheme="minorBidi"/>
          <w:szCs w:val="22"/>
        </w:rPr>
      </w:pPr>
      <w:r>
        <w:t>458</w:t>
      </w:r>
      <w:r>
        <w:rPr>
          <w:snapToGrid w:val="0"/>
        </w:rPr>
        <w:t>.</w:t>
      </w:r>
      <w:r>
        <w:rPr>
          <w:snapToGrid w:val="0"/>
        </w:rPr>
        <w:tab/>
        <w:t>Interfering with navigation works</w:t>
      </w:r>
      <w:r>
        <w:tab/>
      </w:r>
      <w:r>
        <w:fldChar w:fldCharType="begin"/>
      </w:r>
      <w:r>
        <w:instrText xml:space="preserve"> PAGEREF _Toc88662446 \h </w:instrText>
      </w:r>
      <w:r>
        <w:fldChar w:fldCharType="separate"/>
      </w:r>
      <w:r>
        <w:t>279</w:t>
      </w:r>
      <w:r>
        <w:fldChar w:fldCharType="end"/>
      </w:r>
    </w:p>
    <w:p>
      <w:pPr>
        <w:pStyle w:val="TOC8"/>
        <w:rPr>
          <w:rFonts w:asciiTheme="minorHAnsi" w:eastAsiaTheme="minorEastAsia" w:hAnsiTheme="minorHAnsi" w:cstheme="minorBidi"/>
          <w:szCs w:val="22"/>
        </w:rPr>
      </w:pPr>
      <w:r>
        <w:t>459</w:t>
      </w:r>
      <w:r>
        <w:rPr>
          <w:snapToGrid w:val="0"/>
        </w:rPr>
        <w:t>.</w:t>
      </w:r>
      <w:r>
        <w:rPr>
          <w:snapToGrid w:val="0"/>
        </w:rPr>
        <w:tab/>
        <w:t>Communicating infectious disease to animal</w:t>
      </w:r>
      <w:r>
        <w:tab/>
      </w:r>
      <w:r>
        <w:fldChar w:fldCharType="begin"/>
      </w:r>
      <w:r>
        <w:instrText xml:space="preserve"> PAGEREF _Toc88662447 \h </w:instrText>
      </w:r>
      <w:r>
        <w:fldChar w:fldCharType="separate"/>
      </w:r>
      <w:r>
        <w:t>280</w:t>
      </w:r>
      <w:r>
        <w:fldChar w:fldCharType="end"/>
      </w:r>
    </w:p>
    <w:p>
      <w:pPr>
        <w:pStyle w:val="TOC8"/>
        <w:rPr>
          <w:rFonts w:asciiTheme="minorHAnsi" w:eastAsiaTheme="minorEastAsia" w:hAnsiTheme="minorHAnsi" w:cstheme="minorBidi"/>
          <w:szCs w:val="22"/>
        </w:rPr>
      </w:pPr>
      <w:r>
        <w:t>460</w:t>
      </w:r>
      <w:r>
        <w:rPr>
          <w:snapToGrid w:val="0"/>
        </w:rPr>
        <w:t>.</w:t>
      </w:r>
      <w:r>
        <w:rPr>
          <w:snapToGrid w:val="0"/>
        </w:rPr>
        <w:tab/>
        <w:t>Unlawfully travelling with infected animal</w:t>
      </w:r>
      <w:r>
        <w:tab/>
      </w:r>
      <w:r>
        <w:fldChar w:fldCharType="begin"/>
      </w:r>
      <w:r>
        <w:instrText xml:space="preserve"> PAGEREF _Toc88662448 \h </w:instrText>
      </w:r>
      <w:r>
        <w:fldChar w:fldCharType="separate"/>
      </w:r>
      <w:r>
        <w:t>280</w:t>
      </w:r>
      <w:r>
        <w:fldChar w:fldCharType="end"/>
      </w:r>
    </w:p>
    <w:p>
      <w:pPr>
        <w:pStyle w:val="TOC8"/>
        <w:rPr>
          <w:rFonts w:asciiTheme="minorHAnsi" w:eastAsiaTheme="minorEastAsia" w:hAnsiTheme="minorHAnsi" w:cstheme="minorBidi"/>
          <w:szCs w:val="22"/>
        </w:rPr>
      </w:pPr>
      <w:r>
        <w:t>461</w:t>
      </w:r>
      <w:r>
        <w:rPr>
          <w:snapToGrid w:val="0"/>
        </w:rPr>
        <w:t>.</w:t>
      </w:r>
      <w:r>
        <w:rPr>
          <w:snapToGrid w:val="0"/>
        </w:rPr>
        <w:tab/>
        <w:t>Removing boundary mark with intent to defraud</w:t>
      </w:r>
      <w:r>
        <w:tab/>
      </w:r>
      <w:r>
        <w:fldChar w:fldCharType="begin"/>
      </w:r>
      <w:r>
        <w:instrText xml:space="preserve"> PAGEREF _Toc88662449 \h </w:instrText>
      </w:r>
      <w:r>
        <w:fldChar w:fldCharType="separate"/>
      </w:r>
      <w:r>
        <w:t>280</w:t>
      </w:r>
      <w:r>
        <w:fldChar w:fldCharType="end"/>
      </w:r>
    </w:p>
    <w:p>
      <w:pPr>
        <w:pStyle w:val="TOC8"/>
        <w:rPr>
          <w:rFonts w:asciiTheme="minorHAnsi" w:eastAsiaTheme="minorEastAsia" w:hAnsiTheme="minorHAnsi" w:cstheme="minorBidi"/>
          <w:szCs w:val="22"/>
        </w:rPr>
      </w:pPr>
      <w:r>
        <w:t>462</w:t>
      </w:r>
      <w:r>
        <w:rPr>
          <w:snapToGrid w:val="0"/>
        </w:rPr>
        <w:t>.</w:t>
      </w:r>
      <w:r>
        <w:rPr>
          <w:snapToGrid w:val="0"/>
        </w:rPr>
        <w:tab/>
        <w:t>Obstructing railway</w:t>
      </w:r>
      <w:r>
        <w:tab/>
      </w:r>
      <w:r>
        <w:fldChar w:fldCharType="begin"/>
      </w:r>
      <w:r>
        <w:instrText xml:space="preserve"> PAGEREF _Toc88662450 \h </w:instrText>
      </w:r>
      <w:r>
        <w:fldChar w:fldCharType="separate"/>
      </w:r>
      <w:r>
        <w:t>280</w:t>
      </w:r>
      <w:r>
        <w:fldChar w:fldCharType="end"/>
      </w:r>
    </w:p>
    <w:p>
      <w:pPr>
        <w:pStyle w:val="TOC4"/>
        <w:tabs>
          <w:tab w:val="right" w:leader="dot" w:pos="7077"/>
        </w:tabs>
        <w:rPr>
          <w:rFonts w:asciiTheme="minorHAnsi" w:eastAsiaTheme="minorEastAsia" w:hAnsiTheme="minorHAnsi" w:cstheme="minorBidi"/>
          <w:b w:val="0"/>
          <w:szCs w:val="22"/>
        </w:rPr>
      </w:pPr>
      <w:r>
        <w:t>Division III — Forgery and like offences: Identity crime: Personation</w:t>
      </w:r>
    </w:p>
    <w:p>
      <w:pPr>
        <w:pStyle w:val="TOC4"/>
        <w:tabs>
          <w:tab w:val="right" w:leader="dot" w:pos="7077"/>
        </w:tabs>
        <w:rPr>
          <w:rFonts w:asciiTheme="minorHAnsi" w:eastAsiaTheme="minorEastAsia" w:hAnsiTheme="minorHAnsi" w:cstheme="minorBidi"/>
          <w:b w:val="0"/>
          <w:szCs w:val="22"/>
        </w:rPr>
      </w:pPr>
      <w:r>
        <w:t>Chapter XLIX</w:t>
      </w:r>
      <w:r>
        <w:rPr>
          <w:snapToGrid w:val="0"/>
        </w:rPr>
        <w:t> — </w:t>
      </w:r>
      <w:r>
        <w:t>Forgery and uttering</w:t>
      </w:r>
    </w:p>
    <w:p>
      <w:pPr>
        <w:pStyle w:val="TOC8"/>
        <w:rPr>
          <w:rFonts w:asciiTheme="minorHAnsi" w:eastAsiaTheme="minorEastAsia" w:hAnsiTheme="minorHAnsi" w:cstheme="minorBidi"/>
          <w:szCs w:val="22"/>
        </w:rPr>
      </w:pPr>
      <w:r>
        <w:t>473</w:t>
      </w:r>
      <w:r>
        <w:rPr>
          <w:snapToGrid w:val="0"/>
        </w:rPr>
        <w:t>.</w:t>
      </w:r>
      <w:r>
        <w:rPr>
          <w:snapToGrid w:val="0"/>
        </w:rPr>
        <w:tab/>
        <w:t>Forgery and uttering</w:t>
      </w:r>
      <w:r>
        <w:tab/>
      </w:r>
      <w:r>
        <w:fldChar w:fldCharType="begin"/>
      </w:r>
      <w:r>
        <w:instrText xml:space="preserve"> PAGEREF _Toc88662453 \h </w:instrText>
      </w:r>
      <w:r>
        <w:fldChar w:fldCharType="separate"/>
      </w:r>
      <w:r>
        <w:t>281</w:t>
      </w:r>
      <w:r>
        <w:fldChar w:fldCharType="end"/>
      </w:r>
    </w:p>
    <w:p>
      <w:pPr>
        <w:pStyle w:val="TOC8"/>
        <w:rPr>
          <w:rFonts w:asciiTheme="minorHAnsi" w:eastAsiaTheme="minorEastAsia" w:hAnsiTheme="minorHAnsi" w:cstheme="minorBidi"/>
          <w:szCs w:val="22"/>
        </w:rPr>
      </w:pPr>
      <w:r>
        <w:t>474.</w:t>
      </w:r>
      <w:r>
        <w:tab/>
        <w:t>Preparation for forgery etc.</w:t>
      </w:r>
      <w:r>
        <w:tab/>
      </w:r>
      <w:r>
        <w:fldChar w:fldCharType="begin"/>
      </w:r>
      <w:r>
        <w:instrText xml:space="preserve"> PAGEREF _Toc88662454 \h </w:instrText>
      </w:r>
      <w:r>
        <w:fldChar w:fldCharType="separate"/>
      </w:r>
      <w:r>
        <w:t>282</w:t>
      </w:r>
      <w:r>
        <w:fldChar w:fldCharType="end"/>
      </w:r>
    </w:p>
    <w:p>
      <w:pPr>
        <w:pStyle w:val="TOC4"/>
        <w:tabs>
          <w:tab w:val="right" w:leader="dot" w:pos="7077"/>
        </w:tabs>
        <w:rPr>
          <w:rFonts w:asciiTheme="minorHAnsi" w:eastAsiaTheme="minorEastAsia" w:hAnsiTheme="minorHAnsi" w:cstheme="minorBidi"/>
          <w:b w:val="0"/>
          <w:szCs w:val="22"/>
        </w:rPr>
      </w:pPr>
      <w:r>
        <w:t>Chapter L</w:t>
      </w:r>
      <w:r>
        <w:rPr>
          <w:snapToGrid w:val="0"/>
        </w:rPr>
        <w:t> — </w:t>
      </w:r>
      <w:r>
        <w:t>False representations as to status</w:t>
      </w:r>
    </w:p>
    <w:p>
      <w:pPr>
        <w:pStyle w:val="TOC8"/>
        <w:rPr>
          <w:rFonts w:asciiTheme="minorHAnsi" w:eastAsiaTheme="minorEastAsia" w:hAnsiTheme="minorHAnsi" w:cstheme="minorBidi"/>
          <w:szCs w:val="22"/>
        </w:rPr>
      </w:pPr>
      <w:r>
        <w:t>488</w:t>
      </w:r>
      <w:r>
        <w:rPr>
          <w:snapToGrid w:val="0"/>
        </w:rPr>
        <w:t>.</w:t>
      </w:r>
      <w:r>
        <w:rPr>
          <w:snapToGrid w:val="0"/>
        </w:rPr>
        <w:tab/>
        <w:t>Procuring or claiming unauthorised status</w:t>
      </w:r>
      <w:r>
        <w:tab/>
      </w:r>
      <w:r>
        <w:fldChar w:fldCharType="begin"/>
      </w:r>
      <w:r>
        <w:instrText xml:space="preserve"> PAGEREF _Toc88662456 \h </w:instrText>
      </w:r>
      <w:r>
        <w:fldChar w:fldCharType="separate"/>
      </w:r>
      <w:r>
        <w:t>282</w:t>
      </w:r>
      <w:r>
        <w:fldChar w:fldCharType="end"/>
      </w:r>
    </w:p>
    <w:p>
      <w:pPr>
        <w:pStyle w:val="TOC4"/>
        <w:tabs>
          <w:tab w:val="right" w:leader="dot" w:pos="7077"/>
        </w:tabs>
        <w:rPr>
          <w:rFonts w:asciiTheme="minorHAnsi" w:eastAsiaTheme="minorEastAsia" w:hAnsiTheme="minorHAnsi" w:cstheme="minorBidi"/>
          <w:b w:val="0"/>
          <w:szCs w:val="22"/>
        </w:rPr>
      </w:pPr>
      <w:r>
        <w:t>Chapter LI — Identity crime</w:t>
      </w:r>
    </w:p>
    <w:p>
      <w:pPr>
        <w:pStyle w:val="TOC8"/>
        <w:rPr>
          <w:rFonts w:asciiTheme="minorHAnsi" w:eastAsiaTheme="minorEastAsia" w:hAnsiTheme="minorHAnsi" w:cstheme="minorBidi"/>
          <w:szCs w:val="22"/>
        </w:rPr>
      </w:pPr>
      <w:r>
        <w:t>489.</w:t>
      </w:r>
      <w:r>
        <w:tab/>
        <w:t>Terms used</w:t>
      </w:r>
      <w:r>
        <w:tab/>
      </w:r>
      <w:r>
        <w:fldChar w:fldCharType="begin"/>
      </w:r>
      <w:r>
        <w:instrText xml:space="preserve"> PAGEREF _Toc88662458 \h </w:instrText>
      </w:r>
      <w:r>
        <w:fldChar w:fldCharType="separate"/>
      </w:r>
      <w:r>
        <w:t>283</w:t>
      </w:r>
      <w:r>
        <w:fldChar w:fldCharType="end"/>
      </w:r>
    </w:p>
    <w:p>
      <w:pPr>
        <w:pStyle w:val="TOC8"/>
        <w:rPr>
          <w:rFonts w:asciiTheme="minorHAnsi" w:eastAsiaTheme="minorEastAsia" w:hAnsiTheme="minorHAnsi" w:cstheme="minorBidi"/>
          <w:szCs w:val="22"/>
        </w:rPr>
      </w:pPr>
      <w:r>
        <w:t>490.</w:t>
      </w:r>
      <w:r>
        <w:tab/>
        <w:t>Making, using or supplying identification material with intent to commit indictable offence</w:t>
      </w:r>
      <w:r>
        <w:tab/>
      </w:r>
      <w:r>
        <w:fldChar w:fldCharType="begin"/>
      </w:r>
      <w:r>
        <w:instrText xml:space="preserve"> PAGEREF _Toc88662459 \h </w:instrText>
      </w:r>
      <w:r>
        <w:fldChar w:fldCharType="separate"/>
      </w:r>
      <w:r>
        <w:t>284</w:t>
      </w:r>
      <w:r>
        <w:fldChar w:fldCharType="end"/>
      </w:r>
    </w:p>
    <w:p>
      <w:pPr>
        <w:pStyle w:val="TOC8"/>
        <w:rPr>
          <w:rFonts w:asciiTheme="minorHAnsi" w:eastAsiaTheme="minorEastAsia" w:hAnsiTheme="minorHAnsi" w:cstheme="minorBidi"/>
          <w:szCs w:val="22"/>
        </w:rPr>
      </w:pPr>
      <w:r>
        <w:t>491.</w:t>
      </w:r>
      <w:r>
        <w:tab/>
        <w:t>Possessing identification material with intent to commit indictable offence</w:t>
      </w:r>
      <w:r>
        <w:tab/>
      </w:r>
      <w:r>
        <w:fldChar w:fldCharType="begin"/>
      </w:r>
      <w:r>
        <w:instrText xml:space="preserve"> PAGEREF _Toc88662460 \h </w:instrText>
      </w:r>
      <w:r>
        <w:fldChar w:fldCharType="separate"/>
      </w:r>
      <w:r>
        <w:t>285</w:t>
      </w:r>
      <w:r>
        <w:fldChar w:fldCharType="end"/>
      </w:r>
    </w:p>
    <w:p>
      <w:pPr>
        <w:pStyle w:val="TOC8"/>
        <w:rPr>
          <w:rFonts w:asciiTheme="minorHAnsi" w:eastAsiaTheme="minorEastAsia" w:hAnsiTheme="minorHAnsi" w:cstheme="minorBidi"/>
          <w:szCs w:val="22"/>
        </w:rPr>
      </w:pPr>
      <w:r>
        <w:t>492.</w:t>
      </w:r>
      <w:r>
        <w:tab/>
        <w:t>Possessing identification equipment with intent that it be used to commit indictable offence</w:t>
      </w:r>
      <w:r>
        <w:tab/>
      </w:r>
      <w:r>
        <w:fldChar w:fldCharType="begin"/>
      </w:r>
      <w:r>
        <w:instrText xml:space="preserve"> PAGEREF _Toc88662461 \h </w:instrText>
      </w:r>
      <w:r>
        <w:fldChar w:fldCharType="separate"/>
      </w:r>
      <w:r>
        <w:t>285</w:t>
      </w:r>
      <w:r>
        <w:fldChar w:fldCharType="end"/>
      </w:r>
    </w:p>
    <w:p>
      <w:pPr>
        <w:pStyle w:val="TOC8"/>
        <w:rPr>
          <w:rFonts w:asciiTheme="minorHAnsi" w:eastAsiaTheme="minorEastAsia" w:hAnsiTheme="minorHAnsi" w:cstheme="minorBidi"/>
          <w:szCs w:val="22"/>
        </w:rPr>
      </w:pPr>
      <w:r>
        <w:t>493.</w:t>
      </w:r>
      <w:r>
        <w:tab/>
        <w:t>Attempt offences do not apply</w:t>
      </w:r>
      <w:r>
        <w:tab/>
      </w:r>
      <w:r>
        <w:fldChar w:fldCharType="begin"/>
      </w:r>
      <w:r>
        <w:instrText xml:space="preserve"> PAGEREF _Toc88662462 \h </w:instrText>
      </w:r>
      <w:r>
        <w:fldChar w:fldCharType="separate"/>
      </w:r>
      <w:r>
        <w:t>286</w:t>
      </w:r>
      <w:r>
        <w:fldChar w:fldCharType="end"/>
      </w:r>
    </w:p>
    <w:p>
      <w:pPr>
        <w:pStyle w:val="TOC8"/>
        <w:rPr>
          <w:rFonts w:asciiTheme="minorHAnsi" w:eastAsiaTheme="minorEastAsia" w:hAnsiTheme="minorHAnsi" w:cstheme="minorBidi"/>
          <w:szCs w:val="22"/>
        </w:rPr>
      </w:pPr>
      <w:r>
        <w:t>494.</w:t>
      </w:r>
      <w:r>
        <w:tab/>
        <w:t>Court may grant certificate to victim of identity offence</w:t>
      </w:r>
      <w:r>
        <w:tab/>
      </w:r>
      <w:r>
        <w:fldChar w:fldCharType="begin"/>
      </w:r>
      <w:r>
        <w:instrText xml:space="preserve"> PAGEREF _Toc88662463 \h </w:instrText>
      </w:r>
      <w:r>
        <w:fldChar w:fldCharType="separate"/>
      </w:r>
      <w:r>
        <w:t>286</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LIII</w:t>
      </w:r>
      <w:r>
        <w:rPr>
          <w:snapToGrid w:val="0"/>
        </w:rPr>
        <w:t> — </w:t>
      </w:r>
      <w:r>
        <w:t>Personation</w:t>
      </w:r>
    </w:p>
    <w:p>
      <w:pPr>
        <w:pStyle w:val="TOC8"/>
        <w:rPr>
          <w:rFonts w:asciiTheme="minorHAnsi" w:eastAsiaTheme="minorEastAsia" w:hAnsiTheme="minorHAnsi" w:cstheme="minorBidi"/>
          <w:szCs w:val="22"/>
        </w:rPr>
      </w:pPr>
      <w:r>
        <w:t>510</w:t>
      </w:r>
      <w:r>
        <w:rPr>
          <w:snapToGrid w:val="0"/>
        </w:rPr>
        <w:t>.</w:t>
      </w:r>
      <w:r>
        <w:rPr>
          <w:snapToGrid w:val="0"/>
        </w:rPr>
        <w:tab/>
        <w:t>Personation in general</w:t>
      </w:r>
      <w:r>
        <w:tab/>
      </w:r>
      <w:r>
        <w:fldChar w:fldCharType="begin"/>
      </w:r>
      <w:r>
        <w:instrText xml:space="preserve"> PAGEREF _Toc88662465 \h </w:instrText>
      </w:r>
      <w:r>
        <w:fldChar w:fldCharType="separate"/>
      </w:r>
      <w:r>
        <w:t>287</w:t>
      </w:r>
      <w:r>
        <w:fldChar w:fldCharType="end"/>
      </w:r>
    </w:p>
    <w:p>
      <w:pPr>
        <w:pStyle w:val="TOC8"/>
        <w:rPr>
          <w:rFonts w:asciiTheme="minorHAnsi" w:eastAsiaTheme="minorEastAsia" w:hAnsiTheme="minorHAnsi" w:cstheme="minorBidi"/>
          <w:szCs w:val="22"/>
        </w:rPr>
      </w:pPr>
      <w:r>
        <w:t>511</w:t>
      </w:r>
      <w:r>
        <w:rPr>
          <w:snapToGrid w:val="0"/>
        </w:rPr>
        <w:t>.</w:t>
      </w:r>
      <w:r>
        <w:rPr>
          <w:snapToGrid w:val="0"/>
        </w:rPr>
        <w:tab/>
        <w:t>Personating owner of shares</w:t>
      </w:r>
      <w:r>
        <w:tab/>
      </w:r>
      <w:r>
        <w:fldChar w:fldCharType="begin"/>
      </w:r>
      <w:r>
        <w:instrText xml:space="preserve"> PAGEREF _Toc88662466 \h </w:instrText>
      </w:r>
      <w:r>
        <w:fldChar w:fldCharType="separate"/>
      </w:r>
      <w:r>
        <w:t>288</w:t>
      </w:r>
      <w:r>
        <w:fldChar w:fldCharType="end"/>
      </w:r>
    </w:p>
    <w:p>
      <w:pPr>
        <w:pStyle w:val="TOC8"/>
        <w:rPr>
          <w:rFonts w:asciiTheme="minorHAnsi" w:eastAsiaTheme="minorEastAsia" w:hAnsiTheme="minorHAnsi" w:cstheme="minorBidi"/>
          <w:szCs w:val="22"/>
        </w:rPr>
      </w:pPr>
      <w:r>
        <w:t>512</w:t>
      </w:r>
      <w:r>
        <w:rPr>
          <w:snapToGrid w:val="0"/>
        </w:rPr>
        <w:t>.</w:t>
      </w:r>
      <w:r>
        <w:rPr>
          <w:snapToGrid w:val="0"/>
        </w:rPr>
        <w:tab/>
        <w:t>Falsely acknowledging liability etc. of another</w:t>
      </w:r>
      <w:r>
        <w:tab/>
      </w:r>
      <w:r>
        <w:fldChar w:fldCharType="begin"/>
      </w:r>
      <w:r>
        <w:instrText xml:space="preserve"> PAGEREF _Toc88662467 \h </w:instrText>
      </w:r>
      <w:r>
        <w:fldChar w:fldCharType="separate"/>
      </w:r>
      <w:r>
        <w:t>288</w:t>
      </w:r>
      <w:r>
        <w:fldChar w:fldCharType="end"/>
      </w:r>
    </w:p>
    <w:p>
      <w:pPr>
        <w:pStyle w:val="TOC8"/>
        <w:rPr>
          <w:rFonts w:asciiTheme="minorHAnsi" w:eastAsiaTheme="minorEastAsia" w:hAnsiTheme="minorHAnsi" w:cstheme="minorBidi"/>
          <w:szCs w:val="22"/>
        </w:rPr>
      </w:pPr>
      <w:r>
        <w:t>513</w:t>
      </w:r>
      <w:r>
        <w:rPr>
          <w:snapToGrid w:val="0"/>
        </w:rPr>
        <w:t>.</w:t>
      </w:r>
      <w:r>
        <w:rPr>
          <w:snapToGrid w:val="0"/>
        </w:rPr>
        <w:tab/>
        <w:t>Uttering qualification etc. of another</w:t>
      </w:r>
      <w:r>
        <w:tab/>
      </w:r>
      <w:r>
        <w:fldChar w:fldCharType="begin"/>
      </w:r>
      <w:r>
        <w:instrText xml:space="preserve"> PAGEREF _Toc88662468 \h </w:instrText>
      </w:r>
      <w:r>
        <w:fldChar w:fldCharType="separate"/>
      </w:r>
      <w:r>
        <w:t>288</w:t>
      </w:r>
      <w:r>
        <w:fldChar w:fldCharType="end"/>
      </w:r>
    </w:p>
    <w:p>
      <w:pPr>
        <w:pStyle w:val="TOC8"/>
        <w:rPr>
          <w:rFonts w:asciiTheme="minorHAnsi" w:eastAsiaTheme="minorEastAsia" w:hAnsiTheme="minorHAnsi" w:cstheme="minorBidi"/>
          <w:szCs w:val="22"/>
        </w:rPr>
      </w:pPr>
      <w:r>
        <w:t>514</w:t>
      </w:r>
      <w:r>
        <w:rPr>
          <w:snapToGrid w:val="0"/>
        </w:rPr>
        <w:t>.</w:t>
      </w:r>
      <w:r>
        <w:rPr>
          <w:snapToGrid w:val="0"/>
        </w:rPr>
        <w:tab/>
        <w:t>Lending qualification etc. to another with intent it be used for personation</w:t>
      </w:r>
      <w:r>
        <w:tab/>
      </w:r>
      <w:r>
        <w:fldChar w:fldCharType="begin"/>
      </w:r>
      <w:r>
        <w:instrText xml:space="preserve"> PAGEREF _Toc88662469 \h </w:instrText>
      </w:r>
      <w:r>
        <w:fldChar w:fldCharType="separate"/>
      </w:r>
      <w:r>
        <w:t>289</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IV — Offences connected with trade and breach of contract, and corruption of agents, trustees, and others</w:t>
      </w:r>
    </w:p>
    <w:p>
      <w:pPr>
        <w:pStyle w:val="TOC4"/>
        <w:tabs>
          <w:tab w:val="right" w:leader="dot" w:pos="7077"/>
        </w:tabs>
        <w:rPr>
          <w:rFonts w:asciiTheme="minorHAnsi" w:eastAsiaTheme="minorEastAsia" w:hAnsiTheme="minorHAnsi" w:cstheme="minorBidi"/>
          <w:b w:val="0"/>
          <w:szCs w:val="22"/>
        </w:rPr>
      </w:pPr>
      <w:r>
        <w:t>Chapter LIV</w:t>
      </w:r>
      <w:r>
        <w:rPr>
          <w:snapToGrid w:val="0"/>
        </w:rPr>
        <w:t> — </w:t>
      </w:r>
      <w:r>
        <w:t>Fraudulent debtors</w:t>
      </w:r>
    </w:p>
    <w:p>
      <w:pPr>
        <w:pStyle w:val="TOC8"/>
        <w:rPr>
          <w:rFonts w:asciiTheme="minorHAnsi" w:eastAsiaTheme="minorEastAsia" w:hAnsiTheme="minorHAnsi" w:cstheme="minorBidi"/>
          <w:szCs w:val="22"/>
        </w:rPr>
      </w:pPr>
      <w:r>
        <w:t>527</w:t>
      </w:r>
      <w:r>
        <w:rPr>
          <w:snapToGrid w:val="0"/>
        </w:rPr>
        <w:t>.</w:t>
      </w:r>
      <w:r>
        <w:rPr>
          <w:snapToGrid w:val="0"/>
        </w:rPr>
        <w:tab/>
        <w:t>Fraudulent dealing by judgment debtor</w:t>
      </w:r>
      <w:r>
        <w:tab/>
      </w:r>
      <w:r>
        <w:fldChar w:fldCharType="begin"/>
      </w:r>
      <w:r>
        <w:instrText xml:space="preserve"> PAGEREF _Toc88662472 \h </w:instrText>
      </w:r>
      <w:r>
        <w:fldChar w:fldCharType="separate"/>
      </w:r>
      <w:r>
        <w:t>289</w:t>
      </w:r>
      <w:r>
        <w:fldChar w:fldCharType="end"/>
      </w:r>
    </w:p>
    <w:p>
      <w:pPr>
        <w:pStyle w:val="TOC4"/>
        <w:tabs>
          <w:tab w:val="right" w:leader="dot" w:pos="7077"/>
        </w:tabs>
        <w:rPr>
          <w:rFonts w:asciiTheme="minorHAnsi" w:eastAsiaTheme="minorEastAsia" w:hAnsiTheme="minorHAnsi" w:cstheme="minorBidi"/>
          <w:b w:val="0"/>
          <w:szCs w:val="22"/>
        </w:rPr>
      </w:pPr>
      <w:r>
        <w:t>Chapter LV</w:t>
      </w:r>
      <w:r>
        <w:rPr>
          <w:snapToGrid w:val="0"/>
        </w:rPr>
        <w:t> — </w:t>
      </w:r>
      <w:r>
        <w:t>Corruption of agents, trustees, and others in whom confidence is reposed</w:t>
      </w:r>
    </w:p>
    <w:p>
      <w:pPr>
        <w:pStyle w:val="TOC8"/>
        <w:rPr>
          <w:rFonts w:asciiTheme="minorHAnsi" w:eastAsiaTheme="minorEastAsia" w:hAnsiTheme="minorHAnsi" w:cstheme="minorBidi"/>
          <w:szCs w:val="22"/>
        </w:rPr>
      </w:pPr>
      <w:r>
        <w:t>529</w:t>
      </w:r>
      <w:r>
        <w:rPr>
          <w:snapToGrid w:val="0"/>
        </w:rPr>
        <w:t>.</w:t>
      </w:r>
      <w:r>
        <w:rPr>
          <w:snapToGrid w:val="0"/>
        </w:rPr>
        <w:tab/>
        <w:t>Agent corruptly receiving or soliciting reward etc.</w:t>
      </w:r>
      <w:r>
        <w:tab/>
      </w:r>
      <w:r>
        <w:fldChar w:fldCharType="begin"/>
      </w:r>
      <w:r>
        <w:instrText xml:space="preserve"> PAGEREF _Toc88662474 \h </w:instrText>
      </w:r>
      <w:r>
        <w:fldChar w:fldCharType="separate"/>
      </w:r>
      <w:r>
        <w:t>290</w:t>
      </w:r>
      <w:r>
        <w:fldChar w:fldCharType="end"/>
      </w:r>
    </w:p>
    <w:p>
      <w:pPr>
        <w:pStyle w:val="TOC8"/>
        <w:rPr>
          <w:rFonts w:asciiTheme="minorHAnsi" w:eastAsiaTheme="minorEastAsia" w:hAnsiTheme="minorHAnsi" w:cstheme="minorBidi"/>
          <w:szCs w:val="22"/>
        </w:rPr>
      </w:pPr>
      <w:r>
        <w:t>530</w:t>
      </w:r>
      <w:r>
        <w:rPr>
          <w:snapToGrid w:val="0"/>
        </w:rPr>
        <w:t>.</w:t>
      </w:r>
      <w:r>
        <w:rPr>
          <w:snapToGrid w:val="0"/>
        </w:rPr>
        <w:tab/>
        <w:t>Corruptly giving or offering agent reward etc.</w:t>
      </w:r>
      <w:r>
        <w:tab/>
      </w:r>
      <w:r>
        <w:fldChar w:fldCharType="begin"/>
      </w:r>
      <w:r>
        <w:instrText xml:space="preserve"> PAGEREF _Toc88662475 \h </w:instrText>
      </w:r>
      <w:r>
        <w:fldChar w:fldCharType="separate"/>
      </w:r>
      <w:r>
        <w:t>291</w:t>
      </w:r>
      <w:r>
        <w:fldChar w:fldCharType="end"/>
      </w:r>
    </w:p>
    <w:p>
      <w:pPr>
        <w:pStyle w:val="TOC8"/>
        <w:rPr>
          <w:rFonts w:asciiTheme="minorHAnsi" w:eastAsiaTheme="minorEastAsia" w:hAnsiTheme="minorHAnsi" w:cstheme="minorBidi"/>
          <w:szCs w:val="22"/>
        </w:rPr>
      </w:pPr>
      <w:r>
        <w:t>531</w:t>
      </w:r>
      <w:r>
        <w:rPr>
          <w:snapToGrid w:val="0"/>
        </w:rPr>
        <w:t>.</w:t>
      </w:r>
      <w:r>
        <w:rPr>
          <w:snapToGrid w:val="0"/>
        </w:rPr>
        <w:tab/>
        <w:t>Gift to agent’s parent etc. deemed gift to agent</w:t>
      </w:r>
      <w:r>
        <w:tab/>
      </w:r>
      <w:r>
        <w:fldChar w:fldCharType="begin"/>
      </w:r>
      <w:r>
        <w:instrText xml:space="preserve"> PAGEREF _Toc88662476 \h </w:instrText>
      </w:r>
      <w:r>
        <w:fldChar w:fldCharType="separate"/>
      </w:r>
      <w:r>
        <w:t>291</w:t>
      </w:r>
      <w:r>
        <w:fldChar w:fldCharType="end"/>
      </w:r>
    </w:p>
    <w:p>
      <w:pPr>
        <w:pStyle w:val="TOC8"/>
        <w:rPr>
          <w:rFonts w:asciiTheme="minorHAnsi" w:eastAsiaTheme="minorEastAsia" w:hAnsiTheme="minorHAnsi" w:cstheme="minorBidi"/>
          <w:szCs w:val="22"/>
        </w:rPr>
      </w:pPr>
      <w:r>
        <w:t>532</w:t>
      </w:r>
      <w:r>
        <w:rPr>
          <w:snapToGrid w:val="0"/>
        </w:rPr>
        <w:t>.</w:t>
      </w:r>
      <w:r>
        <w:rPr>
          <w:snapToGrid w:val="0"/>
        </w:rPr>
        <w:tab/>
        <w:t>Giving agent, or agent using, false receipt etc. with intent to defraud principal</w:t>
      </w:r>
      <w:r>
        <w:tab/>
      </w:r>
      <w:r>
        <w:fldChar w:fldCharType="begin"/>
      </w:r>
      <w:r>
        <w:instrText xml:space="preserve"> PAGEREF _Toc88662477 \h </w:instrText>
      </w:r>
      <w:r>
        <w:fldChar w:fldCharType="separate"/>
      </w:r>
      <w:r>
        <w:t>292</w:t>
      </w:r>
      <w:r>
        <w:fldChar w:fldCharType="end"/>
      </w:r>
    </w:p>
    <w:p>
      <w:pPr>
        <w:pStyle w:val="TOC8"/>
        <w:rPr>
          <w:rFonts w:asciiTheme="minorHAnsi" w:eastAsiaTheme="minorEastAsia" w:hAnsiTheme="minorHAnsi" w:cstheme="minorBidi"/>
          <w:szCs w:val="22"/>
        </w:rPr>
      </w:pPr>
      <w:r>
        <w:t>533</w:t>
      </w:r>
      <w:r>
        <w:rPr>
          <w:snapToGrid w:val="0"/>
        </w:rPr>
        <w:t>.</w:t>
      </w:r>
      <w:r>
        <w:rPr>
          <w:snapToGrid w:val="0"/>
        </w:rPr>
        <w:tab/>
        <w:t>Secret commission given by third party to person advising another to contract with third party etc.</w:t>
      </w:r>
      <w:r>
        <w:tab/>
      </w:r>
      <w:r>
        <w:fldChar w:fldCharType="begin"/>
      </w:r>
      <w:r>
        <w:instrText xml:space="preserve"> PAGEREF _Toc88662478 \h </w:instrText>
      </w:r>
      <w:r>
        <w:fldChar w:fldCharType="separate"/>
      </w:r>
      <w:r>
        <w:t>292</w:t>
      </w:r>
      <w:r>
        <w:fldChar w:fldCharType="end"/>
      </w:r>
    </w:p>
    <w:p>
      <w:pPr>
        <w:pStyle w:val="TOC8"/>
        <w:rPr>
          <w:rFonts w:asciiTheme="minorHAnsi" w:eastAsiaTheme="minorEastAsia" w:hAnsiTheme="minorHAnsi" w:cstheme="minorBidi"/>
          <w:szCs w:val="22"/>
        </w:rPr>
      </w:pPr>
      <w:r>
        <w:t>534</w:t>
      </w:r>
      <w:r>
        <w:rPr>
          <w:snapToGrid w:val="0"/>
        </w:rPr>
        <w:t>.</w:t>
      </w:r>
      <w:r>
        <w:rPr>
          <w:snapToGrid w:val="0"/>
        </w:rPr>
        <w:tab/>
        <w:t>Secret commission for advice to another</w:t>
      </w:r>
      <w:r>
        <w:tab/>
      </w:r>
      <w:r>
        <w:fldChar w:fldCharType="begin"/>
      </w:r>
      <w:r>
        <w:instrText xml:space="preserve"> PAGEREF _Toc88662479 \h </w:instrText>
      </w:r>
      <w:r>
        <w:fldChar w:fldCharType="separate"/>
      </w:r>
      <w:r>
        <w:t>293</w:t>
      </w:r>
      <w:r>
        <w:fldChar w:fldCharType="end"/>
      </w:r>
    </w:p>
    <w:p>
      <w:pPr>
        <w:pStyle w:val="TOC8"/>
        <w:rPr>
          <w:rFonts w:asciiTheme="minorHAnsi" w:eastAsiaTheme="minorEastAsia" w:hAnsiTheme="minorHAnsi" w:cstheme="minorBidi"/>
          <w:szCs w:val="22"/>
        </w:rPr>
      </w:pPr>
      <w:r>
        <w:t>535</w:t>
      </w:r>
      <w:r>
        <w:rPr>
          <w:snapToGrid w:val="0"/>
        </w:rPr>
        <w:t>.</w:t>
      </w:r>
      <w:r>
        <w:rPr>
          <w:snapToGrid w:val="0"/>
        </w:rPr>
        <w:tab/>
        <w:t>Secret commission to trustee for substituted appointment</w:t>
      </w:r>
      <w:r>
        <w:tab/>
      </w:r>
      <w:r>
        <w:fldChar w:fldCharType="begin"/>
      </w:r>
      <w:r>
        <w:instrText xml:space="preserve"> PAGEREF _Toc88662480 \h </w:instrText>
      </w:r>
      <w:r>
        <w:fldChar w:fldCharType="separate"/>
      </w:r>
      <w:r>
        <w:t>293</w:t>
      </w:r>
      <w:r>
        <w:fldChar w:fldCharType="end"/>
      </w:r>
    </w:p>
    <w:p>
      <w:pPr>
        <w:pStyle w:val="TOC8"/>
        <w:rPr>
          <w:rFonts w:asciiTheme="minorHAnsi" w:eastAsiaTheme="minorEastAsia" w:hAnsiTheme="minorHAnsi" w:cstheme="minorBidi"/>
          <w:szCs w:val="22"/>
        </w:rPr>
      </w:pPr>
      <w:r>
        <w:t>536</w:t>
      </w:r>
      <w:r>
        <w:rPr>
          <w:snapToGrid w:val="0"/>
        </w:rPr>
        <w:t>.</w:t>
      </w:r>
      <w:r>
        <w:rPr>
          <w:snapToGrid w:val="0"/>
        </w:rPr>
        <w:tab/>
        <w:t>Aiding etc. Chapter LV offences within or outside WA</w:t>
      </w:r>
      <w:r>
        <w:tab/>
      </w:r>
      <w:r>
        <w:fldChar w:fldCharType="begin"/>
      </w:r>
      <w:r>
        <w:instrText xml:space="preserve"> PAGEREF _Toc88662481 \h </w:instrText>
      </w:r>
      <w:r>
        <w:fldChar w:fldCharType="separate"/>
      </w:r>
      <w:r>
        <w:t>294</w:t>
      </w:r>
      <w:r>
        <w:fldChar w:fldCharType="end"/>
      </w:r>
    </w:p>
    <w:p>
      <w:pPr>
        <w:pStyle w:val="TOC8"/>
        <w:rPr>
          <w:rFonts w:asciiTheme="minorHAnsi" w:eastAsiaTheme="minorEastAsia" w:hAnsiTheme="minorHAnsi" w:cstheme="minorBidi"/>
          <w:szCs w:val="22"/>
        </w:rPr>
      </w:pPr>
      <w:r>
        <w:t>537</w:t>
      </w:r>
      <w:r>
        <w:rPr>
          <w:snapToGrid w:val="0"/>
        </w:rPr>
        <w:t>.</w:t>
      </w:r>
      <w:r>
        <w:rPr>
          <w:snapToGrid w:val="0"/>
        </w:rPr>
        <w:tab/>
        <w:t>Liability of director etc. acting without authority</w:t>
      </w:r>
      <w:r>
        <w:tab/>
      </w:r>
      <w:r>
        <w:fldChar w:fldCharType="begin"/>
      </w:r>
      <w:r>
        <w:instrText xml:space="preserve"> PAGEREF _Toc88662482 \h </w:instrText>
      </w:r>
      <w:r>
        <w:fldChar w:fldCharType="separate"/>
      </w:r>
      <w:r>
        <w:t>294</w:t>
      </w:r>
      <w:r>
        <w:fldChar w:fldCharType="end"/>
      </w:r>
    </w:p>
    <w:p>
      <w:pPr>
        <w:pStyle w:val="TOC8"/>
        <w:rPr>
          <w:rFonts w:asciiTheme="minorHAnsi" w:eastAsiaTheme="minorEastAsia" w:hAnsiTheme="minorHAnsi" w:cstheme="minorBidi"/>
          <w:szCs w:val="22"/>
        </w:rPr>
      </w:pPr>
      <w:r>
        <w:t>538</w:t>
      </w:r>
      <w:r>
        <w:rPr>
          <w:snapToGrid w:val="0"/>
        </w:rPr>
        <w:t>.</w:t>
      </w:r>
      <w:r>
        <w:rPr>
          <w:snapToGrid w:val="0"/>
        </w:rPr>
        <w:tab/>
        <w:t>Penalty for Chapter LV offences</w:t>
      </w:r>
      <w:r>
        <w:tab/>
      </w:r>
      <w:r>
        <w:fldChar w:fldCharType="begin"/>
      </w:r>
      <w:r>
        <w:instrText xml:space="preserve"> PAGEREF _Toc88662483 \h </w:instrText>
      </w:r>
      <w:r>
        <w:fldChar w:fldCharType="separate"/>
      </w:r>
      <w:r>
        <w:t>294</w:t>
      </w:r>
      <w:r>
        <w:fldChar w:fldCharType="end"/>
      </w:r>
    </w:p>
    <w:p>
      <w:pPr>
        <w:pStyle w:val="TOC8"/>
        <w:rPr>
          <w:rFonts w:asciiTheme="minorHAnsi" w:eastAsiaTheme="minorEastAsia" w:hAnsiTheme="minorHAnsi" w:cstheme="minorBidi"/>
          <w:szCs w:val="22"/>
        </w:rPr>
      </w:pPr>
      <w:r>
        <w:t>539</w:t>
      </w:r>
      <w:r>
        <w:rPr>
          <w:snapToGrid w:val="0"/>
        </w:rPr>
        <w:t>.</w:t>
      </w:r>
      <w:r>
        <w:rPr>
          <w:snapToGrid w:val="0"/>
        </w:rPr>
        <w:tab/>
        <w:t>Court may order withdrawal of trifling or technical case</w:t>
      </w:r>
      <w:r>
        <w:tab/>
      </w:r>
      <w:r>
        <w:fldChar w:fldCharType="begin"/>
      </w:r>
      <w:r>
        <w:instrText xml:space="preserve"> PAGEREF _Toc88662484 \h </w:instrText>
      </w:r>
      <w:r>
        <w:fldChar w:fldCharType="separate"/>
      </w:r>
      <w:r>
        <w:t>295</w:t>
      </w:r>
      <w:r>
        <w:fldChar w:fldCharType="end"/>
      </w:r>
    </w:p>
    <w:p>
      <w:pPr>
        <w:pStyle w:val="TOC8"/>
        <w:rPr>
          <w:rFonts w:asciiTheme="minorHAnsi" w:eastAsiaTheme="minorEastAsia" w:hAnsiTheme="minorHAnsi" w:cstheme="minorBidi"/>
          <w:szCs w:val="22"/>
        </w:rPr>
      </w:pPr>
      <w:r>
        <w:t>540</w:t>
      </w:r>
      <w:r>
        <w:rPr>
          <w:snapToGrid w:val="0"/>
        </w:rPr>
        <w:t>.</w:t>
      </w:r>
      <w:r>
        <w:rPr>
          <w:snapToGrid w:val="0"/>
        </w:rPr>
        <w:tab/>
        <w:t>Protection of witness giving answers criminating himself</w:t>
      </w:r>
      <w:r>
        <w:tab/>
      </w:r>
      <w:r>
        <w:fldChar w:fldCharType="begin"/>
      </w:r>
      <w:r>
        <w:instrText xml:space="preserve"> PAGEREF _Toc88662485 \h </w:instrText>
      </w:r>
      <w:r>
        <w:fldChar w:fldCharType="separate"/>
      </w:r>
      <w:r>
        <w:t>295</w:t>
      </w:r>
      <w:r>
        <w:fldChar w:fldCharType="end"/>
      </w:r>
    </w:p>
    <w:p>
      <w:pPr>
        <w:pStyle w:val="TOC8"/>
        <w:rPr>
          <w:rFonts w:asciiTheme="minorHAnsi" w:eastAsiaTheme="minorEastAsia" w:hAnsiTheme="minorHAnsi" w:cstheme="minorBidi"/>
          <w:szCs w:val="22"/>
        </w:rPr>
      </w:pPr>
      <w:r>
        <w:t>541</w:t>
      </w:r>
      <w:r>
        <w:rPr>
          <w:snapToGrid w:val="0"/>
        </w:rPr>
        <w:t>.</w:t>
      </w:r>
      <w:r>
        <w:rPr>
          <w:snapToGrid w:val="0"/>
        </w:rPr>
        <w:tab/>
        <w:t>Stay of proceedings against such witness</w:t>
      </w:r>
      <w:r>
        <w:tab/>
      </w:r>
      <w:r>
        <w:fldChar w:fldCharType="begin"/>
      </w:r>
      <w:r>
        <w:instrText xml:space="preserve"> PAGEREF _Toc88662486 \h </w:instrText>
      </w:r>
      <w:r>
        <w:fldChar w:fldCharType="separate"/>
      </w:r>
      <w:r>
        <w:t>296</w:t>
      </w:r>
      <w:r>
        <w:fldChar w:fldCharType="end"/>
      </w:r>
    </w:p>
    <w:p>
      <w:pPr>
        <w:pStyle w:val="TOC8"/>
        <w:rPr>
          <w:rFonts w:asciiTheme="minorHAnsi" w:eastAsiaTheme="minorEastAsia" w:hAnsiTheme="minorHAnsi" w:cstheme="minorBidi"/>
          <w:szCs w:val="22"/>
        </w:rPr>
      </w:pPr>
      <w:r>
        <w:t>542</w:t>
      </w:r>
      <w:r>
        <w:rPr>
          <w:snapToGrid w:val="0"/>
        </w:rPr>
        <w:t>.</w:t>
      </w:r>
      <w:r>
        <w:rPr>
          <w:snapToGrid w:val="0"/>
        </w:rPr>
        <w:tab/>
        <w:t>Custom of itself no defence</w:t>
      </w:r>
      <w:r>
        <w:tab/>
      </w:r>
      <w:r>
        <w:fldChar w:fldCharType="begin"/>
      </w:r>
      <w:r>
        <w:instrText xml:space="preserve"> PAGEREF _Toc88662487 \h </w:instrText>
      </w:r>
      <w:r>
        <w:fldChar w:fldCharType="separate"/>
      </w:r>
      <w:r>
        <w:t>296</w:t>
      </w:r>
      <w:r>
        <w:fldChar w:fldCharType="end"/>
      </w:r>
    </w:p>
    <w:p>
      <w:pPr>
        <w:pStyle w:val="TOC8"/>
        <w:rPr>
          <w:rFonts w:asciiTheme="minorHAnsi" w:eastAsiaTheme="minorEastAsia" w:hAnsiTheme="minorHAnsi" w:cstheme="minorBidi"/>
          <w:szCs w:val="22"/>
        </w:rPr>
      </w:pPr>
      <w:r>
        <w:t>543</w:t>
      </w:r>
      <w:r>
        <w:rPr>
          <w:snapToGrid w:val="0"/>
        </w:rPr>
        <w:t>.</w:t>
      </w:r>
      <w:r>
        <w:rPr>
          <w:snapToGrid w:val="0"/>
        </w:rPr>
        <w:tab/>
        <w:t>Burden of proof that gift etc. not secret commission</w:t>
      </w:r>
      <w:r>
        <w:tab/>
      </w:r>
      <w:r>
        <w:fldChar w:fldCharType="begin"/>
      </w:r>
      <w:r>
        <w:instrText xml:space="preserve"> PAGEREF _Toc88662488 \h </w:instrText>
      </w:r>
      <w:r>
        <w:fldChar w:fldCharType="separate"/>
      </w:r>
      <w:r>
        <w:t>296</w:t>
      </w:r>
      <w:r>
        <w:fldChar w:fldCharType="end"/>
      </w:r>
    </w:p>
    <w:p>
      <w:pPr>
        <w:pStyle w:val="TOC8"/>
        <w:rPr>
          <w:rFonts w:asciiTheme="minorHAnsi" w:eastAsiaTheme="minorEastAsia" w:hAnsiTheme="minorHAnsi" w:cstheme="minorBidi"/>
          <w:szCs w:val="22"/>
        </w:rPr>
      </w:pPr>
      <w:r>
        <w:t>546</w:t>
      </w:r>
      <w:r>
        <w:rPr>
          <w:snapToGrid w:val="0"/>
        </w:rPr>
        <w:t>.</w:t>
      </w:r>
      <w:r>
        <w:rPr>
          <w:snapToGrid w:val="0"/>
        </w:rPr>
        <w:tab/>
        <w:t>Terms used</w:t>
      </w:r>
      <w:r>
        <w:tab/>
      </w:r>
      <w:r>
        <w:fldChar w:fldCharType="begin"/>
      </w:r>
      <w:r>
        <w:instrText xml:space="preserve"> PAGEREF _Toc88662489 \h </w:instrText>
      </w:r>
      <w:r>
        <w:fldChar w:fldCharType="separate"/>
      </w:r>
      <w:r>
        <w:t>296</w:t>
      </w:r>
      <w:r>
        <w:fldChar w:fldCharType="end"/>
      </w:r>
    </w:p>
    <w:p>
      <w:pPr>
        <w:pStyle w:val="TOC4"/>
        <w:tabs>
          <w:tab w:val="right" w:leader="dot" w:pos="7077"/>
        </w:tabs>
        <w:rPr>
          <w:rFonts w:asciiTheme="minorHAnsi" w:eastAsiaTheme="minorEastAsia" w:hAnsiTheme="minorHAnsi" w:cstheme="minorBidi"/>
          <w:b w:val="0"/>
          <w:szCs w:val="22"/>
        </w:rPr>
      </w:pPr>
      <w:r>
        <w:lastRenderedPageBreak/>
        <w:t>Chapter LVI</w:t>
      </w:r>
      <w:r>
        <w:rPr>
          <w:snapToGrid w:val="0"/>
        </w:rPr>
        <w:t> — </w:t>
      </w:r>
      <w:r>
        <w:t>Other offences</w:t>
      </w:r>
    </w:p>
    <w:p>
      <w:pPr>
        <w:pStyle w:val="TOC8"/>
        <w:rPr>
          <w:rFonts w:asciiTheme="minorHAnsi" w:eastAsiaTheme="minorEastAsia" w:hAnsiTheme="minorHAnsi" w:cstheme="minorBidi"/>
          <w:szCs w:val="22"/>
        </w:rPr>
      </w:pPr>
      <w:r>
        <w:t>547</w:t>
      </w:r>
      <w:r>
        <w:rPr>
          <w:snapToGrid w:val="0"/>
        </w:rPr>
        <w:t>.</w:t>
      </w:r>
      <w:r>
        <w:rPr>
          <w:snapToGrid w:val="0"/>
        </w:rPr>
        <w:tab/>
        <w:t>Joint stock company officer concealing information etc. as to reduction of capital</w:t>
      </w:r>
      <w:r>
        <w:tab/>
      </w:r>
      <w:r>
        <w:fldChar w:fldCharType="begin"/>
      </w:r>
      <w:r>
        <w:instrText xml:space="preserve"> PAGEREF _Toc88662491 \h </w:instrText>
      </w:r>
      <w:r>
        <w:fldChar w:fldCharType="separate"/>
      </w:r>
      <w:r>
        <w:t>299</w:t>
      </w:r>
      <w:r>
        <w:fldChar w:fldCharType="end"/>
      </w:r>
    </w:p>
    <w:p>
      <w:pPr>
        <w:pStyle w:val="TOC8"/>
        <w:rPr>
          <w:rFonts w:asciiTheme="minorHAnsi" w:eastAsiaTheme="minorEastAsia" w:hAnsiTheme="minorHAnsi" w:cstheme="minorBidi"/>
          <w:szCs w:val="22"/>
        </w:rPr>
      </w:pPr>
      <w:r>
        <w:t>548</w:t>
      </w:r>
      <w:r>
        <w:rPr>
          <w:snapToGrid w:val="0"/>
        </w:rPr>
        <w:t>.</w:t>
      </w:r>
      <w:r>
        <w:rPr>
          <w:snapToGrid w:val="0"/>
        </w:rPr>
        <w:tab/>
        <w:t>Company being wound up, officer of falsifying books of etc.</w:t>
      </w:r>
      <w:r>
        <w:tab/>
      </w:r>
      <w:r>
        <w:fldChar w:fldCharType="begin"/>
      </w:r>
      <w:r>
        <w:instrText xml:space="preserve"> PAGEREF _Toc88662492 \h </w:instrText>
      </w:r>
      <w:r>
        <w:fldChar w:fldCharType="separate"/>
      </w:r>
      <w:r>
        <w:t>299</w:t>
      </w:r>
      <w:r>
        <w:fldChar w:fldCharType="end"/>
      </w:r>
    </w:p>
    <w:p>
      <w:pPr>
        <w:pStyle w:val="TOC8"/>
        <w:rPr>
          <w:rFonts w:asciiTheme="minorHAnsi" w:eastAsiaTheme="minorEastAsia" w:hAnsiTheme="minorHAnsi" w:cstheme="minorBidi"/>
          <w:szCs w:val="22"/>
        </w:rPr>
      </w:pPr>
      <w:r>
        <w:t>549</w:t>
      </w:r>
      <w:r>
        <w:rPr>
          <w:snapToGrid w:val="0"/>
        </w:rPr>
        <w:t>.</w:t>
      </w:r>
      <w:r>
        <w:rPr>
          <w:snapToGrid w:val="0"/>
        </w:rPr>
        <w:tab/>
        <w:t>Mixing uncertified with certified articles</w:t>
      </w:r>
      <w:r>
        <w:tab/>
      </w:r>
      <w:r>
        <w:fldChar w:fldCharType="begin"/>
      </w:r>
      <w:r>
        <w:instrText xml:space="preserve"> PAGEREF _Toc88662493 \h </w:instrText>
      </w:r>
      <w:r>
        <w:fldChar w:fldCharType="separate"/>
      </w:r>
      <w:r>
        <w:t>300</w:t>
      </w:r>
      <w:r>
        <w:fldChar w:fldCharType="end"/>
      </w:r>
    </w:p>
    <w:p>
      <w:pPr>
        <w:pStyle w:val="TOC2"/>
        <w:tabs>
          <w:tab w:val="right" w:leader="dot" w:pos="7077"/>
        </w:tabs>
        <w:rPr>
          <w:rFonts w:asciiTheme="minorHAnsi" w:eastAsiaTheme="minorEastAsia" w:hAnsiTheme="minorHAnsi" w:cstheme="minorBidi"/>
          <w:b w:val="0"/>
          <w:sz w:val="22"/>
          <w:szCs w:val="22"/>
        </w:rPr>
      </w:pPr>
      <w:r>
        <w:t>Part VII — </w:t>
      </w:r>
      <w:r>
        <w:rPr>
          <w:spacing w:val="-4"/>
        </w:rPr>
        <w:t>Preparation to commit offences: Conspiracy: Accessories after the fact</w:t>
      </w:r>
    </w:p>
    <w:p>
      <w:pPr>
        <w:pStyle w:val="TOC4"/>
        <w:tabs>
          <w:tab w:val="right" w:leader="dot" w:pos="7077"/>
        </w:tabs>
        <w:rPr>
          <w:rFonts w:asciiTheme="minorHAnsi" w:eastAsiaTheme="minorEastAsia" w:hAnsiTheme="minorHAnsi" w:cstheme="minorBidi"/>
          <w:b w:val="0"/>
          <w:szCs w:val="22"/>
        </w:rPr>
      </w:pPr>
      <w:r>
        <w:t>Chapter LVII</w:t>
      </w:r>
      <w:r>
        <w:rPr>
          <w:snapToGrid w:val="0"/>
        </w:rPr>
        <w:t> — </w:t>
      </w:r>
      <w:r>
        <w:t>Attempts and preparation to commit offences</w:t>
      </w:r>
    </w:p>
    <w:p>
      <w:pPr>
        <w:pStyle w:val="TOC8"/>
        <w:rPr>
          <w:rFonts w:asciiTheme="minorHAnsi" w:eastAsiaTheme="minorEastAsia" w:hAnsiTheme="minorHAnsi" w:cstheme="minorBidi"/>
          <w:szCs w:val="22"/>
        </w:rPr>
      </w:pPr>
      <w:r>
        <w:t>552.</w:t>
      </w:r>
      <w:r>
        <w:tab/>
        <w:t>Attempt to commit indictable offence</w:t>
      </w:r>
      <w:r>
        <w:tab/>
      </w:r>
      <w:r>
        <w:fldChar w:fldCharType="begin"/>
      </w:r>
      <w:r>
        <w:instrText xml:space="preserve"> PAGEREF _Toc88662496 \h </w:instrText>
      </w:r>
      <w:r>
        <w:fldChar w:fldCharType="separate"/>
      </w:r>
      <w:r>
        <w:t>301</w:t>
      </w:r>
      <w:r>
        <w:fldChar w:fldCharType="end"/>
      </w:r>
    </w:p>
    <w:p>
      <w:pPr>
        <w:pStyle w:val="TOC8"/>
        <w:rPr>
          <w:rFonts w:asciiTheme="minorHAnsi" w:eastAsiaTheme="minorEastAsia" w:hAnsiTheme="minorHAnsi" w:cstheme="minorBidi"/>
          <w:szCs w:val="22"/>
        </w:rPr>
      </w:pPr>
      <w:r>
        <w:t>553.</w:t>
      </w:r>
      <w:r>
        <w:tab/>
        <w:t>Incitement to commit indictable offence</w:t>
      </w:r>
      <w:r>
        <w:tab/>
      </w:r>
      <w:r>
        <w:fldChar w:fldCharType="begin"/>
      </w:r>
      <w:r>
        <w:instrText xml:space="preserve"> PAGEREF _Toc88662497 \h </w:instrText>
      </w:r>
      <w:r>
        <w:fldChar w:fldCharType="separate"/>
      </w:r>
      <w:r>
        <w:t>301</w:t>
      </w:r>
      <w:r>
        <w:fldChar w:fldCharType="end"/>
      </w:r>
    </w:p>
    <w:p>
      <w:pPr>
        <w:pStyle w:val="TOC8"/>
        <w:rPr>
          <w:rFonts w:asciiTheme="minorHAnsi" w:eastAsiaTheme="minorEastAsia" w:hAnsiTheme="minorHAnsi" w:cstheme="minorBidi"/>
          <w:szCs w:val="22"/>
        </w:rPr>
      </w:pPr>
      <w:r>
        <w:t>555A</w:t>
      </w:r>
      <w:r>
        <w:rPr>
          <w:snapToGrid w:val="0"/>
        </w:rPr>
        <w:t>.</w:t>
      </w:r>
      <w:r>
        <w:rPr>
          <w:snapToGrid w:val="0"/>
        </w:rPr>
        <w:tab/>
        <w:t>Attempt and incitement to commit simple offence under this Code</w:t>
      </w:r>
      <w:r>
        <w:tab/>
      </w:r>
      <w:r>
        <w:fldChar w:fldCharType="begin"/>
      </w:r>
      <w:r>
        <w:instrText xml:space="preserve"> PAGEREF _Toc88662498 \h </w:instrText>
      </w:r>
      <w:r>
        <w:fldChar w:fldCharType="separate"/>
      </w:r>
      <w:r>
        <w:t>302</w:t>
      </w:r>
      <w:r>
        <w:fldChar w:fldCharType="end"/>
      </w:r>
    </w:p>
    <w:p>
      <w:pPr>
        <w:pStyle w:val="TOC8"/>
        <w:rPr>
          <w:rFonts w:asciiTheme="minorHAnsi" w:eastAsiaTheme="minorEastAsia" w:hAnsiTheme="minorHAnsi" w:cstheme="minorBidi"/>
          <w:szCs w:val="22"/>
        </w:rPr>
      </w:pPr>
      <w:r>
        <w:t>556</w:t>
      </w:r>
      <w:r>
        <w:rPr>
          <w:snapToGrid w:val="0"/>
        </w:rPr>
        <w:t>.</w:t>
      </w:r>
      <w:r>
        <w:rPr>
          <w:snapToGrid w:val="0"/>
        </w:rPr>
        <w:tab/>
        <w:t>Attempt to procure commission of criminal act</w:t>
      </w:r>
      <w:r>
        <w:tab/>
      </w:r>
      <w:r>
        <w:fldChar w:fldCharType="begin"/>
      </w:r>
      <w:r>
        <w:instrText xml:space="preserve"> PAGEREF _Toc88662499 \h </w:instrText>
      </w:r>
      <w:r>
        <w:fldChar w:fldCharType="separate"/>
      </w:r>
      <w:r>
        <w:t>303</w:t>
      </w:r>
      <w:r>
        <w:fldChar w:fldCharType="end"/>
      </w:r>
    </w:p>
    <w:p>
      <w:pPr>
        <w:pStyle w:val="TOC8"/>
        <w:rPr>
          <w:rFonts w:asciiTheme="minorHAnsi" w:eastAsiaTheme="minorEastAsia" w:hAnsiTheme="minorHAnsi" w:cstheme="minorBidi"/>
          <w:szCs w:val="22"/>
        </w:rPr>
      </w:pPr>
      <w:r>
        <w:t>557</w:t>
      </w:r>
      <w:r>
        <w:rPr>
          <w:snapToGrid w:val="0"/>
        </w:rPr>
        <w:t>.</w:t>
      </w:r>
      <w:r>
        <w:rPr>
          <w:snapToGrid w:val="0"/>
        </w:rPr>
        <w:tab/>
        <w:t>Making or possessing explosives in suspicious circumstances</w:t>
      </w:r>
      <w:r>
        <w:tab/>
      </w:r>
      <w:r>
        <w:fldChar w:fldCharType="begin"/>
      </w:r>
      <w:r>
        <w:instrText xml:space="preserve"> PAGEREF _Toc88662500 \h </w:instrText>
      </w:r>
      <w:r>
        <w:fldChar w:fldCharType="separate"/>
      </w:r>
      <w:r>
        <w:t>303</w:t>
      </w:r>
      <w:r>
        <w:fldChar w:fldCharType="end"/>
      </w:r>
    </w:p>
    <w:p>
      <w:pPr>
        <w:pStyle w:val="TOC4"/>
        <w:tabs>
          <w:tab w:val="right" w:leader="dot" w:pos="7077"/>
        </w:tabs>
        <w:rPr>
          <w:rFonts w:asciiTheme="minorHAnsi" w:eastAsiaTheme="minorEastAsia" w:hAnsiTheme="minorHAnsi" w:cstheme="minorBidi"/>
          <w:b w:val="0"/>
          <w:szCs w:val="22"/>
        </w:rPr>
      </w:pPr>
      <w:r>
        <w:t>Chapter LVIIA — Offences to do with preparing to commit offences</w:t>
      </w:r>
    </w:p>
    <w:p>
      <w:pPr>
        <w:pStyle w:val="TOC8"/>
        <w:rPr>
          <w:rFonts w:asciiTheme="minorHAnsi" w:eastAsiaTheme="minorEastAsia" w:hAnsiTheme="minorHAnsi" w:cstheme="minorBidi"/>
          <w:szCs w:val="22"/>
        </w:rPr>
      </w:pPr>
      <w:r>
        <w:t>557A.</w:t>
      </w:r>
      <w:r>
        <w:tab/>
        <w:t>Presumption as to intention</w:t>
      </w:r>
      <w:r>
        <w:tab/>
      </w:r>
      <w:r>
        <w:fldChar w:fldCharType="begin"/>
      </w:r>
      <w:r>
        <w:instrText xml:space="preserve"> PAGEREF _Toc88662502 \h </w:instrText>
      </w:r>
      <w:r>
        <w:fldChar w:fldCharType="separate"/>
      </w:r>
      <w:r>
        <w:t>304</w:t>
      </w:r>
      <w:r>
        <w:fldChar w:fldCharType="end"/>
      </w:r>
    </w:p>
    <w:p>
      <w:pPr>
        <w:pStyle w:val="TOC8"/>
        <w:rPr>
          <w:rFonts w:asciiTheme="minorHAnsi" w:eastAsiaTheme="minorEastAsia" w:hAnsiTheme="minorHAnsi" w:cstheme="minorBidi"/>
          <w:szCs w:val="22"/>
        </w:rPr>
      </w:pPr>
      <w:r>
        <w:t>557C.</w:t>
      </w:r>
      <w:r>
        <w:tab/>
        <w:t>Unlawful thing, forfeiture of</w:t>
      </w:r>
      <w:r>
        <w:tab/>
      </w:r>
      <w:r>
        <w:fldChar w:fldCharType="begin"/>
      </w:r>
      <w:r>
        <w:instrText xml:space="preserve"> PAGEREF _Toc88662503 \h </w:instrText>
      </w:r>
      <w:r>
        <w:fldChar w:fldCharType="separate"/>
      </w:r>
      <w:r>
        <w:t>304</w:t>
      </w:r>
      <w:r>
        <w:fldChar w:fldCharType="end"/>
      </w:r>
    </w:p>
    <w:p>
      <w:pPr>
        <w:pStyle w:val="TOC8"/>
        <w:rPr>
          <w:rFonts w:asciiTheme="minorHAnsi" w:eastAsiaTheme="minorEastAsia" w:hAnsiTheme="minorHAnsi" w:cstheme="minorBidi"/>
          <w:szCs w:val="22"/>
        </w:rPr>
      </w:pPr>
      <w:r>
        <w:t>557D.</w:t>
      </w:r>
      <w:r>
        <w:tab/>
        <w:t>Possessing stupefying or overpowering drug or thing</w:t>
      </w:r>
      <w:r>
        <w:tab/>
      </w:r>
      <w:r>
        <w:fldChar w:fldCharType="begin"/>
      </w:r>
      <w:r>
        <w:instrText xml:space="preserve"> PAGEREF _Toc88662504 \h </w:instrText>
      </w:r>
      <w:r>
        <w:fldChar w:fldCharType="separate"/>
      </w:r>
      <w:r>
        <w:t>304</w:t>
      </w:r>
      <w:r>
        <w:fldChar w:fldCharType="end"/>
      </w:r>
    </w:p>
    <w:p>
      <w:pPr>
        <w:pStyle w:val="TOC8"/>
        <w:rPr>
          <w:rFonts w:asciiTheme="minorHAnsi" w:eastAsiaTheme="minorEastAsia" w:hAnsiTheme="minorHAnsi" w:cstheme="minorBidi"/>
          <w:szCs w:val="22"/>
        </w:rPr>
      </w:pPr>
      <w:r>
        <w:t>557E.</w:t>
      </w:r>
      <w:r>
        <w:tab/>
        <w:t>Possessing thing to assist unlawful entry to place</w:t>
      </w:r>
      <w:r>
        <w:tab/>
      </w:r>
      <w:r>
        <w:fldChar w:fldCharType="begin"/>
      </w:r>
      <w:r>
        <w:instrText xml:space="preserve"> PAGEREF _Toc88662505 \h </w:instrText>
      </w:r>
      <w:r>
        <w:fldChar w:fldCharType="separate"/>
      </w:r>
      <w:r>
        <w:t>305</w:t>
      </w:r>
      <w:r>
        <w:fldChar w:fldCharType="end"/>
      </w:r>
    </w:p>
    <w:p>
      <w:pPr>
        <w:pStyle w:val="TOC8"/>
        <w:rPr>
          <w:rFonts w:asciiTheme="minorHAnsi" w:eastAsiaTheme="minorEastAsia" w:hAnsiTheme="minorHAnsi" w:cstheme="minorBidi"/>
          <w:szCs w:val="22"/>
        </w:rPr>
      </w:pPr>
      <w:r>
        <w:t>557F.</w:t>
      </w:r>
      <w:r>
        <w:tab/>
        <w:t>Possessing thing to assist unlawful use of conveyance</w:t>
      </w:r>
      <w:r>
        <w:tab/>
      </w:r>
      <w:r>
        <w:fldChar w:fldCharType="begin"/>
      </w:r>
      <w:r>
        <w:instrText xml:space="preserve"> PAGEREF _Toc88662506 \h </w:instrText>
      </w:r>
      <w:r>
        <w:fldChar w:fldCharType="separate"/>
      </w:r>
      <w:r>
        <w:t>305</w:t>
      </w:r>
      <w:r>
        <w:fldChar w:fldCharType="end"/>
      </w:r>
    </w:p>
    <w:p>
      <w:pPr>
        <w:pStyle w:val="TOC8"/>
        <w:rPr>
          <w:rFonts w:asciiTheme="minorHAnsi" w:eastAsiaTheme="minorEastAsia" w:hAnsiTheme="minorHAnsi" w:cstheme="minorBidi"/>
          <w:szCs w:val="22"/>
        </w:rPr>
      </w:pPr>
      <w:r>
        <w:t>557H.</w:t>
      </w:r>
      <w:r>
        <w:tab/>
        <w:t>Possessing disguise</w:t>
      </w:r>
      <w:r>
        <w:tab/>
      </w:r>
      <w:r>
        <w:fldChar w:fldCharType="begin"/>
      </w:r>
      <w:r>
        <w:instrText xml:space="preserve"> PAGEREF _Toc88662507 \h </w:instrText>
      </w:r>
      <w:r>
        <w:fldChar w:fldCharType="separate"/>
      </w:r>
      <w:r>
        <w:t>305</w:t>
      </w:r>
      <w:r>
        <w:fldChar w:fldCharType="end"/>
      </w:r>
    </w:p>
    <w:p>
      <w:pPr>
        <w:pStyle w:val="TOC8"/>
        <w:rPr>
          <w:rFonts w:asciiTheme="minorHAnsi" w:eastAsiaTheme="minorEastAsia" w:hAnsiTheme="minorHAnsi" w:cstheme="minorBidi"/>
          <w:szCs w:val="22"/>
        </w:rPr>
      </w:pPr>
      <w:r>
        <w:t>557I.</w:t>
      </w:r>
      <w:r>
        <w:tab/>
        <w:t>Possessing bulletproof clothing</w:t>
      </w:r>
      <w:r>
        <w:tab/>
      </w:r>
      <w:r>
        <w:fldChar w:fldCharType="begin"/>
      </w:r>
      <w:r>
        <w:instrText xml:space="preserve"> PAGEREF _Toc88662508 \h </w:instrText>
      </w:r>
      <w:r>
        <w:fldChar w:fldCharType="separate"/>
      </w:r>
      <w:r>
        <w:t>305</w:t>
      </w:r>
      <w:r>
        <w:fldChar w:fldCharType="end"/>
      </w:r>
    </w:p>
    <w:p>
      <w:pPr>
        <w:pStyle w:val="TOC8"/>
        <w:rPr>
          <w:rFonts w:asciiTheme="minorHAnsi" w:eastAsiaTheme="minorEastAsia" w:hAnsiTheme="minorHAnsi" w:cstheme="minorBidi"/>
          <w:szCs w:val="22"/>
        </w:rPr>
      </w:pPr>
      <w:r>
        <w:t>557J.</w:t>
      </w:r>
      <w:r>
        <w:tab/>
        <w:t>Declared drug trafficker, consorting by</w:t>
      </w:r>
      <w:r>
        <w:tab/>
      </w:r>
      <w:r>
        <w:fldChar w:fldCharType="begin"/>
      </w:r>
      <w:r>
        <w:instrText xml:space="preserve"> PAGEREF _Toc88662509 \h </w:instrText>
      </w:r>
      <w:r>
        <w:fldChar w:fldCharType="separate"/>
      </w:r>
      <w:r>
        <w:t>307</w:t>
      </w:r>
      <w:r>
        <w:fldChar w:fldCharType="end"/>
      </w:r>
    </w:p>
    <w:p>
      <w:pPr>
        <w:pStyle w:val="TOC8"/>
        <w:rPr>
          <w:rFonts w:asciiTheme="minorHAnsi" w:eastAsiaTheme="minorEastAsia" w:hAnsiTheme="minorHAnsi" w:cstheme="minorBidi"/>
          <w:szCs w:val="22"/>
        </w:rPr>
      </w:pPr>
      <w:r>
        <w:t>557K.</w:t>
      </w:r>
      <w:r>
        <w:tab/>
        <w:t>Child sex offender, offences by</w:t>
      </w:r>
      <w:r>
        <w:tab/>
      </w:r>
      <w:r>
        <w:fldChar w:fldCharType="begin"/>
      </w:r>
      <w:r>
        <w:instrText xml:space="preserve"> PAGEREF _Toc88662510 \h </w:instrText>
      </w:r>
      <w:r>
        <w:fldChar w:fldCharType="separate"/>
      </w:r>
      <w:r>
        <w:t>307</w:t>
      </w:r>
      <w:r>
        <w:fldChar w:fldCharType="end"/>
      </w:r>
    </w:p>
    <w:p>
      <w:pPr>
        <w:pStyle w:val="TOC4"/>
        <w:tabs>
          <w:tab w:val="right" w:leader="dot" w:pos="7077"/>
        </w:tabs>
        <w:rPr>
          <w:rFonts w:asciiTheme="minorHAnsi" w:eastAsiaTheme="minorEastAsia" w:hAnsiTheme="minorHAnsi" w:cstheme="minorBidi"/>
          <w:b w:val="0"/>
          <w:szCs w:val="22"/>
        </w:rPr>
      </w:pPr>
      <w:r>
        <w:t>Chapter LVIII</w:t>
      </w:r>
      <w:r>
        <w:rPr>
          <w:snapToGrid w:val="0"/>
        </w:rPr>
        <w:t> — </w:t>
      </w:r>
      <w:r>
        <w:t>Conspiracy</w:t>
      </w:r>
    </w:p>
    <w:p>
      <w:pPr>
        <w:pStyle w:val="TOC8"/>
        <w:rPr>
          <w:rFonts w:asciiTheme="minorHAnsi" w:eastAsiaTheme="minorEastAsia" w:hAnsiTheme="minorHAnsi" w:cstheme="minorBidi"/>
          <w:szCs w:val="22"/>
        </w:rPr>
      </w:pPr>
      <w:r>
        <w:t>558.</w:t>
      </w:r>
      <w:r>
        <w:tab/>
        <w:t>Conspiracy to commit indictable offence</w:t>
      </w:r>
      <w:r>
        <w:tab/>
      </w:r>
      <w:r>
        <w:fldChar w:fldCharType="begin"/>
      </w:r>
      <w:r>
        <w:instrText xml:space="preserve"> PAGEREF _Toc88662512 \h </w:instrText>
      </w:r>
      <w:r>
        <w:fldChar w:fldCharType="separate"/>
      </w:r>
      <w:r>
        <w:t>311</w:t>
      </w:r>
      <w:r>
        <w:fldChar w:fldCharType="end"/>
      </w:r>
    </w:p>
    <w:p>
      <w:pPr>
        <w:pStyle w:val="TOC8"/>
        <w:rPr>
          <w:rFonts w:asciiTheme="minorHAnsi" w:eastAsiaTheme="minorEastAsia" w:hAnsiTheme="minorHAnsi" w:cstheme="minorBidi"/>
          <w:szCs w:val="22"/>
        </w:rPr>
      </w:pPr>
      <w:r>
        <w:t>560</w:t>
      </w:r>
      <w:r>
        <w:rPr>
          <w:snapToGrid w:val="0"/>
        </w:rPr>
        <w:t>.</w:t>
      </w:r>
      <w:r>
        <w:rPr>
          <w:snapToGrid w:val="0"/>
        </w:rPr>
        <w:tab/>
        <w:t>Conspiracy to commit simple offence</w:t>
      </w:r>
      <w:r>
        <w:tab/>
      </w:r>
      <w:r>
        <w:fldChar w:fldCharType="begin"/>
      </w:r>
      <w:r>
        <w:instrText xml:space="preserve"> PAGEREF _Toc88662513 \h </w:instrText>
      </w:r>
      <w:r>
        <w:fldChar w:fldCharType="separate"/>
      </w:r>
      <w:r>
        <w:t>312</w:t>
      </w:r>
      <w:r>
        <w:fldChar w:fldCharType="end"/>
      </w:r>
    </w:p>
    <w:p>
      <w:pPr>
        <w:pStyle w:val="TOC4"/>
        <w:tabs>
          <w:tab w:val="right" w:leader="dot" w:pos="7077"/>
        </w:tabs>
        <w:rPr>
          <w:rFonts w:asciiTheme="minorHAnsi" w:eastAsiaTheme="minorEastAsia" w:hAnsiTheme="minorHAnsi" w:cstheme="minorBidi"/>
          <w:b w:val="0"/>
          <w:szCs w:val="22"/>
        </w:rPr>
      </w:pPr>
      <w:r>
        <w:t>Chapter LIX</w:t>
      </w:r>
      <w:r>
        <w:rPr>
          <w:snapToGrid w:val="0"/>
        </w:rPr>
        <w:t> — </w:t>
      </w:r>
      <w:r>
        <w:t>Accessories after the fact and property laundering</w:t>
      </w:r>
    </w:p>
    <w:p>
      <w:pPr>
        <w:pStyle w:val="TOC8"/>
        <w:rPr>
          <w:rFonts w:asciiTheme="minorHAnsi" w:eastAsiaTheme="minorEastAsia" w:hAnsiTheme="minorHAnsi" w:cstheme="minorBidi"/>
          <w:szCs w:val="22"/>
        </w:rPr>
      </w:pPr>
      <w:r>
        <w:t>562.</w:t>
      </w:r>
      <w:r>
        <w:tab/>
        <w:t>Accessory after the fact to indictable offence</w:t>
      </w:r>
      <w:r>
        <w:tab/>
      </w:r>
      <w:r>
        <w:fldChar w:fldCharType="begin"/>
      </w:r>
      <w:r>
        <w:instrText xml:space="preserve"> PAGEREF _Toc88662515 \h </w:instrText>
      </w:r>
      <w:r>
        <w:fldChar w:fldCharType="separate"/>
      </w:r>
      <w:r>
        <w:t>312</w:t>
      </w:r>
      <w:r>
        <w:fldChar w:fldCharType="end"/>
      </w:r>
    </w:p>
    <w:p>
      <w:pPr>
        <w:pStyle w:val="TOC8"/>
        <w:rPr>
          <w:rFonts w:asciiTheme="minorHAnsi" w:eastAsiaTheme="minorEastAsia" w:hAnsiTheme="minorHAnsi" w:cstheme="minorBidi"/>
          <w:szCs w:val="22"/>
        </w:rPr>
      </w:pPr>
      <w:r>
        <w:t>563A</w:t>
      </w:r>
      <w:r>
        <w:rPr>
          <w:snapToGrid w:val="0"/>
        </w:rPr>
        <w:t>.</w:t>
      </w:r>
      <w:r>
        <w:rPr>
          <w:snapToGrid w:val="0"/>
        </w:rPr>
        <w:tab/>
        <w:t>Property laundering</w:t>
      </w:r>
      <w:r>
        <w:tab/>
      </w:r>
      <w:r>
        <w:fldChar w:fldCharType="begin"/>
      </w:r>
      <w:r>
        <w:instrText xml:space="preserve"> PAGEREF _Toc88662516 \h </w:instrText>
      </w:r>
      <w:r>
        <w:fldChar w:fldCharType="separate"/>
      </w:r>
      <w:r>
        <w:t>313</w:t>
      </w:r>
      <w:r>
        <w:fldChar w:fldCharType="end"/>
      </w:r>
    </w:p>
    <w:p>
      <w:pPr>
        <w:pStyle w:val="TOC8"/>
        <w:rPr>
          <w:rFonts w:asciiTheme="minorHAnsi" w:eastAsiaTheme="minorEastAsia" w:hAnsiTheme="minorHAnsi" w:cstheme="minorBidi"/>
          <w:szCs w:val="22"/>
        </w:rPr>
      </w:pPr>
      <w:r>
        <w:lastRenderedPageBreak/>
        <w:t>563B.</w:t>
      </w:r>
      <w:r>
        <w:tab/>
        <w:t>Dealing with property used in connection with an offence</w:t>
      </w:r>
      <w:r>
        <w:tab/>
      </w:r>
      <w:r>
        <w:fldChar w:fldCharType="begin"/>
      </w:r>
      <w:r>
        <w:instrText xml:space="preserve"> PAGEREF _Toc88662517 \h </w:instrText>
      </w:r>
      <w:r>
        <w:fldChar w:fldCharType="separate"/>
      </w:r>
      <w:r>
        <w:t>314</w:t>
      </w:r>
      <w:r>
        <w:fldChar w:fldCharType="end"/>
      </w:r>
    </w:p>
    <w:p>
      <w:pPr>
        <w:pStyle w:val="TOC2"/>
        <w:tabs>
          <w:tab w:val="right" w:leader="dot" w:pos="7077"/>
        </w:tabs>
        <w:rPr>
          <w:rFonts w:asciiTheme="minorHAnsi" w:eastAsiaTheme="minorEastAsia" w:hAnsiTheme="minorHAnsi" w:cstheme="minorBidi"/>
          <w:b w:val="0"/>
          <w:sz w:val="22"/>
          <w:szCs w:val="22"/>
        </w:rPr>
      </w:pPr>
      <w:r>
        <w:t>Part VIII — Miscellaneous</w:t>
      </w:r>
    </w:p>
    <w:p>
      <w:pPr>
        <w:pStyle w:val="TOC4"/>
        <w:tabs>
          <w:tab w:val="right" w:leader="dot" w:pos="7077"/>
        </w:tabs>
        <w:rPr>
          <w:rFonts w:asciiTheme="minorHAnsi" w:eastAsiaTheme="minorEastAsia" w:hAnsiTheme="minorHAnsi" w:cstheme="minorBidi"/>
          <w:b w:val="0"/>
          <w:szCs w:val="22"/>
        </w:rPr>
      </w:pPr>
      <w:r>
        <w:t>Chapter LXXIII — Infringement notices</w:t>
      </w:r>
    </w:p>
    <w:p>
      <w:pPr>
        <w:pStyle w:val="TOC8"/>
        <w:rPr>
          <w:rFonts w:asciiTheme="minorHAnsi" w:eastAsiaTheme="minorEastAsia" w:hAnsiTheme="minorHAnsi" w:cstheme="minorBidi"/>
          <w:szCs w:val="22"/>
        </w:rPr>
      </w:pPr>
      <w:r>
        <w:t>720.</w:t>
      </w:r>
      <w:r>
        <w:tab/>
        <w:t>Term used: CP Act</w:t>
      </w:r>
      <w:r>
        <w:tab/>
      </w:r>
      <w:r>
        <w:fldChar w:fldCharType="begin"/>
      </w:r>
      <w:r>
        <w:instrText xml:space="preserve"> PAGEREF _Toc88662520 \h </w:instrText>
      </w:r>
      <w:r>
        <w:fldChar w:fldCharType="separate"/>
      </w:r>
      <w:r>
        <w:t>318</w:t>
      </w:r>
      <w:r>
        <w:fldChar w:fldCharType="end"/>
      </w:r>
    </w:p>
    <w:p>
      <w:pPr>
        <w:pStyle w:val="TOC8"/>
        <w:rPr>
          <w:rFonts w:asciiTheme="minorHAnsi" w:eastAsiaTheme="minorEastAsia" w:hAnsiTheme="minorHAnsi" w:cstheme="minorBidi"/>
          <w:szCs w:val="22"/>
        </w:rPr>
      </w:pPr>
      <w:r>
        <w:t>721.</w:t>
      </w:r>
      <w:r>
        <w:tab/>
        <w:t>Regulations to allow infringement notices to be issued for Code offences</w:t>
      </w:r>
      <w:r>
        <w:tab/>
      </w:r>
      <w:r>
        <w:fldChar w:fldCharType="begin"/>
      </w:r>
      <w:r>
        <w:instrText xml:space="preserve"> PAGEREF _Toc88662521 \h </w:instrText>
      </w:r>
      <w:r>
        <w:fldChar w:fldCharType="separate"/>
      </w:r>
      <w:r>
        <w:t>318</w:t>
      </w:r>
      <w:r>
        <w:fldChar w:fldCharType="end"/>
      </w:r>
    </w:p>
    <w:p>
      <w:pPr>
        <w:pStyle w:val="TOC8"/>
        <w:rPr>
          <w:rFonts w:asciiTheme="minorHAnsi" w:eastAsiaTheme="minorEastAsia" w:hAnsiTheme="minorHAnsi" w:cstheme="minorBidi"/>
          <w:szCs w:val="22"/>
        </w:rPr>
      </w:pPr>
      <w:r>
        <w:t>722.</w:t>
      </w:r>
      <w:r>
        <w:tab/>
        <w:t xml:space="preserve">Alleged offenders taken to be charged suspects for purposes of </w:t>
      </w:r>
      <w:r>
        <w:rPr>
          <w:i/>
        </w:rPr>
        <w:t>Criminal Investigation (Identifying People) Act 2002</w:t>
      </w:r>
      <w:r>
        <w:tab/>
      </w:r>
      <w:r>
        <w:fldChar w:fldCharType="begin"/>
      </w:r>
      <w:r>
        <w:instrText xml:space="preserve"> PAGEREF _Toc88662522 \h </w:instrText>
      </w:r>
      <w:r>
        <w:fldChar w:fldCharType="separate"/>
      </w:r>
      <w:r>
        <w:t>319</w:t>
      </w:r>
      <w:r>
        <w:fldChar w:fldCharType="end"/>
      </w:r>
    </w:p>
    <w:p>
      <w:pPr>
        <w:pStyle w:val="TOC8"/>
        <w:rPr>
          <w:rFonts w:asciiTheme="minorHAnsi" w:eastAsiaTheme="minorEastAsia" w:hAnsiTheme="minorHAnsi" w:cstheme="minorBidi"/>
          <w:szCs w:val="22"/>
        </w:rPr>
      </w:pPr>
      <w:r>
        <w:t>723.</w:t>
      </w:r>
      <w:r>
        <w:tab/>
        <w:t>Monitoring of Chapter by Ombudsman</w:t>
      </w:r>
      <w:r>
        <w:tab/>
      </w:r>
      <w:r>
        <w:fldChar w:fldCharType="begin"/>
      </w:r>
      <w:r>
        <w:instrText xml:space="preserve"> PAGEREF _Toc88662523 \h </w:instrText>
      </w:r>
      <w:r>
        <w:fldChar w:fldCharType="separate"/>
      </w:r>
      <w:r>
        <w:t>320</w:t>
      </w:r>
      <w:r>
        <w:fldChar w:fldCharType="end"/>
      </w:r>
    </w:p>
    <w:p>
      <w:pPr>
        <w:pStyle w:val="TOC4"/>
        <w:tabs>
          <w:tab w:val="right" w:leader="dot" w:pos="7077"/>
        </w:tabs>
        <w:rPr>
          <w:rFonts w:asciiTheme="minorHAnsi" w:eastAsiaTheme="minorEastAsia" w:hAnsiTheme="minorHAnsi" w:cstheme="minorBidi"/>
          <w:b w:val="0"/>
          <w:szCs w:val="22"/>
        </w:rPr>
      </w:pPr>
      <w:r>
        <w:t>Chapter LXXIV</w:t>
      </w:r>
      <w:r>
        <w:rPr>
          <w:snapToGrid w:val="0"/>
        </w:rPr>
        <w:t> — </w:t>
      </w:r>
      <w:r>
        <w:t>Miscellaneous provisions</w:t>
      </w:r>
    </w:p>
    <w:p>
      <w:pPr>
        <w:pStyle w:val="TOC8"/>
        <w:rPr>
          <w:rFonts w:asciiTheme="minorHAnsi" w:eastAsiaTheme="minorEastAsia" w:hAnsiTheme="minorHAnsi" w:cstheme="minorBidi"/>
          <w:szCs w:val="22"/>
        </w:rPr>
      </w:pPr>
      <w:r>
        <w:t>730.</w:t>
      </w:r>
      <w:r>
        <w:tab/>
        <w:t>Forfeitures, escheats etc. abolished</w:t>
      </w:r>
      <w:r>
        <w:tab/>
      </w:r>
      <w:r>
        <w:fldChar w:fldCharType="begin"/>
      </w:r>
      <w:r>
        <w:instrText xml:space="preserve"> PAGEREF _Toc88662525 \h </w:instrText>
      </w:r>
      <w:r>
        <w:fldChar w:fldCharType="separate"/>
      </w:r>
      <w:r>
        <w:t>321</w:t>
      </w:r>
      <w:r>
        <w:fldChar w:fldCharType="end"/>
      </w:r>
    </w:p>
    <w:p>
      <w:pPr>
        <w:pStyle w:val="TOC8"/>
        <w:rPr>
          <w:rFonts w:asciiTheme="minorHAnsi" w:eastAsiaTheme="minorEastAsia" w:hAnsiTheme="minorHAnsi" w:cstheme="minorBidi"/>
          <w:szCs w:val="22"/>
        </w:rPr>
      </w:pPr>
      <w:r>
        <w:t>731.</w:t>
      </w:r>
      <w:r>
        <w:tab/>
        <w:t>Forfeiture etc. of property used to commit offence</w:t>
      </w:r>
      <w:r>
        <w:tab/>
      </w:r>
      <w:r>
        <w:fldChar w:fldCharType="begin"/>
      </w:r>
      <w:r>
        <w:instrText xml:space="preserve"> PAGEREF _Toc88662526 \h </w:instrText>
      </w:r>
      <w:r>
        <w:fldChar w:fldCharType="separate"/>
      </w:r>
      <w:r>
        <w:t>321</w:t>
      </w:r>
      <w:r>
        <w:fldChar w:fldCharType="end"/>
      </w:r>
    </w:p>
    <w:p>
      <w:pPr>
        <w:pStyle w:val="TOC8"/>
        <w:rPr>
          <w:rFonts w:asciiTheme="minorHAnsi" w:eastAsiaTheme="minorEastAsia" w:hAnsiTheme="minorHAnsi" w:cstheme="minorBidi"/>
          <w:szCs w:val="22"/>
        </w:rPr>
      </w:pPr>
      <w:r>
        <w:t>737</w:t>
      </w:r>
      <w:r>
        <w:rPr>
          <w:snapToGrid w:val="0"/>
        </w:rPr>
        <w:t>.</w:t>
      </w:r>
      <w:r>
        <w:rPr>
          <w:snapToGrid w:val="0"/>
        </w:rPr>
        <w:tab/>
        <w:t>Saving of civil remedies</w:t>
      </w:r>
      <w:r>
        <w:tab/>
      </w:r>
      <w:r>
        <w:fldChar w:fldCharType="begin"/>
      </w:r>
      <w:r>
        <w:instrText xml:space="preserve"> PAGEREF _Toc88662527 \h </w:instrText>
      </w:r>
      <w:r>
        <w:fldChar w:fldCharType="separate"/>
      </w:r>
      <w:r>
        <w:t>322</w:t>
      </w:r>
      <w:r>
        <w:fldChar w:fldCharType="end"/>
      </w:r>
    </w:p>
    <w:p>
      <w:pPr>
        <w:pStyle w:val="TOC8"/>
        <w:rPr>
          <w:rFonts w:asciiTheme="minorHAnsi" w:eastAsiaTheme="minorEastAsia" w:hAnsiTheme="minorHAnsi" w:cstheme="minorBidi"/>
          <w:szCs w:val="22"/>
        </w:rPr>
      </w:pPr>
      <w:r>
        <w:t>738</w:t>
      </w:r>
      <w:r>
        <w:rPr>
          <w:snapToGrid w:val="0"/>
        </w:rPr>
        <w:t>.</w:t>
      </w:r>
      <w:r>
        <w:rPr>
          <w:snapToGrid w:val="0"/>
        </w:rPr>
        <w:tab/>
        <w:t>Answers and discovery tending to show Chapter XXXV or LV offence</w:t>
      </w:r>
      <w:r>
        <w:tab/>
      </w:r>
      <w:r>
        <w:fldChar w:fldCharType="begin"/>
      </w:r>
      <w:r>
        <w:instrText xml:space="preserve"> PAGEREF _Toc88662528 \h </w:instrText>
      </w:r>
      <w:r>
        <w:fldChar w:fldCharType="separate"/>
      </w:r>
      <w:r>
        <w:t>322</w:t>
      </w:r>
      <w:r>
        <w:fldChar w:fldCharType="end"/>
      </w:r>
    </w:p>
    <w:p>
      <w:pPr>
        <w:pStyle w:val="TOC8"/>
        <w:rPr>
          <w:rFonts w:asciiTheme="minorHAnsi" w:eastAsiaTheme="minorEastAsia" w:hAnsiTheme="minorHAnsi" w:cstheme="minorBidi"/>
          <w:szCs w:val="22"/>
        </w:rPr>
      </w:pPr>
      <w:r>
        <w:t>739.</w:t>
      </w:r>
      <w:r>
        <w:tab/>
        <w:t>Review of law of homicide</w:t>
      </w:r>
      <w:r>
        <w:tab/>
      </w:r>
      <w:r>
        <w:fldChar w:fldCharType="begin"/>
      </w:r>
      <w:r>
        <w:instrText xml:space="preserve"> PAGEREF _Toc88662529 \h </w:instrText>
      </w:r>
      <w:r>
        <w:fldChar w:fldCharType="separate"/>
      </w:r>
      <w:r>
        <w:t>322</w:t>
      </w:r>
      <w:r>
        <w:fldChar w:fldCharType="end"/>
      </w:r>
    </w:p>
    <w:p>
      <w:pPr>
        <w:pStyle w:val="TOC8"/>
        <w:rPr>
          <w:rFonts w:asciiTheme="minorHAnsi" w:eastAsiaTheme="minorEastAsia" w:hAnsiTheme="minorHAnsi" w:cstheme="minorBidi"/>
          <w:szCs w:val="22"/>
        </w:rPr>
      </w:pPr>
      <w:r>
        <w:t>740A.</w:t>
      </w:r>
      <w:r>
        <w:tab/>
        <w:t>Review of certain amendments to s. 297 and 318</w:t>
      </w:r>
      <w:r>
        <w:tab/>
      </w:r>
      <w:r>
        <w:fldChar w:fldCharType="begin"/>
      </w:r>
      <w:r>
        <w:instrText xml:space="preserve"> PAGEREF _Toc88662530 \h </w:instrText>
      </w:r>
      <w:r>
        <w:fldChar w:fldCharType="separate"/>
      </w:r>
      <w:r>
        <w:t>322</w:t>
      </w:r>
      <w:r>
        <w:fldChar w:fldCharType="end"/>
      </w:r>
    </w:p>
    <w:p>
      <w:pPr>
        <w:pStyle w:val="TOC8"/>
        <w:rPr>
          <w:rFonts w:asciiTheme="minorHAnsi" w:eastAsiaTheme="minorEastAsia" w:hAnsiTheme="minorHAnsi" w:cstheme="minorBidi"/>
          <w:szCs w:val="22"/>
        </w:rPr>
      </w:pPr>
      <w:r>
        <w:t>740B.</w:t>
      </w:r>
      <w:r>
        <w:tab/>
        <w:t>Review of certain amendments relating to home burglary</w:t>
      </w:r>
      <w:r>
        <w:tab/>
      </w:r>
      <w:r>
        <w:fldChar w:fldCharType="begin"/>
      </w:r>
      <w:r>
        <w:instrText xml:space="preserve"> PAGEREF _Toc88662531 \h </w:instrText>
      </w:r>
      <w:r>
        <w:fldChar w:fldCharType="separate"/>
      </w:r>
      <w:r>
        <w:t>323</w:t>
      </w:r>
      <w:r>
        <w:fldChar w:fldCharType="end"/>
      </w:r>
    </w:p>
    <w:p>
      <w:pPr>
        <w:pStyle w:val="TOC8"/>
        <w:rPr>
          <w:rFonts w:asciiTheme="minorHAnsi" w:eastAsiaTheme="minorEastAsia" w:hAnsiTheme="minorHAnsi" w:cstheme="minorBidi"/>
          <w:szCs w:val="22"/>
        </w:rPr>
      </w:pPr>
      <w:r>
        <w:t>740C.</w:t>
      </w:r>
      <w:r>
        <w:tab/>
        <w:t xml:space="preserve">Review of amendments made by </w:t>
      </w:r>
      <w:r>
        <w:rPr>
          <w:i/>
          <w:iCs/>
        </w:rPr>
        <w:t>Family Violence Legislation Reform Act 2020</w:t>
      </w:r>
      <w:r>
        <w:tab/>
      </w:r>
      <w:r>
        <w:fldChar w:fldCharType="begin"/>
      </w:r>
      <w:r>
        <w:instrText xml:space="preserve"> PAGEREF _Toc88662532 \h </w:instrText>
      </w:r>
      <w:r>
        <w:fldChar w:fldCharType="separate"/>
      </w:r>
      <w:r>
        <w:t>323</w:t>
      </w:r>
      <w:r>
        <w:fldChar w:fldCharType="end"/>
      </w:r>
    </w:p>
    <w:p>
      <w:pPr>
        <w:pStyle w:val="TOC8"/>
        <w:rPr>
          <w:rFonts w:asciiTheme="minorHAnsi" w:eastAsiaTheme="minorEastAsia" w:hAnsiTheme="minorHAnsi" w:cstheme="minorBidi"/>
          <w:szCs w:val="22"/>
        </w:rPr>
      </w:pPr>
      <w:r>
        <w:t>740.</w:t>
      </w:r>
      <w:r>
        <w:tab/>
        <w:t>Transitional provisions (Sch. 1)</w:t>
      </w:r>
      <w:r>
        <w:tab/>
      </w:r>
      <w:r>
        <w:fldChar w:fldCharType="begin"/>
      </w:r>
      <w:r>
        <w:instrText xml:space="preserve"> PAGEREF _Toc88662533 \h </w:instrText>
      </w:r>
      <w:r>
        <w:fldChar w:fldCharType="separate"/>
      </w:r>
      <w:r>
        <w:t>324</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provisions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_Toc88662535 \h </w:instrText>
      </w:r>
      <w:r>
        <w:fldChar w:fldCharType="separate"/>
      </w:r>
      <w:r>
        <w:t>325</w:t>
      </w:r>
      <w:r>
        <w:fldChar w:fldCharType="end"/>
      </w:r>
    </w:p>
    <w:p>
      <w:pPr>
        <w:pStyle w:val="TOC8"/>
        <w:rPr>
          <w:rFonts w:asciiTheme="minorHAnsi" w:eastAsiaTheme="minorEastAsia" w:hAnsiTheme="minorHAnsi" w:cstheme="minorBidi"/>
          <w:szCs w:val="22"/>
        </w:rPr>
      </w:pPr>
      <w:r>
        <w:t>2.</w:t>
      </w:r>
      <w:r>
        <w:tab/>
        <w:t>Acts or omissions committed before 1 Aug 2008</w:t>
      </w:r>
      <w:r>
        <w:tab/>
      </w:r>
      <w:r>
        <w:fldChar w:fldCharType="begin"/>
      </w:r>
      <w:r>
        <w:instrText xml:space="preserve"> PAGEREF _Toc88662536 \h </w:instrText>
      </w:r>
      <w:r>
        <w:fldChar w:fldCharType="separate"/>
      </w:r>
      <w:r>
        <w:t>325</w:t>
      </w:r>
      <w:r>
        <w:fldChar w:fldCharType="end"/>
      </w:r>
    </w:p>
    <w:p>
      <w:pPr>
        <w:pStyle w:val="TOC8"/>
        <w:rPr>
          <w:rFonts w:asciiTheme="minorHAnsi" w:eastAsiaTheme="minorEastAsia" w:hAnsiTheme="minorHAnsi" w:cstheme="minorBidi"/>
          <w:szCs w:val="22"/>
        </w:rPr>
      </w:pPr>
      <w:r>
        <w:t>3.</w:t>
      </w:r>
      <w:r>
        <w:tab/>
        <w:t>Offenders serving life term at 1 Aug 2008</w:t>
      </w:r>
      <w:r>
        <w:tab/>
      </w:r>
      <w:r>
        <w:fldChar w:fldCharType="begin"/>
      </w:r>
      <w:r>
        <w:instrText xml:space="preserve"> PAGEREF _Toc88662537 \h </w:instrText>
      </w:r>
      <w:r>
        <w:fldChar w:fldCharType="separate"/>
      </w:r>
      <w:r>
        <w:t>325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_Toc88662539 \h </w:instrText>
      </w:r>
      <w:r>
        <w:fldChar w:fldCharType="separate"/>
      </w:r>
      <w:r>
        <w:t>327</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_Toc88662540 \h </w:instrText>
      </w:r>
      <w:r>
        <w:fldChar w:fldCharType="separate"/>
      </w:r>
      <w:r>
        <w:t>342</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_Toc88662541 \h </w:instrText>
      </w:r>
      <w:r>
        <w:fldChar w:fldCharType="separate"/>
      </w:r>
      <w:r>
        <w:t>342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tabs>
          <w:tab w:val="left" w:pos="2410"/>
        </w:tabs>
        <w:sectPr>
          <w:headerReference w:type="even" r:id="rId30"/>
          <w:headerReference w:type="default" r:id="rId31"/>
          <w:pgSz w:w="11907" w:h="16840" w:code="9"/>
          <w:pgMar w:top="2381" w:right="2410" w:bottom="3544" w:left="2410" w:header="720" w:footer="3379" w:gutter="0"/>
          <w:cols w:space="720"/>
          <w:noEndnote/>
          <w:docGrid w:linePitch="326"/>
        </w:sectPr>
      </w:pPr>
    </w:p>
    <w:p>
      <w:pPr>
        <w:pStyle w:val="NameofActReg"/>
      </w:pPr>
      <w:r>
        <w:lastRenderedPageBreak/>
        <w:t>Criminal Code</w:t>
      </w:r>
    </w:p>
    <w:p>
      <w:pPr>
        <w:pStyle w:val="Heading2"/>
        <w:pageBreakBefore w:val="0"/>
      </w:pPr>
      <w:bookmarkStart w:id="3" w:name="_Toc88569578"/>
      <w:bookmarkStart w:id="4" w:name="_Toc88570100"/>
      <w:bookmarkStart w:id="5" w:name="_Toc88570622"/>
      <w:bookmarkStart w:id="6" w:name="_Toc88662021"/>
      <w:r>
        <w:rPr>
          <w:rStyle w:val="CharPartNo"/>
        </w:rPr>
        <w:t>Part I</w:t>
      </w:r>
      <w:r>
        <w:t> — </w:t>
      </w:r>
      <w:r>
        <w:rPr>
          <w:rStyle w:val="CharPartText"/>
        </w:rPr>
        <w:t>Introductory</w:t>
      </w:r>
      <w:bookmarkEnd w:id="3"/>
      <w:bookmarkEnd w:id="4"/>
      <w:bookmarkEnd w:id="5"/>
      <w:bookmarkEnd w:id="6"/>
    </w:p>
    <w:p>
      <w:pPr>
        <w:pStyle w:val="Heading3"/>
        <w:rPr>
          <w:snapToGrid w:val="0"/>
          <w:sz w:val="24"/>
        </w:rPr>
      </w:pPr>
      <w:bookmarkStart w:id="7" w:name="_Toc88569579"/>
      <w:bookmarkStart w:id="8" w:name="_Toc88570101"/>
      <w:bookmarkStart w:id="9" w:name="_Toc88570623"/>
      <w:bookmarkStart w:id="10" w:name="_Toc88662022"/>
      <w:r>
        <w:rPr>
          <w:snapToGrid w:val="0"/>
          <w:sz w:val="24"/>
        </w:rPr>
        <w:t>Interpretation: Application: General principles</w:t>
      </w:r>
      <w:bookmarkEnd w:id="7"/>
      <w:bookmarkEnd w:id="8"/>
      <w:bookmarkEnd w:id="9"/>
      <w:bookmarkEnd w:id="10"/>
    </w:p>
    <w:p>
      <w:pPr>
        <w:pStyle w:val="Heading3"/>
        <w:spacing w:after="120"/>
        <w:rPr>
          <w:snapToGrid w:val="0"/>
        </w:rPr>
      </w:pPr>
      <w:bookmarkStart w:id="11" w:name="_Toc88569580"/>
      <w:bookmarkStart w:id="12" w:name="_Toc88570102"/>
      <w:bookmarkStart w:id="13" w:name="_Toc88570624"/>
      <w:bookmarkStart w:id="14" w:name="_Toc88662023"/>
      <w:r>
        <w:rPr>
          <w:rStyle w:val="CharDivNo"/>
        </w:rPr>
        <w:t>Chapter I</w:t>
      </w:r>
      <w:r>
        <w:rPr>
          <w:snapToGrid w:val="0"/>
        </w:rPr>
        <w:t> — </w:t>
      </w:r>
      <w:r>
        <w:rPr>
          <w:rStyle w:val="CharDivText"/>
        </w:rPr>
        <w:t>Interpretation</w:t>
      </w:r>
      <w:bookmarkEnd w:id="11"/>
      <w:bookmarkEnd w:id="12"/>
      <w:bookmarkEnd w:id="13"/>
      <w:bookmarkEnd w:id="14"/>
    </w:p>
    <w:p>
      <w:pPr>
        <w:pStyle w:val="Heading5"/>
        <w:spacing w:before="180"/>
        <w:rPr>
          <w:snapToGrid w:val="0"/>
        </w:rPr>
      </w:pPr>
      <w:bookmarkStart w:id="15" w:name="_Toc88662024"/>
      <w:r>
        <w:rPr>
          <w:rStyle w:val="CharSectno"/>
        </w:rPr>
        <w:t>1</w:t>
      </w:r>
      <w:r>
        <w:rPr>
          <w:snapToGrid w:val="0"/>
        </w:rPr>
        <w:t>.</w:t>
      </w:r>
      <w:r>
        <w:rPr>
          <w:snapToGrid w:val="0"/>
        </w:rPr>
        <w:tab/>
        <w:t>Terms used</w:t>
      </w:r>
      <w:bookmarkEnd w:id="15"/>
    </w:p>
    <w:p>
      <w:pPr>
        <w:pStyle w:val="Subsection"/>
        <w:rPr>
          <w:snapToGrid w:val="0"/>
        </w:rPr>
      </w:pPr>
      <w:r>
        <w:rPr>
          <w:snapToGrid w:val="0"/>
        </w:rPr>
        <w:tab/>
        <w:t>(1)</w:t>
      </w:r>
      <w:r>
        <w:rPr>
          <w:snapToGrid w:val="0"/>
        </w:rPr>
        <w:tab/>
        <w:t>In this Code, unless the context otherwise indicates —</w:t>
      </w:r>
    </w:p>
    <w:p>
      <w:pPr>
        <w:pStyle w:val="Defstart"/>
      </w:pPr>
      <w:r>
        <w:tab/>
        <w:t xml:space="preserve">The term </w:t>
      </w:r>
      <w:r>
        <w:rPr>
          <w:rStyle w:val="CharDefText"/>
        </w:rPr>
        <w:t>adult offender</w:t>
      </w:r>
      <w:r>
        <w:t xml:space="preserve"> means, with respect to a person convicted of an offence, a person who had reached 18 years of age when the offence was committed;</w:t>
      </w:r>
    </w:p>
    <w:p>
      <w:pPr>
        <w:pStyle w:val="Defstart"/>
      </w:pPr>
      <w:r>
        <w:tab/>
        <w:t xml:space="preserve">The term </w:t>
      </w:r>
      <w:r>
        <w:rPr>
          <w:rStyle w:val="CharDefText"/>
        </w:rPr>
        <w:t>aggravated home burglary</w:t>
      </w:r>
      <w:r>
        <w:t xml:space="preserve"> means a home burglary committed in circumstances of aggravation (within the meaning given in section 400(1));</w:t>
      </w:r>
    </w:p>
    <w:p>
      <w:pPr>
        <w:pStyle w:val="Defstart"/>
      </w:pPr>
      <w:r>
        <w:tab/>
        <w:t xml:space="preserve">The term </w:t>
      </w:r>
      <w:r>
        <w:rPr>
          <w:rStyle w:val="CharDefText"/>
        </w:rPr>
        <w:t>aircraft</w:t>
      </w:r>
      <w:r>
        <w:t xml:space="preserve"> includes any machine that can derive support in the atmosphere from the reactions of the air;</w:t>
      </w:r>
    </w:p>
    <w:p>
      <w:pPr>
        <w:pStyle w:val="Defstart"/>
      </w:pPr>
      <w:r>
        <w:tab/>
        <w:t xml:space="preserve">The term </w:t>
      </w:r>
      <w:r>
        <w:rPr>
          <w:rStyle w:val="CharDefText"/>
        </w:rPr>
        <w:t>assault</w:t>
      </w:r>
      <w:r>
        <w:t xml:space="preserve"> has the definition provided in section 222;</w:t>
      </w:r>
    </w:p>
    <w:p>
      <w:pPr>
        <w:pStyle w:val="Defstart"/>
      </w:pPr>
      <w:r>
        <w:tab/>
        <w:t xml:space="preserve">The term </w:t>
      </w:r>
      <w:r>
        <w:rPr>
          <w:rStyle w:val="CharDefText"/>
        </w:rPr>
        <w:t>Attorney General</w:t>
      </w:r>
      <w:r>
        <w:t xml:space="preserve"> includes where there is a vacancy in the office of Attorney General the person appointed by the Governor to be Minister for Justice;</w:t>
      </w:r>
    </w:p>
    <w:p>
      <w:pPr>
        <w:pStyle w:val="Defstart"/>
      </w:pPr>
      <w:r>
        <w:tab/>
        <w:t xml:space="preserve">The term </w:t>
      </w:r>
      <w:r>
        <w:rPr>
          <w:rStyle w:val="CharDefText"/>
        </w:rPr>
        <w:t>bodily harm</w:t>
      </w:r>
      <w:r>
        <w:t xml:space="preserve"> means any bodily injury which interferes with health or comfort;</w:t>
      </w:r>
    </w:p>
    <w:p>
      <w:pPr>
        <w:pStyle w:val="Defstart"/>
      </w:pPr>
      <w:r>
        <w:tab/>
        <w:t xml:space="preserve">The term </w:t>
      </w:r>
      <w:r>
        <w:rPr>
          <w:rStyle w:val="CharDefText"/>
        </w:rPr>
        <w:t>bribe</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lastRenderedPageBreak/>
        <w:tab/>
        <w:t xml:space="preserve">The term </w:t>
      </w:r>
      <w:r>
        <w:rPr>
          <w:rStyle w:val="CharDefText"/>
        </w:rPr>
        <w:t>child</w:t>
      </w:r>
      <w:r>
        <w:t xml:space="preserve"> means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rStyle w:val="CharDefText"/>
          <w:bCs/>
        </w:rPr>
        <w:t>circumstances of racial aggravation</w:t>
      </w:r>
      <w:r>
        <w:rPr>
          <w:b/>
        </w:rPr>
        <w:t xml:space="preserve"> </w:t>
      </w:r>
      <w:r>
        <w:t>has the meaning given to it in section 80I;</w:t>
      </w:r>
    </w:p>
    <w:p>
      <w:pPr>
        <w:pStyle w:val="Defstart"/>
      </w:pPr>
      <w:r>
        <w:tab/>
        <w:t xml:space="preserve">The terms </w:t>
      </w:r>
      <w:r>
        <w:rPr>
          <w:rStyle w:val="CharDefText"/>
        </w:rPr>
        <w:t>clerk</w:t>
      </w:r>
      <w:r>
        <w:t xml:space="preserve"> and </w:t>
      </w:r>
      <w:r>
        <w:rPr>
          <w:rStyle w:val="CharDefText"/>
        </w:rPr>
        <w:t>servant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rStyle w:val="CharDefText"/>
        </w:rPr>
        <w:t>company</w:t>
      </w:r>
      <w:r>
        <w:t xml:space="preserve"> means an incorporated company;</w:t>
      </w:r>
    </w:p>
    <w:p>
      <w:pPr>
        <w:pStyle w:val="Defstart"/>
      </w:pPr>
      <w:r>
        <w:tab/>
        <w:t xml:space="preserve">The term </w:t>
      </w:r>
      <w:r>
        <w:rPr>
          <w:rStyle w:val="CharDefText"/>
        </w:rPr>
        <w:t>conveyance</w:t>
      </w:r>
      <w:r>
        <w:t xml:space="preserve"> means a vehicle, vessel or aircraft made, adapted, used, or intended to be used for the carriage of persons or goods;</w:t>
      </w:r>
    </w:p>
    <w:p>
      <w:pPr>
        <w:pStyle w:val="Defstart"/>
      </w:pPr>
      <w:r>
        <w:tab/>
        <w:t xml:space="preserve">The term </w:t>
      </w:r>
      <w:r>
        <w:rPr>
          <w:rStyle w:val="CharDefText"/>
        </w:rPr>
        <w:t>court of summary jurisdiction</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rStyle w:val="CharDefText"/>
        </w:rPr>
        <w:t>criminally responsible</w:t>
      </w:r>
      <w:r>
        <w:t xml:space="preserve"> means liable to punishment as for an offence; and the term </w:t>
      </w:r>
      <w:r>
        <w:rPr>
          <w:rStyle w:val="CharDefText"/>
        </w:rPr>
        <w:t>criminal responsibility</w:t>
      </w:r>
      <w:r>
        <w:t xml:space="preserve"> means liability to punishment as for an offence;</w:t>
      </w:r>
    </w:p>
    <w:p>
      <w:pPr>
        <w:pStyle w:val="Defstart"/>
      </w:pPr>
      <w:r>
        <w:tab/>
        <w:t xml:space="preserve">The term </w:t>
      </w:r>
      <w:r>
        <w:rPr>
          <w:rStyle w:val="CharDefText"/>
          <w:bCs/>
        </w:rPr>
        <w:t>damage</w:t>
      </w:r>
      <w:r>
        <w:t>, in relation to animate property, includes injure;</w:t>
      </w:r>
    </w:p>
    <w:p>
      <w:pPr>
        <w:pStyle w:val="Defstart"/>
      </w:pPr>
      <w:r>
        <w:tab/>
        <w:t xml:space="preserve">The term </w:t>
      </w:r>
      <w:r>
        <w:rPr>
          <w:rStyle w:val="CharDefText"/>
        </w:rPr>
        <w:t>damage</w:t>
      </w:r>
      <w:r>
        <w:t xml:space="preserve"> in relation to a record means to deal with the record so that —</w:t>
      </w:r>
    </w:p>
    <w:p>
      <w:pPr>
        <w:pStyle w:val="Defpara"/>
      </w:pPr>
      <w:r>
        <w:tab/>
        <w:t>(a)</w:t>
      </w:r>
      <w:r>
        <w:tab/>
        <w:t>information recorded or stored upon the record is obliterated or rendered illegible or irrecoverable; or</w:t>
      </w:r>
    </w:p>
    <w:p>
      <w:pPr>
        <w:pStyle w:val="Defpara"/>
      </w:pPr>
      <w:r>
        <w:lastRenderedPageBreak/>
        <w:tab/>
        <w:t>(b)</w:t>
      </w:r>
      <w:r>
        <w:tab/>
        <w:t>it can not convey a meaning in a visible or recoverable form;</w:t>
      </w:r>
    </w:p>
    <w:p>
      <w:pPr>
        <w:pStyle w:val="Defstart"/>
      </w:pPr>
      <w:r>
        <w:tab/>
        <w:t xml:space="preserve">The term </w:t>
      </w:r>
      <w:r>
        <w:rPr>
          <w:rStyle w:val="CharDefText"/>
        </w:rPr>
        <w:t>destroy</w:t>
      </w:r>
      <w:r>
        <w:t>, in relation to animate property, means kill;</w:t>
      </w:r>
    </w:p>
    <w:p>
      <w:pPr>
        <w:pStyle w:val="Defstart"/>
      </w:pPr>
      <w:r>
        <w:tab/>
        <w:t xml:space="preserve">The term </w:t>
      </w:r>
      <w:r>
        <w:rPr>
          <w:rStyle w:val="CharDefText"/>
        </w:rPr>
        <w:t>District Court</w:t>
      </w:r>
      <w:r>
        <w:t xml:space="preserve"> means The District Court of Western Australia established under the </w:t>
      </w:r>
      <w:r>
        <w:rPr>
          <w:i/>
        </w:rPr>
        <w:t>District Court of Western Australia Act 1969</w:t>
      </w:r>
      <w:r>
        <w:t>;</w:t>
      </w:r>
    </w:p>
    <w:p>
      <w:pPr>
        <w:pStyle w:val="Defstart"/>
      </w:pPr>
      <w:r>
        <w:tab/>
        <w:t xml:space="preserve">The term </w:t>
      </w:r>
      <w:r>
        <w:rPr>
          <w:rStyle w:val="CharDefText"/>
        </w:rPr>
        <w:t>dwelling</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rStyle w:val="CharDefText"/>
        </w:rPr>
        <w:t>explosive substance</w:t>
      </w:r>
      <w:r>
        <w:t xml:space="preserve"> includes a gaseous substance in such a state of compression as to be capable of explosion;</w:t>
      </w:r>
    </w:p>
    <w:p>
      <w:pPr>
        <w:pStyle w:val="Defstart"/>
      </w:pPr>
      <w:r>
        <w:tab/>
        <w:t xml:space="preserve">The term </w:t>
      </w:r>
      <w:r>
        <w:rPr>
          <w:rStyle w:val="CharDefText"/>
        </w:rPr>
        <w:t>forge</w:t>
      </w:r>
      <w:r>
        <w:t xml:space="preserve"> in relation to a record means to make, alter or deal with the record so that the whole of it or a material part of it —</w:t>
      </w:r>
    </w:p>
    <w:p>
      <w:pPr>
        <w:pStyle w:val="Defpara"/>
      </w:pPr>
      <w:r>
        <w:tab/>
        <w:t>(a)</w:t>
      </w:r>
      <w:r>
        <w:tab/>
        <w:t>purports to be what in fact it is not; or</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rStyle w:val="CharDefText"/>
        </w:rPr>
        <w:t>grievous bodily harm</w:t>
      </w:r>
      <w:r>
        <w:t xml:space="preserve"> means any bodily injury of such a nature as to endanger, or be likely to endanger life, or to cause, or be likely to cause, permanent injury to health;</w:t>
      </w:r>
    </w:p>
    <w:p>
      <w:pPr>
        <w:pStyle w:val="Defstart"/>
      </w:pPr>
      <w:r>
        <w:rPr>
          <w:b/>
        </w:rPr>
        <w:tab/>
      </w:r>
      <w:r>
        <w:t xml:space="preserve">The term </w:t>
      </w:r>
      <w:r>
        <w:rPr>
          <w:rStyle w:val="CharDefText"/>
        </w:rPr>
        <w:t>home burglary</w:t>
      </w:r>
      <w:r>
        <w:rPr>
          <w:i/>
        </w:rPr>
        <w:t xml:space="preserve"> </w:t>
      </w:r>
      <w:r>
        <w:t>means an offence against any provision of Chapter XXXIX (as enacted at any time) other than section 407 committed in respect of a place (within the meaning given in section 400(1)) ordinarily used for human habitation;</w:t>
      </w:r>
    </w:p>
    <w:p>
      <w:pPr>
        <w:pStyle w:val="Defstart"/>
      </w:pPr>
      <w:r>
        <w:tab/>
        <w:t xml:space="preserve">The term </w:t>
      </w:r>
      <w:r>
        <w:rPr>
          <w:rStyle w:val="CharDefText"/>
        </w:rPr>
        <w:t>incites</w:t>
      </w:r>
      <w:r>
        <w:t xml:space="preserve"> includes solicits and endeavours to persuade;</w:t>
      </w:r>
    </w:p>
    <w:p>
      <w:pPr>
        <w:pStyle w:val="Defstart"/>
      </w:pPr>
      <w:r>
        <w:tab/>
        <w:t xml:space="preserve">The term </w:t>
      </w:r>
      <w:r>
        <w:rPr>
          <w:rStyle w:val="CharDefText"/>
        </w:rPr>
        <w:t>indictment</w:t>
      </w:r>
      <w:r>
        <w:t xml:space="preserve"> means a written charge of an indictable offence presented to the Supreme Court or District Court in order that the accused person be tried by that court;</w:t>
      </w:r>
    </w:p>
    <w:p>
      <w:pPr>
        <w:pStyle w:val="Defstart"/>
      </w:pPr>
      <w:r>
        <w:tab/>
        <w:t xml:space="preserve">The term </w:t>
      </w:r>
      <w:r>
        <w:rPr>
          <w:rStyle w:val="CharDefText"/>
        </w:rPr>
        <w:t>juvenile offender</w:t>
      </w:r>
      <w:r>
        <w:t xml:space="preserve"> means, with respect to a person convicted of an offence, a person who had reached 16 but not 18 years of age when the offence was committed;</w:t>
      </w:r>
    </w:p>
    <w:p>
      <w:pPr>
        <w:pStyle w:val="Defstart"/>
      </w:pPr>
      <w:r>
        <w:lastRenderedPageBreak/>
        <w:tab/>
        <w:t xml:space="preserve">The term </w:t>
      </w:r>
      <w:r>
        <w:rPr>
          <w:rStyle w:val="CharDefText"/>
        </w:rPr>
        <w:t>liable</w:t>
      </w:r>
      <w:r>
        <w:t>, used alone, means liable on conviction upon indictment;</w:t>
      </w:r>
    </w:p>
    <w:p>
      <w:pPr>
        <w:pStyle w:val="Defstart"/>
      </w:pPr>
      <w:r>
        <w:tab/>
        <w:t xml:space="preserve">The term </w:t>
      </w:r>
      <w:r>
        <w:rPr>
          <w:rStyle w:val="CharDefText"/>
        </w:rPr>
        <w:t>member of the crew</w:t>
      </w:r>
      <w:r>
        <w:t xml:space="preserve"> in relation to an aircraft means a person having duties or functions on board the aircraft;</w:t>
      </w:r>
    </w:p>
    <w:p>
      <w:pPr>
        <w:pStyle w:val="Defstart"/>
      </w:pPr>
      <w:r>
        <w:tab/>
        <w:t xml:space="preserve">The term </w:t>
      </w:r>
      <w:r>
        <w:rPr>
          <w:rStyle w:val="CharDefText"/>
        </w:rPr>
        <w:t>mental illness</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rStyle w:val="CharDefText"/>
        </w:rPr>
        <w:t>mental impairment</w:t>
      </w:r>
      <w:r>
        <w:t xml:space="preserve"> means intellectual disability, mental illness, brain damage or senility;</w:t>
      </w:r>
    </w:p>
    <w:p>
      <w:pPr>
        <w:pStyle w:val="Defstart"/>
      </w:pPr>
      <w:r>
        <w:tab/>
        <w:t xml:space="preserve">The term </w:t>
      </w:r>
      <w:r>
        <w:rPr>
          <w:rStyle w:val="CharDefText"/>
        </w:rPr>
        <w:t>money</w:t>
      </w:r>
      <w:r>
        <w:t xml:space="preserve"> includes bank notes, bank drafts, cheques, and any other orders, warrants, authorities, or requests for the payment of money;</w:t>
      </w:r>
    </w:p>
    <w:p>
      <w:pPr>
        <w:pStyle w:val="Defstart"/>
      </w:pPr>
      <w:r>
        <w:tab/>
        <w:t xml:space="preserve">The term </w:t>
      </w:r>
      <w:r>
        <w:rPr>
          <w:rStyle w:val="CharDefText"/>
        </w:rPr>
        <w:t>motor vehicle</w:t>
      </w:r>
      <w:r>
        <w:t xml:space="preserve"> has the same meaning as it has in the </w:t>
      </w:r>
      <w:r>
        <w:rPr>
          <w:i/>
          <w:iCs/>
        </w:rPr>
        <w:t>Road Traffic (Administration) Act 2008</w:t>
      </w:r>
      <w:r>
        <w:t xml:space="preserve"> section 4;</w:t>
      </w:r>
    </w:p>
    <w:p>
      <w:pPr>
        <w:pStyle w:val="Defstart"/>
      </w:pPr>
      <w:r>
        <w:tab/>
        <w:t xml:space="preserve">The term </w:t>
      </w:r>
      <w:r>
        <w:rPr>
          <w:rStyle w:val="CharDefText"/>
        </w:rPr>
        <w:t>night</w:t>
      </w:r>
      <w:r>
        <w:t xml:space="preserve"> or </w:t>
      </w:r>
      <w:r>
        <w:rPr>
          <w:rStyle w:val="CharDefText"/>
        </w:rPr>
        <w:t>night</w:t>
      </w:r>
      <w:r>
        <w:rPr>
          <w:rStyle w:val="CharDefText"/>
        </w:rPr>
        <w:noBreakHyphen/>
        <w:t>time</w:t>
      </w:r>
      <w:r>
        <w:t xml:space="preserve"> means the interval between 9 p.m. and 6 a.m.;</w:t>
      </w:r>
    </w:p>
    <w:p>
      <w:pPr>
        <w:pStyle w:val="Defstart"/>
      </w:pPr>
      <w:r>
        <w:tab/>
        <w:t xml:space="preserve">The term </w:t>
      </w:r>
      <w:r>
        <w:rPr>
          <w:rStyle w:val="CharDefText"/>
        </w:rPr>
        <w:t>obtains</w:t>
      </w:r>
      <w:r>
        <w:t xml:space="preserve"> includes obtains possession and, in relation to land, includes occupies or acquires the capacity to occupy;</w:t>
      </w:r>
    </w:p>
    <w:p>
      <w:pPr>
        <w:pStyle w:val="Defstart"/>
      </w:pPr>
      <w:r>
        <w:tab/>
        <w:t xml:space="preserve">The term </w:t>
      </w:r>
      <w:r>
        <w:rPr>
          <w:rStyle w:val="CharDefText"/>
        </w:rPr>
        <w:t>person</w:t>
      </w:r>
      <w:r>
        <w:t xml:space="preserve"> and </w:t>
      </w:r>
      <w:r>
        <w:rPr>
          <w:rStyle w:val="CharDefText"/>
        </w:rPr>
        <w:t>owner</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rStyle w:val="CharDefText"/>
        </w:rPr>
        <w:t>person employed in the Public Service</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rStyle w:val="CharDefText"/>
        </w:rPr>
        <w:t>possession</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lastRenderedPageBreak/>
        <w:tab/>
        <w:t xml:space="preserve">The term </w:t>
      </w:r>
      <w:r>
        <w:rPr>
          <w:rStyle w:val="CharDefText"/>
        </w:rPr>
        <w:t>property</w:t>
      </w:r>
      <w:r>
        <w:t xml:space="preserve"> includes real and personal property and everything, animate or inanimate, capable of being the subject of ownership;</w:t>
      </w:r>
    </w:p>
    <w:p>
      <w:pPr>
        <w:pStyle w:val="Defstart"/>
      </w:pPr>
      <w:r>
        <w:tab/>
        <w:t xml:space="preserve">The term </w:t>
      </w:r>
      <w:r>
        <w:rPr>
          <w:rStyle w:val="CharDefText"/>
        </w:rPr>
        <w:t>public officer</w:t>
      </w:r>
      <w:r>
        <w:t xml:space="preserve"> means any of the following —</w:t>
      </w:r>
    </w:p>
    <w:p>
      <w:pPr>
        <w:pStyle w:val="Defpara"/>
        <w:spacing w:before="60"/>
      </w:pPr>
      <w:r>
        <w:tab/>
        <w:t>(a)</w:t>
      </w:r>
      <w:r>
        <w:tab/>
        <w:t>a police officer;</w:t>
      </w:r>
    </w:p>
    <w:p>
      <w:pPr>
        <w:pStyle w:val="Defpara"/>
        <w:spacing w:before="60"/>
      </w:pPr>
      <w:r>
        <w:tab/>
        <w:t>(aa)</w:t>
      </w:r>
      <w:r>
        <w:tab/>
        <w:t>a Minister of the Crown;</w:t>
      </w:r>
    </w:p>
    <w:p>
      <w:pPr>
        <w:pStyle w:val="Defpara"/>
        <w:spacing w:before="60"/>
      </w:pPr>
      <w:r>
        <w:tab/>
        <w:t>(ab)</w:t>
      </w:r>
      <w:r>
        <w:tab/>
        <w:t xml:space="preserve">a Parliamentary Secretary appointed under section 44A of the </w:t>
      </w:r>
      <w:r>
        <w:rPr>
          <w:i/>
        </w:rPr>
        <w:t>Constitution Acts Amendment Act 1899</w:t>
      </w:r>
      <w:r>
        <w:t>;</w:t>
      </w:r>
    </w:p>
    <w:p>
      <w:pPr>
        <w:pStyle w:val="Defpara"/>
        <w:spacing w:before="60"/>
      </w:pPr>
      <w:r>
        <w:tab/>
        <w:t>(ac)</w:t>
      </w:r>
      <w:r>
        <w:tab/>
        <w:t>a member of either House of Parliament;</w:t>
      </w:r>
    </w:p>
    <w:p>
      <w:pPr>
        <w:pStyle w:val="Defpara"/>
        <w:spacing w:before="60"/>
      </w:pPr>
      <w:r>
        <w:tab/>
        <w:t>(ad)</w:t>
      </w:r>
      <w:r>
        <w:tab/>
        <w:t>a person exercising authority under a written law;</w:t>
      </w:r>
    </w:p>
    <w:p>
      <w:pPr>
        <w:pStyle w:val="Defpara"/>
        <w:spacing w:before="60"/>
      </w:pPr>
      <w:r>
        <w:tab/>
        <w:t>(b)</w:t>
      </w:r>
      <w:r>
        <w:tab/>
        <w:t>a person authorised under a written law to execute or serve any process of a court or tribunal;</w:t>
      </w:r>
    </w:p>
    <w:p>
      <w:pPr>
        <w:pStyle w:val="Defpara"/>
        <w:spacing w:before="60"/>
      </w:pPr>
      <w:r>
        <w:tab/>
        <w:t>(c)</w:t>
      </w:r>
      <w:r>
        <w:tab/>
        <w:t xml:space="preserve">a public service officer or employee within the meaning of the </w:t>
      </w:r>
      <w:r>
        <w:rPr>
          <w:i/>
        </w:rPr>
        <w:t>Public Sector Management Act 1994</w:t>
      </w:r>
      <w:r>
        <w:t>;</w:t>
      </w:r>
    </w:p>
    <w:p>
      <w:pPr>
        <w:pStyle w:val="Defpara"/>
        <w:spacing w:before="60"/>
      </w:pPr>
      <w:r>
        <w:tab/>
        <w:t>(ca)</w:t>
      </w:r>
      <w:r>
        <w:tab/>
        <w:t>a person who holds a permit to do high</w:t>
      </w:r>
      <w:r>
        <w:noBreakHyphen/>
        <w:t xml:space="preserve">level security work as defined in the </w:t>
      </w:r>
      <w:r>
        <w:rPr>
          <w:i/>
        </w:rPr>
        <w:t>Court Security and Custodial Services Act 1999</w:t>
      </w:r>
      <w:r>
        <w:t>;</w:t>
      </w:r>
    </w:p>
    <w:p>
      <w:pPr>
        <w:pStyle w:val="Defpara"/>
        <w:spacing w:before="60"/>
      </w:pPr>
      <w:r>
        <w:tab/>
        <w:t>(cb)</w:t>
      </w:r>
      <w:r>
        <w:tab/>
        <w:t>a person who holds a permit to do high</w:t>
      </w:r>
      <w:r>
        <w:noBreakHyphen/>
        <w:t xml:space="preserve">level security work as defined in the </w:t>
      </w:r>
      <w:r>
        <w:rPr>
          <w:i/>
        </w:rPr>
        <w:t>Prisons Act 1981</w:t>
      </w:r>
      <w:r>
        <w:t>;</w:t>
      </w:r>
    </w:p>
    <w:p>
      <w:pPr>
        <w:pStyle w:val="Defpara"/>
        <w:spacing w:before="60"/>
      </w:pPr>
      <w:r>
        <w:tab/>
        <w:t>(d)</w:t>
      </w:r>
      <w:r>
        <w:tab/>
        <w:t>a member, officer or employee of any authority, board, corporation, commission, local government, council of a local government, council or committee or similar body established under a written law;</w:t>
      </w:r>
    </w:p>
    <w:p>
      <w:pPr>
        <w:pStyle w:val="Defpara"/>
        <w:spacing w:before="60"/>
      </w:pPr>
      <w:r>
        <w:tab/>
        <w:t>(e)</w:t>
      </w:r>
      <w:r>
        <w:tab/>
        <w:t>any other person holding office under, or employed by, the State of Western Australia, whether for remuneration or not;</w:t>
      </w:r>
    </w:p>
    <w:p>
      <w:pPr>
        <w:pStyle w:val="Defstart"/>
      </w:pPr>
      <w:r>
        <w:rPr>
          <w:b/>
        </w:rPr>
        <w:tab/>
      </w:r>
      <w:r>
        <w:t xml:space="preserve">The term </w:t>
      </w:r>
      <w:r>
        <w:rPr>
          <w:rStyle w:val="CharDefText"/>
        </w:rPr>
        <w:t>public place</w:t>
      </w:r>
      <w:r>
        <w:t xml:space="preserve"> includes —</w:t>
      </w:r>
    </w:p>
    <w:p>
      <w:pPr>
        <w:pStyle w:val="Defpara"/>
      </w:pPr>
      <w:r>
        <w:tab/>
        <w:t>(a)</w:t>
      </w:r>
      <w:r>
        <w:tab/>
        <w:t>a place to which the public, or any section of the public, has or is permitted to have access, whether on payment or otherwise; and</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lastRenderedPageBreak/>
        <w:tab/>
        <w:t>(c)</w:t>
      </w:r>
      <w:r>
        <w:tab/>
        <w:t>a school, university or other place of education, other than a part of it to which neither students nor the public usually have access;</w:t>
      </w:r>
    </w:p>
    <w:p>
      <w:pPr>
        <w:pStyle w:val="Defstart"/>
      </w:pPr>
      <w:r>
        <w:tab/>
        <w:t xml:space="preserve">The term </w:t>
      </w:r>
      <w:r>
        <w:rPr>
          <w:rStyle w:val="CharDefText"/>
        </w:rPr>
        <w:t>railway</w:t>
      </w:r>
      <w:r>
        <w:t xml:space="preserve"> includes every kind of way on which vehicles are borne upon a rail or rails, whatever may be the means of propulsion;</w:t>
      </w:r>
    </w:p>
    <w:p>
      <w:pPr>
        <w:pStyle w:val="Defstart"/>
      </w:pPr>
      <w:r>
        <w:tab/>
        <w:t xml:space="preserve">The term </w:t>
      </w:r>
      <w:r>
        <w:rPr>
          <w:rStyle w:val="CharDefText"/>
        </w:rPr>
        <w:t>receives</w:t>
      </w:r>
      <w:r>
        <w:t xml:space="preserve"> includes obtains possession and, in relation to land, includes occupies or acquires the capacity to occupy;</w:t>
      </w:r>
    </w:p>
    <w:p>
      <w:pPr>
        <w:pStyle w:val="Defstart"/>
      </w:pPr>
      <w:r>
        <w:tab/>
        <w:t xml:space="preserve">The term </w:t>
      </w:r>
      <w:r>
        <w:rPr>
          <w:rStyle w:val="CharDefText"/>
        </w:rPr>
        <w:t>record</w:t>
      </w:r>
      <w:r>
        <w:t xml:space="preserve"> 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rStyle w:val="CharDefText"/>
        </w:rPr>
        <w:t>registered brand</w:t>
      </w:r>
      <w:r>
        <w:t xml:space="preserve"> and </w:t>
      </w:r>
      <w:r>
        <w:rPr>
          <w:rStyle w:val="CharDefText"/>
        </w:rPr>
        <w:t>registered mark</w:t>
      </w:r>
      <w:r>
        <w:t xml:space="preserve"> mean respectively a brand or mark which is registered under the authority of the laws relating to brands;</w:t>
      </w:r>
    </w:p>
    <w:p>
      <w:pPr>
        <w:pStyle w:val="Defstart"/>
      </w:pPr>
      <w:r>
        <w:tab/>
        <w:t xml:space="preserve">The term </w:t>
      </w:r>
      <w:r>
        <w:rPr>
          <w:rStyle w:val="CharDefText"/>
        </w:rPr>
        <w:t>serious disease</w:t>
      </w:r>
      <w:r>
        <w:t xml:space="preserve"> means a disease of such a nature as to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rStyle w:val="CharDefText"/>
        </w:rPr>
        <w:t>ship</w:t>
      </w:r>
      <w:r>
        <w:t xml:space="preserve"> includes every kind of vessel used in navigation not propelled by oars;</w:t>
      </w:r>
    </w:p>
    <w:p>
      <w:pPr>
        <w:pStyle w:val="Defstart"/>
      </w:pPr>
      <w:r>
        <w:tab/>
        <w:t xml:space="preserve">The term </w:t>
      </w:r>
      <w:r>
        <w:rPr>
          <w:rStyle w:val="CharDefText"/>
        </w:rPr>
        <w:t>summarily</w:t>
      </w:r>
      <w:r>
        <w:t xml:space="preserve"> has the meaning given by subsection (5);</w:t>
      </w:r>
    </w:p>
    <w:p>
      <w:pPr>
        <w:pStyle w:val="Defstart"/>
      </w:pPr>
      <w:r>
        <w:tab/>
        <w:t xml:space="preserve">The term </w:t>
      </w:r>
      <w:r>
        <w:rPr>
          <w:rStyle w:val="CharDefText"/>
        </w:rPr>
        <w:t>summary conviction</w:t>
      </w:r>
      <w:r>
        <w:rPr>
          <w:b/>
        </w:rPr>
        <w:t xml:space="preserve"> </w:t>
      </w:r>
      <w:r>
        <w:t>means conviction otherwise than on indictment;</w:t>
      </w:r>
    </w:p>
    <w:p>
      <w:pPr>
        <w:pStyle w:val="Defstart"/>
      </w:pPr>
      <w:r>
        <w:tab/>
        <w:t xml:space="preserve">The term </w:t>
      </w:r>
      <w:r>
        <w:rPr>
          <w:rStyle w:val="CharDefText"/>
        </w:rPr>
        <w:t>thing sent by post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t>
      </w:r>
      <w:r>
        <w:lastRenderedPageBreak/>
        <w:t>which contains any such thing, and which is in course of transmission by post;</w:t>
      </w:r>
    </w:p>
    <w:p>
      <w:pPr>
        <w:pStyle w:val="Defstart"/>
      </w:pPr>
      <w:r>
        <w:tab/>
        <w:t xml:space="preserve">The term </w:t>
      </w:r>
      <w:r>
        <w:rPr>
          <w:rStyle w:val="CharDefText"/>
        </w:rPr>
        <w:t>utter</w:t>
      </w:r>
      <w:r>
        <w:t xml:space="preserve"> in relation to a forged record means use or deal with the record knowing that the record is forged;</w:t>
      </w:r>
    </w:p>
    <w:p>
      <w:pPr>
        <w:pStyle w:val="Defstart"/>
      </w:pPr>
      <w:r>
        <w:tab/>
        <w:t xml:space="preserve">The term </w:t>
      </w:r>
      <w:r>
        <w:rPr>
          <w:rStyle w:val="CharDefText"/>
        </w:rPr>
        <w:t>valuable security</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rStyle w:val="CharDefText"/>
        </w:rPr>
        <w:t>vehicle</w:t>
      </w:r>
      <w:r>
        <w:t xml:space="preserve"> includes any thing made, adapted or intended to be propelled or drawn on wheels, tracks or rails by any means;</w:t>
      </w:r>
    </w:p>
    <w:p>
      <w:pPr>
        <w:pStyle w:val="Defstart"/>
      </w:pPr>
      <w:r>
        <w:tab/>
        <w:t xml:space="preserve">The term </w:t>
      </w:r>
      <w:r>
        <w:rPr>
          <w:rStyle w:val="CharDefText"/>
        </w:rPr>
        <w:t>vessel</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w:t>
      </w:r>
    </w:p>
    <w:p>
      <w:pPr>
        <w:pStyle w:val="Indenta"/>
        <w:rPr>
          <w:snapToGrid w:val="0"/>
        </w:rPr>
      </w:pPr>
      <w:r>
        <w:rPr>
          <w:snapToGrid w:val="0"/>
        </w:rPr>
        <w:tab/>
        <w:t>(a)</w:t>
      </w:r>
      <w:r>
        <w:rPr>
          <w:snapToGrid w:val="0"/>
        </w:rPr>
        <w:tab/>
        <w:t>a flight of an aircraft shall be taken to commence —</w:t>
      </w:r>
    </w:p>
    <w:p>
      <w:pPr>
        <w:pStyle w:val="Indenti"/>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flight of an aircraft shall be taken to end —</w:t>
      </w:r>
    </w:p>
    <w:p>
      <w:pPr>
        <w:pStyle w:val="Indenti"/>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keepNext/>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rPr>
          <w:snapToGrid w:val="0"/>
        </w:rPr>
      </w:pPr>
      <w:r>
        <w:rPr>
          <w:snapToGrid w:val="0"/>
        </w:rPr>
        <w:tab/>
      </w:r>
      <w:r>
        <w:rPr>
          <w:snapToGrid w:val="0"/>
        </w:rPr>
        <w:tab/>
        <w:t xml:space="preserve">or, if the aircraft is destroyed, or the flight is abandoned, before either subparagraph (i) or subparagraph (ii) </w:t>
      </w:r>
      <w:r>
        <w:rPr>
          <w:snapToGrid w:val="0"/>
        </w:rPr>
        <w:lastRenderedPageBreak/>
        <w:t>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w:t>
      </w:r>
    </w:p>
    <w:p>
      <w:pPr>
        <w:pStyle w:val="Indenta"/>
        <w:rPr>
          <w:snapToGrid w:val="0"/>
        </w:rPr>
      </w:pPr>
      <w:r>
        <w:rPr>
          <w:snapToGrid w:val="0"/>
        </w:rPr>
        <w:tab/>
        <w:t>(a)</w:t>
      </w:r>
      <w:r>
        <w:rPr>
          <w:snapToGrid w:val="0"/>
        </w:rPr>
        <w:tab/>
        <w:t>a reference to causing or doing bodily harm to a person includes a reference to causing a person to have a disease which interferes with health or comfort; and</w:t>
      </w:r>
    </w:p>
    <w:p>
      <w:pPr>
        <w:pStyle w:val="Indenta"/>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 and</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(4A)</w:t>
      </w:r>
      <w:r>
        <w:tab/>
        <w:t xml:space="preserve">In this Code, unless the context otherwise indicates — </w:t>
      </w:r>
    </w:p>
    <w:p>
      <w:pPr>
        <w:pStyle w:val="Indenta"/>
      </w:pPr>
      <w:r>
        <w:tab/>
        <w:t>(a)</w:t>
      </w:r>
      <w:r>
        <w:tab/>
        <w:t>a reference to causing or doing bodily harm to a person includes, if the person is a pregnant woman, a reference to causing or doing bodily harm to the woman’s unborn child; and</w:t>
      </w:r>
    </w:p>
    <w:p>
      <w:pPr>
        <w:pStyle w:val="Indenta"/>
      </w:pPr>
      <w:r>
        <w:tab/>
        <w:t>(b)</w:t>
      </w:r>
      <w:r>
        <w:tab/>
        <w:t>a reference to intending to cause or intending to do bodily harm to a person includes, if the person is a pregnant woman, a reference to intending to cause or intending to do bodily harm to the woman’s unborn child; and</w:t>
      </w:r>
    </w:p>
    <w:p>
      <w:pPr>
        <w:pStyle w:val="Indenta"/>
        <w:keepNext/>
      </w:pPr>
      <w:r>
        <w:lastRenderedPageBreak/>
        <w:tab/>
        <w:t>(c)</w:t>
      </w:r>
      <w:r>
        <w:tab/>
        <w:t xml:space="preserve">a reference to causing or doing grievous bodily harm to a person includes, if the person is a pregnant woman — </w:t>
      </w:r>
    </w:p>
    <w:p>
      <w:pPr>
        <w:pStyle w:val="Indenti"/>
      </w:pPr>
      <w:r>
        <w:tab/>
        <w:t>(i)</w:t>
      </w:r>
      <w:r>
        <w:tab/>
        <w:t>a reference to causing or doing grievous bodily harm to the woman’s unborn child; and</w:t>
      </w:r>
    </w:p>
    <w:p>
      <w:pPr>
        <w:pStyle w:val="Indenti"/>
      </w:pPr>
      <w:r>
        <w:tab/>
        <w:t>(ii)</w:t>
      </w:r>
      <w:r>
        <w:tab/>
        <w:t>a reference to causing the loss of the woman’s pregnancy;</w:t>
      </w:r>
    </w:p>
    <w:p>
      <w:pPr>
        <w:pStyle w:val="Indenta"/>
      </w:pPr>
      <w:r>
        <w:tab/>
      </w:r>
      <w:r>
        <w:tab/>
        <w:t>and</w:t>
      </w:r>
    </w:p>
    <w:p>
      <w:pPr>
        <w:pStyle w:val="Indenta"/>
      </w:pPr>
      <w:r>
        <w:tab/>
        <w:t>(d)</w:t>
      </w:r>
      <w:r>
        <w:tab/>
        <w:t xml:space="preserve">a reference to intending to cause or intending to do grievous bodily harm to a person includes, if the person is a pregnant woman — </w:t>
      </w:r>
    </w:p>
    <w:p>
      <w:pPr>
        <w:pStyle w:val="Indenti"/>
      </w:pPr>
      <w:r>
        <w:tab/>
        <w:t>(i)</w:t>
      </w:r>
      <w:r>
        <w:tab/>
        <w:t>a reference to intending to cause or intending to do grievous bodily harm to the woman’s unborn child; and</w:t>
      </w:r>
    </w:p>
    <w:p>
      <w:pPr>
        <w:pStyle w:val="Indenti"/>
      </w:pPr>
      <w:r>
        <w:tab/>
        <w:t>(ii)</w:t>
      </w:r>
      <w:r>
        <w:tab/>
        <w:t>a reference to intending to cause the loss of the woman’s pregnancy.</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keepLines/>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keepLines w:val="0"/>
        <w:ind w:left="890" w:hanging="890"/>
      </w:pPr>
      <w:r>
        <w:tab/>
        <w:t>[Section 1 amended: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No. 2 of 2008 s. 4; No. 8 of 2012 s. 183; No. 25 of 2015 s. 4; No. 49 of 2016 s. 98.]</w:t>
      </w:r>
    </w:p>
    <w:p>
      <w:pPr>
        <w:pStyle w:val="Heading5"/>
        <w:rPr>
          <w:snapToGrid w:val="0"/>
        </w:rPr>
      </w:pPr>
      <w:bookmarkStart w:id="16" w:name="_Toc88662025"/>
      <w:r>
        <w:rPr>
          <w:rStyle w:val="CharSectno"/>
        </w:rPr>
        <w:lastRenderedPageBreak/>
        <w:t>2</w:t>
      </w:r>
      <w:r>
        <w:rPr>
          <w:snapToGrid w:val="0"/>
        </w:rPr>
        <w:t>.</w:t>
      </w:r>
      <w:r>
        <w:rPr>
          <w:snapToGrid w:val="0"/>
        </w:rPr>
        <w:tab/>
        <w:t xml:space="preserve">Term used: </w:t>
      </w:r>
      <w:r>
        <w:rPr>
          <w:rStyle w:val="CharDefText"/>
          <w:b/>
          <w:bCs/>
          <w:i w:val="0"/>
          <w:iCs/>
        </w:rPr>
        <w:t>offence</w:t>
      </w:r>
      <w:bookmarkEnd w:id="16"/>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7" w:name="_Toc88662026"/>
      <w:r>
        <w:rPr>
          <w:rStyle w:val="CharSectno"/>
        </w:rPr>
        <w:t>3</w:t>
      </w:r>
      <w:r>
        <w:t>.</w:t>
      </w:r>
      <w:r>
        <w:tab/>
        <w:t>Indictable offences, general provisions as to</w:t>
      </w:r>
      <w:bookmarkEnd w:id="17"/>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deleted]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No. 4 of 2004 s. 28; amended: No. 59 of 2004 s. 80; No. 70 of 2004 s. 36(1); No. 84 of 2004 s. 28.]</w:t>
      </w:r>
    </w:p>
    <w:p>
      <w:pPr>
        <w:pStyle w:val="Heading5"/>
        <w:rPr>
          <w:snapToGrid w:val="0"/>
        </w:rPr>
      </w:pPr>
      <w:bookmarkStart w:id="18" w:name="_Toc88662027"/>
      <w:r>
        <w:rPr>
          <w:rStyle w:val="CharSectno"/>
        </w:rPr>
        <w:t>4</w:t>
      </w:r>
      <w:r>
        <w:rPr>
          <w:snapToGrid w:val="0"/>
        </w:rPr>
        <w:t>.</w:t>
      </w:r>
      <w:r>
        <w:rPr>
          <w:b w:val="0"/>
          <w:bCs/>
          <w:i/>
          <w:iCs/>
          <w:snapToGrid w:val="0"/>
        </w:rPr>
        <w:tab/>
      </w:r>
      <w:r>
        <w:rPr>
          <w:snapToGrid w:val="0"/>
        </w:rPr>
        <w:t>Term used:</w:t>
      </w:r>
      <w:r>
        <w:rPr>
          <w:b w:val="0"/>
          <w:bCs/>
          <w:i/>
          <w:iCs/>
          <w:snapToGrid w:val="0"/>
        </w:rPr>
        <w:t xml:space="preserve"> </w:t>
      </w:r>
      <w:r>
        <w:rPr>
          <w:rStyle w:val="CharDefText"/>
          <w:b/>
          <w:bCs/>
          <w:i w:val="0"/>
          <w:iCs/>
        </w:rPr>
        <w:t>attempt to commit offence</w:t>
      </w:r>
      <w:bookmarkEnd w:id="18"/>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lastRenderedPageBreak/>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No. 106 of 1987 s. 5.]</w:t>
      </w:r>
    </w:p>
    <w:p>
      <w:pPr>
        <w:pStyle w:val="Heading5"/>
      </w:pPr>
      <w:bookmarkStart w:id="19" w:name="_Toc88662028"/>
      <w:r>
        <w:rPr>
          <w:rStyle w:val="CharSectno"/>
        </w:rPr>
        <w:t>5</w:t>
      </w:r>
      <w:r>
        <w:t>.</w:t>
      </w:r>
      <w:r>
        <w:tab/>
      </w:r>
      <w:r>
        <w:rPr>
          <w:rStyle w:val="CharDefText"/>
          <w:b/>
          <w:i w:val="0"/>
        </w:rPr>
        <w:t>Summary conviction penalty</w:t>
      </w:r>
      <w:r>
        <w:t>, meaning and effect of</w:t>
      </w:r>
      <w:bookmarkEnd w:id="19"/>
    </w:p>
    <w:p>
      <w:pPr>
        <w:pStyle w:val="Subsection"/>
      </w:pPr>
      <w:r>
        <w:tab/>
        <w:t>(1)</w:t>
      </w:r>
      <w:r>
        <w:tab/>
        <w:t>This section applies if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rStyle w:val="CharDefText"/>
        </w:rPr>
        <w:t>accused</w:t>
      </w:r>
      <w:r>
        <w:t xml:space="preserve">) is charged before a court of summary jurisdiction (the </w:t>
      </w:r>
      <w:r>
        <w:rPr>
          <w:rStyle w:val="CharDefText"/>
        </w:rPr>
        <w:t>court</w:t>
      </w:r>
      <w:r>
        <w:t xml:space="preserve">) with committing the indictable offence in circumstances where the summary conviction penalty applies to the offence (the </w:t>
      </w:r>
      <w:r>
        <w:rPr>
          <w:rStyle w:val="CharDefText"/>
        </w:rPr>
        <w:t>charge</w:t>
      </w:r>
      <w:r>
        <w:t>).</w:t>
      </w:r>
    </w:p>
    <w:p>
      <w:pPr>
        <w:pStyle w:val="Subsection"/>
      </w:pPr>
      <w:r>
        <w:tab/>
        <w:t>(2)</w:t>
      </w:r>
      <w:r>
        <w:tab/>
        <w:t>Despite section 3(2), the court is to try the charge summarily unless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The court may decide the charge is to be tried on indictment if and only if it considers —</w:t>
      </w:r>
    </w:p>
    <w:p>
      <w:pPr>
        <w:pStyle w:val="Indenta"/>
      </w:pPr>
      <w:r>
        <w:tab/>
        <w:t>(a)</w:t>
      </w:r>
      <w:r>
        <w:tab/>
        <w:t xml:space="preserve">that the circumstances in which the offence was allegedly committed are so serious that, if the accused </w:t>
      </w:r>
      <w:r>
        <w:lastRenderedPageBreak/>
        <w:t>were convicted of the offence, the court would not be able to adequately punish the accused; or</w:t>
      </w:r>
    </w:p>
    <w:p>
      <w:pPr>
        <w:pStyle w:val="Indenta"/>
      </w:pPr>
      <w:r>
        <w:tab/>
        <w:t>(ba)</w:t>
      </w:r>
      <w:r>
        <w:tab/>
        <w:t xml:space="preserve">that the circumstances in which the offence was allegedly committed are such that, if the accused were convicted of the offence, the </w:t>
      </w:r>
      <w:r>
        <w:rPr>
          <w:i/>
        </w:rPr>
        <w:t>Sentencing Act 1995</w:t>
      </w:r>
      <w:r>
        <w:t xml:space="preserve"> Part 2 Division 2A would apply to the sentencing of the accused for that offence; or</w:t>
      </w:r>
    </w:p>
    <w:p>
      <w:pPr>
        <w:pStyle w:val="Indenta"/>
      </w:pPr>
      <w:r>
        <w:tab/>
        <w:t>(b)</w:t>
      </w:r>
      <w:r>
        <w:tab/>
        <w:t>that the charge forms part of a course of conduct during which other offences were allegedly committed by the accused and the accused is to be tried on indictment for one or more of those other offences; or</w:t>
      </w:r>
    </w:p>
    <w:p>
      <w:pPr>
        <w:pStyle w:val="Indenta"/>
      </w:pPr>
      <w:r>
        <w:tab/>
        <w:t>(c)</w:t>
      </w:r>
      <w:r>
        <w:tab/>
        <w:t>that a co</w:t>
      </w:r>
      <w:r>
        <w:noBreakHyphen/>
        <w:t>accused of the accused is to be tried on indictment; or</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For the purposes of making a decision under subsection (3) the court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If under subsection (3) the court decides that the charge is to be tried on indictment the court shall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lastRenderedPageBreak/>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If the court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No. 4 of 2004 s. 29; amended: No. 59 of 2004 s. 80; No. 84 of 2004 s. 28 and 82; No. 49 of 2012 s. 173(2).]</w:t>
      </w:r>
    </w:p>
    <w:p>
      <w:pPr>
        <w:pStyle w:val="Heading5"/>
        <w:spacing w:before="180"/>
      </w:pPr>
      <w:bookmarkStart w:id="20" w:name="_Toc88662029"/>
      <w:r>
        <w:rPr>
          <w:rStyle w:val="CharSectno"/>
        </w:rPr>
        <w:t>6</w:t>
      </w:r>
      <w:r>
        <w:rPr>
          <w:snapToGrid w:val="0"/>
        </w:rPr>
        <w:t>.</w:t>
      </w:r>
      <w:r>
        <w:rPr>
          <w:snapToGrid w:val="0"/>
        </w:rPr>
        <w:tab/>
        <w:t xml:space="preserve">Terms used: </w:t>
      </w:r>
      <w:r>
        <w:t>carnal knowledge, carnal connection</w:t>
      </w:r>
      <w:bookmarkEnd w:id="20"/>
    </w:p>
    <w:p>
      <w:pPr>
        <w:pStyle w:val="Subsection"/>
        <w:rPr>
          <w:snapToGrid w:val="0"/>
        </w:rPr>
      </w:pPr>
      <w:r>
        <w:rPr>
          <w:snapToGrid w:val="0"/>
        </w:rPr>
        <w:tab/>
      </w:r>
      <w:r>
        <w:rPr>
          <w:snapToGrid w:val="0"/>
        </w:rPr>
        <w:tab/>
        <w:t xml:space="preserve">When the term </w:t>
      </w:r>
      <w:r>
        <w:rPr>
          <w:rStyle w:val="CharDefText"/>
        </w:rPr>
        <w:t>carnal knowledge</w:t>
      </w:r>
      <w:r>
        <w:rPr>
          <w:snapToGrid w:val="0"/>
        </w:rPr>
        <w:t xml:space="preserve"> or the term </w:t>
      </w:r>
      <w:r>
        <w:rPr>
          <w:rStyle w:val="CharDefText"/>
        </w:rPr>
        <w:t>carnal connection</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No. 32 of 1989 s. 4.]</w:t>
      </w:r>
    </w:p>
    <w:p>
      <w:pPr>
        <w:pStyle w:val="Heading3"/>
        <w:keepLines/>
        <w:rPr>
          <w:snapToGrid w:val="0"/>
        </w:rPr>
      </w:pPr>
      <w:bookmarkStart w:id="21" w:name="_Toc88569587"/>
      <w:bookmarkStart w:id="22" w:name="_Toc88570109"/>
      <w:bookmarkStart w:id="23" w:name="_Toc88570631"/>
      <w:bookmarkStart w:id="24" w:name="_Toc88662030"/>
      <w:r>
        <w:rPr>
          <w:rStyle w:val="CharDivNo"/>
        </w:rPr>
        <w:lastRenderedPageBreak/>
        <w:t>Chapter II</w:t>
      </w:r>
      <w:r>
        <w:rPr>
          <w:snapToGrid w:val="0"/>
        </w:rPr>
        <w:t> — </w:t>
      </w:r>
      <w:r>
        <w:rPr>
          <w:rStyle w:val="CharDivText"/>
        </w:rPr>
        <w:t>Parties to offence</w:t>
      </w:r>
      <w:bookmarkEnd w:id="21"/>
      <w:bookmarkEnd w:id="22"/>
      <w:bookmarkEnd w:id="23"/>
      <w:bookmarkEnd w:id="24"/>
    </w:p>
    <w:p>
      <w:pPr>
        <w:pStyle w:val="Heading5"/>
        <w:spacing w:before="180"/>
        <w:rPr>
          <w:snapToGrid w:val="0"/>
        </w:rPr>
      </w:pPr>
      <w:bookmarkStart w:id="25" w:name="_Toc88662031"/>
      <w:r>
        <w:rPr>
          <w:rStyle w:val="CharSectno"/>
        </w:rPr>
        <w:t>7</w:t>
      </w:r>
      <w:r>
        <w:rPr>
          <w:snapToGrid w:val="0"/>
        </w:rPr>
        <w:t>.</w:t>
      </w:r>
      <w:r>
        <w:rPr>
          <w:snapToGrid w:val="0"/>
        </w:rPr>
        <w:tab/>
        <w:t>Principal offenders</w:t>
      </w:r>
      <w:bookmarkEnd w:id="25"/>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6" w:name="_Toc88662032"/>
      <w:r>
        <w:rPr>
          <w:rStyle w:val="CharSectno"/>
        </w:rPr>
        <w:t>8</w:t>
      </w:r>
      <w:r>
        <w:rPr>
          <w:snapToGrid w:val="0"/>
        </w:rPr>
        <w:t>.</w:t>
      </w:r>
      <w:r>
        <w:rPr>
          <w:snapToGrid w:val="0"/>
        </w:rPr>
        <w:tab/>
        <w:t>Offence committed in prosecution of common purpose</w:t>
      </w:r>
      <w:bookmarkEnd w:id="26"/>
    </w:p>
    <w:p>
      <w:pPr>
        <w:pStyle w:val="Subsection"/>
        <w:rPr>
          <w:snapToGrid w:val="0"/>
        </w:rPr>
      </w:pPr>
      <w:r>
        <w:rPr>
          <w:snapToGrid w:val="0"/>
        </w:rPr>
        <w:tab/>
        <w:t>(1)</w:t>
      </w:r>
      <w:r>
        <w:rPr>
          <w:snapToGrid w:val="0"/>
        </w:rPr>
        <w:tab/>
        <w:t xml:space="preserve">When 2 or more persons form a common intention to prosecute an unlawful purpose in conjunction with one another, and in the prosecution of such purpose an offence is committed of such a </w:t>
      </w:r>
      <w:r>
        <w:rPr>
          <w:snapToGrid w:val="0"/>
        </w:rPr>
        <w:lastRenderedPageBreak/>
        <w:t>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A person is not deemed under subsection (1) to have committed the offence if, before the commission of the offence, the person —</w:t>
      </w:r>
    </w:p>
    <w:p>
      <w:pPr>
        <w:pStyle w:val="Indenta"/>
        <w:rPr>
          <w:snapToGrid w:val="0"/>
        </w:rPr>
      </w:pPr>
      <w:r>
        <w:rPr>
          <w:snapToGrid w:val="0"/>
        </w:rPr>
        <w:tab/>
        <w:t>(a)</w:t>
      </w:r>
      <w:r>
        <w:rPr>
          <w:snapToGrid w:val="0"/>
        </w:rPr>
        <w:tab/>
        <w:t>withdrew from the prosecution of the unlawful purpose; and</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[Section 8 amended: No. 89 of 1986 s. 4.]</w:t>
      </w:r>
    </w:p>
    <w:p>
      <w:pPr>
        <w:pStyle w:val="Heading5"/>
        <w:rPr>
          <w:snapToGrid w:val="0"/>
        </w:rPr>
      </w:pPr>
      <w:bookmarkStart w:id="27" w:name="_Toc88662033"/>
      <w:r>
        <w:rPr>
          <w:rStyle w:val="CharSectno"/>
        </w:rPr>
        <w:t>9</w:t>
      </w:r>
      <w:r>
        <w:rPr>
          <w:snapToGrid w:val="0"/>
        </w:rPr>
        <w:t>.</w:t>
      </w:r>
      <w:r>
        <w:rPr>
          <w:snapToGrid w:val="0"/>
        </w:rPr>
        <w:tab/>
        <w:t>Counselled offence, mode of execution immaterial</w:t>
      </w:r>
      <w:bookmarkEnd w:id="27"/>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keepNext w:val="0"/>
        <w:keepLines w:val="0"/>
        <w:spacing w:before="180"/>
        <w:rPr>
          <w:bCs/>
          <w:iCs/>
          <w:snapToGrid w:val="0"/>
        </w:rPr>
      </w:pPr>
      <w:bookmarkStart w:id="28" w:name="_Toc88662034"/>
      <w:r>
        <w:rPr>
          <w:rStyle w:val="CharSectno"/>
        </w:rPr>
        <w:t>10</w:t>
      </w:r>
      <w:r>
        <w:rPr>
          <w:snapToGrid w:val="0"/>
        </w:rPr>
        <w:t xml:space="preserve">. </w:t>
      </w:r>
      <w:r>
        <w:rPr>
          <w:bCs/>
          <w:iCs/>
          <w:snapToGrid w:val="0"/>
        </w:rPr>
        <w:tab/>
        <w:t xml:space="preserve">Term used: </w:t>
      </w:r>
      <w:r>
        <w:rPr>
          <w:rStyle w:val="CharDefText"/>
          <w:b/>
          <w:i w:val="0"/>
        </w:rPr>
        <w:t>accessory after the fact</w:t>
      </w:r>
      <w:bookmarkEnd w:id="28"/>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lastRenderedPageBreak/>
        <w:tab/>
        <w:t>(2)</w:t>
      </w:r>
      <w:r>
        <w:rPr>
          <w:snapToGrid w:val="0"/>
        </w:rPr>
        <w:tab/>
        <w:t>A person does not become an accessory after the fact to an offence committed by the person’s spouse by receiving or assisting that spouse.</w:t>
      </w:r>
    </w:p>
    <w:p>
      <w:pPr>
        <w:pStyle w:val="Footnotesection"/>
      </w:pPr>
      <w:r>
        <w:tab/>
        <w:t>[Section 10 inserted: No. 89 of 1986 s. 5.]</w:t>
      </w:r>
    </w:p>
    <w:p>
      <w:pPr>
        <w:pStyle w:val="Heading3"/>
        <w:keepLines/>
        <w:rPr>
          <w:snapToGrid w:val="0"/>
        </w:rPr>
      </w:pPr>
      <w:bookmarkStart w:id="29" w:name="_Toc88569592"/>
      <w:bookmarkStart w:id="30" w:name="_Toc88570114"/>
      <w:bookmarkStart w:id="31" w:name="_Toc88570636"/>
      <w:bookmarkStart w:id="32" w:name="_Toc88662035"/>
      <w:r>
        <w:rPr>
          <w:rStyle w:val="CharDivNo"/>
        </w:rPr>
        <w:t>Chapter IIA</w:t>
      </w:r>
      <w:r>
        <w:t> — </w:t>
      </w:r>
      <w:r>
        <w:rPr>
          <w:rStyle w:val="CharDivText"/>
        </w:rPr>
        <w:t>Alternative offences</w:t>
      </w:r>
      <w:bookmarkEnd w:id="29"/>
      <w:bookmarkEnd w:id="30"/>
      <w:bookmarkEnd w:id="31"/>
      <w:bookmarkEnd w:id="32"/>
    </w:p>
    <w:p>
      <w:pPr>
        <w:pStyle w:val="Footnoteheading"/>
        <w:keepNext/>
        <w:keepLines/>
      </w:pPr>
      <w:r>
        <w:tab/>
        <w:t>[Heading inserted: No. 70 of 2004 s. 36(2).]</w:t>
      </w:r>
    </w:p>
    <w:p>
      <w:pPr>
        <w:pStyle w:val="Heading5"/>
      </w:pPr>
      <w:bookmarkStart w:id="33" w:name="_Toc88662036"/>
      <w:r>
        <w:rPr>
          <w:rStyle w:val="CharSectno"/>
        </w:rPr>
        <w:t>10A</w:t>
      </w:r>
      <w:r>
        <w:t>.</w:t>
      </w:r>
      <w:r>
        <w:tab/>
        <w:t>Conviction of alternative offence, when possible</w:t>
      </w:r>
      <w:bookmarkEnd w:id="33"/>
    </w:p>
    <w:p>
      <w:pPr>
        <w:pStyle w:val="Subsection"/>
      </w:pPr>
      <w:r>
        <w:tab/>
        <w:t>(1)</w:t>
      </w:r>
      <w:r>
        <w:tab/>
        <w:t>A person charged with an offence cannot be convicted by the court dealing with the charge of any other offence instead of that offence unless —</w:t>
      </w:r>
    </w:p>
    <w:p>
      <w:pPr>
        <w:pStyle w:val="Indenta"/>
      </w:pPr>
      <w:r>
        <w:tab/>
        <w:t>(a)</w:t>
      </w:r>
      <w:r>
        <w:tab/>
        <w:t>the accused is charged with the other offence as an alternative to that offence; or</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No. 70 of 2004 s. 36(2).]</w:t>
      </w:r>
    </w:p>
    <w:p>
      <w:pPr>
        <w:pStyle w:val="Heading5"/>
        <w:keepNext w:val="0"/>
        <w:keepLines w:val="0"/>
      </w:pPr>
      <w:bookmarkStart w:id="34" w:name="_Toc88662037"/>
      <w:r>
        <w:rPr>
          <w:rStyle w:val="CharSectno"/>
        </w:rPr>
        <w:t>10B</w:t>
      </w:r>
      <w:r>
        <w:t>.</w:t>
      </w:r>
      <w:r>
        <w:tab/>
      </w:r>
      <w:r>
        <w:rPr>
          <w:rStyle w:val="CharDefText"/>
          <w:b/>
          <w:bCs/>
          <w:i w:val="0"/>
          <w:iCs/>
        </w:rPr>
        <w:t>Alternative offence</w:t>
      </w:r>
      <w:r>
        <w:t>, meaning and effect of</w:t>
      </w:r>
      <w:bookmarkEnd w:id="34"/>
    </w:p>
    <w:p>
      <w:pPr>
        <w:pStyle w:val="Subsection"/>
      </w:pPr>
      <w:r>
        <w:tab/>
        <w:t>(1)</w:t>
      </w:r>
      <w:r>
        <w:tab/>
        <w:t>This section applies if a provision of this Code, or of another written law, that creates an offence (</w:t>
      </w:r>
      <w:r>
        <w:rPr>
          <w:rStyle w:val="CharDefText"/>
        </w:rPr>
        <w:t>offence A</w:t>
      </w:r>
      <w:r>
        <w:t>) provides one or more alternative offences for offence A.</w:t>
      </w:r>
    </w:p>
    <w:p>
      <w:pPr>
        <w:pStyle w:val="Subsection"/>
      </w:pPr>
      <w:r>
        <w:tab/>
        <w:t>(2)</w:t>
      </w:r>
      <w:r>
        <w:tab/>
        <w:t>If a person is charged with an offence (</w:t>
      </w:r>
      <w:r>
        <w:rPr>
          <w:rStyle w:val="CharDefText"/>
        </w:rPr>
        <w:t>offence A</w:t>
      </w:r>
      <w:r>
        <w:t>), whether or not on indictment, the person, instead of being convicted as charged, may be convicted of any alternative offence that is provided for offence A.</w:t>
      </w:r>
    </w:p>
    <w:p>
      <w:pPr>
        <w:pStyle w:val="Subsection"/>
        <w:keepNext/>
      </w:pPr>
      <w:r>
        <w:tab/>
        <w:t>(3)</w:t>
      </w:r>
      <w:r>
        <w:tab/>
        <w:t>This section does not prevent —</w:t>
      </w:r>
    </w:p>
    <w:p>
      <w:pPr>
        <w:pStyle w:val="Indenta"/>
      </w:pPr>
      <w:r>
        <w:tab/>
        <w:t>(a)</w:t>
      </w:r>
      <w:r>
        <w:tab/>
        <w:t>this Code, or another written law, from providing a simple offence as an alternative offence for an indictable offence; or</w:t>
      </w:r>
    </w:p>
    <w:p>
      <w:pPr>
        <w:pStyle w:val="Indenta"/>
      </w:pPr>
      <w:r>
        <w:lastRenderedPageBreak/>
        <w:tab/>
        <w:t>(b)</w:t>
      </w:r>
      <w:r>
        <w:tab/>
        <w:t>a person charged in an indictment with an indictable offence from being found guilty by a jury, and convicted and punished by a superior court, for a simple offence that is an alternative offence for the indictable offence.</w:t>
      </w:r>
    </w:p>
    <w:p>
      <w:pPr>
        <w:pStyle w:val="Subsection"/>
        <w:spacing w:before="180"/>
      </w:pPr>
      <w:r>
        <w:tab/>
        <w:t>(4)</w:t>
      </w:r>
      <w:r>
        <w:tab/>
        <w:t>This section does not limit the operation of the other sections in this Chapter.</w:t>
      </w:r>
    </w:p>
    <w:p>
      <w:pPr>
        <w:pStyle w:val="Footnotesection"/>
      </w:pPr>
      <w:r>
        <w:tab/>
        <w:t>[Section 10B inserted: No. 70 of 2004 s. 36(2).]</w:t>
      </w:r>
    </w:p>
    <w:p>
      <w:pPr>
        <w:pStyle w:val="Heading5"/>
        <w:spacing w:before="240"/>
      </w:pPr>
      <w:bookmarkStart w:id="35" w:name="_Toc88662038"/>
      <w:r>
        <w:rPr>
          <w:rStyle w:val="CharSectno"/>
        </w:rPr>
        <w:t>10C</w:t>
      </w:r>
      <w:r>
        <w:t>.</w:t>
      </w:r>
      <w:r>
        <w:tab/>
        <w:t>Conviction of alternative offence, consequences of</w:t>
      </w:r>
      <w:bookmarkEnd w:id="35"/>
    </w:p>
    <w:p>
      <w:pPr>
        <w:pStyle w:val="Subsection"/>
        <w:spacing w:before="180"/>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spacing w:before="120"/>
      </w:pPr>
      <w:r>
        <w:tab/>
        <w:t>(2)</w:t>
      </w:r>
      <w:r>
        <w:tab/>
        <w:t>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w:t>
      </w:r>
    </w:p>
    <w:p>
      <w:pPr>
        <w:pStyle w:val="Footnotesection"/>
        <w:ind w:left="890" w:hanging="890"/>
      </w:pPr>
      <w:r>
        <w:tab/>
        <w:t>[Section 10C inserted: No. 70 of 2004 s. 36(2).]</w:t>
      </w:r>
    </w:p>
    <w:p>
      <w:pPr>
        <w:pStyle w:val="Heading5"/>
        <w:spacing w:before="240"/>
      </w:pPr>
      <w:bookmarkStart w:id="36" w:name="_Toc88662039"/>
      <w:r>
        <w:rPr>
          <w:rStyle w:val="CharSectno"/>
        </w:rPr>
        <w:t>10D</w:t>
      </w:r>
      <w:r>
        <w:t>.</w:t>
      </w:r>
      <w:r>
        <w:tab/>
        <w:t>Charge of offence, alternative convictions of attempt etc.</w:t>
      </w:r>
      <w:bookmarkEnd w:id="36"/>
    </w:p>
    <w:p>
      <w:pPr>
        <w:pStyle w:val="Subsection"/>
        <w:spacing w:before="180"/>
      </w:pPr>
      <w:r>
        <w:tab/>
      </w:r>
      <w:r>
        <w:tab/>
        <w:t xml:space="preserve">If a person is charged with committing an offence (the </w:t>
      </w:r>
      <w:r>
        <w:rPr>
          <w:rStyle w:val="CharDefText"/>
        </w:rPr>
        <w:t>principal offence</w:t>
      </w:r>
      <w:r>
        <w:t>), the person, instead of being convicted as charged, may be convicted of —</w:t>
      </w:r>
    </w:p>
    <w:p>
      <w:pPr>
        <w:pStyle w:val="Indenta"/>
      </w:pPr>
      <w:r>
        <w:tab/>
        <w:t>(a)</w:t>
      </w:r>
      <w:r>
        <w:tab/>
        <w:t>attempting to commit; or</w:t>
      </w:r>
    </w:p>
    <w:p>
      <w:pPr>
        <w:pStyle w:val="Indenta"/>
      </w:pPr>
      <w:r>
        <w:tab/>
        <w:t>(b)</w:t>
      </w:r>
      <w:r>
        <w:tab/>
        <w:t>inciting another person to commit; or</w:t>
      </w:r>
    </w:p>
    <w:p>
      <w:pPr>
        <w:pStyle w:val="Indenta"/>
        <w:keepNext/>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ind w:left="890" w:hanging="890"/>
      </w:pPr>
      <w:r>
        <w:tab/>
        <w:t>[Section 10D inserted: No. 70 of 2004 s. 36(2).]</w:t>
      </w:r>
    </w:p>
    <w:p>
      <w:pPr>
        <w:pStyle w:val="Heading5"/>
      </w:pPr>
      <w:bookmarkStart w:id="37" w:name="_Toc88662040"/>
      <w:r>
        <w:rPr>
          <w:rStyle w:val="CharSectno"/>
        </w:rPr>
        <w:lastRenderedPageBreak/>
        <w:t>10E</w:t>
      </w:r>
      <w:r>
        <w:t>.</w:t>
      </w:r>
      <w:r>
        <w:tab/>
        <w:t>Charge of attempt, alternative convictions on</w:t>
      </w:r>
      <w:bookmarkEnd w:id="37"/>
    </w:p>
    <w:p>
      <w:pPr>
        <w:pStyle w:val="Subsection"/>
      </w:pPr>
      <w:r>
        <w:tab/>
      </w:r>
      <w:r>
        <w:tab/>
        <w:t xml:space="preserve">If a person is charged with attempting to commit an offence (the </w:t>
      </w:r>
      <w:r>
        <w:rPr>
          <w:rStyle w:val="CharDefText"/>
        </w:rPr>
        <w:t>principal offence</w:t>
      </w:r>
      <w:r>
        <w:t>) other than an offence under section 283, the person, instead of being convicted as charged, may be convicted of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No. 70 of 2004 s. 36(2).]</w:t>
      </w:r>
    </w:p>
    <w:p>
      <w:pPr>
        <w:pStyle w:val="Heading5"/>
      </w:pPr>
      <w:bookmarkStart w:id="38" w:name="_Toc88662041"/>
      <w:r>
        <w:rPr>
          <w:rStyle w:val="CharSectno"/>
        </w:rPr>
        <w:t>10F</w:t>
      </w:r>
      <w:r>
        <w:t>.</w:t>
      </w:r>
      <w:r>
        <w:tab/>
        <w:t>Charge of conspiracy, alternative convictions on</w:t>
      </w:r>
      <w:bookmarkEnd w:id="38"/>
    </w:p>
    <w:p>
      <w:pPr>
        <w:pStyle w:val="Subsection"/>
      </w:pPr>
      <w:r>
        <w:tab/>
      </w:r>
      <w:r>
        <w:tab/>
        <w:t xml:space="preserve">If a person is charged with conspiring to commit an offence (the </w:t>
      </w:r>
      <w:r>
        <w:rPr>
          <w:rStyle w:val="CharDefText"/>
        </w:rPr>
        <w:t>principal offence</w:t>
      </w:r>
      <w:r>
        <w:t>), the person, instead of being convicted as charged, may be convicted of —</w:t>
      </w:r>
    </w:p>
    <w:p>
      <w:pPr>
        <w:pStyle w:val="Indenta"/>
      </w:pPr>
      <w:r>
        <w:tab/>
        <w:t>(a)</w:t>
      </w:r>
      <w:r>
        <w:tab/>
        <w:t>committing the principal offence; or</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keepLines w:val="0"/>
        <w:spacing w:before="60"/>
        <w:ind w:left="890" w:hanging="890"/>
      </w:pPr>
      <w:r>
        <w:tab/>
        <w:t>[Section 10F inserted: No. 70 of 2004 s. 36(2).]</w:t>
      </w:r>
    </w:p>
    <w:p>
      <w:pPr>
        <w:pStyle w:val="Heading5"/>
      </w:pPr>
      <w:bookmarkStart w:id="39" w:name="_Toc88662042"/>
      <w:r>
        <w:rPr>
          <w:rStyle w:val="CharSectno"/>
        </w:rPr>
        <w:lastRenderedPageBreak/>
        <w:t>10G</w:t>
      </w:r>
      <w:r>
        <w:t>.</w:t>
      </w:r>
      <w:r>
        <w:tab/>
        <w:t>Charge of procuring, alternative convictions on</w:t>
      </w:r>
      <w:bookmarkEnd w:id="39"/>
    </w:p>
    <w:p>
      <w:pPr>
        <w:pStyle w:val="Subsection"/>
        <w:keepNext/>
      </w:pPr>
      <w:r>
        <w:tab/>
        <w:t>(1)</w:t>
      </w:r>
      <w:r>
        <w:tab/>
        <w:t xml:space="preserve">If a person is charged with procuring the commission of an offence (the </w:t>
      </w:r>
      <w:r>
        <w:rPr>
          <w:rStyle w:val="CharDefText"/>
        </w:rPr>
        <w:t>principal offence</w:t>
      </w:r>
      <w:r>
        <w:t>),</w:t>
      </w:r>
      <w:r>
        <w:rPr>
          <w:b/>
          <w:bCs/>
        </w:rPr>
        <w:t xml:space="preserve"> </w:t>
      </w:r>
      <w:r>
        <w:t>the person, instead of being convicted as charged, may be convicted of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procuring another person to do an act or make an omission of such a nature that if the accused had done the act or made the omission he or she would be guilty of an offence (the </w:t>
      </w:r>
      <w:r>
        <w:rPr>
          <w:rStyle w:val="CharDefText"/>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No. 70 of 2004 s. 36(2).]</w:t>
      </w:r>
    </w:p>
    <w:p>
      <w:pPr>
        <w:pStyle w:val="Heading5"/>
      </w:pPr>
      <w:bookmarkStart w:id="40" w:name="_Toc88662043"/>
      <w:r>
        <w:rPr>
          <w:rStyle w:val="CharSectno"/>
        </w:rPr>
        <w:t>10H</w:t>
      </w:r>
      <w:r>
        <w:t>.</w:t>
      </w:r>
      <w:r>
        <w:tab/>
        <w:t>Charge of attempting to procure, alternative convictions on</w:t>
      </w:r>
      <w:bookmarkEnd w:id="40"/>
    </w:p>
    <w:p>
      <w:pPr>
        <w:pStyle w:val="Subsection"/>
      </w:pPr>
      <w:r>
        <w:tab/>
        <w:t>(1)</w:t>
      </w:r>
      <w:r>
        <w:tab/>
        <w:t xml:space="preserve">If a person is charged with attempting to procure the commission of an offence (the </w:t>
      </w:r>
      <w:r>
        <w:rPr>
          <w:rStyle w:val="CharDefText"/>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attempting to procure another person to do an act or make an omission of such a nature that if the act or omission had occurred an offence (the </w:t>
      </w:r>
      <w:r>
        <w:rPr>
          <w:rStyle w:val="CharDefText"/>
        </w:rPr>
        <w:t>principal offence</w:t>
      </w:r>
      <w:r>
        <w:t xml:space="preserve">) would have been committed, the accused, </w:t>
      </w:r>
      <w:r>
        <w:lastRenderedPageBreak/>
        <w:t>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No. 70 of 2004 s. 36(2).]</w:t>
      </w:r>
    </w:p>
    <w:p>
      <w:pPr>
        <w:pStyle w:val="Heading5"/>
      </w:pPr>
      <w:bookmarkStart w:id="41" w:name="_Toc88662044"/>
      <w:r>
        <w:rPr>
          <w:rStyle w:val="CharSectno"/>
        </w:rPr>
        <w:t>10I</w:t>
      </w:r>
      <w:r>
        <w:t>.</w:t>
      </w:r>
      <w:r>
        <w:tab/>
        <w:t>Joined charges of receiving, verdicts on</w:t>
      </w:r>
      <w:bookmarkEnd w:id="41"/>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No. 70 of 2004 s. 36(2).]</w:t>
      </w:r>
    </w:p>
    <w:p>
      <w:pPr>
        <w:pStyle w:val="Heading3"/>
      </w:pPr>
      <w:bookmarkStart w:id="42" w:name="_Toc88569602"/>
      <w:bookmarkStart w:id="43" w:name="_Toc88570124"/>
      <w:bookmarkStart w:id="44" w:name="_Toc88570646"/>
      <w:bookmarkStart w:id="45" w:name="_Toc88662045"/>
      <w:r>
        <w:rPr>
          <w:rStyle w:val="CharDivNo"/>
        </w:rPr>
        <w:t>Chapter IIB</w:t>
      </w:r>
      <w:r>
        <w:t> — </w:t>
      </w:r>
      <w:r>
        <w:rPr>
          <w:rStyle w:val="CharDivText"/>
        </w:rPr>
        <w:t>Charges where date of offence, or age of victim, is uncertain</w:t>
      </w:r>
      <w:bookmarkEnd w:id="42"/>
      <w:bookmarkEnd w:id="43"/>
      <w:bookmarkEnd w:id="44"/>
      <w:bookmarkEnd w:id="45"/>
    </w:p>
    <w:p>
      <w:pPr>
        <w:pStyle w:val="Footnoteheading"/>
      </w:pPr>
      <w:r>
        <w:tab/>
        <w:t>[Heading inserted: No. 47 of 2020 s. 4.]</w:t>
      </w:r>
    </w:p>
    <w:p>
      <w:pPr>
        <w:pStyle w:val="Heading5"/>
      </w:pPr>
      <w:bookmarkStart w:id="46" w:name="_Toc88662046"/>
      <w:r>
        <w:rPr>
          <w:rStyle w:val="CharSectno"/>
        </w:rPr>
        <w:t>10J</w:t>
      </w:r>
      <w:r>
        <w:t>.</w:t>
      </w:r>
      <w:r>
        <w:tab/>
        <w:t>Application of Chapter</w:t>
      </w:r>
      <w:bookmarkEnd w:id="46"/>
    </w:p>
    <w:p>
      <w:pPr>
        <w:pStyle w:val="Subsection"/>
      </w:pPr>
      <w:r>
        <w:tab/>
      </w:r>
      <w:r>
        <w:tab/>
        <w:t xml:space="preserve">This Chapter applies to an alleged act or omission regardless of whether it is alleged to have occurred before, on or after the day on which the </w:t>
      </w:r>
      <w:r>
        <w:rPr>
          <w:i/>
        </w:rPr>
        <w:t>Criminal Law Amendment (Uncertain Dates) Act 2020</w:t>
      </w:r>
      <w:r>
        <w:t xml:space="preserve"> section 4 comes into operation.</w:t>
      </w:r>
    </w:p>
    <w:p>
      <w:pPr>
        <w:pStyle w:val="Footnotesection"/>
      </w:pPr>
      <w:r>
        <w:tab/>
        <w:t>[Section 10J inserted: No. 47 of 2020 s. 4.]</w:t>
      </w:r>
    </w:p>
    <w:p>
      <w:pPr>
        <w:pStyle w:val="Heading5"/>
      </w:pPr>
      <w:bookmarkStart w:id="47" w:name="_Toc88662047"/>
      <w:r>
        <w:rPr>
          <w:rStyle w:val="CharSectno"/>
        </w:rPr>
        <w:t>10K</w:t>
      </w:r>
      <w:r>
        <w:t>.</w:t>
      </w:r>
      <w:r>
        <w:tab/>
        <w:t>Terms used</w:t>
      </w:r>
      <w:bookmarkEnd w:id="47"/>
    </w:p>
    <w:p>
      <w:pPr>
        <w:pStyle w:val="Subsection"/>
      </w:pPr>
      <w:r>
        <w:tab/>
      </w:r>
      <w:r>
        <w:tab/>
        <w:t>In this Chapter —</w:t>
      </w:r>
    </w:p>
    <w:p>
      <w:pPr>
        <w:pStyle w:val="Defstart"/>
      </w:pPr>
      <w:r>
        <w:tab/>
      </w:r>
      <w:r>
        <w:rPr>
          <w:rStyle w:val="CharDefText"/>
        </w:rPr>
        <w:t>amended</w:t>
      </w:r>
      <w:r>
        <w:t xml:space="preserve"> includes enacted, replaced and repealed;</w:t>
      </w:r>
    </w:p>
    <w:p>
      <w:pPr>
        <w:pStyle w:val="Defstart"/>
        <w:keepNext/>
      </w:pPr>
      <w:r>
        <w:lastRenderedPageBreak/>
        <w:tab/>
      </w:r>
      <w:r>
        <w:rPr>
          <w:rStyle w:val="CharDefText"/>
        </w:rPr>
        <w:t>sexual offence</w:t>
      </w:r>
      <w:r>
        <w:t xml:space="preserve"> means —</w:t>
      </w:r>
    </w:p>
    <w:p>
      <w:pPr>
        <w:pStyle w:val="Defpara"/>
      </w:pPr>
      <w:r>
        <w:tab/>
        <w:t>(a)</w:t>
      </w:r>
      <w:r>
        <w:tab/>
        <w:t>an offence of a sexual nature under Chapter XXII, XXV, XXX, XXXI, XXXIA or XXXII as in force at any time; or</w:t>
      </w:r>
    </w:p>
    <w:p>
      <w:pPr>
        <w:pStyle w:val="Defpara"/>
      </w:pPr>
      <w:r>
        <w:tab/>
        <w:t>(b)</w:t>
      </w:r>
      <w:r>
        <w:tab/>
        <w:t>an offence of attempting, inciting or conspiring to commit an offence referred to in paragraph (a); or</w:t>
      </w:r>
    </w:p>
    <w:p>
      <w:pPr>
        <w:pStyle w:val="Defpara"/>
      </w:pPr>
      <w:r>
        <w:tab/>
        <w:t>(c)</w:t>
      </w:r>
      <w:r>
        <w:tab/>
        <w:t>an offence of becoming an accessory after the fact to an offence referred to in paragraph (a).</w:t>
      </w:r>
    </w:p>
    <w:p>
      <w:pPr>
        <w:pStyle w:val="Footnotesection"/>
      </w:pPr>
      <w:r>
        <w:tab/>
        <w:t>[Section 10K inserted: No. 47 of 2020 s. 4.]</w:t>
      </w:r>
    </w:p>
    <w:p>
      <w:pPr>
        <w:pStyle w:val="Heading5"/>
      </w:pPr>
      <w:bookmarkStart w:id="48" w:name="_Toc88662048"/>
      <w:r>
        <w:rPr>
          <w:rStyle w:val="CharSectno"/>
        </w:rPr>
        <w:t>10L</w:t>
      </w:r>
      <w:r>
        <w:t>.</w:t>
      </w:r>
      <w:r>
        <w:tab/>
        <w:t>Charge of indictable offence committed in period when written law amended</w:t>
      </w:r>
      <w:bookmarkEnd w:id="48"/>
    </w:p>
    <w:p>
      <w:pPr>
        <w:pStyle w:val="Subsection"/>
      </w:pPr>
      <w:r>
        <w:tab/>
        <w:t>(1)</w:t>
      </w:r>
      <w:r>
        <w:tab/>
        <w:t>This section applies in relation to an alleged act or omission in the following circumstances —</w:t>
      </w:r>
    </w:p>
    <w:p>
      <w:pPr>
        <w:pStyle w:val="Indenta"/>
      </w:pPr>
      <w:r>
        <w:tab/>
        <w:t>(a)</w:t>
      </w:r>
      <w:r>
        <w:tab/>
        <w:t xml:space="preserve">the alleged act or omission occurred in a period (the </w:t>
      </w:r>
      <w:r>
        <w:rPr>
          <w:rStyle w:val="CharDefText"/>
        </w:rPr>
        <w:t>relevant period</w:t>
      </w:r>
      <w:r>
        <w:t xml:space="preserve">) during which the written law making the act or omission an indictable offence (the </w:t>
      </w:r>
      <w:r>
        <w:rPr>
          <w:rStyle w:val="CharDefText"/>
        </w:rPr>
        <w:t>relevant law</w:t>
      </w:r>
      <w:r>
        <w:t>) was amended;</w:t>
      </w:r>
    </w:p>
    <w:p>
      <w:pPr>
        <w:pStyle w:val="Indenta"/>
      </w:pPr>
      <w:r>
        <w:tab/>
        <w:t>(b)</w:t>
      </w:r>
      <w:r>
        <w:tab/>
        <w:t>it is uncertain when in the relevant period the alleged act or omission occurred;</w:t>
      </w:r>
    </w:p>
    <w:p>
      <w:pPr>
        <w:pStyle w:val="Indenta"/>
      </w:pPr>
      <w:r>
        <w:tab/>
        <w:t>(c)</w:t>
      </w:r>
      <w:r>
        <w:tab/>
        <w:t xml:space="preserve">the alleged act or omission, if proved, constituted — </w:t>
      </w:r>
    </w:p>
    <w:p>
      <w:pPr>
        <w:pStyle w:val="Indenti"/>
      </w:pPr>
      <w:r>
        <w:tab/>
        <w:t>(i)</w:t>
      </w:r>
      <w:r>
        <w:tab/>
        <w:t>an indictable offence before the relevant law was amended; and</w:t>
      </w:r>
    </w:p>
    <w:p>
      <w:pPr>
        <w:pStyle w:val="Indenti"/>
      </w:pPr>
      <w:r>
        <w:tab/>
        <w:t>(ii)</w:t>
      </w:r>
      <w:r>
        <w:tab/>
        <w:t>a separate and different indictable offence after the relevant law was amended.</w:t>
      </w:r>
    </w:p>
    <w:p>
      <w:pPr>
        <w:pStyle w:val="Subsection"/>
      </w:pPr>
      <w:r>
        <w:tab/>
        <w:t>(2)</w:t>
      </w:r>
      <w:r>
        <w:tab/>
        <w:t>If the indictable offences referred to in subsection (1)(c) have the same statutory penalty, the accused person may be charged with, and convicted and sentenced in respect of, either of the offences regardless of when in the relevant period the alleged act or omission occurred.</w:t>
      </w:r>
    </w:p>
    <w:p>
      <w:pPr>
        <w:pStyle w:val="Subsection"/>
        <w:keepLines/>
      </w:pPr>
      <w:r>
        <w:lastRenderedPageBreak/>
        <w:tab/>
        <w:t>(3)</w:t>
      </w:r>
      <w:r>
        <w:tab/>
        <w:t>If the indictable offences referred to in subsection (1)(c) have different statutory penalties, the accused person may be charged with, and convicted and sentenced in respect of, the offence that has the lesser statutory penalty regardless of when in the relevant period the alleged act or omission occurred.</w:t>
      </w:r>
    </w:p>
    <w:p>
      <w:pPr>
        <w:pStyle w:val="Footnotesection"/>
      </w:pPr>
      <w:r>
        <w:tab/>
        <w:t>[Section 10L inserted: No. 47 of 2020 s. 4.]</w:t>
      </w:r>
    </w:p>
    <w:p>
      <w:pPr>
        <w:pStyle w:val="Heading5"/>
      </w:pPr>
      <w:bookmarkStart w:id="49" w:name="_Toc88662049"/>
      <w:r>
        <w:rPr>
          <w:rStyle w:val="CharSectno"/>
        </w:rPr>
        <w:t>10M</w:t>
      </w:r>
      <w:r>
        <w:t>.</w:t>
      </w:r>
      <w:r>
        <w:tab/>
        <w:t>Charge of sexual offence committed in period when victim has birthday</w:t>
      </w:r>
      <w:bookmarkEnd w:id="49"/>
    </w:p>
    <w:p>
      <w:pPr>
        <w:pStyle w:val="Subsection"/>
      </w:pPr>
      <w:r>
        <w:tab/>
        <w:t>(1)</w:t>
      </w:r>
      <w:r>
        <w:tab/>
        <w:t xml:space="preserve">This section applies in relation to an alleged act or omission in respect of a person (the </w:t>
      </w:r>
      <w:r>
        <w:rPr>
          <w:rStyle w:val="CharDefText"/>
        </w:rPr>
        <w:t>victim</w:t>
      </w:r>
      <w:r>
        <w:t>) in the following circumstances —</w:t>
      </w:r>
    </w:p>
    <w:p>
      <w:pPr>
        <w:pStyle w:val="Indenta"/>
      </w:pPr>
      <w:r>
        <w:tab/>
        <w:t>(a)</w:t>
      </w:r>
      <w:r>
        <w:tab/>
        <w:t xml:space="preserve">the alleged act or omission occurred in a period (the </w:t>
      </w:r>
      <w:r>
        <w:rPr>
          <w:rStyle w:val="CharDefText"/>
        </w:rPr>
        <w:t>relevant period</w:t>
      </w:r>
      <w:r>
        <w:t xml:space="preserve">) during which the victim had a birthday (the </w:t>
      </w:r>
      <w:r>
        <w:rPr>
          <w:rStyle w:val="CharDefText"/>
        </w:rPr>
        <w:t>relevant birthday</w:t>
      </w:r>
      <w:r>
        <w:t>);</w:t>
      </w:r>
    </w:p>
    <w:p>
      <w:pPr>
        <w:pStyle w:val="Indenta"/>
      </w:pPr>
      <w:r>
        <w:tab/>
        <w:t>(b)</w:t>
      </w:r>
      <w:r>
        <w:tab/>
        <w:t>it is uncertain when in the relevant period the alleged act or omission occurred;</w:t>
      </w:r>
    </w:p>
    <w:p>
      <w:pPr>
        <w:pStyle w:val="Indenta"/>
      </w:pPr>
      <w:r>
        <w:tab/>
        <w:t>(c)</w:t>
      </w:r>
      <w:r>
        <w:tab/>
        <w:t xml:space="preserve">the alleged act or omission, if proved, constituted — </w:t>
      </w:r>
    </w:p>
    <w:p>
      <w:pPr>
        <w:pStyle w:val="Indenti"/>
      </w:pPr>
      <w:r>
        <w:tab/>
        <w:t>(i)</w:t>
      </w:r>
      <w:r>
        <w:tab/>
        <w:t>a sexual offence in respect of the victim before the relevant birthday; and</w:t>
      </w:r>
    </w:p>
    <w:p>
      <w:pPr>
        <w:pStyle w:val="Indenti"/>
      </w:pPr>
      <w:r>
        <w:tab/>
        <w:t>(ii)</w:t>
      </w:r>
      <w:r>
        <w:tab/>
        <w:t>a separate and different sexual offence in respect of the victim on or after the relevant birthday.</w:t>
      </w:r>
    </w:p>
    <w:p>
      <w:pPr>
        <w:pStyle w:val="Subsection"/>
      </w:pPr>
      <w:r>
        <w:tab/>
        <w:t>(2)</w:t>
      </w:r>
      <w:r>
        <w:tab/>
        <w:t>If the sexual offences referred to in subsection (1)(c) have the same statutory penalty, the accused person may be charged with, and convicted and sentenced in respect of, either of the offences regardless of when in the relevant period the alleged act or omission occurred.</w:t>
      </w:r>
    </w:p>
    <w:p>
      <w:pPr>
        <w:pStyle w:val="Subsection"/>
      </w:pPr>
      <w:r>
        <w:tab/>
        <w:t>(3)</w:t>
      </w:r>
      <w:r>
        <w:tab/>
        <w:t>If the sexual offences referred to in subsection (1)(c) have different statutory penalties, the accused person may be charged with, and convicted and sentenced in respect of, the offence that has the lesser statutory penalty regardless of when in the relevant period the alleged act or omission occurred.</w:t>
      </w:r>
    </w:p>
    <w:p>
      <w:pPr>
        <w:pStyle w:val="Footnotesection"/>
      </w:pPr>
      <w:r>
        <w:tab/>
        <w:t>[Section 10M inserted: No. 47 of 2020 s. 4.]</w:t>
      </w:r>
    </w:p>
    <w:p>
      <w:pPr>
        <w:pStyle w:val="Heading5"/>
      </w:pPr>
      <w:bookmarkStart w:id="50" w:name="_Toc88662050"/>
      <w:r>
        <w:rPr>
          <w:rStyle w:val="CharSectno"/>
        </w:rPr>
        <w:lastRenderedPageBreak/>
        <w:t>10N</w:t>
      </w:r>
      <w:r>
        <w:t>.</w:t>
      </w:r>
      <w:r>
        <w:tab/>
        <w:t>Charge of sexual offence when victim’s age uncertain</w:t>
      </w:r>
      <w:bookmarkEnd w:id="50"/>
    </w:p>
    <w:p>
      <w:pPr>
        <w:pStyle w:val="Subsection"/>
      </w:pPr>
      <w:r>
        <w:tab/>
        <w:t>(1)</w:t>
      </w:r>
      <w:r>
        <w:tab/>
        <w:t xml:space="preserve">This section applies in relation to an alleged act or omission in respect of a person (the </w:t>
      </w:r>
      <w:r>
        <w:rPr>
          <w:rStyle w:val="CharDefText"/>
        </w:rPr>
        <w:t>victim</w:t>
      </w:r>
      <w:r>
        <w:t>) in the following circumstances —</w:t>
      </w:r>
    </w:p>
    <w:p>
      <w:pPr>
        <w:pStyle w:val="Indenta"/>
      </w:pPr>
      <w:r>
        <w:tab/>
        <w:t>(a)</w:t>
      </w:r>
      <w:r>
        <w:tab/>
        <w:t>the age of the victim at the time of the alleged act or omission is uncertain;</w:t>
      </w:r>
    </w:p>
    <w:p>
      <w:pPr>
        <w:pStyle w:val="Indenta"/>
      </w:pPr>
      <w:r>
        <w:tab/>
        <w:t>(b)</w:t>
      </w:r>
      <w:r>
        <w:tab/>
        <w:t xml:space="preserve">the alleged act or omission, if proved, constituted — </w:t>
      </w:r>
    </w:p>
    <w:p>
      <w:pPr>
        <w:pStyle w:val="Indenti"/>
      </w:pPr>
      <w:r>
        <w:tab/>
        <w:t>(i)</w:t>
      </w:r>
      <w:r>
        <w:tab/>
        <w:t>a sexual offence, if the victim was of a particular age; and</w:t>
      </w:r>
    </w:p>
    <w:p>
      <w:pPr>
        <w:pStyle w:val="Indenti"/>
      </w:pPr>
      <w:r>
        <w:tab/>
        <w:t>(ii)</w:t>
      </w:r>
      <w:r>
        <w:tab/>
        <w:t>a separate and different sexual offence, if the victim was of a different age to that referred to in subparagraph (i).</w:t>
      </w:r>
    </w:p>
    <w:p>
      <w:pPr>
        <w:pStyle w:val="Subsection"/>
      </w:pPr>
      <w:r>
        <w:tab/>
        <w:t>(2)</w:t>
      </w:r>
      <w:r>
        <w:tab/>
        <w:t>If the sexual offences referred to in subsection (1)(b) have the same statutory penalty, the accused person may be charged with, and convicted and sentenced in respect of, either of the offences regardless of the age of the victim at the time of the alleged act or omission.</w:t>
      </w:r>
    </w:p>
    <w:p>
      <w:pPr>
        <w:pStyle w:val="Subsection"/>
      </w:pPr>
      <w:r>
        <w:tab/>
        <w:t>(3)</w:t>
      </w:r>
      <w:r>
        <w:tab/>
        <w:t>If the sexual offences referred to in subsection (1)(b) have different statutory penalties, the accused person may be charged with, and convicted and sentenced in respect of, the offence that has the lesser statutory penalty regardless of the age of the victim at the time of the alleged act or omission.</w:t>
      </w:r>
    </w:p>
    <w:p>
      <w:pPr>
        <w:pStyle w:val="Footnotesection"/>
      </w:pPr>
      <w:r>
        <w:tab/>
        <w:t>[Section 10N inserted: No. 47 of 2020 s. 4.]</w:t>
      </w:r>
    </w:p>
    <w:p>
      <w:pPr>
        <w:pStyle w:val="Heading3"/>
        <w:rPr>
          <w:snapToGrid w:val="0"/>
        </w:rPr>
      </w:pPr>
      <w:bookmarkStart w:id="51" w:name="_Toc88569608"/>
      <w:bookmarkStart w:id="52" w:name="_Toc88570130"/>
      <w:bookmarkStart w:id="53" w:name="_Toc88570652"/>
      <w:bookmarkStart w:id="54" w:name="_Toc88662051"/>
      <w:r>
        <w:rPr>
          <w:rStyle w:val="CharDivNo"/>
        </w:rPr>
        <w:t>Chapter III</w:t>
      </w:r>
      <w:r>
        <w:rPr>
          <w:snapToGrid w:val="0"/>
        </w:rPr>
        <w:t> — </w:t>
      </w:r>
      <w:r>
        <w:rPr>
          <w:rStyle w:val="CharDivText"/>
        </w:rPr>
        <w:t>Application of criminal law</w:t>
      </w:r>
      <w:bookmarkEnd w:id="51"/>
      <w:bookmarkEnd w:id="52"/>
      <w:bookmarkEnd w:id="53"/>
      <w:bookmarkEnd w:id="54"/>
    </w:p>
    <w:p>
      <w:pPr>
        <w:pStyle w:val="Heading5"/>
        <w:rPr>
          <w:snapToGrid w:val="0"/>
        </w:rPr>
      </w:pPr>
      <w:bookmarkStart w:id="55" w:name="_Toc88662052"/>
      <w:r>
        <w:rPr>
          <w:rStyle w:val="CharSectno"/>
        </w:rPr>
        <w:t>11</w:t>
      </w:r>
      <w:r>
        <w:rPr>
          <w:snapToGrid w:val="0"/>
        </w:rPr>
        <w:t>.</w:t>
      </w:r>
      <w:r>
        <w:rPr>
          <w:snapToGrid w:val="0"/>
        </w:rPr>
        <w:tab/>
        <w:t>Effect of changes in law</w:t>
      </w:r>
      <w:bookmarkEnd w:id="55"/>
    </w:p>
    <w:p>
      <w:pPr>
        <w:pStyle w:val="Subsection"/>
        <w:keepNext/>
        <w:rPr>
          <w:snapToGrid w:val="0"/>
        </w:rPr>
      </w:pPr>
      <w:r>
        <w:rPr>
          <w:snapToGrid w:val="0"/>
        </w:rPr>
        <w:tab/>
      </w:r>
      <w:r>
        <w:rPr>
          <w:snapToGrid w:val="0"/>
        </w:rPr>
        <w:tab/>
        <w:t xml:space="preserve">A person cannot be punished for doing or omitting to do an act, unless the act or omission constituted an offence under the law in force when it occurred, nor unless doing or omitting to do the act under the same circumstances would constitute an offence </w:t>
      </w:r>
      <w:r>
        <w:rPr>
          <w:snapToGrid w:val="0"/>
        </w:rPr>
        <w:lastRenderedPageBreak/>
        <w:t>under the law in force at the time when he is charged with the offence.</w:t>
      </w:r>
    </w:p>
    <w:p>
      <w:pPr>
        <w:pStyle w:val="Footnotesection"/>
      </w:pPr>
      <w:r>
        <w:tab/>
        <w:t>[Section 11 amended: No. 78 of 1995 s. 26.]</w:t>
      </w:r>
    </w:p>
    <w:p>
      <w:pPr>
        <w:pStyle w:val="Heading5"/>
        <w:keepNext w:val="0"/>
        <w:keepLines w:val="0"/>
        <w:rPr>
          <w:snapToGrid w:val="0"/>
        </w:rPr>
      </w:pPr>
      <w:bookmarkStart w:id="56" w:name="_Toc88662053"/>
      <w:r>
        <w:rPr>
          <w:rStyle w:val="CharSectno"/>
        </w:rPr>
        <w:t>12</w:t>
      </w:r>
      <w:r>
        <w:rPr>
          <w:snapToGrid w:val="0"/>
        </w:rPr>
        <w:t>.</w:t>
      </w:r>
      <w:r>
        <w:rPr>
          <w:snapToGrid w:val="0"/>
        </w:rPr>
        <w:tab/>
        <w:t>Territorial application of criminal law</w:t>
      </w:r>
      <w:bookmarkEnd w:id="56"/>
    </w:p>
    <w:p>
      <w:pPr>
        <w:pStyle w:val="Subsection"/>
        <w:rPr>
          <w:snapToGrid w:val="0"/>
        </w:rPr>
      </w:pPr>
      <w:r>
        <w:rPr>
          <w:snapToGrid w:val="0"/>
        </w:rPr>
        <w:tab/>
        <w:t>(1)</w:t>
      </w:r>
      <w:r>
        <w:rPr>
          <w:snapToGrid w:val="0"/>
        </w:rPr>
        <w:tab/>
        <w:t>An offence under this Code or any other law of Western Australia is committed if —</w:t>
      </w:r>
    </w:p>
    <w:p>
      <w:pPr>
        <w:pStyle w:val="Indenta"/>
        <w:spacing w:before="60"/>
        <w:rPr>
          <w:snapToGrid w:val="0"/>
        </w:rPr>
      </w:pPr>
      <w:r>
        <w:rPr>
          <w:snapToGrid w:val="0"/>
        </w:rPr>
        <w:tab/>
        <w:t>(a)</w:t>
      </w:r>
      <w:r>
        <w:rPr>
          <w:snapToGrid w:val="0"/>
        </w:rPr>
        <w:tab/>
        <w:t>all elements necessary to constitute the offence exist; and</w:t>
      </w:r>
    </w:p>
    <w:p>
      <w:pPr>
        <w:pStyle w:val="Indenta"/>
        <w:spacing w:before="60"/>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keepNext/>
        <w:keepLines/>
        <w:rPr>
          <w:snapToGrid w:val="0"/>
        </w:rPr>
      </w:pPr>
      <w:r>
        <w:rPr>
          <w:snapToGrid w:val="0"/>
        </w:rPr>
        <w:tab/>
        <w:t>(3)</w:t>
      </w:r>
      <w:r>
        <w:rPr>
          <w:snapToGrid w:val="0"/>
        </w:rPr>
        <w:tab/>
        <w:t>This section does not apply to an offence if —</w:t>
      </w:r>
    </w:p>
    <w:p>
      <w:pPr>
        <w:pStyle w:val="Indenta"/>
        <w:spacing w:before="60"/>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spacing w:before="140"/>
      </w:pPr>
      <w:r>
        <w:tab/>
        <w:t>[Section 12 inserted: No. 36 of 1996 s. 5(1)</w:t>
      </w:r>
      <w:r>
        <w:rPr>
          <w:i w:val="0"/>
          <w:iCs/>
          <w:vertAlign w:val="superscript"/>
        </w:rPr>
        <w:t> 2</w:t>
      </w:r>
      <w:r>
        <w:t>.]</w:t>
      </w:r>
    </w:p>
    <w:p>
      <w:pPr>
        <w:pStyle w:val="Heading5"/>
        <w:spacing w:before="260"/>
        <w:rPr>
          <w:snapToGrid w:val="0"/>
        </w:rPr>
      </w:pPr>
      <w:bookmarkStart w:id="57" w:name="_Toc88662054"/>
      <w:r>
        <w:rPr>
          <w:rStyle w:val="CharSectno"/>
        </w:rPr>
        <w:t>13</w:t>
      </w:r>
      <w:r>
        <w:rPr>
          <w:snapToGrid w:val="0"/>
        </w:rPr>
        <w:t>.</w:t>
      </w:r>
      <w:r>
        <w:rPr>
          <w:snapToGrid w:val="0"/>
        </w:rPr>
        <w:tab/>
        <w:t>Offence aided, counselled or procured by person out of WA</w:t>
      </w:r>
      <w:bookmarkEnd w:id="57"/>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w:t>
      </w:r>
    </w:p>
    <w:p>
      <w:pPr>
        <w:pStyle w:val="Indenta"/>
        <w:spacing w:before="100"/>
        <w:rPr>
          <w:snapToGrid w:val="0"/>
        </w:rPr>
      </w:pPr>
      <w:r>
        <w:rPr>
          <w:snapToGrid w:val="0"/>
        </w:rPr>
        <w:tab/>
        <w:t>(a)</w:t>
      </w:r>
      <w:r>
        <w:rPr>
          <w:snapToGrid w:val="0"/>
        </w:rPr>
        <w:tab/>
        <w:t>enabling or aiding another person to commit the offence; or</w:t>
      </w:r>
    </w:p>
    <w:p>
      <w:pPr>
        <w:pStyle w:val="Indenta"/>
        <w:spacing w:before="100"/>
        <w:rPr>
          <w:snapToGrid w:val="0"/>
        </w:rPr>
      </w:pPr>
      <w:r>
        <w:rPr>
          <w:snapToGrid w:val="0"/>
        </w:rPr>
        <w:lastRenderedPageBreak/>
        <w:tab/>
        <w:t>(b)</w:t>
      </w:r>
      <w:r>
        <w:rPr>
          <w:snapToGrid w:val="0"/>
        </w:rPr>
        <w:tab/>
        <w:t>aiding another person in committing the offence; or</w:t>
      </w:r>
    </w:p>
    <w:p>
      <w:pPr>
        <w:pStyle w:val="Indenta"/>
        <w:keepNext/>
        <w:spacing w:before="100"/>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spacing w:before="140"/>
      </w:pPr>
      <w:r>
        <w:tab/>
        <w:t>[Section 13 inserted: No. 36 of 1996 s. 5(1)</w:t>
      </w:r>
      <w:r>
        <w:rPr>
          <w:i w:val="0"/>
          <w:iCs/>
          <w:vertAlign w:val="superscript"/>
        </w:rPr>
        <w:t> 2</w:t>
      </w:r>
      <w:r>
        <w:t>.]</w:t>
      </w:r>
    </w:p>
    <w:p>
      <w:pPr>
        <w:pStyle w:val="Heading5"/>
        <w:spacing w:before="260"/>
        <w:rPr>
          <w:snapToGrid w:val="0"/>
        </w:rPr>
      </w:pPr>
      <w:bookmarkStart w:id="58" w:name="_Toc88662055"/>
      <w:r>
        <w:rPr>
          <w:rStyle w:val="CharSectno"/>
        </w:rPr>
        <w:t>14</w:t>
      </w:r>
      <w:r>
        <w:rPr>
          <w:snapToGrid w:val="0"/>
        </w:rPr>
        <w:t>.</w:t>
      </w:r>
      <w:r>
        <w:rPr>
          <w:snapToGrid w:val="0"/>
        </w:rPr>
        <w:tab/>
        <w:t>Offence procured in WA to be committed out of WA</w:t>
      </w:r>
      <w:bookmarkEnd w:id="58"/>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[Section 14 amended: No. 36 of 1996 s. 6(1)</w:t>
      </w:r>
      <w:r>
        <w:rPr>
          <w:i w:val="0"/>
          <w:iCs/>
          <w:vertAlign w:val="superscript"/>
        </w:rPr>
        <w:t> 3</w:t>
      </w:r>
      <w:r>
        <w:t>.]</w:t>
      </w:r>
    </w:p>
    <w:p>
      <w:pPr>
        <w:pStyle w:val="Ednotesection"/>
      </w:pPr>
      <w:r>
        <w:t>[</w:t>
      </w:r>
      <w:r>
        <w:rPr>
          <w:b/>
        </w:rPr>
        <w:t>14A.</w:t>
      </w:r>
      <w:r>
        <w:tab/>
        <w:t>Deleted: No. 101 of 1990 s. 5.]</w:t>
      </w:r>
    </w:p>
    <w:p>
      <w:pPr>
        <w:pStyle w:val="Heading5"/>
        <w:rPr>
          <w:snapToGrid w:val="0"/>
        </w:rPr>
      </w:pPr>
      <w:bookmarkStart w:id="59" w:name="_Toc88662056"/>
      <w:r>
        <w:rPr>
          <w:rStyle w:val="CharSectno"/>
        </w:rPr>
        <w:t>15</w:t>
      </w:r>
      <w:r>
        <w:rPr>
          <w:snapToGrid w:val="0"/>
        </w:rPr>
        <w:t>.</w:t>
      </w:r>
      <w:r>
        <w:rPr>
          <w:snapToGrid w:val="0"/>
        </w:rPr>
        <w:tab/>
        <w:t>Defence force not exempt from Code</w:t>
      </w:r>
      <w:bookmarkEnd w:id="59"/>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No. 101 of 1990 s. 6.]</w:t>
      </w:r>
    </w:p>
    <w:p>
      <w:pPr>
        <w:pStyle w:val="Ednotesection"/>
      </w:pPr>
      <w:r>
        <w:t>[</w:t>
      </w:r>
      <w:r>
        <w:rPr>
          <w:b/>
        </w:rPr>
        <w:t>16.</w:t>
      </w:r>
      <w:r>
        <w:tab/>
        <w:t>Deleted: No. 78 of 1995 s. 26.]</w:t>
      </w:r>
    </w:p>
    <w:p>
      <w:pPr>
        <w:pStyle w:val="Heading5"/>
        <w:rPr>
          <w:snapToGrid w:val="0"/>
        </w:rPr>
      </w:pPr>
      <w:bookmarkStart w:id="60" w:name="_Toc88662057"/>
      <w:r>
        <w:rPr>
          <w:rStyle w:val="CharSectno"/>
        </w:rPr>
        <w:lastRenderedPageBreak/>
        <w:t>17</w:t>
      </w:r>
      <w:r>
        <w:rPr>
          <w:snapToGrid w:val="0"/>
        </w:rPr>
        <w:t>.</w:t>
      </w:r>
      <w:r>
        <w:rPr>
          <w:snapToGrid w:val="0"/>
        </w:rPr>
        <w:tab/>
        <w:t>Previous conviction or acquittal a defence</w:t>
      </w:r>
      <w:bookmarkEnd w:id="60"/>
    </w:p>
    <w:p>
      <w:pPr>
        <w:pStyle w:val="Subsection"/>
        <w:rPr>
          <w:snapToGrid w:val="0"/>
        </w:rPr>
      </w:pPr>
      <w:r>
        <w:tab/>
        <w:t>(1)</w:t>
      </w:r>
      <w:r>
        <w:tab/>
        <w:t>It</w:t>
      </w:r>
      <w:r>
        <w:rPr>
          <w:snapToGrid w:val="0"/>
        </w:rPr>
        <w:t xml:space="preserve">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Subsection"/>
      </w:pPr>
      <w:r>
        <w:tab/>
        <w:t>(2)</w:t>
      </w:r>
      <w:r>
        <w:tab/>
        <w:t xml:space="preserve">Subsection (1) is subject to the </w:t>
      </w:r>
      <w:r>
        <w:rPr>
          <w:i/>
        </w:rPr>
        <w:t xml:space="preserve">Criminal Appeals Act 2004 </w:t>
      </w:r>
      <w:r>
        <w:t>section 46M(4)(b) and (c).</w:t>
      </w:r>
    </w:p>
    <w:p>
      <w:pPr>
        <w:pStyle w:val="Footnotesection"/>
        <w:ind w:left="890" w:hanging="890"/>
      </w:pPr>
      <w:r>
        <w:tab/>
        <w:t>[Section 17 amended: No. 101 of 1990 s. 7; No. 84 of 2004 s. 80; No. 9 of 2012 s. 6.]</w:t>
      </w:r>
    </w:p>
    <w:p>
      <w:pPr>
        <w:pStyle w:val="Ednotedivision"/>
      </w:pPr>
      <w:r>
        <w:t>[Chapter IV (s. 17A</w:t>
      </w:r>
      <w:r>
        <w:noBreakHyphen/>
        <w:t>17D, 18, 19, 19A, 19B, 20, 21, 21A) deleted: No. 78 of 1995 s. 26.]</w:t>
      </w:r>
    </w:p>
    <w:p>
      <w:pPr>
        <w:pStyle w:val="Heading3"/>
        <w:rPr>
          <w:snapToGrid w:val="0"/>
        </w:rPr>
      </w:pPr>
      <w:bookmarkStart w:id="61" w:name="_Toc88569615"/>
      <w:bookmarkStart w:id="62" w:name="_Toc88570137"/>
      <w:bookmarkStart w:id="63" w:name="_Toc88570659"/>
      <w:bookmarkStart w:id="64" w:name="_Toc88662058"/>
      <w:r>
        <w:rPr>
          <w:rStyle w:val="CharDivNo"/>
        </w:rPr>
        <w:t>Chapter V</w:t>
      </w:r>
      <w:r>
        <w:rPr>
          <w:snapToGrid w:val="0"/>
        </w:rPr>
        <w:t> — </w:t>
      </w:r>
      <w:r>
        <w:rPr>
          <w:rStyle w:val="CharDivText"/>
        </w:rPr>
        <w:t>Criminal responsibility</w:t>
      </w:r>
      <w:bookmarkEnd w:id="61"/>
      <w:bookmarkEnd w:id="62"/>
      <w:bookmarkEnd w:id="63"/>
      <w:bookmarkEnd w:id="64"/>
    </w:p>
    <w:p>
      <w:pPr>
        <w:pStyle w:val="Heading5"/>
        <w:rPr>
          <w:snapToGrid w:val="0"/>
        </w:rPr>
      </w:pPr>
      <w:bookmarkStart w:id="65" w:name="_Toc88662059"/>
      <w:r>
        <w:rPr>
          <w:rStyle w:val="CharSectno"/>
        </w:rPr>
        <w:t>22</w:t>
      </w:r>
      <w:r>
        <w:rPr>
          <w:snapToGrid w:val="0"/>
        </w:rPr>
        <w:t>.</w:t>
      </w:r>
      <w:r>
        <w:rPr>
          <w:snapToGrid w:val="0"/>
        </w:rPr>
        <w:tab/>
        <w:t>Ignorance of law, honest claim of right</w:t>
      </w:r>
      <w:bookmarkEnd w:id="65"/>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spacing w:before="140"/>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pPr>
      <w:bookmarkStart w:id="66" w:name="_Toc88662060"/>
      <w:r>
        <w:rPr>
          <w:rStyle w:val="CharSectno"/>
        </w:rPr>
        <w:t>23</w:t>
      </w:r>
      <w:r>
        <w:t>.</w:t>
      </w:r>
      <w:r>
        <w:tab/>
        <w:t>Intention and motive</w:t>
      </w:r>
      <w:bookmarkEnd w:id="66"/>
    </w:p>
    <w:p>
      <w:pPr>
        <w:pStyle w:val="Subsection"/>
        <w:spacing w:before="140"/>
      </w:pPr>
      <w:r>
        <w:tab/>
        <w:t>(1)</w:t>
      </w:r>
      <w: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pPr>
      <w:r>
        <w:lastRenderedPageBreak/>
        <w:tab/>
        <w:t>(2)</w:t>
      </w:r>
      <w:r>
        <w:tab/>
        <w:t>Unless otherwise expressly declared, the motive by which a person is induced to do or omit to do an act, or to form an intention, is immaterial so far as regards criminal responsibility.</w:t>
      </w:r>
    </w:p>
    <w:p>
      <w:pPr>
        <w:pStyle w:val="Footnotesection"/>
        <w:spacing w:before="100"/>
      </w:pPr>
      <w:r>
        <w:tab/>
        <w:t>[Section 23 inserted: No. 29 of 2008 s. 4.]</w:t>
      </w:r>
    </w:p>
    <w:p>
      <w:pPr>
        <w:pStyle w:val="Heading5"/>
      </w:pPr>
      <w:bookmarkStart w:id="67" w:name="_Toc88662061"/>
      <w:r>
        <w:rPr>
          <w:rStyle w:val="CharSectno"/>
        </w:rPr>
        <w:t>23A</w:t>
      </w:r>
      <w:r>
        <w:t>.</w:t>
      </w:r>
      <w:r>
        <w:tab/>
        <w:t>Unwilled acts and omissions</w:t>
      </w:r>
      <w:bookmarkEnd w:id="67"/>
    </w:p>
    <w:p>
      <w:pPr>
        <w:pStyle w:val="Subsection"/>
        <w:spacing w:before="140"/>
      </w:pPr>
      <w:r>
        <w:tab/>
        <w:t>(1)</w:t>
      </w:r>
      <w:r>
        <w:tab/>
        <w:t>This section is subject to the provisions in Chapter XXVII and section 444A relating to negligent acts and omissions.</w:t>
      </w:r>
    </w:p>
    <w:p>
      <w:pPr>
        <w:pStyle w:val="Subsection"/>
        <w:spacing w:before="140"/>
      </w:pPr>
      <w:r>
        <w:tab/>
        <w:t>(2)</w:t>
      </w:r>
      <w:r>
        <w:tab/>
        <w:t>A person is not criminally responsible for an act or omission which occurs independently of the exercise of the person’s will.</w:t>
      </w:r>
    </w:p>
    <w:p>
      <w:pPr>
        <w:pStyle w:val="Footnotesection"/>
        <w:ind w:left="890" w:hanging="890"/>
      </w:pPr>
      <w:r>
        <w:tab/>
        <w:t>[Section 23A inserted: No. 29 of 2008 s. 4; amended: No. 43 of 2009 s. 6.]</w:t>
      </w:r>
    </w:p>
    <w:p>
      <w:pPr>
        <w:pStyle w:val="Heading5"/>
      </w:pPr>
      <w:bookmarkStart w:id="68" w:name="_Toc88662062"/>
      <w:r>
        <w:rPr>
          <w:rStyle w:val="CharSectno"/>
        </w:rPr>
        <w:t>23B</w:t>
      </w:r>
      <w:r>
        <w:t>.</w:t>
      </w:r>
      <w:r>
        <w:tab/>
        <w:t>Accident</w:t>
      </w:r>
      <w:bookmarkEnd w:id="68"/>
    </w:p>
    <w:p>
      <w:pPr>
        <w:pStyle w:val="Subsection"/>
        <w:spacing w:before="140"/>
      </w:pPr>
      <w:r>
        <w:tab/>
        <w:t>(1)</w:t>
      </w:r>
      <w:r>
        <w:tab/>
        <w:t>This section is subject to the provisions in Chapter XXVII and section 444A relating to negligent acts and omissions.</w:t>
      </w:r>
    </w:p>
    <w:p>
      <w:pPr>
        <w:pStyle w:val="Subsection"/>
        <w:spacing w:before="140"/>
      </w:pPr>
      <w:r>
        <w:tab/>
        <w:t>(2)</w:t>
      </w:r>
      <w:r>
        <w:tab/>
        <w:t>A person is not criminally responsible for an event which occurs by accident.</w:t>
      </w:r>
    </w:p>
    <w:p>
      <w:pPr>
        <w:pStyle w:val="Subsection"/>
        <w:spacing w:before="140"/>
      </w:pPr>
      <w:r>
        <w:tab/>
        <w:t>(3)</w:t>
      </w:r>
      <w:r>
        <w:tab/>
        <w:t>If death or grievous bodily harm —</w:t>
      </w:r>
    </w:p>
    <w:p>
      <w:pPr>
        <w:pStyle w:val="Indenta"/>
      </w:pPr>
      <w:r>
        <w:tab/>
        <w:t>(a)</w:t>
      </w:r>
      <w:r>
        <w:tab/>
        <w:t>is directly caused to a victim by another person’s act that involves a deliberate use of force; but</w:t>
      </w:r>
    </w:p>
    <w:p>
      <w:pPr>
        <w:pStyle w:val="Indenta"/>
        <w:keepNext/>
      </w:pPr>
      <w:r>
        <w:tab/>
        <w:t>(b)</w:t>
      </w:r>
      <w:r>
        <w:tab/>
        <w:t>would not have occurred but for an abnormality, defect or weakness in the victim,</w:t>
      </w:r>
    </w:p>
    <w:p>
      <w:pPr>
        <w:pStyle w:val="Subsection"/>
      </w:pPr>
      <w:r>
        <w:tab/>
      </w:r>
      <w:r>
        <w:tab/>
        <w:t>the other person is not, for that reason alone, excused from criminal responsibility for the death or grievous bodily harm.</w:t>
      </w:r>
    </w:p>
    <w:p>
      <w:pPr>
        <w:pStyle w:val="Subsection"/>
      </w:pPr>
      <w:r>
        <w:tab/>
        <w:t>(4)</w:t>
      </w:r>
      <w:r>
        <w:tab/>
        <w:t>Subsection (3) applies —</w:t>
      </w:r>
    </w:p>
    <w:p>
      <w:pPr>
        <w:pStyle w:val="Indenta"/>
      </w:pPr>
      <w:r>
        <w:tab/>
        <w:t>(a)</w:t>
      </w:r>
      <w:r>
        <w:tab/>
        <w:t>even if the other person did not intend or foresee the death or grievous bodily harm; and</w:t>
      </w:r>
    </w:p>
    <w:p>
      <w:pPr>
        <w:pStyle w:val="Indenta"/>
      </w:pPr>
      <w:r>
        <w:tab/>
        <w:t>(b)</w:t>
      </w:r>
      <w:r>
        <w:tab/>
        <w:t>even if the death or grievous bodily harm was not reasonably foreseeable.</w:t>
      </w:r>
    </w:p>
    <w:p>
      <w:pPr>
        <w:pStyle w:val="Footnotesection"/>
      </w:pPr>
      <w:r>
        <w:tab/>
        <w:t>[Section 23B inserted: No. 29 of 2008 s. 4; amended: No. 43 of 2009 s. 7.]</w:t>
      </w:r>
    </w:p>
    <w:p>
      <w:pPr>
        <w:pStyle w:val="Heading5"/>
        <w:rPr>
          <w:snapToGrid w:val="0"/>
        </w:rPr>
      </w:pPr>
      <w:bookmarkStart w:id="69" w:name="_Toc88662063"/>
      <w:r>
        <w:rPr>
          <w:rStyle w:val="CharSectno"/>
        </w:rPr>
        <w:lastRenderedPageBreak/>
        <w:t>24</w:t>
      </w:r>
      <w:r>
        <w:rPr>
          <w:snapToGrid w:val="0"/>
        </w:rPr>
        <w:t>.</w:t>
      </w:r>
      <w:r>
        <w:rPr>
          <w:snapToGrid w:val="0"/>
        </w:rPr>
        <w:tab/>
        <w:t>Mistake of fact</w:t>
      </w:r>
      <w:bookmarkEnd w:id="69"/>
    </w:p>
    <w:p>
      <w:pPr>
        <w:pStyle w:val="Subsection"/>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rPr>
          <w:snapToGrid w:val="0"/>
        </w:rPr>
      </w:pPr>
      <w:r>
        <w:rPr>
          <w:snapToGrid w:val="0"/>
        </w:rPr>
        <w:tab/>
      </w:r>
      <w:r>
        <w:rPr>
          <w:snapToGrid w:val="0"/>
        </w:rPr>
        <w:tab/>
        <w:t>The operation of this rule may be excluded by the express or implied provisions of the law relating to the subject.</w:t>
      </w:r>
    </w:p>
    <w:p>
      <w:pPr>
        <w:pStyle w:val="Heading5"/>
      </w:pPr>
      <w:bookmarkStart w:id="70" w:name="_Toc88662064"/>
      <w:r>
        <w:rPr>
          <w:rStyle w:val="CharSectno"/>
        </w:rPr>
        <w:t>25</w:t>
      </w:r>
      <w:r>
        <w:t>.</w:t>
      </w:r>
      <w:r>
        <w:tab/>
        <w:t>Emergency</w:t>
      </w:r>
      <w:bookmarkEnd w:id="70"/>
    </w:p>
    <w:p>
      <w:pPr>
        <w:pStyle w:val="Subsection"/>
      </w:pPr>
      <w:r>
        <w:tab/>
        <w:t>(1)</w:t>
      </w:r>
      <w:r>
        <w:tab/>
        <w:t>This section does not apply if section 32, 246, 247 or 248 applies.</w:t>
      </w:r>
    </w:p>
    <w:p>
      <w:pPr>
        <w:pStyle w:val="Subsection"/>
      </w:pPr>
      <w:r>
        <w:tab/>
        <w:t>(2)</w:t>
      </w:r>
      <w:r>
        <w:tab/>
        <w:t>A person is not criminally responsible for an act done, or an omission made, in an emergency under subsection (3).</w:t>
      </w:r>
    </w:p>
    <w:p>
      <w:pPr>
        <w:pStyle w:val="Subsection"/>
        <w:keepNext/>
        <w:keepLines/>
      </w:pPr>
      <w:r>
        <w:tab/>
        <w:t>(3)</w:t>
      </w:r>
      <w:r>
        <w:tab/>
        <w:t>A person does an act or makes an omission in an emergency if —</w:t>
      </w:r>
    </w:p>
    <w:p>
      <w:pPr>
        <w:pStyle w:val="Indenta"/>
      </w:pPr>
      <w:r>
        <w:tab/>
        <w:t>(a)</w:t>
      </w:r>
      <w:r>
        <w:tab/>
        <w:t>the person believes —</w:t>
      </w:r>
    </w:p>
    <w:p>
      <w:pPr>
        <w:pStyle w:val="Indenti"/>
      </w:pPr>
      <w:r>
        <w:tab/>
        <w:t>(i)</w:t>
      </w:r>
      <w:r>
        <w:tab/>
        <w:t>circumstances of sudden or extraordinary emergency exist; and</w:t>
      </w:r>
    </w:p>
    <w:p>
      <w:pPr>
        <w:pStyle w:val="Indenti"/>
      </w:pPr>
      <w:r>
        <w:tab/>
        <w:t>(ii)</w:t>
      </w:r>
      <w:r>
        <w:tab/>
        <w:t>doing the act or making the omission is a necessary response to the emergency;</w:t>
      </w:r>
    </w:p>
    <w:p>
      <w:pPr>
        <w:pStyle w:val="Indenta"/>
        <w:spacing w:before="60"/>
      </w:pPr>
      <w:r>
        <w:tab/>
      </w:r>
      <w:r>
        <w:tab/>
        <w:t>and</w:t>
      </w:r>
    </w:p>
    <w:p>
      <w:pPr>
        <w:pStyle w:val="Indenta"/>
        <w:spacing w:before="60"/>
      </w:pPr>
      <w:r>
        <w:tab/>
        <w:t>(b)</w:t>
      </w:r>
      <w:r>
        <w:tab/>
        <w:t>the act or omission is a reasonable response to the emergency in the circumstances as the person believes them to be; and</w:t>
      </w:r>
    </w:p>
    <w:p>
      <w:pPr>
        <w:pStyle w:val="Indenta"/>
        <w:spacing w:before="60"/>
      </w:pPr>
      <w:r>
        <w:tab/>
        <w:t>(c)</w:t>
      </w:r>
      <w:r>
        <w:tab/>
        <w:t>there are reasonable grounds for those beliefs.</w:t>
      </w:r>
    </w:p>
    <w:p>
      <w:pPr>
        <w:pStyle w:val="Footnotesection"/>
        <w:spacing w:before="100"/>
        <w:ind w:left="890" w:hanging="890"/>
      </w:pPr>
      <w:r>
        <w:tab/>
        <w:t>[Section 25 inserted: No. 29 of 2008 s. 5.]</w:t>
      </w:r>
    </w:p>
    <w:p>
      <w:pPr>
        <w:pStyle w:val="Heading5"/>
        <w:spacing w:before="180"/>
        <w:rPr>
          <w:snapToGrid w:val="0"/>
        </w:rPr>
      </w:pPr>
      <w:bookmarkStart w:id="71" w:name="_Toc88662065"/>
      <w:r>
        <w:rPr>
          <w:rStyle w:val="CharSectno"/>
        </w:rPr>
        <w:t>26</w:t>
      </w:r>
      <w:r>
        <w:rPr>
          <w:snapToGrid w:val="0"/>
        </w:rPr>
        <w:t>.</w:t>
      </w:r>
      <w:r>
        <w:rPr>
          <w:snapToGrid w:val="0"/>
        </w:rPr>
        <w:tab/>
        <w:t>Presumption of sanity</w:t>
      </w:r>
      <w:bookmarkEnd w:id="71"/>
    </w:p>
    <w:p>
      <w:pPr>
        <w:pStyle w:val="Subsection"/>
        <w:spacing w:before="120"/>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spacing w:before="180"/>
        <w:rPr>
          <w:snapToGrid w:val="0"/>
        </w:rPr>
      </w:pPr>
      <w:bookmarkStart w:id="72" w:name="_Toc88662066"/>
      <w:r>
        <w:rPr>
          <w:rStyle w:val="CharSectno"/>
        </w:rPr>
        <w:lastRenderedPageBreak/>
        <w:t>27</w:t>
      </w:r>
      <w:r>
        <w:rPr>
          <w:snapToGrid w:val="0"/>
        </w:rPr>
        <w:t>.</w:t>
      </w:r>
      <w:r>
        <w:rPr>
          <w:snapToGrid w:val="0"/>
        </w:rPr>
        <w:tab/>
        <w:t>Insanity</w:t>
      </w:r>
      <w:bookmarkEnd w:id="72"/>
    </w:p>
    <w:p>
      <w:pPr>
        <w:pStyle w:val="Subsection"/>
        <w:spacing w:before="120"/>
        <w:rPr>
          <w:snapToGrid w:val="0"/>
        </w:rPr>
      </w:pPr>
      <w:r>
        <w:rPr>
          <w:snapToGrid w:val="0"/>
        </w:rPr>
        <w:tab/>
        <w:t>(1)</w:t>
      </w:r>
      <w:r>
        <w:rPr>
          <w:snapToGrid w:val="0"/>
        </w:rPr>
        <w:tab/>
      </w:r>
      <w:r>
        <w:t>A person is</w:t>
      </w:r>
      <w:r>
        <w:rPr>
          <w:snapToGrid w:val="0"/>
        </w:rPr>
        <w:t xml:space="preserve">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spacing w:before="120"/>
        <w:rPr>
          <w:snapToGrid w:val="0"/>
        </w:rPr>
      </w:pPr>
      <w:r>
        <w:rPr>
          <w:snapToGrid w:val="0"/>
        </w:rPr>
        <w:tab/>
        <w:t>(2)</w:t>
      </w:r>
      <w:r>
        <w:rPr>
          <w:snapToGrid w:val="0"/>
        </w:rPr>
        <w:tab/>
      </w:r>
      <w:r>
        <w:t>A person whose</w:t>
      </w:r>
      <w:r>
        <w:rPr>
          <w:snapToGrid w:val="0"/>
        </w:rPr>
        <w:t xml:space="preserve"> mind, at the time of his doing or omitting to do an act, is affected by delusions on some specific matter or matters, but who is not otherwise entitled to the benefit of </w:t>
      </w:r>
      <w:r>
        <w:t xml:space="preserve">subsection (1), </w:t>
      </w:r>
      <w:r>
        <w:rPr>
          <w:snapToGrid w:val="0"/>
        </w:rPr>
        <w:t>is criminally responsible for the act or omission to the same extent as if the real state of things had been such as he was induced by the delusions to believe to exist.</w:t>
      </w:r>
    </w:p>
    <w:p>
      <w:pPr>
        <w:pStyle w:val="Footnotesection"/>
        <w:spacing w:before="100"/>
        <w:ind w:left="890" w:hanging="890"/>
      </w:pPr>
      <w:r>
        <w:tab/>
        <w:t>[Section 27 amended: No. 69 of 1996 s. 7; No. 44 of 2009 s. 9.]</w:t>
      </w:r>
    </w:p>
    <w:p>
      <w:pPr>
        <w:pStyle w:val="Heading5"/>
        <w:rPr>
          <w:snapToGrid w:val="0"/>
        </w:rPr>
      </w:pPr>
      <w:bookmarkStart w:id="73" w:name="_Toc88662067"/>
      <w:r>
        <w:rPr>
          <w:rStyle w:val="CharSectno"/>
        </w:rPr>
        <w:t>28</w:t>
      </w:r>
      <w:r>
        <w:rPr>
          <w:snapToGrid w:val="0"/>
        </w:rPr>
        <w:t>.</w:t>
      </w:r>
      <w:r>
        <w:rPr>
          <w:snapToGrid w:val="0"/>
        </w:rPr>
        <w:tab/>
        <w:t>Intoxication</w:t>
      </w:r>
      <w:bookmarkEnd w:id="73"/>
    </w:p>
    <w:p>
      <w:pPr>
        <w:pStyle w:val="Subsection"/>
        <w:spacing w:before="120"/>
        <w:rPr>
          <w:snapToGrid w:val="0"/>
        </w:rPr>
      </w:pPr>
      <w:r>
        <w:rPr>
          <w:snapToGrid w:val="0"/>
        </w:rPr>
        <w:tab/>
        <w:t>(1)</w:t>
      </w:r>
      <w:r>
        <w:rPr>
          <w:snapToGrid w:val="0"/>
        </w:rPr>
        <w:tab/>
      </w:r>
      <w:r>
        <w:t>Section 27 applies</w:t>
      </w:r>
      <w:r>
        <w:rPr>
          <w:snapToGrid w:val="0"/>
        </w:rPr>
        <w:t xml:space="preserve">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t>(2)</w:t>
      </w:r>
      <w:r>
        <w:rPr>
          <w:snapToGrid w:val="0"/>
        </w:rPr>
        <w:tab/>
      </w:r>
      <w:r>
        <w:t>Section 27 does not</w:t>
      </w:r>
      <w:r>
        <w:rPr>
          <w:snapToGrid w:val="0"/>
        </w:rPr>
        <w:t xml:space="preserve">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t>(3)</w:t>
      </w:r>
      <w:r>
        <w:rPr>
          <w:snapToGrid w:val="0"/>
        </w:rPr>
        <w:tab/>
      </w:r>
      <w:r>
        <w:t>When an</w:t>
      </w:r>
      <w:r>
        <w:rPr>
          <w:snapToGrid w:val="0"/>
        </w:rPr>
        <w:t xml:space="preserve"> intention to cause a specific result is an element of an offence, intoxication whether complete or partial, and whether intentional or unintentional, may be regarded for the purpose of ascertaining whether such an intention in fact existed.</w:t>
      </w:r>
    </w:p>
    <w:p>
      <w:pPr>
        <w:pStyle w:val="Footnotesection"/>
      </w:pPr>
      <w:r>
        <w:tab/>
        <w:t>[Section 28 amended: No. 44 of 2009 s. 10.]</w:t>
      </w:r>
    </w:p>
    <w:p>
      <w:pPr>
        <w:pStyle w:val="Heading5"/>
        <w:rPr>
          <w:snapToGrid w:val="0"/>
        </w:rPr>
      </w:pPr>
      <w:bookmarkStart w:id="74" w:name="_Toc88662068"/>
      <w:r>
        <w:rPr>
          <w:rStyle w:val="CharSectno"/>
        </w:rPr>
        <w:t>29</w:t>
      </w:r>
      <w:r>
        <w:rPr>
          <w:snapToGrid w:val="0"/>
        </w:rPr>
        <w:t>.</w:t>
      </w:r>
      <w:r>
        <w:rPr>
          <w:snapToGrid w:val="0"/>
        </w:rPr>
        <w:tab/>
        <w:t>Immature age</w:t>
      </w:r>
      <w:bookmarkEnd w:id="74"/>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lastRenderedPageBreak/>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ind w:left="890" w:hanging="890"/>
      </w:pPr>
      <w:r>
        <w:tab/>
        <w:t>[Section 29 amended: No. 74 of 1985 s. 4; No. 49 of 1988 s. 44.]</w:t>
      </w:r>
    </w:p>
    <w:p>
      <w:pPr>
        <w:pStyle w:val="Heading5"/>
        <w:rPr>
          <w:snapToGrid w:val="0"/>
        </w:rPr>
      </w:pPr>
      <w:bookmarkStart w:id="75" w:name="_Toc88662069"/>
      <w:r>
        <w:rPr>
          <w:rStyle w:val="CharSectno"/>
        </w:rPr>
        <w:t>30</w:t>
      </w:r>
      <w:r>
        <w:rPr>
          <w:snapToGrid w:val="0"/>
        </w:rPr>
        <w:t>.</w:t>
      </w:r>
      <w:r>
        <w:rPr>
          <w:snapToGrid w:val="0"/>
        </w:rPr>
        <w:tab/>
        <w:t>Judicial officers</w:t>
      </w:r>
      <w:bookmarkEnd w:id="75"/>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pPr>
      <w:bookmarkStart w:id="76" w:name="_Toc88662070"/>
      <w:r>
        <w:rPr>
          <w:rStyle w:val="CharSectno"/>
        </w:rPr>
        <w:t>31</w:t>
      </w:r>
      <w:r>
        <w:t>.</w:t>
      </w:r>
      <w:r>
        <w:tab/>
        <w:t>Lawful authority</w:t>
      </w:r>
      <w:bookmarkEnd w:id="76"/>
    </w:p>
    <w:p>
      <w:pPr>
        <w:pStyle w:val="Subsection"/>
        <w:spacing w:before="120"/>
      </w:pPr>
      <w:r>
        <w:tab/>
        <w:t>(1)</w:t>
      </w:r>
      <w:r>
        <w:tab/>
        <w:t>A person is not criminally responsible for an act done, or an omission made, in any of the following circumstances —</w:t>
      </w:r>
    </w:p>
    <w:p>
      <w:pPr>
        <w:pStyle w:val="Indenta"/>
      </w:pPr>
      <w:r>
        <w:tab/>
        <w:t>(a)</w:t>
      </w:r>
      <w:r>
        <w:tab/>
        <w:t>in execution of the law;</w:t>
      </w:r>
    </w:p>
    <w:p>
      <w:pPr>
        <w:pStyle w:val="Indenta"/>
      </w:pPr>
      <w:r>
        <w:tab/>
        <w:t>(b)</w:t>
      </w:r>
      <w:r>
        <w:tab/>
        <w:t>in obedience to the order of a competent authority which the person is bound by law to obey, unless the order is manifestly unlawful.</w:t>
      </w:r>
    </w:p>
    <w:p>
      <w:pPr>
        <w:pStyle w:val="Subsection"/>
        <w:spacing w:before="120"/>
      </w:pPr>
      <w:r>
        <w:tab/>
        <w:t>(2)</w:t>
      </w:r>
      <w:r>
        <w:tab/>
        <w:t>Whether an order is or is not manifestly unlawful is a question of law.</w:t>
      </w:r>
    </w:p>
    <w:p>
      <w:pPr>
        <w:pStyle w:val="Footnotesection"/>
        <w:ind w:left="890" w:hanging="890"/>
      </w:pPr>
      <w:r>
        <w:tab/>
        <w:t>[Section 31 inserted: No. 29 of 2008 s. 6.]</w:t>
      </w:r>
    </w:p>
    <w:p>
      <w:pPr>
        <w:pStyle w:val="Heading5"/>
      </w:pPr>
      <w:bookmarkStart w:id="77" w:name="_Toc88662071"/>
      <w:r>
        <w:rPr>
          <w:rStyle w:val="CharSectno"/>
        </w:rPr>
        <w:t>32</w:t>
      </w:r>
      <w:r>
        <w:t>.</w:t>
      </w:r>
      <w:r>
        <w:tab/>
        <w:t>Duress</w:t>
      </w:r>
      <w:bookmarkEnd w:id="77"/>
    </w:p>
    <w:p>
      <w:pPr>
        <w:pStyle w:val="Subsection"/>
        <w:spacing w:before="120"/>
      </w:pPr>
      <w:r>
        <w:tab/>
        <w:t>(1)</w:t>
      </w:r>
      <w:r>
        <w:tab/>
        <w:t>A person is not criminally responsible for an act done, or an omission made, under duress under subsection (2).</w:t>
      </w:r>
    </w:p>
    <w:p>
      <w:pPr>
        <w:pStyle w:val="Subsection"/>
        <w:spacing w:before="120"/>
      </w:pPr>
      <w:r>
        <w:tab/>
        <w:t>(2)</w:t>
      </w:r>
      <w:r>
        <w:tab/>
        <w:t>A person does an act or makes an omission under duress if —</w:t>
      </w:r>
    </w:p>
    <w:p>
      <w:pPr>
        <w:pStyle w:val="Indenta"/>
      </w:pPr>
      <w:r>
        <w:tab/>
        <w:t>(a)</w:t>
      </w:r>
      <w:r>
        <w:tab/>
        <w:t>the person believes —</w:t>
      </w:r>
    </w:p>
    <w:p>
      <w:pPr>
        <w:pStyle w:val="Indenti"/>
      </w:pPr>
      <w:r>
        <w:tab/>
        <w:t>(i)</w:t>
      </w:r>
      <w:r>
        <w:tab/>
        <w:t>a threat has been made; and</w:t>
      </w:r>
    </w:p>
    <w:p>
      <w:pPr>
        <w:pStyle w:val="Indenti"/>
      </w:pPr>
      <w:r>
        <w:tab/>
        <w:t>(ii)</w:t>
      </w:r>
      <w:r>
        <w:tab/>
        <w:t>the threat will be carried out unless an offence is committed; and</w:t>
      </w:r>
    </w:p>
    <w:p>
      <w:pPr>
        <w:pStyle w:val="Indenti"/>
      </w:pPr>
      <w:r>
        <w:lastRenderedPageBreak/>
        <w:tab/>
        <w:t>(iii)</w:t>
      </w:r>
      <w:r>
        <w:tab/>
        <w:t>doing the act or making the omission is necessary to prevent the threat from being carried out;</w:t>
      </w:r>
    </w:p>
    <w:p>
      <w:pPr>
        <w:pStyle w:val="Indenta"/>
      </w:pPr>
      <w:r>
        <w:tab/>
      </w:r>
      <w:r>
        <w:tab/>
        <w:t>and</w:t>
      </w:r>
    </w:p>
    <w:p>
      <w:pPr>
        <w:pStyle w:val="Indenta"/>
      </w:pPr>
      <w:r>
        <w:tab/>
        <w:t>(b)</w:t>
      </w:r>
      <w:r>
        <w:tab/>
        <w:t>the act or omission is a reasonable response to the threat in the circumstances as the person believes them to be; and</w:t>
      </w:r>
    </w:p>
    <w:p>
      <w:pPr>
        <w:pStyle w:val="Indenta"/>
      </w:pPr>
      <w:r>
        <w:tab/>
        <w:t>(c)</w:t>
      </w:r>
      <w:r>
        <w:tab/>
        <w:t>there are reasonable grounds for those beliefs.</w:t>
      </w:r>
    </w:p>
    <w:p>
      <w:pPr>
        <w:pStyle w:val="Subsection"/>
      </w:pPr>
      <w:r>
        <w:tab/>
        <w:t>(3)</w:t>
      </w:r>
      <w:r>
        <w:tab/>
        <w:t>Subsections (1) and (2) do not apply if the threat is made by or on behalf of a person with whom the person under duress is voluntarily associating for the purpose of —</w:t>
      </w:r>
    </w:p>
    <w:p>
      <w:pPr>
        <w:pStyle w:val="Indenta"/>
      </w:pPr>
      <w:r>
        <w:tab/>
        <w:t>(a)</w:t>
      </w:r>
      <w:r>
        <w:tab/>
        <w:t>doing an act or making an omission of the kind in fact done or made by the person under duress; or</w:t>
      </w:r>
    </w:p>
    <w:p>
      <w:pPr>
        <w:pStyle w:val="Indenta"/>
      </w:pPr>
      <w:r>
        <w:tab/>
        <w:t>(b)</w:t>
      </w:r>
      <w:r>
        <w:tab/>
        <w:t>prosecuting an unlawful purpose in which it is reasonably foreseeable such a threat would be made.</w:t>
      </w:r>
    </w:p>
    <w:p>
      <w:pPr>
        <w:pStyle w:val="Footnotesection"/>
      </w:pPr>
      <w:r>
        <w:tab/>
        <w:t>[Section 32 inserted: No. 29 of 2008 s. 6.]</w:t>
      </w:r>
    </w:p>
    <w:p>
      <w:pPr>
        <w:pStyle w:val="Ednotesection"/>
      </w:pPr>
      <w:r>
        <w:t>[</w:t>
      </w:r>
      <w:r>
        <w:rPr>
          <w:b/>
        </w:rPr>
        <w:t>33</w:t>
      </w:r>
      <w:r>
        <w:rPr>
          <w:b/>
          <w:bCs/>
        </w:rPr>
        <w:t>.</w:t>
      </w:r>
      <w:r>
        <w:tab/>
        <w:t>Deleted: No. 106 of 1987 s. 6.]</w:t>
      </w:r>
    </w:p>
    <w:p>
      <w:pPr>
        <w:pStyle w:val="Heading5"/>
        <w:rPr>
          <w:snapToGrid w:val="0"/>
        </w:rPr>
      </w:pPr>
      <w:bookmarkStart w:id="78" w:name="_Toc88662072"/>
      <w:r>
        <w:rPr>
          <w:rStyle w:val="CharSectno"/>
        </w:rPr>
        <w:t>34</w:t>
      </w:r>
      <w:r>
        <w:rPr>
          <w:snapToGrid w:val="0"/>
        </w:rPr>
        <w:t>.</w:t>
      </w:r>
      <w:r>
        <w:rPr>
          <w:snapToGrid w:val="0"/>
        </w:rPr>
        <w:tab/>
        <w:t>Offences by partners and members of companies with respect to partnership or corporate property</w:t>
      </w:r>
      <w:bookmarkEnd w:id="78"/>
    </w:p>
    <w:p>
      <w:pPr>
        <w:pStyle w:val="Subsection"/>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r>
        <w:t>[</w:t>
      </w:r>
      <w:r>
        <w:rPr>
          <w:b/>
        </w:rPr>
        <w:t>35.</w:t>
      </w:r>
      <w:r>
        <w:tab/>
        <w:t>Deleted: No. 28 of 2003 s. 118(3).]</w:t>
      </w:r>
    </w:p>
    <w:p>
      <w:pPr>
        <w:pStyle w:val="Heading5"/>
        <w:rPr>
          <w:snapToGrid w:val="0"/>
        </w:rPr>
      </w:pPr>
      <w:bookmarkStart w:id="79" w:name="_Toc88662073"/>
      <w:r>
        <w:rPr>
          <w:rStyle w:val="CharSectno"/>
        </w:rPr>
        <w:t>36</w:t>
      </w:r>
      <w:r>
        <w:rPr>
          <w:snapToGrid w:val="0"/>
        </w:rPr>
        <w:t>.</w:t>
      </w:r>
      <w:r>
        <w:rPr>
          <w:snapToGrid w:val="0"/>
        </w:rPr>
        <w:tab/>
        <w:t>Application of Chapter V</w:t>
      </w:r>
      <w:bookmarkEnd w:id="79"/>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80" w:name="_Toc88569631"/>
      <w:bookmarkStart w:id="81" w:name="_Toc88570153"/>
      <w:bookmarkStart w:id="82" w:name="_Toc88570675"/>
      <w:bookmarkStart w:id="83" w:name="_Toc88662074"/>
      <w:r>
        <w:rPr>
          <w:rStyle w:val="CharPartNo"/>
        </w:rPr>
        <w:lastRenderedPageBreak/>
        <w:t>Part II</w:t>
      </w:r>
      <w:r>
        <w:t> — </w:t>
      </w:r>
      <w:r>
        <w:rPr>
          <w:rStyle w:val="CharPartText"/>
        </w:rPr>
        <w:t>Offences against public order</w:t>
      </w:r>
      <w:bookmarkEnd w:id="80"/>
      <w:bookmarkEnd w:id="81"/>
      <w:bookmarkEnd w:id="82"/>
      <w:bookmarkEnd w:id="83"/>
    </w:p>
    <w:p>
      <w:pPr>
        <w:pStyle w:val="Ednotedivision"/>
        <w:spacing w:before="240"/>
      </w:pPr>
      <w:r>
        <w:t>[Chapter VI (s. 37</w:t>
      </w:r>
      <w:r>
        <w:noBreakHyphen/>
        <w:t>43) deleted: No. 70 of 1988 s. 8(1).]</w:t>
      </w:r>
    </w:p>
    <w:p>
      <w:pPr>
        <w:pStyle w:val="Heading3"/>
        <w:spacing w:before="260"/>
        <w:rPr>
          <w:snapToGrid w:val="0"/>
        </w:rPr>
      </w:pPr>
      <w:bookmarkStart w:id="84" w:name="_Toc88569632"/>
      <w:bookmarkStart w:id="85" w:name="_Toc88570154"/>
      <w:bookmarkStart w:id="86" w:name="_Toc88570676"/>
      <w:bookmarkStart w:id="87" w:name="_Toc88662075"/>
      <w:r>
        <w:rPr>
          <w:rStyle w:val="CharDivNo"/>
        </w:rPr>
        <w:t>Chapter VII</w:t>
      </w:r>
      <w:r>
        <w:rPr>
          <w:snapToGrid w:val="0"/>
        </w:rPr>
        <w:t> — </w:t>
      </w:r>
      <w:r>
        <w:rPr>
          <w:rStyle w:val="CharDivText"/>
        </w:rPr>
        <w:t>Sedition</w:t>
      </w:r>
      <w:bookmarkEnd w:id="84"/>
      <w:bookmarkEnd w:id="85"/>
      <w:bookmarkEnd w:id="86"/>
      <w:bookmarkEnd w:id="87"/>
    </w:p>
    <w:p>
      <w:pPr>
        <w:pStyle w:val="Heading5"/>
        <w:spacing w:before="240"/>
        <w:rPr>
          <w:snapToGrid w:val="0"/>
        </w:rPr>
      </w:pPr>
      <w:bookmarkStart w:id="88" w:name="_Toc88662076"/>
      <w:r>
        <w:rPr>
          <w:rStyle w:val="CharSectno"/>
        </w:rPr>
        <w:t>44</w:t>
      </w:r>
      <w:r>
        <w:rPr>
          <w:snapToGrid w:val="0"/>
        </w:rPr>
        <w:t>.</w:t>
      </w:r>
      <w:r>
        <w:rPr>
          <w:snapToGrid w:val="0"/>
        </w:rPr>
        <w:tab/>
        <w:t xml:space="preserve">Term used: </w:t>
      </w:r>
      <w:r>
        <w:rPr>
          <w:rStyle w:val="CharDefText"/>
          <w:b/>
          <w:bCs/>
          <w:i w:val="0"/>
          <w:iCs/>
        </w:rPr>
        <w:t>seditious intention</w:t>
      </w:r>
      <w:bookmarkEnd w:id="88"/>
    </w:p>
    <w:p>
      <w:pPr>
        <w:pStyle w:val="Subsection"/>
        <w:spacing w:before="180"/>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spacing w:before="180"/>
        <w:rPr>
          <w:snapToGrid w:val="0"/>
        </w:rPr>
      </w:pPr>
      <w:r>
        <w:rPr>
          <w:snapToGrid w:val="0"/>
        </w:rPr>
        <w:tab/>
      </w:r>
      <w:r>
        <w:rPr>
          <w:snapToGrid w:val="0"/>
        </w:rPr>
        <w:tab/>
        <w:t>is a seditious intention, unless it is justified by</w:t>
      </w:r>
      <w:r>
        <w:t xml:space="preserve"> section 45.</w:t>
      </w:r>
    </w:p>
    <w:p>
      <w:pPr>
        <w:pStyle w:val="Footnotesection"/>
      </w:pPr>
      <w:r>
        <w:tab/>
        <w:t>[Section 44 amended: No. 44 of 2009 s. 11.]</w:t>
      </w:r>
    </w:p>
    <w:p>
      <w:pPr>
        <w:pStyle w:val="Heading5"/>
        <w:spacing w:before="240"/>
        <w:rPr>
          <w:snapToGrid w:val="0"/>
        </w:rPr>
      </w:pPr>
      <w:bookmarkStart w:id="89" w:name="_Toc88662077"/>
      <w:r>
        <w:rPr>
          <w:rStyle w:val="CharSectno"/>
        </w:rPr>
        <w:t>45</w:t>
      </w:r>
      <w:r>
        <w:rPr>
          <w:snapToGrid w:val="0"/>
        </w:rPr>
        <w:t>.</w:t>
      </w:r>
      <w:r>
        <w:rPr>
          <w:snapToGrid w:val="0"/>
        </w:rPr>
        <w:tab/>
        <w:t>Acts excepted from s. 44</w:t>
      </w:r>
      <w:bookmarkEnd w:id="89"/>
    </w:p>
    <w:p>
      <w:pPr>
        <w:pStyle w:val="Subsection"/>
        <w:spacing w:before="180"/>
        <w:rPr>
          <w:snapToGrid w:val="0"/>
        </w:rPr>
      </w:pPr>
      <w:r>
        <w:rPr>
          <w:snapToGrid w:val="0"/>
        </w:rPr>
        <w:tab/>
      </w:r>
      <w:r>
        <w:rPr>
          <w:snapToGrid w:val="0"/>
        </w:rPr>
        <w:tab/>
        <w:t>It is lawful for any person —</w:t>
      </w:r>
    </w:p>
    <w:p>
      <w:pPr>
        <w:pStyle w:val="Indenta"/>
        <w:rPr>
          <w:snapToGrid w:val="0"/>
        </w:rPr>
      </w:pPr>
      <w:r>
        <w:rPr>
          <w:snapToGrid w:val="0"/>
        </w:rPr>
        <w:tab/>
        <w:t>(a)</w:t>
      </w:r>
      <w:r>
        <w:rPr>
          <w:snapToGrid w:val="0"/>
        </w:rPr>
        <w:tab/>
        <w:t>To endeavour in good faith to show that the Sovereign has been mistaken in any of Her counsels; or</w:t>
      </w:r>
    </w:p>
    <w:p>
      <w:pPr>
        <w:pStyle w:val="Indenta"/>
        <w:keepLines/>
        <w:rPr>
          <w:snapToGrid w:val="0"/>
        </w:rPr>
      </w:pPr>
      <w:r>
        <w:rPr>
          <w:snapToGrid w:val="0"/>
        </w:rPr>
        <w:lastRenderedPageBreak/>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 or</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spacing w:before="240"/>
      </w:pPr>
      <w:bookmarkStart w:id="90" w:name="_Toc88662078"/>
      <w:r>
        <w:rPr>
          <w:rStyle w:val="CharSectno"/>
        </w:rPr>
        <w:t>46</w:t>
      </w:r>
      <w:r>
        <w:rPr>
          <w:snapToGrid w:val="0"/>
        </w:rPr>
        <w:t>.</w:t>
      </w:r>
      <w:r>
        <w:rPr>
          <w:snapToGrid w:val="0"/>
        </w:rPr>
        <w:tab/>
        <w:t xml:space="preserve">Terms used: </w:t>
      </w:r>
      <w:r>
        <w:rPr>
          <w:rStyle w:val="CharDefText"/>
          <w:b/>
          <w:bCs/>
          <w:i w:val="0"/>
          <w:iCs/>
        </w:rPr>
        <w:t>seditious enterprise</w:t>
      </w:r>
      <w:r>
        <w:t xml:space="preserve">, </w:t>
      </w:r>
      <w:r>
        <w:rPr>
          <w:rStyle w:val="CharDefText"/>
          <w:b/>
          <w:bCs/>
          <w:i w:val="0"/>
          <w:iCs/>
        </w:rPr>
        <w:t>seditious words</w:t>
      </w:r>
      <w:r>
        <w:t>, seditious writing</w:t>
      </w:r>
      <w:bookmarkEnd w:id="90"/>
    </w:p>
    <w:p>
      <w:pPr>
        <w:pStyle w:val="Subsection"/>
        <w:spacing w:before="120"/>
        <w:rPr>
          <w:snapToGrid w:val="0"/>
        </w:rPr>
      </w:pPr>
      <w:r>
        <w:rPr>
          <w:snapToGrid w:val="0"/>
        </w:rPr>
        <w:tab/>
      </w:r>
      <w:r>
        <w:rPr>
          <w:snapToGrid w:val="0"/>
        </w:rPr>
        <w:tab/>
        <w:t>A seditious enterprise is an enterprise which is undertaken in order to the carrying out of a seditious intention.</w:t>
      </w:r>
    </w:p>
    <w:p>
      <w:pPr>
        <w:pStyle w:val="Subsection"/>
        <w:spacing w:before="120"/>
        <w:rPr>
          <w:snapToGrid w:val="0"/>
        </w:rPr>
      </w:pPr>
      <w:r>
        <w:rPr>
          <w:snapToGrid w:val="0"/>
        </w:rPr>
        <w:tab/>
      </w:r>
      <w:r>
        <w:rPr>
          <w:snapToGrid w:val="0"/>
        </w:rPr>
        <w:tab/>
        <w:t>Seditious words are words expressive of a seditious intention.</w:t>
      </w:r>
    </w:p>
    <w:p>
      <w:pPr>
        <w:pStyle w:val="Subsection"/>
        <w:spacing w:before="120"/>
        <w:rPr>
          <w:snapToGrid w:val="0"/>
        </w:rPr>
      </w:pPr>
      <w:r>
        <w:rPr>
          <w:snapToGrid w:val="0"/>
        </w:rPr>
        <w:tab/>
      </w:r>
      <w:r>
        <w:rPr>
          <w:snapToGrid w:val="0"/>
        </w:rPr>
        <w:tab/>
        <w:t xml:space="preserve">The term </w:t>
      </w:r>
      <w:r>
        <w:rPr>
          <w:rStyle w:val="CharDefText"/>
        </w:rPr>
        <w:t>seditious writing</w:t>
      </w:r>
      <w:r>
        <w:rPr>
          <w:snapToGrid w:val="0"/>
        </w:rPr>
        <w:t xml:space="preserve"> includes anything intended to be read, and any sign or visible representation, which is expressive of a seditious intention.</w:t>
      </w:r>
    </w:p>
    <w:p>
      <w:pPr>
        <w:pStyle w:val="Heading5"/>
        <w:spacing w:before="240"/>
        <w:rPr>
          <w:snapToGrid w:val="0"/>
        </w:rPr>
      </w:pPr>
      <w:bookmarkStart w:id="91" w:name="_Toc88662079"/>
      <w:r>
        <w:rPr>
          <w:rStyle w:val="CharSectno"/>
        </w:rPr>
        <w:t>47</w:t>
      </w:r>
      <w:r>
        <w:rPr>
          <w:snapToGrid w:val="0"/>
        </w:rPr>
        <w:t>.</w:t>
      </w:r>
      <w:r>
        <w:rPr>
          <w:snapToGrid w:val="0"/>
        </w:rPr>
        <w:tab/>
        <w:t>Oath to kill person</w:t>
      </w:r>
      <w:bookmarkEnd w:id="91"/>
    </w:p>
    <w:p>
      <w:pPr>
        <w:pStyle w:val="Subsection"/>
        <w:spacing w:before="18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w:t>
      </w:r>
      <w:r>
        <w:t xml:space="preserve"> kill any person</w:t>
      </w:r>
      <w:r>
        <w:rPr>
          <w:snapToGrid w:val="0"/>
        </w:rPr>
        <w: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lastRenderedPageBreak/>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ind w:left="890" w:hanging="890"/>
      </w:pPr>
      <w:r>
        <w:tab/>
        <w:t>[Section 47 amended: No. 118 of 1981 s. 4; No. 52 of 1984 s. 10; No. 51 of 1992 s. 16(2); No. 29 of 2008 s. 16(1).]</w:t>
      </w:r>
    </w:p>
    <w:p>
      <w:pPr>
        <w:pStyle w:val="Heading5"/>
        <w:spacing w:before="180"/>
        <w:rPr>
          <w:snapToGrid w:val="0"/>
        </w:rPr>
      </w:pPr>
      <w:bookmarkStart w:id="92" w:name="_Toc88662080"/>
      <w:r>
        <w:rPr>
          <w:rStyle w:val="CharSectno"/>
        </w:rPr>
        <w:t>48</w:t>
      </w:r>
      <w:r>
        <w:rPr>
          <w:snapToGrid w:val="0"/>
        </w:rPr>
        <w:t>.</w:t>
      </w:r>
      <w:r>
        <w:rPr>
          <w:snapToGrid w:val="0"/>
        </w:rPr>
        <w:tab/>
        <w:t>Other unlawful oaths</w:t>
      </w:r>
      <w:bookmarkEnd w:id="92"/>
    </w:p>
    <w:p>
      <w:pPr>
        <w:pStyle w:val="Subsection"/>
        <w:keepNext/>
        <w:keepLines/>
        <w:spacing w:before="120"/>
        <w:rPr>
          <w:snapToGrid w:val="0"/>
        </w:rPr>
      </w:pPr>
      <w:r>
        <w:rPr>
          <w:snapToGrid w:val="0"/>
        </w:rPr>
        <w:tab/>
      </w:r>
      <w:r>
        <w:rPr>
          <w:snapToGrid w:val="0"/>
        </w:rPr>
        <w:tab/>
        <w:t>Any person who —</w:t>
      </w:r>
    </w:p>
    <w:p>
      <w:pPr>
        <w:pStyle w:val="Indenta"/>
        <w:spacing w:before="1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w:t>
      </w:r>
    </w:p>
    <w:p>
      <w:pPr>
        <w:pStyle w:val="Indenti"/>
        <w:rPr>
          <w:snapToGrid w:val="0"/>
        </w:rPr>
      </w:pPr>
      <w:r>
        <w:rPr>
          <w:snapToGrid w:val="0"/>
        </w:rPr>
        <w:tab/>
        <w:t>(a)</w:t>
      </w:r>
      <w:r>
        <w:rPr>
          <w:snapToGrid w:val="0"/>
        </w:rPr>
        <w:tab/>
        <w:t>To engage in any seditious enterprise;</w:t>
      </w:r>
    </w:p>
    <w:p>
      <w:pPr>
        <w:pStyle w:val="Indenti"/>
      </w:pPr>
      <w:r>
        <w:tab/>
        <w:t>(b)</w:t>
      </w:r>
      <w:r>
        <w:tab/>
        <w:t>To commit any indictable offence other than one entailing the killing of a person;</w:t>
      </w:r>
    </w:p>
    <w:p>
      <w:pPr>
        <w:pStyle w:val="Indenti"/>
        <w:rPr>
          <w:snapToGrid w:val="0"/>
        </w:rPr>
      </w:pPr>
      <w:r>
        <w:rPr>
          <w:snapToGrid w:val="0"/>
        </w:rPr>
        <w:tab/>
        <w:t>(c)</w:t>
      </w:r>
      <w:r>
        <w:rPr>
          <w:snapToGrid w:val="0"/>
        </w:rPr>
        <w:tab/>
        <w:t>To disturb the public peace;</w:t>
      </w:r>
    </w:p>
    <w:p>
      <w:pPr>
        <w:pStyle w:val="Indenti"/>
        <w:rPr>
          <w:snapToGrid w:val="0"/>
        </w:rPr>
      </w:pPr>
      <w:r>
        <w:rPr>
          <w:snapToGrid w:val="0"/>
        </w:rPr>
        <w:tab/>
        <w:t>(d)</w:t>
      </w:r>
      <w:r>
        <w:rPr>
          <w:snapToGrid w:val="0"/>
        </w:rPr>
        <w:tab/>
        <w:t>To be of any association, society, or confederacy formed for the purpose of doing any such act as aforesaid;</w:t>
      </w:r>
    </w:p>
    <w:p>
      <w:pPr>
        <w:pStyle w:val="Indenti"/>
        <w:rPr>
          <w:snapToGrid w:val="0"/>
        </w:rPr>
      </w:pPr>
      <w:r>
        <w:rPr>
          <w:snapToGrid w:val="0"/>
        </w:rPr>
        <w:tab/>
        <w:t>(e)</w:t>
      </w:r>
      <w:r>
        <w:rPr>
          <w:snapToGrid w:val="0"/>
        </w:rPr>
        <w:tab/>
        <w:t>To obey the orders or commands of any committee or body of men not lawfully constituted, or of any leader or commander or other person not having authority by law for that purpose;</w:t>
      </w:r>
    </w:p>
    <w:p>
      <w:pPr>
        <w:pStyle w:val="Indenti"/>
        <w:rPr>
          <w:snapToGrid w:val="0"/>
        </w:rPr>
      </w:pPr>
      <w:r>
        <w:rPr>
          <w:snapToGrid w:val="0"/>
        </w:rPr>
        <w:tab/>
        <w:t>(f)</w:t>
      </w:r>
      <w:r>
        <w:rPr>
          <w:snapToGrid w:val="0"/>
        </w:rPr>
        <w:tab/>
        <w:t>Not to inform or give evidence against any associate, confederate, or other person;</w:t>
      </w:r>
    </w:p>
    <w:p>
      <w:pPr>
        <w:pStyle w:val="Indenti"/>
        <w:rPr>
          <w:snapToGrid w:val="0"/>
        </w:rPr>
      </w:pPr>
      <w:r>
        <w:rPr>
          <w:snapToGrid w:val="0"/>
        </w:rPr>
        <w:tab/>
        <w:t>(g)</w:t>
      </w:r>
      <w:r>
        <w:rPr>
          <w:snapToGrid w:val="0"/>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40"/>
        <w:rPr>
          <w:snapToGrid w:val="0"/>
        </w:rPr>
      </w:pPr>
      <w:r>
        <w:rPr>
          <w:snapToGrid w:val="0"/>
        </w:rPr>
        <w:tab/>
      </w:r>
      <w:r>
        <w:rPr>
          <w:snapToGrid w:val="0"/>
        </w:rPr>
        <w:tab/>
        <w:t>or</w:t>
      </w:r>
    </w:p>
    <w:p>
      <w:pPr>
        <w:pStyle w:val="Indenta"/>
        <w:spacing w:before="160"/>
        <w:rPr>
          <w:snapToGrid w:val="0"/>
        </w:rPr>
      </w:pPr>
      <w:r>
        <w:rPr>
          <w:snapToGrid w:val="0"/>
        </w:rPr>
        <w:lastRenderedPageBreak/>
        <w:tab/>
        <w:t>(2)</w:t>
      </w:r>
      <w:r>
        <w:rPr>
          <w:snapToGrid w:val="0"/>
        </w:rPr>
        <w:tab/>
        <w:t>Takes any such oath or engagement, not being compelled to do so; or</w:t>
      </w:r>
    </w:p>
    <w:p>
      <w:pPr>
        <w:pStyle w:val="Indenta"/>
        <w:keepNext/>
        <w:spacing w:before="160"/>
        <w:rPr>
          <w:snapToGrid w:val="0"/>
        </w:rPr>
      </w:pPr>
      <w:r>
        <w:rPr>
          <w:snapToGrid w:val="0"/>
        </w:rPr>
        <w:tab/>
        <w:t>(3)</w:t>
      </w:r>
      <w:r>
        <w:rPr>
          <w:snapToGrid w:val="0"/>
        </w:rPr>
        <w:tab/>
        <w:t>Attempts to induce any person to take any such oath or engagement;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48 amended: No. 52 of 1984 s. 11; No. 70 of 1988 s. 8(2); No. 51 of 1992 s. 16(2); No. 29 of 2008 s. 16(2).]</w:t>
      </w:r>
    </w:p>
    <w:p>
      <w:pPr>
        <w:pStyle w:val="Heading5"/>
        <w:spacing w:before="240"/>
        <w:rPr>
          <w:snapToGrid w:val="0"/>
        </w:rPr>
      </w:pPr>
      <w:bookmarkStart w:id="93" w:name="_Toc88662081"/>
      <w:r>
        <w:rPr>
          <w:rStyle w:val="CharSectno"/>
        </w:rPr>
        <w:t>49</w:t>
      </w:r>
      <w:r>
        <w:rPr>
          <w:snapToGrid w:val="0"/>
        </w:rPr>
        <w:t>.</w:t>
      </w:r>
      <w:r>
        <w:rPr>
          <w:snapToGrid w:val="0"/>
        </w:rPr>
        <w:tab/>
        <w:t>Compulsion, how far a defence to s. 47 and 48</w:t>
      </w:r>
      <w:bookmarkEnd w:id="93"/>
    </w:p>
    <w:p>
      <w:pPr>
        <w:pStyle w:val="Subsection"/>
        <w:spacing w:before="180"/>
        <w:rPr>
          <w:snapToGrid w:val="0"/>
        </w:rPr>
      </w:pPr>
      <w:r>
        <w:rPr>
          <w:snapToGrid w:val="0"/>
        </w:rPr>
        <w:tab/>
      </w:r>
      <w:r>
        <w:rPr>
          <w:snapToGrid w:val="0"/>
        </w:rPr>
        <w:tab/>
        <w:t xml:space="preserve">A person who takes any such oath or engagement as is mentioned in </w:t>
      </w:r>
      <w:r>
        <w:t xml:space="preserve">sections 47 and 48 </w:t>
      </w:r>
      <w:r>
        <w:rPr>
          <w:snapToGrid w:val="0"/>
        </w:rPr>
        <w:t>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Footnotesection"/>
        <w:ind w:left="890" w:hanging="890"/>
      </w:pPr>
      <w:r>
        <w:tab/>
        <w:t>[Section 49 amended: No. 44 of 2009 s. 12.]</w:t>
      </w:r>
    </w:p>
    <w:p>
      <w:pPr>
        <w:pStyle w:val="Ednotesection"/>
        <w:spacing w:before="240"/>
        <w:ind w:left="890" w:hanging="890"/>
      </w:pPr>
      <w:r>
        <w:t>[</w:t>
      </w:r>
      <w:r>
        <w:rPr>
          <w:b/>
        </w:rPr>
        <w:t>50</w:t>
      </w:r>
      <w:r>
        <w:rPr>
          <w:b/>
          <w:bCs/>
        </w:rPr>
        <w:t>.</w:t>
      </w:r>
      <w:r>
        <w:tab/>
        <w:t>Deleted: No. 70 of 1988 s. 8(1).]</w:t>
      </w:r>
    </w:p>
    <w:p>
      <w:pPr>
        <w:pStyle w:val="Heading5"/>
        <w:spacing w:before="240"/>
        <w:rPr>
          <w:snapToGrid w:val="0"/>
        </w:rPr>
      </w:pPr>
      <w:bookmarkStart w:id="94" w:name="_Toc88662082"/>
      <w:r>
        <w:rPr>
          <w:rStyle w:val="CharSectno"/>
        </w:rPr>
        <w:t>51</w:t>
      </w:r>
      <w:r>
        <w:rPr>
          <w:snapToGrid w:val="0"/>
        </w:rPr>
        <w:t>.</w:t>
      </w:r>
      <w:r>
        <w:rPr>
          <w:snapToGrid w:val="0"/>
        </w:rPr>
        <w:tab/>
        <w:t>Unlawful military activities</w:t>
      </w:r>
      <w:bookmarkEnd w:id="94"/>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 xml:space="preserve">Is present at any meeting or assembly of persons held in contravention of the directions of any such proclamation, for the purpose of there training or drilling </w:t>
      </w:r>
      <w:r>
        <w:rPr>
          <w:snapToGrid w:val="0"/>
        </w:rPr>
        <w:lastRenderedPageBreak/>
        <w:t>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ind w:left="890" w:hanging="890"/>
      </w:pPr>
      <w:r>
        <w:tab/>
        <w:t>[Section 51 amended: No. 119 of 1985 s. 30; No. 51 of 1992 s. 16(2); No. 70 of 2004 s. 34(1).]</w:t>
      </w:r>
    </w:p>
    <w:p>
      <w:pPr>
        <w:pStyle w:val="Heading5"/>
        <w:spacing w:before="240"/>
        <w:rPr>
          <w:snapToGrid w:val="0"/>
        </w:rPr>
      </w:pPr>
      <w:bookmarkStart w:id="95" w:name="_Toc88662083"/>
      <w:r>
        <w:rPr>
          <w:rStyle w:val="CharSectno"/>
        </w:rPr>
        <w:t>52</w:t>
      </w:r>
      <w:r>
        <w:rPr>
          <w:snapToGrid w:val="0"/>
        </w:rPr>
        <w:t>.</w:t>
      </w:r>
      <w:r>
        <w:rPr>
          <w:snapToGrid w:val="0"/>
        </w:rPr>
        <w:tab/>
        <w:t>Sedition</w:t>
      </w:r>
      <w:bookmarkEnd w:id="95"/>
    </w:p>
    <w:p>
      <w:pPr>
        <w:pStyle w:val="Subsection"/>
        <w:spacing w:before="18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spacing w:before="180"/>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spacing w:before="180"/>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No. 70 of 1988 s. 31; No. 51 of 1992 s. 16(2); No. 70 of 2004 s. 34(1); No. 84 of 2004 s. 27(1).]</w:t>
      </w:r>
    </w:p>
    <w:p>
      <w:pPr>
        <w:pStyle w:val="Ednotesection"/>
      </w:pPr>
      <w:r>
        <w:t>[</w:t>
      </w:r>
      <w:r>
        <w:rPr>
          <w:b/>
          <w:bCs/>
        </w:rPr>
        <w:t>53.</w:t>
      </w:r>
      <w:r>
        <w:tab/>
        <w:t>Deleted: No. 44 of 2005 s. 47.]</w:t>
      </w:r>
    </w:p>
    <w:p>
      <w:pPr>
        <w:pStyle w:val="Heading3"/>
        <w:keepNext w:val="0"/>
        <w:pageBreakBefore/>
        <w:spacing w:before="0"/>
        <w:rPr>
          <w:snapToGrid w:val="0"/>
        </w:rPr>
      </w:pPr>
      <w:bookmarkStart w:id="96" w:name="_Toc88569641"/>
      <w:bookmarkStart w:id="97" w:name="_Toc88570163"/>
      <w:bookmarkStart w:id="98" w:name="_Toc88570685"/>
      <w:bookmarkStart w:id="99" w:name="_Toc88662084"/>
      <w:r>
        <w:rPr>
          <w:rStyle w:val="CharDivNo"/>
        </w:rPr>
        <w:lastRenderedPageBreak/>
        <w:t>Chapter VIII</w:t>
      </w:r>
      <w:r>
        <w:rPr>
          <w:snapToGrid w:val="0"/>
        </w:rPr>
        <w:t> — </w:t>
      </w:r>
      <w:r>
        <w:rPr>
          <w:rStyle w:val="CharDivText"/>
        </w:rPr>
        <w:t>Offences against the executive and legislative power</w:t>
      </w:r>
      <w:bookmarkEnd w:id="96"/>
      <w:bookmarkEnd w:id="97"/>
      <w:bookmarkEnd w:id="98"/>
      <w:bookmarkEnd w:id="99"/>
    </w:p>
    <w:p>
      <w:pPr>
        <w:pStyle w:val="Heading5"/>
        <w:rPr>
          <w:snapToGrid w:val="0"/>
        </w:rPr>
      </w:pPr>
      <w:bookmarkStart w:id="100" w:name="_Toc88662085"/>
      <w:r>
        <w:rPr>
          <w:rStyle w:val="CharSectno"/>
        </w:rPr>
        <w:t>54</w:t>
      </w:r>
      <w:r>
        <w:rPr>
          <w:snapToGrid w:val="0"/>
        </w:rPr>
        <w:t>.</w:t>
      </w:r>
      <w:r>
        <w:rPr>
          <w:snapToGrid w:val="0"/>
        </w:rPr>
        <w:tab/>
        <w:t>Interfering with Governor or Ministers</w:t>
      </w:r>
      <w:bookmarkEnd w:id="100"/>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spacing w:before="160"/>
        <w:rPr>
          <w:snapToGrid w:val="0"/>
        </w:rPr>
      </w:pPr>
      <w:r>
        <w:tab/>
        <w:t>Summary conviction penalty: imprisonment for 2 years and a fine of $24 000.</w:t>
      </w:r>
    </w:p>
    <w:p>
      <w:pPr>
        <w:pStyle w:val="Footnotesection"/>
        <w:ind w:left="890" w:hanging="890"/>
      </w:pPr>
      <w:r>
        <w:tab/>
        <w:t>[Section 54 amended: No. 70 of 1988 s. 9; No. 82 of 1994 s. 12; No. 70 of 2004 s. 34(1) and 35(2).]</w:t>
      </w:r>
    </w:p>
    <w:p>
      <w:pPr>
        <w:pStyle w:val="Heading5"/>
        <w:spacing w:before="240"/>
        <w:rPr>
          <w:snapToGrid w:val="0"/>
        </w:rPr>
      </w:pPr>
      <w:bookmarkStart w:id="101" w:name="_Toc88662086"/>
      <w:r>
        <w:rPr>
          <w:rStyle w:val="CharSectno"/>
        </w:rPr>
        <w:t>55</w:t>
      </w:r>
      <w:r>
        <w:rPr>
          <w:snapToGrid w:val="0"/>
        </w:rPr>
        <w:t>.</w:t>
      </w:r>
      <w:r>
        <w:rPr>
          <w:snapToGrid w:val="0"/>
        </w:rPr>
        <w:tab/>
        <w:t>Interfering with legislature</w:t>
      </w:r>
      <w:bookmarkEnd w:id="101"/>
    </w:p>
    <w:p>
      <w:pPr>
        <w:pStyle w:val="Subsection"/>
        <w:spacing w:before="180"/>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spacing w:before="120"/>
      </w:pPr>
      <w:r>
        <w:tab/>
        <w:t>Summary conviction penalty: imprisonment for 2 years and a fine of $24 000.</w:t>
      </w:r>
    </w:p>
    <w:p>
      <w:pPr>
        <w:pStyle w:val="Footnotesection"/>
        <w:keepLines w:val="0"/>
      </w:pPr>
      <w:r>
        <w:tab/>
        <w:t>[Section 55 amended: No. 70 of 1988 s. 9; No. 82 of 1994 s. 12; No. 70 of 2004 s. 34(1) and 35(2).]</w:t>
      </w:r>
    </w:p>
    <w:p>
      <w:pPr>
        <w:pStyle w:val="Heading5"/>
        <w:spacing w:before="240"/>
        <w:rPr>
          <w:snapToGrid w:val="0"/>
        </w:rPr>
      </w:pPr>
      <w:bookmarkStart w:id="102" w:name="_Toc88662087"/>
      <w:r>
        <w:rPr>
          <w:rStyle w:val="CharSectno"/>
        </w:rPr>
        <w:lastRenderedPageBreak/>
        <w:t>56</w:t>
      </w:r>
      <w:r>
        <w:rPr>
          <w:snapToGrid w:val="0"/>
        </w:rPr>
        <w:t>.</w:t>
      </w:r>
      <w:r>
        <w:rPr>
          <w:snapToGrid w:val="0"/>
        </w:rPr>
        <w:tab/>
        <w:t>Disturbing Parliament</w:t>
      </w:r>
      <w:bookmarkEnd w:id="102"/>
    </w:p>
    <w:p>
      <w:pPr>
        <w:pStyle w:val="Subsection"/>
        <w:keepNext/>
        <w:spacing w:before="180"/>
        <w:rPr>
          <w:snapToGrid w:val="0"/>
        </w:rPr>
      </w:pPr>
      <w:r>
        <w:rPr>
          <w:snapToGrid w:val="0"/>
        </w:rPr>
        <w:tab/>
      </w:r>
      <w:r>
        <w:rPr>
          <w:snapToGrid w:val="0"/>
        </w:rPr>
        <w:tab/>
        <w:t>Any person who —</w:t>
      </w:r>
    </w:p>
    <w:p>
      <w:pPr>
        <w:pStyle w:val="Indenta"/>
        <w:spacing w:before="120"/>
        <w:rPr>
          <w:snapToGrid w:val="0"/>
        </w:rPr>
      </w:pPr>
      <w:r>
        <w:rPr>
          <w:snapToGrid w:val="0"/>
        </w:rPr>
        <w:tab/>
        <w:t>(1)</w:t>
      </w:r>
      <w:r>
        <w:rPr>
          <w:snapToGrid w:val="0"/>
        </w:rPr>
        <w:tab/>
        <w:t>Does any act calculated to disturb either House of Parliament while in session; or</w:t>
      </w:r>
    </w:p>
    <w:p>
      <w:pPr>
        <w:pStyle w:val="Indenta"/>
        <w:keepLines/>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keepLines/>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No. 70 of 1988 s. 10; No. 70 of 2004 s. 34(1) and 35(1).]</w:t>
      </w:r>
    </w:p>
    <w:p>
      <w:pPr>
        <w:pStyle w:val="Heading5"/>
        <w:rPr>
          <w:snapToGrid w:val="0"/>
        </w:rPr>
      </w:pPr>
      <w:bookmarkStart w:id="103" w:name="_Toc88662088"/>
      <w:r>
        <w:rPr>
          <w:rStyle w:val="CharSectno"/>
        </w:rPr>
        <w:t>57</w:t>
      </w:r>
      <w:r>
        <w:rPr>
          <w:snapToGrid w:val="0"/>
        </w:rPr>
        <w:t>.</w:t>
      </w:r>
      <w:r>
        <w:rPr>
          <w:snapToGrid w:val="0"/>
        </w:rPr>
        <w:tab/>
        <w:t>False evidence before Parliament</w:t>
      </w:r>
      <w:bookmarkEnd w:id="103"/>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No. 119 of 1985 s. 30; No. 70 of 1988 s. 31; No. 51 of 1992 s. 16(2).]</w:t>
      </w:r>
    </w:p>
    <w:p>
      <w:pPr>
        <w:pStyle w:val="Heading5"/>
        <w:rPr>
          <w:snapToGrid w:val="0"/>
        </w:rPr>
      </w:pPr>
      <w:bookmarkStart w:id="104" w:name="_Toc88662089"/>
      <w:r>
        <w:rPr>
          <w:rStyle w:val="CharSectno"/>
        </w:rPr>
        <w:t>58</w:t>
      </w:r>
      <w:r>
        <w:rPr>
          <w:snapToGrid w:val="0"/>
        </w:rPr>
        <w:t>.</w:t>
      </w:r>
      <w:r>
        <w:rPr>
          <w:snapToGrid w:val="0"/>
        </w:rPr>
        <w:tab/>
        <w:t>Threatening witness before Parliament</w:t>
      </w:r>
      <w:bookmarkEnd w:id="104"/>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 xml:space="preserve">Threatens, or in any way punishes, damnifies, or injures, or attempts to punish, damnify, or injure any other </w:t>
      </w:r>
      <w:r>
        <w:rPr>
          <w:snapToGrid w:val="0"/>
        </w:rPr>
        <w:lastRenderedPageBreak/>
        <w:t>person for having given such evidence, or on account of the evidence which he has given, unless such evidence was given in bad faith;</w:t>
      </w:r>
    </w:p>
    <w:p>
      <w:pPr>
        <w:pStyle w:val="Subsection"/>
        <w:spacing w:before="120"/>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No. 70 of 1988 s. 11; No. 51 of 1992 s. 16(2); No. 82 of 1994 s. 12; No. 70 of 2004 s. 35(2).]</w:t>
      </w:r>
    </w:p>
    <w:p>
      <w:pPr>
        <w:pStyle w:val="Heading5"/>
        <w:keepNext w:val="0"/>
        <w:keepLines w:val="0"/>
        <w:spacing w:before="180"/>
        <w:rPr>
          <w:snapToGrid w:val="0"/>
        </w:rPr>
      </w:pPr>
      <w:bookmarkStart w:id="105" w:name="_Toc88662090"/>
      <w:r>
        <w:rPr>
          <w:rStyle w:val="CharSectno"/>
        </w:rPr>
        <w:t>59</w:t>
      </w:r>
      <w:r>
        <w:rPr>
          <w:snapToGrid w:val="0"/>
        </w:rPr>
        <w:t>.</w:t>
      </w:r>
      <w:r>
        <w:rPr>
          <w:snapToGrid w:val="0"/>
        </w:rPr>
        <w:tab/>
        <w:t>Witness not attending or giving evidence before Parliament</w:t>
      </w:r>
      <w:bookmarkEnd w:id="105"/>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spacing w:before="60"/>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spacing w:before="120"/>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ind w:left="890" w:hanging="890"/>
      </w:pPr>
      <w:r>
        <w:tab/>
        <w:t>[Section 59 amended: No. 70 of 1988 s. 12; No. 82 of 1994 s. 12; No. 70 of 2004 s. 35(4).]</w:t>
      </w:r>
    </w:p>
    <w:p>
      <w:pPr>
        <w:pStyle w:val="Heading5"/>
        <w:keepNext w:val="0"/>
        <w:keepLines w:val="0"/>
        <w:spacing w:before="180"/>
        <w:rPr>
          <w:snapToGrid w:val="0"/>
        </w:rPr>
      </w:pPr>
      <w:bookmarkStart w:id="106" w:name="_Toc88662091"/>
      <w:r>
        <w:rPr>
          <w:rStyle w:val="CharSectno"/>
        </w:rPr>
        <w:t>60</w:t>
      </w:r>
      <w:r>
        <w:rPr>
          <w:snapToGrid w:val="0"/>
        </w:rPr>
        <w:t>.</w:t>
      </w:r>
      <w:r>
        <w:rPr>
          <w:snapToGrid w:val="0"/>
        </w:rPr>
        <w:tab/>
        <w:t>Member of Parliament receiving bribe</w:t>
      </w:r>
      <w:bookmarkEnd w:id="106"/>
    </w:p>
    <w:p>
      <w:pPr>
        <w:pStyle w:val="Subsection"/>
        <w:spacing w:before="120"/>
        <w:rPr>
          <w:snapToGrid w:val="0"/>
        </w:rPr>
      </w:pPr>
      <w:r>
        <w:rPr>
          <w:snapToGrid w:val="0"/>
        </w:rPr>
        <w:tab/>
      </w:r>
      <w:r>
        <w:rPr>
          <w:snapToGrid w:val="0"/>
        </w:rPr>
        <w:tab/>
        <w:t xml:space="preserve">Any person who, being a member of either House of Parliament, asks, receives, or obtains, or agrees or attempts to receive or </w:t>
      </w:r>
      <w:r>
        <w:rPr>
          <w:snapToGrid w:val="0"/>
        </w:rPr>
        <w:lastRenderedPageBreak/>
        <w:t>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ind w:left="890" w:hanging="890"/>
      </w:pPr>
      <w:r>
        <w:tab/>
        <w:t>[Section 60 amended: No. 119 of 1985 s. 30; No. 70 of 1988 s. 13; No. 51 of 1992 s. 16(2).]</w:t>
      </w:r>
    </w:p>
    <w:p>
      <w:pPr>
        <w:pStyle w:val="Heading5"/>
        <w:rPr>
          <w:snapToGrid w:val="0"/>
        </w:rPr>
      </w:pPr>
      <w:bookmarkStart w:id="107" w:name="_Toc88662092"/>
      <w:r>
        <w:rPr>
          <w:rStyle w:val="CharSectno"/>
        </w:rPr>
        <w:t>61</w:t>
      </w:r>
      <w:r>
        <w:rPr>
          <w:snapToGrid w:val="0"/>
        </w:rPr>
        <w:t>.</w:t>
      </w:r>
      <w:r>
        <w:rPr>
          <w:snapToGrid w:val="0"/>
        </w:rPr>
        <w:tab/>
        <w:t>Bribery of member of Parliament</w:t>
      </w:r>
      <w:bookmarkEnd w:id="107"/>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keepLines/>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Lines/>
        <w:rPr>
          <w:snapToGrid w:val="0"/>
        </w:rPr>
      </w:pPr>
      <w:r>
        <w:rPr>
          <w:snapToGrid w:val="0"/>
        </w:rPr>
        <w:tab/>
      </w:r>
      <w:r>
        <w:rPr>
          <w:snapToGrid w:val="0"/>
        </w:rPr>
        <w:tab/>
        <w:t>is guilty of a crime, and is liable to imprisonment for 7 years.</w:t>
      </w:r>
    </w:p>
    <w:p>
      <w:pPr>
        <w:pStyle w:val="Footnotesection"/>
        <w:keepLines w:val="0"/>
        <w:spacing w:before="80"/>
        <w:ind w:left="890" w:hanging="890"/>
      </w:pPr>
      <w:r>
        <w:tab/>
        <w:t>[Section 61 amended: No. 119 of 1985 s. 30; No. 70 of 1988 s. 14; No. 51 of 1992 s. 16(2).]</w:t>
      </w:r>
    </w:p>
    <w:p>
      <w:pPr>
        <w:pStyle w:val="Heading3"/>
        <w:keepNext w:val="0"/>
        <w:pageBreakBefore/>
        <w:spacing w:before="0"/>
        <w:rPr>
          <w:snapToGrid w:val="0"/>
        </w:rPr>
      </w:pPr>
      <w:bookmarkStart w:id="108" w:name="_Toc88569650"/>
      <w:bookmarkStart w:id="109" w:name="_Toc88570172"/>
      <w:bookmarkStart w:id="110" w:name="_Toc88570694"/>
      <w:bookmarkStart w:id="111" w:name="_Toc88662093"/>
      <w:r>
        <w:rPr>
          <w:rStyle w:val="CharDivNo"/>
        </w:rPr>
        <w:lastRenderedPageBreak/>
        <w:t>Chapter IX</w:t>
      </w:r>
      <w:r>
        <w:rPr>
          <w:snapToGrid w:val="0"/>
        </w:rPr>
        <w:t> — </w:t>
      </w:r>
      <w:r>
        <w:rPr>
          <w:rStyle w:val="CharDivText"/>
        </w:rPr>
        <w:t>Unlawful assemblies: Breaches of the peace</w:t>
      </w:r>
      <w:bookmarkEnd w:id="108"/>
      <w:bookmarkEnd w:id="109"/>
      <w:bookmarkEnd w:id="110"/>
      <w:bookmarkEnd w:id="111"/>
    </w:p>
    <w:p>
      <w:pPr>
        <w:pStyle w:val="Heading5"/>
        <w:rPr>
          <w:snapToGrid w:val="0"/>
        </w:rPr>
      </w:pPr>
      <w:bookmarkStart w:id="112" w:name="_Toc88662094"/>
      <w:r>
        <w:rPr>
          <w:rStyle w:val="CharSectno"/>
        </w:rPr>
        <w:t>62</w:t>
      </w:r>
      <w:r>
        <w:rPr>
          <w:snapToGrid w:val="0"/>
        </w:rPr>
        <w:t>.</w:t>
      </w:r>
      <w:r>
        <w:rPr>
          <w:snapToGrid w:val="0"/>
        </w:rPr>
        <w:tab/>
        <w:t xml:space="preserve">Terms used: </w:t>
      </w:r>
      <w:r>
        <w:rPr>
          <w:rStyle w:val="CharDefText"/>
          <w:b/>
          <w:bCs/>
          <w:i w:val="0"/>
        </w:rPr>
        <w:t>unlawful assembly</w:t>
      </w:r>
      <w:r>
        <w:rPr>
          <w:snapToGrid w:val="0"/>
        </w:rPr>
        <w:t xml:space="preserve">, </w:t>
      </w:r>
      <w:r>
        <w:rPr>
          <w:rStyle w:val="CharDefText"/>
          <w:b/>
          <w:bCs/>
          <w:i w:val="0"/>
        </w:rPr>
        <w:t>riot</w:t>
      </w:r>
      <w:r>
        <w:t>,</w:t>
      </w:r>
      <w:r>
        <w:rPr>
          <w:i/>
          <w:iCs/>
        </w:rPr>
        <w:t xml:space="preserve"> </w:t>
      </w:r>
      <w:r>
        <w:rPr>
          <w:rStyle w:val="CharDefText"/>
          <w:b/>
          <w:i w:val="0"/>
          <w:iCs/>
        </w:rPr>
        <w:t>riotously assembled</w:t>
      </w:r>
      <w:bookmarkEnd w:id="112"/>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No. 4 of 2004 s. 7.]</w:t>
      </w:r>
    </w:p>
    <w:p>
      <w:pPr>
        <w:pStyle w:val="Heading5"/>
      </w:pPr>
      <w:bookmarkStart w:id="113" w:name="_Toc88662095"/>
      <w:r>
        <w:rPr>
          <w:rStyle w:val="CharSectno"/>
        </w:rPr>
        <w:t>63</w:t>
      </w:r>
      <w:r>
        <w:t>.</w:t>
      </w:r>
      <w:r>
        <w:tab/>
        <w:t>Taking part in an unlawful assembly</w:t>
      </w:r>
      <w:bookmarkEnd w:id="113"/>
    </w:p>
    <w:p>
      <w:pPr>
        <w:pStyle w:val="Subsection"/>
      </w:pPr>
      <w:r>
        <w:tab/>
      </w:r>
      <w:r>
        <w:tab/>
        <w:t>Any person who takes part in an unlawful assembly is guilty of an offence and is liable to imprisonment for 12 months and a fine of $12 000.</w:t>
      </w:r>
    </w:p>
    <w:p>
      <w:pPr>
        <w:pStyle w:val="Footnotesection"/>
      </w:pPr>
      <w:r>
        <w:tab/>
        <w:t>[Section 63 inserted: No. 70 of 2004 s. 5.]</w:t>
      </w:r>
    </w:p>
    <w:p>
      <w:pPr>
        <w:pStyle w:val="Heading5"/>
        <w:keepLines w:val="0"/>
      </w:pPr>
      <w:bookmarkStart w:id="114" w:name="_Toc88662096"/>
      <w:r>
        <w:rPr>
          <w:rStyle w:val="CharSectno"/>
        </w:rPr>
        <w:t>64</w:t>
      </w:r>
      <w:r>
        <w:t>.</w:t>
      </w:r>
      <w:r>
        <w:tab/>
        <w:t>Unlawful assembly may be ordered to disperse</w:t>
      </w:r>
      <w:bookmarkEnd w:id="114"/>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lastRenderedPageBreak/>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No. 70 of 2004 s. 5.]</w:t>
      </w:r>
    </w:p>
    <w:p>
      <w:pPr>
        <w:pStyle w:val="Heading5"/>
        <w:spacing w:before="180"/>
      </w:pPr>
      <w:bookmarkStart w:id="115" w:name="_Toc88662097"/>
      <w:r>
        <w:rPr>
          <w:rStyle w:val="CharSectno"/>
        </w:rPr>
        <w:t>65</w:t>
      </w:r>
      <w:r>
        <w:t>.</w:t>
      </w:r>
      <w:r>
        <w:tab/>
        <w:t>Taking part in riot</w:t>
      </w:r>
      <w:bookmarkEnd w:id="115"/>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No. 70 of 2004 s. 5.]</w:t>
      </w:r>
    </w:p>
    <w:p>
      <w:pPr>
        <w:pStyle w:val="Heading5"/>
        <w:spacing w:before="180"/>
      </w:pPr>
      <w:bookmarkStart w:id="116" w:name="_Toc88662098"/>
      <w:r>
        <w:rPr>
          <w:rStyle w:val="CharSectno"/>
        </w:rPr>
        <w:t>66</w:t>
      </w:r>
      <w:r>
        <w:t>.</w:t>
      </w:r>
      <w:r>
        <w:tab/>
        <w:t>Rioters may be ordered to disperse</w:t>
      </w:r>
      <w:bookmarkEnd w:id="116"/>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spacing w:before="120"/>
      </w:pPr>
      <w:r>
        <w:tab/>
        <w:t>(4)</w:t>
      </w:r>
      <w:r>
        <w:tab/>
        <w:t>If 12 or more persons are riotously assembled, each person who continues to be so assembled knowing that a person has been forcibly prevented from ordering them to disperse is guilty of a crime.</w:t>
      </w:r>
    </w:p>
    <w:p>
      <w:pPr>
        <w:pStyle w:val="Subsection"/>
        <w:keepNext/>
        <w:spacing w:before="120"/>
      </w:pPr>
      <w:r>
        <w:tab/>
        <w:t>(5)</w:t>
      </w:r>
      <w:r>
        <w:tab/>
        <w:t>A person who is guilty of a crime under this section is liable to imprisonment for 10 years.</w:t>
      </w:r>
    </w:p>
    <w:p>
      <w:pPr>
        <w:pStyle w:val="Footnotesection"/>
      </w:pPr>
      <w:r>
        <w:tab/>
        <w:t>[Section 66 inserted: No. 70 of 2004 s. 5.]</w:t>
      </w:r>
    </w:p>
    <w:p>
      <w:pPr>
        <w:pStyle w:val="Heading5"/>
        <w:keepNext w:val="0"/>
        <w:keepLines w:val="0"/>
        <w:spacing w:before="180"/>
      </w:pPr>
      <w:bookmarkStart w:id="117" w:name="_Toc88662099"/>
      <w:r>
        <w:rPr>
          <w:rStyle w:val="CharSectno"/>
        </w:rPr>
        <w:t>67</w:t>
      </w:r>
      <w:r>
        <w:t>.</w:t>
      </w:r>
      <w:r>
        <w:tab/>
        <w:t>Rioters causing damage</w:t>
      </w:r>
      <w:bookmarkEnd w:id="117"/>
    </w:p>
    <w:p>
      <w:pPr>
        <w:pStyle w:val="Subsection"/>
        <w:spacing w:before="120"/>
      </w:pPr>
      <w:r>
        <w:tab/>
        <w:t>(1)</w:t>
      </w:r>
      <w:r>
        <w:tab/>
        <w:t xml:space="preserve">If as a result of persons being riotously assembled any property is unlawfully destroyed or damaged, each person among those </w:t>
      </w:r>
      <w:r>
        <w:lastRenderedPageBreak/>
        <w:t>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No. 70 of 2004 s. 5.]</w:t>
      </w:r>
    </w:p>
    <w:p>
      <w:pPr>
        <w:pStyle w:val="Heading5"/>
      </w:pPr>
      <w:bookmarkStart w:id="118" w:name="_Toc88662100"/>
      <w:r>
        <w:rPr>
          <w:rStyle w:val="CharSectno"/>
        </w:rPr>
        <w:t>68A</w:t>
      </w:r>
      <w:r>
        <w:t>.</w:t>
      </w:r>
      <w:r>
        <w:tab/>
        <w:t>Provisions about lawful excuses under s. 68B, 68C, 68D and 68E</w:t>
      </w:r>
      <w:bookmarkEnd w:id="118"/>
    </w:p>
    <w:p>
      <w:pPr>
        <w:pStyle w:val="Subsection"/>
      </w:pPr>
      <w:r>
        <w:tab/>
        <w:t>(1)</w:t>
      </w:r>
      <w:r>
        <w:tab/>
        <w:t>In a prosecution for an offence under section 68B, 68C, 68D or 68E, the accused has the onus of proving that the accused had a lawful excuse.</w:t>
      </w:r>
    </w:p>
    <w:p>
      <w:pPr>
        <w:pStyle w:val="Subsection"/>
      </w:pPr>
      <w:r>
        <w:tab/>
        <w:t>(2)</w:t>
      </w:r>
      <w:r>
        <w:tab/>
        <w:t>In sections 68B, 68C and 68D, being armed for defence is not a lawful excuse unless the person —</w:t>
      </w:r>
    </w:p>
    <w:p>
      <w:pPr>
        <w:pStyle w:val="Indenta"/>
      </w:pPr>
      <w:r>
        <w:tab/>
        <w:t>(a)</w:t>
      </w:r>
      <w:r>
        <w:tab/>
        <w:t>has reasonable grounds to apprehend that circumstances necessitating defence may arise; and</w:t>
      </w:r>
    </w:p>
    <w:p>
      <w:pPr>
        <w:pStyle w:val="Indenta"/>
      </w:pPr>
      <w:r>
        <w:tab/>
        <w:t>(b)</w:t>
      </w:r>
      <w:r>
        <w:tab/>
        <w:t>is armed only for defence; and</w:t>
      </w:r>
    </w:p>
    <w:p>
      <w:pPr>
        <w:pStyle w:val="Indenta"/>
      </w:pPr>
      <w:r>
        <w:tab/>
        <w:t>(c)</w:t>
      </w:r>
      <w:r>
        <w:tab/>
        <w:t>is armed only —</w:t>
      </w:r>
    </w:p>
    <w:p>
      <w:pPr>
        <w:pStyle w:val="Indenti"/>
      </w:pPr>
      <w:r>
        <w:tab/>
        <w:t>(i)</w:t>
      </w:r>
      <w:r>
        <w:tab/>
        <w:t>with a weapon or instrument the sole purpose of which is to spray oleoresin capsicum; or</w:t>
      </w:r>
    </w:p>
    <w:p>
      <w:pPr>
        <w:pStyle w:val="Indenti"/>
      </w:pPr>
      <w:r>
        <w:tab/>
        <w:t>(ii)</w:t>
      </w:r>
      <w:r>
        <w:tab/>
        <w:t>with a briefcase or suitcase that is commercially designed and made to discharge an electric current so as to deter the theft of the case.</w:t>
      </w:r>
    </w:p>
    <w:p>
      <w:pPr>
        <w:pStyle w:val="Subsection"/>
      </w:pPr>
      <w:r>
        <w:tab/>
        <w:t>(3)</w:t>
      </w:r>
      <w:r>
        <w:tab/>
        <w:t>In sections 68B, 68C and 68D, lawful excuse includes the following —</w:t>
      </w:r>
    </w:p>
    <w:p>
      <w:pPr>
        <w:pStyle w:val="Indenta"/>
      </w:pPr>
      <w:r>
        <w:tab/>
        <w:t>(a)</w:t>
      </w:r>
      <w:r>
        <w:tab/>
        <w:t>being a police officer acting in the course of duty;</w:t>
      </w:r>
    </w:p>
    <w:p>
      <w:pPr>
        <w:pStyle w:val="Indenta"/>
      </w:pPr>
      <w:r>
        <w:tab/>
        <w:t>(b)</w:t>
      </w:r>
      <w:r>
        <w:tab/>
        <w:t xml:space="preserve">being a security officer, as defined in the </w:t>
      </w:r>
      <w:r>
        <w:rPr>
          <w:i/>
        </w:rPr>
        <w:t>Public Transport Authority Act 2003</w:t>
      </w:r>
      <w:r>
        <w:t xml:space="preserve"> section 3, acting in the course of duty;</w:t>
      </w:r>
    </w:p>
    <w:p>
      <w:pPr>
        <w:pStyle w:val="Indenta"/>
      </w:pPr>
      <w:r>
        <w:tab/>
        <w:t>(c)</w:t>
      </w:r>
      <w:r>
        <w:tab/>
        <w:t xml:space="preserve">being a prison officer, as defined in the </w:t>
      </w:r>
      <w:r>
        <w:rPr>
          <w:i/>
          <w:iCs/>
        </w:rPr>
        <w:t xml:space="preserve">Prisons Act 1981 </w:t>
      </w:r>
      <w:r>
        <w:t>section 3(1) and (2), acting in the course of duty;</w:t>
      </w:r>
    </w:p>
    <w:p>
      <w:pPr>
        <w:pStyle w:val="Indenta"/>
      </w:pPr>
      <w:r>
        <w:tab/>
        <w:t>(d)</w:t>
      </w:r>
      <w:r>
        <w:tab/>
        <w:t xml:space="preserve">being a person authorised to exercise a power set out in Division 1, 2 or 3 of Schedule 2 to the </w:t>
      </w:r>
      <w:r>
        <w:rPr>
          <w:i/>
          <w:iCs/>
        </w:rPr>
        <w:t xml:space="preserve">Court Security </w:t>
      </w:r>
      <w:r>
        <w:rPr>
          <w:i/>
          <w:iCs/>
        </w:rPr>
        <w:lastRenderedPageBreak/>
        <w:t>and Custodial Services Act 1999</w:t>
      </w:r>
      <w:r>
        <w:t>,</w:t>
      </w:r>
      <w:r>
        <w:rPr>
          <w:i/>
          <w:iCs/>
        </w:rPr>
        <w:t xml:space="preserve"> </w:t>
      </w:r>
      <w:r>
        <w:t>or a power set out in Schedule 3 to that Act, acting in the course of duty;</w:t>
      </w:r>
    </w:p>
    <w:p>
      <w:pPr>
        <w:pStyle w:val="Indenta"/>
      </w:pPr>
      <w:r>
        <w:tab/>
        <w:t>(e)</w:t>
      </w:r>
      <w:r>
        <w:tab/>
        <w:t xml:space="preserve">being the holder of, and engaged in activities authorised by, a security officer’s licence issued under the </w:t>
      </w:r>
      <w:r>
        <w:rPr>
          <w:i/>
          <w:iCs/>
        </w:rPr>
        <w:t xml:space="preserve">Security and Related Activities (Control) Act 1996 </w:t>
      </w:r>
      <w:r>
        <w:t>while armed in accordance with Part 3 Division 3 of that Act.</w:t>
      </w:r>
    </w:p>
    <w:p>
      <w:pPr>
        <w:pStyle w:val="Footnotesection"/>
      </w:pPr>
      <w:r>
        <w:tab/>
        <w:t>[Section 68A inserted: No. 34 of 2009 s. 4.]</w:t>
      </w:r>
    </w:p>
    <w:p>
      <w:pPr>
        <w:pStyle w:val="Heading5"/>
        <w:spacing w:before="180"/>
      </w:pPr>
      <w:bookmarkStart w:id="119" w:name="_Toc88662101"/>
      <w:r>
        <w:rPr>
          <w:rStyle w:val="CharSectno"/>
        </w:rPr>
        <w:t>68B</w:t>
      </w:r>
      <w:r>
        <w:t>.</w:t>
      </w:r>
      <w:r>
        <w:tab/>
        <w:t>Being armed in or near place of public entertainment</w:t>
      </w:r>
      <w:bookmarkEnd w:id="119"/>
    </w:p>
    <w:p>
      <w:pPr>
        <w:pStyle w:val="Subsection"/>
        <w:spacing w:before="120"/>
      </w:pPr>
      <w:r>
        <w:tab/>
        <w:t>(1)</w:t>
      </w:r>
      <w:r>
        <w:tab/>
        <w:t>In this section —</w:t>
      </w:r>
    </w:p>
    <w:p>
      <w:pPr>
        <w:pStyle w:val="Defstart"/>
      </w:pPr>
      <w:r>
        <w:tab/>
      </w:r>
      <w:r>
        <w:rPr>
          <w:rStyle w:val="CharDefText"/>
        </w:rPr>
        <w:t>lawful excuse</w:t>
      </w:r>
      <w:r>
        <w:t xml:space="preserve"> has a meaning affected by section 68A;</w:t>
      </w:r>
    </w:p>
    <w:p>
      <w:pPr>
        <w:pStyle w:val="Defstart"/>
      </w:pPr>
      <w:r>
        <w:tab/>
      </w:r>
      <w:r>
        <w:rPr>
          <w:rStyle w:val="CharDefText"/>
        </w:rPr>
        <w:t>place of public entertainment</w:t>
      </w:r>
      <w:r>
        <w:t xml:space="preserve"> means —</w:t>
      </w:r>
    </w:p>
    <w:p>
      <w:pPr>
        <w:pStyle w:val="Defpara"/>
      </w:pPr>
      <w:r>
        <w:tab/>
        <w:t>(a)</w:t>
      </w:r>
      <w:r>
        <w:tab/>
        <w:t>a place where the public is present and where entertainment of any kind is about to be, is being, or has just been provided to the public, whether on payment or not; or</w:t>
      </w:r>
    </w:p>
    <w:p>
      <w:pPr>
        <w:pStyle w:val="Defpara"/>
      </w:pPr>
      <w:r>
        <w:tab/>
        <w:t>(b)</w:t>
      </w:r>
      <w:r>
        <w:tab/>
        <w:t xml:space="preserve">licensed premises, as defined by the </w:t>
      </w:r>
      <w:r>
        <w:rPr>
          <w:i/>
          <w:iCs/>
        </w:rPr>
        <w:t xml:space="preserve">Liquor Control Act 1988 </w:t>
      </w:r>
      <w:r>
        <w:t>section 3(1);</w:t>
      </w:r>
    </w:p>
    <w:p>
      <w:pPr>
        <w:pStyle w:val="Defstart"/>
      </w:pPr>
      <w:r>
        <w:tab/>
      </w:r>
      <w:r>
        <w:rPr>
          <w:rStyle w:val="CharDefText"/>
        </w:rPr>
        <w:t>prescribed place</w:t>
      </w:r>
      <w:r>
        <w:t xml:space="preserve"> means —</w:t>
      </w:r>
    </w:p>
    <w:p>
      <w:pPr>
        <w:pStyle w:val="Defpara"/>
      </w:pPr>
      <w:r>
        <w:tab/>
        <w:t>(a)</w:t>
      </w:r>
      <w:r>
        <w:tab/>
        <w:t>a place of public entertainment; or</w:t>
      </w:r>
    </w:p>
    <w:p>
      <w:pPr>
        <w:pStyle w:val="Defpara"/>
      </w:pPr>
      <w:r>
        <w:tab/>
        <w:t>(b)</w:t>
      </w:r>
      <w:r>
        <w:tab/>
        <w:t>a public place within 50 metres of a place of public entertainment.</w:t>
      </w:r>
    </w:p>
    <w:p>
      <w:pPr>
        <w:pStyle w:val="Subsection"/>
        <w:spacing w:before="120"/>
      </w:pPr>
      <w:r>
        <w:tab/>
        <w:t>(2)</w:t>
      </w:r>
      <w:r>
        <w:tab/>
        <w:t>A person who, without lawful excuse, is armed with any dangerous or offensive weapon or instrument in, or with intent to enter, a prescribed place is guilty of a crime and is liable to imprisonment for 5 years.</w:t>
      </w:r>
    </w:p>
    <w:p>
      <w:pPr>
        <w:pStyle w:val="Penstart"/>
      </w:pPr>
      <w:r>
        <w:tab/>
        <w:t>Summary conviction penalty: imprisonment for 3 years and a fine of $36 000.</w:t>
      </w:r>
    </w:p>
    <w:p>
      <w:pPr>
        <w:pStyle w:val="Footnotesection"/>
      </w:pPr>
      <w:r>
        <w:tab/>
        <w:t>[Section 68B inserted: No. 34 of 2009 s. 4.]</w:t>
      </w:r>
    </w:p>
    <w:p>
      <w:pPr>
        <w:pStyle w:val="Heading5"/>
        <w:spacing w:before="180"/>
      </w:pPr>
      <w:bookmarkStart w:id="120" w:name="_Toc88662102"/>
      <w:r>
        <w:rPr>
          <w:rStyle w:val="CharSectno"/>
        </w:rPr>
        <w:t>68C</w:t>
      </w:r>
      <w:r>
        <w:t>.</w:t>
      </w:r>
      <w:r>
        <w:tab/>
        <w:t>Being armed in public in company</w:t>
      </w:r>
      <w:bookmarkEnd w:id="120"/>
    </w:p>
    <w:p>
      <w:pPr>
        <w:pStyle w:val="Subsection"/>
      </w:pPr>
      <w:r>
        <w:tab/>
        <w:t>(1)</w:t>
      </w:r>
      <w:r>
        <w:tab/>
        <w:t>In this section —</w:t>
      </w:r>
    </w:p>
    <w:p>
      <w:pPr>
        <w:pStyle w:val="Defstart"/>
      </w:pPr>
      <w:r>
        <w:tab/>
      </w:r>
      <w:r>
        <w:rPr>
          <w:rStyle w:val="CharDefText"/>
        </w:rPr>
        <w:t>lawful excuse</w:t>
      </w:r>
      <w:r>
        <w:t xml:space="preserve"> has a meaning affected by section 68A.</w:t>
      </w:r>
    </w:p>
    <w:p>
      <w:pPr>
        <w:pStyle w:val="Subsection"/>
      </w:pPr>
      <w:r>
        <w:lastRenderedPageBreak/>
        <w:tab/>
        <w:t>(2)</w:t>
      </w:r>
      <w:r>
        <w:tab/>
        <w:t>A person who, without lawful excuse, is armed with any dangerous or offensive weapon or instrument in a public place when in company with 2 or more other persons is guilty of a crime and is liable to imprisonment for 5 years.</w:t>
      </w:r>
    </w:p>
    <w:p>
      <w:pPr>
        <w:pStyle w:val="Penstart"/>
        <w:spacing w:before="100"/>
      </w:pPr>
      <w:r>
        <w:tab/>
        <w:t>Summary conviction penalty: imprisonment for 3 years and a fine of $36 000.</w:t>
      </w:r>
    </w:p>
    <w:p>
      <w:pPr>
        <w:pStyle w:val="Footnotesection"/>
      </w:pPr>
      <w:r>
        <w:tab/>
        <w:t>[Section 68C inserted: No. 34 of 2009 s. 4.]</w:t>
      </w:r>
    </w:p>
    <w:p>
      <w:pPr>
        <w:pStyle w:val="Heading5"/>
        <w:spacing w:before="240"/>
      </w:pPr>
      <w:bookmarkStart w:id="121" w:name="_Toc88662103"/>
      <w:r>
        <w:rPr>
          <w:rStyle w:val="CharSectno"/>
        </w:rPr>
        <w:t>68D</w:t>
      </w:r>
      <w:r>
        <w:t>.</w:t>
      </w:r>
      <w:r>
        <w:tab/>
        <w:t>Having ready access to both weapon and cash</w:t>
      </w:r>
      <w:bookmarkEnd w:id="121"/>
    </w:p>
    <w:p>
      <w:pPr>
        <w:pStyle w:val="Subsection"/>
        <w:spacing w:before="180"/>
      </w:pPr>
      <w:r>
        <w:tab/>
        <w:t>(1)</w:t>
      </w:r>
      <w:r>
        <w:tab/>
        <w:t>In this section —</w:t>
      </w:r>
    </w:p>
    <w:p>
      <w:pPr>
        <w:pStyle w:val="Defstart"/>
        <w:spacing w:before="100"/>
      </w:pPr>
      <w:r>
        <w:tab/>
      </w:r>
      <w:r>
        <w:rPr>
          <w:rStyle w:val="CharDefText"/>
        </w:rPr>
        <w:t>lawful excuse</w:t>
      </w:r>
      <w:r>
        <w:t xml:space="preserve"> has a meaning affected by section 68A;</w:t>
      </w:r>
    </w:p>
    <w:p>
      <w:pPr>
        <w:pStyle w:val="Defstart"/>
        <w:spacing w:before="100"/>
      </w:pPr>
      <w:r>
        <w:tab/>
      </w:r>
      <w:r>
        <w:rPr>
          <w:rStyle w:val="CharDefText"/>
        </w:rPr>
        <w:t>prescribed amount</w:t>
      </w:r>
      <w:r>
        <w:t xml:space="preserve"> means the amount prescribed for the purposes of the </w:t>
      </w:r>
      <w:r>
        <w:rPr>
          <w:i/>
          <w:iCs/>
        </w:rPr>
        <w:t xml:space="preserve">Firearms Act 1973 </w:t>
      </w:r>
      <w:r>
        <w:t>section 19(1ab)(a)(ii)</w:t>
      </w:r>
      <w:r>
        <w:rPr>
          <w:vertAlign w:val="superscript"/>
        </w:rPr>
        <w:t> 4</w:t>
      </w:r>
      <w:r>
        <w:t>.</w:t>
      </w:r>
    </w:p>
    <w:p>
      <w:pPr>
        <w:pStyle w:val="Subsection"/>
        <w:spacing w:before="180"/>
      </w:pPr>
      <w:r>
        <w:tab/>
        <w:t>(2)</w:t>
      </w:r>
      <w:r>
        <w:tab/>
        <w:t>A person who, without lawful excuse, has ready access simultaneously to both —</w:t>
      </w:r>
    </w:p>
    <w:p>
      <w:pPr>
        <w:pStyle w:val="Indenta"/>
        <w:spacing w:before="100"/>
      </w:pPr>
      <w:r>
        <w:tab/>
        <w:t>(a)</w:t>
      </w:r>
      <w:r>
        <w:tab/>
        <w:t>a dangerous or offensive weapon or instrument; and</w:t>
      </w:r>
    </w:p>
    <w:p>
      <w:pPr>
        <w:pStyle w:val="Indenta"/>
        <w:spacing w:before="100"/>
      </w:pPr>
      <w:r>
        <w:tab/>
        <w:t>(b)</w:t>
      </w:r>
      <w:r>
        <w:tab/>
        <w:t>cash equal to or more than the prescribed amount,</w:t>
      </w:r>
    </w:p>
    <w:p>
      <w:pPr>
        <w:pStyle w:val="Subsection"/>
        <w:spacing w:before="180"/>
      </w:pPr>
      <w:r>
        <w:tab/>
      </w:r>
      <w:r>
        <w:tab/>
        <w:t>is guilty of a crime and is liable to imprisonment for 5 years.</w:t>
      </w:r>
    </w:p>
    <w:p>
      <w:pPr>
        <w:pStyle w:val="Penstart"/>
        <w:spacing w:before="100"/>
      </w:pPr>
      <w:r>
        <w:tab/>
        <w:t>Summary conviction penalty: imprisonment for 3 years and a fine of $36 000.</w:t>
      </w:r>
    </w:p>
    <w:p>
      <w:pPr>
        <w:pStyle w:val="Footnotesection"/>
      </w:pPr>
      <w:r>
        <w:tab/>
        <w:t>[Section 68D inserted: No. 34 of 2009 s. 4.]</w:t>
      </w:r>
    </w:p>
    <w:p>
      <w:pPr>
        <w:pStyle w:val="Heading5"/>
        <w:spacing w:before="240"/>
      </w:pPr>
      <w:bookmarkStart w:id="122" w:name="_Toc88662104"/>
      <w:r>
        <w:rPr>
          <w:rStyle w:val="CharSectno"/>
        </w:rPr>
        <w:t>68E</w:t>
      </w:r>
      <w:r>
        <w:t>.</w:t>
      </w:r>
      <w:r>
        <w:tab/>
        <w:t>Having ready access to both weapon and illegal drug</w:t>
      </w:r>
      <w:bookmarkEnd w:id="122"/>
    </w:p>
    <w:p>
      <w:pPr>
        <w:pStyle w:val="Subsection"/>
        <w:spacing w:before="180"/>
      </w:pPr>
      <w:r>
        <w:tab/>
        <w:t>(1)</w:t>
      </w:r>
      <w:r>
        <w:tab/>
        <w:t>In this section, being armed for defence is not a lawful excuse.</w:t>
      </w:r>
    </w:p>
    <w:p>
      <w:pPr>
        <w:pStyle w:val="Subsection"/>
        <w:spacing w:before="180"/>
      </w:pPr>
      <w:r>
        <w:tab/>
        <w:t>(2)</w:t>
      </w:r>
      <w:r>
        <w:tab/>
        <w:t>A person who, without lawful excuse, has ready access simultaneously to both —</w:t>
      </w:r>
    </w:p>
    <w:p>
      <w:pPr>
        <w:pStyle w:val="Indenta"/>
        <w:spacing w:before="100"/>
      </w:pPr>
      <w:r>
        <w:tab/>
        <w:t>(a)</w:t>
      </w:r>
      <w:r>
        <w:tab/>
        <w:t>a dangerous or offensive weapon or instrument; and</w:t>
      </w:r>
    </w:p>
    <w:p>
      <w:pPr>
        <w:pStyle w:val="Indenta"/>
        <w:spacing w:before="100"/>
      </w:pPr>
      <w:r>
        <w:tab/>
        <w:t>(b)</w:t>
      </w:r>
      <w:r>
        <w:tab/>
        <w:t xml:space="preserve">a prohibited drug or a prohibited plant, as those terms are defined by the </w:t>
      </w:r>
      <w:r>
        <w:rPr>
          <w:i/>
          <w:iCs/>
        </w:rPr>
        <w:t xml:space="preserve">Misuse of Drugs Act 1981 </w:t>
      </w:r>
      <w:r>
        <w:lastRenderedPageBreak/>
        <w:t>section 3(1), that, under section 6 or 7 of that Act, the person is not authorised to possess,</w:t>
      </w:r>
    </w:p>
    <w:p>
      <w:pPr>
        <w:pStyle w:val="Subsection"/>
      </w:pPr>
      <w:r>
        <w:tab/>
      </w:r>
      <w:r>
        <w:tab/>
        <w:t>is guilty of a crime and is liable to imprisonment for 5 years.</w:t>
      </w:r>
    </w:p>
    <w:p>
      <w:pPr>
        <w:pStyle w:val="Penstart"/>
      </w:pPr>
      <w:r>
        <w:tab/>
        <w:t>Summary conviction penalty: imprisonment for 3 years and a fine of $36 000.</w:t>
      </w:r>
    </w:p>
    <w:p>
      <w:pPr>
        <w:pStyle w:val="Footnotesection"/>
      </w:pPr>
      <w:r>
        <w:tab/>
        <w:t>[Section 68E inserted: No. 34 of 2009 s. 4.]</w:t>
      </w:r>
    </w:p>
    <w:p>
      <w:pPr>
        <w:pStyle w:val="Heading5"/>
        <w:spacing w:before="240"/>
      </w:pPr>
      <w:bookmarkStart w:id="123" w:name="_Toc88662105"/>
      <w:r>
        <w:rPr>
          <w:rStyle w:val="CharSectno"/>
        </w:rPr>
        <w:t>68</w:t>
      </w:r>
      <w:r>
        <w:t>.</w:t>
      </w:r>
      <w:r>
        <w:tab/>
        <w:t>Being armed in a way that may cause fear</w:t>
      </w:r>
      <w:bookmarkEnd w:id="123"/>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No. 4 of 2004 s. 8; amended: No. 70 of 2004 s. 35(3).]</w:t>
      </w:r>
    </w:p>
    <w:p>
      <w:pPr>
        <w:pStyle w:val="Heading5"/>
        <w:spacing w:before="180"/>
        <w:rPr>
          <w:snapToGrid w:val="0"/>
        </w:rPr>
      </w:pPr>
      <w:bookmarkStart w:id="124" w:name="_Toc88662106"/>
      <w:r>
        <w:rPr>
          <w:rStyle w:val="CharSectno"/>
        </w:rPr>
        <w:t>69</w:t>
      </w:r>
      <w:r>
        <w:rPr>
          <w:snapToGrid w:val="0"/>
        </w:rPr>
        <w:t>.</w:t>
      </w:r>
      <w:r>
        <w:rPr>
          <w:snapToGrid w:val="0"/>
        </w:rPr>
        <w:tab/>
        <w:t>Forcibly entering land</w:t>
      </w:r>
      <w:bookmarkEnd w:id="124"/>
    </w:p>
    <w:p>
      <w:pPr>
        <w:pStyle w:val="Subsection"/>
        <w:keepLines/>
        <w:spacing w:before="12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keepLines/>
      </w:pPr>
      <w:r>
        <w:tab/>
        <w:t>Summary conviction penalty: $6 000.</w:t>
      </w:r>
    </w:p>
    <w:p>
      <w:pPr>
        <w:pStyle w:val="Subsection"/>
        <w:keepNext/>
        <w:rPr>
          <w:snapToGrid w:val="0"/>
          <w:spacing w:val="2"/>
        </w:rPr>
      </w:pPr>
      <w:r>
        <w:rPr>
          <w:snapToGrid w:val="0"/>
          <w:spacing w:val="2"/>
        </w:rPr>
        <w:lastRenderedPageBreak/>
        <w:tab/>
        <w:t>(2)</w:t>
      </w:r>
      <w:r>
        <w:rPr>
          <w:snapToGrid w:val="0"/>
          <w:spacing w:val="2"/>
        </w:rPr>
        <w:tab/>
        <w:t>It is immaterial whether he is entitled to enter on the land or not.</w:t>
      </w:r>
    </w:p>
    <w:p>
      <w:pPr>
        <w:pStyle w:val="Footnotesection"/>
        <w:ind w:left="890" w:hanging="890"/>
        <w:rPr>
          <w:spacing w:val="2"/>
        </w:rPr>
      </w:pPr>
      <w:r>
        <w:tab/>
        <w:t>[Section 69 amended: No. 4 of 2004 s. 9.]</w:t>
      </w:r>
    </w:p>
    <w:p>
      <w:pPr>
        <w:pStyle w:val="Heading5"/>
        <w:rPr>
          <w:snapToGrid w:val="0"/>
        </w:rPr>
      </w:pPr>
      <w:bookmarkStart w:id="125" w:name="_Toc88662107"/>
      <w:r>
        <w:rPr>
          <w:rStyle w:val="CharSectno"/>
        </w:rPr>
        <w:t>70</w:t>
      </w:r>
      <w:r>
        <w:rPr>
          <w:snapToGrid w:val="0"/>
        </w:rPr>
        <w:t>.</w:t>
      </w:r>
      <w:r>
        <w:rPr>
          <w:snapToGrid w:val="0"/>
        </w:rPr>
        <w:tab/>
        <w:t>Forcibly keeping possession of land</w:t>
      </w:r>
      <w:bookmarkEnd w:id="125"/>
    </w:p>
    <w:p>
      <w:pPr>
        <w:pStyle w:val="Subsection"/>
        <w:spacing w:before="12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spacing w:before="100"/>
      </w:pPr>
      <w:r>
        <w:tab/>
        <w:t>[Section 70 amended: No. 4 of 2004 s. 10.]</w:t>
      </w:r>
    </w:p>
    <w:p>
      <w:pPr>
        <w:pStyle w:val="Heading5"/>
      </w:pPr>
      <w:bookmarkStart w:id="126" w:name="_Toc88662108"/>
      <w:r>
        <w:rPr>
          <w:rStyle w:val="CharSectno"/>
        </w:rPr>
        <w:t>70A</w:t>
      </w:r>
      <w:r>
        <w:t>.</w:t>
      </w:r>
      <w:r>
        <w:tab/>
        <w:t>Trespass</w:t>
      </w:r>
      <w:bookmarkEnd w:id="126"/>
    </w:p>
    <w:p>
      <w:pPr>
        <w:pStyle w:val="Subsection"/>
      </w:pPr>
      <w:r>
        <w:tab/>
        <w:t>(1)</w:t>
      </w:r>
      <w:r>
        <w:tab/>
        <w:t>In this section —</w:t>
      </w:r>
    </w:p>
    <w:p>
      <w:pPr>
        <w:pStyle w:val="Defstart"/>
      </w:pPr>
      <w:r>
        <w:rPr>
          <w:b/>
        </w:rPr>
        <w:tab/>
      </w:r>
      <w:r>
        <w:rPr>
          <w:rStyle w:val="CharDefText"/>
        </w:rPr>
        <w:t>person in authority</w:t>
      </w:r>
      <w:r>
        <w:t>, in relation to a place, means —</w:t>
      </w:r>
    </w:p>
    <w:p>
      <w:pPr>
        <w:pStyle w:val="Defpara"/>
        <w:spacing w:before="60"/>
      </w:pPr>
      <w:r>
        <w:tab/>
        <w:t>(a)</w:t>
      </w:r>
      <w:r>
        <w:tab/>
        <w:t>in the case of a place owned by the Crown, or an agency or instrumentality of the Crown — the occupier or person having control or management of the place or a police officer; or</w:t>
      </w:r>
    </w:p>
    <w:p>
      <w:pPr>
        <w:pStyle w:val="Defpara"/>
        <w:spacing w:before="60"/>
      </w:pPr>
      <w:r>
        <w:tab/>
        <w:t>(b)</w:t>
      </w:r>
      <w:r>
        <w:tab/>
        <w:t>in any other case —</w:t>
      </w:r>
    </w:p>
    <w:p>
      <w:pPr>
        <w:pStyle w:val="Defsubpara"/>
        <w:spacing w:before="60"/>
      </w:pPr>
      <w:r>
        <w:tab/>
        <w:t>(i)</w:t>
      </w:r>
      <w:r>
        <w:tab/>
        <w:t>the owner, occupier or person having control or management of the place; or</w:t>
      </w:r>
    </w:p>
    <w:p>
      <w:pPr>
        <w:pStyle w:val="Defsubpara"/>
        <w:spacing w:before="60"/>
      </w:pPr>
      <w:r>
        <w:tab/>
        <w:t>(ii)</w:t>
      </w:r>
      <w:r>
        <w:tab/>
        <w:t>a police officer acting on a request by a person referred to in subparagraph (i);</w:t>
      </w:r>
    </w:p>
    <w:p>
      <w:pPr>
        <w:pStyle w:val="Defstart"/>
      </w:pPr>
      <w:r>
        <w:rPr>
          <w:b/>
        </w:rPr>
        <w:tab/>
      </w:r>
      <w:r>
        <w:rPr>
          <w:rStyle w:val="CharDefText"/>
        </w:rPr>
        <w:t>trespass</w:t>
      </w:r>
      <w:r>
        <w:t xml:space="preserve"> on a place, means —</w:t>
      </w:r>
    </w:p>
    <w:p>
      <w:pPr>
        <w:pStyle w:val="Defpara"/>
        <w:spacing w:before="60"/>
      </w:pPr>
      <w:r>
        <w:tab/>
        <w:t>(a)</w:t>
      </w:r>
      <w:r>
        <w:tab/>
        <w:t>to enter or be in the place without the consent or licence of the owner, occupier or person having control or management of the place; or</w:t>
      </w:r>
    </w:p>
    <w:p>
      <w:pPr>
        <w:pStyle w:val="Defpara"/>
        <w:spacing w:before="60"/>
      </w:pPr>
      <w:r>
        <w:tab/>
        <w:t>(b)</w:t>
      </w:r>
      <w:r>
        <w:tab/>
        <w:t>to remain in the place after being requested by a person in authority to leave the place; or</w:t>
      </w:r>
    </w:p>
    <w:p>
      <w:pPr>
        <w:pStyle w:val="Defpara"/>
        <w:spacing w:before="60"/>
      </w:pPr>
      <w:r>
        <w:lastRenderedPageBreak/>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No. 70 of 2004 s. 6; amended: No. 59 of 2006 s. 17; No. 42 of 2009 s. 14.]</w:t>
      </w:r>
    </w:p>
    <w:p>
      <w:pPr>
        <w:pStyle w:val="Heading5"/>
        <w:spacing w:before="240"/>
      </w:pPr>
      <w:bookmarkStart w:id="127" w:name="_Toc88662109"/>
      <w:r>
        <w:rPr>
          <w:rStyle w:val="CharSectno"/>
        </w:rPr>
        <w:t>70B</w:t>
      </w:r>
      <w:r>
        <w:t>.</w:t>
      </w:r>
      <w:r>
        <w:tab/>
        <w:t>Trespasser may be asked for name and address</w:t>
      </w:r>
      <w:bookmarkEnd w:id="127"/>
    </w:p>
    <w:p>
      <w:pPr>
        <w:pStyle w:val="Subsection"/>
      </w:pPr>
      <w:r>
        <w:tab/>
        <w:t>(1)</w:t>
      </w:r>
      <w:r>
        <w:tab/>
        <w:t>In this section —</w:t>
      </w:r>
    </w:p>
    <w:p>
      <w:pPr>
        <w:pStyle w:val="Defstart"/>
      </w:pPr>
      <w:r>
        <w:rPr>
          <w:b/>
        </w:rPr>
        <w:tab/>
      </w:r>
      <w:r>
        <w:rPr>
          <w:rStyle w:val="CharDefText"/>
        </w:rPr>
        <w:t>enclosed land</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r>
      <w:r>
        <w:rPr>
          <w:rStyle w:val="CharDefText"/>
        </w:rPr>
        <w:t>owner</w:t>
      </w:r>
      <w:r>
        <w:t>, in relation to land, includes the occupier and a person who has the control or management of the land.</w:t>
      </w:r>
    </w:p>
    <w:p>
      <w:pPr>
        <w:pStyle w:val="Subsection"/>
      </w:pPr>
      <w:r>
        <w:tab/>
        <w:t>(2)</w:t>
      </w:r>
      <w:r>
        <w:tab/>
        <w:t>If the owner of any enclosed land finds a person on the land who has entered the land without the owner’s consent, the owner may request the person to give the person’s name and address to the owner.</w:t>
      </w:r>
    </w:p>
    <w:p>
      <w:pPr>
        <w:pStyle w:val="Subsection"/>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No. 70 of 2004 s. 6.]</w:t>
      </w:r>
    </w:p>
    <w:p>
      <w:pPr>
        <w:pStyle w:val="Heading5"/>
        <w:keepNext w:val="0"/>
        <w:keepLines w:val="0"/>
        <w:pageBreakBefore/>
        <w:spacing w:before="0"/>
      </w:pPr>
      <w:bookmarkStart w:id="128" w:name="_Toc88662110"/>
      <w:r>
        <w:rPr>
          <w:rStyle w:val="CharSectno"/>
        </w:rPr>
        <w:lastRenderedPageBreak/>
        <w:t>71</w:t>
      </w:r>
      <w:r>
        <w:t>.</w:t>
      </w:r>
      <w:r>
        <w:tab/>
        <w:t>Fighting in public causing fear</w:t>
      </w:r>
      <w:bookmarkEnd w:id="128"/>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ind w:left="890" w:hanging="890"/>
      </w:pPr>
      <w:r>
        <w:tab/>
        <w:t>[Section 71 inserted: No. 4 of 2004 s. 11.]</w:t>
      </w:r>
    </w:p>
    <w:p>
      <w:pPr>
        <w:pStyle w:val="Heading5"/>
        <w:rPr>
          <w:snapToGrid w:val="0"/>
        </w:rPr>
      </w:pPr>
      <w:bookmarkStart w:id="129" w:name="_Toc88662111"/>
      <w:r>
        <w:rPr>
          <w:rStyle w:val="CharSectno"/>
        </w:rPr>
        <w:t>72</w:t>
      </w:r>
      <w:r>
        <w:rPr>
          <w:snapToGrid w:val="0"/>
        </w:rPr>
        <w:t>.</w:t>
      </w:r>
      <w:r>
        <w:rPr>
          <w:snapToGrid w:val="0"/>
        </w:rPr>
        <w:tab/>
        <w:t>Challenge to fight duel</w:t>
      </w:r>
      <w:bookmarkEnd w:id="129"/>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ind w:left="890" w:hanging="890"/>
      </w:pPr>
      <w:r>
        <w:tab/>
        <w:t>[Section 72 amended: No. 51 of 1992 s. 16(2); No. 4 of 2004 s. 12.]</w:t>
      </w:r>
    </w:p>
    <w:p>
      <w:pPr>
        <w:pStyle w:val="Heading5"/>
        <w:spacing w:before="180"/>
        <w:rPr>
          <w:snapToGrid w:val="0"/>
        </w:rPr>
      </w:pPr>
      <w:bookmarkStart w:id="130" w:name="_Toc88662112"/>
      <w:r>
        <w:rPr>
          <w:rStyle w:val="CharSectno"/>
        </w:rPr>
        <w:t>73</w:t>
      </w:r>
      <w:r>
        <w:rPr>
          <w:snapToGrid w:val="0"/>
        </w:rPr>
        <w:t>.</w:t>
      </w:r>
      <w:r>
        <w:rPr>
          <w:snapToGrid w:val="0"/>
        </w:rPr>
        <w:tab/>
        <w:t>Prize fight</w:t>
      </w:r>
      <w:bookmarkEnd w:id="130"/>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ind w:left="890" w:hanging="890"/>
      </w:pPr>
      <w:r>
        <w:tab/>
        <w:t>[Section 73 amended: No. 4 of 2004 s. 13.]</w:t>
      </w:r>
    </w:p>
    <w:p>
      <w:pPr>
        <w:pStyle w:val="Heading5"/>
        <w:spacing w:before="180"/>
        <w:rPr>
          <w:snapToGrid w:val="0"/>
        </w:rPr>
      </w:pPr>
      <w:bookmarkStart w:id="131" w:name="_Toc88662113"/>
      <w:r>
        <w:rPr>
          <w:rStyle w:val="CharSectno"/>
        </w:rPr>
        <w:t>74</w:t>
      </w:r>
      <w:r>
        <w:rPr>
          <w:snapToGrid w:val="0"/>
        </w:rPr>
        <w:t>.</w:t>
      </w:r>
      <w:r>
        <w:rPr>
          <w:snapToGrid w:val="0"/>
        </w:rPr>
        <w:tab/>
      </w:r>
      <w:r>
        <w:t>Threat toward dwelling</w:t>
      </w:r>
      <w:bookmarkEnd w:id="131"/>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keepNext/>
        <w:keepLines/>
        <w:rPr>
          <w:snapToGrid w:val="0"/>
        </w:rPr>
      </w:pPr>
      <w:r>
        <w:rPr>
          <w:snapToGrid w:val="0"/>
        </w:rPr>
        <w:lastRenderedPageBreak/>
        <w:tab/>
        <w:t>(2)</w:t>
      </w:r>
      <w:r>
        <w:rPr>
          <w:snapToGrid w:val="0"/>
        </w:rPr>
        <w:tab/>
        <w:t>With intent to alarm any person in a dwelling, discharges loaded firearms or commits any other breach of the peace;</w:t>
      </w:r>
    </w:p>
    <w:p>
      <w:pPr>
        <w:pStyle w:val="Subsection"/>
        <w:keepNext/>
        <w:keepLines/>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80"/>
        <w:ind w:left="890" w:hanging="890"/>
      </w:pPr>
      <w:r>
        <w:tab/>
        <w:t>[Section 74 amended: No. 51 of 1992 s. 16(2); No. 36 of 1996 s. 7; No. 4 of 2004 s. 14; No. 70 of 2004 s. 35(1).]</w:t>
      </w:r>
    </w:p>
    <w:p>
      <w:pPr>
        <w:pStyle w:val="Heading5"/>
        <w:spacing w:before="240"/>
      </w:pPr>
      <w:bookmarkStart w:id="132" w:name="_Toc88662114"/>
      <w:r>
        <w:rPr>
          <w:rStyle w:val="CharSectno"/>
        </w:rPr>
        <w:t>74A</w:t>
      </w:r>
      <w:r>
        <w:t>.</w:t>
      </w:r>
      <w:r>
        <w:tab/>
        <w:t>Disorderly behaviour in public</w:t>
      </w:r>
      <w:bookmarkEnd w:id="132"/>
    </w:p>
    <w:p>
      <w:pPr>
        <w:pStyle w:val="Subsection"/>
        <w:spacing w:before="180"/>
      </w:pPr>
      <w:r>
        <w:tab/>
        <w:t>(1)</w:t>
      </w:r>
      <w:r>
        <w:tab/>
        <w:t>In this section —</w:t>
      </w:r>
    </w:p>
    <w:p>
      <w:pPr>
        <w:pStyle w:val="Defstart"/>
      </w:pPr>
      <w:r>
        <w:rPr>
          <w:b/>
        </w:rPr>
        <w:tab/>
      </w:r>
      <w:r>
        <w:rPr>
          <w:rStyle w:val="CharDefText"/>
        </w:rPr>
        <w:t>behave in a disorderly manner</w:t>
      </w:r>
      <w:r>
        <w:t xml:space="preserve"> includes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80"/>
      </w:pPr>
      <w:r>
        <w:tab/>
      </w:r>
      <w:r>
        <w:tab/>
        <w:t>is guilty of an offence and is liable to a fine of $6 000.</w:t>
      </w:r>
    </w:p>
    <w:p>
      <w:pPr>
        <w:pStyle w:val="Subsection"/>
        <w:spacing w:before="18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Footnotesection"/>
      </w:pPr>
      <w:r>
        <w:tab/>
        <w:t>[Section 74A inserted: No. 70 of 2004 s. 7; amended: No. 59 of 2006 s. 18.]</w:t>
      </w:r>
    </w:p>
    <w:p>
      <w:pPr>
        <w:pStyle w:val="Heading5"/>
      </w:pPr>
      <w:bookmarkStart w:id="133" w:name="_Toc88662115"/>
      <w:r>
        <w:rPr>
          <w:rStyle w:val="CharSectno"/>
        </w:rPr>
        <w:t>74B</w:t>
      </w:r>
      <w:r>
        <w:t>.</w:t>
      </w:r>
      <w:r>
        <w:tab/>
        <w:t>Causing fear or alarm to driver of conveyance or others</w:t>
      </w:r>
      <w:bookmarkEnd w:id="133"/>
    </w:p>
    <w:p>
      <w:pPr>
        <w:pStyle w:val="Subsection"/>
      </w:pPr>
      <w:r>
        <w:tab/>
        <w:t>(1)</w:t>
      </w:r>
      <w:r>
        <w:tab/>
        <w:t>In this section —</w:t>
      </w:r>
    </w:p>
    <w:p>
      <w:pPr>
        <w:pStyle w:val="Defstart"/>
      </w:pPr>
      <w:r>
        <w:tab/>
      </w:r>
      <w:r>
        <w:rPr>
          <w:rStyle w:val="CharDefText"/>
        </w:rPr>
        <w:t>drive</w:t>
      </w:r>
      <w:r>
        <w:t xml:space="preserve"> a conveyance, includes to pilot an aircraft and to navigate a vessel.</w:t>
      </w:r>
    </w:p>
    <w:p>
      <w:pPr>
        <w:pStyle w:val="Subsection"/>
      </w:pPr>
      <w:r>
        <w:lastRenderedPageBreak/>
        <w:tab/>
        <w:t>(2)</w:t>
      </w:r>
      <w:r>
        <w:tab/>
        <w:t>A person who, without lawful excuse —</w:t>
      </w:r>
    </w:p>
    <w:p>
      <w:pPr>
        <w:pStyle w:val="Indenta"/>
      </w:pPr>
      <w:r>
        <w:tab/>
        <w:t>(a)</w:t>
      </w:r>
      <w:r>
        <w:tab/>
        <w:t>causes an object or substance to be directed at or near, or to be placed in or near the path of, a conveyance that a person is driving; or</w:t>
      </w:r>
    </w:p>
    <w:p>
      <w:pPr>
        <w:pStyle w:val="Indenta"/>
      </w:pPr>
      <w:r>
        <w:tab/>
        <w:t>(b)</w:t>
      </w:r>
      <w:r>
        <w:tab/>
        <w:t>uses a portable device to direct a visible laser or other narrow beam of visible light at or near a conveyance that a person is driving,</w:t>
      </w:r>
    </w:p>
    <w:p>
      <w:pPr>
        <w:pStyle w:val="Subsection"/>
      </w:pPr>
      <w:r>
        <w:tab/>
      </w:r>
      <w:r>
        <w:tab/>
        <w:t>in circumstances that are likely to cause fear or alarm to any person commits a crime and is liable to imprisonment for 7 years.</w:t>
      </w:r>
    </w:p>
    <w:p>
      <w:pPr>
        <w:pStyle w:val="Penstart"/>
      </w:pPr>
      <w:r>
        <w:tab/>
        <w:t>Summary conviction penalty: imprisonment for 3 years and a fine of $36 000.</w:t>
      </w:r>
    </w:p>
    <w:p>
      <w:pPr>
        <w:pStyle w:val="Footnotesection"/>
        <w:keepLines w:val="0"/>
        <w:spacing w:before="160"/>
        <w:ind w:left="890" w:hanging="890"/>
      </w:pPr>
      <w:r>
        <w:tab/>
        <w:t>[Section 74B inserted: No. 44 of 2009 s. 4.]</w:t>
      </w:r>
    </w:p>
    <w:p>
      <w:pPr>
        <w:pStyle w:val="Heading5"/>
      </w:pPr>
      <w:bookmarkStart w:id="134" w:name="_Toc88662116"/>
      <w:r>
        <w:rPr>
          <w:rStyle w:val="CharSectno"/>
        </w:rPr>
        <w:t>75A</w:t>
      </w:r>
      <w:r>
        <w:t>.</w:t>
      </w:r>
      <w:r>
        <w:tab/>
        <w:t>Term used: out</w:t>
      </w:r>
      <w:r>
        <w:noBreakHyphen/>
        <w:t>of</w:t>
      </w:r>
      <w:r>
        <w:noBreakHyphen/>
        <w:t>control gathering</w:t>
      </w:r>
      <w:bookmarkEnd w:id="134"/>
    </w:p>
    <w:p>
      <w:pPr>
        <w:pStyle w:val="Subsection"/>
      </w:pPr>
      <w:r>
        <w:tab/>
        <w:t>(1)</w:t>
      </w:r>
      <w:r>
        <w:tab/>
        <w:t xml:space="preserve">For the purposes of section 75B, a gathering of persons in a place or vehicle is an </w:t>
      </w:r>
      <w:r>
        <w:rPr>
          <w:rStyle w:val="CharDefText"/>
        </w:rPr>
        <w:t>out</w:t>
      </w:r>
      <w:r>
        <w:rPr>
          <w:rStyle w:val="CharDefText"/>
        </w:rPr>
        <w:noBreakHyphen/>
        <w:t>of</w:t>
      </w:r>
      <w:r>
        <w:rPr>
          <w:rStyle w:val="CharDefText"/>
        </w:rPr>
        <w:noBreakHyphen/>
        <w:t>control gathering</w:t>
      </w:r>
      <w:r>
        <w:t xml:space="preserve"> if — </w:t>
      </w:r>
    </w:p>
    <w:p>
      <w:pPr>
        <w:pStyle w:val="Indenta"/>
      </w:pPr>
      <w:r>
        <w:tab/>
        <w:t>(a)</w:t>
      </w:r>
      <w:r>
        <w:tab/>
        <w:t>the gathering is a gathering of 12 or more persons; and</w:t>
      </w:r>
    </w:p>
    <w:p>
      <w:pPr>
        <w:pStyle w:val="Indenta"/>
      </w:pPr>
      <w:r>
        <w:tab/>
        <w:t>(b)</w:t>
      </w:r>
      <w:r>
        <w:tab/>
        <w:t xml:space="preserve">2 or more persons associated with the gathering engage in conduct of any of the following kinds — </w:t>
      </w:r>
    </w:p>
    <w:p>
      <w:pPr>
        <w:pStyle w:val="Indenti"/>
      </w:pPr>
      <w:r>
        <w:tab/>
        <w:t>(i)</w:t>
      </w:r>
      <w:r>
        <w:tab/>
        <w:t>trespassing on a place (as defined in section 70A(1));</w:t>
      </w:r>
    </w:p>
    <w:p>
      <w:pPr>
        <w:pStyle w:val="Indenti"/>
      </w:pPr>
      <w:r>
        <w:tab/>
        <w:t>(ii)</w:t>
      </w:r>
      <w:r>
        <w:tab/>
        <w:t>behaving in a disorderly manner (as defined in section 74A(1));</w:t>
      </w:r>
    </w:p>
    <w:p>
      <w:pPr>
        <w:pStyle w:val="Indenti"/>
      </w:pPr>
      <w:r>
        <w:tab/>
        <w:t>(iii)</w:t>
      </w:r>
      <w:r>
        <w:tab/>
        <w:t>unlawfully destroying or damaging property or threatening to do so;</w:t>
      </w:r>
    </w:p>
    <w:p>
      <w:pPr>
        <w:pStyle w:val="Indenti"/>
      </w:pPr>
      <w:r>
        <w:tab/>
        <w:t>(iv)</w:t>
      </w:r>
      <w:r>
        <w:tab/>
        <w:t>assaulting or threatening to assault another person or taking part in a fight;</w:t>
      </w:r>
    </w:p>
    <w:p>
      <w:pPr>
        <w:pStyle w:val="Indenti"/>
      </w:pPr>
      <w:r>
        <w:tab/>
        <w:t>(v)</w:t>
      </w:r>
      <w:r>
        <w:tab/>
        <w:t>doing an obscene act or indecent act in a public place or in the sight of any person who is in a public place;</w:t>
      </w:r>
    </w:p>
    <w:p>
      <w:pPr>
        <w:pStyle w:val="Indenti"/>
      </w:pPr>
      <w:r>
        <w:lastRenderedPageBreak/>
        <w:tab/>
        <w:t>(vi)</w:t>
      </w:r>
      <w:r>
        <w:tab/>
        <w:t xml:space="preserve">emitting, or causing to be emitted, unreasonable noise (as defined in the </w:t>
      </w:r>
      <w:r>
        <w:rPr>
          <w:i/>
        </w:rPr>
        <w:t>Environmental Protection Act 1986</w:t>
      </w:r>
      <w:r>
        <w:t xml:space="preserve"> section 3(1));</w:t>
      </w:r>
    </w:p>
    <w:p>
      <w:pPr>
        <w:pStyle w:val="Indenti"/>
      </w:pPr>
      <w:r>
        <w:tab/>
        <w:t>(vii)</w:t>
      </w:r>
      <w:r>
        <w:tab/>
        <w:t xml:space="preserve">driving a motor vehicle so as to cause excessive noise or smoke in contravention of the </w:t>
      </w:r>
      <w:r>
        <w:rPr>
          <w:i/>
        </w:rPr>
        <w:t>Road Traffic Act 1974</w:t>
      </w:r>
      <w:r>
        <w:t xml:space="preserve"> section 62A;</w:t>
      </w:r>
    </w:p>
    <w:p>
      <w:pPr>
        <w:pStyle w:val="Indenti"/>
      </w:pPr>
      <w:r>
        <w:tab/>
        <w:t>(viii)</w:t>
      </w:r>
      <w:r>
        <w:tab/>
        <w:t>unlawfully lighting fires or unlawfully using fireworks;</w:t>
      </w:r>
    </w:p>
    <w:p>
      <w:pPr>
        <w:pStyle w:val="Indenti"/>
      </w:pPr>
      <w:r>
        <w:tab/>
        <w:t>(ix)</w:t>
      </w:r>
      <w:r>
        <w:tab/>
        <w:t>throwing any object or releasing any material or thing in a manner that is likely to endanger the life, health or safety of any person;</w:t>
      </w:r>
    </w:p>
    <w:p>
      <w:pPr>
        <w:pStyle w:val="Indenti"/>
      </w:pPr>
      <w:r>
        <w:tab/>
        <w:t>(x)</w:t>
      </w:r>
      <w:r>
        <w:tab/>
        <w:t>causing an obstruction to traffic or to the movement of pedestrians;</w:t>
      </w:r>
    </w:p>
    <w:p>
      <w:pPr>
        <w:pStyle w:val="Indenti"/>
      </w:pPr>
      <w:r>
        <w:tab/>
        <w:t>(xi)</w:t>
      </w:r>
      <w:r>
        <w:tab/>
        <w:t>depositing litter or breaking glass or other material;</w:t>
      </w:r>
    </w:p>
    <w:p>
      <w:pPr>
        <w:pStyle w:val="Indenti"/>
      </w:pPr>
      <w:r>
        <w:tab/>
        <w:t>(xii)</w:t>
      </w:r>
      <w:r>
        <w:tab/>
        <w:t xml:space="preserve">contravening the </w:t>
      </w:r>
      <w:r>
        <w:rPr>
          <w:i/>
        </w:rPr>
        <w:t>Liquor Control Act 1988</w:t>
      </w:r>
      <w:r>
        <w:t xml:space="preserve"> or the </w:t>
      </w:r>
      <w:r>
        <w:rPr>
          <w:i/>
        </w:rPr>
        <w:t>Misuse of Drugs Act 1981</w:t>
      </w:r>
      <w:r>
        <w:t>;</w:t>
      </w:r>
    </w:p>
    <w:p>
      <w:pPr>
        <w:pStyle w:val="Indenti"/>
      </w:pPr>
      <w:r>
        <w:tab/>
        <w:t>(xiii)</w:t>
      </w:r>
      <w:r>
        <w:tab/>
        <w:t>being intoxicated by liquor or an intoxicant (as defined in section 206(1)) in a public place;</w:t>
      </w:r>
    </w:p>
    <w:p>
      <w:pPr>
        <w:pStyle w:val="Indenti"/>
      </w:pPr>
      <w:r>
        <w:tab/>
        <w:t>(xiv)</w:t>
      </w:r>
      <w:r>
        <w:tab/>
        <w:t>any other conduct prescribed by the regulations;</w:t>
      </w:r>
    </w:p>
    <w:p>
      <w:pPr>
        <w:pStyle w:val="Indenta"/>
      </w:pPr>
      <w:r>
        <w:tab/>
      </w:r>
      <w:r>
        <w:tab/>
        <w:t>and</w:t>
      </w:r>
    </w:p>
    <w:p>
      <w:pPr>
        <w:pStyle w:val="Indenta"/>
      </w:pPr>
      <w:r>
        <w:tab/>
        <w:t>(c)</w:t>
      </w:r>
      <w:r>
        <w:tab/>
        <w:t xml:space="preserve">the gathering, or the conduct of persons associated with the gathering (taken together), causes or is likely to cause — </w:t>
      </w:r>
    </w:p>
    <w:p>
      <w:pPr>
        <w:pStyle w:val="Indenti"/>
      </w:pPr>
      <w:r>
        <w:tab/>
        <w:t>(i)</w:t>
      </w:r>
      <w:r>
        <w:tab/>
        <w:t>fear or alarm to any person who is not associated with the gathering; or</w:t>
      </w:r>
    </w:p>
    <w:p>
      <w:pPr>
        <w:pStyle w:val="Indenti"/>
      </w:pPr>
      <w:r>
        <w:tab/>
        <w:t>(ii)</w:t>
      </w:r>
      <w:r>
        <w:tab/>
        <w:t>a substantial interference with the lawful activities of any person; or</w:t>
      </w:r>
    </w:p>
    <w:p>
      <w:pPr>
        <w:pStyle w:val="Indenti"/>
      </w:pPr>
      <w:r>
        <w:tab/>
        <w:t>(iii)</w:t>
      </w:r>
      <w:r>
        <w:tab/>
        <w:t>a substantial interference with the peaceful passage through, or enjoyment of, a place by any person who has lawful access to that place;</w:t>
      </w:r>
    </w:p>
    <w:p>
      <w:pPr>
        <w:pStyle w:val="Indenta"/>
      </w:pPr>
      <w:r>
        <w:tab/>
      </w:r>
      <w:r>
        <w:tab/>
        <w:t>and</w:t>
      </w:r>
    </w:p>
    <w:p>
      <w:pPr>
        <w:pStyle w:val="Indenta"/>
      </w:pPr>
      <w:r>
        <w:tab/>
        <w:t>(d)</w:t>
      </w:r>
      <w:r>
        <w:tab/>
        <w:t>the gathering is not excluded under subsection (3).</w:t>
      </w:r>
    </w:p>
    <w:p>
      <w:pPr>
        <w:pStyle w:val="Subsection"/>
      </w:pPr>
      <w:r>
        <w:lastRenderedPageBreak/>
        <w:tab/>
        <w:t>(2)</w:t>
      </w:r>
      <w:r>
        <w:tab/>
        <w:t xml:space="preserve">In subsection (1) — </w:t>
      </w:r>
    </w:p>
    <w:p>
      <w:pPr>
        <w:pStyle w:val="Defstart"/>
      </w:pPr>
      <w:r>
        <w:tab/>
      </w:r>
      <w:r>
        <w:rPr>
          <w:rStyle w:val="CharDefText"/>
        </w:rPr>
        <w:t>vehicle</w:t>
      </w:r>
      <w:r>
        <w:t xml:space="preserve"> has the meaning given in the </w:t>
      </w:r>
      <w:r>
        <w:rPr>
          <w:i/>
        </w:rPr>
        <w:t>Criminal Investigation Act 2006</w:t>
      </w:r>
      <w:r>
        <w:t xml:space="preserve"> section 3(1).</w:t>
      </w:r>
    </w:p>
    <w:p>
      <w:pPr>
        <w:pStyle w:val="Subsection"/>
      </w:pPr>
      <w:r>
        <w:tab/>
        <w:t>(3)</w:t>
      </w:r>
      <w:r>
        <w:tab/>
        <w:t xml:space="preserve">For the purposes of subsection (1)(d), a gathering of any of the following kinds is excluded — </w:t>
      </w:r>
    </w:p>
    <w:p>
      <w:pPr>
        <w:pStyle w:val="Indenta"/>
      </w:pPr>
      <w:r>
        <w:tab/>
        <w:t>(a)</w:t>
      </w:r>
      <w:r>
        <w:tab/>
        <w:t>a gathering on licensed premises;</w:t>
      </w:r>
    </w:p>
    <w:p>
      <w:pPr>
        <w:pStyle w:val="Indenta"/>
      </w:pPr>
      <w:r>
        <w:tab/>
        <w:t>(b)</w:t>
      </w:r>
      <w:r>
        <w:tab/>
        <w:t xml:space="preserve">a public meeting or procession for which a permit under the </w:t>
      </w:r>
      <w:r>
        <w:rPr>
          <w:i/>
        </w:rPr>
        <w:t>Public Order in Streets Act 1984</w:t>
      </w:r>
      <w:r>
        <w:t xml:space="preserve"> has been issued;</w:t>
      </w:r>
    </w:p>
    <w:p>
      <w:pPr>
        <w:pStyle w:val="Indenta"/>
      </w:pPr>
      <w:r>
        <w:tab/>
        <w:t>(c)</w:t>
      </w:r>
      <w:r>
        <w:tab/>
        <w:t>a gathering that is primarily for the purposes of political advocacy, protest or industrial action;</w:t>
      </w:r>
    </w:p>
    <w:p>
      <w:pPr>
        <w:pStyle w:val="Indenta"/>
      </w:pPr>
      <w:r>
        <w:tab/>
        <w:t>(d)</w:t>
      </w:r>
      <w:r>
        <w:tab/>
        <w:t>a gathering of a kind prescribed by the regulations.</w:t>
      </w:r>
    </w:p>
    <w:p>
      <w:pPr>
        <w:pStyle w:val="Subsection"/>
      </w:pPr>
      <w:r>
        <w:tab/>
        <w:t>(4)</w:t>
      </w:r>
      <w:r>
        <w:tab/>
        <w:t xml:space="preserve">In subsection (3) — </w:t>
      </w:r>
    </w:p>
    <w:p>
      <w:pPr>
        <w:pStyle w:val="Defstart"/>
      </w:pPr>
      <w:r>
        <w:tab/>
      </w:r>
      <w:r>
        <w:rPr>
          <w:rStyle w:val="CharDefText"/>
        </w:rPr>
        <w:t>licensed premises</w:t>
      </w:r>
      <w:r>
        <w:t xml:space="preserve"> has the meaning given in the </w:t>
      </w:r>
      <w:r>
        <w:rPr>
          <w:i/>
        </w:rPr>
        <w:t>Liquor Control Act 1988</w:t>
      </w:r>
      <w:r>
        <w:t xml:space="preserve"> section 3(1), but does not include premises to which an occasional licence granted under section 59 of that Act relates.</w:t>
      </w:r>
    </w:p>
    <w:p>
      <w:pPr>
        <w:pStyle w:val="Subsection"/>
      </w:pPr>
      <w:r>
        <w:tab/>
        <w:t>(5)</w:t>
      </w:r>
      <w:r>
        <w:tab/>
        <w:t xml:space="preserve">For the purposes of subsection (1), a person is associated with a gathering if the person — </w:t>
      </w:r>
    </w:p>
    <w:p>
      <w:pPr>
        <w:pStyle w:val="Indenta"/>
      </w:pPr>
      <w:r>
        <w:tab/>
        <w:t>(a)</w:t>
      </w:r>
      <w:r>
        <w:tab/>
        <w:t>is attending the gathering; or</w:t>
      </w:r>
    </w:p>
    <w:p>
      <w:pPr>
        <w:pStyle w:val="Indenta"/>
      </w:pPr>
      <w:r>
        <w:tab/>
        <w:t>(b)</w:t>
      </w:r>
      <w:r>
        <w:tab/>
        <w:t>is in the vicinity of the gathering and has attended or is proposing to attend the gathering.</w:t>
      </w:r>
    </w:p>
    <w:p>
      <w:pPr>
        <w:pStyle w:val="Footnotesection"/>
      </w:pPr>
      <w:r>
        <w:tab/>
        <w:t>[Section 75A inserted: No. 56 of 2012 s. 4.]</w:t>
      </w:r>
    </w:p>
    <w:p>
      <w:pPr>
        <w:pStyle w:val="Heading5"/>
      </w:pPr>
      <w:bookmarkStart w:id="135" w:name="_Toc88662117"/>
      <w:r>
        <w:rPr>
          <w:rStyle w:val="CharSectno"/>
        </w:rPr>
        <w:t>75B</w:t>
      </w:r>
      <w:r>
        <w:t>.</w:t>
      </w:r>
      <w:r>
        <w:tab/>
        <w:t>Organising out</w:t>
      </w:r>
      <w:r>
        <w:noBreakHyphen/>
        <w:t>of</w:t>
      </w:r>
      <w:r>
        <w:noBreakHyphen/>
        <w:t>control gathering</w:t>
      </w:r>
      <w:bookmarkEnd w:id="135"/>
    </w:p>
    <w:p>
      <w:pPr>
        <w:pStyle w:val="Subsection"/>
      </w:pPr>
      <w:r>
        <w:tab/>
        <w:t>(1)</w:t>
      </w:r>
      <w:r>
        <w:tab/>
        <w:t xml:space="preserve">In this section — </w:t>
      </w:r>
    </w:p>
    <w:p>
      <w:pPr>
        <w:pStyle w:val="Defstart"/>
      </w:pPr>
      <w:r>
        <w:tab/>
      </w:r>
      <w:r>
        <w:rPr>
          <w:rStyle w:val="CharDefText"/>
        </w:rPr>
        <w:t>organise</w:t>
      </w:r>
      <w:r>
        <w:t>, in relation to a gathering, means to have a substantial involvement in arranging, managing, advertising or promoting the gathering (whether or not any other organisers of the gathering know of or consent to that involvement);</w:t>
      </w:r>
    </w:p>
    <w:p>
      <w:pPr>
        <w:pStyle w:val="Defstart"/>
      </w:pPr>
      <w:r>
        <w:tab/>
      </w:r>
      <w:r>
        <w:rPr>
          <w:rStyle w:val="CharDefText"/>
        </w:rPr>
        <w:t>responsible adult</w:t>
      </w:r>
      <w:r>
        <w:t>, in relation to a child, means a parent, guardian or other person having responsibility for the day</w:t>
      </w:r>
      <w:r>
        <w:noBreakHyphen/>
        <w:t>to</w:t>
      </w:r>
      <w:r>
        <w:noBreakHyphen/>
        <w:t>day care of the child but does not include a person who the regulations provide is not a responsible adult.</w:t>
      </w:r>
    </w:p>
    <w:p>
      <w:pPr>
        <w:pStyle w:val="Subsection"/>
      </w:pPr>
      <w:r>
        <w:lastRenderedPageBreak/>
        <w:tab/>
        <w:t>(2)</w:t>
      </w:r>
      <w:r>
        <w:tab/>
        <w:t xml:space="preserve">A person — </w:t>
      </w:r>
    </w:p>
    <w:p>
      <w:pPr>
        <w:pStyle w:val="Indenta"/>
        <w:spacing w:before="120"/>
      </w:pPr>
      <w:r>
        <w:tab/>
        <w:t>(a)</w:t>
      </w:r>
      <w:r>
        <w:tab/>
        <w:t>who organises a gathering that becomes an out</w:t>
      </w:r>
      <w:r>
        <w:noBreakHyphen/>
        <w:t>of</w:t>
      </w:r>
      <w:r>
        <w:noBreakHyphen/>
        <w:t>control gathering; or</w:t>
      </w:r>
    </w:p>
    <w:p>
      <w:pPr>
        <w:pStyle w:val="Indenta"/>
        <w:spacing w:before="120"/>
      </w:pPr>
      <w:r>
        <w:tab/>
        <w:t>(b)</w:t>
      </w:r>
      <w:r>
        <w:tab/>
        <w:t xml:space="preserve">who — </w:t>
      </w:r>
    </w:p>
    <w:p>
      <w:pPr>
        <w:pStyle w:val="Indenti"/>
        <w:spacing w:before="120"/>
      </w:pPr>
      <w:r>
        <w:tab/>
        <w:t>(i)</w:t>
      </w:r>
      <w:r>
        <w:tab/>
        <w:t>is a responsible adult in relation to a child who organises a gathering that becomes an out</w:t>
      </w:r>
      <w:r>
        <w:noBreakHyphen/>
        <w:t>of</w:t>
      </w:r>
      <w:r>
        <w:noBreakHyphen/>
        <w:t>control gathering; and</w:t>
      </w:r>
    </w:p>
    <w:p>
      <w:pPr>
        <w:pStyle w:val="Indenti"/>
        <w:spacing w:before="120"/>
      </w:pPr>
      <w:r>
        <w:tab/>
        <w:t>(ii)</w:t>
      </w:r>
      <w:r>
        <w:tab/>
        <w:t>gives the child permission to organise the gathering or permits the gathering to occur,</w:t>
      </w:r>
    </w:p>
    <w:p>
      <w:pPr>
        <w:pStyle w:val="Subsection"/>
        <w:spacing w:before="200"/>
      </w:pPr>
      <w:r>
        <w:tab/>
      </w:r>
      <w:r>
        <w:tab/>
        <w:t>is guilty of an offence and is liable to imprisonment for 12 months and a fine of $12 000.</w:t>
      </w:r>
    </w:p>
    <w:p>
      <w:pPr>
        <w:pStyle w:val="Subsection"/>
        <w:spacing w:before="200"/>
      </w:pPr>
      <w:r>
        <w:tab/>
        <w:t>(3)</w:t>
      </w:r>
      <w:r>
        <w:tab/>
        <w:t>It is a defence to a charge under subsection (2) to prove the accused person took such steps (if any) as were reasonable in the circumstances to ensure that the gathering did not become an out</w:t>
      </w:r>
      <w:r>
        <w:noBreakHyphen/>
        <w:t>of</w:t>
      </w:r>
      <w:r>
        <w:noBreakHyphen/>
        <w:t>control gathering.</w:t>
      </w:r>
    </w:p>
    <w:p>
      <w:pPr>
        <w:pStyle w:val="Subsection"/>
        <w:spacing w:before="200"/>
      </w:pPr>
      <w:r>
        <w:tab/>
        <w:t>(4)</w:t>
      </w:r>
      <w:r>
        <w:tab/>
        <w:t>Without limiting subsection (3), the following are examples of steps that could be taken to ensure that a gathering does not become an out</w:t>
      </w:r>
      <w:r>
        <w:noBreakHyphen/>
        <w:t>of</w:t>
      </w:r>
      <w:r>
        <w:noBreakHyphen/>
        <w:t xml:space="preserve">control gathering — </w:t>
      </w:r>
    </w:p>
    <w:p>
      <w:pPr>
        <w:pStyle w:val="Indenta"/>
        <w:spacing w:before="120"/>
      </w:pPr>
      <w:r>
        <w:tab/>
        <w:t>(a)</w:t>
      </w:r>
      <w:r>
        <w:tab/>
        <w:t>engaging persons to provide security services at the gathering;</w:t>
      </w:r>
    </w:p>
    <w:p>
      <w:pPr>
        <w:pStyle w:val="Indenta"/>
        <w:spacing w:before="120"/>
      </w:pPr>
      <w:r>
        <w:tab/>
        <w:t>(b)</w:t>
      </w:r>
      <w:r>
        <w:tab/>
        <w:t>organising the gathering in a manner that indicates that only persons invited to the gathering may attend;</w:t>
      </w:r>
    </w:p>
    <w:p>
      <w:pPr>
        <w:pStyle w:val="Indenta"/>
        <w:spacing w:before="120"/>
      </w:pPr>
      <w:r>
        <w:tab/>
        <w:t>(c)</w:t>
      </w:r>
      <w:r>
        <w:tab/>
        <w:t>giving notice of the gathering to the Commissioner of Police in a manner approved by the Commissioner of Police;</w:t>
      </w:r>
    </w:p>
    <w:p>
      <w:pPr>
        <w:pStyle w:val="Indenta"/>
        <w:spacing w:before="120"/>
      </w:pPr>
      <w:r>
        <w:tab/>
        <w:t>(d)</w:t>
      </w:r>
      <w:r>
        <w:tab/>
        <w:t xml:space="preserve">taking steps to request the attendance of police officers at the gathering as soon as practicable after becoming aware that — </w:t>
      </w:r>
    </w:p>
    <w:p>
      <w:pPr>
        <w:pStyle w:val="Indenti"/>
        <w:spacing w:before="120"/>
      </w:pPr>
      <w:r>
        <w:tab/>
        <w:t>(i)</w:t>
      </w:r>
      <w:r>
        <w:tab/>
        <w:t>the gathering is likely to become an out</w:t>
      </w:r>
      <w:r>
        <w:noBreakHyphen/>
        <w:t>of</w:t>
      </w:r>
      <w:r>
        <w:noBreakHyphen/>
        <w:t>control gathering; or</w:t>
      </w:r>
    </w:p>
    <w:p>
      <w:pPr>
        <w:pStyle w:val="Indenti"/>
      </w:pPr>
      <w:r>
        <w:lastRenderedPageBreak/>
        <w:tab/>
        <w:t>(ii)</w:t>
      </w:r>
      <w:r>
        <w:tab/>
        <w:t>any person is trespassing on a place where the gathering is occurring.</w:t>
      </w:r>
    </w:p>
    <w:p>
      <w:pPr>
        <w:pStyle w:val="Subsection"/>
      </w:pPr>
      <w:r>
        <w:tab/>
        <w:t>(5)</w:t>
      </w:r>
      <w:r>
        <w:tab/>
        <w:t>A court convicting a person of an offence under subsection (2) may order the person to pay some or all of the reasonable expenses of or incidental to any action that was reasonably taken by police officers in responding to the out</w:t>
      </w:r>
      <w:r>
        <w:noBreakHyphen/>
        <w:t>of</w:t>
      </w:r>
      <w:r>
        <w:noBreakHyphen/>
        <w:t>control gathering.</w:t>
      </w:r>
    </w:p>
    <w:p>
      <w:pPr>
        <w:pStyle w:val="Subsection"/>
      </w:pPr>
      <w:r>
        <w:tab/>
        <w:t>(6)</w:t>
      </w:r>
      <w:r>
        <w:tab/>
        <w:t>The order must specify that the amount is to be paid to the Commissioner of Police.</w:t>
      </w:r>
    </w:p>
    <w:p>
      <w:pPr>
        <w:pStyle w:val="Subsection"/>
      </w:pPr>
      <w:r>
        <w:tab/>
        <w:t>(7)</w:t>
      </w:r>
      <w:r>
        <w:tab/>
        <w:t xml:space="preserve">The </w:t>
      </w:r>
      <w:r>
        <w:rPr>
          <w:i/>
        </w:rPr>
        <w:t>Sentencing Act 1995</w:t>
      </w:r>
      <w:r>
        <w:t xml:space="preserve"> Part 16 applies to and in respect of an order made under subsection (5) as if it were a compensation order made under that Part.</w:t>
      </w:r>
    </w:p>
    <w:p>
      <w:pPr>
        <w:pStyle w:val="Footnotesection"/>
      </w:pPr>
      <w:r>
        <w:tab/>
        <w:t>[Section 75B inserted: No. 56 of 2012 s. 4.]</w:t>
      </w:r>
    </w:p>
    <w:p>
      <w:pPr>
        <w:pStyle w:val="Heading3"/>
        <w:rPr>
          <w:snapToGrid w:val="0"/>
        </w:rPr>
      </w:pPr>
      <w:bookmarkStart w:id="136" w:name="_Toc88569675"/>
      <w:bookmarkStart w:id="137" w:name="_Toc88570197"/>
      <w:bookmarkStart w:id="138" w:name="_Toc88570719"/>
      <w:bookmarkStart w:id="139" w:name="_Toc88662118"/>
      <w:r>
        <w:rPr>
          <w:rStyle w:val="CharDivNo"/>
        </w:rPr>
        <w:t>Chapter X</w:t>
      </w:r>
      <w:r>
        <w:rPr>
          <w:snapToGrid w:val="0"/>
        </w:rPr>
        <w:t> — </w:t>
      </w:r>
      <w:r>
        <w:rPr>
          <w:rStyle w:val="CharDivText"/>
        </w:rPr>
        <w:t>Offences against political liberty</w:t>
      </w:r>
      <w:bookmarkEnd w:id="136"/>
      <w:bookmarkEnd w:id="137"/>
      <w:bookmarkEnd w:id="138"/>
      <w:bookmarkEnd w:id="139"/>
    </w:p>
    <w:p>
      <w:pPr>
        <w:pStyle w:val="Heading5"/>
        <w:rPr>
          <w:snapToGrid w:val="0"/>
        </w:rPr>
      </w:pPr>
      <w:bookmarkStart w:id="140" w:name="_Toc88662119"/>
      <w:r>
        <w:rPr>
          <w:rStyle w:val="CharSectno"/>
        </w:rPr>
        <w:t>75</w:t>
      </w:r>
      <w:r>
        <w:rPr>
          <w:snapToGrid w:val="0"/>
        </w:rPr>
        <w:t>.</w:t>
      </w:r>
      <w:r>
        <w:rPr>
          <w:snapToGrid w:val="0"/>
        </w:rPr>
        <w:tab/>
        <w:t>Interfering with political liberty</w:t>
      </w:r>
      <w:bookmarkEnd w:id="140"/>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No. 70 of 1988 s. 15; No. 51 of 1992 s. 16(2); No. 70 of 2004 s. 34(1) and 35(1).]</w:t>
      </w:r>
    </w:p>
    <w:p>
      <w:pPr>
        <w:pStyle w:val="Heading3"/>
      </w:pPr>
      <w:bookmarkStart w:id="141" w:name="_Toc88569677"/>
      <w:bookmarkStart w:id="142" w:name="_Toc88570199"/>
      <w:bookmarkStart w:id="143" w:name="_Toc88570721"/>
      <w:bookmarkStart w:id="144" w:name="_Toc88662120"/>
      <w:r>
        <w:rPr>
          <w:rStyle w:val="CharDivNo"/>
        </w:rPr>
        <w:t>Chapter XI</w:t>
      </w:r>
      <w:r>
        <w:t> — </w:t>
      </w:r>
      <w:r>
        <w:rPr>
          <w:rStyle w:val="CharDivText"/>
        </w:rPr>
        <w:t>Racist harassment and incitement to racial hatred</w:t>
      </w:r>
      <w:bookmarkEnd w:id="141"/>
      <w:bookmarkEnd w:id="142"/>
      <w:bookmarkEnd w:id="143"/>
      <w:bookmarkEnd w:id="144"/>
    </w:p>
    <w:p>
      <w:pPr>
        <w:pStyle w:val="Footnoteheading"/>
        <w:ind w:left="851"/>
        <w:rPr>
          <w:snapToGrid w:val="0"/>
        </w:rPr>
      </w:pPr>
      <w:r>
        <w:rPr>
          <w:snapToGrid w:val="0"/>
        </w:rPr>
        <w:tab/>
        <w:t>[Heading inserted: No. 33 of 1990 s. 3.]</w:t>
      </w:r>
    </w:p>
    <w:p>
      <w:pPr>
        <w:pStyle w:val="Heading5"/>
        <w:rPr>
          <w:snapToGrid w:val="0"/>
        </w:rPr>
      </w:pPr>
      <w:bookmarkStart w:id="145" w:name="_Toc88662121"/>
      <w:r>
        <w:rPr>
          <w:rStyle w:val="CharSectno"/>
        </w:rPr>
        <w:t>76</w:t>
      </w:r>
      <w:r>
        <w:rPr>
          <w:snapToGrid w:val="0"/>
        </w:rPr>
        <w:t>.</w:t>
      </w:r>
      <w:r>
        <w:rPr>
          <w:snapToGrid w:val="0"/>
        </w:rPr>
        <w:tab/>
        <w:t>Terms used</w:t>
      </w:r>
      <w:bookmarkEnd w:id="145"/>
    </w:p>
    <w:p>
      <w:pPr>
        <w:pStyle w:val="Subsection"/>
        <w:rPr>
          <w:snapToGrid w:val="0"/>
        </w:rPr>
      </w:pPr>
      <w:r>
        <w:rPr>
          <w:snapToGrid w:val="0"/>
        </w:rPr>
        <w:tab/>
      </w:r>
      <w:r>
        <w:rPr>
          <w:snapToGrid w:val="0"/>
        </w:rPr>
        <w:tab/>
        <w:t>In this C</w:t>
      </w:r>
      <w:r>
        <w:t>hapter</w:t>
      </w:r>
      <w:r>
        <w:rPr>
          <w:snapToGrid w:val="0"/>
        </w:rPr>
        <w:t> —</w:t>
      </w:r>
    </w:p>
    <w:p>
      <w:pPr>
        <w:pStyle w:val="Defstart"/>
        <w:rPr>
          <w:bCs/>
        </w:rPr>
      </w:pPr>
      <w:r>
        <w:rPr>
          <w:b/>
        </w:rPr>
        <w:tab/>
      </w:r>
      <w:r>
        <w:rPr>
          <w:rStyle w:val="CharDefText"/>
        </w:rPr>
        <w:t>animosity towards</w:t>
      </w:r>
      <w:r>
        <w:t xml:space="preserve"> </w:t>
      </w:r>
      <w:r>
        <w:rPr>
          <w:bCs/>
        </w:rPr>
        <w:t>means hatred of or serious contempt for;</w:t>
      </w:r>
    </w:p>
    <w:p>
      <w:pPr>
        <w:pStyle w:val="Defstart"/>
      </w:pPr>
      <w:r>
        <w:rPr>
          <w:b/>
        </w:rPr>
        <w:lastRenderedPageBreak/>
        <w:tab/>
      </w:r>
      <w:r>
        <w:rPr>
          <w:rStyle w:val="CharDefText"/>
        </w:rPr>
        <w:t>display</w:t>
      </w:r>
      <w:r>
        <w:t xml:space="preserve"> means display in or within view of a public place;</w:t>
      </w:r>
    </w:p>
    <w:p>
      <w:pPr>
        <w:pStyle w:val="Defstart"/>
      </w:pPr>
      <w:r>
        <w:rPr>
          <w:b/>
        </w:rPr>
        <w:tab/>
      </w:r>
      <w:r>
        <w:rPr>
          <w:rStyle w:val="CharDefText"/>
        </w:rPr>
        <w:t>distribute</w:t>
      </w:r>
      <w:r>
        <w:t xml:space="preserve"> means distribute to the </w:t>
      </w:r>
      <w:r>
        <w:rPr>
          <w:bCs/>
        </w:rPr>
        <w:t>public</w:t>
      </w:r>
      <w:r>
        <w:t xml:space="preserve"> or a section of the public;</w:t>
      </w:r>
    </w:p>
    <w:p>
      <w:pPr>
        <w:pStyle w:val="Defstart"/>
      </w:pPr>
      <w:r>
        <w:rPr>
          <w:b/>
        </w:rPr>
        <w:tab/>
      </w:r>
      <w:r>
        <w:rPr>
          <w:rStyle w:val="CharDefText"/>
        </w:rPr>
        <w:t>harass</w:t>
      </w:r>
      <w:r>
        <w:t xml:space="preserve"> includes to threaten, </w:t>
      </w:r>
      <w:r>
        <w:rPr>
          <w:bCs/>
        </w:rPr>
        <w:t>seriously</w:t>
      </w:r>
      <w:r>
        <w:t xml:space="preserve"> and substantially abuse or severely ridicule;</w:t>
      </w:r>
    </w:p>
    <w:p>
      <w:pPr>
        <w:pStyle w:val="Defstart"/>
      </w:pPr>
      <w:r>
        <w:rPr>
          <w:b/>
        </w:rPr>
        <w:tab/>
      </w:r>
      <w:r>
        <w:rPr>
          <w:rStyle w:val="CharDefText"/>
        </w:rPr>
        <w:t>member</w:t>
      </w:r>
      <w:r>
        <w:t xml:space="preserve"> of a racial group includes a person associated with a racial group;</w:t>
      </w:r>
    </w:p>
    <w:p>
      <w:pPr>
        <w:pStyle w:val="Defstart"/>
      </w:pPr>
      <w:r>
        <w:rPr>
          <w:b/>
        </w:rPr>
        <w:tab/>
      </w:r>
      <w:r>
        <w:rPr>
          <w:rStyle w:val="CharDefText"/>
        </w:rPr>
        <w:t>publish</w:t>
      </w:r>
      <w:r>
        <w:t xml:space="preserve"> means publish to the public or a section of the public;</w:t>
      </w:r>
    </w:p>
    <w:p>
      <w:pPr>
        <w:pStyle w:val="Defstart"/>
      </w:pPr>
      <w:r>
        <w:rPr>
          <w:b/>
        </w:rPr>
        <w:tab/>
      </w:r>
      <w:r>
        <w:rPr>
          <w:rStyle w:val="CharDefText"/>
        </w:rPr>
        <w:t>racial group</w:t>
      </w:r>
      <w:r>
        <w:t xml:space="preserve"> means any group of </w:t>
      </w:r>
      <w:r>
        <w:rPr>
          <w:bCs/>
        </w:rPr>
        <w:t>persons</w:t>
      </w:r>
      <w:r>
        <w:t xml:space="preserve"> defined by reference to race, colour or ethnic or national origins;</w:t>
      </w:r>
    </w:p>
    <w:p>
      <w:pPr>
        <w:pStyle w:val="Defstart"/>
        <w:keepNext/>
        <w:keepLines/>
      </w:pPr>
      <w:r>
        <w:rPr>
          <w:b/>
        </w:rPr>
        <w:tab/>
      </w:r>
      <w:r>
        <w:rPr>
          <w:rStyle w:val="CharDefText"/>
        </w:rPr>
        <w:t>written or pictorial material</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[Section 76 inserted: No. 33 of 1990 s. 3; amended: No. 80 of 2004 s. 5.]</w:t>
      </w:r>
    </w:p>
    <w:p>
      <w:pPr>
        <w:pStyle w:val="Heading5"/>
        <w:spacing w:before="240"/>
      </w:pPr>
      <w:bookmarkStart w:id="146" w:name="_Toc88662122"/>
      <w:r>
        <w:rPr>
          <w:rStyle w:val="CharSectno"/>
        </w:rPr>
        <w:t>77</w:t>
      </w:r>
      <w:r>
        <w:t>.</w:t>
      </w:r>
      <w:r>
        <w:tab/>
        <w:t>Conduct intended to incite racial animosity or racist harassment</w:t>
      </w:r>
      <w:bookmarkEnd w:id="146"/>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No. 80 of 2004 s. 6; amended: No. 70 of 2004 s. 38(3).]</w:t>
      </w:r>
    </w:p>
    <w:p>
      <w:pPr>
        <w:pStyle w:val="Heading5"/>
        <w:spacing w:before="240"/>
      </w:pPr>
      <w:bookmarkStart w:id="147" w:name="_Toc88662123"/>
      <w:r>
        <w:rPr>
          <w:rStyle w:val="CharSectno"/>
        </w:rPr>
        <w:t>78</w:t>
      </w:r>
      <w:r>
        <w:t>.</w:t>
      </w:r>
      <w:r>
        <w:tab/>
        <w:t>Conduct likely to incite racial animosity or racist harassment</w:t>
      </w:r>
      <w:bookmarkEnd w:id="147"/>
    </w:p>
    <w:p>
      <w:pPr>
        <w:pStyle w:val="Subsection"/>
        <w:rPr>
          <w:snapToGrid w:val="0"/>
        </w:rPr>
      </w:pPr>
      <w:r>
        <w:rPr>
          <w:snapToGrid w:val="0"/>
        </w:rPr>
        <w:tab/>
      </w:r>
      <w:r>
        <w:rPr>
          <w:snapToGrid w:val="0"/>
        </w:rPr>
        <w:tab/>
        <w:t xml:space="preserve">Any person who engages in any conduct, otherwise than in private, that is likely to create, promote or increase animosity towards, or harassment of, a racial group, or a person as a </w:t>
      </w:r>
      <w:r>
        <w:rPr>
          <w:snapToGrid w:val="0"/>
        </w:rPr>
        <w:lastRenderedPageBreak/>
        <w:t>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No. 80 of 2004 s. 6; amended: No. 70 of 2004 s. 38(1) and (3).]</w:t>
      </w:r>
    </w:p>
    <w:p>
      <w:pPr>
        <w:pStyle w:val="Heading5"/>
        <w:keepNext w:val="0"/>
        <w:keepLines w:val="0"/>
        <w:spacing w:before="180"/>
      </w:pPr>
      <w:bookmarkStart w:id="148" w:name="_Toc88662124"/>
      <w:r>
        <w:rPr>
          <w:rStyle w:val="CharSectno"/>
        </w:rPr>
        <w:t>79</w:t>
      </w:r>
      <w:r>
        <w:t>.</w:t>
      </w:r>
      <w:r>
        <w:tab/>
        <w:t>Possession of material for dissemination with intent to incite racial animosity or racist harassment</w:t>
      </w:r>
      <w:bookmarkEnd w:id="148"/>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r>
        <w:tab/>
        <w:t>[Section 79 inserted: No. 80 of 2004 s. 6; amended: No. 70 of 2004 s. 38(3).]</w:t>
      </w:r>
    </w:p>
    <w:p>
      <w:pPr>
        <w:pStyle w:val="Heading5"/>
      </w:pPr>
      <w:bookmarkStart w:id="149" w:name="_Toc88662125"/>
      <w:r>
        <w:rPr>
          <w:rStyle w:val="CharSectno"/>
        </w:rPr>
        <w:t>80</w:t>
      </w:r>
      <w:r>
        <w:t>.</w:t>
      </w:r>
      <w:r>
        <w:tab/>
        <w:t>Possession of material for dissemination that is likely to incite racial animosity or racist harassment</w:t>
      </w:r>
      <w:bookmarkEnd w:id="149"/>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 xml:space="preserve">the publication, distribution or display of the material would be likely to create, promote or increase animosity </w:t>
      </w:r>
      <w:r>
        <w:rPr>
          <w:snapToGrid w:val="0"/>
        </w:rPr>
        <w:lastRenderedPageBreak/>
        <w:t>towards, or harassment of, a racial group, or a person as a member of a racial group,</w:t>
      </w:r>
    </w:p>
    <w:p>
      <w:pPr>
        <w:pStyle w:val="Subsection"/>
        <w:keepNext/>
        <w:keepLines/>
        <w:rPr>
          <w:snapToGrid w:val="0"/>
        </w:rPr>
      </w:pPr>
      <w:r>
        <w:rPr>
          <w:snapToGrid w:val="0"/>
        </w:rPr>
        <w:tab/>
      </w:r>
      <w:r>
        <w:rPr>
          <w:snapToGrid w:val="0"/>
        </w:rPr>
        <w:tab/>
        <w:t>the person possessing the material is guilty of a crime and is liable to imprisonment for 5 years.</w:t>
      </w:r>
    </w:p>
    <w:p>
      <w:pPr>
        <w:pStyle w:val="Penstart"/>
        <w:keepNext/>
        <w:keepLines/>
      </w:pPr>
      <w:r>
        <w:tab/>
        <w:t>Alternative offence: s. 80C or 80D.</w:t>
      </w:r>
    </w:p>
    <w:p>
      <w:pPr>
        <w:pStyle w:val="Penstart"/>
        <w:keepNext/>
        <w:keepLines/>
      </w:pPr>
      <w:r>
        <w:tab/>
        <w:t>Summary conviction penalty: imprisonment for 2 years and a fine of $24 000.</w:t>
      </w:r>
    </w:p>
    <w:p>
      <w:pPr>
        <w:pStyle w:val="Footnotesection"/>
      </w:pPr>
      <w:r>
        <w:tab/>
        <w:t>[Section 80 inserted: No. 80 of 2004 s. 6; amended: No. 70 of 2004 s. 38(1) and (3).]</w:t>
      </w:r>
    </w:p>
    <w:p>
      <w:pPr>
        <w:pStyle w:val="Heading5"/>
        <w:keepNext w:val="0"/>
        <w:keepLines w:val="0"/>
      </w:pPr>
      <w:bookmarkStart w:id="150" w:name="_Toc88662126"/>
      <w:r>
        <w:rPr>
          <w:rStyle w:val="CharSectno"/>
        </w:rPr>
        <w:t>80A</w:t>
      </w:r>
      <w:r>
        <w:t>.</w:t>
      </w:r>
      <w:r>
        <w:tab/>
        <w:t>Conduct intended to racially harass</w:t>
      </w:r>
      <w:bookmarkEnd w:id="150"/>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keepLines/>
      </w:pPr>
      <w:r>
        <w:tab/>
        <w:t>Alternative offence: s. 78 or 80B.</w:t>
      </w:r>
    </w:p>
    <w:p>
      <w:pPr>
        <w:pStyle w:val="Penstart"/>
        <w:keepLines/>
      </w:pPr>
      <w:r>
        <w:tab/>
        <w:t>Summary conviction penalty: imprisonment for 2 years and a fine of $24 000.</w:t>
      </w:r>
    </w:p>
    <w:p>
      <w:pPr>
        <w:pStyle w:val="Footnotesection"/>
      </w:pPr>
      <w:r>
        <w:tab/>
        <w:t>[Section 80A inserted: No. 80 of 2004 s. 6; amended: No. 70 of 2004 s. 38(1) and (3).]</w:t>
      </w:r>
    </w:p>
    <w:p>
      <w:pPr>
        <w:pStyle w:val="Heading5"/>
      </w:pPr>
      <w:bookmarkStart w:id="151" w:name="_Toc88662127"/>
      <w:r>
        <w:rPr>
          <w:rStyle w:val="CharSectno"/>
        </w:rPr>
        <w:t>80B</w:t>
      </w:r>
      <w:r>
        <w:t>.</w:t>
      </w:r>
      <w:r>
        <w:tab/>
        <w:t>Conduct likely to racially harass</w:t>
      </w:r>
      <w:bookmarkEnd w:id="151"/>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No. 80 of 2004 s. 6; amended: No. 70 of 2004 s. 38(2).]</w:t>
      </w:r>
    </w:p>
    <w:p>
      <w:pPr>
        <w:pStyle w:val="Heading5"/>
        <w:rPr>
          <w:snapToGrid w:val="0"/>
        </w:rPr>
      </w:pPr>
      <w:bookmarkStart w:id="152" w:name="_Toc88662128"/>
      <w:r>
        <w:rPr>
          <w:rStyle w:val="CharSectno"/>
        </w:rPr>
        <w:lastRenderedPageBreak/>
        <w:t>80C</w:t>
      </w:r>
      <w:r>
        <w:t>.</w:t>
      </w:r>
      <w:r>
        <w:tab/>
        <w:t>Possession</w:t>
      </w:r>
      <w:r>
        <w:rPr>
          <w:snapToGrid w:val="0"/>
        </w:rPr>
        <w:t xml:space="preserve"> of material for display with intent to racially harass</w:t>
      </w:r>
      <w:bookmarkEnd w:id="152"/>
    </w:p>
    <w:p>
      <w:pPr>
        <w:pStyle w:val="Subsection"/>
        <w:keepNext/>
        <w:keepLines/>
        <w:rPr>
          <w:snapToGrid w:val="0"/>
        </w:rPr>
      </w:pPr>
      <w:r>
        <w:rPr>
          <w:snapToGrid w:val="0"/>
        </w:rPr>
        <w:tab/>
      </w:r>
      <w:r>
        <w:rPr>
          <w:snapToGrid w:val="0"/>
        </w:rPr>
        <w:tab/>
        <w:t>Any person who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No. 80 of 2004 s. 6; amended: No. 70 of 2004 s. 38(1) and (3).]</w:t>
      </w:r>
    </w:p>
    <w:p>
      <w:pPr>
        <w:pStyle w:val="Heading5"/>
        <w:rPr>
          <w:snapToGrid w:val="0"/>
        </w:rPr>
      </w:pPr>
      <w:bookmarkStart w:id="153" w:name="_Toc88662129"/>
      <w:r>
        <w:rPr>
          <w:rStyle w:val="CharSectno"/>
        </w:rPr>
        <w:t>80D</w:t>
      </w:r>
      <w:r>
        <w:t>.</w:t>
      </w:r>
      <w:r>
        <w:tab/>
        <w:t>Possession</w:t>
      </w:r>
      <w:r>
        <w:rPr>
          <w:snapToGrid w:val="0"/>
        </w:rPr>
        <w:t xml:space="preserve"> of material for display that is likely to racially harass</w:t>
      </w:r>
      <w:bookmarkEnd w:id="153"/>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No. 80 of 2004 s. 6; amended: No. 70 of 2004 s. 38(2).]</w:t>
      </w:r>
    </w:p>
    <w:p>
      <w:pPr>
        <w:pStyle w:val="Heading5"/>
      </w:pPr>
      <w:bookmarkStart w:id="154" w:name="_Toc88662130"/>
      <w:r>
        <w:rPr>
          <w:rStyle w:val="CharSectno"/>
        </w:rPr>
        <w:lastRenderedPageBreak/>
        <w:t>80E</w:t>
      </w:r>
      <w:r>
        <w:t>.</w:t>
      </w:r>
      <w:r>
        <w:tab/>
        <w:t>Conduct and private conduct, meaning of in s. 77, 78, 80A and 80B</w:t>
      </w:r>
      <w:bookmarkEnd w:id="154"/>
    </w:p>
    <w:p>
      <w:pPr>
        <w:pStyle w:val="Subsection"/>
        <w:spacing w:before="140"/>
      </w:pPr>
      <w:r>
        <w:tab/>
        <w:t>(1)</w:t>
      </w:r>
      <w:r>
        <w:tab/>
        <w:t>A reference in section 77, 78, 80A or 80B to conduct includes a reference to conduct occurring on a number of occasions over a period of time.</w:t>
      </w:r>
    </w:p>
    <w:p>
      <w:pPr>
        <w:pStyle w:val="Subsection"/>
        <w:spacing w:before="140"/>
      </w:pPr>
      <w:r>
        <w:tab/>
        <w:t>(2)</w:t>
      </w:r>
      <w:r>
        <w:tab/>
        <w:t>For the purposes of sections 77, 78, 80A and 80B conduct is taken not to occur in private if it —</w:t>
      </w:r>
    </w:p>
    <w:p>
      <w:pPr>
        <w:pStyle w:val="Indenta"/>
        <w:spacing w:before="60"/>
        <w:rPr>
          <w:snapToGrid w:val="0"/>
        </w:rPr>
      </w:pPr>
      <w:r>
        <w:rPr>
          <w:snapToGrid w:val="0"/>
        </w:rPr>
        <w:tab/>
        <w:t>(a)</w:t>
      </w:r>
      <w:r>
        <w:rPr>
          <w:snapToGrid w:val="0"/>
        </w:rPr>
        <w:tab/>
        <w:t>consists of any form of communication with the public or a section of the public; or</w:t>
      </w:r>
    </w:p>
    <w:p>
      <w:pPr>
        <w:pStyle w:val="Indenta"/>
        <w:spacing w:before="60"/>
        <w:rPr>
          <w:snapToGrid w:val="0"/>
        </w:rPr>
      </w:pPr>
      <w:r>
        <w:rPr>
          <w:snapToGrid w:val="0"/>
        </w:rPr>
        <w:tab/>
        <w:t>(b)</w:t>
      </w:r>
      <w:r>
        <w:rPr>
          <w:snapToGrid w:val="0"/>
        </w:rPr>
        <w:tab/>
        <w:t>occurs in a public place or in the sight or hearing of people who are in a public place.</w:t>
      </w:r>
    </w:p>
    <w:p>
      <w:pPr>
        <w:pStyle w:val="Footnotesection"/>
        <w:spacing w:before="100"/>
      </w:pPr>
      <w:r>
        <w:tab/>
        <w:t>[Section 80E inserted: No. 80 of 2004 s. 6.]</w:t>
      </w:r>
    </w:p>
    <w:p>
      <w:pPr>
        <w:pStyle w:val="Heading5"/>
      </w:pPr>
      <w:bookmarkStart w:id="155" w:name="_Toc88662131"/>
      <w:r>
        <w:rPr>
          <w:rStyle w:val="CharSectno"/>
        </w:rPr>
        <w:t>80F</w:t>
      </w:r>
      <w:r>
        <w:t>.</w:t>
      </w:r>
      <w:r>
        <w:tab/>
        <w:t>Belief as to existence or membership of racial group</w:t>
      </w:r>
      <w:bookmarkEnd w:id="155"/>
    </w:p>
    <w:p>
      <w:pPr>
        <w:pStyle w:val="Subsection"/>
        <w:spacing w:before="140"/>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spacing w:before="100"/>
      </w:pPr>
      <w:r>
        <w:tab/>
        <w:t>[Section 80F inserted: No. 80 of 2004 s. 6.]</w:t>
      </w:r>
    </w:p>
    <w:p>
      <w:pPr>
        <w:pStyle w:val="Heading5"/>
      </w:pPr>
      <w:bookmarkStart w:id="156" w:name="_Toc88662132"/>
      <w:r>
        <w:rPr>
          <w:rStyle w:val="CharSectno"/>
        </w:rPr>
        <w:t>80G</w:t>
      </w:r>
      <w:r>
        <w:t>.</w:t>
      </w:r>
      <w:r>
        <w:tab/>
        <w:t>Defences to s. 78, 80, 80B or 80D charge</w:t>
      </w:r>
      <w:bookmarkEnd w:id="156"/>
    </w:p>
    <w:p>
      <w:pPr>
        <w:pStyle w:val="Subsection"/>
        <w:spacing w:before="140"/>
      </w:pPr>
      <w:r>
        <w:tab/>
        <w:t>(1)</w:t>
      </w:r>
      <w:r>
        <w:tab/>
        <w:t xml:space="preserve">It is a defence to a charge under section 78 or 80B to prove that the accused </w:t>
      </w:r>
      <w:r>
        <w:rPr>
          <w:snapToGrid w:val="0"/>
        </w:rPr>
        <w:t>person’s</w:t>
      </w:r>
      <w:r>
        <w:t xml:space="preserve"> conduct was engaged in reasonably and in good faith —</w:t>
      </w:r>
    </w:p>
    <w:p>
      <w:pPr>
        <w:pStyle w:val="Indenta"/>
        <w:spacing w:before="60"/>
        <w:rPr>
          <w:snapToGrid w:val="0"/>
        </w:rPr>
      </w:pPr>
      <w:r>
        <w:rPr>
          <w:snapToGrid w:val="0"/>
        </w:rPr>
        <w:tab/>
        <w:t>(a)</w:t>
      </w:r>
      <w:r>
        <w:rPr>
          <w:snapToGrid w:val="0"/>
        </w:rPr>
        <w:tab/>
        <w:t>in the performance, exhibition or distribution of an artistic work; or</w:t>
      </w:r>
    </w:p>
    <w:p>
      <w:pPr>
        <w:pStyle w:val="Indenta"/>
        <w:spacing w:before="60"/>
        <w:rPr>
          <w:snapToGrid w:val="0"/>
        </w:rPr>
      </w:pPr>
      <w:r>
        <w:rPr>
          <w:snapToGrid w:val="0"/>
        </w:rPr>
        <w:tab/>
        <w:t>(b)</w:t>
      </w:r>
      <w:r>
        <w:rPr>
          <w:snapToGrid w:val="0"/>
        </w:rPr>
        <w:tab/>
        <w:t>in the course of any statement, publication, discussion or debate made or held, or any other conduct engaged in, for —</w:t>
      </w:r>
    </w:p>
    <w:p>
      <w:pPr>
        <w:pStyle w:val="Indenti"/>
        <w:spacing w:before="60"/>
      </w:pPr>
      <w:r>
        <w:tab/>
        <w:t>(i)</w:t>
      </w:r>
      <w:r>
        <w:tab/>
        <w:t>any genuine academic, artistic, religious or scientific purpose; or</w:t>
      </w:r>
    </w:p>
    <w:p>
      <w:pPr>
        <w:pStyle w:val="Indenti"/>
      </w:pPr>
      <w:r>
        <w:lastRenderedPageBreak/>
        <w:tab/>
        <w:t>(ii)</w:t>
      </w:r>
      <w:r>
        <w:tab/>
        <w:t>any purpose that is in the public interest;</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spacing w:before="120"/>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w:t>
      </w:r>
    </w:p>
    <w:p>
      <w:pPr>
        <w:pStyle w:val="Indenta"/>
        <w:rPr>
          <w:snapToGrid w:val="0"/>
        </w:rPr>
      </w:pPr>
      <w:r>
        <w:rPr>
          <w:snapToGrid w:val="0"/>
        </w:rPr>
        <w:tab/>
        <w:t>(a)</w:t>
      </w:r>
      <w:r>
        <w:rPr>
          <w:snapToGrid w:val="0"/>
        </w:rPr>
        <w:tab/>
        <w:t>in the performance, exhibition or distribution of an artistic work; or</w:t>
      </w:r>
    </w:p>
    <w:p>
      <w:pPr>
        <w:pStyle w:val="Indenta"/>
        <w:rPr>
          <w:snapToGrid w:val="0"/>
        </w:rPr>
      </w:pPr>
      <w:r>
        <w:rPr>
          <w:snapToGrid w:val="0"/>
        </w:rPr>
        <w:tab/>
        <w:t>(b)</w:t>
      </w:r>
      <w:r>
        <w:rPr>
          <w:snapToGrid w:val="0"/>
        </w:rPr>
        <w:tab/>
        <w:t>in the course of any statement, publication, discussion or debate made or held, or any other conduct engaged in, for —</w:t>
      </w:r>
    </w:p>
    <w:p>
      <w:pPr>
        <w:pStyle w:val="Indenti"/>
      </w:pPr>
      <w:r>
        <w:tab/>
        <w:t>(i)</w:t>
      </w:r>
      <w:r>
        <w:tab/>
        <w:t>any genuine academic, artistic, religious or scientific purpose; or</w:t>
      </w:r>
    </w:p>
    <w:p>
      <w:pPr>
        <w:pStyle w:val="Indenti"/>
        <w:keepNext/>
      </w:pPr>
      <w:r>
        <w:tab/>
        <w:t>(ii)</w:t>
      </w:r>
      <w:r>
        <w:tab/>
        <w:t>any purpose that is in the public interest;</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No. 80 of 2004 s. 6.]</w:t>
      </w:r>
    </w:p>
    <w:p>
      <w:pPr>
        <w:pStyle w:val="Heading5"/>
        <w:spacing w:before="180"/>
      </w:pPr>
      <w:bookmarkStart w:id="157" w:name="_Toc88662133"/>
      <w:r>
        <w:rPr>
          <w:rStyle w:val="CharSectno"/>
        </w:rPr>
        <w:t>80H</w:t>
      </w:r>
      <w:r>
        <w:t>.</w:t>
      </w:r>
      <w:r>
        <w:tab/>
        <w:t>Consent to prosecution under s. 77, 78, 79 or 80 required</w:t>
      </w:r>
      <w:bookmarkEnd w:id="157"/>
    </w:p>
    <w:p>
      <w:pPr>
        <w:pStyle w:val="Subsection"/>
        <w:spacing w:before="120"/>
      </w:pPr>
      <w:r>
        <w:tab/>
      </w:r>
      <w:r>
        <w:tab/>
        <w:t>A prosecution under section 77, 78, 79 or 80 must not be commenced without the consent of the Director of Public Prosecutions.</w:t>
      </w:r>
    </w:p>
    <w:p>
      <w:pPr>
        <w:pStyle w:val="Footnotesection"/>
      </w:pPr>
      <w:r>
        <w:tab/>
        <w:t>[Section 80H inserted: No. 80 of 2004 s. 6.]</w:t>
      </w:r>
    </w:p>
    <w:p>
      <w:pPr>
        <w:pStyle w:val="Heading5"/>
        <w:spacing w:before="180"/>
      </w:pPr>
      <w:bookmarkStart w:id="158" w:name="_Toc88662134"/>
      <w:r>
        <w:t>80I.</w:t>
      </w:r>
      <w:r>
        <w:tab/>
        <w:t xml:space="preserve">Term used: </w:t>
      </w:r>
      <w:r>
        <w:rPr>
          <w:snapToGrid w:val="0"/>
        </w:rPr>
        <w:t>circumstances of racial aggravation</w:t>
      </w:r>
      <w:bookmarkEnd w:id="158"/>
    </w:p>
    <w:p>
      <w:pPr>
        <w:pStyle w:val="Subsection"/>
        <w:spacing w:before="120"/>
        <w:rPr>
          <w:snapToGrid w:val="0"/>
        </w:rPr>
      </w:pPr>
      <w:r>
        <w:tab/>
      </w:r>
      <w:r>
        <w:tab/>
      </w:r>
      <w:r>
        <w:rPr>
          <w:snapToGrid w:val="0"/>
        </w:rPr>
        <w:t>In sections 313, 317, 317A, 338B and 444 —</w:t>
      </w:r>
    </w:p>
    <w:p>
      <w:pPr>
        <w:pStyle w:val="Defstart"/>
      </w:pPr>
      <w:r>
        <w:rPr>
          <w:b/>
        </w:rPr>
        <w:tab/>
      </w:r>
      <w:r>
        <w:rPr>
          <w:rStyle w:val="CharDefText"/>
        </w:rPr>
        <w:t>circumstances of racial aggravation</w:t>
      </w:r>
      <w:r>
        <w:t xml:space="preserve"> means circumstances in which —</w:t>
      </w:r>
    </w:p>
    <w:p>
      <w:pPr>
        <w:pStyle w:val="Defpara"/>
      </w:pPr>
      <w:r>
        <w:tab/>
        <w:t>(a)</w:t>
      </w:r>
      <w:r>
        <w:tab/>
        <w:t xml:space="preserve">immediately before or during or immediately after the commission of the offence, the offender demonstrates </w:t>
      </w:r>
      <w:r>
        <w:lastRenderedPageBreak/>
        <w:t>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No. 80 of 2004 s. 6.]</w:t>
      </w:r>
    </w:p>
    <w:p>
      <w:pPr>
        <w:pStyle w:val="Heading5"/>
      </w:pPr>
      <w:bookmarkStart w:id="159" w:name="_Toc88662135"/>
      <w:r>
        <w:rPr>
          <w:rStyle w:val="CharSectno"/>
        </w:rPr>
        <w:t>80J</w:t>
      </w:r>
      <w:r>
        <w:t>.</w:t>
      </w:r>
      <w:r>
        <w:tab/>
        <w:t>Unlawful material, forfeiture of</w:t>
      </w:r>
      <w:bookmarkEnd w:id="159"/>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[Section 80J inserted: No. 59 of 2006 s. 19.]</w:t>
      </w:r>
    </w:p>
    <w:p>
      <w:pPr>
        <w:pStyle w:val="Heading2"/>
      </w:pPr>
      <w:bookmarkStart w:id="160" w:name="_Toc88569693"/>
      <w:bookmarkStart w:id="161" w:name="_Toc88570215"/>
      <w:bookmarkStart w:id="162" w:name="_Toc88570737"/>
      <w:bookmarkStart w:id="163" w:name="_Toc88662136"/>
      <w:r>
        <w:rPr>
          <w:rStyle w:val="CharPartNo"/>
        </w:rPr>
        <w:lastRenderedPageBreak/>
        <w:t>Part III</w:t>
      </w:r>
      <w:r>
        <w:t> — </w:t>
      </w:r>
      <w:r>
        <w:rPr>
          <w:rStyle w:val="CharPartText"/>
        </w:rPr>
        <w:t>Offences against the administration of law and justice and against public authority</w:t>
      </w:r>
      <w:bookmarkEnd w:id="160"/>
      <w:bookmarkEnd w:id="161"/>
      <w:bookmarkEnd w:id="162"/>
      <w:bookmarkEnd w:id="163"/>
    </w:p>
    <w:p>
      <w:pPr>
        <w:pStyle w:val="Heading3"/>
        <w:rPr>
          <w:snapToGrid w:val="0"/>
        </w:rPr>
      </w:pPr>
      <w:bookmarkStart w:id="164" w:name="_Toc88569694"/>
      <w:bookmarkStart w:id="165" w:name="_Toc88570216"/>
      <w:bookmarkStart w:id="166" w:name="_Toc88570738"/>
      <w:bookmarkStart w:id="167" w:name="_Toc88662137"/>
      <w:r>
        <w:rPr>
          <w:rStyle w:val="CharDivNo"/>
        </w:rPr>
        <w:t>Chapter XII</w:t>
      </w:r>
      <w:r>
        <w:rPr>
          <w:snapToGrid w:val="0"/>
        </w:rPr>
        <w:t> — </w:t>
      </w:r>
      <w:r>
        <w:rPr>
          <w:rStyle w:val="CharDivText"/>
        </w:rPr>
        <w:t>Disclosing official secrets</w:t>
      </w:r>
      <w:bookmarkEnd w:id="164"/>
      <w:bookmarkEnd w:id="165"/>
      <w:bookmarkEnd w:id="166"/>
      <w:bookmarkEnd w:id="167"/>
    </w:p>
    <w:p>
      <w:pPr>
        <w:pStyle w:val="Heading5"/>
      </w:pPr>
      <w:bookmarkStart w:id="168" w:name="_Toc88662138"/>
      <w:r>
        <w:rPr>
          <w:rStyle w:val="CharSectno"/>
        </w:rPr>
        <w:t>81</w:t>
      </w:r>
      <w:r>
        <w:t>.</w:t>
      </w:r>
      <w:r>
        <w:tab/>
        <w:t>Disclosing official secrets</w:t>
      </w:r>
      <w:bookmarkEnd w:id="168"/>
    </w:p>
    <w:p>
      <w:pPr>
        <w:pStyle w:val="Subsection"/>
      </w:pPr>
      <w:r>
        <w:tab/>
        <w:t>(1)</w:t>
      </w:r>
      <w:r>
        <w:tab/>
        <w:t>In this section —</w:t>
      </w:r>
    </w:p>
    <w:p>
      <w:pPr>
        <w:pStyle w:val="Defstart"/>
      </w:pPr>
      <w:r>
        <w:tab/>
      </w:r>
      <w:r>
        <w:rPr>
          <w:rStyle w:val="CharDefText"/>
        </w:rPr>
        <w:t>disclosure</w:t>
      </w:r>
      <w:r>
        <w:t xml:space="preserve"> includes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rStyle w:val="CharDefText"/>
        </w:rPr>
        <w:t>government contractor</w:t>
      </w:r>
      <w:r>
        <w:t xml:space="preserve"> means a person who is not employed in the Public Service but who provides, or is employed in the provision of, goods or services for the purposes of —</w:t>
      </w:r>
    </w:p>
    <w:p>
      <w:pPr>
        <w:pStyle w:val="Defpara"/>
      </w:pPr>
      <w:r>
        <w:tab/>
        <w:t>(a)</w:t>
      </w:r>
      <w:r>
        <w:tab/>
        <w:t>the State of Western Australia; or</w:t>
      </w:r>
    </w:p>
    <w:p>
      <w:pPr>
        <w:pStyle w:val="Defpara"/>
      </w:pPr>
      <w:r>
        <w:tab/>
        <w:t>(b)</w:t>
      </w:r>
      <w:r>
        <w:tab/>
        <w:t>the Public Service; or</w:t>
      </w:r>
    </w:p>
    <w:p>
      <w:pPr>
        <w:pStyle w:val="Defpara"/>
      </w:pPr>
      <w:r>
        <w:tab/>
        <w:t>(c)</w:t>
      </w:r>
      <w:r>
        <w:tab/>
        <w:t>the Police Force of Western Australia;</w:t>
      </w:r>
    </w:p>
    <w:p>
      <w:pPr>
        <w:pStyle w:val="Defstart"/>
      </w:pPr>
      <w:r>
        <w:tab/>
      </w:r>
      <w:r>
        <w:rPr>
          <w:rStyle w:val="CharDefText"/>
        </w:rPr>
        <w:t>information</w:t>
      </w:r>
      <w:r>
        <w:t xml:space="preserve"> includes false information, opinions and reports of conversations;</w:t>
      </w:r>
    </w:p>
    <w:p>
      <w:pPr>
        <w:pStyle w:val="Defstart"/>
      </w:pPr>
      <w:r>
        <w:tab/>
      </w:r>
      <w:r>
        <w:rPr>
          <w:rStyle w:val="CharDefText"/>
        </w:rPr>
        <w:t>official information</w:t>
      </w:r>
      <w:r>
        <w:t xml:space="preserve"> means information, whether in a record or not, that comes to the knowledge of, or into the possession of, a person because the person is a public servant or government contractor;</w:t>
      </w:r>
    </w:p>
    <w:p>
      <w:pPr>
        <w:pStyle w:val="Defstart"/>
      </w:pPr>
      <w:r>
        <w:tab/>
      </w:r>
      <w:r>
        <w:rPr>
          <w:rStyle w:val="CharDefText"/>
        </w:rPr>
        <w:t>public servant</w:t>
      </w:r>
      <w:r>
        <w:t xml:space="preserve"> means a person employed in the Public Service;</w:t>
      </w:r>
    </w:p>
    <w:p>
      <w:pPr>
        <w:pStyle w:val="Defstart"/>
      </w:pPr>
      <w:r>
        <w:tab/>
      </w:r>
      <w:r>
        <w:rPr>
          <w:rStyle w:val="CharDefText"/>
        </w:rPr>
        <w:t>unauthorised disclosure</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 xml:space="preserve">the disclosure by a person who has been a public servant or government contractor of official information in circumstances where, were the person still a public </w:t>
      </w:r>
      <w:r>
        <w:lastRenderedPageBreak/>
        <w:t>servant or government contractor, the person would be under a duty not to make the disclosure.</w:t>
      </w:r>
    </w:p>
    <w:p>
      <w:pPr>
        <w:pStyle w:val="Subsection"/>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No. 4 of 2004 s. 59; amended: No. 70 of 2004 s. 35(1).]</w:t>
      </w:r>
    </w:p>
    <w:p>
      <w:pPr>
        <w:pStyle w:val="Heading3"/>
        <w:keepLines/>
        <w:rPr>
          <w:snapToGrid w:val="0"/>
        </w:rPr>
      </w:pPr>
      <w:bookmarkStart w:id="169" w:name="_Toc88569696"/>
      <w:bookmarkStart w:id="170" w:name="_Toc88570218"/>
      <w:bookmarkStart w:id="171" w:name="_Toc88570740"/>
      <w:bookmarkStart w:id="172" w:name="_Toc88662139"/>
      <w:r>
        <w:rPr>
          <w:rStyle w:val="CharDivNo"/>
        </w:rPr>
        <w:t>Chapter XIII</w:t>
      </w:r>
      <w:r>
        <w:rPr>
          <w:snapToGrid w:val="0"/>
        </w:rPr>
        <w:t> — </w:t>
      </w:r>
      <w:r>
        <w:rPr>
          <w:rStyle w:val="CharDivText"/>
        </w:rPr>
        <w:t>Corruption and abuse of office</w:t>
      </w:r>
      <w:bookmarkEnd w:id="169"/>
      <w:bookmarkEnd w:id="170"/>
      <w:bookmarkEnd w:id="171"/>
      <w:bookmarkEnd w:id="172"/>
    </w:p>
    <w:p>
      <w:pPr>
        <w:pStyle w:val="Footnoteheading"/>
        <w:keepNext/>
        <w:keepLines/>
        <w:ind w:left="851"/>
        <w:rPr>
          <w:snapToGrid w:val="0"/>
        </w:rPr>
      </w:pPr>
      <w:r>
        <w:rPr>
          <w:snapToGrid w:val="0"/>
        </w:rPr>
        <w:tab/>
        <w:t>[Heading inserted: No. 70 of 1988 s. 16.]</w:t>
      </w:r>
    </w:p>
    <w:p>
      <w:pPr>
        <w:pStyle w:val="Heading5"/>
        <w:rPr>
          <w:snapToGrid w:val="0"/>
        </w:rPr>
      </w:pPr>
      <w:bookmarkStart w:id="173" w:name="_Toc88662140"/>
      <w:r>
        <w:rPr>
          <w:rStyle w:val="CharSectno"/>
        </w:rPr>
        <w:t>82</w:t>
      </w:r>
      <w:r>
        <w:rPr>
          <w:snapToGrid w:val="0"/>
        </w:rPr>
        <w:t>.</w:t>
      </w:r>
      <w:r>
        <w:rPr>
          <w:snapToGrid w:val="0"/>
        </w:rPr>
        <w:tab/>
        <w:t>Bribery of public officer</w:t>
      </w:r>
      <w:bookmarkEnd w:id="173"/>
    </w:p>
    <w:p>
      <w:pPr>
        <w:pStyle w:val="Subsection"/>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No. 70 of 1988 s. 16.]</w:t>
      </w:r>
    </w:p>
    <w:p>
      <w:pPr>
        <w:pStyle w:val="Heading5"/>
        <w:rPr>
          <w:snapToGrid w:val="0"/>
        </w:rPr>
      </w:pPr>
      <w:bookmarkStart w:id="174" w:name="_Toc88662141"/>
      <w:r>
        <w:rPr>
          <w:rStyle w:val="CharSectno"/>
        </w:rPr>
        <w:t>83</w:t>
      </w:r>
      <w:r>
        <w:rPr>
          <w:snapToGrid w:val="0"/>
        </w:rPr>
        <w:t>.</w:t>
      </w:r>
      <w:r>
        <w:rPr>
          <w:snapToGrid w:val="0"/>
        </w:rPr>
        <w:tab/>
        <w:t>Corruption</w:t>
      </w:r>
      <w:bookmarkEnd w:id="174"/>
    </w:p>
    <w:p>
      <w:pPr>
        <w:pStyle w:val="Subsection"/>
        <w:rPr>
          <w:snapToGrid w:val="0"/>
        </w:rPr>
      </w:pPr>
      <w:r>
        <w:rPr>
          <w:snapToGrid w:val="0"/>
        </w:rPr>
        <w:tab/>
      </w:r>
      <w:r>
        <w:rPr>
          <w:snapToGrid w:val="0"/>
        </w:rPr>
        <w:tab/>
        <w:t>Any public officer who, without lawful authority or a reasonable excuse —</w:t>
      </w:r>
    </w:p>
    <w:p>
      <w:pPr>
        <w:pStyle w:val="Indenta"/>
        <w:rPr>
          <w:snapToGrid w:val="0"/>
        </w:rPr>
      </w:pPr>
      <w:r>
        <w:rPr>
          <w:snapToGrid w:val="0"/>
        </w:rPr>
        <w:tab/>
        <w:t>(a)</w:t>
      </w:r>
      <w:r>
        <w:rPr>
          <w:snapToGrid w:val="0"/>
        </w:rPr>
        <w:tab/>
        <w:t>acts upon any knowledge or information obtained by reason of his office or employment; or</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keepNext/>
        <w:rPr>
          <w:snapToGrid w:val="0"/>
        </w:rPr>
      </w:pPr>
      <w:r>
        <w:rPr>
          <w:snapToGrid w:val="0"/>
        </w:rPr>
        <w:tab/>
        <w:t>(c)</w:t>
      </w:r>
      <w:r>
        <w:rPr>
          <w:snapToGrid w:val="0"/>
        </w:rPr>
        <w:tab/>
        <w:t>acts corruptly in the performance or discharge of the functions of his office or employment,</w:t>
      </w:r>
    </w:p>
    <w:p>
      <w:pPr>
        <w:pStyle w:val="Subsection"/>
        <w:rPr>
          <w:snapToGrid w:val="0"/>
        </w:rPr>
      </w:pPr>
      <w:r>
        <w:rPr>
          <w:snapToGrid w:val="0"/>
        </w:rPr>
        <w:tab/>
      </w:r>
      <w:r>
        <w:rPr>
          <w:snapToGrid w:val="0"/>
        </w:rPr>
        <w:tab/>
        <w:t xml:space="preserve">so as to gain a benefit, whether pecuniary or otherwise, for any person, or so as to cause a detriment, whether pecuniary or </w:t>
      </w:r>
      <w:r>
        <w:rPr>
          <w:snapToGrid w:val="0"/>
        </w:rPr>
        <w:lastRenderedPageBreak/>
        <w:t>otherwise, to any person, is guilty of a crime and is liable to imprisonment for 7 years.</w:t>
      </w:r>
    </w:p>
    <w:p>
      <w:pPr>
        <w:pStyle w:val="Footnotesection"/>
        <w:ind w:left="890" w:hanging="890"/>
      </w:pPr>
      <w:r>
        <w:tab/>
        <w:t>[Section 83 inserted: No. 70 of 1988 s. 16; amended: No. 8 of 2002 s. 4.]</w:t>
      </w:r>
    </w:p>
    <w:p>
      <w:pPr>
        <w:pStyle w:val="Heading5"/>
        <w:rPr>
          <w:snapToGrid w:val="0"/>
        </w:rPr>
      </w:pPr>
      <w:bookmarkStart w:id="175" w:name="_Toc88662142"/>
      <w:r>
        <w:rPr>
          <w:rStyle w:val="CharSectno"/>
        </w:rPr>
        <w:t>84</w:t>
      </w:r>
      <w:r>
        <w:rPr>
          <w:snapToGrid w:val="0"/>
        </w:rPr>
        <w:t>.</w:t>
      </w:r>
      <w:r>
        <w:rPr>
          <w:snapToGrid w:val="0"/>
        </w:rPr>
        <w:tab/>
        <w:t>Judicial officer, s. 82 and 83 do not apply to</w:t>
      </w:r>
      <w:bookmarkEnd w:id="175"/>
    </w:p>
    <w:p>
      <w:pPr>
        <w:pStyle w:val="Subsection"/>
        <w:rPr>
          <w:snapToGrid w:val="0"/>
        </w:rPr>
      </w:pPr>
      <w:r>
        <w:rPr>
          <w:snapToGrid w:val="0"/>
        </w:rPr>
        <w:tab/>
      </w:r>
      <w:r>
        <w:rPr>
          <w:snapToGrid w:val="0"/>
        </w:rPr>
        <w:tab/>
        <w:t xml:space="preserve">In sections 82 and 83 </w:t>
      </w:r>
      <w:r>
        <w:rPr>
          <w:rStyle w:val="CharDefText"/>
        </w:rPr>
        <w:t>public officer</w:t>
      </w:r>
      <w:r>
        <w:rPr>
          <w:snapToGrid w:val="0"/>
        </w:rPr>
        <w:t xml:space="preserve"> does not include the holder of a judicial office within the meaning of section 121.</w:t>
      </w:r>
    </w:p>
    <w:p>
      <w:pPr>
        <w:pStyle w:val="Footnotesection"/>
      </w:pPr>
      <w:r>
        <w:tab/>
        <w:t>[Section 84 inserted: No. 70 of 1988 s. 16.]</w:t>
      </w:r>
    </w:p>
    <w:p>
      <w:pPr>
        <w:pStyle w:val="Heading5"/>
        <w:rPr>
          <w:snapToGrid w:val="0"/>
        </w:rPr>
      </w:pPr>
      <w:bookmarkStart w:id="176" w:name="_Toc88662143"/>
      <w:r>
        <w:rPr>
          <w:rStyle w:val="CharSectno"/>
        </w:rPr>
        <w:t>85</w:t>
      </w:r>
      <w:r>
        <w:rPr>
          <w:snapToGrid w:val="0"/>
        </w:rPr>
        <w:t>.</w:t>
      </w:r>
      <w:r>
        <w:rPr>
          <w:snapToGrid w:val="0"/>
        </w:rPr>
        <w:tab/>
        <w:t>Falsification of record by public officer</w:t>
      </w:r>
      <w:bookmarkEnd w:id="176"/>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w:t>
      </w:r>
    </w:p>
    <w:p>
      <w:pPr>
        <w:pStyle w:val="Indenta"/>
        <w:rPr>
          <w:snapToGrid w:val="0"/>
        </w:rPr>
      </w:pPr>
      <w:r>
        <w:rPr>
          <w:snapToGrid w:val="0"/>
        </w:rPr>
        <w:tab/>
        <w:t>(a)</w:t>
      </w:r>
      <w:r>
        <w:rPr>
          <w:snapToGrid w:val="0"/>
        </w:rPr>
        <w:tab/>
        <w:t>makes any false entry in any record; or</w:t>
      </w:r>
    </w:p>
    <w:p>
      <w:pPr>
        <w:pStyle w:val="Indenta"/>
        <w:rPr>
          <w:snapToGrid w:val="0"/>
        </w:rPr>
      </w:pPr>
      <w:r>
        <w:rPr>
          <w:snapToGrid w:val="0"/>
        </w:rPr>
        <w:tab/>
        <w:t>(b)</w:t>
      </w:r>
      <w:r>
        <w:rPr>
          <w:snapToGrid w:val="0"/>
        </w:rPr>
        <w:tab/>
        <w:t>omits to make any entry in any record; or</w:t>
      </w:r>
    </w:p>
    <w:p>
      <w:pPr>
        <w:pStyle w:val="Indenta"/>
        <w:rPr>
          <w:snapToGrid w:val="0"/>
        </w:rPr>
      </w:pPr>
      <w:r>
        <w:rPr>
          <w:snapToGrid w:val="0"/>
        </w:rPr>
        <w:tab/>
        <w:t>(c)</w:t>
      </w:r>
      <w:r>
        <w:rPr>
          <w:snapToGrid w:val="0"/>
        </w:rPr>
        <w:tab/>
        <w:t>gives any certificate or information which is false in a material particular; or</w:t>
      </w:r>
    </w:p>
    <w:p>
      <w:pPr>
        <w:pStyle w:val="Indenta"/>
        <w:rPr>
          <w:snapToGrid w:val="0"/>
        </w:rPr>
      </w:pPr>
      <w:r>
        <w:rPr>
          <w:snapToGrid w:val="0"/>
        </w:rPr>
        <w:tab/>
        <w:t>(d)</w:t>
      </w:r>
      <w:r>
        <w:rPr>
          <w:snapToGrid w:val="0"/>
        </w:rPr>
        <w:tab/>
        <w:t>by act or omission falsifies, destroys, alters or damages any record; or</w:t>
      </w:r>
    </w:p>
    <w:p>
      <w:pPr>
        <w:pStyle w:val="Indenta"/>
        <w:rPr>
          <w:snapToGrid w:val="0"/>
        </w:rPr>
      </w:pPr>
      <w:r>
        <w:rPr>
          <w:snapToGrid w:val="0"/>
        </w:rPr>
        <w:tab/>
        <w:t>(e)</w:t>
      </w:r>
      <w:r>
        <w:rPr>
          <w:snapToGrid w:val="0"/>
        </w:rPr>
        <w:tab/>
        <w:t>furnishes a return relating to any property or remuneration which is false in a material particular; or</w:t>
      </w:r>
    </w:p>
    <w:p>
      <w:pPr>
        <w:pStyle w:val="Indenta"/>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[Section 85 inserted: No. 70 of 1988 s. 16; amended: No. 8 of 2002 s. 5; No. 70 of 2004 s. 8.]</w:t>
      </w:r>
    </w:p>
    <w:p>
      <w:pPr>
        <w:pStyle w:val="Heading5"/>
        <w:rPr>
          <w:snapToGrid w:val="0"/>
        </w:rPr>
      </w:pPr>
      <w:bookmarkStart w:id="177" w:name="_Toc88662144"/>
      <w:r>
        <w:rPr>
          <w:rStyle w:val="CharSectno"/>
        </w:rPr>
        <w:t>86</w:t>
      </w:r>
      <w:r>
        <w:rPr>
          <w:snapToGrid w:val="0"/>
        </w:rPr>
        <w:t>.</w:t>
      </w:r>
      <w:r>
        <w:rPr>
          <w:snapToGrid w:val="0"/>
        </w:rPr>
        <w:tab/>
        <w:t>Administering oath without authority</w:t>
      </w:r>
      <w:bookmarkEnd w:id="177"/>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rPr>
          <w:snapToGrid w:val="0"/>
        </w:rPr>
      </w:pPr>
      <w:r>
        <w:rPr>
          <w:snapToGrid w:val="0"/>
        </w:rPr>
        <w:lastRenderedPageBreak/>
        <w:tab/>
        <w:t>(2)</w:t>
      </w:r>
      <w:r>
        <w:rPr>
          <w:snapToGrid w:val="0"/>
        </w:rPr>
        <w:tab/>
        <w:t>This section does not apply to an oath, declaration or affirmation administered or taken —</w:t>
      </w:r>
    </w:p>
    <w:p>
      <w:pPr>
        <w:pStyle w:val="Indenta"/>
        <w:rPr>
          <w:snapToGrid w:val="0"/>
        </w:rPr>
      </w:pPr>
      <w:r>
        <w:rPr>
          <w:snapToGrid w:val="0"/>
        </w:rPr>
        <w:tab/>
        <w:t>(a)</w:t>
      </w:r>
      <w:r>
        <w:rPr>
          <w:snapToGrid w:val="0"/>
        </w:rPr>
        <w:tab/>
        <w:t>as authorised or required by law of; or</w:t>
      </w:r>
    </w:p>
    <w:p>
      <w:pPr>
        <w:pStyle w:val="Indenta"/>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[Section 86 inserted: No. 70 of 1988 s. 16; amended: No. 70 of 2004 s. 34(1).]</w:t>
      </w:r>
    </w:p>
    <w:p>
      <w:pPr>
        <w:pStyle w:val="Heading5"/>
        <w:spacing w:before="180"/>
      </w:pPr>
      <w:bookmarkStart w:id="178" w:name="_Toc88662145"/>
      <w:r>
        <w:rPr>
          <w:rStyle w:val="CharSectno"/>
        </w:rPr>
        <w:t>87</w:t>
      </w:r>
      <w:r>
        <w:t>.</w:t>
      </w:r>
      <w:r>
        <w:tab/>
        <w:t>Impersonating public officer</w:t>
      </w:r>
      <w:bookmarkEnd w:id="178"/>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A person who impersonates a public officer and who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spacing w:before="80"/>
        <w:ind w:left="890" w:hanging="890"/>
      </w:pPr>
      <w:r>
        <w:tab/>
        <w:t>[Section 87 inserted: No. 70 of 2004 s. 9.]</w:t>
      </w:r>
    </w:p>
    <w:p>
      <w:pPr>
        <w:pStyle w:val="Heading5"/>
        <w:rPr>
          <w:snapToGrid w:val="0"/>
        </w:rPr>
      </w:pPr>
      <w:bookmarkStart w:id="179" w:name="_Toc88662146"/>
      <w:r>
        <w:rPr>
          <w:rStyle w:val="CharSectno"/>
        </w:rPr>
        <w:lastRenderedPageBreak/>
        <w:t>88</w:t>
      </w:r>
      <w:r>
        <w:rPr>
          <w:snapToGrid w:val="0"/>
        </w:rPr>
        <w:t>.</w:t>
      </w:r>
      <w:r>
        <w:rPr>
          <w:snapToGrid w:val="0"/>
        </w:rPr>
        <w:tab/>
        <w:t>Bargaining for public office</w:t>
      </w:r>
      <w:bookmarkEnd w:id="179"/>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rPr>
          <w:i w:val="0"/>
        </w:rPr>
        <w:tab/>
      </w:r>
      <w:r>
        <w:t>[Section 88 inserted: No. 70 of 1988 s. 16; amended: No. 8 of 2002 s. 6.]</w:t>
      </w:r>
    </w:p>
    <w:p>
      <w:pPr>
        <w:pStyle w:val="Ednotesection"/>
        <w:ind w:left="890" w:hanging="890"/>
      </w:pPr>
      <w:r>
        <w:t>[</w:t>
      </w:r>
      <w:r>
        <w:rPr>
          <w:b/>
        </w:rPr>
        <w:t>89</w:t>
      </w:r>
      <w:r>
        <w:rPr>
          <w:b/>
        </w:rPr>
        <w:noBreakHyphen/>
        <w:t>92.</w:t>
      </w:r>
      <w:r>
        <w:tab/>
        <w:t>Deleted: No. 70 of 1988 s. 16.]</w:t>
      </w:r>
    </w:p>
    <w:p>
      <w:pPr>
        <w:pStyle w:val="Heading3"/>
        <w:keepLines/>
        <w:rPr>
          <w:snapToGrid w:val="0"/>
        </w:rPr>
      </w:pPr>
      <w:bookmarkStart w:id="180" w:name="_Toc88569704"/>
      <w:bookmarkStart w:id="181" w:name="_Toc88570226"/>
      <w:bookmarkStart w:id="182" w:name="_Toc88570748"/>
      <w:bookmarkStart w:id="183" w:name="_Toc88662147"/>
      <w:r>
        <w:rPr>
          <w:rStyle w:val="CharDivNo"/>
        </w:rPr>
        <w:t>Chapter XIV</w:t>
      </w:r>
      <w:r>
        <w:t> — </w:t>
      </w:r>
      <w:r>
        <w:rPr>
          <w:rStyle w:val="CharDivText"/>
        </w:rPr>
        <w:t>Offences at elections</w:t>
      </w:r>
      <w:bookmarkEnd w:id="180"/>
      <w:bookmarkEnd w:id="181"/>
      <w:bookmarkEnd w:id="182"/>
      <w:bookmarkEnd w:id="183"/>
    </w:p>
    <w:p>
      <w:pPr>
        <w:pStyle w:val="Footnoteheading"/>
        <w:keepNext/>
        <w:keepLines/>
      </w:pPr>
      <w:r>
        <w:tab/>
        <w:t>[Heading inserted: No. 70 of 2004 s. 10.]</w:t>
      </w:r>
    </w:p>
    <w:p>
      <w:pPr>
        <w:pStyle w:val="Heading5"/>
      </w:pPr>
      <w:bookmarkStart w:id="184" w:name="_Toc88662148"/>
      <w:r>
        <w:rPr>
          <w:rStyle w:val="CharSectno"/>
        </w:rPr>
        <w:t>93</w:t>
      </w:r>
      <w:r>
        <w:t>.</w:t>
      </w:r>
      <w:r>
        <w:tab/>
        <w:t>Terms used</w:t>
      </w:r>
      <w:bookmarkEnd w:id="184"/>
    </w:p>
    <w:p>
      <w:pPr>
        <w:pStyle w:val="Subsection"/>
      </w:pPr>
      <w:r>
        <w:tab/>
      </w:r>
      <w:r>
        <w:tab/>
        <w:t>In this Chapter —</w:t>
      </w:r>
    </w:p>
    <w:p>
      <w:pPr>
        <w:pStyle w:val="Defstart"/>
      </w:pPr>
      <w:r>
        <w:rPr>
          <w:b/>
        </w:rPr>
        <w:tab/>
      </w:r>
      <w:r>
        <w:rPr>
          <w:rStyle w:val="CharDefText"/>
        </w:rPr>
        <w:t>election</w:t>
      </w:r>
      <w:r>
        <w:t xml:space="preserve"> includes an election held under a written law that provides for the choice of persons to fill a public office;</w:t>
      </w:r>
    </w:p>
    <w:p>
      <w:pPr>
        <w:pStyle w:val="Defstart"/>
      </w:pPr>
      <w:r>
        <w:rPr>
          <w:b/>
        </w:rPr>
        <w:tab/>
      </w:r>
      <w:r>
        <w:rPr>
          <w:rStyle w:val="CharDefText"/>
        </w:rPr>
        <w:t>elector</w:t>
      </w:r>
      <w:r>
        <w:t xml:space="preserve"> includes any person entitled to vote in an election;</w:t>
      </w:r>
    </w:p>
    <w:p>
      <w:pPr>
        <w:pStyle w:val="Defstart"/>
      </w:pPr>
      <w:r>
        <w:rPr>
          <w:b/>
        </w:rPr>
        <w:tab/>
      </w:r>
      <w:r>
        <w:rPr>
          <w:rStyle w:val="CharDefText"/>
        </w:rPr>
        <w:t>electoral conduct</w:t>
      </w:r>
      <w:r>
        <w:t xml:space="preserve"> means —</w:t>
      </w:r>
    </w:p>
    <w:p>
      <w:pPr>
        <w:pStyle w:val="Defpara"/>
      </w:pPr>
      <w:r>
        <w:tab/>
        <w:t>(a)</w:t>
      </w:r>
      <w:r>
        <w:tab/>
        <w:t>candidature in an election; or</w:t>
      </w:r>
    </w:p>
    <w:p>
      <w:pPr>
        <w:pStyle w:val="Defpara"/>
      </w:pPr>
      <w:r>
        <w:tab/>
        <w:t>(b)</w:t>
      </w:r>
      <w:r>
        <w:tab/>
        <w:t>withdrawal of candidature from an election; or</w:t>
      </w:r>
    </w:p>
    <w:p>
      <w:pPr>
        <w:pStyle w:val="Defpara"/>
        <w:keepNext/>
      </w:pPr>
      <w:r>
        <w:lastRenderedPageBreak/>
        <w:tab/>
        <w:t>(c)</w:t>
      </w:r>
      <w:r>
        <w:tab/>
        <w:t>a vote, or an omission to vote, in an election; or</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r>
      <w:r>
        <w:rPr>
          <w:rStyle w:val="CharDefText"/>
        </w:rPr>
        <w:t>electoral officer</w:t>
      </w:r>
      <w:r>
        <w:t xml:space="preserve"> means a person who is authorised to conduct or assist in conducting an election.</w:t>
      </w:r>
    </w:p>
    <w:p>
      <w:pPr>
        <w:pStyle w:val="Footnotesection"/>
      </w:pPr>
      <w:r>
        <w:tab/>
        <w:t>[Section 93 inserted: No. 70 of 2004 s. 10.]</w:t>
      </w:r>
    </w:p>
    <w:p>
      <w:pPr>
        <w:pStyle w:val="Heading5"/>
      </w:pPr>
      <w:bookmarkStart w:id="185" w:name="_Toc88662149"/>
      <w:r>
        <w:rPr>
          <w:rStyle w:val="CharSectno"/>
        </w:rPr>
        <w:t>94</w:t>
      </w:r>
      <w:r>
        <w:t>.</w:t>
      </w:r>
      <w:r>
        <w:tab/>
        <w:t>Application of this Chapter</w:t>
      </w:r>
      <w:bookmarkEnd w:id="185"/>
    </w:p>
    <w:p>
      <w:pPr>
        <w:pStyle w:val="Subsection"/>
      </w:pPr>
      <w:r>
        <w:tab/>
      </w:r>
      <w:r>
        <w:tab/>
        <w:t>This Chapter does not apply to or in respect of parliamentary or local government elections.</w:t>
      </w:r>
    </w:p>
    <w:p>
      <w:pPr>
        <w:pStyle w:val="Footnotesection"/>
        <w:ind w:left="890" w:hanging="890"/>
      </w:pPr>
      <w:r>
        <w:tab/>
        <w:t>[Section 94 inserted: No. 70 of 2004 s. 10.]</w:t>
      </w:r>
    </w:p>
    <w:p>
      <w:pPr>
        <w:pStyle w:val="Heading5"/>
      </w:pPr>
      <w:bookmarkStart w:id="186" w:name="_Toc88662150"/>
      <w:r>
        <w:rPr>
          <w:rStyle w:val="CharSectno"/>
        </w:rPr>
        <w:t>95</w:t>
      </w:r>
      <w:r>
        <w:t>.</w:t>
      </w:r>
      <w:r>
        <w:tab/>
        <w:t>Liability for acts of others</w:t>
      </w:r>
      <w:bookmarkEnd w:id="186"/>
    </w:p>
    <w:p>
      <w:pPr>
        <w:pStyle w:val="Subsection"/>
      </w:pPr>
      <w:r>
        <w:tab/>
        <w:t>(1)</w:t>
      </w:r>
      <w:r>
        <w:tab/>
        <w:t>For the purposes of this Chapter, the act of a candidate’s authorised agent is to be taken to be the act of the candidate unless the candidate proves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No. 70 of 2004 s. 10.]</w:t>
      </w:r>
    </w:p>
    <w:p>
      <w:pPr>
        <w:pStyle w:val="Heading5"/>
      </w:pPr>
      <w:bookmarkStart w:id="187" w:name="_Toc88662151"/>
      <w:r>
        <w:rPr>
          <w:rStyle w:val="CharSectno"/>
        </w:rPr>
        <w:t>96</w:t>
      </w:r>
      <w:r>
        <w:t>.</w:t>
      </w:r>
      <w:r>
        <w:tab/>
        <w:t>Bribery</w:t>
      </w:r>
      <w:bookmarkEnd w:id="187"/>
    </w:p>
    <w:p>
      <w:pPr>
        <w:pStyle w:val="Subsection"/>
      </w:pPr>
      <w:r>
        <w:tab/>
        <w:t>(1)</w:t>
      </w:r>
      <w:r>
        <w:tab/>
        <w:t>In this section —</w:t>
      </w:r>
    </w:p>
    <w:p>
      <w:pPr>
        <w:pStyle w:val="Defstart"/>
      </w:pPr>
      <w:r>
        <w:rPr>
          <w:b/>
        </w:rPr>
        <w:tab/>
      </w:r>
      <w:r>
        <w:rPr>
          <w:rStyle w:val="CharDefText"/>
        </w:rPr>
        <w:t>reward</w:t>
      </w:r>
      <w:r>
        <w:t xml:space="preserve"> means a reward in the form of property or any kind of advantage, benefit, consideration or recompense.</w:t>
      </w:r>
    </w:p>
    <w:p>
      <w:pPr>
        <w:pStyle w:val="Subsection"/>
        <w:keepNext/>
      </w:pPr>
      <w:r>
        <w:lastRenderedPageBreak/>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No. 70 of 2004 s. 10.]</w:t>
      </w:r>
    </w:p>
    <w:p>
      <w:pPr>
        <w:pStyle w:val="Heading5"/>
      </w:pPr>
      <w:bookmarkStart w:id="188" w:name="_Toc88662152"/>
      <w:r>
        <w:rPr>
          <w:rStyle w:val="CharSectno"/>
        </w:rPr>
        <w:t>97</w:t>
      </w:r>
      <w:r>
        <w:t>.</w:t>
      </w:r>
      <w:r>
        <w:tab/>
        <w:t>Undue influence</w:t>
      </w:r>
      <w:bookmarkEnd w:id="188"/>
    </w:p>
    <w:p>
      <w:pPr>
        <w:pStyle w:val="Subsection"/>
      </w:pPr>
      <w:r>
        <w:tab/>
        <w:t>(1)</w:t>
      </w:r>
      <w:r>
        <w:tab/>
        <w:t>In this section —</w:t>
      </w:r>
    </w:p>
    <w:p>
      <w:pPr>
        <w:pStyle w:val="Defstart"/>
      </w:pPr>
      <w:r>
        <w:rPr>
          <w:b/>
        </w:rPr>
        <w:tab/>
      </w:r>
      <w:r>
        <w:rPr>
          <w:rStyle w:val="CharDefText"/>
        </w:rPr>
        <w:t>detriment</w:t>
      </w:r>
      <w:r>
        <w:t xml:space="preserve"> means violence, injury, punishment, damage, loss or disadvantage.</w:t>
      </w:r>
    </w:p>
    <w:p>
      <w:pPr>
        <w:pStyle w:val="Subsection"/>
      </w:pPr>
      <w:r>
        <w:tab/>
        <w:t>(2)</w:t>
      </w:r>
      <w:r>
        <w:tab/>
        <w:t>A person who —</w:t>
      </w:r>
    </w:p>
    <w:p>
      <w:pPr>
        <w:pStyle w:val="Indenta"/>
        <w:spacing w:before="60"/>
      </w:pPr>
      <w:r>
        <w:tab/>
        <w:t>(a)</w:t>
      </w:r>
      <w:r>
        <w:tab/>
        <w:t>threatens, offers or suggests detriment for, or on account of, or to induce, electoral conduct or a promise of electoral conduct; or</w:t>
      </w:r>
    </w:p>
    <w:p>
      <w:pPr>
        <w:pStyle w:val="Indenta"/>
        <w:keepNext/>
        <w:keepLines/>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No. 70 of 2004 s. 10.]</w:t>
      </w:r>
    </w:p>
    <w:p>
      <w:pPr>
        <w:pStyle w:val="Heading5"/>
      </w:pPr>
      <w:bookmarkStart w:id="189" w:name="_Toc88662153"/>
      <w:r>
        <w:rPr>
          <w:rStyle w:val="CharSectno"/>
        </w:rPr>
        <w:lastRenderedPageBreak/>
        <w:t>98</w:t>
      </w:r>
      <w:r>
        <w:t>.</w:t>
      </w:r>
      <w:r>
        <w:tab/>
        <w:t>Electoral material, printing and publication of</w:t>
      </w:r>
      <w:bookmarkEnd w:id="189"/>
    </w:p>
    <w:p>
      <w:pPr>
        <w:pStyle w:val="Subsection"/>
      </w:pPr>
      <w:r>
        <w:tab/>
        <w:t>(1)</w:t>
      </w:r>
      <w:r>
        <w:tab/>
        <w:t>In this section —</w:t>
      </w:r>
    </w:p>
    <w:p>
      <w:pPr>
        <w:pStyle w:val="Defstart"/>
      </w:pPr>
      <w:r>
        <w:rPr>
          <w:b/>
        </w:rPr>
        <w:tab/>
      </w:r>
      <w:r>
        <w:rPr>
          <w:rStyle w:val="CharDefText"/>
        </w:rPr>
        <w:t>electoral material</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rPr>
          <w:b/>
        </w:rPr>
        <w:t xml:space="preserve"> </w:t>
      </w:r>
      <w:r>
        <w:t>electoral material, includes to distribute it and to publish it by radio, television or electronic means.</w:t>
      </w:r>
    </w:p>
    <w:p>
      <w:pPr>
        <w:pStyle w:val="Subsection"/>
        <w:keepLines/>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No. 70 of 2004 s. 10.]</w:t>
      </w:r>
    </w:p>
    <w:p>
      <w:pPr>
        <w:pStyle w:val="Heading5"/>
      </w:pPr>
      <w:bookmarkStart w:id="190" w:name="_Toc88662154"/>
      <w:r>
        <w:rPr>
          <w:rStyle w:val="CharSectno"/>
        </w:rPr>
        <w:lastRenderedPageBreak/>
        <w:t>99</w:t>
      </w:r>
      <w:r>
        <w:t>.</w:t>
      </w:r>
      <w:r>
        <w:tab/>
        <w:t>False or defamatory statements or deceptive material, publication of</w:t>
      </w:r>
      <w:bookmarkEnd w:id="190"/>
    </w:p>
    <w:p>
      <w:pPr>
        <w:pStyle w:val="Subsection"/>
      </w:pPr>
      <w:r>
        <w:tab/>
        <w:t>(1)</w:t>
      </w:r>
      <w:r>
        <w:tab/>
        <w:t>In this section —</w:t>
      </w:r>
    </w:p>
    <w:p>
      <w:pPr>
        <w:pStyle w:val="Defstart"/>
      </w:pPr>
      <w:r>
        <w:rPr>
          <w:b/>
        </w:rPr>
        <w:tab/>
      </w:r>
      <w:r>
        <w:rPr>
          <w:rStyle w:val="CharDefText"/>
        </w:rPr>
        <w:t>deceptive material</w:t>
      </w:r>
      <w:r>
        <w:t xml:space="preserve"> means any matter or thing that is likely to mislead or deceive an elector about how to vote or for whom to vote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t xml:space="preserve"> any material or statement, includes to distribute it and to publish it by radio, television or electronic means;</w:t>
      </w:r>
    </w:p>
    <w:p>
      <w:pPr>
        <w:pStyle w:val="Defstart"/>
      </w:pPr>
      <w:r>
        <w:rPr>
          <w:b/>
        </w:rPr>
        <w:tab/>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No. 70 of 2004 s. 10.]</w:t>
      </w:r>
    </w:p>
    <w:p>
      <w:pPr>
        <w:pStyle w:val="Heading5"/>
      </w:pPr>
      <w:bookmarkStart w:id="191" w:name="_Toc88662155"/>
      <w:r>
        <w:rPr>
          <w:rStyle w:val="CharSectno"/>
        </w:rPr>
        <w:lastRenderedPageBreak/>
        <w:t>100</w:t>
      </w:r>
      <w:r>
        <w:t>.</w:t>
      </w:r>
      <w:r>
        <w:tab/>
        <w:t>Postal voting, offences in connection with</w:t>
      </w:r>
      <w:bookmarkEnd w:id="191"/>
    </w:p>
    <w:p>
      <w:pPr>
        <w:pStyle w:val="Subsection"/>
        <w:keepNext/>
        <w:keepLines/>
      </w:pPr>
      <w:r>
        <w:tab/>
      </w:r>
      <w:r>
        <w:tab/>
        <w:t>A candidate in an election who —</w:t>
      </w:r>
    </w:p>
    <w:p>
      <w:pPr>
        <w:pStyle w:val="Indenta"/>
      </w:pPr>
      <w:r>
        <w:tab/>
        <w:t>(a)</w:t>
      </w:r>
      <w:r>
        <w:tab/>
        <w:t>interferes with an elector while the elector is applying for a postal vote in the election; or</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No. 70 of 2004 s. 10.]</w:t>
      </w:r>
    </w:p>
    <w:p>
      <w:pPr>
        <w:pStyle w:val="Heading5"/>
      </w:pPr>
      <w:bookmarkStart w:id="192" w:name="_Toc88662156"/>
      <w:r>
        <w:rPr>
          <w:rStyle w:val="CharSectno"/>
        </w:rPr>
        <w:t>101</w:t>
      </w:r>
      <w:r>
        <w:t>.</w:t>
      </w:r>
      <w:r>
        <w:tab/>
        <w:t>Polling place, offences at or near</w:t>
      </w:r>
      <w:bookmarkEnd w:id="192"/>
    </w:p>
    <w:p>
      <w:pPr>
        <w:pStyle w:val="Subsection"/>
        <w:spacing w:before="120"/>
      </w:pPr>
      <w:r>
        <w:tab/>
        <w:t>(1)</w:t>
      </w:r>
      <w:r>
        <w:tab/>
        <w:t>A person who is in, or within 6 metres from an entrance to, a polling place on a polling day in an election and who —</w:t>
      </w:r>
    </w:p>
    <w:p>
      <w:pPr>
        <w:pStyle w:val="Indenta"/>
      </w:pPr>
      <w:r>
        <w:tab/>
        <w:t>(a)</w:t>
      </w:r>
      <w:r>
        <w:tab/>
        <w:t>canvasses for votes in the election; or</w:t>
      </w:r>
    </w:p>
    <w:p>
      <w:pPr>
        <w:pStyle w:val="Indenta"/>
      </w:pPr>
      <w:r>
        <w:tab/>
        <w:t>(b)</w:t>
      </w:r>
      <w:r>
        <w:tab/>
        <w:t>solicits the vote of an elector in the election; or</w:t>
      </w:r>
    </w:p>
    <w:p>
      <w:pPr>
        <w:pStyle w:val="Indenta"/>
      </w:pPr>
      <w:r>
        <w:tab/>
        <w:t>(c)</w:t>
      </w:r>
      <w:r>
        <w:tab/>
        <w:t>attempts to induce an elector not to vote in the election; or</w:t>
      </w:r>
    </w:p>
    <w:p>
      <w:pPr>
        <w:pStyle w:val="Indenta"/>
        <w:keepLines/>
      </w:pPr>
      <w:r>
        <w:tab/>
        <w:t>(d)</w:t>
      </w:r>
      <w:r>
        <w:tab/>
        <w:t>attempts to induce an elector not to vote for a particular candidate in the election,</w:t>
      </w:r>
    </w:p>
    <w:p>
      <w:pPr>
        <w:pStyle w:val="Subsection"/>
        <w:keepLines/>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 or</w:t>
      </w:r>
    </w:p>
    <w:p>
      <w:pPr>
        <w:pStyle w:val="Indenta"/>
      </w:pPr>
      <w:r>
        <w:tab/>
        <w:t>(b)</w:t>
      </w:r>
      <w:r>
        <w:tab/>
        <w:t>disobeys the reasonable instructions of an electoral officer; or</w:t>
      </w:r>
    </w:p>
    <w:p>
      <w:pPr>
        <w:pStyle w:val="Indenta"/>
      </w:pPr>
      <w:r>
        <w:lastRenderedPageBreak/>
        <w:tab/>
        <w:t>(c)</w:t>
      </w:r>
      <w:r>
        <w:tab/>
        <w:t>wilfully destroys, damages or removes a notice or other document that an electoral officer, acting within the scope of his or her authority, has displayed or caused to be displayed,</w:t>
      </w:r>
    </w:p>
    <w:p>
      <w:pPr>
        <w:pStyle w:val="Subsection"/>
        <w:spacing w:before="120"/>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 or</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spacing w:before="120"/>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ind w:left="890" w:hanging="890"/>
      </w:pPr>
      <w:r>
        <w:tab/>
        <w:t>[Section 101 inserted: No. 70 of 2004 s. 10.]</w:t>
      </w:r>
    </w:p>
    <w:p>
      <w:pPr>
        <w:pStyle w:val="Heading5"/>
        <w:keepLines w:val="0"/>
      </w:pPr>
      <w:bookmarkStart w:id="193" w:name="_Toc88662157"/>
      <w:r>
        <w:rPr>
          <w:rStyle w:val="CharSectno"/>
        </w:rPr>
        <w:t>102</w:t>
      </w:r>
      <w:r>
        <w:t>.</w:t>
      </w:r>
      <w:r>
        <w:tab/>
        <w:t>Voting offences</w:t>
      </w:r>
      <w:bookmarkEnd w:id="193"/>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lastRenderedPageBreak/>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No. 70 of 2004 s. 10.]</w:t>
      </w:r>
    </w:p>
    <w:p>
      <w:pPr>
        <w:pStyle w:val="Heading5"/>
        <w:spacing w:before="240"/>
      </w:pPr>
      <w:bookmarkStart w:id="194" w:name="_Toc88662158"/>
      <w:r>
        <w:rPr>
          <w:rStyle w:val="CharSectno"/>
        </w:rPr>
        <w:t>103</w:t>
      </w:r>
      <w:r>
        <w:t>.</w:t>
      </w:r>
      <w:r>
        <w:tab/>
        <w:t>Ballot paper and ballot box offences</w:t>
      </w:r>
      <w:bookmarkEnd w:id="194"/>
    </w:p>
    <w:p>
      <w:pPr>
        <w:pStyle w:val="Subsection"/>
        <w:spacing w:before="180"/>
      </w:pPr>
      <w:r>
        <w:tab/>
        <w:t>(1)</w:t>
      </w:r>
      <w:r>
        <w:tab/>
        <w:t>A person who —</w:t>
      </w:r>
    </w:p>
    <w:p>
      <w:pPr>
        <w:pStyle w:val="Indenta"/>
      </w:pPr>
      <w:r>
        <w:tab/>
        <w:t>(a)</w:t>
      </w:r>
      <w:r>
        <w:tab/>
        <w:t>forges a ballot paper; or</w:t>
      </w:r>
    </w:p>
    <w:p>
      <w:pPr>
        <w:pStyle w:val="Indenta"/>
      </w:pPr>
      <w:r>
        <w:tab/>
        <w:t>(b)</w:t>
      </w:r>
      <w:r>
        <w:tab/>
        <w:t>fraudulently damages or destroys a ballot paper; or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keepNext/>
      </w:pPr>
      <w:r>
        <w:tab/>
        <w:t>(2)</w:t>
      </w:r>
      <w:r>
        <w:tab/>
        <w:t>A person who —</w:t>
      </w:r>
    </w:p>
    <w:p>
      <w:pPr>
        <w:pStyle w:val="Indenta"/>
        <w:spacing w:before="60"/>
      </w:pPr>
      <w:r>
        <w:tab/>
        <w:t>(a)</w:t>
      </w:r>
      <w:r>
        <w:tab/>
        <w:t>supplies a ballot paper without authority; or</w:t>
      </w:r>
    </w:p>
    <w:p>
      <w:pPr>
        <w:pStyle w:val="Indenta"/>
      </w:pPr>
      <w:r>
        <w:tab/>
        <w:t>(b)</w:t>
      </w:r>
      <w:r>
        <w:tab/>
        <w:t>is in possession of an unauthorised ballot paper; or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spacing w:before="100"/>
        <w:ind w:left="890" w:hanging="890"/>
      </w:pPr>
      <w:r>
        <w:tab/>
        <w:t>[Section 103 inserted: No. 70 of 2004 s. 10.]</w:t>
      </w:r>
    </w:p>
    <w:p>
      <w:pPr>
        <w:pStyle w:val="Heading5"/>
      </w:pPr>
      <w:bookmarkStart w:id="195" w:name="_Toc88662159"/>
      <w:r>
        <w:rPr>
          <w:rStyle w:val="CharSectno"/>
        </w:rPr>
        <w:t>104</w:t>
      </w:r>
      <w:r>
        <w:t>.</w:t>
      </w:r>
      <w:r>
        <w:tab/>
        <w:t>Secrecy offences</w:t>
      </w:r>
      <w:bookmarkEnd w:id="195"/>
    </w:p>
    <w:p>
      <w:pPr>
        <w:pStyle w:val="Subsection"/>
      </w:pPr>
      <w:r>
        <w:tab/>
        <w:t>(1)</w:t>
      </w:r>
      <w:r>
        <w:tab/>
        <w:t>A person who without authority —</w:t>
      </w:r>
    </w:p>
    <w:p>
      <w:pPr>
        <w:pStyle w:val="Indenta"/>
      </w:pPr>
      <w:r>
        <w:tab/>
        <w:t>(a)</w:t>
      </w:r>
      <w:r>
        <w:tab/>
        <w:t>looks at the ballot paper of any particular elector; or</w:t>
      </w:r>
    </w:p>
    <w:p>
      <w:pPr>
        <w:pStyle w:val="Indenta"/>
      </w:pPr>
      <w:r>
        <w:lastRenderedPageBreak/>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spacing w:before="100"/>
        <w:ind w:left="890" w:hanging="890"/>
      </w:pPr>
      <w:r>
        <w:tab/>
        <w:t>[Section 104 inserted: No. 70 of 2004 s. 10.]</w:t>
      </w:r>
    </w:p>
    <w:p>
      <w:pPr>
        <w:pStyle w:val="Heading5"/>
      </w:pPr>
      <w:bookmarkStart w:id="196" w:name="_Toc88662160"/>
      <w:r>
        <w:rPr>
          <w:rStyle w:val="CharSectno"/>
        </w:rPr>
        <w:t>105</w:t>
      </w:r>
      <w:r>
        <w:t>.</w:t>
      </w:r>
      <w:r>
        <w:tab/>
        <w:t>Electoral officer, offences by</w:t>
      </w:r>
      <w:bookmarkEnd w:id="196"/>
    </w:p>
    <w:p>
      <w:pPr>
        <w:pStyle w:val="Subsection"/>
      </w:pPr>
      <w:r>
        <w:tab/>
      </w:r>
      <w:r>
        <w:tab/>
        <w:t>An electoral officer who —</w:t>
      </w:r>
    </w:p>
    <w:p>
      <w:pPr>
        <w:pStyle w:val="Indenta"/>
      </w:pPr>
      <w:r>
        <w:tab/>
        <w:t>(a)</w:t>
      </w:r>
      <w:r>
        <w:tab/>
        <w:t>attempts to influence the vote of an elector; or</w:t>
      </w:r>
    </w:p>
    <w:p>
      <w:pPr>
        <w:pStyle w:val="Indenta"/>
      </w:pPr>
      <w:r>
        <w:tab/>
        <w:t>(b)</w:t>
      </w:r>
      <w:r>
        <w:tab/>
        <w:t>by any unauthorised act or omission attempts to influence the result of an election; or</w:t>
      </w:r>
    </w:p>
    <w:p>
      <w:pPr>
        <w:pStyle w:val="Indenta"/>
        <w:keepNext/>
        <w:keepLines/>
      </w:pPr>
      <w:r>
        <w:tab/>
        <w:t>(c)</w:t>
      </w:r>
      <w:r>
        <w:tab/>
        <w:t>discloses, except under compulsion of law, knowledge officially acquired concerning the vote of a particular elector,</w:t>
      </w:r>
    </w:p>
    <w:p>
      <w:pPr>
        <w:pStyle w:val="Subsection"/>
        <w:keepLines/>
      </w:pPr>
      <w:r>
        <w:tab/>
      </w:r>
      <w:r>
        <w:tab/>
        <w:t>is guilty of an offence and is liable to imprisonment for 12 months and a fine of $12 000.</w:t>
      </w:r>
    </w:p>
    <w:p>
      <w:pPr>
        <w:pStyle w:val="Footnotesection"/>
        <w:keepLines w:val="0"/>
        <w:spacing w:before="80"/>
        <w:ind w:left="890" w:hanging="890"/>
      </w:pPr>
      <w:r>
        <w:tab/>
        <w:t>[Section 105 inserted: No. 70 of 2004 s. 10.]</w:t>
      </w:r>
    </w:p>
    <w:p>
      <w:pPr>
        <w:pStyle w:val="Heading5"/>
      </w:pPr>
      <w:bookmarkStart w:id="197" w:name="_Toc88662161"/>
      <w:r>
        <w:rPr>
          <w:rStyle w:val="CharSectno"/>
        </w:rPr>
        <w:t>106</w:t>
      </w:r>
      <w:r>
        <w:t>.</w:t>
      </w:r>
      <w:r>
        <w:tab/>
        <w:t>False statements in connection with an election</w:t>
      </w:r>
      <w:bookmarkEnd w:id="197"/>
    </w:p>
    <w:p>
      <w:pPr>
        <w:pStyle w:val="Subsection"/>
      </w:pPr>
      <w:r>
        <w:tab/>
        <w:t>(1)</w:t>
      </w:r>
      <w:r>
        <w:tab/>
        <w:t>A person who makes a statement that is false in a material particular —</w:t>
      </w:r>
    </w:p>
    <w:p>
      <w:pPr>
        <w:pStyle w:val="Indenta"/>
      </w:pPr>
      <w:r>
        <w:tab/>
        <w:t>(a)</w:t>
      </w:r>
      <w:r>
        <w:tab/>
        <w:t>in a nomination to be a candidate in an election; or</w:t>
      </w:r>
    </w:p>
    <w:p>
      <w:pPr>
        <w:pStyle w:val="Indenta"/>
      </w:pPr>
      <w:r>
        <w:tab/>
        <w:t>(b)</w:t>
      </w:r>
      <w:r>
        <w:tab/>
        <w:t>in an application to be included on a list of electors in an election; or</w:t>
      </w:r>
    </w:p>
    <w:p>
      <w:pPr>
        <w:pStyle w:val="Indenta"/>
      </w:pPr>
      <w:r>
        <w:tab/>
        <w:t>(c)</w:t>
      </w:r>
      <w:r>
        <w:tab/>
        <w:t>in any other application or in any declaration, form, certificate or other document that the person completes in connection with an election; or</w:t>
      </w:r>
    </w:p>
    <w:p>
      <w:pPr>
        <w:pStyle w:val="Indenta"/>
        <w:keepNext/>
      </w:pPr>
      <w:r>
        <w:lastRenderedPageBreak/>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No. 70 of 2004 s. 10.]</w:t>
      </w:r>
    </w:p>
    <w:p>
      <w:pPr>
        <w:pStyle w:val="Heading5"/>
      </w:pPr>
      <w:bookmarkStart w:id="198" w:name="_Toc88662162"/>
      <w:r>
        <w:rPr>
          <w:rStyle w:val="CharSectno"/>
        </w:rPr>
        <w:t>107</w:t>
      </w:r>
      <w:r>
        <w:t>.</w:t>
      </w:r>
      <w:r>
        <w:tab/>
        <w:t>Evidentiary matters</w:t>
      </w:r>
      <w:bookmarkEnd w:id="198"/>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 or</w:t>
      </w:r>
    </w:p>
    <w:p>
      <w:pPr>
        <w:pStyle w:val="Indenta"/>
      </w:pPr>
      <w:r>
        <w:tab/>
        <w:t>(b)</w:t>
      </w:r>
      <w:r>
        <w:tab/>
        <w:t>that a person named in the certificate was or was not a candidate in the election; or</w:t>
      </w:r>
    </w:p>
    <w:p>
      <w:pPr>
        <w:pStyle w:val="Indenta"/>
      </w:pPr>
      <w:r>
        <w:tab/>
        <w:t>(c)</w:t>
      </w:r>
      <w:r>
        <w:tab/>
        <w:t>that a person named in the certificate was or was not an elector in the election; or</w:t>
      </w:r>
    </w:p>
    <w:p>
      <w:pPr>
        <w:pStyle w:val="Indenta"/>
      </w:pPr>
      <w:r>
        <w:tab/>
        <w:t>(d)</w:t>
      </w:r>
      <w:r>
        <w:tab/>
        <w:t>that a place was or was not a polling place for the purpose of the election; or</w:t>
      </w:r>
    </w:p>
    <w:p>
      <w:pPr>
        <w:pStyle w:val="Indenta"/>
        <w:spacing w:before="60"/>
      </w:pPr>
      <w:r>
        <w:tab/>
        <w:t>(e)</w:t>
      </w:r>
      <w:r>
        <w:tab/>
        <w:t>that a day was or was not a polling day for the election; or</w:t>
      </w:r>
    </w:p>
    <w:p>
      <w:pPr>
        <w:pStyle w:val="Indenta"/>
        <w:keepLines/>
      </w:pPr>
      <w:r>
        <w:tab/>
        <w:t>(f)</w:t>
      </w:r>
      <w:r>
        <w:tab/>
        <w:t>that the election was duly held,</w:t>
      </w:r>
    </w:p>
    <w:p>
      <w:pPr>
        <w:pStyle w:val="Subsection"/>
        <w:keepLines/>
      </w:pPr>
      <w:r>
        <w:tab/>
      </w:r>
      <w:r>
        <w:tab/>
        <w:t>is admissible without calling the officer and is proof of its contents in the absence of evidence to the contrary.</w:t>
      </w:r>
    </w:p>
    <w:p>
      <w:pPr>
        <w:pStyle w:val="Footnotesection"/>
      </w:pPr>
      <w:r>
        <w:tab/>
        <w:t>[Section 107 inserted: No. 70 of 2004 s. 10.]</w:t>
      </w:r>
    </w:p>
    <w:p>
      <w:pPr>
        <w:pStyle w:val="Ednotesection"/>
        <w:ind w:left="890" w:hanging="890"/>
      </w:pPr>
      <w:r>
        <w:t>[</w:t>
      </w:r>
      <w:r>
        <w:rPr>
          <w:b/>
          <w:bCs/>
        </w:rPr>
        <w:t>108</w:t>
      </w:r>
      <w:r>
        <w:rPr>
          <w:b/>
          <w:bCs/>
        </w:rPr>
        <w:noBreakHyphen/>
        <w:t>118.</w:t>
      </w:r>
      <w:r>
        <w:tab/>
        <w:t>Deleted: No. 70 of 2004 s. 10.]</w:t>
      </w:r>
    </w:p>
    <w:p>
      <w:pPr>
        <w:pStyle w:val="Ednotedivision"/>
      </w:pPr>
      <w:r>
        <w:t>[Chapter XV (s. 119) deleted: No. 70 of 1988 s. 17.]</w:t>
      </w:r>
    </w:p>
    <w:p>
      <w:pPr>
        <w:pStyle w:val="Heading3"/>
        <w:rPr>
          <w:snapToGrid w:val="0"/>
        </w:rPr>
      </w:pPr>
      <w:bookmarkStart w:id="199" w:name="_Toc88569720"/>
      <w:bookmarkStart w:id="200" w:name="_Toc88570242"/>
      <w:bookmarkStart w:id="201" w:name="_Toc88570764"/>
      <w:bookmarkStart w:id="202" w:name="_Toc88662163"/>
      <w:r>
        <w:rPr>
          <w:rStyle w:val="CharDivNo"/>
        </w:rPr>
        <w:lastRenderedPageBreak/>
        <w:t>Chapter XVI</w:t>
      </w:r>
      <w:r>
        <w:rPr>
          <w:snapToGrid w:val="0"/>
        </w:rPr>
        <w:t> — </w:t>
      </w:r>
      <w:r>
        <w:rPr>
          <w:rStyle w:val="CharDivText"/>
        </w:rPr>
        <w:t>Offences relating to the administration of justice</w:t>
      </w:r>
      <w:bookmarkEnd w:id="199"/>
      <w:bookmarkEnd w:id="200"/>
      <w:bookmarkEnd w:id="201"/>
      <w:bookmarkEnd w:id="202"/>
    </w:p>
    <w:p>
      <w:pPr>
        <w:pStyle w:val="Heading5"/>
        <w:rPr>
          <w:snapToGrid w:val="0"/>
        </w:rPr>
      </w:pPr>
      <w:bookmarkStart w:id="203" w:name="_Toc88662164"/>
      <w:r>
        <w:rPr>
          <w:rStyle w:val="CharSectno"/>
        </w:rPr>
        <w:t>120</w:t>
      </w:r>
      <w:r>
        <w:rPr>
          <w:snapToGrid w:val="0"/>
        </w:rPr>
        <w:t>.</w:t>
      </w:r>
      <w:r>
        <w:rPr>
          <w:snapToGrid w:val="0"/>
        </w:rPr>
        <w:tab/>
      </w:r>
      <w:r>
        <w:t>Term used: judicial proceeding</w:t>
      </w:r>
      <w:bookmarkEnd w:id="203"/>
    </w:p>
    <w:p>
      <w:pPr>
        <w:pStyle w:val="Subsection"/>
        <w:rPr>
          <w:snapToGrid w:val="0"/>
        </w:rPr>
      </w:pPr>
      <w:r>
        <w:rPr>
          <w:snapToGrid w:val="0"/>
        </w:rPr>
        <w:tab/>
      </w:r>
      <w:r>
        <w:rPr>
          <w:snapToGrid w:val="0"/>
        </w:rPr>
        <w:tab/>
        <w:t xml:space="preserve">In this Chapter the term </w:t>
      </w:r>
      <w:r>
        <w:rPr>
          <w:rStyle w:val="CharDefText"/>
        </w:rPr>
        <w:t>judicial proceeding</w:t>
      </w:r>
      <w:r>
        <w:rPr>
          <w:snapToGrid w:val="0"/>
        </w:rPr>
        <w:t xml:space="preserve"> includes any proceeding had or taken in or before any court, tribunal, or person, in which evidence may be taken on oath.</w:t>
      </w:r>
    </w:p>
    <w:p>
      <w:pPr>
        <w:pStyle w:val="Heading5"/>
        <w:rPr>
          <w:snapToGrid w:val="0"/>
        </w:rPr>
      </w:pPr>
      <w:bookmarkStart w:id="204" w:name="_Toc88662165"/>
      <w:r>
        <w:rPr>
          <w:rStyle w:val="CharSectno"/>
        </w:rPr>
        <w:t>121</w:t>
      </w:r>
      <w:r>
        <w:rPr>
          <w:snapToGrid w:val="0"/>
        </w:rPr>
        <w:t>.</w:t>
      </w:r>
      <w:r>
        <w:rPr>
          <w:snapToGrid w:val="0"/>
        </w:rPr>
        <w:tab/>
        <w:t>Judicial corruption</w:t>
      </w:r>
      <w:bookmarkEnd w:id="204"/>
    </w:p>
    <w:p>
      <w:pPr>
        <w:pStyle w:val="Subsection"/>
        <w:spacing w:before="12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keepLines/>
        <w:rPr>
          <w:snapToGrid w:val="0"/>
        </w:rPr>
      </w:pPr>
      <w:r>
        <w:rPr>
          <w:snapToGrid w:val="0"/>
        </w:rPr>
        <w:tab/>
      </w:r>
      <w:r>
        <w:rPr>
          <w:snapToGrid w:val="0"/>
        </w:rPr>
        <w:tab/>
        <w:t>is guilty of a crime, and is liable to imprisonment for 14 years.</w:t>
      </w:r>
    </w:p>
    <w:p>
      <w:pPr>
        <w:pStyle w:val="Subsection"/>
        <w:rPr>
          <w:snapToGrid w:val="0"/>
        </w:rPr>
      </w:pPr>
      <w:r>
        <w:rPr>
          <w:snapToGrid w:val="0"/>
        </w:rPr>
        <w:tab/>
      </w:r>
      <w:r>
        <w:rPr>
          <w:snapToGrid w:val="0"/>
        </w:rPr>
        <w:tab/>
        <w:t xml:space="preserve">The term </w:t>
      </w:r>
      <w:r>
        <w:rPr>
          <w:rStyle w:val="CharDefText"/>
        </w:rPr>
        <w:t>holder of a judicial office</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rPr>
          <w:snapToGrid w:val="0"/>
        </w:rPr>
      </w:pPr>
      <w:r>
        <w:rPr>
          <w:snapToGrid w:val="0"/>
        </w:rPr>
        <w:tab/>
      </w:r>
      <w:r>
        <w:rPr>
          <w:snapToGrid w:val="0"/>
        </w:rPr>
        <w:tab/>
        <w:t>A prosecution for an offence under paragraph (1) can not be begun except —</w:t>
      </w:r>
    </w:p>
    <w:p>
      <w:pPr>
        <w:pStyle w:val="Indenta"/>
        <w:rPr>
          <w:snapToGrid w:val="0"/>
        </w:rPr>
      </w:pPr>
      <w:r>
        <w:rPr>
          <w:snapToGrid w:val="0"/>
        </w:rPr>
        <w:tab/>
        <w:t>(a)</w:t>
      </w:r>
      <w:r>
        <w:rPr>
          <w:snapToGrid w:val="0"/>
        </w:rPr>
        <w:tab/>
        <w:t>by a public officer acting in the course of his duties; or</w:t>
      </w:r>
    </w:p>
    <w:p>
      <w:pPr>
        <w:pStyle w:val="Indenta"/>
        <w:keepNext/>
        <w:rPr>
          <w:snapToGrid w:val="0"/>
        </w:rPr>
      </w:pPr>
      <w:r>
        <w:rPr>
          <w:snapToGrid w:val="0"/>
        </w:rPr>
        <w:lastRenderedPageBreak/>
        <w:tab/>
        <w:t>(b)</w:t>
      </w:r>
      <w:r>
        <w:rPr>
          <w:snapToGrid w:val="0"/>
        </w:rPr>
        <w:tab/>
        <w:t>by or with the consent of the Attorney General.</w:t>
      </w:r>
    </w:p>
    <w:p>
      <w:pPr>
        <w:pStyle w:val="Footnotesection"/>
        <w:ind w:left="890" w:hanging="890"/>
      </w:pPr>
      <w:r>
        <w:tab/>
        <w:t>[Section 121 amended: No. 119 of 1985 s. 30; No. 101 of 1990 s. 8; No. 51 of 1992 s. 16(2); No. 73 of 1994 s. 4.]</w:t>
      </w:r>
    </w:p>
    <w:p>
      <w:pPr>
        <w:pStyle w:val="Heading5"/>
        <w:rPr>
          <w:snapToGrid w:val="0"/>
        </w:rPr>
      </w:pPr>
      <w:bookmarkStart w:id="205" w:name="_Toc88662166"/>
      <w:r>
        <w:rPr>
          <w:rStyle w:val="CharSectno"/>
        </w:rPr>
        <w:t>122</w:t>
      </w:r>
      <w:r>
        <w:rPr>
          <w:snapToGrid w:val="0"/>
        </w:rPr>
        <w:t>.</w:t>
      </w:r>
      <w:r>
        <w:rPr>
          <w:snapToGrid w:val="0"/>
        </w:rPr>
        <w:tab/>
        <w:t>Official corruption not judicial but relating to offences</w:t>
      </w:r>
      <w:bookmarkEnd w:id="205"/>
    </w:p>
    <w:p>
      <w:pPr>
        <w:pStyle w:val="Subsection"/>
        <w:keepNext/>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keepLines/>
        <w:rPr>
          <w:snapToGrid w:val="0"/>
        </w:rPr>
      </w:pPr>
      <w:r>
        <w:rPr>
          <w:snapToGrid w:val="0"/>
        </w:rPr>
        <w:tab/>
      </w:r>
      <w:r>
        <w:rPr>
          <w:snapToGrid w:val="0"/>
        </w:rPr>
        <w:tab/>
        <w:t>is guilty of a crime, and is liable to imprisonment for 14 years.</w:t>
      </w:r>
    </w:p>
    <w:p>
      <w:pPr>
        <w:pStyle w:val="Footnotesection"/>
        <w:spacing w:before="80"/>
        <w:ind w:left="890" w:hanging="890"/>
      </w:pPr>
      <w:r>
        <w:tab/>
        <w:t>[Section 122 amended: No. 119 of 1985 s. 30; No. 51 of 1992 s. 16(2); No. 73 of 1994 s. 4.]</w:t>
      </w:r>
    </w:p>
    <w:p>
      <w:pPr>
        <w:pStyle w:val="Heading5"/>
        <w:rPr>
          <w:snapToGrid w:val="0"/>
        </w:rPr>
      </w:pPr>
      <w:bookmarkStart w:id="206" w:name="_Toc88662167"/>
      <w:r>
        <w:rPr>
          <w:rStyle w:val="CharSectno"/>
        </w:rPr>
        <w:t>123</w:t>
      </w:r>
      <w:r>
        <w:rPr>
          <w:snapToGrid w:val="0"/>
        </w:rPr>
        <w:t>.</w:t>
      </w:r>
      <w:r>
        <w:rPr>
          <w:snapToGrid w:val="0"/>
        </w:rPr>
        <w:tab/>
        <w:t>Corrupting or threatening juror</w:t>
      </w:r>
      <w:bookmarkEnd w:id="206"/>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 xml:space="preserve">Attempts by threats or intimidation of any kind, or by benefits or promises of benefit of any kind, or by other corrupt means, to influence any person, whether a </w:t>
      </w:r>
      <w:r>
        <w:rPr>
          <w:snapToGrid w:val="0"/>
        </w:rPr>
        <w:lastRenderedPageBreak/>
        <w:t>particular person or not, in his conduct as a juror in any judicial proceeding, whether he has been sworn as a juror or not; or</w:t>
      </w:r>
    </w:p>
    <w:p>
      <w:pPr>
        <w:pStyle w:val="Indenta"/>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[Section 123 amended: No. 101 of 1990 s. 9; No. 51 of 1992 s. 16(2); No. 70 of 2004 s. 34(1).]</w:t>
      </w:r>
    </w:p>
    <w:p>
      <w:pPr>
        <w:pStyle w:val="Heading5"/>
        <w:spacing w:before="180"/>
        <w:rPr>
          <w:snapToGrid w:val="0"/>
        </w:rPr>
      </w:pPr>
      <w:bookmarkStart w:id="207" w:name="_Toc88662168"/>
      <w:r>
        <w:rPr>
          <w:rStyle w:val="CharSectno"/>
        </w:rPr>
        <w:t>124</w:t>
      </w:r>
      <w:r>
        <w:rPr>
          <w:snapToGrid w:val="0"/>
        </w:rPr>
        <w:t>.</w:t>
      </w:r>
      <w:r>
        <w:rPr>
          <w:snapToGrid w:val="0"/>
        </w:rPr>
        <w:tab/>
        <w:t>Perjury</w:t>
      </w:r>
      <w:bookmarkEnd w:id="207"/>
    </w:p>
    <w:p>
      <w:pPr>
        <w:pStyle w:val="Subsection"/>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rPr>
          <w:snapToGrid w:val="0"/>
        </w:rPr>
      </w:pPr>
      <w:r>
        <w:rPr>
          <w:snapToGrid w:val="0"/>
        </w:rPr>
        <w:tab/>
      </w:r>
      <w:r>
        <w:rPr>
          <w:snapToGrid w:val="0"/>
        </w:rPr>
        <w:tab/>
        <w:t>It is immaterial whether the testimony is given on oath or under any other sanction authorised by law.</w:t>
      </w:r>
    </w:p>
    <w:p>
      <w:pPr>
        <w:pStyle w:val="Subsection"/>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rPr>
          <w:snapToGrid w:val="0"/>
        </w:rPr>
      </w:pPr>
      <w:r>
        <w:rPr>
          <w:snapToGrid w:val="0"/>
        </w:rPr>
        <w:tab/>
      </w:r>
      <w:r>
        <w:rPr>
          <w:snapToGrid w:val="0"/>
        </w:rPr>
        <w:tab/>
        <w:t>It is immaterial whether the false testimony is given orally or in writing.</w:t>
      </w:r>
    </w:p>
    <w:p>
      <w:pPr>
        <w:pStyle w:val="Subsection"/>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rPr>
          <w:snapToGrid w:val="0"/>
        </w:rPr>
      </w:pPr>
      <w:r>
        <w:rPr>
          <w:snapToGrid w:val="0"/>
        </w:rPr>
        <w:lastRenderedPageBreak/>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No. 119 of 1985 s. 30.]</w:t>
      </w:r>
    </w:p>
    <w:p>
      <w:pPr>
        <w:pStyle w:val="Heading5"/>
        <w:rPr>
          <w:snapToGrid w:val="0"/>
        </w:rPr>
      </w:pPr>
      <w:bookmarkStart w:id="208" w:name="_Toc88662169"/>
      <w:r>
        <w:rPr>
          <w:rStyle w:val="CharSectno"/>
        </w:rPr>
        <w:t>125</w:t>
      </w:r>
      <w:r>
        <w:rPr>
          <w:snapToGrid w:val="0"/>
        </w:rPr>
        <w:t>.</w:t>
      </w:r>
      <w:r>
        <w:rPr>
          <w:snapToGrid w:val="0"/>
        </w:rPr>
        <w:tab/>
        <w:t>Perjury, penalty for</w:t>
      </w:r>
      <w:bookmarkEnd w:id="208"/>
    </w:p>
    <w:p>
      <w:pPr>
        <w:pStyle w:val="Subsection"/>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imprisonment for life, he is liable to imprisonment for life.</w:t>
      </w:r>
    </w:p>
    <w:p>
      <w:pPr>
        <w:pStyle w:val="Footnotesection"/>
      </w:pPr>
      <w:r>
        <w:tab/>
        <w:t>[Section 125 amended: No. 52 of 1984 s. 14; No. 51 of 1992 s. 16(2); No. 29 of 2008 s. 16(3).]</w:t>
      </w:r>
    </w:p>
    <w:p>
      <w:pPr>
        <w:pStyle w:val="Ednotesection"/>
        <w:keepNext/>
      </w:pPr>
      <w:r>
        <w:t>[</w:t>
      </w:r>
      <w:r>
        <w:rPr>
          <w:b/>
        </w:rPr>
        <w:t>126.</w:t>
      </w:r>
      <w:r>
        <w:tab/>
        <w:t>Deleted: No. 70 of 1988 s. 31.]</w:t>
      </w:r>
    </w:p>
    <w:p>
      <w:pPr>
        <w:pStyle w:val="Heading5"/>
        <w:rPr>
          <w:snapToGrid w:val="0"/>
        </w:rPr>
      </w:pPr>
      <w:bookmarkStart w:id="209" w:name="_Toc88662170"/>
      <w:r>
        <w:rPr>
          <w:rStyle w:val="CharSectno"/>
        </w:rPr>
        <w:t>127</w:t>
      </w:r>
      <w:r>
        <w:rPr>
          <w:snapToGrid w:val="0"/>
        </w:rPr>
        <w:t>.</w:t>
      </w:r>
      <w:r>
        <w:rPr>
          <w:snapToGrid w:val="0"/>
        </w:rPr>
        <w:tab/>
      </w:r>
      <w:r>
        <w:t>False</w:t>
      </w:r>
      <w:r>
        <w:rPr>
          <w:snapToGrid w:val="0"/>
        </w:rPr>
        <w:t xml:space="preserve"> evidence before Royal Commission</w:t>
      </w:r>
      <w:bookmarkEnd w:id="209"/>
    </w:p>
    <w:p>
      <w:pPr>
        <w:pStyle w:val="Subsection"/>
        <w:spacing w:before="180"/>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No. 119 of 1985 s. 30; No. 70 of 1988 s. 31; No. 51 of 1992 s. 16(2).]</w:t>
      </w:r>
    </w:p>
    <w:p>
      <w:pPr>
        <w:pStyle w:val="Heading5"/>
        <w:keepNext w:val="0"/>
        <w:keepLines w:val="0"/>
        <w:rPr>
          <w:snapToGrid w:val="0"/>
        </w:rPr>
      </w:pPr>
      <w:bookmarkStart w:id="210" w:name="_Toc88662171"/>
      <w:r>
        <w:rPr>
          <w:rStyle w:val="CharSectno"/>
        </w:rPr>
        <w:t>128</w:t>
      </w:r>
      <w:r>
        <w:rPr>
          <w:snapToGrid w:val="0"/>
        </w:rPr>
        <w:t>.</w:t>
      </w:r>
      <w:r>
        <w:rPr>
          <w:snapToGrid w:val="0"/>
        </w:rPr>
        <w:tab/>
        <w:t>Threatening witness before Royal Commission etc.</w:t>
      </w:r>
      <w:bookmarkEnd w:id="210"/>
    </w:p>
    <w:p>
      <w:pPr>
        <w:pStyle w:val="Subsection"/>
        <w:rPr>
          <w:snapToGrid w:val="0"/>
        </w:rPr>
      </w:pPr>
      <w:r>
        <w:rPr>
          <w:snapToGrid w:val="0"/>
        </w:rPr>
        <w:tab/>
      </w:r>
      <w:r>
        <w:rPr>
          <w:snapToGrid w:val="0"/>
        </w:rPr>
        <w:tab/>
        <w:t>Any person who —</w:t>
      </w:r>
    </w:p>
    <w:p>
      <w:pPr>
        <w:pStyle w:val="Indenta"/>
        <w:keepLines/>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rPr>
          <w:snapToGrid w:val="0"/>
        </w:rPr>
      </w:pPr>
      <w:r>
        <w:rPr>
          <w:snapToGrid w:val="0"/>
        </w:rPr>
        <w:tab/>
        <w:t>(2)</w:t>
      </w:r>
      <w:r>
        <w:rPr>
          <w:snapToGrid w:val="0"/>
        </w:rPr>
        <w:tab/>
        <w:t xml:space="preserve">Threatens, or in any way punishes, damnifies, or injures, or attempts to punish, damnify, or injure any other person for having given such evidence, or on account of </w:t>
      </w:r>
      <w:r>
        <w:rPr>
          <w:snapToGrid w:val="0"/>
        </w:rPr>
        <w:lastRenderedPageBreak/>
        <w:t>the evidence which he has given, unless such evidence was given in bad faith;</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ind w:left="890" w:hanging="890"/>
      </w:pPr>
      <w:r>
        <w:tab/>
        <w:t>[Section 128 amended: No. 51 of 1992 s. 16(2); No. 70 of 2004 s. 34(1).]</w:t>
      </w:r>
    </w:p>
    <w:p>
      <w:pPr>
        <w:pStyle w:val="Heading5"/>
        <w:rPr>
          <w:snapToGrid w:val="0"/>
        </w:rPr>
      </w:pPr>
      <w:bookmarkStart w:id="211" w:name="_Toc88662172"/>
      <w:r>
        <w:rPr>
          <w:rStyle w:val="CharSectno"/>
        </w:rPr>
        <w:t>129</w:t>
      </w:r>
      <w:r>
        <w:rPr>
          <w:snapToGrid w:val="0"/>
        </w:rPr>
        <w:t>.</w:t>
      </w:r>
      <w:r>
        <w:rPr>
          <w:snapToGrid w:val="0"/>
        </w:rPr>
        <w:tab/>
        <w:t>Fabricating evidence</w:t>
      </w:r>
      <w:bookmarkEnd w:id="211"/>
    </w:p>
    <w:p>
      <w:pPr>
        <w:pStyle w:val="Subsection"/>
        <w:spacing w:before="220"/>
        <w:rPr>
          <w:snapToGrid w:val="0"/>
        </w:rPr>
      </w:pPr>
      <w:r>
        <w:rPr>
          <w:snapToGrid w:val="0"/>
        </w:rPr>
        <w:tab/>
      </w:r>
      <w:r>
        <w:rPr>
          <w:snapToGrid w:val="0"/>
        </w:rPr>
        <w:tab/>
        <w:t>Any person who, with intent to mislead any tribunal in any judicial proceeding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keepNext/>
        <w:keepLines/>
        <w:rPr>
          <w:snapToGrid w:val="0"/>
        </w:rPr>
      </w:pPr>
      <w:r>
        <w:rPr>
          <w:snapToGrid w:val="0"/>
        </w:rPr>
        <w:tab/>
        <w:t>(2)</w:t>
      </w:r>
      <w:r>
        <w:rPr>
          <w:snapToGrid w:val="0"/>
        </w:rPr>
        <w:tab/>
        <w:t>Knowingly makes use of such fabricated evidence;</w:t>
      </w:r>
    </w:p>
    <w:p>
      <w:pPr>
        <w:pStyle w:val="Subsection"/>
        <w:keepNext/>
        <w:keepLines/>
        <w:rPr>
          <w:snapToGrid w:val="0"/>
        </w:rPr>
      </w:pPr>
      <w:r>
        <w:rPr>
          <w:snapToGrid w:val="0"/>
        </w:rPr>
        <w:tab/>
      </w:r>
      <w:r>
        <w:rPr>
          <w:snapToGrid w:val="0"/>
        </w:rPr>
        <w:tab/>
        <w:t>is guilty of a crime, and is liable to imprisonment for 7 years.</w:t>
      </w:r>
    </w:p>
    <w:p>
      <w:pPr>
        <w:pStyle w:val="Footnotesection"/>
      </w:pPr>
      <w:r>
        <w:tab/>
        <w:t>[Section 129 amended: No. 119 of 1985 s. 30; No. 51 of 1992 s. 16(2).]</w:t>
      </w:r>
    </w:p>
    <w:p>
      <w:pPr>
        <w:pStyle w:val="Heading5"/>
        <w:rPr>
          <w:snapToGrid w:val="0"/>
        </w:rPr>
      </w:pPr>
      <w:bookmarkStart w:id="212" w:name="_Toc88662173"/>
      <w:r>
        <w:rPr>
          <w:rStyle w:val="CharSectno"/>
        </w:rPr>
        <w:t>130</w:t>
      </w:r>
      <w:r>
        <w:rPr>
          <w:snapToGrid w:val="0"/>
        </w:rPr>
        <w:t>.</w:t>
      </w:r>
      <w:r>
        <w:rPr>
          <w:snapToGrid w:val="0"/>
        </w:rPr>
        <w:tab/>
        <w:t>Corruption of witness</w:t>
      </w:r>
      <w:bookmarkEnd w:id="212"/>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 xml:space="preserve">Asks, receives, or obtains, or agrees or attempts to receive or obtain, any property or benefit of any kind for himself or any other person, upon any agreement or understanding that any person shall, as a witness in any </w:t>
      </w:r>
      <w:r>
        <w:rPr>
          <w:snapToGrid w:val="0"/>
        </w:rPr>
        <w:lastRenderedPageBreak/>
        <w:t>judicial proceeding, give false testimony or withhold true testimony,</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130 amended: No. 119 of 1985 s. 30; No. 51 of 1992 s. 16(2).]</w:t>
      </w:r>
    </w:p>
    <w:p>
      <w:pPr>
        <w:pStyle w:val="Heading5"/>
        <w:keepLines w:val="0"/>
        <w:rPr>
          <w:snapToGrid w:val="0"/>
        </w:rPr>
      </w:pPr>
      <w:bookmarkStart w:id="213" w:name="_Toc88662174"/>
      <w:r>
        <w:rPr>
          <w:rStyle w:val="CharSectno"/>
        </w:rPr>
        <w:t>131</w:t>
      </w:r>
      <w:r>
        <w:rPr>
          <w:snapToGrid w:val="0"/>
        </w:rPr>
        <w:t>.</w:t>
      </w:r>
      <w:r>
        <w:rPr>
          <w:snapToGrid w:val="0"/>
        </w:rPr>
        <w:tab/>
        <w:t>Deceiving witness</w:t>
      </w:r>
      <w:bookmarkEnd w:id="213"/>
    </w:p>
    <w:p>
      <w:pPr>
        <w:pStyle w:val="Subsection"/>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No. 51 of 1992 s. 16(2); No. 70 of 2004 s. 34(1).]</w:t>
      </w:r>
    </w:p>
    <w:p>
      <w:pPr>
        <w:pStyle w:val="Heading5"/>
        <w:rPr>
          <w:snapToGrid w:val="0"/>
        </w:rPr>
      </w:pPr>
      <w:bookmarkStart w:id="214" w:name="_Toc88662175"/>
      <w:r>
        <w:rPr>
          <w:rStyle w:val="CharSectno"/>
        </w:rPr>
        <w:t>132</w:t>
      </w:r>
      <w:r>
        <w:rPr>
          <w:snapToGrid w:val="0"/>
        </w:rPr>
        <w:t>.</w:t>
      </w:r>
      <w:r>
        <w:rPr>
          <w:snapToGrid w:val="0"/>
        </w:rPr>
        <w:tab/>
        <w:t>Destroying evidence</w:t>
      </w:r>
      <w:bookmarkEnd w:id="214"/>
    </w:p>
    <w:p>
      <w:pPr>
        <w:pStyle w:val="Subsection"/>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No. 51 of 1992 s. 16(2); No. 8 of 2002 s. 7.]</w:t>
      </w:r>
    </w:p>
    <w:p>
      <w:pPr>
        <w:pStyle w:val="Heading5"/>
        <w:rPr>
          <w:snapToGrid w:val="0"/>
        </w:rPr>
      </w:pPr>
      <w:bookmarkStart w:id="215" w:name="_Toc88662176"/>
      <w:r>
        <w:rPr>
          <w:rStyle w:val="CharSectno"/>
        </w:rPr>
        <w:t>133</w:t>
      </w:r>
      <w:r>
        <w:rPr>
          <w:snapToGrid w:val="0"/>
        </w:rPr>
        <w:t>.</w:t>
      </w:r>
      <w:r>
        <w:rPr>
          <w:snapToGrid w:val="0"/>
        </w:rPr>
        <w:tab/>
        <w:t>Preventing witness from attending</w:t>
      </w:r>
      <w:bookmarkEnd w:id="215"/>
    </w:p>
    <w:p>
      <w:pPr>
        <w:pStyle w:val="Subsection"/>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spacing w:before="80"/>
        <w:ind w:left="890" w:hanging="890"/>
      </w:pPr>
      <w:r>
        <w:tab/>
        <w:t>[Section 133 amended: No. 70 of 2004 s. 34(1).]</w:t>
      </w:r>
    </w:p>
    <w:p>
      <w:pPr>
        <w:pStyle w:val="Heading5"/>
      </w:pPr>
      <w:bookmarkStart w:id="216" w:name="_Toc88662177"/>
      <w:r>
        <w:rPr>
          <w:rStyle w:val="CharSectno"/>
        </w:rPr>
        <w:lastRenderedPageBreak/>
        <w:t>133A</w:t>
      </w:r>
      <w:r>
        <w:t>.</w:t>
      </w:r>
      <w:r>
        <w:tab/>
        <w:t xml:space="preserve">False </w:t>
      </w:r>
      <w:r>
        <w:rPr>
          <w:snapToGrid w:val="0"/>
        </w:rPr>
        <w:t>prosecution, commencing</w:t>
      </w:r>
      <w:bookmarkEnd w:id="216"/>
    </w:p>
    <w:p>
      <w:pPr>
        <w:pStyle w:val="Subsection"/>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80"/>
        <w:ind w:left="890" w:hanging="890"/>
      </w:pPr>
      <w:r>
        <w:tab/>
        <w:t>[Section 133A inserted: No. 10 of 1999 s. 3; amended: No. 59 of 2004 s. 80; No. 84 of 2004 s. 28.]</w:t>
      </w:r>
    </w:p>
    <w:p>
      <w:pPr>
        <w:pStyle w:val="Heading5"/>
        <w:keepLines w:val="0"/>
        <w:rPr>
          <w:snapToGrid w:val="0"/>
        </w:rPr>
      </w:pPr>
      <w:bookmarkStart w:id="217" w:name="_Toc88662178"/>
      <w:r>
        <w:rPr>
          <w:rStyle w:val="CharSectno"/>
        </w:rPr>
        <w:t>134</w:t>
      </w:r>
      <w:r>
        <w:rPr>
          <w:snapToGrid w:val="0"/>
        </w:rPr>
        <w:t>.</w:t>
      </w:r>
      <w:r>
        <w:rPr>
          <w:snapToGrid w:val="0"/>
        </w:rPr>
        <w:tab/>
        <w:t>Conspiracy to commence false prosecution</w:t>
      </w:r>
      <w:bookmarkEnd w:id="217"/>
    </w:p>
    <w:p>
      <w:pPr>
        <w:pStyle w:val="Subsection"/>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rPr>
          <w:snapToGrid w:val="0"/>
        </w:rPr>
      </w:pPr>
      <w:r>
        <w:rPr>
          <w:snapToGrid w:val="0"/>
        </w:rPr>
        <w:tab/>
      </w:r>
      <w:r>
        <w:rPr>
          <w:snapToGrid w:val="0"/>
        </w:rPr>
        <w:tab/>
        <w:t>If the offence is such that a person convicted of it is liable to be sentenced to imprisonment for life, the offender is liable to imprisonment for 20 years.</w:t>
      </w:r>
    </w:p>
    <w:p>
      <w:pPr>
        <w:pStyle w:val="Subsection"/>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rPr>
          <w:snapToGrid w:val="0"/>
        </w:rPr>
      </w:pPr>
      <w:r>
        <w:rPr>
          <w:snapToGrid w:val="0"/>
        </w:rPr>
        <w:tab/>
      </w:r>
      <w:r>
        <w:rPr>
          <w:snapToGrid w:val="0"/>
        </w:rPr>
        <w:tab/>
        <w:t>In any other case the offender is liable to imprisonment for 7 years.</w:t>
      </w:r>
    </w:p>
    <w:p>
      <w:pPr>
        <w:pStyle w:val="Footnotesection"/>
        <w:ind w:left="890" w:hanging="890"/>
      </w:pPr>
      <w:r>
        <w:tab/>
        <w:t>[Section 134 amended: No. 118 of 1981 s. 5; No. 52 of 1984 s. 15; No. 119 of 1985 s. 30; No. 51 of 1992 s. 16(2); No. 29 of 2008 s. 16(4).]</w:t>
      </w:r>
    </w:p>
    <w:p>
      <w:pPr>
        <w:pStyle w:val="Heading5"/>
        <w:rPr>
          <w:snapToGrid w:val="0"/>
        </w:rPr>
      </w:pPr>
      <w:bookmarkStart w:id="218" w:name="_Toc88662179"/>
      <w:r>
        <w:rPr>
          <w:rStyle w:val="CharSectno"/>
        </w:rPr>
        <w:t>135</w:t>
      </w:r>
      <w:r>
        <w:rPr>
          <w:snapToGrid w:val="0"/>
        </w:rPr>
        <w:t>.</w:t>
      </w:r>
      <w:r>
        <w:rPr>
          <w:snapToGrid w:val="0"/>
        </w:rPr>
        <w:tab/>
        <w:t>Conspiring to pervert etc. course of justice</w:t>
      </w:r>
      <w:bookmarkEnd w:id="218"/>
    </w:p>
    <w:p>
      <w:pPr>
        <w:pStyle w:val="Subsection"/>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No. 119 of 1985 s. 30; No. 51 of 1992 s. 16(2).]</w:t>
      </w:r>
    </w:p>
    <w:p>
      <w:pPr>
        <w:pStyle w:val="Heading5"/>
      </w:pPr>
      <w:bookmarkStart w:id="219" w:name="_Toc88662180"/>
      <w:r>
        <w:rPr>
          <w:rStyle w:val="CharSectno"/>
        </w:rPr>
        <w:lastRenderedPageBreak/>
        <w:t>136</w:t>
      </w:r>
      <w:r>
        <w:t>.</w:t>
      </w:r>
      <w:r>
        <w:tab/>
        <w:t>Compounding or concealing offence</w:t>
      </w:r>
      <w:bookmarkEnd w:id="219"/>
    </w:p>
    <w:p>
      <w:pPr>
        <w:pStyle w:val="Subsection"/>
      </w:pPr>
      <w:r>
        <w:tab/>
        <w:t>(1)</w:t>
      </w:r>
      <w:r>
        <w:tab/>
        <w:t>In this section —</w:t>
      </w:r>
    </w:p>
    <w:p>
      <w:pPr>
        <w:pStyle w:val="Defstart"/>
      </w:pPr>
      <w:r>
        <w:tab/>
      </w:r>
      <w:r>
        <w:rPr>
          <w:rStyle w:val="CharDefText"/>
        </w:rPr>
        <w:t>compound</w:t>
      </w:r>
      <w:r>
        <w:t>, in relation to an offence, includes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rPr>
          <w:rFonts w:ascii="Times" w:hAnsi="Times"/>
        </w:rPr>
      </w:pPr>
      <w:r>
        <w:rPr>
          <w:rFonts w:ascii="Times" w:hAnsi="Times"/>
        </w:rPr>
        <w:tab/>
        <w:t>[Section 136 inserted: No. 70 of 2004 s. 11.]</w:t>
      </w:r>
    </w:p>
    <w:p>
      <w:pPr>
        <w:pStyle w:val="Ednotesection"/>
        <w:rPr>
          <w:rFonts w:ascii="Times" w:hAnsi="Times"/>
        </w:rPr>
      </w:pPr>
      <w:r>
        <w:rPr>
          <w:rFonts w:ascii="Times" w:hAnsi="Times"/>
        </w:rPr>
        <w:t>[</w:t>
      </w:r>
      <w:r>
        <w:rPr>
          <w:rFonts w:ascii="Times" w:hAnsi="Times"/>
          <w:b/>
          <w:bCs/>
        </w:rPr>
        <w:t>137.</w:t>
      </w:r>
      <w:r>
        <w:rPr>
          <w:rFonts w:ascii="Times" w:hAnsi="Times"/>
        </w:rPr>
        <w:tab/>
        <w:t>Deleted: No. 70 of 2004 s. 11.]</w:t>
      </w:r>
    </w:p>
    <w:p>
      <w:pPr>
        <w:pStyle w:val="Heading5"/>
      </w:pPr>
      <w:bookmarkStart w:id="220" w:name="_Toc88662181"/>
      <w:r>
        <w:rPr>
          <w:rStyle w:val="CharSectno"/>
        </w:rPr>
        <w:t>138</w:t>
      </w:r>
      <w:r>
        <w:t>.</w:t>
      </w:r>
      <w:r>
        <w:tab/>
        <w:t>Advertising reward etc. for stolen property</w:t>
      </w:r>
      <w:bookmarkEnd w:id="220"/>
    </w:p>
    <w:p>
      <w:pPr>
        <w:pStyle w:val="Subsection"/>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No. 70 of 2004 s. 12.]</w:t>
      </w:r>
    </w:p>
    <w:p>
      <w:pPr>
        <w:pStyle w:val="Heading5"/>
        <w:spacing w:before="240"/>
        <w:rPr>
          <w:snapToGrid w:val="0"/>
        </w:rPr>
      </w:pPr>
      <w:bookmarkStart w:id="221" w:name="_Toc88662182"/>
      <w:r>
        <w:rPr>
          <w:rStyle w:val="CharSectno"/>
        </w:rPr>
        <w:lastRenderedPageBreak/>
        <w:t>139</w:t>
      </w:r>
      <w:r>
        <w:rPr>
          <w:snapToGrid w:val="0"/>
        </w:rPr>
        <w:t>.</w:t>
      </w:r>
      <w:r>
        <w:rPr>
          <w:snapToGrid w:val="0"/>
        </w:rPr>
        <w:tab/>
        <w:t>Justice acting when personally interested</w:t>
      </w:r>
      <w:bookmarkEnd w:id="221"/>
    </w:p>
    <w:p>
      <w:pPr>
        <w:pStyle w:val="Subsection"/>
        <w:rPr>
          <w:snapToGrid w:val="0"/>
        </w:rPr>
      </w:pPr>
      <w:r>
        <w:rPr>
          <w:snapToGrid w:val="0"/>
        </w:rPr>
        <w:tab/>
      </w:r>
      <w:r>
        <w:rPr>
          <w:snapToGrid w:val="0"/>
        </w:rPr>
        <w:tab/>
        <w:t>Any person who —</w:t>
      </w:r>
    </w:p>
    <w:p>
      <w:pPr>
        <w:pStyle w:val="Ednotepara"/>
        <w:spacing w:before="80"/>
        <w:ind w:left="1610" w:hanging="1610"/>
      </w:pPr>
      <w:r>
        <w:tab/>
        <w:t>[(1)</w:t>
      </w:r>
      <w:r>
        <w:tab/>
        <w:t>deleted]</w:t>
      </w:r>
    </w:p>
    <w:p>
      <w:pPr>
        <w:pStyle w:val="Indenta"/>
        <w:rPr>
          <w:snapToGrid w:val="0"/>
        </w:rPr>
      </w:pPr>
      <w:r>
        <w:rPr>
          <w:snapToGrid w:val="0"/>
        </w:rPr>
        <w:tab/>
        <w:t>(2)</w:t>
      </w:r>
      <w:r>
        <w:rPr>
          <w:snapToGrid w:val="0"/>
        </w:rPr>
        <w:tab/>
        <w:t>Being a justice, wilfully and perversely exercises jurisdiction in any matter in which he has a personal interest;</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[Section 139 amended: No. 87 of 1982 s. 31; No. 73 of 1994 s. 4; No. 70 of 2004 s. 34(1).]</w:t>
      </w:r>
    </w:p>
    <w:p>
      <w:pPr>
        <w:pStyle w:val="Ednotesection"/>
        <w:ind w:left="890" w:hanging="890"/>
      </w:pPr>
      <w:r>
        <w:t>[</w:t>
      </w:r>
      <w:r>
        <w:rPr>
          <w:b/>
        </w:rPr>
        <w:t>140.</w:t>
      </w:r>
      <w:r>
        <w:tab/>
      </w:r>
      <w:r>
        <w:tab/>
        <w:t>Deleted: No. 87 of 1982 s. 32.]</w:t>
      </w:r>
    </w:p>
    <w:p>
      <w:pPr>
        <w:pStyle w:val="Heading5"/>
        <w:rPr>
          <w:snapToGrid w:val="0"/>
        </w:rPr>
      </w:pPr>
      <w:bookmarkStart w:id="222" w:name="_Toc88662183"/>
      <w:r>
        <w:rPr>
          <w:rStyle w:val="CharSectno"/>
        </w:rPr>
        <w:t>141</w:t>
      </w:r>
      <w:r>
        <w:rPr>
          <w:snapToGrid w:val="0"/>
        </w:rPr>
        <w:t>.</w:t>
      </w:r>
      <w:r>
        <w:rPr>
          <w:snapToGrid w:val="0"/>
        </w:rPr>
        <w:tab/>
        <w:t>Bringing fictitious action on penal statute</w:t>
      </w:r>
      <w:bookmarkEnd w:id="222"/>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No. 70 of 2004 s. 34(1).]</w:t>
      </w:r>
    </w:p>
    <w:p>
      <w:pPr>
        <w:pStyle w:val="Heading5"/>
        <w:rPr>
          <w:snapToGrid w:val="0"/>
        </w:rPr>
      </w:pPr>
      <w:bookmarkStart w:id="223" w:name="_Toc88662184"/>
      <w:r>
        <w:rPr>
          <w:rStyle w:val="CharSectno"/>
        </w:rPr>
        <w:t>142</w:t>
      </w:r>
      <w:r>
        <w:rPr>
          <w:snapToGrid w:val="0"/>
        </w:rPr>
        <w:t>.</w:t>
      </w:r>
      <w:r>
        <w:rPr>
          <w:snapToGrid w:val="0"/>
        </w:rPr>
        <w:tab/>
        <w:t>Inserting advertisement without authority of court</w:t>
      </w:r>
      <w:bookmarkEnd w:id="223"/>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w:t>
      </w:r>
      <w:r>
        <w:rPr>
          <w:rFonts w:ascii="Times" w:hAnsi="Times"/>
          <w:snapToGrid w:val="0"/>
        </w:rPr>
        <w:t xml:space="preserve"> newspaper an advertisement purporting to be published under </w:t>
      </w:r>
      <w:r>
        <w:rPr>
          <w:snapToGrid w:val="0"/>
        </w:rPr>
        <w:t>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No. 51 of 1992 s. 16(2); No. 70 of 2004 s. 34(1).]</w:t>
      </w:r>
    </w:p>
    <w:p>
      <w:pPr>
        <w:pStyle w:val="Heading5"/>
        <w:rPr>
          <w:snapToGrid w:val="0"/>
        </w:rPr>
      </w:pPr>
      <w:bookmarkStart w:id="224" w:name="_Toc88662185"/>
      <w:r>
        <w:rPr>
          <w:rStyle w:val="CharSectno"/>
        </w:rPr>
        <w:lastRenderedPageBreak/>
        <w:t>143</w:t>
      </w:r>
      <w:r>
        <w:rPr>
          <w:snapToGrid w:val="0"/>
        </w:rPr>
        <w:t>.</w:t>
      </w:r>
      <w:r>
        <w:rPr>
          <w:snapToGrid w:val="0"/>
        </w:rPr>
        <w:tab/>
        <w:t>Attempting to pervert etc. course of justice</w:t>
      </w:r>
      <w:bookmarkEnd w:id="224"/>
    </w:p>
    <w:p>
      <w:pPr>
        <w:pStyle w:val="Subsection"/>
        <w:spacing w:before="120"/>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ind w:left="890" w:hanging="890"/>
      </w:pPr>
      <w:r>
        <w:tab/>
        <w:t>[Section 143 inserted: No. 106 of 1987 s. 26.]</w:t>
      </w:r>
    </w:p>
    <w:p>
      <w:pPr>
        <w:pStyle w:val="Heading3"/>
        <w:rPr>
          <w:snapToGrid w:val="0"/>
        </w:rPr>
      </w:pPr>
      <w:bookmarkStart w:id="225" w:name="_Toc88569743"/>
      <w:bookmarkStart w:id="226" w:name="_Toc88570265"/>
      <w:bookmarkStart w:id="227" w:name="_Toc88570787"/>
      <w:bookmarkStart w:id="228" w:name="_Toc88662186"/>
      <w:r>
        <w:rPr>
          <w:rStyle w:val="CharDivNo"/>
        </w:rPr>
        <w:t>Chapter XVII</w:t>
      </w:r>
      <w:r>
        <w:rPr>
          <w:snapToGrid w:val="0"/>
        </w:rPr>
        <w:t> — </w:t>
      </w:r>
      <w:r>
        <w:rPr>
          <w:rStyle w:val="CharDivText"/>
        </w:rPr>
        <w:t>Escapes: Rescues: Obstructing officers of courts</w:t>
      </w:r>
      <w:bookmarkEnd w:id="225"/>
      <w:bookmarkEnd w:id="226"/>
      <w:bookmarkEnd w:id="227"/>
      <w:bookmarkEnd w:id="228"/>
    </w:p>
    <w:p>
      <w:pPr>
        <w:pStyle w:val="Heading5"/>
      </w:pPr>
      <w:bookmarkStart w:id="229" w:name="_Toc88662187"/>
      <w:r>
        <w:rPr>
          <w:rStyle w:val="CharSectno"/>
        </w:rPr>
        <w:t>144</w:t>
      </w:r>
      <w:r>
        <w:t>.</w:t>
      </w:r>
      <w:r>
        <w:tab/>
        <w:t>Forcibly freeing person from lawful custody</w:t>
      </w:r>
      <w:bookmarkEnd w:id="229"/>
    </w:p>
    <w:p>
      <w:pPr>
        <w:pStyle w:val="Subsection"/>
      </w:pPr>
      <w:r>
        <w:tab/>
      </w:r>
      <w:r>
        <w:tab/>
        <w:t>Any person who forcibly frees, or attempts to free, from lawful custody any person serving a sentence for, or charged with, an offence that is punishable with imprisonment for life, or for 20 years or more, is guilty of a crime and is liable to imprisonment for 20 years.</w:t>
      </w:r>
    </w:p>
    <w:p>
      <w:pPr>
        <w:pStyle w:val="Footnotesection"/>
        <w:ind w:left="890" w:hanging="890"/>
      </w:pPr>
      <w:r>
        <w:tab/>
        <w:t>[Section 144 inserted: No. 29 of 2008 s. 15.]</w:t>
      </w:r>
    </w:p>
    <w:p>
      <w:pPr>
        <w:pStyle w:val="Heading5"/>
      </w:pPr>
      <w:bookmarkStart w:id="230" w:name="_Toc88662188"/>
      <w:r>
        <w:rPr>
          <w:rStyle w:val="CharSectno"/>
        </w:rPr>
        <w:t>145</w:t>
      </w:r>
      <w:r>
        <w:t>.</w:t>
      </w:r>
      <w:r>
        <w:tab/>
        <w:t>Aiding escape from lawful custody</w:t>
      </w:r>
      <w:bookmarkEnd w:id="230"/>
    </w:p>
    <w:p>
      <w:pPr>
        <w:pStyle w:val="Subsection"/>
        <w:spacing w:before="120"/>
      </w:pPr>
      <w:r>
        <w:tab/>
        <w:t>(1)</w:t>
      </w:r>
      <w:r>
        <w:tab/>
        <w:t>In this section —</w:t>
      </w:r>
    </w:p>
    <w:p>
      <w:pPr>
        <w:pStyle w:val="Defstart"/>
      </w:pPr>
      <w:r>
        <w:rPr>
          <w:b/>
        </w:rPr>
        <w:tab/>
      </w:r>
      <w:r>
        <w:rPr>
          <w:rStyle w:val="CharDefText"/>
        </w:rPr>
        <w:t>prison</w:t>
      </w:r>
      <w:r>
        <w:t xml:space="preserve"> includes any place where a person is or may be held in lawful custody.</w:t>
      </w:r>
    </w:p>
    <w:p>
      <w:pPr>
        <w:pStyle w:val="Subsection"/>
        <w:spacing w:before="120"/>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spacing w:before="120"/>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ind w:left="890" w:hanging="890"/>
      </w:pPr>
      <w:r>
        <w:tab/>
        <w:t>[Section 145 inserted: No. 70 of 2004 s. 13.]</w:t>
      </w:r>
    </w:p>
    <w:p>
      <w:pPr>
        <w:pStyle w:val="Heading5"/>
      </w:pPr>
      <w:bookmarkStart w:id="231" w:name="_Toc88662189"/>
      <w:r>
        <w:rPr>
          <w:rStyle w:val="CharSectno"/>
        </w:rPr>
        <w:lastRenderedPageBreak/>
        <w:t>146</w:t>
      </w:r>
      <w:r>
        <w:t>.</w:t>
      </w:r>
      <w:r>
        <w:tab/>
        <w:t>Escaping from lawful custody</w:t>
      </w:r>
      <w:bookmarkEnd w:id="231"/>
    </w:p>
    <w:p>
      <w:pPr>
        <w:pStyle w:val="Subsection"/>
        <w:keepNext/>
        <w:keepLines/>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No. 70 of 2004 s. 13.]</w:t>
      </w:r>
    </w:p>
    <w:p>
      <w:pPr>
        <w:pStyle w:val="Heading5"/>
        <w:rPr>
          <w:snapToGrid w:val="0"/>
        </w:rPr>
      </w:pPr>
      <w:bookmarkStart w:id="232" w:name="_Toc88662190"/>
      <w:r>
        <w:rPr>
          <w:rStyle w:val="CharSectno"/>
        </w:rPr>
        <w:t>147</w:t>
      </w:r>
      <w:r>
        <w:rPr>
          <w:snapToGrid w:val="0"/>
        </w:rPr>
        <w:t>.</w:t>
      </w:r>
      <w:r>
        <w:rPr>
          <w:snapToGrid w:val="0"/>
        </w:rPr>
        <w:tab/>
        <w:t>Permitting escape from lawful custody</w:t>
      </w:r>
      <w:bookmarkEnd w:id="232"/>
    </w:p>
    <w:p>
      <w:pPr>
        <w:pStyle w:val="Subsection"/>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spacing w:before="100"/>
        <w:ind w:left="890" w:hanging="890"/>
      </w:pPr>
      <w:r>
        <w:tab/>
        <w:t>[Section 147 amended: No. 51 of 1992 s. 16(2); No. 70 of 2004 s. 34(1).]</w:t>
      </w:r>
    </w:p>
    <w:p>
      <w:pPr>
        <w:pStyle w:val="Heading5"/>
      </w:pPr>
      <w:bookmarkStart w:id="233" w:name="_Toc88662191"/>
      <w:r>
        <w:rPr>
          <w:rStyle w:val="CharSectno"/>
        </w:rPr>
        <w:t>148</w:t>
      </w:r>
      <w:r>
        <w:t>.</w:t>
      </w:r>
      <w:r>
        <w:tab/>
        <w:t>Aiding escapee from lawful custody</w:t>
      </w:r>
      <w:bookmarkEnd w:id="233"/>
    </w:p>
    <w:p>
      <w:pPr>
        <w:pStyle w:val="Subsection"/>
      </w:pPr>
      <w:r>
        <w:tab/>
        <w:t>(1)</w:t>
      </w:r>
      <w:r>
        <w:tab/>
        <w:t>In this section —</w:t>
      </w:r>
    </w:p>
    <w:p>
      <w:pPr>
        <w:pStyle w:val="Defstart"/>
      </w:pPr>
      <w:r>
        <w:tab/>
      </w:r>
      <w:r>
        <w:rPr>
          <w:rStyle w:val="CharDefText"/>
        </w:rPr>
        <w:t>aid</w:t>
      </w:r>
      <w:r>
        <w:t xml:space="preserve"> includes to harbour, to maintain and to employ.</w:t>
      </w:r>
    </w:p>
    <w:p>
      <w:pPr>
        <w:pStyle w:val="Subsection"/>
        <w:spacing w:before="140"/>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spacing w:before="100"/>
        <w:ind w:left="890" w:hanging="890"/>
      </w:pPr>
      <w:r>
        <w:tab/>
        <w:t>[Section 148 inserted: No. 70 of 2004 s. 14.]</w:t>
      </w:r>
    </w:p>
    <w:p>
      <w:pPr>
        <w:pStyle w:val="Heading5"/>
        <w:rPr>
          <w:snapToGrid w:val="0"/>
        </w:rPr>
      </w:pPr>
      <w:bookmarkStart w:id="234" w:name="_Toc88662192"/>
      <w:r>
        <w:rPr>
          <w:rStyle w:val="CharSectno"/>
        </w:rPr>
        <w:t>149</w:t>
      </w:r>
      <w:r>
        <w:rPr>
          <w:snapToGrid w:val="0"/>
        </w:rPr>
        <w:t>.</w:t>
      </w:r>
      <w:r>
        <w:rPr>
          <w:snapToGrid w:val="0"/>
        </w:rPr>
        <w:tab/>
        <w:t>Rescuing, permitting escape of or concealing a person subject to any law relating to mental disorder</w:t>
      </w:r>
      <w:bookmarkEnd w:id="234"/>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2014</w:t>
      </w:r>
      <w:r>
        <w:rPr>
          <w:snapToGrid w:val="0"/>
        </w:rPr>
        <w:t xml:space="preserve"> or any law relating to mental impairment; or</w:t>
      </w:r>
    </w:p>
    <w:p>
      <w:pPr>
        <w:pStyle w:val="Indenta"/>
        <w:rPr>
          <w:snapToGrid w:val="0"/>
        </w:rPr>
      </w:pPr>
      <w:r>
        <w:rPr>
          <w:snapToGrid w:val="0"/>
        </w:rPr>
        <w:lastRenderedPageBreak/>
        <w:tab/>
        <w:t>(b)</w:t>
      </w:r>
      <w:r>
        <w:rPr>
          <w:snapToGrid w:val="0"/>
        </w:rPr>
        <w:tab/>
        <w:t>conceals a person who —</w:t>
      </w:r>
    </w:p>
    <w:p>
      <w:pPr>
        <w:pStyle w:val="Indenti"/>
        <w:rPr>
          <w:snapToGrid w:val="0"/>
        </w:rPr>
      </w:pPr>
      <w:r>
        <w:rPr>
          <w:snapToGrid w:val="0"/>
        </w:rPr>
        <w:tab/>
        <w:t>(i)</w:t>
      </w:r>
      <w:r>
        <w:rPr>
          <w:snapToGrid w:val="0"/>
        </w:rPr>
        <w:tab/>
        <w:t>is rescued or escapes from that custody or detention; or</w:t>
      </w:r>
    </w:p>
    <w:p>
      <w:pPr>
        <w:pStyle w:val="Indenti"/>
        <w:rPr>
          <w:snapToGrid w:val="0"/>
        </w:rPr>
      </w:pPr>
      <w:r>
        <w:rPr>
          <w:snapToGrid w:val="0"/>
        </w:rPr>
        <w:tab/>
        <w:t>(ii)</w:t>
      </w:r>
      <w:r>
        <w:rPr>
          <w:snapToGrid w:val="0"/>
        </w:rPr>
        <w:tab/>
        <w:t xml:space="preserve">is absent without leave, within the meaning of the </w:t>
      </w:r>
      <w:r>
        <w:rPr>
          <w:i/>
          <w:snapToGrid w:val="0"/>
        </w:rPr>
        <w:t>Mental Health Act 2014</w:t>
      </w:r>
      <w:r>
        <w:rPr>
          <w:snapToGrid w:val="0"/>
        </w:rPr>
        <w:t xml:space="preserve"> section 97 or any law relating to mental impairment,</w:t>
      </w:r>
    </w:p>
    <w:p>
      <w:pPr>
        <w:pStyle w:val="Subsection"/>
        <w:spacing w:before="12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keepLines w:val="0"/>
        <w:widowControl w:val="0"/>
        <w:ind w:left="890" w:hanging="890"/>
      </w:pPr>
      <w:r>
        <w:tab/>
        <w:t>[Section 149 inserted: No. 35 of 1962 s. 3; amended: No. 51 of 1992 s. 16(2); No. 69 of 1996 s. 8; No. 70 of 2004 s. 34(1); No. 25 of 2014 s. 48.]</w:t>
      </w:r>
    </w:p>
    <w:p>
      <w:pPr>
        <w:pStyle w:val="Heading5"/>
        <w:keepNext w:val="0"/>
        <w:keepLines w:val="0"/>
        <w:spacing w:before="180"/>
        <w:rPr>
          <w:snapToGrid w:val="0"/>
        </w:rPr>
      </w:pPr>
      <w:bookmarkStart w:id="235" w:name="_Toc88662193"/>
      <w:r>
        <w:rPr>
          <w:rStyle w:val="CharSectno"/>
        </w:rPr>
        <w:t>150</w:t>
      </w:r>
      <w:r>
        <w:rPr>
          <w:snapToGrid w:val="0"/>
        </w:rPr>
        <w:t>.</w:t>
      </w:r>
      <w:r>
        <w:rPr>
          <w:snapToGrid w:val="0"/>
        </w:rPr>
        <w:tab/>
        <w:t>Removing etc. property under lawful seizure</w:t>
      </w:r>
      <w:bookmarkEnd w:id="235"/>
    </w:p>
    <w:p>
      <w:pPr>
        <w:pStyle w:val="Subsection"/>
        <w:spacing w:before="12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ind w:left="890" w:hanging="890"/>
      </w:pPr>
      <w:r>
        <w:tab/>
        <w:t>[Section 150 amended: No. 51 of 1992 s. 16(2); No. 36 of 1996 s. 8; No. 70 of 2004 s. 34(1) and 35(1).]</w:t>
      </w:r>
    </w:p>
    <w:p>
      <w:pPr>
        <w:pStyle w:val="Heading5"/>
        <w:keepNext w:val="0"/>
        <w:keepLines w:val="0"/>
        <w:spacing w:before="180"/>
        <w:rPr>
          <w:snapToGrid w:val="0"/>
        </w:rPr>
      </w:pPr>
      <w:bookmarkStart w:id="236" w:name="_Toc88662194"/>
      <w:r>
        <w:rPr>
          <w:rStyle w:val="CharSectno"/>
        </w:rPr>
        <w:t>151</w:t>
      </w:r>
      <w:r>
        <w:rPr>
          <w:snapToGrid w:val="0"/>
        </w:rPr>
        <w:t>.</w:t>
      </w:r>
      <w:r>
        <w:rPr>
          <w:snapToGrid w:val="0"/>
        </w:rPr>
        <w:tab/>
        <w:t>Obstructing court officer</w:t>
      </w:r>
      <w:bookmarkEnd w:id="236"/>
    </w:p>
    <w:p>
      <w:pPr>
        <w:pStyle w:val="Subsection"/>
        <w:spacing w:before="12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ind w:left="890" w:hanging="890"/>
      </w:pPr>
      <w:r>
        <w:tab/>
        <w:t>[Section 151 amended: No. 113 of 1965 s. 8(1); No. 21 of 1972 s. 6; No. 51 of 1992 s. 16(2); No. 36 of 1996 s. 9; No. 50 of 2003 s. 51(10); No. 70 of 2004 s. 34(1) and 35(4).]</w:t>
      </w:r>
    </w:p>
    <w:p>
      <w:pPr>
        <w:pStyle w:val="Ednotedivision"/>
        <w:spacing w:before="160"/>
      </w:pPr>
      <w:r>
        <w:t>[Chapter XVIII (s. 152</w:t>
      </w:r>
      <w:r>
        <w:noBreakHyphen/>
        <w:t>166) deleted: No. 70 of 1988 s. 18.]</w:t>
      </w:r>
    </w:p>
    <w:p>
      <w:pPr>
        <w:pStyle w:val="Ednotedivision"/>
        <w:spacing w:before="160"/>
      </w:pPr>
      <w:r>
        <w:lastRenderedPageBreak/>
        <w:t>[Chapter XIX (s. 167) deleted: No. 70 of 1988 s. 19(1).]</w:t>
      </w:r>
    </w:p>
    <w:p>
      <w:pPr>
        <w:pStyle w:val="Heading3"/>
        <w:keepNext w:val="0"/>
        <w:keepLines/>
        <w:rPr>
          <w:snapToGrid w:val="0"/>
        </w:rPr>
      </w:pPr>
      <w:bookmarkStart w:id="237" w:name="_Toc88569752"/>
      <w:bookmarkStart w:id="238" w:name="_Toc88570274"/>
      <w:bookmarkStart w:id="239" w:name="_Toc88570796"/>
      <w:bookmarkStart w:id="240" w:name="_Toc88662195"/>
      <w:r>
        <w:rPr>
          <w:rStyle w:val="CharDivNo"/>
        </w:rPr>
        <w:t>Chapter XX</w:t>
      </w:r>
      <w:r>
        <w:rPr>
          <w:snapToGrid w:val="0"/>
        </w:rPr>
        <w:t> — </w:t>
      </w:r>
      <w:r>
        <w:rPr>
          <w:rStyle w:val="CharDivText"/>
        </w:rPr>
        <w:t>Miscellaneous offences against public authority</w:t>
      </w:r>
      <w:bookmarkEnd w:id="237"/>
      <w:bookmarkEnd w:id="238"/>
      <w:bookmarkEnd w:id="239"/>
      <w:bookmarkEnd w:id="240"/>
    </w:p>
    <w:p>
      <w:pPr>
        <w:pStyle w:val="Ednotesection"/>
        <w:keepLines/>
        <w:ind w:left="890" w:hanging="890"/>
      </w:pPr>
      <w:r>
        <w:t>[</w:t>
      </w:r>
      <w:r>
        <w:rPr>
          <w:b/>
        </w:rPr>
        <w:t>168.</w:t>
      </w:r>
      <w:r>
        <w:rPr>
          <w:b/>
        </w:rPr>
        <w:tab/>
      </w:r>
      <w:r>
        <w:rPr>
          <w:b/>
        </w:rPr>
        <w:tab/>
      </w:r>
      <w:r>
        <w:t>Deleted: No. 52 of 1984 s. 18.]</w:t>
      </w:r>
    </w:p>
    <w:p>
      <w:pPr>
        <w:pStyle w:val="Heading5"/>
      </w:pPr>
      <w:bookmarkStart w:id="241" w:name="_Toc88662196"/>
      <w:r>
        <w:rPr>
          <w:rStyle w:val="CharSectno"/>
        </w:rPr>
        <w:t>169</w:t>
      </w:r>
      <w:r>
        <w:t>.</w:t>
      </w:r>
      <w:r>
        <w:tab/>
        <w:t>False statement on oath</w:t>
      </w:r>
      <w:bookmarkEnd w:id="241"/>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ind w:left="890" w:hanging="890"/>
      </w:pPr>
      <w:r>
        <w:tab/>
        <w:t>[Section 169 inserted: No. 24 of 2005 s. 41.]</w:t>
      </w:r>
    </w:p>
    <w:p>
      <w:pPr>
        <w:pStyle w:val="Heading5"/>
      </w:pPr>
      <w:bookmarkStart w:id="242" w:name="_Toc88662197"/>
      <w:r>
        <w:rPr>
          <w:rStyle w:val="CharSectno"/>
        </w:rPr>
        <w:t>170</w:t>
      </w:r>
      <w:r>
        <w:t>.</w:t>
      </w:r>
      <w:r>
        <w:tab/>
        <w:t>False information to official etc.</w:t>
      </w:r>
      <w:bookmarkEnd w:id="242"/>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No. 24 of 2005 s. 42.]</w:t>
      </w:r>
    </w:p>
    <w:p>
      <w:pPr>
        <w:pStyle w:val="Heading5"/>
      </w:pPr>
      <w:bookmarkStart w:id="243" w:name="_Toc88662198"/>
      <w:r>
        <w:rPr>
          <w:rStyle w:val="CharSectno"/>
        </w:rPr>
        <w:lastRenderedPageBreak/>
        <w:t>171</w:t>
      </w:r>
      <w:r>
        <w:t>.</w:t>
      </w:r>
      <w:r>
        <w:tab/>
        <w:t>Creating false belief</w:t>
      </w:r>
      <w:bookmarkEnd w:id="243"/>
    </w:p>
    <w:p>
      <w:pPr>
        <w:pStyle w:val="Subsection"/>
        <w:spacing w:before="180"/>
      </w:pPr>
      <w:r>
        <w:tab/>
        <w:t>(1)</w:t>
      </w:r>
      <w:r>
        <w:tab/>
        <w:t>In this section —</w:t>
      </w:r>
    </w:p>
    <w:p>
      <w:pPr>
        <w:pStyle w:val="Defstart"/>
      </w:pPr>
      <w:r>
        <w:rPr>
          <w:b/>
        </w:rPr>
        <w:tab/>
      </w:r>
      <w:r>
        <w:rPr>
          <w:rStyle w:val="CharDefText"/>
        </w:rPr>
        <w:t>belief</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t>and that is of such a nature as would reasonably call for action by the Police Force or by emergency services.</w:t>
      </w:r>
    </w:p>
    <w:p>
      <w:pPr>
        <w:pStyle w:val="Subsection"/>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pPr>
      <w:r>
        <w:tab/>
        <w:t>(4)</w:t>
      </w:r>
      <w:r>
        <w:tab/>
        <w:t>The order must specify the person or persons to whom the amount is to be paid.</w:t>
      </w:r>
    </w:p>
    <w:p>
      <w:pPr>
        <w:pStyle w:val="Subsection"/>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No. 70 of 2004 s. 15.]</w:t>
      </w:r>
    </w:p>
    <w:p>
      <w:pPr>
        <w:pStyle w:val="Heading5"/>
      </w:pPr>
      <w:bookmarkStart w:id="244" w:name="_Toc88662199"/>
      <w:r>
        <w:rPr>
          <w:rStyle w:val="CharSectno"/>
        </w:rPr>
        <w:t>172</w:t>
      </w:r>
      <w:r>
        <w:t>.</w:t>
      </w:r>
      <w:r>
        <w:tab/>
        <w:t>Obstructing public officer</w:t>
      </w:r>
      <w:bookmarkEnd w:id="244"/>
    </w:p>
    <w:p>
      <w:pPr>
        <w:pStyle w:val="Subsection"/>
        <w:keepNext/>
        <w:keepLines/>
      </w:pPr>
      <w:r>
        <w:tab/>
        <w:t>(1)</w:t>
      </w:r>
      <w:r>
        <w:tab/>
        <w:t xml:space="preserve">In this </w:t>
      </w:r>
      <w:r>
        <w:rPr>
          <w:snapToGrid w:val="0"/>
        </w:rPr>
        <w:t>section</w:t>
      </w:r>
      <w:r>
        <w:t> —</w:t>
      </w:r>
    </w:p>
    <w:p>
      <w:pPr>
        <w:pStyle w:val="Defstart"/>
      </w:pPr>
      <w:r>
        <w:tab/>
      </w:r>
      <w:r>
        <w:rPr>
          <w:rStyle w:val="CharDefText"/>
        </w:rPr>
        <w:t>obstruct</w:t>
      </w:r>
      <w:r>
        <w:t xml:space="preserve"> includes to prevent, to hinder and to resist.</w:t>
      </w:r>
    </w:p>
    <w:p>
      <w:pPr>
        <w:pStyle w:val="Subsection"/>
      </w:pPr>
      <w:r>
        <w:lastRenderedPageBreak/>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No. 70 of 2004 s. 16.]</w:t>
      </w:r>
    </w:p>
    <w:p>
      <w:pPr>
        <w:pStyle w:val="Heading5"/>
        <w:rPr>
          <w:snapToGrid w:val="0"/>
        </w:rPr>
      </w:pPr>
      <w:bookmarkStart w:id="245" w:name="_Toc88662200"/>
      <w:r>
        <w:rPr>
          <w:rStyle w:val="CharSectno"/>
        </w:rPr>
        <w:t>173</w:t>
      </w:r>
      <w:r>
        <w:rPr>
          <w:snapToGrid w:val="0"/>
        </w:rPr>
        <w:t>.</w:t>
      </w:r>
      <w:r>
        <w:rPr>
          <w:snapToGrid w:val="0"/>
        </w:rPr>
        <w:tab/>
        <w:t>Public officer refusing to perform duty</w:t>
      </w:r>
      <w:bookmarkEnd w:id="245"/>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No. 73 of 1994 s. 4; No. 70 of 2004 s. 34(1).]</w:t>
      </w:r>
    </w:p>
    <w:p>
      <w:pPr>
        <w:pStyle w:val="Ednotesection"/>
        <w:ind w:left="890" w:hanging="890"/>
      </w:pPr>
      <w:r>
        <w:t>[</w:t>
      </w:r>
      <w:r>
        <w:rPr>
          <w:b/>
        </w:rPr>
        <w:t>174, 175.</w:t>
      </w:r>
      <w:r>
        <w:rPr>
          <w:b/>
        </w:rPr>
        <w:tab/>
      </w:r>
      <w:r>
        <w:t>Deleted: No. 4 of 2004 s. 15.]</w:t>
      </w:r>
    </w:p>
    <w:p>
      <w:pPr>
        <w:pStyle w:val="Heading5"/>
        <w:rPr>
          <w:snapToGrid w:val="0"/>
        </w:rPr>
      </w:pPr>
      <w:bookmarkStart w:id="246" w:name="_Toc88662201"/>
      <w:r>
        <w:rPr>
          <w:rStyle w:val="CharSectno"/>
        </w:rPr>
        <w:t>176</w:t>
      </w:r>
      <w:r>
        <w:rPr>
          <w:snapToGrid w:val="0"/>
        </w:rPr>
        <w:t>.</w:t>
      </w:r>
      <w:r>
        <w:rPr>
          <w:snapToGrid w:val="0"/>
        </w:rPr>
        <w:tab/>
        <w:t>Disobeying request to help arrest person</w:t>
      </w:r>
      <w:bookmarkEnd w:id="246"/>
    </w:p>
    <w:p>
      <w:pPr>
        <w:pStyle w:val="Subsection"/>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No. 70 of 2004 s. 34(1).]</w:t>
      </w:r>
    </w:p>
    <w:p>
      <w:pPr>
        <w:pStyle w:val="Heading5"/>
        <w:rPr>
          <w:snapToGrid w:val="0"/>
        </w:rPr>
      </w:pPr>
      <w:bookmarkStart w:id="247" w:name="_Toc88662202"/>
      <w:r>
        <w:rPr>
          <w:rStyle w:val="CharSectno"/>
        </w:rPr>
        <w:t>177</w:t>
      </w:r>
      <w:r>
        <w:rPr>
          <w:snapToGrid w:val="0"/>
        </w:rPr>
        <w:t>.</w:t>
      </w:r>
      <w:r>
        <w:rPr>
          <w:snapToGrid w:val="0"/>
        </w:rPr>
        <w:tab/>
        <w:t>Disobeying statute law</w:t>
      </w:r>
      <w:bookmarkEnd w:id="247"/>
    </w:p>
    <w:p>
      <w:pPr>
        <w:pStyle w:val="Subsection"/>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xml:space="preserve">, unless some mode of proceeding against him for such disobedience is expressly </w:t>
      </w:r>
      <w:r>
        <w:rPr>
          <w:snapToGrid w:val="0"/>
        </w:rPr>
        <w:lastRenderedPageBreak/>
        <w:t>provided by statute, and is intended to be exclusive of all other punishment.</w:t>
      </w:r>
    </w:p>
    <w:p>
      <w:pPr>
        <w:pStyle w:val="Penstart"/>
        <w:spacing w:before="160"/>
      </w:pPr>
      <w:r>
        <w:tab/>
        <w:t>The offender is liable to imprisonment for one year.</w:t>
      </w:r>
    </w:p>
    <w:p>
      <w:pPr>
        <w:pStyle w:val="Footnotesection"/>
      </w:pPr>
      <w:r>
        <w:tab/>
        <w:t>[Section 177 amended: No. 70 of 2004 s. 34(1).]</w:t>
      </w:r>
    </w:p>
    <w:p>
      <w:pPr>
        <w:pStyle w:val="Heading5"/>
        <w:rPr>
          <w:snapToGrid w:val="0"/>
        </w:rPr>
      </w:pPr>
      <w:bookmarkStart w:id="248" w:name="_Toc88662203"/>
      <w:r>
        <w:rPr>
          <w:rStyle w:val="CharSectno"/>
        </w:rPr>
        <w:t>178</w:t>
      </w:r>
      <w:r>
        <w:rPr>
          <w:snapToGrid w:val="0"/>
        </w:rPr>
        <w:t>.</w:t>
      </w:r>
      <w:r>
        <w:rPr>
          <w:snapToGrid w:val="0"/>
        </w:rPr>
        <w:tab/>
        <w:t>Disobeying lawful order issued by statutory authority</w:t>
      </w:r>
      <w:bookmarkEnd w:id="248"/>
    </w:p>
    <w:p>
      <w:pPr>
        <w:pStyle w:val="Subsection"/>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178 amended: No. 70 of 2004 s. 34(1).]</w:t>
      </w:r>
    </w:p>
    <w:p>
      <w:pPr>
        <w:pStyle w:val="Heading2"/>
      </w:pPr>
      <w:bookmarkStart w:id="249" w:name="_Toc88569761"/>
      <w:bookmarkStart w:id="250" w:name="_Toc88570283"/>
      <w:bookmarkStart w:id="251" w:name="_Toc88570805"/>
      <w:bookmarkStart w:id="252" w:name="_Toc88662204"/>
      <w:r>
        <w:rPr>
          <w:rStyle w:val="CharPartNo"/>
        </w:rPr>
        <w:lastRenderedPageBreak/>
        <w:t>Part IV</w:t>
      </w:r>
      <w:r>
        <w:t> — </w:t>
      </w:r>
      <w:r>
        <w:rPr>
          <w:rStyle w:val="CharPartText"/>
        </w:rPr>
        <w:t>Acts injurious to the public in general</w:t>
      </w:r>
      <w:bookmarkEnd w:id="249"/>
      <w:bookmarkEnd w:id="250"/>
      <w:bookmarkEnd w:id="251"/>
      <w:bookmarkEnd w:id="252"/>
    </w:p>
    <w:p>
      <w:pPr>
        <w:pStyle w:val="Ednotedivision"/>
      </w:pPr>
      <w:r>
        <w:t>[Chapter XXI (s. 179, 180) deleted: No. 70 of 1988 s. 20.]</w:t>
      </w:r>
    </w:p>
    <w:p>
      <w:pPr>
        <w:pStyle w:val="Heading3"/>
        <w:rPr>
          <w:snapToGrid w:val="0"/>
        </w:rPr>
      </w:pPr>
      <w:bookmarkStart w:id="253" w:name="_Toc88569762"/>
      <w:bookmarkStart w:id="254" w:name="_Toc88570284"/>
      <w:bookmarkStart w:id="255" w:name="_Toc88570806"/>
      <w:bookmarkStart w:id="256" w:name="_Toc88662205"/>
      <w:r>
        <w:rPr>
          <w:rStyle w:val="CharDivNo"/>
        </w:rPr>
        <w:t>Chapter XXII</w:t>
      </w:r>
      <w:r>
        <w:rPr>
          <w:snapToGrid w:val="0"/>
        </w:rPr>
        <w:t> — </w:t>
      </w:r>
      <w:r>
        <w:rPr>
          <w:rStyle w:val="CharDivText"/>
        </w:rPr>
        <w:t>Offences against morality</w:t>
      </w:r>
      <w:bookmarkEnd w:id="253"/>
      <w:bookmarkEnd w:id="254"/>
      <w:bookmarkEnd w:id="255"/>
      <w:bookmarkEnd w:id="256"/>
    </w:p>
    <w:p>
      <w:pPr>
        <w:pStyle w:val="Heading5"/>
        <w:rPr>
          <w:snapToGrid w:val="0"/>
        </w:rPr>
      </w:pPr>
      <w:bookmarkStart w:id="257" w:name="_Toc88662206"/>
      <w:r>
        <w:rPr>
          <w:rStyle w:val="CharSectno"/>
        </w:rPr>
        <w:t>181</w:t>
      </w:r>
      <w:r>
        <w:rPr>
          <w:snapToGrid w:val="0"/>
        </w:rPr>
        <w:t>.</w:t>
      </w:r>
      <w:r>
        <w:rPr>
          <w:snapToGrid w:val="0"/>
        </w:rPr>
        <w:tab/>
        <w:t>Carnal knowledge of animal</w:t>
      </w:r>
      <w:bookmarkEnd w:id="257"/>
    </w:p>
    <w:p>
      <w:pPr>
        <w:pStyle w:val="Subsection"/>
        <w:spacing w:before="140"/>
        <w:rPr>
          <w:snapToGrid w:val="0"/>
        </w:rPr>
      </w:pPr>
      <w:r>
        <w:rPr>
          <w:snapToGrid w:val="0"/>
        </w:rPr>
        <w:tab/>
      </w:r>
      <w:r>
        <w:rPr>
          <w:snapToGrid w:val="0"/>
        </w:rPr>
        <w:tab/>
        <w:t>Any person who has carnal knowledge of an animal is guilty of a crime and is liable to imprisonment for 7 years.</w:t>
      </w:r>
    </w:p>
    <w:p>
      <w:pPr>
        <w:pStyle w:val="Footnotesection"/>
        <w:spacing w:before="100"/>
        <w:ind w:left="890" w:hanging="890"/>
      </w:pPr>
      <w:r>
        <w:tab/>
        <w:t>[Section 181 inserted: No. 32 of 1989 s. 5.]</w:t>
      </w:r>
    </w:p>
    <w:p>
      <w:pPr>
        <w:pStyle w:val="Ednotesection"/>
        <w:ind w:left="890" w:hanging="890"/>
      </w:pPr>
      <w:r>
        <w:t>[</w:t>
      </w:r>
      <w:r>
        <w:rPr>
          <w:b/>
        </w:rPr>
        <w:t>182</w:t>
      </w:r>
      <w:r>
        <w:rPr>
          <w:b/>
          <w:bCs/>
        </w:rPr>
        <w:t>.</w:t>
      </w:r>
      <w:r>
        <w:tab/>
        <w:t>Deleted: No. 106 of 1987 s. 14(5).]</w:t>
      </w:r>
    </w:p>
    <w:p>
      <w:pPr>
        <w:pStyle w:val="Ednotesection"/>
        <w:ind w:left="890" w:hanging="890"/>
      </w:pPr>
      <w:r>
        <w:t>[</w:t>
      </w:r>
      <w:r>
        <w:rPr>
          <w:b/>
        </w:rPr>
        <w:t>183</w:t>
      </w:r>
      <w:r>
        <w:rPr>
          <w:b/>
          <w:bCs/>
        </w:rPr>
        <w:t>.</w:t>
      </w:r>
      <w:r>
        <w:tab/>
        <w:t>Deleted: No. 32 of 1989 s. 6.]</w:t>
      </w:r>
    </w:p>
    <w:p>
      <w:pPr>
        <w:pStyle w:val="Ednotesection"/>
        <w:ind w:left="890" w:hanging="890"/>
      </w:pPr>
      <w:r>
        <w:t>[</w:t>
      </w:r>
      <w:r>
        <w:rPr>
          <w:b/>
        </w:rPr>
        <w:t>184.</w:t>
      </w:r>
      <w:r>
        <w:tab/>
        <w:t>Deleted: No. 3 of 2002 s. 35(1).]</w:t>
      </w:r>
    </w:p>
    <w:p>
      <w:pPr>
        <w:pStyle w:val="Ednotesection"/>
        <w:ind w:left="890" w:hanging="890"/>
      </w:pPr>
      <w:r>
        <w:t>[</w:t>
      </w:r>
      <w:r>
        <w:rPr>
          <w:b/>
        </w:rPr>
        <w:t>185</w:t>
      </w:r>
      <w:r>
        <w:rPr>
          <w:b/>
          <w:bCs/>
        </w:rPr>
        <w:t>.</w:t>
      </w:r>
      <w:r>
        <w:tab/>
        <w:t>Deleted: No. 14 of 1992 s. 6(2).]</w:t>
      </w:r>
    </w:p>
    <w:p>
      <w:pPr>
        <w:pStyle w:val="Heading5"/>
        <w:rPr>
          <w:snapToGrid w:val="0"/>
        </w:rPr>
      </w:pPr>
      <w:bookmarkStart w:id="258" w:name="_Toc88662207"/>
      <w:r>
        <w:rPr>
          <w:rStyle w:val="CharSectno"/>
        </w:rPr>
        <w:t>186</w:t>
      </w:r>
      <w:r>
        <w:rPr>
          <w:snapToGrid w:val="0"/>
        </w:rPr>
        <w:t>.</w:t>
      </w:r>
      <w:r>
        <w:rPr>
          <w:snapToGrid w:val="0"/>
        </w:rPr>
        <w:tab/>
        <w:t>Occupier or owner allowing young person to be on premises for unlawful carnal knowledge</w:t>
      </w:r>
      <w:bookmarkEnd w:id="258"/>
    </w:p>
    <w:p>
      <w:pPr>
        <w:pStyle w:val="Subsection"/>
        <w:spacing w:before="140"/>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spacing w:before="140"/>
      </w:pPr>
      <w:r>
        <w:tab/>
        <w:t>(2)</w:t>
      </w:r>
      <w:r>
        <w:tab/>
        <w:t>It is a defence to a charge under subsection (1) to prove the accused person believed on reasonable grounds that the child was of or above the age of 16 years.</w:t>
      </w:r>
    </w:p>
    <w:p>
      <w:pPr>
        <w:pStyle w:val="Subsection"/>
      </w:pPr>
      <w:r>
        <w:lastRenderedPageBreak/>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No. 32 of 1989 s. 9; amended: No. 3 of 2002 s. 36; No. 70 of 2004 s. 17 and 36(3).]</w:t>
      </w:r>
    </w:p>
    <w:p>
      <w:pPr>
        <w:pStyle w:val="Heading5"/>
      </w:pPr>
      <w:bookmarkStart w:id="259" w:name="_Toc88662208"/>
      <w:r>
        <w:rPr>
          <w:rStyle w:val="CharSectno"/>
        </w:rPr>
        <w:t>187</w:t>
      </w:r>
      <w:r>
        <w:t>.</w:t>
      </w:r>
      <w:r>
        <w:tab/>
        <w:t>Facilitating sexual offence against child outside WA</w:t>
      </w:r>
      <w:bookmarkEnd w:id="259"/>
    </w:p>
    <w:p>
      <w:pPr>
        <w:pStyle w:val="Subsection"/>
      </w:pPr>
      <w:r>
        <w:tab/>
        <w:t>(1)</w:t>
      </w:r>
      <w:r>
        <w:tab/>
        <w:t xml:space="preserve">In this section — </w:t>
      </w:r>
    </w:p>
    <w:p>
      <w:pPr>
        <w:pStyle w:val="Defstart"/>
      </w:pPr>
      <w:r>
        <w:tab/>
      </w:r>
      <w:r>
        <w:rPr>
          <w:rStyle w:val="CharDefText"/>
        </w:rPr>
        <w:t>prohibited conduct</w:t>
      </w:r>
      <w:r>
        <w:t xml:space="preserve"> means the doing of an act in a place outside Western Australia in respect of a child that, if done in Western Australia, would constitute an offence under Chapter XXXI.</w:t>
      </w:r>
    </w:p>
    <w:p>
      <w:pPr>
        <w:pStyle w:val="Subsection"/>
      </w:pPr>
      <w:r>
        <w:tab/>
        <w:t>(2)</w:t>
      </w:r>
      <w:r>
        <w:tab/>
        <w:t>A person —</w:t>
      </w:r>
    </w:p>
    <w:p>
      <w:pPr>
        <w:pStyle w:val="Indenta"/>
      </w:pPr>
      <w:r>
        <w:tab/>
        <w:t>(a)</w:t>
      </w:r>
      <w:r>
        <w:tab/>
        <w:t>who does any act for the purpose of enabling or aiding another person; or</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No. 4 of 2004 s. 4; amended: No. 5 of 2014 s. 4.]</w:t>
      </w:r>
    </w:p>
    <w:p>
      <w:pPr>
        <w:pStyle w:val="Ednotesection"/>
      </w:pPr>
      <w:r>
        <w:t>[</w:t>
      </w:r>
      <w:r>
        <w:rPr>
          <w:b/>
        </w:rPr>
        <w:t>188, 189.</w:t>
      </w:r>
      <w:r>
        <w:tab/>
        <w:t>Deleted: No. 14 of 1992 s. 6(2).]</w:t>
      </w:r>
    </w:p>
    <w:p>
      <w:pPr>
        <w:pStyle w:val="Heading5"/>
      </w:pPr>
      <w:bookmarkStart w:id="260" w:name="_Toc88662209"/>
      <w:r>
        <w:rPr>
          <w:rStyle w:val="CharSectno"/>
        </w:rPr>
        <w:t>190</w:t>
      </w:r>
      <w:r>
        <w:t>.</w:t>
      </w:r>
      <w:r>
        <w:tab/>
        <w:t>Being involved with prostitution</w:t>
      </w:r>
      <w:bookmarkEnd w:id="260"/>
    </w:p>
    <w:p>
      <w:pPr>
        <w:pStyle w:val="Subsection"/>
      </w:pPr>
      <w:r>
        <w:tab/>
        <w:t>(1)</w:t>
      </w:r>
      <w:r>
        <w:tab/>
        <w:t>Any person who —</w:t>
      </w:r>
    </w:p>
    <w:p>
      <w:pPr>
        <w:pStyle w:val="Indenta"/>
      </w:pPr>
      <w:r>
        <w:tab/>
        <w:t>(a)</w:t>
      </w:r>
      <w:r>
        <w:tab/>
        <w:t>keeps or manages, or acts, or assists in the management of any premises for purposes of prostitution; or</w:t>
      </w:r>
    </w:p>
    <w:p>
      <w:pPr>
        <w:pStyle w:val="Indenta"/>
      </w:pPr>
      <w:r>
        <w:tab/>
        <w:t>(b)</w:t>
      </w:r>
      <w:r>
        <w:tab/>
        <w:t>being the tenant, lessee, or occupier of any premises, permits such premises, or any part thereof, to be used for purposes of prostitution; or</w:t>
      </w:r>
    </w:p>
    <w:p>
      <w:pPr>
        <w:pStyle w:val="Indenta"/>
      </w:pPr>
      <w:r>
        <w:tab/>
        <w:t>(c)</w:t>
      </w:r>
      <w:r>
        <w:tab/>
        <w:t xml:space="preserve">being the lessor or landlord of any premises, or the agent of such lessor or landlord, lets the same, or any part </w:t>
      </w:r>
      <w:r>
        <w:lastRenderedPageBreak/>
        <w:t>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No. 70 of 2004 s. 18.]</w:t>
      </w:r>
    </w:p>
    <w:p>
      <w:pPr>
        <w:pStyle w:val="Heading5"/>
        <w:rPr>
          <w:snapToGrid w:val="0"/>
        </w:rPr>
      </w:pPr>
      <w:bookmarkStart w:id="261" w:name="_Toc88662210"/>
      <w:r>
        <w:rPr>
          <w:rStyle w:val="CharSectno"/>
        </w:rPr>
        <w:t>191</w:t>
      </w:r>
      <w:r>
        <w:rPr>
          <w:snapToGrid w:val="0"/>
        </w:rPr>
        <w:t>.</w:t>
      </w:r>
      <w:r>
        <w:rPr>
          <w:snapToGrid w:val="0"/>
        </w:rPr>
        <w:tab/>
        <w:t>Procuring person to be prostitute etc.</w:t>
      </w:r>
      <w:bookmarkEnd w:id="261"/>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lastRenderedPageBreak/>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191 amended: No. 70 of 1988 s. 31; No. 32 of 1989 s. 12; No. 48 of 1991 s. 12(7); No. 51 of 1992 s. 16(2); No. 70 of 2004 s. 19(1), 19(2), 34(1) and 36(4).]</w:t>
      </w:r>
    </w:p>
    <w:p>
      <w:pPr>
        <w:pStyle w:val="Heading5"/>
        <w:rPr>
          <w:snapToGrid w:val="0"/>
        </w:rPr>
      </w:pPr>
      <w:bookmarkStart w:id="262" w:name="_Toc88662211"/>
      <w:r>
        <w:rPr>
          <w:rStyle w:val="CharSectno"/>
        </w:rPr>
        <w:t>192</w:t>
      </w:r>
      <w:r>
        <w:rPr>
          <w:snapToGrid w:val="0"/>
        </w:rPr>
        <w:t>.</w:t>
      </w:r>
      <w:r>
        <w:rPr>
          <w:snapToGrid w:val="0"/>
        </w:rPr>
        <w:tab/>
        <w:t>Procuring person to have unlawful carnal knowledge by threat, fraud or administering drug</w:t>
      </w:r>
      <w:bookmarkEnd w:id="262"/>
    </w:p>
    <w:p>
      <w:pPr>
        <w:pStyle w:val="Subsection"/>
        <w:keepNext/>
        <w:keepLines/>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 xml:space="preserve">Administers to a woman or girl, or causes a woman or girl to take, any drug or other thing with intent to stupefy or overpower her in order to enable any man, whether a </w:t>
      </w:r>
      <w:r>
        <w:rPr>
          <w:snapToGrid w:val="0"/>
        </w:rPr>
        <w:lastRenderedPageBreak/>
        <w:t>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spacing w:before="120"/>
        <w:rPr>
          <w:snapToGrid w:val="0"/>
        </w:rPr>
      </w:pPr>
      <w:r>
        <w:rPr>
          <w:snapToGrid w:val="0"/>
        </w:rPr>
        <w:tab/>
      </w:r>
      <w:r>
        <w:rPr>
          <w:snapToGrid w:val="0"/>
        </w:rPr>
        <w:tab/>
        <w:t>is guilty of a crime, and is liable to imprisonment for 2 years.</w:t>
      </w:r>
    </w:p>
    <w:p>
      <w:pPr>
        <w:pStyle w:val="Subsection"/>
        <w:spacing w:before="120"/>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192 amended: No. 70 of 1988 s. 31; No. 32 of 1989 s. 13; No. 48 of 1991 s. 12(7); No. 51 of 1992 s. 16(2); No. 70 of 2004 s. 20 and 34(1).]</w:t>
      </w:r>
    </w:p>
    <w:p>
      <w:pPr>
        <w:pStyle w:val="Ednotesection"/>
        <w:spacing w:before="180"/>
        <w:ind w:left="890" w:hanging="890"/>
      </w:pPr>
      <w:r>
        <w:t>[</w:t>
      </w:r>
      <w:r>
        <w:rPr>
          <w:b/>
        </w:rPr>
        <w:t>193, 194.</w:t>
      </w:r>
      <w:r>
        <w:rPr>
          <w:b/>
        </w:rPr>
        <w:tab/>
      </w:r>
      <w:r>
        <w:t>Deleted: No. 101 of 1990 s. 10.]</w:t>
      </w:r>
    </w:p>
    <w:p>
      <w:pPr>
        <w:pStyle w:val="Ednotesection"/>
        <w:spacing w:before="180"/>
        <w:ind w:left="890" w:hanging="890"/>
      </w:pPr>
      <w:r>
        <w:t>[</w:t>
      </w:r>
      <w:r>
        <w:rPr>
          <w:b/>
        </w:rPr>
        <w:t>195.</w:t>
      </w:r>
      <w:r>
        <w:tab/>
      </w:r>
      <w:r>
        <w:tab/>
        <w:t>Deleted: No. 17 of 2000 s. 64.]</w:t>
      </w:r>
    </w:p>
    <w:p>
      <w:pPr>
        <w:pStyle w:val="Ednotesection"/>
        <w:spacing w:before="180"/>
        <w:ind w:left="890" w:hanging="890"/>
      </w:pPr>
      <w:r>
        <w:t>[</w:t>
      </w:r>
      <w:r>
        <w:rPr>
          <w:b/>
        </w:rPr>
        <w:t>196</w:t>
      </w:r>
      <w:r>
        <w:rPr>
          <w:b/>
        </w:rPr>
        <w:noBreakHyphen/>
        <w:t>198.</w:t>
      </w:r>
      <w:r>
        <w:tab/>
        <w:t>Deleted: No. 14 of 1992 s. 6(2).]</w:t>
      </w:r>
    </w:p>
    <w:p>
      <w:pPr>
        <w:pStyle w:val="Heading5"/>
        <w:keepLines w:val="0"/>
      </w:pPr>
      <w:bookmarkStart w:id="263" w:name="_Toc88662212"/>
      <w:r>
        <w:rPr>
          <w:rStyle w:val="CharSectno"/>
        </w:rPr>
        <w:t>199</w:t>
      </w:r>
      <w:r>
        <w:t>.</w:t>
      </w:r>
      <w:r>
        <w:tab/>
      </w:r>
      <w:r>
        <w:rPr>
          <w:snapToGrid w:val="0"/>
        </w:rPr>
        <w:t>Abortion</w:t>
      </w:r>
      <w:bookmarkEnd w:id="263"/>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(Miscellaneous Provisions)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keepNext/>
      </w:pPr>
      <w:r>
        <w:lastRenderedPageBreak/>
        <w:tab/>
        <w:t>(4)</w:t>
      </w:r>
      <w:r>
        <w:tab/>
        <w:t xml:space="preserve">In this section — </w:t>
      </w:r>
    </w:p>
    <w:p>
      <w:pPr>
        <w:pStyle w:val="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spacing w:before="120"/>
      </w:pPr>
      <w:r>
        <w:tab/>
      </w:r>
      <w:r>
        <w:tab/>
        <w:t>whether or not the woman concerned is pregnant.</w:t>
      </w:r>
    </w:p>
    <w:p>
      <w:pPr>
        <w:pStyle w:val="Footnotesection"/>
        <w:keepLines w:val="0"/>
      </w:pPr>
      <w:r>
        <w:tab/>
        <w:t>[Section 199 inserted: No. 15 of 1998 s. 4; amended: No. 19 of 2016 s. 127.]</w:t>
      </w:r>
    </w:p>
    <w:p>
      <w:pPr>
        <w:pStyle w:val="Ednotesection"/>
        <w:spacing w:before="180"/>
      </w:pPr>
      <w:r>
        <w:t>[</w:t>
      </w:r>
      <w:r>
        <w:rPr>
          <w:b/>
        </w:rPr>
        <w:t>200, 201.</w:t>
      </w:r>
      <w:r>
        <w:tab/>
        <w:t>Deleted: No. 15 of 1998 s. 4.]</w:t>
      </w:r>
    </w:p>
    <w:p>
      <w:pPr>
        <w:pStyle w:val="Heading5"/>
        <w:spacing w:before="180"/>
      </w:pPr>
      <w:bookmarkStart w:id="264" w:name="_Toc88662213"/>
      <w:r>
        <w:rPr>
          <w:rStyle w:val="CharSectno"/>
        </w:rPr>
        <w:t>202</w:t>
      </w:r>
      <w:r>
        <w:t>.</w:t>
      </w:r>
      <w:r>
        <w:tab/>
        <w:t>Obscene act in public</w:t>
      </w:r>
      <w:bookmarkEnd w:id="264"/>
    </w:p>
    <w:p>
      <w:pPr>
        <w:pStyle w:val="Subsection"/>
      </w:pPr>
      <w:r>
        <w:tab/>
        <w:t>(1)</w:t>
      </w:r>
      <w:r>
        <w:tab/>
        <w:t>A person who does an obscene act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spacing w:before="120"/>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keepLines/>
        <w:spacing w:before="120"/>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keepLines/>
      </w:pPr>
      <w:r>
        <w:tab/>
        <w:t>Alternative offence: s. 203(2).</w:t>
      </w:r>
    </w:p>
    <w:p>
      <w:pPr>
        <w:pStyle w:val="Penstart"/>
        <w:keepLines/>
      </w:pPr>
      <w:r>
        <w:tab/>
        <w:t>Summary conviction penalty: imprisonment for 12 months and a fine of $12 000.</w:t>
      </w:r>
    </w:p>
    <w:p>
      <w:pPr>
        <w:pStyle w:val="Subsection"/>
      </w:pPr>
      <w:r>
        <w:lastRenderedPageBreak/>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No. 70 of 2004 s. 21.]</w:t>
      </w:r>
    </w:p>
    <w:p>
      <w:pPr>
        <w:pStyle w:val="Heading5"/>
      </w:pPr>
      <w:bookmarkStart w:id="265" w:name="_Toc88662214"/>
      <w:r>
        <w:rPr>
          <w:rStyle w:val="CharSectno"/>
        </w:rPr>
        <w:t>203</w:t>
      </w:r>
      <w:r>
        <w:t>.</w:t>
      </w:r>
      <w:r>
        <w:tab/>
        <w:t>Indecent act in public</w:t>
      </w:r>
      <w:bookmarkEnd w:id="265"/>
    </w:p>
    <w:p>
      <w:pPr>
        <w:pStyle w:val="Subsection"/>
      </w:pPr>
      <w:r>
        <w:tab/>
        <w:t>(1)</w:t>
      </w:r>
      <w:r>
        <w:tab/>
        <w:t>A person who does an indecent act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No. 70 of 2004 s. 21.]</w:t>
      </w:r>
    </w:p>
    <w:p>
      <w:pPr>
        <w:pStyle w:val="Heading5"/>
      </w:pPr>
      <w:bookmarkStart w:id="266" w:name="_Toc88662215"/>
      <w:r>
        <w:rPr>
          <w:rStyle w:val="CharSectno"/>
        </w:rPr>
        <w:lastRenderedPageBreak/>
        <w:t>204</w:t>
      </w:r>
      <w:r>
        <w:t>.</w:t>
      </w:r>
      <w:r>
        <w:tab/>
        <w:t>Indecent act with intent to offend</w:t>
      </w:r>
      <w:bookmarkEnd w:id="266"/>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No. 70 of 2004 s. 21.]</w:t>
      </w:r>
    </w:p>
    <w:p>
      <w:pPr>
        <w:pStyle w:val="Heading5"/>
        <w:rPr>
          <w:snapToGrid w:val="0"/>
        </w:rPr>
      </w:pPr>
      <w:bookmarkStart w:id="267" w:name="_Toc88662216"/>
      <w:r>
        <w:rPr>
          <w:rStyle w:val="CharSectno"/>
        </w:rPr>
        <w:t>204A</w:t>
      </w:r>
      <w:r>
        <w:rPr>
          <w:snapToGrid w:val="0"/>
        </w:rPr>
        <w:t>.</w:t>
      </w:r>
      <w:r>
        <w:rPr>
          <w:snapToGrid w:val="0"/>
        </w:rPr>
        <w:tab/>
        <w:t>Showing offensive material to child under 16</w:t>
      </w:r>
      <w:bookmarkEnd w:id="267"/>
    </w:p>
    <w:p>
      <w:pPr>
        <w:pStyle w:val="Subsection"/>
        <w:rPr>
          <w:snapToGrid w:val="0"/>
        </w:rPr>
      </w:pPr>
      <w:r>
        <w:rPr>
          <w:snapToGrid w:val="0"/>
        </w:rPr>
        <w:tab/>
        <w:t>(1)</w:t>
      </w:r>
      <w:r>
        <w:rPr>
          <w:snapToGrid w:val="0"/>
        </w:rPr>
        <w:tab/>
        <w:t>In this section, unless the contrary intention appears —</w:t>
      </w:r>
    </w:p>
    <w:p>
      <w:pPr>
        <w:pStyle w:val="Defstart"/>
      </w:pPr>
      <w:r>
        <w:rPr>
          <w:b/>
        </w:rPr>
        <w:tab/>
      </w:r>
      <w:r>
        <w:rPr>
          <w:rStyle w:val="CharDefText"/>
        </w:rPr>
        <w:t>material</w:t>
      </w:r>
      <w:r>
        <w:t xml:space="preserve"> includes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r>
      <w:r>
        <w:rPr>
          <w:rStyle w:val="CharDefText"/>
        </w:rPr>
        <w:t>offensive material</w:t>
      </w:r>
      <w:r>
        <w:t xml:space="preserve"> means material that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 or</w:t>
      </w:r>
    </w:p>
    <w:p>
      <w:pPr>
        <w:pStyle w:val="Defpara"/>
      </w:pPr>
      <w:r>
        <w:tab/>
        <w:t>(b)</w:t>
      </w:r>
      <w:r>
        <w:tab/>
        <w:t>depicts a person (whether engaged in sexual activity or otherwise) who is, or who is apparently, a child under the age of 16 years in a manner that is likely to cause offence to a reasonable adult; or</w:t>
      </w:r>
    </w:p>
    <w:p>
      <w:pPr>
        <w:pStyle w:val="Defpara"/>
      </w:pPr>
      <w:r>
        <w:tab/>
        <w:t>(c)</w:t>
      </w:r>
      <w:r>
        <w:tab/>
        <w:t>describes, depicts, expresses, or otherwise deals with sexual activity of any kind between a human being and an animal; or</w:t>
      </w:r>
    </w:p>
    <w:p>
      <w:pPr>
        <w:pStyle w:val="Defpara"/>
      </w:pPr>
      <w:r>
        <w:lastRenderedPageBreak/>
        <w:tab/>
        <w:t>(d)</w:t>
      </w:r>
      <w:r>
        <w:tab/>
        <w:t>promotes, incites, or instructs in matters of crime or violence,</w:t>
      </w:r>
    </w:p>
    <w:p>
      <w:pPr>
        <w:pStyle w:val="Defstart"/>
      </w:pPr>
      <w:r>
        <w:tab/>
        <w:t>and includes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 and</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 xml:space="preserve">Upon an indictment charging a person with an offence under subsection (2), a certificate issued under an Act referred to in the definition of </w:t>
      </w:r>
      <w:r>
        <w:rPr>
          <w:b/>
          <w:bCs/>
          <w:i/>
          <w:iCs/>
          <w:snapToGrid w:val="0"/>
        </w:rPr>
        <w:t>offensive material</w:t>
      </w:r>
      <w:r>
        <w:rPr>
          <w:snapToGrid w:val="0"/>
        </w:rPr>
        <w:t xml:space="preserve">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No. 14 of 1992 s. 5; amended: No. 40 of 1996 s. 152; No. 3 of 2002 s. 37; No. 30 of 2003 s. 42.]</w:t>
      </w:r>
    </w:p>
    <w:p>
      <w:pPr>
        <w:pStyle w:val="Heading5"/>
        <w:pageBreakBefore/>
        <w:spacing w:before="0"/>
      </w:pPr>
      <w:bookmarkStart w:id="268" w:name="_Toc88662217"/>
      <w:r>
        <w:rPr>
          <w:rStyle w:val="CharSectno"/>
        </w:rPr>
        <w:lastRenderedPageBreak/>
        <w:t>204B</w:t>
      </w:r>
      <w:r>
        <w:t>.</w:t>
      </w:r>
      <w:r>
        <w:tab/>
        <w:t>Using electronic communication to procure, or expose to indecent matter, child under 16</w:t>
      </w:r>
      <w:bookmarkEnd w:id="268"/>
    </w:p>
    <w:p>
      <w:pPr>
        <w:pStyle w:val="Subsection"/>
      </w:pPr>
      <w:r>
        <w:tab/>
        <w:t>(1)</w:t>
      </w:r>
      <w:r>
        <w:tab/>
        <w:t>In this section —</w:t>
      </w:r>
    </w:p>
    <w:p>
      <w:pPr>
        <w:pStyle w:val="Defstart"/>
      </w:pPr>
      <w:r>
        <w:tab/>
      </w:r>
      <w:r>
        <w:rPr>
          <w:rStyle w:val="CharDefText"/>
        </w:rPr>
        <w:t>computer generated image</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tab/>
      </w:r>
      <w:r>
        <w:rPr>
          <w:rStyle w:val="CharDefText"/>
        </w:rPr>
        <w:t>electronic</w:t>
      </w:r>
      <w:r>
        <w:t xml:space="preserve"> includes electrical, digital, magnetic, optical, electromagnetic, biometric and photonic;</w:t>
      </w:r>
    </w:p>
    <w:p>
      <w:pPr>
        <w:pStyle w:val="Defstart"/>
      </w:pPr>
      <w:r>
        <w:tab/>
      </w:r>
      <w:r>
        <w:rPr>
          <w:rStyle w:val="CharDefText"/>
        </w:rPr>
        <w:t>electronic communication</w:t>
      </w:r>
      <w:r>
        <w:t xml:space="preserve"> — </w:t>
      </w:r>
    </w:p>
    <w:p>
      <w:pPr>
        <w:pStyle w:val="Defpara"/>
      </w:pPr>
      <w:r>
        <w:tab/>
        <w:t>(a)</w:t>
      </w:r>
      <w:r>
        <w:tab/>
        <w:t>means a communication by electronic means; and</w:t>
      </w:r>
    </w:p>
    <w:p>
      <w:pPr>
        <w:pStyle w:val="Defpara"/>
      </w:pPr>
      <w:r>
        <w:tab/>
        <w:t>(b)</w:t>
      </w:r>
      <w:r>
        <w:tab/>
        <w:t xml:space="preserve">without limiting paragraph (a), includes a communication by any of these means — </w:t>
      </w:r>
    </w:p>
    <w:p>
      <w:pPr>
        <w:pStyle w:val="Defsubpara"/>
      </w:pPr>
      <w:r>
        <w:tab/>
        <w:t>(i)</w:t>
      </w:r>
      <w:r>
        <w:tab/>
        <w:t>email;</w:t>
      </w:r>
    </w:p>
    <w:p>
      <w:pPr>
        <w:pStyle w:val="Defsubpara"/>
        <w:keepLines w:val="0"/>
      </w:pPr>
      <w:r>
        <w:tab/>
        <w:t>(ii)</w:t>
      </w:r>
      <w:r>
        <w:tab/>
        <w:t>the Internet;</w:t>
      </w:r>
    </w:p>
    <w:p>
      <w:pPr>
        <w:pStyle w:val="Defsubpara"/>
        <w:keepLines w:val="0"/>
      </w:pPr>
      <w:r>
        <w:tab/>
        <w:t>(iii)</w:t>
      </w:r>
      <w:r>
        <w:tab/>
        <w:t>facsimile;</w:t>
      </w:r>
    </w:p>
    <w:p>
      <w:pPr>
        <w:pStyle w:val="Defsubpara"/>
        <w:keepLines w:val="0"/>
      </w:pPr>
      <w:r>
        <w:tab/>
        <w:t>(iv)</w:t>
      </w:r>
      <w:r>
        <w:tab/>
        <w:t>telephone, including mobile telephone;</w:t>
      </w:r>
    </w:p>
    <w:p>
      <w:pPr>
        <w:pStyle w:val="Defsubpara"/>
        <w:keepLines w:val="0"/>
      </w:pPr>
      <w:r>
        <w:tab/>
        <w:t>(v)</w:t>
      </w:r>
      <w:r>
        <w:tab/>
        <w:t>radio;</w:t>
      </w:r>
    </w:p>
    <w:p>
      <w:pPr>
        <w:pStyle w:val="Defsubpara"/>
        <w:keepLines w:val="0"/>
      </w:pPr>
      <w:r>
        <w:tab/>
        <w:t>(vi)</w:t>
      </w:r>
      <w:r>
        <w:tab/>
        <w:t>television;</w:t>
      </w:r>
    </w:p>
    <w:p>
      <w:pPr>
        <w:pStyle w:val="Defstart"/>
      </w:pPr>
      <w:r>
        <w:tab/>
      </w:r>
      <w:r>
        <w:rPr>
          <w:rStyle w:val="CharDefText"/>
        </w:rPr>
        <w:t>indecent matter</w:t>
      </w:r>
      <w:r>
        <w:t xml:space="preserve"> includes an indecent film, videotape, audiotape, picture, photograph, or printed or written matter;</w:t>
      </w:r>
    </w:p>
    <w:p>
      <w:pPr>
        <w:pStyle w:val="Defstart"/>
      </w:pPr>
      <w:r>
        <w:tab/>
      </w:r>
      <w:r>
        <w:rPr>
          <w:rStyle w:val="CharDefText"/>
        </w:rPr>
        <w:t>picture</w:t>
      </w:r>
      <w:r>
        <w:t xml:space="preserve"> includes an image, whether or not it is a computer generated image;</w:t>
      </w:r>
    </w:p>
    <w:p>
      <w:pPr>
        <w:pStyle w:val="Defstart"/>
      </w:pPr>
      <w:r>
        <w:tab/>
      </w:r>
      <w:r>
        <w:rPr>
          <w:rStyle w:val="CharDefText"/>
        </w:rPr>
        <w:t>victim</w:t>
      </w:r>
      <w:r>
        <w:t xml:space="preserve"> means a person whom an adult, contrary to subsection (2) or (3), intends to —</w:t>
      </w:r>
    </w:p>
    <w:p>
      <w:pPr>
        <w:pStyle w:val="Defpara"/>
      </w:pPr>
      <w:r>
        <w:tab/>
        <w:t>(a)</w:t>
      </w:r>
      <w:r>
        <w:tab/>
        <w:t>procure to engage in sexual activity; or</w:t>
      </w:r>
    </w:p>
    <w:p>
      <w:pPr>
        <w:pStyle w:val="Defpara"/>
      </w:pPr>
      <w:r>
        <w:tab/>
        <w:t>(b)</w:t>
      </w:r>
      <w:r>
        <w:tab/>
        <w:t>expose to any indecent matter.</w:t>
      </w:r>
    </w:p>
    <w:p>
      <w:pPr>
        <w:pStyle w:val="Subsection"/>
        <w:keepNext/>
        <w:keepLines/>
      </w:pPr>
      <w:r>
        <w:lastRenderedPageBreak/>
        <w:tab/>
        <w:t>(2)</w:t>
      </w:r>
      <w:r>
        <w:tab/>
        <w:t>An adult who uses electronic communication —</w:t>
      </w:r>
    </w:p>
    <w:p>
      <w:pPr>
        <w:pStyle w:val="Indenta"/>
        <w:keepNext/>
        <w:keepLines/>
      </w:pPr>
      <w:r>
        <w:tab/>
        <w:t>(a)</w:t>
      </w:r>
      <w:r>
        <w:tab/>
        <w:t>with intent to —</w:t>
      </w:r>
    </w:p>
    <w:p>
      <w:pPr>
        <w:pStyle w:val="Indenti"/>
      </w:pPr>
      <w:r>
        <w:tab/>
        <w:t>(i)</w:t>
      </w:r>
      <w:r>
        <w:tab/>
        <w:t>procure a person under the age of 16 years to engage in sexual activity; or</w:t>
      </w:r>
    </w:p>
    <w:p>
      <w:pPr>
        <w:pStyle w:val="Indenti"/>
      </w:pPr>
      <w:r>
        <w:tab/>
        <w:t>(ii)</w:t>
      </w:r>
      <w:r>
        <w:tab/>
        <w:t>expose a person under the age of 16 years to any indecent matter,</w:t>
      </w:r>
    </w:p>
    <w:p>
      <w:pPr>
        <w:pStyle w:val="Indenta"/>
      </w:pPr>
      <w:r>
        <w:tab/>
      </w:r>
      <w:r>
        <w:tab/>
        <w:t>either in Western Australia or elsewhere; or</w:t>
      </w:r>
    </w:p>
    <w:p>
      <w:pPr>
        <w:pStyle w:val="Indenta"/>
      </w:pPr>
      <w:r>
        <w:tab/>
        <w:t>(b)</w:t>
      </w:r>
      <w:r>
        <w:tab/>
        <w:t>with intent to —</w:t>
      </w:r>
    </w:p>
    <w:p>
      <w:pPr>
        <w:pStyle w:val="Indenti"/>
      </w:pPr>
      <w:r>
        <w:tab/>
        <w:t>(i)</w:t>
      </w:r>
      <w:r>
        <w:tab/>
        <w:t>procure a person the offender believes is under the age of 16 years to engage in sexual activity; or</w:t>
      </w:r>
    </w:p>
    <w:p>
      <w:pPr>
        <w:pStyle w:val="Indenti"/>
        <w:keepNext/>
        <w:keepLines/>
      </w:pPr>
      <w:r>
        <w:tab/>
        <w:t>(ii)</w:t>
      </w:r>
      <w:r>
        <w:tab/>
        <w:t>expose a person the offender believes is under the age of 16 years to any indecent matter,</w:t>
      </w:r>
    </w:p>
    <w:p>
      <w:pPr>
        <w:pStyle w:val="Indenta"/>
        <w:keepNext/>
        <w:keepLines/>
      </w:pPr>
      <w:r>
        <w:tab/>
      </w:r>
      <w:r>
        <w:tab/>
        <w:t>either in Western Australia or elsewhere,</w:t>
      </w:r>
    </w:p>
    <w:p>
      <w:pPr>
        <w:pStyle w:val="Subsection"/>
      </w:pPr>
      <w:r>
        <w:tab/>
      </w:r>
      <w:r>
        <w:tab/>
        <w:t>is guilty of a crime and is liable to imprisonment for 5 years.</w:t>
      </w:r>
    </w:p>
    <w:p>
      <w:pPr>
        <w:pStyle w:val="Subsection"/>
        <w:spacing w:before="120"/>
      </w:pPr>
      <w:r>
        <w:tab/>
        <w:t>(3)</w:t>
      </w:r>
      <w:r>
        <w:tab/>
        <w:t>An adult who uses electronic communication —</w:t>
      </w:r>
    </w:p>
    <w:p>
      <w:pPr>
        <w:pStyle w:val="Indenta"/>
      </w:pPr>
      <w:r>
        <w:tab/>
        <w:t>(a)</w:t>
      </w:r>
      <w:r>
        <w:tab/>
        <w:t>with intent to —</w:t>
      </w:r>
    </w:p>
    <w:p>
      <w:pPr>
        <w:pStyle w:val="Indenti"/>
      </w:pPr>
      <w:r>
        <w:tab/>
        <w:t>(i)</w:t>
      </w:r>
      <w:r>
        <w:tab/>
        <w:t>procure a person under the age of 13 years to engage in sexual activity; or</w:t>
      </w:r>
    </w:p>
    <w:p>
      <w:pPr>
        <w:pStyle w:val="Indenti"/>
      </w:pPr>
      <w:r>
        <w:tab/>
        <w:t>(ii)</w:t>
      </w:r>
      <w:r>
        <w:tab/>
        <w:t>expose a person under the age of 13 years to any indecent matter,</w:t>
      </w:r>
    </w:p>
    <w:p>
      <w:pPr>
        <w:pStyle w:val="Indenta"/>
      </w:pPr>
      <w:r>
        <w:tab/>
      </w:r>
      <w:r>
        <w:tab/>
        <w:t>either in Western Australia or elsewhere; or</w:t>
      </w:r>
    </w:p>
    <w:p>
      <w:pPr>
        <w:pStyle w:val="Indenta"/>
      </w:pPr>
      <w:r>
        <w:tab/>
        <w:t>(b)</w:t>
      </w:r>
      <w:r>
        <w:tab/>
        <w:t>with intent to —</w:t>
      </w:r>
    </w:p>
    <w:p>
      <w:pPr>
        <w:pStyle w:val="Indenti"/>
      </w:pPr>
      <w:r>
        <w:tab/>
        <w:t>(i)</w:t>
      </w:r>
      <w:r>
        <w:tab/>
        <w:t>procure a person the offender believes is under the age of 13 years to engage in sexual activity; or</w:t>
      </w:r>
    </w:p>
    <w:p>
      <w:pPr>
        <w:pStyle w:val="Indenti"/>
      </w:pPr>
      <w:r>
        <w:tab/>
        <w:t>(ii)</w:t>
      </w:r>
      <w:r>
        <w:tab/>
        <w:t>expose a person the offender believes is under the age of 13 years to any indecent matter,</w:t>
      </w:r>
    </w:p>
    <w:p>
      <w:pPr>
        <w:pStyle w:val="Indenta"/>
        <w:keepLines/>
      </w:pPr>
      <w:r>
        <w:tab/>
      </w:r>
      <w:r>
        <w:tab/>
        <w:t>either in Western Australia or elsewhere,</w:t>
      </w:r>
    </w:p>
    <w:p>
      <w:pPr>
        <w:pStyle w:val="Subsection"/>
        <w:keepLines/>
      </w:pPr>
      <w:r>
        <w:tab/>
      </w:r>
      <w:r>
        <w:tab/>
        <w:t>is guilty of a crime and is liable to imprisonment for 10 years.</w:t>
      </w:r>
    </w:p>
    <w:p>
      <w:pPr>
        <w:pStyle w:val="Penstart"/>
        <w:keepLines/>
      </w:pPr>
      <w:r>
        <w:tab/>
        <w:t>Alternative offence: subsection (2).</w:t>
      </w:r>
    </w:p>
    <w:p>
      <w:pPr>
        <w:pStyle w:val="Subsection"/>
        <w:keepNext/>
        <w:keepLines/>
      </w:pPr>
      <w:r>
        <w:lastRenderedPageBreak/>
        <w:tab/>
        <w:t>(4)</w:t>
      </w:r>
      <w:r>
        <w:tab/>
        <w:t>For the purpose of subsection (2)(a)(i) or (b)(i) or (3)(a)(i) or (b)(i), a person engages in sexual activity if the person —</w:t>
      </w:r>
    </w:p>
    <w:p>
      <w:pPr>
        <w:pStyle w:val="Indenta"/>
        <w:keepNext/>
        <w:keepLines/>
      </w:pPr>
      <w:r>
        <w:tab/>
        <w:t>(a)</w:t>
      </w:r>
      <w:r>
        <w:tab/>
        <w:t>allows a sexual act to be done to the person’s body; or</w:t>
      </w:r>
    </w:p>
    <w:p>
      <w:pPr>
        <w:pStyle w:val="Indenta"/>
        <w:keepNext/>
        <w:keepLines/>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keepNext/>
      </w:pPr>
      <w:r>
        <w:tab/>
        <w:t>(11)</w:t>
      </w:r>
      <w:r>
        <w:tab/>
        <w:t xml:space="preserve">It is a defence to a charge under subsection (3)(a) to prove the accused person believed on reasonable grounds that the victim </w:t>
      </w:r>
      <w:r>
        <w:lastRenderedPageBreak/>
        <w:t>was of or over the age of 13 years, but that does not prevent the person from being convicted of an offence under subsection (2).</w:t>
      </w:r>
    </w:p>
    <w:p>
      <w:pPr>
        <w:pStyle w:val="Footnotesection"/>
        <w:spacing w:before="80"/>
        <w:ind w:left="890" w:hanging="890"/>
      </w:pPr>
      <w:r>
        <w:tab/>
        <w:t>[Section 204B inserted: No. 3 of 2006 s. 4; amended: No. 46 of 2011 s. 25; No. 5 of 2014 s. 5.]</w:t>
      </w:r>
    </w:p>
    <w:p>
      <w:pPr>
        <w:pStyle w:val="Heading5"/>
        <w:rPr>
          <w:snapToGrid w:val="0"/>
        </w:rPr>
      </w:pPr>
      <w:bookmarkStart w:id="269" w:name="_Toc88662218"/>
      <w:r>
        <w:rPr>
          <w:rStyle w:val="CharSectno"/>
        </w:rPr>
        <w:t>205</w:t>
      </w:r>
      <w:r>
        <w:rPr>
          <w:snapToGrid w:val="0"/>
        </w:rPr>
        <w:t>.</w:t>
      </w:r>
      <w:r>
        <w:rPr>
          <w:snapToGrid w:val="0"/>
        </w:rPr>
        <w:tab/>
        <w:t>Ignorance of age no defence to charge under this Chapter</w:t>
      </w:r>
      <w:bookmarkEnd w:id="269"/>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No. 32 of 1989 s. 19.]</w:t>
      </w:r>
    </w:p>
    <w:p>
      <w:pPr>
        <w:pStyle w:val="Ednotesection"/>
        <w:ind w:left="890" w:hanging="890"/>
      </w:pPr>
      <w:r>
        <w:t>[</w:t>
      </w:r>
      <w:r>
        <w:rPr>
          <w:b/>
        </w:rPr>
        <w:t>205A.</w:t>
      </w:r>
      <w:r>
        <w:tab/>
        <w:t>Deleted: No. 74 of 1985 s. 5.]</w:t>
      </w:r>
    </w:p>
    <w:p>
      <w:pPr>
        <w:pStyle w:val="Heading5"/>
      </w:pPr>
      <w:bookmarkStart w:id="270" w:name="_Toc88662219"/>
      <w:r>
        <w:rPr>
          <w:rStyle w:val="CharSectno"/>
        </w:rPr>
        <w:t>206</w:t>
      </w:r>
      <w:r>
        <w:t>.</w:t>
      </w:r>
      <w:r>
        <w:tab/>
        <w:t>Supplying intoxicant to person likely to abuse them</w:t>
      </w:r>
      <w:bookmarkEnd w:id="270"/>
    </w:p>
    <w:p>
      <w:pPr>
        <w:pStyle w:val="Subsection"/>
      </w:pPr>
      <w:r>
        <w:tab/>
        <w:t>(1)</w:t>
      </w:r>
      <w:r>
        <w:tab/>
        <w:t>In this section —</w:t>
      </w:r>
    </w:p>
    <w:p>
      <w:pPr>
        <w:pStyle w:val="Defstart"/>
      </w:pPr>
      <w:r>
        <w:rPr>
          <w:b/>
        </w:rPr>
        <w:tab/>
      </w:r>
      <w:r>
        <w:rPr>
          <w:rStyle w:val="CharDefText"/>
        </w:rPr>
        <w:t>intoxicant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r>
      <w:r>
        <w:rPr>
          <w:rStyle w:val="CharDefText"/>
        </w:rPr>
        <w:t>volatile substance</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No. 70 of 2004 s. 22; amended: No. 73 of 2006 s. 114.]</w:t>
      </w:r>
    </w:p>
    <w:p>
      <w:pPr>
        <w:pStyle w:val="Heading3"/>
        <w:pageBreakBefore/>
        <w:spacing w:before="0"/>
        <w:rPr>
          <w:snapToGrid w:val="0"/>
        </w:rPr>
      </w:pPr>
      <w:bookmarkStart w:id="271" w:name="_Toc88569777"/>
      <w:bookmarkStart w:id="272" w:name="_Toc88570299"/>
      <w:bookmarkStart w:id="273" w:name="_Toc88570821"/>
      <w:bookmarkStart w:id="274" w:name="_Toc88662220"/>
      <w:r>
        <w:rPr>
          <w:rStyle w:val="CharDivNo"/>
        </w:rPr>
        <w:lastRenderedPageBreak/>
        <w:t>Chapter XXIII</w:t>
      </w:r>
      <w:r>
        <w:rPr>
          <w:snapToGrid w:val="0"/>
        </w:rPr>
        <w:t> — </w:t>
      </w:r>
      <w:r>
        <w:rPr>
          <w:rStyle w:val="CharDivText"/>
        </w:rPr>
        <w:t>Misconduct relating to corpses</w:t>
      </w:r>
      <w:bookmarkEnd w:id="271"/>
      <w:bookmarkEnd w:id="272"/>
      <w:bookmarkEnd w:id="273"/>
      <w:bookmarkEnd w:id="274"/>
    </w:p>
    <w:p>
      <w:pPr>
        <w:pStyle w:val="Footnoteheading"/>
      </w:pPr>
      <w:r>
        <w:tab/>
        <w:t>[Heading amended: No. 70 of 2004 s. 23(2).]</w:t>
      </w:r>
    </w:p>
    <w:p>
      <w:pPr>
        <w:pStyle w:val="Ednotesection"/>
        <w:keepNext/>
        <w:keepLines/>
        <w:spacing w:before="180"/>
        <w:ind w:left="890" w:hanging="890"/>
      </w:pPr>
      <w:r>
        <w:t>[</w:t>
      </w:r>
      <w:r>
        <w:rPr>
          <w:b/>
        </w:rPr>
        <w:t>207.</w:t>
      </w:r>
      <w:r>
        <w:tab/>
      </w:r>
      <w:r>
        <w:tab/>
        <w:t>Deleted: No. 70 of 1988 s. 23.]</w:t>
      </w:r>
    </w:p>
    <w:p>
      <w:pPr>
        <w:pStyle w:val="Ednotesection"/>
        <w:spacing w:before="180"/>
      </w:pPr>
      <w:r>
        <w:t>[</w:t>
      </w:r>
      <w:r>
        <w:rPr>
          <w:b/>
        </w:rPr>
        <w:t>208.</w:t>
      </w:r>
      <w:r>
        <w:rPr>
          <w:b/>
        </w:rPr>
        <w:tab/>
      </w:r>
      <w:r>
        <w:t>Deleted: No. 4 of 2004 s. 17.]</w:t>
      </w:r>
    </w:p>
    <w:p>
      <w:pPr>
        <w:pStyle w:val="Ednotesection"/>
        <w:spacing w:before="180"/>
      </w:pPr>
      <w:r>
        <w:t>[</w:t>
      </w:r>
      <w:r>
        <w:rPr>
          <w:b/>
        </w:rPr>
        <w:t>209.</w:t>
      </w:r>
      <w:r>
        <w:tab/>
        <w:t>Deleted: No. 70 of 2004 s. 23(1).]</w:t>
      </w:r>
    </w:p>
    <w:p>
      <w:pPr>
        <w:pStyle w:val="Ednotesection"/>
        <w:spacing w:before="180"/>
      </w:pPr>
      <w:r>
        <w:t>[</w:t>
      </w:r>
      <w:r>
        <w:rPr>
          <w:b/>
        </w:rPr>
        <w:t>210, 211.</w:t>
      </w:r>
      <w:r>
        <w:tab/>
        <w:t>Deleted: No. 108 of 1982 s. 27.]</w:t>
      </w:r>
    </w:p>
    <w:p>
      <w:pPr>
        <w:pStyle w:val="Ednotesection"/>
        <w:spacing w:before="180"/>
        <w:ind w:left="890" w:hanging="890"/>
      </w:pPr>
      <w:r>
        <w:t>[</w:t>
      </w:r>
      <w:r>
        <w:rPr>
          <w:b/>
        </w:rPr>
        <w:t>212.</w:t>
      </w:r>
      <w:r>
        <w:tab/>
        <w:t>Deleted: No. 74 of 1987 s. 64.]</w:t>
      </w:r>
    </w:p>
    <w:p>
      <w:pPr>
        <w:pStyle w:val="Ednotesection"/>
        <w:spacing w:before="180"/>
        <w:ind w:left="890" w:hanging="890"/>
      </w:pPr>
      <w:r>
        <w:t>[</w:t>
      </w:r>
      <w:r>
        <w:rPr>
          <w:b/>
        </w:rPr>
        <w:t>213.</w:t>
      </w:r>
      <w:r>
        <w:tab/>
        <w:t>Deleted: No. 70 of 2004 s. 23(1).]</w:t>
      </w:r>
    </w:p>
    <w:p>
      <w:pPr>
        <w:pStyle w:val="Heading5"/>
        <w:spacing w:before="180"/>
        <w:rPr>
          <w:snapToGrid w:val="0"/>
        </w:rPr>
      </w:pPr>
      <w:bookmarkStart w:id="275" w:name="_Toc88662221"/>
      <w:r>
        <w:rPr>
          <w:rStyle w:val="CharSectno"/>
        </w:rPr>
        <w:t>214</w:t>
      </w:r>
      <w:r>
        <w:rPr>
          <w:snapToGrid w:val="0"/>
        </w:rPr>
        <w:t>.</w:t>
      </w:r>
      <w:r>
        <w:rPr>
          <w:snapToGrid w:val="0"/>
        </w:rPr>
        <w:tab/>
      </w:r>
      <w:r>
        <w:t>Misconduct</w:t>
      </w:r>
      <w:r>
        <w:rPr>
          <w:snapToGrid w:val="0"/>
        </w:rPr>
        <w:t xml:space="preserve"> with regard to corpse</w:t>
      </w:r>
      <w:bookmarkEnd w:id="275"/>
    </w:p>
    <w:p>
      <w:pPr>
        <w:pStyle w:val="Subsection"/>
        <w:spacing w:before="120"/>
        <w:rPr>
          <w:snapToGrid w:val="0"/>
        </w:rPr>
      </w:pPr>
      <w:r>
        <w:rPr>
          <w:snapToGrid w:val="0"/>
        </w:rPr>
        <w:tab/>
      </w:r>
      <w:r>
        <w:rPr>
          <w:snapToGrid w:val="0"/>
        </w:rPr>
        <w:tab/>
        <w:t>Any person who, without lawful justification or excuse, the proof of which lies on him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No. 70 of 1988 s. 25; No. 51 of 1992 s. 16(2); No. 70 of 2004 s. 34(1) and 35(1).]</w:t>
      </w:r>
    </w:p>
    <w:p>
      <w:pPr>
        <w:pStyle w:val="Heading5"/>
      </w:pPr>
      <w:bookmarkStart w:id="276" w:name="_Toc88662222"/>
      <w:r>
        <w:rPr>
          <w:rStyle w:val="CharSectno"/>
        </w:rPr>
        <w:t>215</w:t>
      </w:r>
      <w:r>
        <w:t>.</w:t>
      </w:r>
      <w:r>
        <w:tab/>
        <w:t>Interfering with corpse to hinder inquiry</w:t>
      </w:r>
      <w:bookmarkEnd w:id="276"/>
    </w:p>
    <w:p>
      <w:pPr>
        <w:pStyle w:val="Subsection"/>
      </w:pPr>
      <w:r>
        <w:tab/>
        <w:t>(1)</w:t>
      </w:r>
      <w:r>
        <w:tab/>
        <w:t>In this section a person interferes with the corpse of a person if he or she —</w:t>
      </w:r>
    </w:p>
    <w:p>
      <w:pPr>
        <w:pStyle w:val="Indenta"/>
      </w:pPr>
      <w:r>
        <w:tab/>
        <w:t>(a)</w:t>
      </w:r>
      <w:r>
        <w:tab/>
        <w:t>conceals the corpse, whether by burying or destroying it or otherwise; or</w:t>
      </w:r>
    </w:p>
    <w:p>
      <w:pPr>
        <w:pStyle w:val="Indenta"/>
      </w:pPr>
      <w:r>
        <w:lastRenderedPageBreak/>
        <w:tab/>
        <w:t>(b)</w:t>
      </w:r>
      <w:r>
        <w:tab/>
        <w:t>damages or mutilates or otherwise interferes with the corpse.</w:t>
      </w:r>
    </w:p>
    <w:p>
      <w:pPr>
        <w:pStyle w:val="Subsection"/>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No. 4 of 2004 s. 60.]</w:t>
      </w:r>
    </w:p>
    <w:p>
      <w:pPr>
        <w:pStyle w:val="Ednotedivision"/>
      </w:pPr>
      <w:r>
        <w:t>[Chapter XXIV (s. 216) deleted: No. 16 of 2016 s. 37.]</w:t>
      </w:r>
    </w:p>
    <w:p>
      <w:pPr>
        <w:pStyle w:val="Heading3"/>
      </w:pPr>
      <w:bookmarkStart w:id="277" w:name="_Toc88569780"/>
      <w:bookmarkStart w:id="278" w:name="_Toc88570302"/>
      <w:bookmarkStart w:id="279" w:name="_Toc88570824"/>
      <w:bookmarkStart w:id="280" w:name="_Toc88662223"/>
      <w:r>
        <w:rPr>
          <w:rStyle w:val="CharDivNo"/>
        </w:rPr>
        <w:t>Chapter XXV</w:t>
      </w:r>
      <w:r>
        <w:rPr>
          <w:b w:val="0"/>
        </w:rPr>
        <w:t> </w:t>
      </w:r>
      <w:r>
        <w:t>—</w:t>
      </w:r>
      <w:r>
        <w:rPr>
          <w:b w:val="0"/>
        </w:rPr>
        <w:t> </w:t>
      </w:r>
      <w:r>
        <w:rPr>
          <w:rStyle w:val="CharDivText"/>
        </w:rPr>
        <w:t>Child exploitation material</w:t>
      </w:r>
      <w:bookmarkEnd w:id="277"/>
      <w:bookmarkEnd w:id="278"/>
      <w:bookmarkEnd w:id="279"/>
      <w:bookmarkEnd w:id="280"/>
    </w:p>
    <w:p>
      <w:pPr>
        <w:pStyle w:val="Footnoteheading"/>
      </w:pPr>
      <w:r>
        <w:tab/>
        <w:t>[Heading</w:t>
      </w:r>
      <w:r>
        <w:rPr>
          <w:vertAlign w:val="superscript"/>
        </w:rPr>
        <w:t> 5</w:t>
      </w:r>
      <w:r>
        <w:t xml:space="preserve"> inserted as Ch. XXIV: No. 21 of 2010 s. 4.]</w:t>
      </w:r>
    </w:p>
    <w:p>
      <w:pPr>
        <w:pStyle w:val="Heading5"/>
      </w:pPr>
      <w:bookmarkStart w:id="281" w:name="_Toc88662224"/>
      <w:r>
        <w:rPr>
          <w:rStyle w:val="CharSectno"/>
        </w:rPr>
        <w:t>217A</w:t>
      </w:r>
      <w:r>
        <w:t>.</w:t>
      </w:r>
      <w:r>
        <w:tab/>
        <w:t>Terms used</w:t>
      </w:r>
      <w:bookmarkEnd w:id="281"/>
    </w:p>
    <w:p>
      <w:pPr>
        <w:pStyle w:val="Subsection"/>
      </w:pPr>
      <w:r>
        <w:tab/>
      </w:r>
      <w:r>
        <w:tab/>
        <w:t xml:space="preserve">In this Chapter — </w:t>
      </w:r>
    </w:p>
    <w:p>
      <w:pPr>
        <w:pStyle w:val="Defstart"/>
      </w:pPr>
      <w:r>
        <w:rPr>
          <w:b/>
        </w:rPr>
        <w:tab/>
      </w:r>
      <w:r>
        <w:rPr>
          <w:rStyle w:val="CharDefText"/>
        </w:rPr>
        <w:t>child</w:t>
      </w:r>
      <w:r>
        <w:t xml:space="preserve"> means a person under 16 years of age;</w:t>
      </w:r>
    </w:p>
    <w:p>
      <w:pPr>
        <w:pStyle w:val="Defstart"/>
      </w:pPr>
      <w:r>
        <w:rPr>
          <w:b/>
        </w:rPr>
        <w:tab/>
      </w:r>
      <w:r>
        <w:rPr>
          <w:rStyle w:val="CharDefText"/>
        </w:rPr>
        <w:t>child exploitation material</w:t>
      </w:r>
      <w:r>
        <w:t xml:space="preserve"> means — </w:t>
      </w:r>
    </w:p>
    <w:p>
      <w:pPr>
        <w:pStyle w:val="Defpara"/>
        <w:spacing w:before="60"/>
      </w:pPr>
      <w:r>
        <w:tab/>
        <w:t>(a)</w:t>
      </w:r>
      <w:r>
        <w:tab/>
        <w:t>child pornography; or</w:t>
      </w:r>
    </w:p>
    <w:p>
      <w:pPr>
        <w:pStyle w:val="Defpara"/>
        <w:spacing w:before="60"/>
      </w:pPr>
      <w:r>
        <w:tab/>
        <w:t>(b)</w:t>
      </w:r>
      <w:r>
        <w:tab/>
        <w:t xml:space="preserve">material that, in a way likely to offend a reasonable person, describes, depicts or represents a person, or part of a person, who is, or appears to be, a child — </w:t>
      </w:r>
    </w:p>
    <w:p>
      <w:pPr>
        <w:pStyle w:val="Defsubpara"/>
        <w:spacing w:before="60"/>
      </w:pPr>
      <w:r>
        <w:tab/>
        <w:t>(i)</w:t>
      </w:r>
      <w:r>
        <w:tab/>
        <w:t>in an offensive or demeaning context; or</w:t>
      </w:r>
    </w:p>
    <w:p>
      <w:pPr>
        <w:pStyle w:val="Defsubpara"/>
        <w:spacing w:before="60"/>
      </w:pPr>
      <w:r>
        <w:tab/>
        <w:t>(ii)</w:t>
      </w:r>
      <w:r>
        <w:tab/>
        <w:t>being subjected to abuse, cruelty or torture (whether or not in a sexual context);</w:t>
      </w:r>
    </w:p>
    <w:p>
      <w:pPr>
        <w:pStyle w:val="Defstart"/>
      </w:pPr>
      <w:r>
        <w:tab/>
      </w:r>
      <w:r>
        <w:rPr>
          <w:rStyle w:val="CharDefText"/>
        </w:rPr>
        <w:t>child pornography</w:t>
      </w:r>
      <w:r>
        <w:t xml:space="preserve"> means material that, in a way likely to offend a reasonable person, describes, depicts or represents a person, or part of a person, who is, or appears to be a child — </w:t>
      </w:r>
    </w:p>
    <w:p>
      <w:pPr>
        <w:pStyle w:val="Defpara"/>
        <w:spacing w:before="60"/>
      </w:pPr>
      <w:r>
        <w:tab/>
        <w:t>(a)</w:t>
      </w:r>
      <w:r>
        <w:tab/>
        <w:t>engaging in sexual activity; or</w:t>
      </w:r>
    </w:p>
    <w:p>
      <w:pPr>
        <w:pStyle w:val="Defpara"/>
      </w:pPr>
      <w:r>
        <w:tab/>
        <w:t>(b)</w:t>
      </w:r>
      <w:r>
        <w:tab/>
        <w:t>in a sexual context;</w:t>
      </w:r>
    </w:p>
    <w:p>
      <w:pPr>
        <w:pStyle w:val="Defstart"/>
        <w:keepNext/>
      </w:pPr>
      <w:r>
        <w:rPr>
          <w:b/>
        </w:rPr>
        <w:tab/>
      </w:r>
      <w:r>
        <w:rPr>
          <w:rStyle w:val="CharDefText"/>
        </w:rPr>
        <w:t>material</w:t>
      </w:r>
      <w:r>
        <w:t xml:space="preserve"> includes — </w:t>
      </w:r>
    </w:p>
    <w:p>
      <w:pPr>
        <w:pStyle w:val="Defpara"/>
      </w:pPr>
      <w:r>
        <w:tab/>
        <w:t>(a)</w:t>
      </w:r>
      <w:r>
        <w:tab/>
        <w:t>any object, picture, film, written or printed matter, data or other thing; and</w:t>
      </w:r>
    </w:p>
    <w:p>
      <w:pPr>
        <w:pStyle w:val="Defpara"/>
      </w:pPr>
      <w:r>
        <w:lastRenderedPageBreak/>
        <w:tab/>
        <w:t>(b)</w:t>
      </w:r>
      <w:r>
        <w:tab/>
        <w:t>any thing from which text, pictures, sound or data can be produced or reproduced, with or without the aid of anything else;</w:t>
      </w:r>
    </w:p>
    <w:p>
      <w:pPr>
        <w:pStyle w:val="Defstart"/>
      </w:pPr>
      <w:r>
        <w:rPr>
          <w:b/>
        </w:rPr>
        <w:tab/>
      </w:r>
      <w:r>
        <w:rPr>
          <w:rStyle w:val="CharDefText"/>
        </w:rPr>
        <w:t>picture</w:t>
      </w:r>
      <w:r>
        <w:t xml:space="preserve"> has the meaning given in section 204B.</w:t>
      </w:r>
    </w:p>
    <w:p>
      <w:pPr>
        <w:pStyle w:val="Footnotesection"/>
        <w:keepLines w:val="0"/>
      </w:pPr>
      <w:r>
        <w:tab/>
        <w:t>[Section 217A</w:t>
      </w:r>
      <w:r>
        <w:rPr>
          <w:vertAlign w:val="superscript"/>
        </w:rPr>
        <w:t> 5</w:t>
      </w:r>
      <w:r>
        <w:t xml:space="preserve"> inserted as section 216: No. 21 of 2010 s. 4.]</w:t>
      </w:r>
    </w:p>
    <w:p>
      <w:pPr>
        <w:pStyle w:val="Heading5"/>
      </w:pPr>
      <w:bookmarkStart w:id="282" w:name="_Toc88662225"/>
      <w:r>
        <w:rPr>
          <w:rStyle w:val="CharSectno"/>
        </w:rPr>
        <w:t>217</w:t>
      </w:r>
      <w:r>
        <w:t>.</w:t>
      </w:r>
      <w:r>
        <w:tab/>
        <w:t>Involving child in child exploitation</w:t>
      </w:r>
      <w:bookmarkEnd w:id="282"/>
    </w:p>
    <w:p>
      <w:pPr>
        <w:pStyle w:val="Subsection"/>
      </w:pPr>
      <w:r>
        <w:tab/>
        <w:t>(1)</w:t>
      </w:r>
      <w:r>
        <w:tab/>
        <w:t xml:space="preserve">For the purposes of this section, a person involves a child in child exploitation if the person — </w:t>
      </w:r>
    </w:p>
    <w:p>
      <w:pPr>
        <w:pStyle w:val="Indenta"/>
      </w:pPr>
      <w:r>
        <w:tab/>
        <w:t>(a)</w:t>
      </w:r>
      <w:r>
        <w:tab/>
        <w:t>invites a child to be in any way involved in the production of child exploitation material; or</w:t>
      </w:r>
    </w:p>
    <w:p>
      <w:pPr>
        <w:pStyle w:val="Indenta"/>
      </w:pPr>
      <w:r>
        <w:tab/>
        <w:t>(b)</w:t>
      </w:r>
      <w:r>
        <w:tab/>
        <w:t>causes a child to be in any way involved in the production of child exploitation material; or</w:t>
      </w:r>
    </w:p>
    <w:p>
      <w:pPr>
        <w:pStyle w:val="Indenta"/>
      </w:pPr>
      <w:r>
        <w:tab/>
        <w:t>(c)</w:t>
      </w:r>
      <w:r>
        <w:tab/>
        <w:t>procures a child for the purpose of the production of child exploitation material; or</w:t>
      </w:r>
    </w:p>
    <w:p>
      <w:pPr>
        <w:pStyle w:val="Indenta"/>
      </w:pPr>
      <w:r>
        <w:tab/>
        <w:t>(d)</w:t>
      </w:r>
      <w:r>
        <w:tab/>
        <w:t>offers a child for the purpose of the production of child exploitation material.</w:t>
      </w:r>
    </w:p>
    <w:p>
      <w:pPr>
        <w:pStyle w:val="Subsection"/>
      </w:pPr>
      <w:r>
        <w:tab/>
        <w:t>(2)</w:t>
      </w:r>
      <w:r>
        <w:tab/>
        <w:t>A person who involves a child in child exploitation is guilty of a crime and is liable to imprisonment for 10 years.</w:t>
      </w:r>
    </w:p>
    <w:p>
      <w:pPr>
        <w:pStyle w:val="Footnotesection"/>
        <w:keepLines w:val="0"/>
      </w:pPr>
      <w:r>
        <w:tab/>
        <w:t>[Section 217 inserted: No. 21 of 2010 s. 4.]</w:t>
      </w:r>
    </w:p>
    <w:p>
      <w:pPr>
        <w:pStyle w:val="Heading5"/>
      </w:pPr>
      <w:bookmarkStart w:id="283" w:name="_Toc88662226"/>
      <w:r>
        <w:rPr>
          <w:rStyle w:val="CharSectno"/>
        </w:rPr>
        <w:t>218</w:t>
      </w:r>
      <w:r>
        <w:t>.</w:t>
      </w:r>
      <w:r>
        <w:tab/>
        <w:t>Producing child exploitation material</w:t>
      </w:r>
      <w:bookmarkEnd w:id="283"/>
    </w:p>
    <w:p>
      <w:pPr>
        <w:pStyle w:val="Subsection"/>
      </w:pPr>
      <w:r>
        <w:tab/>
      </w:r>
      <w:r>
        <w:tab/>
        <w:t>A person who produces child exploitation material is guilty of a crime and is liable to imprisonment for 10 years.</w:t>
      </w:r>
    </w:p>
    <w:p>
      <w:pPr>
        <w:pStyle w:val="Footnotesection"/>
        <w:keepLines w:val="0"/>
      </w:pPr>
      <w:r>
        <w:tab/>
        <w:t>[Section 218 inserted: No. 21 of 2010 s. 4.]</w:t>
      </w:r>
    </w:p>
    <w:p>
      <w:pPr>
        <w:pStyle w:val="Heading5"/>
      </w:pPr>
      <w:bookmarkStart w:id="284" w:name="_Toc88662227"/>
      <w:r>
        <w:rPr>
          <w:rStyle w:val="CharSectno"/>
        </w:rPr>
        <w:t>219</w:t>
      </w:r>
      <w:r>
        <w:t>.</w:t>
      </w:r>
      <w:r>
        <w:tab/>
        <w:t>Distributing child exploitation material</w:t>
      </w:r>
      <w:bookmarkEnd w:id="284"/>
    </w:p>
    <w:p>
      <w:pPr>
        <w:pStyle w:val="Subsection"/>
        <w:keepNext/>
      </w:pPr>
      <w:r>
        <w:tab/>
        <w:t>(1)</w:t>
      </w:r>
      <w:r>
        <w:tab/>
        <w:t xml:space="preserve">In this section — </w:t>
      </w:r>
    </w:p>
    <w:p>
      <w:pPr>
        <w:pStyle w:val="Defstart"/>
      </w:pPr>
      <w:r>
        <w:rPr>
          <w:b/>
        </w:rPr>
        <w:tab/>
      </w:r>
      <w:r>
        <w:rPr>
          <w:rStyle w:val="CharDefText"/>
        </w:rPr>
        <w:t>distribute</w:t>
      </w:r>
      <w:r>
        <w:t xml:space="preserve"> child exploitation material, includes — </w:t>
      </w:r>
    </w:p>
    <w:p>
      <w:pPr>
        <w:pStyle w:val="Defpara"/>
      </w:pPr>
      <w:r>
        <w:tab/>
        <w:t>(a)</w:t>
      </w:r>
      <w:r>
        <w:tab/>
        <w:t>communicate, exhibit, sell, send, supply, offer or transmit child exploitation material to another person, or enter into an agreement or arrangement to do so; or</w:t>
      </w:r>
    </w:p>
    <w:p>
      <w:pPr>
        <w:pStyle w:val="Defpara"/>
      </w:pPr>
      <w:r>
        <w:lastRenderedPageBreak/>
        <w:tab/>
        <w:t>(b)</w:t>
      </w:r>
      <w:r>
        <w:tab/>
        <w:t>make child exploitation material available for access by electronic or other means by another person, or enter into an agreement or arrangement to do so.</w:t>
      </w:r>
    </w:p>
    <w:p>
      <w:pPr>
        <w:pStyle w:val="Subsection"/>
      </w:pPr>
      <w:r>
        <w:tab/>
        <w:t>(2)</w:t>
      </w:r>
      <w:r>
        <w:tab/>
        <w:t>A person who distributes child exploitation material is guilty of a crime and is liable to imprisonment for 10 years.</w:t>
      </w:r>
    </w:p>
    <w:p>
      <w:pPr>
        <w:pStyle w:val="Subsection"/>
      </w:pPr>
      <w:r>
        <w:tab/>
        <w:t>(3)</w:t>
      </w:r>
      <w:r>
        <w:tab/>
        <w:t>A person who has possession of child exploitation material with the intention of distributing the material is guilty of a crime and is liable to imprisonment for 10 years.</w:t>
      </w:r>
    </w:p>
    <w:p>
      <w:pPr>
        <w:pStyle w:val="Footnotesection"/>
        <w:keepLines w:val="0"/>
      </w:pPr>
      <w:r>
        <w:tab/>
        <w:t>[Section 219 inserted: No. 21 of 2010 s. 4.]</w:t>
      </w:r>
    </w:p>
    <w:p>
      <w:pPr>
        <w:pStyle w:val="Heading5"/>
      </w:pPr>
      <w:bookmarkStart w:id="285" w:name="_Toc88662228"/>
      <w:r>
        <w:rPr>
          <w:rStyle w:val="CharSectno"/>
        </w:rPr>
        <w:t>220</w:t>
      </w:r>
      <w:r>
        <w:t>.</w:t>
      </w:r>
      <w:r>
        <w:tab/>
        <w:t>Possession of child exploitation material</w:t>
      </w:r>
      <w:bookmarkEnd w:id="285"/>
    </w:p>
    <w:p>
      <w:pPr>
        <w:pStyle w:val="Subsection"/>
      </w:pPr>
      <w:r>
        <w:tab/>
      </w:r>
      <w:r>
        <w:tab/>
        <w:t>A person who has possession of child exploitation material is guilty of a crime and is liable to imprisonment for 7 years.</w:t>
      </w:r>
    </w:p>
    <w:p>
      <w:pPr>
        <w:pStyle w:val="Footnotesection"/>
        <w:keepLines w:val="0"/>
      </w:pPr>
      <w:r>
        <w:tab/>
        <w:t>[Section 220 inserted: No. 21 of 2010 s. 4.]</w:t>
      </w:r>
    </w:p>
    <w:p>
      <w:pPr>
        <w:pStyle w:val="Heading5"/>
      </w:pPr>
      <w:bookmarkStart w:id="286" w:name="_Toc88662229"/>
      <w:r>
        <w:rPr>
          <w:rStyle w:val="CharSectno"/>
        </w:rPr>
        <w:t>221A</w:t>
      </w:r>
      <w:r>
        <w:t>.</w:t>
      </w:r>
      <w:r>
        <w:tab/>
        <w:t>Defences and exclusions for s. 217, 218, 219 and 220</w:t>
      </w:r>
      <w:bookmarkEnd w:id="286"/>
    </w:p>
    <w:p>
      <w:pPr>
        <w:pStyle w:val="Subsection"/>
      </w:pPr>
      <w:r>
        <w:tab/>
        <w:t>(1A)</w:t>
      </w:r>
      <w:r>
        <w:tab/>
        <w:t>It is no defence to a charge of an offence under section 217, 218, 219 or 220 to prove that the accused person did not know the age of the child to whom the charge relates, or the age of the child described, depicted or represented in the material to which the charge relates, or believed that the child was of or over 16 years of age.</w:t>
      </w:r>
    </w:p>
    <w:p>
      <w:pPr>
        <w:pStyle w:val="Subsection"/>
      </w:pPr>
      <w:r>
        <w:tab/>
        <w:t>(1)</w:t>
      </w:r>
      <w:r>
        <w:tab/>
        <w:t xml:space="preserve">It is a defence to a charge of an offence under section 217, 218, 219 or 220 to prove that — </w:t>
      </w:r>
    </w:p>
    <w:p>
      <w:pPr>
        <w:pStyle w:val="Indenta"/>
      </w:pPr>
      <w:r>
        <w:tab/>
        <w:t>(a)</w:t>
      </w:r>
      <w:r>
        <w:tab/>
        <w:t xml:space="preserve">the material to which the charge relates was classified (whether before or after the commission of the alleged offence) under the </w:t>
      </w:r>
      <w:r>
        <w:rPr>
          <w:i/>
          <w:iCs/>
        </w:rPr>
        <w:t>Classification (Publications, Films and Computer Games) Act 1995</w:t>
      </w:r>
      <w:r>
        <w:t xml:space="preserve"> (Commonwealth), other than as refused classification (RC); or</w:t>
      </w:r>
    </w:p>
    <w:p>
      <w:pPr>
        <w:pStyle w:val="Indenta"/>
      </w:pPr>
      <w:r>
        <w:tab/>
        <w:t>(b)</w:t>
      </w:r>
      <w:r>
        <w:tab/>
        <w:t xml:space="preserve">the accused person did not know, and could not reasonably be expected to have known, that the material to which the charge relates describes, depicts or </w:t>
      </w:r>
      <w:r>
        <w:lastRenderedPageBreak/>
        <w:t>represents a person or part of a person in a way likely to offend a reasonable person; or</w:t>
      </w:r>
    </w:p>
    <w:p>
      <w:pPr>
        <w:pStyle w:val="Indenta"/>
      </w:pPr>
      <w:r>
        <w:tab/>
        <w:t>(c)</w:t>
      </w:r>
      <w:r>
        <w:tab/>
        <w:t xml:space="preserve">the material to which the charge relates was — </w:t>
      </w:r>
    </w:p>
    <w:p>
      <w:pPr>
        <w:pStyle w:val="Indenti"/>
      </w:pPr>
      <w:r>
        <w:tab/>
        <w:t>(i)</w:t>
      </w:r>
      <w:r>
        <w:tab/>
        <w:t>of recognised literary, artistic or scientific merit; or</w:t>
      </w:r>
    </w:p>
    <w:p>
      <w:pPr>
        <w:pStyle w:val="Indenti"/>
      </w:pPr>
      <w:r>
        <w:tab/>
        <w:t>(ii)</w:t>
      </w:r>
      <w:r>
        <w:tab/>
        <w:t>of a genuine medical character,</w:t>
      </w:r>
    </w:p>
    <w:p>
      <w:pPr>
        <w:pStyle w:val="Indenta"/>
      </w:pPr>
      <w:r>
        <w:tab/>
      </w:r>
      <w:r>
        <w:tab/>
        <w:t>and that the act to which the charge relates is justified as being for the public good; or</w:t>
      </w:r>
    </w:p>
    <w:p>
      <w:pPr>
        <w:pStyle w:val="Indenta"/>
      </w:pPr>
      <w:r>
        <w:tab/>
        <w:t>(d)</w:t>
      </w:r>
      <w:r>
        <w:tab/>
        <w:t>the accused person was acting for a genuine child protection or legal purpose, and that the person’s conduct was reasonable for that purpose.</w:t>
      </w:r>
    </w:p>
    <w:p>
      <w:pPr>
        <w:pStyle w:val="Subsection"/>
      </w:pPr>
      <w:r>
        <w:tab/>
        <w:t>(2)</w:t>
      </w:r>
      <w:r>
        <w:tab/>
        <w:t xml:space="preserve">It is a defence to a charge of an offence under section 220 to prove that — </w:t>
      </w:r>
    </w:p>
    <w:p>
      <w:pPr>
        <w:pStyle w:val="Indenta"/>
      </w:pPr>
      <w:r>
        <w:tab/>
        <w:t>(a)</w:t>
      </w:r>
      <w:r>
        <w:tab/>
        <w:t>the material to which the charge relates came into the accused person’s possession unsolicited; and</w:t>
      </w:r>
    </w:p>
    <w:p>
      <w:pPr>
        <w:pStyle w:val="Indenta"/>
      </w:pPr>
      <w:r>
        <w:tab/>
        <w:t>(b)</w:t>
      </w:r>
      <w:r>
        <w:tab/>
        <w:t>as soon as the accused person became aware of the nature of the material the accused person took reasonable steps to get rid of it.</w:t>
      </w:r>
    </w:p>
    <w:p>
      <w:pPr>
        <w:pStyle w:val="Subsection"/>
      </w:pPr>
      <w:r>
        <w:tab/>
        <w:t>(3)</w:t>
      </w:r>
      <w:r>
        <w:tab/>
        <w:t xml:space="preserve">Nothing in section 219 or 220 makes it an offence — </w:t>
      </w:r>
    </w:p>
    <w:p>
      <w:pPr>
        <w:pStyle w:val="Indenta"/>
      </w:pPr>
      <w:r>
        <w:tab/>
        <w:t>(a)</w:t>
      </w:r>
      <w:r>
        <w:tab/>
        <w:t>for a member or officer of a law enforcement agency to possess or distribute child exploitation material when acting in the course of his or her official duties; or</w:t>
      </w:r>
    </w:p>
    <w:p>
      <w:pPr>
        <w:pStyle w:val="Indenta"/>
      </w:pPr>
      <w:r>
        <w:tab/>
        <w:t>(b)</w:t>
      </w:r>
      <w:r>
        <w:tab/>
        <w:t xml:space="preserve">for a person to possess or distribute child exploitation material in the exercise of a function relating to the classification of such material conferred or imposed on the person under the </w:t>
      </w:r>
      <w:r>
        <w:rPr>
          <w:i/>
          <w:iCs/>
        </w:rPr>
        <w:t>Classification (Publications, Films and Computer Games) Act 1995</w:t>
      </w:r>
      <w:r>
        <w:t xml:space="preserve"> (Commonwealth).</w:t>
      </w:r>
    </w:p>
    <w:p>
      <w:pPr>
        <w:pStyle w:val="Subsection"/>
      </w:pPr>
      <w:r>
        <w:tab/>
        <w:t>(4)</w:t>
      </w:r>
      <w:r>
        <w:tab/>
        <w:t xml:space="preserve">In subsection (3)(a) — </w:t>
      </w:r>
    </w:p>
    <w:p>
      <w:pPr>
        <w:pStyle w:val="Defstart"/>
      </w:pPr>
      <w:r>
        <w:tab/>
      </w:r>
      <w:r>
        <w:rPr>
          <w:rStyle w:val="CharDefText"/>
        </w:rPr>
        <w:t>law enforcement agency</w:t>
      </w:r>
      <w:r>
        <w:t xml:space="preserve"> </w:t>
      </w:r>
      <w:r>
        <w:rPr>
          <w:bCs/>
        </w:rPr>
        <w:t xml:space="preserve">means — </w:t>
      </w:r>
    </w:p>
    <w:p>
      <w:pPr>
        <w:pStyle w:val="Defpara"/>
      </w:pPr>
      <w:r>
        <w:tab/>
        <w:t>(a)</w:t>
      </w:r>
      <w:r>
        <w:tab/>
        <w:t>the Police Force of the State; or</w:t>
      </w:r>
    </w:p>
    <w:p>
      <w:pPr>
        <w:pStyle w:val="Defpara"/>
      </w:pPr>
      <w:r>
        <w:tab/>
        <w:t>(b)</w:t>
      </w:r>
      <w:r>
        <w:tab/>
        <w:t>the Police Service of the State; or</w:t>
      </w:r>
    </w:p>
    <w:p>
      <w:pPr>
        <w:pStyle w:val="Defpara"/>
      </w:pPr>
      <w:r>
        <w:lastRenderedPageBreak/>
        <w:tab/>
        <w:t>(c)</w:t>
      </w:r>
      <w:r>
        <w:tab/>
        <w:t>the Office of the Director of Public Prosecutions of the State; or</w:t>
      </w:r>
    </w:p>
    <w:p>
      <w:pPr>
        <w:pStyle w:val="Defpara"/>
      </w:pPr>
      <w:r>
        <w:tab/>
        <w:t>(d)</w:t>
      </w:r>
      <w:r>
        <w:tab/>
        <w:t>the Corruption and Crime Commission; or</w:t>
      </w:r>
    </w:p>
    <w:p>
      <w:pPr>
        <w:pStyle w:val="Defpara"/>
      </w:pPr>
      <w:r>
        <w:tab/>
        <w:t>(e)</w:t>
      </w:r>
      <w:r>
        <w:tab/>
        <w:t>any entity of another State or a Territory, the Commonwealth or another country that has functions similar to functions of an entity referred to in paragraph (a), (b), (c) or (d).</w:t>
      </w:r>
    </w:p>
    <w:p>
      <w:pPr>
        <w:pStyle w:val="Footnotesection"/>
        <w:keepLines w:val="0"/>
      </w:pPr>
      <w:r>
        <w:tab/>
        <w:t>[Section 221A inserted: No. 21 of 2010 s. 4.]</w:t>
      </w:r>
    </w:p>
    <w:p>
      <w:pPr>
        <w:pStyle w:val="Heading5"/>
      </w:pPr>
      <w:bookmarkStart w:id="287" w:name="_Toc88662230"/>
      <w:r>
        <w:rPr>
          <w:rStyle w:val="CharSectno"/>
        </w:rPr>
        <w:t>221B</w:t>
      </w:r>
      <w:r>
        <w:t>.</w:t>
      </w:r>
      <w:r>
        <w:tab/>
        <w:t>Unlawful material, forfeiture of</w:t>
      </w:r>
      <w:bookmarkEnd w:id="287"/>
    </w:p>
    <w:p>
      <w:pPr>
        <w:pStyle w:val="Subsection"/>
      </w:pPr>
      <w:r>
        <w:tab/>
        <w:t>(1)</w:t>
      </w:r>
      <w:r>
        <w:tab/>
        <w:t>If a person is charged with an offence against section 217, 218, 219 or 220, the court may order the material to which the charge relates be forfeited to the State.</w:t>
      </w:r>
    </w:p>
    <w:p>
      <w:pPr>
        <w:pStyle w:val="Subsection"/>
      </w:pPr>
      <w:r>
        <w:tab/>
        <w:t>(2)</w:t>
      </w:r>
      <w:r>
        <w:tab/>
        <w:t>The court may make an order under subsection (1) whether or not the person is convicted of the offence.</w:t>
      </w:r>
    </w:p>
    <w:p>
      <w:pPr>
        <w:pStyle w:val="Subsection"/>
      </w:pPr>
      <w:r>
        <w:tab/>
        <w:t>(3)</w:t>
      </w:r>
      <w:r>
        <w:tab/>
        <w:t xml:space="preserve">This section does not limit the court’s powers under section 731 or under the </w:t>
      </w:r>
      <w:r>
        <w:rPr>
          <w:i/>
          <w:iCs/>
        </w:rPr>
        <w:t>Criminal Property Confiscation Act 2000</w:t>
      </w:r>
      <w:r>
        <w:t>.</w:t>
      </w:r>
    </w:p>
    <w:p>
      <w:pPr>
        <w:pStyle w:val="Footnotesection"/>
        <w:keepLines w:val="0"/>
      </w:pPr>
      <w:r>
        <w:tab/>
        <w:t>[Section 221B inserted: No. 21 of 2010 s. 4.]</w:t>
      </w:r>
    </w:p>
    <w:p>
      <w:pPr>
        <w:pStyle w:val="Heading3"/>
      </w:pPr>
      <w:bookmarkStart w:id="288" w:name="_Toc88569788"/>
      <w:bookmarkStart w:id="289" w:name="_Toc88570310"/>
      <w:bookmarkStart w:id="290" w:name="_Toc88570832"/>
      <w:bookmarkStart w:id="291" w:name="_Toc88662231"/>
      <w:r>
        <w:rPr>
          <w:rStyle w:val="CharDivNo"/>
        </w:rPr>
        <w:t>Chapter XXVA</w:t>
      </w:r>
      <w:r>
        <w:t> — </w:t>
      </w:r>
      <w:r>
        <w:rPr>
          <w:rStyle w:val="CharDivText"/>
        </w:rPr>
        <w:t>Intimate images</w:t>
      </w:r>
      <w:bookmarkEnd w:id="288"/>
      <w:bookmarkEnd w:id="289"/>
      <w:bookmarkEnd w:id="290"/>
      <w:bookmarkEnd w:id="291"/>
    </w:p>
    <w:p>
      <w:pPr>
        <w:pStyle w:val="Footnoteheading"/>
      </w:pPr>
      <w:r>
        <w:tab/>
        <w:t>[Heading inserted: No. 4 of 2019 s. 4.]</w:t>
      </w:r>
    </w:p>
    <w:p>
      <w:pPr>
        <w:pStyle w:val="Heading5"/>
      </w:pPr>
      <w:bookmarkStart w:id="292" w:name="_Toc88662232"/>
      <w:r>
        <w:rPr>
          <w:rStyle w:val="CharSectno"/>
        </w:rPr>
        <w:t>221BA</w:t>
      </w:r>
      <w:r>
        <w:t>.</w:t>
      </w:r>
      <w:r>
        <w:tab/>
        <w:t>Terms used</w:t>
      </w:r>
      <w:bookmarkEnd w:id="292"/>
    </w:p>
    <w:p>
      <w:pPr>
        <w:pStyle w:val="Subsection"/>
      </w:pPr>
      <w:r>
        <w:tab/>
      </w:r>
      <w:r>
        <w:tab/>
        <w:t xml:space="preserve">In this Chapter — </w:t>
      </w:r>
    </w:p>
    <w:p>
      <w:pPr>
        <w:pStyle w:val="Defstart"/>
      </w:pPr>
      <w:r>
        <w:tab/>
      </w:r>
      <w:r>
        <w:rPr>
          <w:rStyle w:val="CharDefText"/>
        </w:rPr>
        <w:t>consent</w:t>
      </w:r>
      <w:r>
        <w:t xml:space="preserve"> has the meaning given in section 221BB;</w:t>
      </w:r>
    </w:p>
    <w:p>
      <w:pPr>
        <w:pStyle w:val="Defstart"/>
      </w:pPr>
      <w:r>
        <w:tab/>
      </w:r>
      <w:r>
        <w:rPr>
          <w:rStyle w:val="CharDefText"/>
        </w:rPr>
        <w:t>distributes</w:t>
      </w:r>
      <w:r>
        <w:t xml:space="preserve"> an intimate image of a person includes the meaning given in section 221BC; </w:t>
      </w:r>
    </w:p>
    <w:p>
      <w:pPr>
        <w:pStyle w:val="Defstart"/>
      </w:pPr>
      <w:r>
        <w:tab/>
      </w:r>
      <w:r>
        <w:rPr>
          <w:rStyle w:val="CharDefText"/>
        </w:rPr>
        <w:t>engaged in a private act</w:t>
      </w:r>
      <w:r>
        <w:t xml:space="preserve"> means — </w:t>
      </w:r>
    </w:p>
    <w:p>
      <w:pPr>
        <w:pStyle w:val="Defpara"/>
      </w:pPr>
      <w:r>
        <w:tab/>
        <w:t>(a)</w:t>
      </w:r>
      <w:r>
        <w:tab/>
        <w:t>in a state of undress; or</w:t>
      </w:r>
    </w:p>
    <w:p>
      <w:pPr>
        <w:pStyle w:val="Defpara"/>
      </w:pPr>
      <w:r>
        <w:tab/>
        <w:t>(b)</w:t>
      </w:r>
      <w:r>
        <w:tab/>
        <w:t>using the toilet, showering or bathing; or</w:t>
      </w:r>
    </w:p>
    <w:p>
      <w:pPr>
        <w:pStyle w:val="Defpara"/>
      </w:pPr>
      <w:r>
        <w:tab/>
        <w:t>(c)</w:t>
      </w:r>
      <w:r>
        <w:tab/>
        <w:t>engaged in a sexual act;</w:t>
      </w:r>
    </w:p>
    <w:p>
      <w:pPr>
        <w:pStyle w:val="Defstart"/>
      </w:pPr>
      <w:r>
        <w:lastRenderedPageBreak/>
        <w:tab/>
      </w:r>
      <w:r>
        <w:rPr>
          <w:rStyle w:val="CharDefText"/>
        </w:rPr>
        <w:t>intimate image</w:t>
      </w:r>
      <w:r>
        <w:t xml:space="preserve">, of a person — </w:t>
      </w:r>
    </w:p>
    <w:p>
      <w:pPr>
        <w:pStyle w:val="Defpara"/>
      </w:pPr>
      <w:r>
        <w:tab/>
        <w:t>(a)</w:t>
      </w:r>
      <w:r>
        <w:tab/>
        <w:t xml:space="preserve">means a still or moving image, in any form, that shows, in circumstances in which the person would reasonably expect to be afforded privacy — </w:t>
      </w:r>
    </w:p>
    <w:p>
      <w:pPr>
        <w:pStyle w:val="Defsubpara"/>
      </w:pPr>
      <w:r>
        <w:tab/>
        <w:t>(i)</w:t>
      </w:r>
      <w:r>
        <w:tab/>
        <w:t>the person’s genital area or anal area, whether bare or covered by underwear; or</w:t>
      </w:r>
    </w:p>
    <w:p>
      <w:pPr>
        <w:pStyle w:val="Defsubpara"/>
      </w:pPr>
      <w:r>
        <w:tab/>
        <w:t>(ii)</w:t>
      </w:r>
      <w:r>
        <w:tab/>
        <w:t>in the case of a female person, or transgender or intersex person identifying as female, the breasts of the person, whether bare or covered by underwear; or</w:t>
      </w:r>
    </w:p>
    <w:p>
      <w:pPr>
        <w:pStyle w:val="Defsubpara"/>
      </w:pPr>
      <w:r>
        <w:tab/>
        <w:t>(iii)</w:t>
      </w:r>
      <w:r>
        <w:tab/>
        <w:t>the person engaged in a private act;</w:t>
      </w:r>
    </w:p>
    <w:p>
      <w:pPr>
        <w:pStyle w:val="Defpara"/>
      </w:pPr>
      <w:r>
        <w:tab/>
      </w:r>
      <w:r>
        <w:tab/>
        <w:t>and</w:t>
      </w:r>
    </w:p>
    <w:p>
      <w:pPr>
        <w:pStyle w:val="Defpara"/>
      </w:pPr>
      <w:r>
        <w:tab/>
        <w:t>(b)</w:t>
      </w:r>
      <w:r>
        <w:tab/>
        <w:t>includes an image, in any form, that has been created or altered to appear to show any of the things mentioned in paragraph (a);</w:t>
      </w:r>
    </w:p>
    <w:p>
      <w:pPr>
        <w:pStyle w:val="Defstart"/>
      </w:pPr>
      <w:r>
        <w:tab/>
      </w:r>
      <w:r>
        <w:rPr>
          <w:rStyle w:val="CharDefText"/>
        </w:rPr>
        <w:t>law enforcement agency</w:t>
      </w:r>
      <w:r>
        <w:t xml:space="preserve"> means — </w:t>
      </w:r>
    </w:p>
    <w:p>
      <w:pPr>
        <w:pStyle w:val="Defpara"/>
      </w:pPr>
      <w:r>
        <w:tab/>
        <w:t>(a)</w:t>
      </w:r>
      <w:r>
        <w:tab/>
        <w:t>the Police Force of the State; or</w:t>
      </w:r>
    </w:p>
    <w:p>
      <w:pPr>
        <w:pStyle w:val="Defpara"/>
      </w:pPr>
      <w:r>
        <w:tab/>
        <w:t>(b)</w:t>
      </w:r>
      <w:r>
        <w:tab/>
        <w:t>the Police Service of the State; or</w:t>
      </w:r>
    </w:p>
    <w:p>
      <w:pPr>
        <w:pStyle w:val="Defpara"/>
      </w:pPr>
      <w:r>
        <w:tab/>
        <w:t>(c)</w:t>
      </w:r>
      <w:r>
        <w:tab/>
        <w:t>the Office of the Director of Public Prosecutions of the State; or</w:t>
      </w:r>
    </w:p>
    <w:p>
      <w:pPr>
        <w:pStyle w:val="Defpara"/>
      </w:pPr>
      <w:r>
        <w:tab/>
        <w:t>(d)</w:t>
      </w:r>
      <w:r>
        <w:tab/>
        <w:t>the Corruption and Crime Commission; or</w:t>
      </w:r>
    </w:p>
    <w:p>
      <w:pPr>
        <w:pStyle w:val="Defpara"/>
      </w:pPr>
      <w:r>
        <w:tab/>
        <w:t>(e)</w:t>
      </w:r>
      <w:r>
        <w:tab/>
        <w:t>any entity of another State or a Territory, the Commonwealth or another country that has functions similar to functions of an entity referred to in paragraph (a), (b), (c) or (d).</w:t>
      </w:r>
    </w:p>
    <w:p>
      <w:pPr>
        <w:pStyle w:val="Footnotesection"/>
        <w:keepLines w:val="0"/>
      </w:pPr>
      <w:r>
        <w:tab/>
        <w:t>[Section 221BA inserted: No. 4 of 2019 s. 4.]</w:t>
      </w:r>
    </w:p>
    <w:p>
      <w:pPr>
        <w:pStyle w:val="Heading5"/>
      </w:pPr>
      <w:bookmarkStart w:id="293" w:name="_Toc88662233"/>
      <w:r>
        <w:rPr>
          <w:rStyle w:val="CharSectno"/>
        </w:rPr>
        <w:t>221BB</w:t>
      </w:r>
      <w:r>
        <w:t>.</w:t>
      </w:r>
      <w:r>
        <w:tab/>
        <w:t>Term used: consent</w:t>
      </w:r>
      <w:bookmarkEnd w:id="293"/>
    </w:p>
    <w:p>
      <w:pPr>
        <w:pStyle w:val="Subsection"/>
      </w:pPr>
      <w:r>
        <w:tab/>
        <w:t>(1)</w:t>
      </w:r>
      <w:r>
        <w:tab/>
        <w:t xml:space="preserve">In this Chapter a reference to </w:t>
      </w:r>
      <w:r>
        <w:rPr>
          <w:rStyle w:val="CharDefText"/>
        </w:rPr>
        <w:t>consent</w:t>
      </w:r>
      <w:r>
        <w:t xml:space="preserve"> is a reference to consent freely and voluntarily given.</w:t>
      </w:r>
    </w:p>
    <w:p>
      <w:pPr>
        <w:pStyle w:val="Subsection"/>
      </w:pPr>
      <w:r>
        <w:lastRenderedPageBreak/>
        <w:tab/>
        <w:t>(2)</w:t>
      </w:r>
      <w:r>
        <w:tab/>
        <w:t>Without limiting the generality of subsection (1), consent is not freely and voluntarily given if it is obtained by force, threat, intimidation, deceit or any fraudulent means.</w:t>
      </w:r>
    </w:p>
    <w:p>
      <w:pPr>
        <w:pStyle w:val="Subsection"/>
      </w:pPr>
      <w:r>
        <w:tab/>
        <w:t>(3)</w:t>
      </w:r>
      <w:r>
        <w:tab/>
        <w:t>A person who consents to the distribution of an intimate image of themselves on a particular occasion is not, only because of that fact, to be regarded as having consented to the distribution of the image or any other image on another occasion.</w:t>
      </w:r>
    </w:p>
    <w:p>
      <w:pPr>
        <w:pStyle w:val="Subsection"/>
      </w:pPr>
      <w:r>
        <w:tab/>
        <w:t>(4)</w:t>
      </w:r>
      <w:r>
        <w:tab/>
        <w:t xml:space="preserve">A person who consents to the distribution of an intimate image of themselves to or by a particular person or in a particular way is not, only because of that fact, to be regarded as having consented to the distribution of the image or any other image to or by another person or in another way. </w:t>
      </w:r>
    </w:p>
    <w:p>
      <w:pPr>
        <w:pStyle w:val="Subsection"/>
      </w:pPr>
      <w:r>
        <w:tab/>
        <w:t>(5)</w:t>
      </w:r>
      <w:r>
        <w:tab/>
        <w:t>A person who distributes an intimate image of themselves is not, only because of that fact, to be regarded as having consented to any other distribution of the image or any other image.</w:t>
      </w:r>
    </w:p>
    <w:p>
      <w:pPr>
        <w:pStyle w:val="Subsection"/>
      </w:pPr>
      <w:r>
        <w:tab/>
        <w:t>(6)</w:t>
      </w:r>
      <w:r>
        <w:tab/>
        <w:t>A person under 16 years of age is incapable of consenting to the distribution of an intimate image.</w:t>
      </w:r>
    </w:p>
    <w:p>
      <w:pPr>
        <w:pStyle w:val="Subsection"/>
      </w:pPr>
      <w:r>
        <w:tab/>
        <w:t>(7)</w:t>
      </w:r>
      <w:r>
        <w:tab/>
        <w:t>This section does not limit the grounds on which it may be established that a person does not consent to the distribution of an intimate image.</w:t>
      </w:r>
    </w:p>
    <w:p>
      <w:pPr>
        <w:pStyle w:val="Footnotesection"/>
        <w:keepLines w:val="0"/>
      </w:pPr>
      <w:r>
        <w:tab/>
        <w:t>[Section 221BB inserted: No. 4 of 2019 s. 4.]</w:t>
      </w:r>
    </w:p>
    <w:p>
      <w:pPr>
        <w:pStyle w:val="Heading5"/>
      </w:pPr>
      <w:bookmarkStart w:id="294" w:name="_Toc88662234"/>
      <w:r>
        <w:rPr>
          <w:rStyle w:val="CharSectno"/>
        </w:rPr>
        <w:t>221BC</w:t>
      </w:r>
      <w:r>
        <w:t>.</w:t>
      </w:r>
      <w:r>
        <w:tab/>
        <w:t>Term used: distributes</w:t>
      </w:r>
      <w:bookmarkEnd w:id="294"/>
    </w:p>
    <w:p>
      <w:pPr>
        <w:pStyle w:val="Subsection"/>
      </w:pPr>
      <w:r>
        <w:tab/>
      </w:r>
      <w:r>
        <w:tab/>
        <w:t xml:space="preserve">In this Chapter a person </w:t>
      </w:r>
      <w:r>
        <w:rPr>
          <w:rStyle w:val="CharDefText"/>
        </w:rPr>
        <w:t>distributes</w:t>
      </w:r>
      <w:r>
        <w:t xml:space="preserve"> an intimate image of a person by — </w:t>
      </w:r>
    </w:p>
    <w:p>
      <w:pPr>
        <w:pStyle w:val="Indenta"/>
      </w:pPr>
      <w:r>
        <w:tab/>
        <w:t>(a)</w:t>
      </w:r>
      <w:r>
        <w:tab/>
        <w:t>communicating, exhibiting, selling, sending, supplying, offering or transmitting the image to a person other than themselves or the person depicted in the image; or</w:t>
      </w:r>
    </w:p>
    <w:p>
      <w:pPr>
        <w:pStyle w:val="Indenta"/>
      </w:pPr>
      <w:r>
        <w:tab/>
        <w:t>(b)</w:t>
      </w:r>
      <w:r>
        <w:tab/>
        <w:t>making the image available for access by electronic or other means by a person other than themselves or the person depicted in the image; or</w:t>
      </w:r>
    </w:p>
    <w:p>
      <w:pPr>
        <w:pStyle w:val="Indenta"/>
        <w:keepNext/>
      </w:pPr>
      <w:r>
        <w:lastRenderedPageBreak/>
        <w:tab/>
        <w:t>(c)</w:t>
      </w:r>
      <w:r>
        <w:tab/>
        <w:t>entering into an agreement or arrangement to do anything referred to in paragraph (a) or (b).</w:t>
      </w:r>
    </w:p>
    <w:p>
      <w:pPr>
        <w:pStyle w:val="Footnotesection"/>
        <w:keepLines w:val="0"/>
      </w:pPr>
      <w:r>
        <w:tab/>
        <w:t>[Section 221BC inserted: No. 4 of 2019 s. 4.]</w:t>
      </w:r>
    </w:p>
    <w:p>
      <w:pPr>
        <w:pStyle w:val="Heading5"/>
      </w:pPr>
      <w:bookmarkStart w:id="295" w:name="_Toc88662235"/>
      <w:r>
        <w:rPr>
          <w:rStyle w:val="CharSectno"/>
        </w:rPr>
        <w:t>221BD</w:t>
      </w:r>
      <w:r>
        <w:t>.</w:t>
      </w:r>
      <w:r>
        <w:tab/>
        <w:t>Distribution of intimate image</w:t>
      </w:r>
      <w:bookmarkEnd w:id="295"/>
    </w:p>
    <w:p>
      <w:pPr>
        <w:pStyle w:val="Subsection"/>
      </w:pPr>
      <w:r>
        <w:tab/>
        <w:t>(1)</w:t>
      </w:r>
      <w:r>
        <w:tab/>
        <w:t xml:space="preserve">In this section — </w:t>
      </w:r>
    </w:p>
    <w:p>
      <w:pPr>
        <w:pStyle w:val="Defstart"/>
      </w:pPr>
      <w:r>
        <w:tab/>
      </w:r>
      <w:r>
        <w:rPr>
          <w:rStyle w:val="CharDefText"/>
        </w:rPr>
        <w:t>media activity purposes</w:t>
      </w:r>
      <w:r>
        <w:t xml:space="preserve"> means the purposes of collecting, preparing for the distribution of, or distributing — </w:t>
      </w:r>
    </w:p>
    <w:p>
      <w:pPr>
        <w:pStyle w:val="Defpara"/>
      </w:pPr>
      <w:r>
        <w:tab/>
        <w:t>(a)</w:t>
      </w:r>
      <w:r>
        <w:tab/>
        <w:t>material having the character of news, current affairs or a documentary; or</w:t>
      </w:r>
    </w:p>
    <w:p>
      <w:pPr>
        <w:pStyle w:val="Defpara"/>
      </w:pPr>
      <w:r>
        <w:tab/>
        <w:t>(b)</w:t>
      </w:r>
      <w:r>
        <w:tab/>
        <w:t>material consisting of commentary or opinion on, or analysis of, news, current affairs, or a documentary.</w:t>
      </w:r>
    </w:p>
    <w:p>
      <w:pPr>
        <w:pStyle w:val="Subsection"/>
      </w:pPr>
      <w:r>
        <w:tab/>
        <w:t>(2)</w:t>
      </w:r>
      <w:r>
        <w:tab/>
        <w:t xml:space="preserve">A person commits a crime if — </w:t>
      </w:r>
    </w:p>
    <w:p>
      <w:pPr>
        <w:pStyle w:val="Indenta"/>
      </w:pPr>
      <w:r>
        <w:tab/>
        <w:t>(a)</w:t>
      </w:r>
      <w:r>
        <w:tab/>
        <w:t xml:space="preserve">the person distributes an intimate image of another person (the </w:t>
      </w:r>
      <w:r>
        <w:rPr>
          <w:rStyle w:val="CharDefText"/>
        </w:rPr>
        <w:t>depicted person</w:t>
      </w:r>
      <w:r>
        <w:t>); and</w:t>
      </w:r>
    </w:p>
    <w:p>
      <w:pPr>
        <w:pStyle w:val="Indenta"/>
      </w:pPr>
      <w:r>
        <w:tab/>
        <w:t>(b)</w:t>
      </w:r>
      <w:r>
        <w:tab/>
        <w:t>the depicted person does not consent to the distribution.</w:t>
      </w:r>
    </w:p>
    <w:p>
      <w:pPr>
        <w:pStyle w:val="Penstart"/>
      </w:pPr>
      <w:r>
        <w:tab/>
        <w:t>Penalty for this subsection: imprisonment for 3 years.</w:t>
      </w:r>
    </w:p>
    <w:p>
      <w:pPr>
        <w:pStyle w:val="Penstart"/>
      </w:pPr>
      <w:r>
        <w:tab/>
        <w:t>Summary conviction penalty for this subsection: imprisonment for 18 months and a fine of $18 000.</w:t>
      </w:r>
    </w:p>
    <w:p>
      <w:pPr>
        <w:pStyle w:val="Subsection"/>
      </w:pPr>
      <w:r>
        <w:tab/>
        <w:t>(3)</w:t>
      </w:r>
      <w:r>
        <w:tab/>
        <w:t xml:space="preserve">It is a defence to a charge under subsection (2) to prove that — </w:t>
      </w:r>
    </w:p>
    <w:p>
      <w:pPr>
        <w:pStyle w:val="Indenta"/>
      </w:pPr>
      <w:r>
        <w:tab/>
        <w:t>(a)</w:t>
      </w:r>
      <w:r>
        <w:tab/>
        <w:t>the distribution of the image was for a genuine scientific, educational or medical purpose; or</w:t>
      </w:r>
    </w:p>
    <w:p>
      <w:pPr>
        <w:pStyle w:val="Indenta"/>
      </w:pPr>
      <w:r>
        <w:tab/>
        <w:t>(b)</w:t>
      </w:r>
      <w:r>
        <w:tab/>
        <w:t>the distribution of the image was reasonably necessary for the purpose of legal proceedings; or</w:t>
      </w:r>
    </w:p>
    <w:p>
      <w:pPr>
        <w:pStyle w:val="Indenta"/>
      </w:pPr>
      <w:r>
        <w:tab/>
        <w:t>(c)</w:t>
      </w:r>
      <w:r>
        <w:tab/>
        <w:t xml:space="preserve">the person who distributed the image — </w:t>
      </w:r>
    </w:p>
    <w:p>
      <w:pPr>
        <w:pStyle w:val="Indenti"/>
      </w:pPr>
      <w:r>
        <w:tab/>
        <w:t>(i)</w:t>
      </w:r>
      <w:r>
        <w:tab/>
        <w:t>distributed the image for media activity purposes; and</w:t>
      </w:r>
    </w:p>
    <w:p>
      <w:pPr>
        <w:pStyle w:val="Indenti"/>
      </w:pPr>
      <w:r>
        <w:tab/>
        <w:t>(ii)</w:t>
      </w:r>
      <w:r>
        <w:tab/>
        <w:t>did not intend the distribution to cause harm to the depicted person; and</w:t>
      </w:r>
    </w:p>
    <w:p>
      <w:pPr>
        <w:pStyle w:val="Indenti"/>
        <w:keepNext/>
      </w:pPr>
      <w:r>
        <w:lastRenderedPageBreak/>
        <w:tab/>
        <w:t>(iii)</w:t>
      </w:r>
      <w:r>
        <w:tab/>
        <w:t>reasonably believed the distribution to be in the public interest;</w:t>
      </w:r>
    </w:p>
    <w:p>
      <w:pPr>
        <w:pStyle w:val="Indenta"/>
      </w:pPr>
      <w:r>
        <w:tab/>
      </w:r>
      <w:r>
        <w:tab/>
        <w:t>or</w:t>
      </w:r>
    </w:p>
    <w:p>
      <w:pPr>
        <w:pStyle w:val="Indenta"/>
      </w:pPr>
      <w:r>
        <w:tab/>
        <w:t>(d)</w:t>
      </w:r>
      <w:r>
        <w:tab/>
        <w:t xml:space="preserve">a reasonable person would consider the distribution of the image to be acceptable, having regard to each of the following (to the extent relevant) — </w:t>
      </w:r>
    </w:p>
    <w:p>
      <w:pPr>
        <w:pStyle w:val="Indenti"/>
      </w:pPr>
      <w:r>
        <w:tab/>
        <w:t>(i)</w:t>
      </w:r>
      <w:r>
        <w:tab/>
        <w:t>the nature and content of the image;</w:t>
      </w:r>
    </w:p>
    <w:p>
      <w:pPr>
        <w:pStyle w:val="Indenti"/>
      </w:pPr>
      <w:r>
        <w:tab/>
        <w:t>(ii)</w:t>
      </w:r>
      <w:r>
        <w:tab/>
        <w:t>the circumstances in which the image was distributed;</w:t>
      </w:r>
    </w:p>
    <w:p>
      <w:pPr>
        <w:pStyle w:val="Indenti"/>
      </w:pPr>
      <w:r>
        <w:tab/>
        <w:t>(iii)</w:t>
      </w:r>
      <w:r>
        <w:tab/>
        <w:t xml:space="preserve">the age, mental capacity, vulnerability or other relevant circumstances of the depicted person; </w:t>
      </w:r>
    </w:p>
    <w:p>
      <w:pPr>
        <w:pStyle w:val="Indenti"/>
      </w:pPr>
      <w:r>
        <w:tab/>
        <w:t>(iv)</w:t>
      </w:r>
      <w:r>
        <w:tab/>
        <w:t>the degree to which the accused’s actions affect the privacy of the depicted person;</w:t>
      </w:r>
    </w:p>
    <w:p>
      <w:pPr>
        <w:pStyle w:val="Indenti"/>
      </w:pPr>
      <w:r>
        <w:tab/>
        <w:t>(v)</w:t>
      </w:r>
      <w:r>
        <w:tab/>
        <w:t>the relationship between the accused and the depicted person;</w:t>
      </w:r>
    </w:p>
    <w:p>
      <w:pPr>
        <w:pStyle w:val="Indenti"/>
      </w:pPr>
      <w:r>
        <w:tab/>
        <w:t>(vi)</w:t>
      </w:r>
      <w:r>
        <w:tab/>
        <w:t>any other relevant matters.</w:t>
      </w:r>
    </w:p>
    <w:p>
      <w:pPr>
        <w:pStyle w:val="Subsection"/>
      </w:pPr>
      <w:r>
        <w:tab/>
        <w:t>(4)</w:t>
      </w:r>
      <w:r>
        <w:tab/>
        <w:t xml:space="preserve">Nothing in subsection (2) makes it an offence — </w:t>
      </w:r>
    </w:p>
    <w:p>
      <w:pPr>
        <w:pStyle w:val="Indenta"/>
      </w:pPr>
      <w:r>
        <w:tab/>
        <w:t>(a)</w:t>
      </w:r>
      <w:r>
        <w:tab/>
        <w:t>for a member or officer of a law enforcement agency or their agents to distribute an intimate image when acting in the course of their official duties; or</w:t>
      </w:r>
    </w:p>
    <w:p>
      <w:pPr>
        <w:pStyle w:val="Indenta"/>
      </w:pPr>
      <w:r>
        <w:tab/>
        <w:t>(b)</w:t>
      </w:r>
      <w:r>
        <w:tab/>
        <w:t xml:space="preserve">for a person to distribute an intimate image in accordance with, or in the performance of the person’s functions under, a written law or a law of the Commonwealth or another State or Territory; or </w:t>
      </w:r>
    </w:p>
    <w:p>
      <w:pPr>
        <w:pStyle w:val="Indenta"/>
      </w:pPr>
      <w:r>
        <w:tab/>
        <w:t>(c)</w:t>
      </w:r>
      <w:r>
        <w:tab/>
        <w:t>for a person to distribute an intimate image for the purposes of the administration of justice.</w:t>
      </w:r>
    </w:p>
    <w:p>
      <w:pPr>
        <w:pStyle w:val="Footnotesection"/>
        <w:keepLines w:val="0"/>
      </w:pPr>
      <w:r>
        <w:tab/>
        <w:t>[Section 221BD inserted: No. 4 of 2019 s. 4.]</w:t>
      </w:r>
    </w:p>
    <w:p>
      <w:pPr>
        <w:pStyle w:val="Heading5"/>
      </w:pPr>
      <w:bookmarkStart w:id="296" w:name="_Toc88662236"/>
      <w:r>
        <w:rPr>
          <w:rStyle w:val="CharSectno"/>
        </w:rPr>
        <w:t>221BE</w:t>
      </w:r>
      <w:r>
        <w:t>.</w:t>
      </w:r>
      <w:r>
        <w:tab/>
        <w:t>Court may order rectification</w:t>
      </w:r>
      <w:bookmarkEnd w:id="296"/>
    </w:p>
    <w:p>
      <w:pPr>
        <w:pStyle w:val="Subsection"/>
      </w:pPr>
      <w:r>
        <w:tab/>
        <w:t>(1)</w:t>
      </w:r>
      <w:r>
        <w:tab/>
        <w:t xml:space="preserve">In this section — </w:t>
      </w:r>
    </w:p>
    <w:p>
      <w:pPr>
        <w:pStyle w:val="Defstart"/>
      </w:pPr>
      <w:r>
        <w:tab/>
      </w:r>
      <w:r>
        <w:rPr>
          <w:rStyle w:val="CharDefText"/>
        </w:rPr>
        <w:t>intimate image offence</w:t>
      </w:r>
      <w:r>
        <w:t xml:space="preserve"> means — </w:t>
      </w:r>
    </w:p>
    <w:p>
      <w:pPr>
        <w:pStyle w:val="Defpara"/>
      </w:pPr>
      <w:r>
        <w:tab/>
        <w:t>(a)</w:t>
      </w:r>
      <w:r>
        <w:tab/>
        <w:t>an offence under section 221BD; or</w:t>
      </w:r>
    </w:p>
    <w:p>
      <w:pPr>
        <w:pStyle w:val="Defpara"/>
      </w:pPr>
      <w:r>
        <w:lastRenderedPageBreak/>
        <w:tab/>
        <w:t>(b)</w:t>
      </w:r>
      <w:r>
        <w:tab/>
        <w:t>an offence under section 338A or 338B, if the offence involves a threat to distribute an intimate image of a person; or</w:t>
      </w:r>
    </w:p>
    <w:p>
      <w:pPr>
        <w:pStyle w:val="Defpara"/>
      </w:pPr>
      <w:r>
        <w:tab/>
        <w:t>(c)</w:t>
      </w:r>
      <w:r>
        <w:tab/>
        <w:t xml:space="preserve">an offence under section 338C, if any of the following relate to the distribution of an intimate image of a person — </w:t>
      </w:r>
    </w:p>
    <w:p>
      <w:pPr>
        <w:pStyle w:val="Indenti"/>
      </w:pPr>
      <w:r>
        <w:tab/>
        <w:t>(i)</w:t>
      </w:r>
      <w:r>
        <w:tab/>
        <w:t>the threat referred to in section 338C(1)(a);</w:t>
      </w:r>
    </w:p>
    <w:p>
      <w:pPr>
        <w:pStyle w:val="Indenti"/>
      </w:pPr>
      <w:r>
        <w:tab/>
        <w:t>(ii)</w:t>
      </w:r>
      <w:r>
        <w:tab/>
        <w:t xml:space="preserve">the intention, proposal, plan or conspiracy referred to in section 338C(1)(b); or </w:t>
      </w:r>
    </w:p>
    <w:p>
      <w:pPr>
        <w:pStyle w:val="Indenti"/>
      </w:pPr>
      <w:r>
        <w:tab/>
        <w:t>(iii)</w:t>
      </w:r>
      <w:r>
        <w:tab/>
        <w:t>the belief, suspicion or fear referred to in section 338C(2)(a).</w:t>
      </w:r>
    </w:p>
    <w:p>
      <w:pPr>
        <w:pStyle w:val="Subsection"/>
      </w:pPr>
      <w:r>
        <w:tab/>
        <w:t>(2)</w:t>
      </w:r>
      <w:r>
        <w:tab/>
        <w:t>If a person is charged with an intimate image offence, the court may order the person to take reasonable actions to remove, retract, recover, delete, destroy or forfeit to the State any intimate image to which the offence relates within a period specified by the court.</w:t>
      </w:r>
    </w:p>
    <w:p>
      <w:pPr>
        <w:pStyle w:val="Subsection"/>
      </w:pPr>
      <w:r>
        <w:tab/>
        <w:t>(3)</w:t>
      </w:r>
      <w:r>
        <w:tab/>
        <w:t>The court may make an order under subsection (2) whether or not the person is convicted of the offence.</w:t>
      </w:r>
    </w:p>
    <w:p>
      <w:pPr>
        <w:pStyle w:val="Subsection"/>
      </w:pPr>
      <w:r>
        <w:tab/>
        <w:t>(4)</w:t>
      </w:r>
      <w:r>
        <w:tab/>
        <w:t>In considering whether or not to make an order under subsection (2), and the content of that order, the court must have regard to any other similar obligations the person is under in relation to the image.</w:t>
      </w:r>
    </w:p>
    <w:p>
      <w:pPr>
        <w:pStyle w:val="Subsection"/>
      </w:pPr>
      <w:r>
        <w:tab/>
        <w:t>(5)</w:t>
      </w:r>
      <w:r>
        <w:tab/>
        <w:t xml:space="preserve">This section does not limit the court’s powers under section 731 or under the </w:t>
      </w:r>
      <w:r>
        <w:rPr>
          <w:i/>
        </w:rPr>
        <w:t>Criminal Property Confiscation Act 2000</w:t>
      </w:r>
      <w:r>
        <w:t>.</w:t>
      </w:r>
    </w:p>
    <w:p>
      <w:pPr>
        <w:pStyle w:val="Subsection"/>
      </w:pPr>
      <w:r>
        <w:tab/>
        <w:t>(6)</w:t>
      </w:r>
      <w:r>
        <w:tab/>
        <w:t xml:space="preserve">A person who, without reasonable excuse, fails to comply with an order made under subsection (2) commits an offence. </w:t>
      </w:r>
    </w:p>
    <w:p>
      <w:pPr>
        <w:pStyle w:val="Penstart"/>
      </w:pPr>
      <w:r>
        <w:tab/>
        <w:t>Penalty for this subsection: imprisonment for 12 months and a fine of $12 000.</w:t>
      </w:r>
    </w:p>
    <w:p>
      <w:pPr>
        <w:pStyle w:val="Footnotesection"/>
        <w:keepLines w:val="0"/>
      </w:pPr>
      <w:r>
        <w:tab/>
        <w:t>[Section 221BE inserted: No. 4 of 2019 s. 4.]</w:t>
      </w:r>
    </w:p>
    <w:p>
      <w:pPr>
        <w:pStyle w:val="Heading5"/>
      </w:pPr>
      <w:bookmarkStart w:id="297" w:name="_Toc88662237"/>
      <w:r>
        <w:rPr>
          <w:rStyle w:val="CharSectno"/>
        </w:rPr>
        <w:lastRenderedPageBreak/>
        <w:t>221BF</w:t>
      </w:r>
      <w:r>
        <w:t>.</w:t>
      </w:r>
      <w:r>
        <w:tab/>
        <w:t xml:space="preserve">Review of amendments made by </w:t>
      </w:r>
      <w:r>
        <w:rPr>
          <w:i/>
        </w:rPr>
        <w:t>Criminal Law Amendment (Intimate Images) Act 2019</w:t>
      </w:r>
      <w:bookmarkEnd w:id="297"/>
    </w:p>
    <w:p>
      <w:pPr>
        <w:pStyle w:val="Subsection"/>
      </w:pPr>
      <w:r>
        <w:tab/>
        <w:t>(1)</w:t>
      </w:r>
      <w:r>
        <w:tab/>
        <w:t xml:space="preserve">The Minister must review the operation and effectiveness of the amendments made to this Code, the </w:t>
      </w:r>
      <w:r>
        <w:rPr>
          <w:i/>
        </w:rPr>
        <w:t>Restraining Orders Act 1997</w:t>
      </w:r>
      <w:r>
        <w:t xml:space="preserve"> and the </w:t>
      </w:r>
      <w:r>
        <w:rPr>
          <w:i/>
        </w:rPr>
        <w:t>Working with Children (Criminal Record Checking) Act 2004</w:t>
      </w:r>
      <w:r>
        <w:t xml:space="preserve"> by the </w:t>
      </w:r>
      <w:r>
        <w:rPr>
          <w:i/>
        </w:rPr>
        <w:t>Criminal Law Amendment (Intimate Images) Act 2019</w:t>
      </w:r>
      <w:r>
        <w:t>, and prepare a report based on the review, as soon as practicable after the 3</w:t>
      </w:r>
      <w:r>
        <w:rPr>
          <w:vertAlign w:val="superscript"/>
        </w:rPr>
        <w:t>rd</w:t>
      </w:r>
      <w:r>
        <w:t xml:space="preserve"> anniversary of the day on which the </w:t>
      </w:r>
      <w:r>
        <w:rPr>
          <w:i/>
        </w:rPr>
        <w:t>Criminal Law Amendment (Intimate Images) Act 2019</w:t>
      </w:r>
      <w:r>
        <w:t xml:space="preserve"> section 4 comes into operation.</w:t>
      </w:r>
    </w:p>
    <w:p>
      <w:pPr>
        <w:pStyle w:val="Subsection"/>
      </w:pPr>
      <w:r>
        <w:tab/>
        <w:t>(2)</w:t>
      </w:r>
      <w:r>
        <w:tab/>
        <w:t>The Minister must cause the report to be laid before each House of Parliament as soon as practicable after it is prepared, but not later than 12 months after the 3</w:t>
      </w:r>
      <w:r>
        <w:rPr>
          <w:vertAlign w:val="superscript"/>
        </w:rPr>
        <w:t>rd</w:t>
      </w:r>
      <w:r>
        <w:t> anniversary.</w:t>
      </w:r>
    </w:p>
    <w:p>
      <w:pPr>
        <w:pStyle w:val="Footnotesection"/>
        <w:keepLines w:val="0"/>
      </w:pPr>
      <w:r>
        <w:tab/>
        <w:t>[Section 221BF inserted: No. 4 of 2019 s. 4.]</w:t>
      </w:r>
    </w:p>
    <w:p>
      <w:pPr>
        <w:pStyle w:val="Heading3"/>
      </w:pPr>
      <w:bookmarkStart w:id="298" w:name="_Toc88569795"/>
      <w:bookmarkStart w:id="299" w:name="_Toc88570317"/>
      <w:bookmarkStart w:id="300" w:name="_Toc88570839"/>
      <w:bookmarkStart w:id="301" w:name="_Toc88662238"/>
      <w:r>
        <w:rPr>
          <w:rStyle w:val="CharDivNo"/>
        </w:rPr>
        <w:t>Chapter XXVIA</w:t>
      </w:r>
      <w:r>
        <w:t> — </w:t>
      </w:r>
      <w:r>
        <w:rPr>
          <w:rStyle w:val="CharDivText"/>
        </w:rPr>
        <w:t>Facilitating activities of criminal organisations</w:t>
      </w:r>
      <w:bookmarkEnd w:id="298"/>
      <w:bookmarkEnd w:id="299"/>
      <w:bookmarkEnd w:id="300"/>
      <w:bookmarkEnd w:id="301"/>
    </w:p>
    <w:p>
      <w:pPr>
        <w:pStyle w:val="Footnoteheading"/>
      </w:pPr>
      <w:r>
        <w:tab/>
        <w:t>[Heading inserted: No. 49 of 2012 s. 173(3).]</w:t>
      </w:r>
    </w:p>
    <w:p>
      <w:pPr>
        <w:pStyle w:val="Heading5"/>
      </w:pPr>
      <w:bookmarkStart w:id="302" w:name="_Toc88662239"/>
      <w:r>
        <w:rPr>
          <w:rStyle w:val="CharSectno"/>
        </w:rPr>
        <w:t>221C</w:t>
      </w:r>
      <w:r>
        <w:t>.</w:t>
      </w:r>
      <w:r>
        <w:tab/>
        <w:t>Terms used</w:t>
      </w:r>
      <w:bookmarkEnd w:id="302"/>
    </w:p>
    <w:p>
      <w:pPr>
        <w:pStyle w:val="Subsection"/>
      </w:pPr>
      <w:r>
        <w:tab/>
        <w:t>(1)</w:t>
      </w:r>
      <w:r>
        <w:tab/>
        <w:t xml:space="preserve">In this Chapter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criminal organisation</w:t>
      </w:r>
      <w:r>
        <w:t xml:space="preserve"> has the meaning given in section 221D;</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indictable offence</w:t>
      </w:r>
      <w:r>
        <w:t xml:space="preserve"> includes conduct engaged in outside this State (including outside Australia) that, if it occurred in this State, would constitute an indictable offence.</w:t>
      </w:r>
    </w:p>
    <w:p>
      <w:pPr>
        <w:pStyle w:val="Subsection"/>
      </w:pPr>
      <w:r>
        <w:tab/>
        <w:t>(2)</w:t>
      </w:r>
      <w:r>
        <w:tab/>
        <w:t>A term used in this Chapter and also in the COC Act has the same meaning in this Chapter as it has in that Act, unless the term is defined in this Code or the context requires otherwise.</w:t>
      </w:r>
    </w:p>
    <w:p>
      <w:pPr>
        <w:pStyle w:val="Footnotesection"/>
        <w:keepLines w:val="0"/>
      </w:pPr>
      <w:r>
        <w:tab/>
        <w:t>[Section 221C inserted: No. 49 of 2012 s. 173(3).]</w:t>
      </w:r>
    </w:p>
    <w:p>
      <w:pPr>
        <w:pStyle w:val="Heading5"/>
      </w:pPr>
      <w:bookmarkStart w:id="303" w:name="_Toc88662240"/>
      <w:r>
        <w:rPr>
          <w:rStyle w:val="CharSectno"/>
        </w:rPr>
        <w:lastRenderedPageBreak/>
        <w:t>221D</w:t>
      </w:r>
      <w:r>
        <w:t>.</w:t>
      </w:r>
      <w:r>
        <w:tab/>
        <w:t>Term used: criminal organisation</w:t>
      </w:r>
      <w:bookmarkEnd w:id="303"/>
    </w:p>
    <w:p>
      <w:pPr>
        <w:pStyle w:val="Subsection"/>
      </w:pPr>
      <w:r>
        <w:tab/>
        <w:t>(1)</w:t>
      </w:r>
      <w:r>
        <w:tab/>
        <w:t xml:space="preserve">For the purposes of this Chapter, an entity is a </w:t>
      </w:r>
      <w:r>
        <w:rPr>
          <w:rStyle w:val="CharDefText"/>
        </w:rPr>
        <w:t>criminal organisation</w:t>
      </w:r>
      <w:r>
        <w:t xml:space="preserve"> if — </w:t>
      </w:r>
    </w:p>
    <w:p>
      <w:pPr>
        <w:pStyle w:val="Indenta"/>
        <w:spacing w:before="120"/>
      </w:pPr>
      <w:r>
        <w:tab/>
        <w:t>(a)</w:t>
      </w:r>
      <w:r>
        <w:tab/>
        <w:t>the entity is a declared criminal organisation; or</w:t>
      </w:r>
    </w:p>
    <w:p>
      <w:pPr>
        <w:pStyle w:val="Indenta"/>
        <w:spacing w:before="120"/>
      </w:pPr>
      <w:r>
        <w:tab/>
        <w:t>(b)</w:t>
      </w:r>
      <w:r>
        <w:tab/>
        <w:t xml:space="preserve">all of the following apply to the entity — </w:t>
      </w:r>
    </w:p>
    <w:p>
      <w:pPr>
        <w:pStyle w:val="Indenti"/>
      </w:pPr>
      <w:r>
        <w:tab/>
        <w:t>(i)</w:t>
      </w:r>
      <w:r>
        <w:tab/>
        <w:t>the entity is an organisation;</w:t>
      </w:r>
    </w:p>
    <w:p>
      <w:pPr>
        <w:pStyle w:val="Indenti"/>
      </w:pPr>
      <w:r>
        <w:tab/>
        <w:t>(ii)</w:t>
      </w:r>
      <w:r>
        <w:tab/>
        <w:t>members of the organisation associate for the purpose of organising, planning, facilitating, supporting or engaging in serious criminal activity;</w:t>
      </w:r>
    </w:p>
    <w:p>
      <w:pPr>
        <w:pStyle w:val="Indenti"/>
      </w:pPr>
      <w:r>
        <w:tab/>
        <w:t>(iii)</w:t>
      </w:r>
      <w:r>
        <w:tab/>
        <w:t>the organisation represents a risk to public safety and order in this State.</w:t>
      </w:r>
    </w:p>
    <w:p>
      <w:pPr>
        <w:pStyle w:val="Subsection"/>
      </w:pPr>
      <w:r>
        <w:tab/>
        <w:t>(2)</w:t>
      </w:r>
      <w:r>
        <w:tab/>
        <w:t xml:space="preserve">In determining whether an entity is a criminal organisation for the purposes of subsection (1)(b) — </w:t>
      </w:r>
    </w:p>
    <w:p>
      <w:pPr>
        <w:pStyle w:val="Indenta"/>
        <w:spacing w:before="120"/>
      </w:pPr>
      <w:r>
        <w:tab/>
        <w:t>(a)</w:t>
      </w:r>
      <w:r>
        <w:tab/>
        <w:t>a court may have regard to any of the matters that a designated authority is entitled to have regard to under the COC Act section 13(2) (other than paragraph (e)) in considering whether or not to make a declaration under that Act; and</w:t>
      </w:r>
    </w:p>
    <w:p>
      <w:pPr>
        <w:pStyle w:val="Indenta"/>
        <w:spacing w:before="120"/>
      </w:pPr>
      <w:r>
        <w:tab/>
        <w:t>(b)</w:t>
      </w:r>
      <w:r>
        <w:tab/>
        <w:t>section 13(3) of that Act applies with all necessary changes for the purposes of the court satisfying itself that subsection (1)(b)(ii) of this section applies to the entity.</w:t>
      </w:r>
    </w:p>
    <w:p>
      <w:pPr>
        <w:pStyle w:val="Footnotesection"/>
        <w:keepLines w:val="0"/>
      </w:pPr>
      <w:r>
        <w:tab/>
        <w:t>[Section 221D inserted: No. 49 of 2012 s. 173(3).]</w:t>
      </w:r>
    </w:p>
    <w:p>
      <w:pPr>
        <w:pStyle w:val="Heading5"/>
      </w:pPr>
      <w:bookmarkStart w:id="304" w:name="_Toc88662241"/>
      <w:r>
        <w:rPr>
          <w:rStyle w:val="CharSectno"/>
        </w:rPr>
        <w:t>221E</w:t>
      </w:r>
      <w:r>
        <w:t>.</w:t>
      </w:r>
      <w:r>
        <w:tab/>
        <w:t>Participating in activities of criminal organisation</w:t>
      </w:r>
      <w:bookmarkEnd w:id="304"/>
    </w:p>
    <w:p>
      <w:pPr>
        <w:pStyle w:val="Subsection"/>
      </w:pPr>
      <w:r>
        <w:tab/>
        <w:t>(1)</w:t>
      </w:r>
      <w:r>
        <w:tab/>
        <w:t>A person who, for the purpose of enhancing the ability of a criminal organisation to facilitate or commit an indictable offence, by act or omission, participates in or contributes to any activity of the criminal organisation is guilty of a crime, and is liable to imprisonment for 5 years.</w:t>
      </w:r>
    </w:p>
    <w:p>
      <w:pPr>
        <w:pStyle w:val="Penstart"/>
      </w:pPr>
      <w:r>
        <w:tab/>
        <w:t>Summary conviction penalty: imprisonment for 2 years.</w:t>
      </w:r>
    </w:p>
    <w:p>
      <w:pPr>
        <w:pStyle w:val="Subsection"/>
      </w:pPr>
      <w:r>
        <w:lastRenderedPageBreak/>
        <w:tab/>
        <w:t>(2)</w:t>
      </w:r>
      <w:r>
        <w:tab/>
        <w:t>For the purposes of subsection (1), facilitation of an offence does not require knowledge of a particular offence the commission of which is facilitated, or that an offence actually be committed.</w:t>
      </w:r>
    </w:p>
    <w:p>
      <w:pPr>
        <w:pStyle w:val="Subsection"/>
      </w:pPr>
      <w:r>
        <w:tab/>
        <w:t>(3)</w:t>
      </w:r>
      <w:r>
        <w:tab/>
        <w:t xml:space="preserve">In a prosecution for an offence under subsection (1), it is not necessary to prove that — </w:t>
      </w:r>
    </w:p>
    <w:p>
      <w:pPr>
        <w:pStyle w:val="Indenta"/>
      </w:pPr>
      <w:r>
        <w:tab/>
        <w:t>(a)</w:t>
      </w:r>
      <w:r>
        <w:tab/>
        <w:t>the criminal organisation actually facilitated or committed an indictable offence; or</w:t>
      </w:r>
    </w:p>
    <w:p>
      <w:pPr>
        <w:pStyle w:val="Indenta"/>
      </w:pPr>
      <w:r>
        <w:tab/>
        <w:t>(b)</w:t>
      </w:r>
      <w:r>
        <w:tab/>
        <w:t>the participation or contribution of the accused actually enhanced the ability of the criminal organisation to facilitate or commit an indictable offence; or</w:t>
      </w:r>
    </w:p>
    <w:p>
      <w:pPr>
        <w:pStyle w:val="Indenta"/>
      </w:pPr>
      <w:r>
        <w:tab/>
        <w:t>(c)</w:t>
      </w:r>
      <w:r>
        <w:tab/>
        <w:t>the accused knew the specific nature of any indictable offence that may have been facilitated or committed by the criminal organisation; or</w:t>
      </w:r>
    </w:p>
    <w:p>
      <w:pPr>
        <w:pStyle w:val="Indenta"/>
      </w:pPr>
      <w:r>
        <w:tab/>
        <w:t>(d)</w:t>
      </w:r>
      <w:r>
        <w:tab/>
        <w:t>the accused knew the identity of any of the persons who are members of the criminal organisation.</w:t>
      </w:r>
    </w:p>
    <w:p>
      <w:pPr>
        <w:pStyle w:val="Subsection"/>
      </w:pPr>
      <w:r>
        <w:tab/>
        <w:t>(4)</w:t>
      </w:r>
      <w:r>
        <w:tab/>
        <w:t xml:space="preserve">In determining whether an accused participates in or contributes to any activity of a criminal organisation, the court may consider, among other factors, whether the accused — </w:t>
      </w:r>
    </w:p>
    <w:p>
      <w:pPr>
        <w:pStyle w:val="Indenta"/>
      </w:pPr>
      <w:r>
        <w:tab/>
        <w:t>(a)</w:t>
      </w:r>
      <w:r>
        <w:tab/>
        <w:t>uses a name, word, symbol or other representation that identifies, or is associated with, the criminal organisation; or</w:t>
      </w:r>
    </w:p>
    <w:p>
      <w:pPr>
        <w:pStyle w:val="Indenta"/>
      </w:pPr>
      <w:r>
        <w:tab/>
        <w:t>(b)</w:t>
      </w:r>
      <w:r>
        <w:tab/>
        <w:t>frequently associates with members of the criminal organisation; or</w:t>
      </w:r>
    </w:p>
    <w:p>
      <w:pPr>
        <w:pStyle w:val="Indenta"/>
      </w:pPr>
      <w:r>
        <w:tab/>
        <w:t>(c)</w:t>
      </w:r>
      <w:r>
        <w:tab/>
        <w:t>receives any benefit from the criminal organisation; or</w:t>
      </w:r>
    </w:p>
    <w:p>
      <w:pPr>
        <w:pStyle w:val="Indenta"/>
      </w:pPr>
      <w:r>
        <w:tab/>
        <w:t>(d)</w:t>
      </w:r>
      <w:r>
        <w:tab/>
        <w:t>repeatedly engages in activities at the instruction of any of the members of the criminal organisation.</w:t>
      </w:r>
    </w:p>
    <w:p>
      <w:pPr>
        <w:pStyle w:val="Footnotesection"/>
        <w:keepLines w:val="0"/>
      </w:pPr>
      <w:r>
        <w:tab/>
        <w:t>[Section 221E inserted: No. 49 of 2012 s. 173(3).]</w:t>
      </w:r>
    </w:p>
    <w:p>
      <w:pPr>
        <w:pStyle w:val="Heading5"/>
      </w:pPr>
      <w:bookmarkStart w:id="305" w:name="_Toc88662242"/>
      <w:r>
        <w:rPr>
          <w:rStyle w:val="CharSectno"/>
        </w:rPr>
        <w:t>221F</w:t>
      </w:r>
      <w:r>
        <w:t>.</w:t>
      </w:r>
      <w:r>
        <w:tab/>
        <w:t>Instructing commission of offence for benefit of criminal organisation</w:t>
      </w:r>
      <w:bookmarkEnd w:id="305"/>
    </w:p>
    <w:p>
      <w:pPr>
        <w:pStyle w:val="Subsection"/>
      </w:pPr>
      <w:r>
        <w:tab/>
        <w:t>(1)</w:t>
      </w:r>
      <w:r>
        <w:tab/>
        <w:t xml:space="preserve">A person who is a member of a criminal organisation and who instructs, directly or indirectly, any person to commit an offence </w:t>
      </w:r>
      <w:r>
        <w:lastRenderedPageBreak/>
        <w:t>under this Code or any other written law, or an offence against a law of a jurisdiction other than Western Australia, for the benefit of, at the direction of, or in association with, the criminal organisation is guilty of a crime, and is liable to imprisonment for 20 years.</w:t>
      </w:r>
    </w:p>
    <w:p>
      <w:pPr>
        <w:pStyle w:val="Subsection"/>
      </w:pPr>
      <w:r>
        <w:tab/>
        <w:t>(2)</w:t>
      </w:r>
      <w:r>
        <w:tab/>
        <w:t xml:space="preserve">In a prosecution for an offence under subsection (1), it is not necessary to prove that — </w:t>
      </w:r>
    </w:p>
    <w:p>
      <w:pPr>
        <w:pStyle w:val="Indenta"/>
      </w:pPr>
      <w:r>
        <w:tab/>
        <w:t>(a)</w:t>
      </w:r>
      <w:r>
        <w:tab/>
        <w:t>an offence other than the offence under subsection (1) was actually committed; or</w:t>
      </w:r>
    </w:p>
    <w:p>
      <w:pPr>
        <w:pStyle w:val="Indenta"/>
      </w:pPr>
      <w:r>
        <w:tab/>
        <w:t>(b)</w:t>
      </w:r>
      <w:r>
        <w:tab/>
        <w:t>the accused instructed a particular person to commit an offence; or</w:t>
      </w:r>
    </w:p>
    <w:p>
      <w:pPr>
        <w:pStyle w:val="Indenta"/>
      </w:pPr>
      <w:r>
        <w:tab/>
        <w:t>(c)</w:t>
      </w:r>
      <w:r>
        <w:tab/>
        <w:t>the accused knew the identity of all of the persons who are members of the criminal organisation.</w:t>
      </w:r>
    </w:p>
    <w:p>
      <w:pPr>
        <w:pStyle w:val="Footnotesection"/>
        <w:keepLines w:val="0"/>
      </w:pPr>
      <w:r>
        <w:tab/>
        <w:t>[Section 221F inserted: No. 49 of 2012 s. 173(3).]</w:t>
      </w:r>
    </w:p>
    <w:p>
      <w:pPr>
        <w:pStyle w:val="Heading2"/>
      </w:pPr>
      <w:bookmarkStart w:id="306" w:name="_Toc88569800"/>
      <w:bookmarkStart w:id="307" w:name="_Toc88570322"/>
      <w:bookmarkStart w:id="308" w:name="_Toc88570844"/>
      <w:bookmarkStart w:id="309" w:name="_Toc88662243"/>
      <w:r>
        <w:rPr>
          <w:rStyle w:val="CharPartNo"/>
        </w:rPr>
        <w:lastRenderedPageBreak/>
        <w:t>Part V</w:t>
      </w:r>
      <w:r>
        <w:t> — </w:t>
      </w:r>
      <w:r>
        <w:rPr>
          <w:rStyle w:val="CharPartText"/>
        </w:rPr>
        <w:t>Offences against the person and relating to parental rights and duties and against the reputation of individuals</w:t>
      </w:r>
      <w:bookmarkEnd w:id="306"/>
      <w:bookmarkEnd w:id="307"/>
      <w:bookmarkEnd w:id="308"/>
      <w:bookmarkEnd w:id="309"/>
    </w:p>
    <w:p>
      <w:pPr>
        <w:pStyle w:val="Footnoteheading"/>
        <w:tabs>
          <w:tab w:val="left" w:pos="840"/>
        </w:tabs>
        <w:spacing w:before="80"/>
      </w:pPr>
      <w:r>
        <w:tab/>
        <w:t>[Heading amended: No. 5 of 2008 s. 129(2).]</w:t>
      </w:r>
    </w:p>
    <w:p>
      <w:pPr>
        <w:pStyle w:val="Heading3"/>
        <w:keepLines/>
        <w:spacing w:before="220"/>
        <w:rPr>
          <w:snapToGrid w:val="0"/>
        </w:rPr>
      </w:pPr>
      <w:bookmarkStart w:id="310" w:name="_Toc88569801"/>
      <w:bookmarkStart w:id="311" w:name="_Toc88570323"/>
      <w:bookmarkStart w:id="312" w:name="_Toc88570845"/>
      <w:bookmarkStart w:id="313" w:name="_Toc88662244"/>
      <w:r>
        <w:rPr>
          <w:rStyle w:val="CharDivNo"/>
        </w:rPr>
        <w:t>Chapter XXVI</w:t>
      </w:r>
      <w:r>
        <w:rPr>
          <w:snapToGrid w:val="0"/>
        </w:rPr>
        <w:t> — </w:t>
      </w:r>
      <w:r>
        <w:rPr>
          <w:rStyle w:val="CharDivText"/>
        </w:rPr>
        <w:t>Assaults and violence to the person generally: Justification, excuse and circumstances of aggravation</w:t>
      </w:r>
      <w:bookmarkEnd w:id="310"/>
      <w:bookmarkEnd w:id="311"/>
      <w:bookmarkEnd w:id="312"/>
      <w:bookmarkEnd w:id="313"/>
    </w:p>
    <w:p>
      <w:pPr>
        <w:pStyle w:val="Footnoteheading"/>
        <w:tabs>
          <w:tab w:val="left" w:pos="840"/>
        </w:tabs>
        <w:spacing w:before="80"/>
      </w:pPr>
      <w:r>
        <w:tab/>
        <w:t>[Heading amended: No. 38 of 2004 s. 63.]</w:t>
      </w:r>
    </w:p>
    <w:p>
      <w:pPr>
        <w:pStyle w:val="Heading5"/>
        <w:spacing w:before="180"/>
      </w:pPr>
      <w:bookmarkStart w:id="314" w:name="_Toc88662245"/>
      <w:r>
        <w:rPr>
          <w:rStyle w:val="CharSectno"/>
        </w:rPr>
        <w:t>221</w:t>
      </w:r>
      <w:r>
        <w:t>.</w:t>
      </w:r>
      <w:r>
        <w:tab/>
        <w:t>Term used: circumstances of aggravation</w:t>
      </w:r>
      <w:bookmarkEnd w:id="314"/>
    </w:p>
    <w:p>
      <w:pPr>
        <w:pStyle w:val="Subsection"/>
        <w:spacing w:before="120"/>
      </w:pPr>
      <w:r>
        <w:tab/>
        <w:t>(1)</w:t>
      </w:r>
      <w:r>
        <w:tab/>
        <w:t>In this Part —</w:t>
      </w:r>
    </w:p>
    <w:p>
      <w:pPr>
        <w:pStyle w:val="Defstart"/>
        <w:spacing w:before="70"/>
      </w:pPr>
      <w:r>
        <w:rPr>
          <w:b/>
        </w:rPr>
        <w:tab/>
      </w:r>
      <w:r>
        <w:rPr>
          <w:rStyle w:val="CharDefText"/>
        </w:rPr>
        <w:t>circumstances of aggravation</w:t>
      </w:r>
      <w:r>
        <w:t xml:space="preserve"> means circumstances in which —</w:t>
      </w:r>
    </w:p>
    <w:p>
      <w:pPr>
        <w:pStyle w:val="Defpara"/>
        <w:spacing w:before="60"/>
      </w:pPr>
      <w:r>
        <w:tab/>
        <w:t>(a)</w:t>
      </w:r>
      <w:r>
        <w:tab/>
        <w:t>the offender is in a family relationship with the victim of the offence, other than where subsection (1A) applies; or</w:t>
      </w:r>
    </w:p>
    <w:p>
      <w:pPr>
        <w:pStyle w:val="Defpara"/>
        <w:spacing w:before="60"/>
      </w:pPr>
      <w:r>
        <w:tab/>
        <w:t>(b)</w:t>
      </w:r>
      <w:r>
        <w:tab/>
        <w:t>a child was present when the offence was committed, other than where subsection (1A) applies; or</w:t>
      </w:r>
    </w:p>
    <w:p>
      <w:pPr>
        <w:pStyle w:val="Defpara"/>
        <w:spacing w:before="60"/>
      </w:pPr>
      <w:r>
        <w:tab/>
        <w:t>(c)</w:t>
      </w:r>
      <w:r>
        <w:tab/>
        <w:t xml:space="preserve">the conduct of the offender in committing the offence constituted a breach of an order, other than an order under Part 1C, made or registered under the </w:t>
      </w:r>
      <w:r>
        <w:rPr>
          <w:i/>
        </w:rPr>
        <w:t>Restraining Orders Act 1997</w:t>
      </w:r>
      <w:r>
        <w:t xml:space="preserve"> or to which that Act applies; or</w:t>
      </w:r>
    </w:p>
    <w:p>
      <w:pPr>
        <w:pStyle w:val="Defpara"/>
        <w:spacing w:before="60"/>
      </w:pPr>
      <w:r>
        <w:tab/>
        <w:t>(d)</w:t>
      </w:r>
      <w:r>
        <w:tab/>
        <w:t>the victim is of or over the age of 60 years.</w:t>
      </w:r>
    </w:p>
    <w:p>
      <w:pPr>
        <w:pStyle w:val="Subsection"/>
      </w:pPr>
      <w:r>
        <w:tab/>
        <w:t>(1A)</w:t>
      </w:r>
      <w:r>
        <w:tab/>
        <w:t>This subsection applies if —</w:t>
      </w:r>
    </w:p>
    <w:p>
      <w:pPr>
        <w:pStyle w:val="Indenta"/>
      </w:pPr>
      <w:r>
        <w:tab/>
        <w:t>(a)</w:t>
      </w:r>
      <w:r>
        <w:tab/>
        <w:t>the offender was a child at the time of the commission of the relevant offence; and</w:t>
      </w:r>
    </w:p>
    <w:p>
      <w:pPr>
        <w:pStyle w:val="Indenta"/>
      </w:pPr>
      <w:r>
        <w:tab/>
        <w:t>(b)</w:t>
      </w:r>
      <w:r>
        <w:tab/>
        <w:t>the only circumstance of aggravation is the offender was in a family relationship with the victim at the time of the commission of the offence, or a child was present at the time of the commission of the offence, or both.</w:t>
      </w:r>
    </w:p>
    <w:p>
      <w:pPr>
        <w:pStyle w:val="Subsection"/>
        <w:keepNext/>
      </w:pPr>
      <w:r>
        <w:lastRenderedPageBreak/>
        <w:tab/>
        <w:t>(2)</w:t>
      </w:r>
      <w:r>
        <w:tab/>
        <w:t xml:space="preserve">In this section — </w:t>
      </w:r>
    </w:p>
    <w:p>
      <w:pPr>
        <w:pStyle w:val="Defstart"/>
        <w:keepNext/>
      </w:pPr>
      <w:r>
        <w:tab/>
      </w:r>
      <w:r>
        <w:rPr>
          <w:rStyle w:val="CharDefText"/>
        </w:rPr>
        <w:t>family relationship</w:t>
      </w:r>
      <w:r>
        <w:t xml:space="preserve"> has the meaning given in the </w:t>
      </w:r>
      <w:r>
        <w:rPr>
          <w:i/>
        </w:rPr>
        <w:t>Restraining Orders Act 1997</w:t>
      </w:r>
      <w:r>
        <w:t xml:space="preserve"> section 4(1).</w:t>
      </w:r>
    </w:p>
    <w:p>
      <w:pPr>
        <w:pStyle w:val="Footnotesection"/>
        <w:spacing w:before="80"/>
      </w:pPr>
      <w:r>
        <w:tab/>
        <w:t>[Section 221 inserted: No. 38 of 2004 s. 64; amended: No. 49 of 2016 s. 99; No. 30 of 2020 s. 4.]</w:t>
      </w:r>
    </w:p>
    <w:p>
      <w:pPr>
        <w:pStyle w:val="Heading5"/>
        <w:spacing w:before="180"/>
        <w:rPr>
          <w:snapToGrid w:val="0"/>
        </w:rPr>
      </w:pPr>
      <w:bookmarkStart w:id="315" w:name="_Toc88662246"/>
      <w:r>
        <w:rPr>
          <w:rStyle w:val="CharSectno"/>
        </w:rPr>
        <w:t>222</w:t>
      </w:r>
      <w:r>
        <w:rPr>
          <w:snapToGrid w:val="0"/>
        </w:rPr>
        <w:t>.</w:t>
      </w:r>
      <w:r>
        <w:rPr>
          <w:snapToGrid w:val="0"/>
        </w:rPr>
        <w:tab/>
        <w:t xml:space="preserve">Term used: </w:t>
      </w:r>
      <w:r>
        <w:rPr>
          <w:rStyle w:val="CharDefText"/>
          <w:b/>
          <w:bCs/>
          <w:i w:val="0"/>
        </w:rPr>
        <w:t>assault</w:t>
      </w:r>
      <w:bookmarkEnd w:id="315"/>
    </w:p>
    <w:p>
      <w:pPr>
        <w:pStyle w:val="Subsection"/>
        <w:spacing w:before="120"/>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spacing w:before="120"/>
        <w:rPr>
          <w:snapToGrid w:val="0"/>
        </w:rPr>
      </w:pPr>
      <w:r>
        <w:rPr>
          <w:snapToGrid w:val="0"/>
        </w:rPr>
        <w:tab/>
      </w:r>
      <w:r>
        <w:rPr>
          <w:snapToGrid w:val="0"/>
        </w:rPr>
        <w:tab/>
        <w:t xml:space="preserve">The term </w:t>
      </w:r>
      <w:r>
        <w:rPr>
          <w:rStyle w:val="CharDefText"/>
        </w:rPr>
        <w:t>applies force</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316" w:name="_Toc88662247"/>
      <w:r>
        <w:rPr>
          <w:rStyle w:val="CharSectno"/>
        </w:rPr>
        <w:t>223</w:t>
      </w:r>
      <w:r>
        <w:rPr>
          <w:snapToGrid w:val="0"/>
        </w:rPr>
        <w:t>.</w:t>
      </w:r>
      <w:r>
        <w:rPr>
          <w:snapToGrid w:val="0"/>
        </w:rPr>
        <w:tab/>
        <w:t>Assault is unlawful</w:t>
      </w:r>
      <w:bookmarkEnd w:id="316"/>
    </w:p>
    <w:p>
      <w:pPr>
        <w:pStyle w:val="Subsection"/>
        <w:spacing w:before="120"/>
        <w:rPr>
          <w:snapToGrid w:val="0"/>
        </w:rPr>
      </w:pPr>
      <w:r>
        <w:rPr>
          <w:snapToGrid w:val="0"/>
        </w:rPr>
        <w:tab/>
      </w:r>
      <w:r>
        <w:rPr>
          <w:snapToGrid w:val="0"/>
        </w:rPr>
        <w:tab/>
        <w:t>An assault is unlawful and constitutes an offence unless it is authorised or justified or excused by law.</w:t>
      </w:r>
    </w:p>
    <w:p>
      <w:pPr>
        <w:pStyle w:val="Subsection"/>
        <w:spacing w:before="120"/>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317" w:name="_Toc88662248"/>
      <w:r>
        <w:rPr>
          <w:rStyle w:val="CharSectno"/>
        </w:rPr>
        <w:t>224</w:t>
      </w:r>
      <w:r>
        <w:rPr>
          <w:snapToGrid w:val="0"/>
        </w:rPr>
        <w:t>.</w:t>
      </w:r>
      <w:r>
        <w:rPr>
          <w:snapToGrid w:val="0"/>
        </w:rPr>
        <w:tab/>
        <w:t>Execution of sentence is lawful</w:t>
      </w:r>
      <w:bookmarkEnd w:id="317"/>
    </w:p>
    <w:p>
      <w:pPr>
        <w:pStyle w:val="Subsection"/>
        <w:spacing w:before="120"/>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318" w:name="_Toc88662249"/>
      <w:r>
        <w:rPr>
          <w:rStyle w:val="CharSectno"/>
        </w:rPr>
        <w:lastRenderedPageBreak/>
        <w:t>225</w:t>
      </w:r>
      <w:r>
        <w:rPr>
          <w:snapToGrid w:val="0"/>
        </w:rPr>
        <w:t>.</w:t>
      </w:r>
      <w:r>
        <w:rPr>
          <w:snapToGrid w:val="0"/>
        </w:rPr>
        <w:tab/>
        <w:t>Execution of process is lawful</w:t>
      </w:r>
      <w:bookmarkEnd w:id="318"/>
    </w:p>
    <w:p>
      <w:pPr>
        <w:pStyle w:val="Subsection"/>
        <w:spacing w:before="120"/>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319" w:name="_Toc88662250"/>
      <w:r>
        <w:rPr>
          <w:rStyle w:val="CharSectno"/>
        </w:rPr>
        <w:t>226</w:t>
      </w:r>
      <w:r>
        <w:rPr>
          <w:snapToGrid w:val="0"/>
        </w:rPr>
        <w:t>.</w:t>
      </w:r>
      <w:r>
        <w:rPr>
          <w:snapToGrid w:val="0"/>
        </w:rPr>
        <w:tab/>
        <w:t>Execution of warrant is lawful</w:t>
      </w:r>
      <w:bookmarkEnd w:id="319"/>
    </w:p>
    <w:p>
      <w:pPr>
        <w:pStyle w:val="Subsection"/>
        <w:spacing w:before="120"/>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320" w:name="_Toc88662251"/>
      <w:r>
        <w:rPr>
          <w:rStyle w:val="CharSectno"/>
        </w:rPr>
        <w:t>227</w:t>
      </w:r>
      <w:r>
        <w:rPr>
          <w:snapToGrid w:val="0"/>
        </w:rPr>
        <w:t>.</w:t>
      </w:r>
      <w:r>
        <w:rPr>
          <w:snapToGrid w:val="0"/>
        </w:rPr>
        <w:tab/>
        <w:t>Sentence, process or warrant issued without authority, effect of</w:t>
      </w:r>
      <w:bookmarkEnd w:id="320"/>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321" w:name="_Toc88662252"/>
      <w:r>
        <w:rPr>
          <w:rStyle w:val="CharSectno"/>
        </w:rPr>
        <w:t>228</w:t>
      </w:r>
      <w:r>
        <w:rPr>
          <w:snapToGrid w:val="0"/>
        </w:rPr>
        <w:t>.</w:t>
      </w:r>
      <w:r>
        <w:rPr>
          <w:snapToGrid w:val="0"/>
        </w:rPr>
        <w:tab/>
        <w:t>Sentence, process or warrant issued without authority, liability of person executing etc.</w:t>
      </w:r>
      <w:bookmarkEnd w:id="321"/>
    </w:p>
    <w:p>
      <w:pPr>
        <w:pStyle w:val="Subsection"/>
        <w:rPr>
          <w:snapToGrid w:val="0"/>
        </w:rPr>
      </w:pPr>
      <w:r>
        <w:rPr>
          <w:snapToGrid w:val="0"/>
        </w:rPr>
        <w:tab/>
      </w:r>
      <w:r>
        <w:rPr>
          <w:snapToGrid w:val="0"/>
        </w:rPr>
        <w:tab/>
        <w:t xml:space="preserve">A person who executes or assists in executing any sentence, process, or warrant which purports to be passed or issued by a court, justice, or other person, and who would be justified, under </w:t>
      </w:r>
      <w:r>
        <w:t xml:space="preserve">section 224, 225, 226 or 227, </w:t>
      </w:r>
      <w:r>
        <w:rPr>
          <w:snapToGrid w:val="0"/>
        </w:rPr>
        <w:t xml:space="preserve">in executing the same if it had </w:t>
      </w:r>
      <w:r>
        <w:rPr>
          <w:snapToGrid w:val="0"/>
        </w:rPr>
        <w:lastRenderedPageBreak/>
        <w:t>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Footnotesection"/>
        <w:spacing w:before="80"/>
      </w:pPr>
      <w:r>
        <w:tab/>
        <w:t>[Section 228 amended: No. 44 of 2009 s. 13.]</w:t>
      </w:r>
    </w:p>
    <w:p>
      <w:pPr>
        <w:pStyle w:val="Heading5"/>
        <w:rPr>
          <w:snapToGrid w:val="0"/>
        </w:rPr>
      </w:pPr>
      <w:bookmarkStart w:id="322" w:name="_Toc88662253"/>
      <w:r>
        <w:rPr>
          <w:rStyle w:val="CharSectno"/>
        </w:rPr>
        <w:t>229</w:t>
      </w:r>
      <w:r>
        <w:rPr>
          <w:snapToGrid w:val="0"/>
        </w:rPr>
        <w:t>.</w:t>
      </w:r>
      <w:r>
        <w:rPr>
          <w:snapToGrid w:val="0"/>
        </w:rPr>
        <w:tab/>
        <w:t>Arrest of wrong person</w:t>
      </w:r>
      <w:bookmarkEnd w:id="322"/>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spacing w:before="120"/>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323" w:name="_Toc88662254"/>
      <w:r>
        <w:rPr>
          <w:rStyle w:val="CharSectno"/>
        </w:rPr>
        <w:t>230</w:t>
      </w:r>
      <w:r>
        <w:rPr>
          <w:snapToGrid w:val="0"/>
        </w:rPr>
        <w:t>.</w:t>
      </w:r>
      <w:r>
        <w:rPr>
          <w:snapToGrid w:val="0"/>
        </w:rPr>
        <w:tab/>
        <w:t>Process or warrant that is bad in law, liability of person executing etc.</w:t>
      </w:r>
      <w:bookmarkEnd w:id="323"/>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324" w:name="_Toc88662255"/>
      <w:r>
        <w:rPr>
          <w:rStyle w:val="CharSectno"/>
        </w:rPr>
        <w:lastRenderedPageBreak/>
        <w:t>231</w:t>
      </w:r>
      <w:r>
        <w:rPr>
          <w:snapToGrid w:val="0"/>
        </w:rPr>
        <w:t>.</w:t>
      </w:r>
      <w:r>
        <w:rPr>
          <w:snapToGrid w:val="0"/>
        </w:rPr>
        <w:tab/>
        <w:t>Executing sentence, process or warrant or making arrest, using force for</w:t>
      </w:r>
      <w:bookmarkEnd w:id="324"/>
    </w:p>
    <w:p>
      <w:pPr>
        <w:pStyle w:val="Subsection"/>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pPr>
      <w:r>
        <w:tab/>
        <w:t>(2)</w:t>
      </w:r>
      <w:r>
        <w:tab/>
        <w:t>In determining whether any process or warrant might have been executed, or any arrest made, in a less forcible manner, the following shall be taken into account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[Section 231 amended: No. 59 of 2006 s. 20.]</w:t>
      </w:r>
    </w:p>
    <w:p>
      <w:pPr>
        <w:pStyle w:val="Ednotesection"/>
      </w:pPr>
      <w:r>
        <w:t>[</w:t>
      </w:r>
      <w:r>
        <w:rPr>
          <w:b/>
          <w:bCs/>
        </w:rPr>
        <w:t>232.</w:t>
      </w:r>
      <w:r>
        <w:tab/>
        <w:t>Deleted: No. 59 of 2006 s. 21.]</w:t>
      </w:r>
    </w:p>
    <w:p>
      <w:pPr>
        <w:pStyle w:val="Heading5"/>
        <w:rPr>
          <w:snapToGrid w:val="0"/>
        </w:rPr>
      </w:pPr>
      <w:bookmarkStart w:id="325" w:name="_Toc88662256"/>
      <w:r>
        <w:rPr>
          <w:rStyle w:val="CharSectno"/>
        </w:rPr>
        <w:t>233</w:t>
      </w:r>
      <w:r>
        <w:rPr>
          <w:snapToGrid w:val="0"/>
        </w:rPr>
        <w:t>.</w:t>
      </w:r>
      <w:r>
        <w:rPr>
          <w:snapToGrid w:val="0"/>
        </w:rPr>
        <w:tab/>
        <w:t>Flight from arrest, use of force to prevent</w:t>
      </w:r>
      <w:bookmarkEnd w:id="325"/>
    </w:p>
    <w:p>
      <w:pPr>
        <w:pStyle w:val="Subsection"/>
        <w:spacing w:before="12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2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w:t>
      </w:r>
    </w:p>
    <w:p>
      <w:pPr>
        <w:pStyle w:val="Indenta"/>
        <w:spacing w:before="60"/>
        <w:rPr>
          <w:snapToGrid w:val="0"/>
        </w:rPr>
      </w:pPr>
      <w:r>
        <w:rPr>
          <w:snapToGrid w:val="0"/>
        </w:rPr>
        <w:tab/>
        <w:t>(a)</w:t>
      </w:r>
      <w:r>
        <w:rPr>
          <w:snapToGrid w:val="0"/>
        </w:rPr>
        <w:tab/>
        <w:t>the person who uses that force is a police officer or a person assisting a police officer; and</w:t>
      </w:r>
    </w:p>
    <w:p>
      <w:pPr>
        <w:pStyle w:val="Indenta"/>
        <w:spacing w:before="60"/>
        <w:rPr>
          <w:snapToGrid w:val="0"/>
        </w:rPr>
      </w:pPr>
      <w:r>
        <w:rPr>
          <w:snapToGrid w:val="0"/>
        </w:rPr>
        <w:lastRenderedPageBreak/>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[Section 233 inserted: No. 119 of 1985 s. 6.]</w:t>
      </w:r>
    </w:p>
    <w:p>
      <w:pPr>
        <w:pStyle w:val="Ednotesection"/>
      </w:pPr>
      <w:r>
        <w:t>[</w:t>
      </w:r>
      <w:r>
        <w:rPr>
          <w:b/>
        </w:rPr>
        <w:t>234</w:t>
      </w:r>
      <w:r>
        <w:rPr>
          <w:b/>
          <w:bCs/>
        </w:rPr>
        <w:t>.</w:t>
      </w:r>
      <w:r>
        <w:tab/>
        <w:t>Deleted: No. 119 of 1985 s. 7.]</w:t>
      </w:r>
    </w:p>
    <w:p>
      <w:pPr>
        <w:pStyle w:val="Heading5"/>
        <w:rPr>
          <w:snapToGrid w:val="0"/>
        </w:rPr>
      </w:pPr>
      <w:bookmarkStart w:id="326" w:name="_Toc88662257"/>
      <w:r>
        <w:rPr>
          <w:rStyle w:val="CharSectno"/>
        </w:rPr>
        <w:t>235</w:t>
      </w:r>
      <w:r>
        <w:rPr>
          <w:snapToGrid w:val="0"/>
        </w:rPr>
        <w:t>.</w:t>
      </w:r>
      <w:r>
        <w:rPr>
          <w:snapToGrid w:val="0"/>
        </w:rPr>
        <w:tab/>
        <w:t>Escape or rescue after arrest, use of force to prevent</w:t>
      </w:r>
      <w:bookmarkEnd w:id="326"/>
    </w:p>
    <w:p>
      <w:pPr>
        <w:pStyle w:val="Subsection"/>
        <w:spacing w:before="12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2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No. 119 of 1985 s. 8.]</w:t>
      </w:r>
    </w:p>
    <w:p>
      <w:pPr>
        <w:pStyle w:val="Ednotesection"/>
        <w:spacing w:before="160"/>
        <w:ind w:left="890" w:hanging="890"/>
      </w:pPr>
      <w:r>
        <w:t>[</w:t>
      </w:r>
      <w:r>
        <w:rPr>
          <w:b/>
          <w:bCs/>
        </w:rPr>
        <w:t>236, 237.</w:t>
      </w:r>
      <w:r>
        <w:tab/>
        <w:t>Deleted: No. 59 of 2006 s. 22.]</w:t>
      </w:r>
    </w:p>
    <w:p>
      <w:pPr>
        <w:pStyle w:val="Heading5"/>
        <w:rPr>
          <w:snapToGrid w:val="0"/>
        </w:rPr>
      </w:pPr>
      <w:bookmarkStart w:id="327" w:name="_Toc88662258"/>
      <w:r>
        <w:rPr>
          <w:rStyle w:val="CharSectno"/>
        </w:rPr>
        <w:t>238</w:t>
      </w:r>
      <w:r>
        <w:rPr>
          <w:snapToGrid w:val="0"/>
        </w:rPr>
        <w:t>.</w:t>
      </w:r>
      <w:r>
        <w:rPr>
          <w:snapToGrid w:val="0"/>
        </w:rPr>
        <w:tab/>
        <w:t>Riot, use of force to suppress</w:t>
      </w:r>
      <w:bookmarkEnd w:id="327"/>
    </w:p>
    <w:p>
      <w:pPr>
        <w:pStyle w:val="Subsection"/>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rPr>
          <w:snapToGrid w:val="0"/>
        </w:rPr>
      </w:pPr>
      <w:bookmarkStart w:id="328" w:name="_Toc88662259"/>
      <w:r>
        <w:rPr>
          <w:rStyle w:val="CharSectno"/>
        </w:rPr>
        <w:t>239</w:t>
      </w:r>
      <w:r>
        <w:rPr>
          <w:snapToGrid w:val="0"/>
        </w:rPr>
        <w:t>.</w:t>
      </w:r>
      <w:r>
        <w:rPr>
          <w:snapToGrid w:val="0"/>
        </w:rPr>
        <w:tab/>
        <w:t>Riot, use of force to suppress by justice and police officer</w:t>
      </w:r>
      <w:bookmarkEnd w:id="328"/>
    </w:p>
    <w:p>
      <w:pPr>
        <w:pStyle w:val="Subsection"/>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rPr>
          <w:snapToGrid w:val="0"/>
        </w:rPr>
      </w:pPr>
      <w:bookmarkStart w:id="329" w:name="_Toc88662260"/>
      <w:r>
        <w:rPr>
          <w:rStyle w:val="CharSectno"/>
        </w:rPr>
        <w:lastRenderedPageBreak/>
        <w:t>240</w:t>
      </w:r>
      <w:r>
        <w:rPr>
          <w:snapToGrid w:val="0"/>
        </w:rPr>
        <w:t>.</w:t>
      </w:r>
      <w:r>
        <w:rPr>
          <w:snapToGrid w:val="0"/>
        </w:rPr>
        <w:tab/>
        <w:t>Riot, use of force to suppress by person acting under lawful order</w:t>
      </w:r>
      <w:bookmarkEnd w:id="329"/>
    </w:p>
    <w:p>
      <w:pPr>
        <w:pStyle w:val="Subsection"/>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rPr>
          <w:snapToGrid w:val="0"/>
        </w:rPr>
      </w:pPr>
      <w:r>
        <w:rPr>
          <w:snapToGrid w:val="0"/>
        </w:rPr>
        <w:tab/>
      </w:r>
      <w:r>
        <w:rPr>
          <w:snapToGrid w:val="0"/>
        </w:rPr>
        <w:tab/>
        <w:t>Whether any particular order so given is or is not manifestly unlawful is a question of law.</w:t>
      </w:r>
    </w:p>
    <w:p>
      <w:pPr>
        <w:pStyle w:val="Heading5"/>
        <w:keepNext w:val="0"/>
        <w:keepLines w:val="0"/>
        <w:rPr>
          <w:snapToGrid w:val="0"/>
        </w:rPr>
      </w:pPr>
      <w:bookmarkStart w:id="330" w:name="_Toc88662261"/>
      <w:r>
        <w:rPr>
          <w:rStyle w:val="CharSectno"/>
        </w:rPr>
        <w:t>241</w:t>
      </w:r>
      <w:r>
        <w:rPr>
          <w:snapToGrid w:val="0"/>
        </w:rPr>
        <w:t>.</w:t>
      </w:r>
      <w:r>
        <w:rPr>
          <w:snapToGrid w:val="0"/>
        </w:rPr>
        <w:tab/>
        <w:t>Riot, use of force to suppress by person acting without order in case of emergency</w:t>
      </w:r>
      <w:bookmarkEnd w:id="330"/>
    </w:p>
    <w:p>
      <w:pPr>
        <w:pStyle w:val="Subsection"/>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rPr>
          <w:snapToGrid w:val="0"/>
        </w:rPr>
      </w:pPr>
      <w:bookmarkStart w:id="331" w:name="_Toc88662262"/>
      <w:r>
        <w:rPr>
          <w:rStyle w:val="CharSectno"/>
        </w:rPr>
        <w:t>242</w:t>
      </w:r>
      <w:r>
        <w:rPr>
          <w:snapToGrid w:val="0"/>
        </w:rPr>
        <w:t>.</w:t>
      </w:r>
      <w:r>
        <w:rPr>
          <w:snapToGrid w:val="0"/>
        </w:rPr>
        <w:tab/>
        <w:t>Riot, use of force to suppress by military personnel</w:t>
      </w:r>
      <w:bookmarkEnd w:id="331"/>
    </w:p>
    <w:p>
      <w:pPr>
        <w:pStyle w:val="Subsection"/>
        <w:spacing w:before="130"/>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spacing w:before="130"/>
        <w:rPr>
          <w:snapToGrid w:val="0"/>
        </w:rPr>
      </w:pPr>
      <w:r>
        <w:rPr>
          <w:snapToGrid w:val="0"/>
        </w:rPr>
        <w:tab/>
      </w:r>
      <w:r>
        <w:rPr>
          <w:snapToGrid w:val="0"/>
        </w:rPr>
        <w:tab/>
        <w:t>Whether any particular command is or is not manifestly unlawful is a question of law.</w:t>
      </w:r>
    </w:p>
    <w:p>
      <w:pPr>
        <w:pStyle w:val="Heading5"/>
        <w:spacing w:before="180"/>
      </w:pPr>
      <w:bookmarkStart w:id="332" w:name="_Toc88662263"/>
      <w:r>
        <w:rPr>
          <w:rStyle w:val="CharSectno"/>
        </w:rPr>
        <w:t>243</w:t>
      </w:r>
      <w:r>
        <w:t>.</w:t>
      </w:r>
      <w:r>
        <w:tab/>
        <w:t>Violence by mentally impaired person, use of force to prevent</w:t>
      </w:r>
      <w:bookmarkEnd w:id="332"/>
    </w:p>
    <w:p>
      <w:pPr>
        <w:pStyle w:val="Subsection"/>
        <w:spacing w:before="130"/>
      </w:pPr>
      <w:r>
        <w:tab/>
      </w:r>
      <w:r>
        <w:tab/>
        <w:t xml:space="preserve">It is lawful for any person to use such force as is reasonably necessary in order to prevent a person whom he believes, on </w:t>
      </w:r>
      <w:r>
        <w:lastRenderedPageBreak/>
        <w:t>reasonable grounds, to be mentally impaired from doing violence to any person or property.</w:t>
      </w:r>
    </w:p>
    <w:p>
      <w:pPr>
        <w:pStyle w:val="Footnotesection"/>
        <w:spacing w:before="100"/>
      </w:pPr>
      <w:r>
        <w:tab/>
        <w:t>[Section 243 inserted: No. 59 of 2006 s. 23.]</w:t>
      </w:r>
    </w:p>
    <w:p>
      <w:pPr>
        <w:pStyle w:val="Heading5"/>
        <w:spacing w:before="180"/>
      </w:pPr>
      <w:bookmarkStart w:id="333" w:name="_Toc88662264"/>
      <w:r>
        <w:rPr>
          <w:rStyle w:val="CharSectno"/>
        </w:rPr>
        <w:t>244</w:t>
      </w:r>
      <w:r>
        <w:t>.</w:t>
      </w:r>
      <w:r>
        <w:tab/>
        <w:t>Home invasion, use of force to prevent etc.</w:t>
      </w:r>
      <w:bookmarkEnd w:id="333"/>
    </w:p>
    <w:p>
      <w:pPr>
        <w:pStyle w:val="Subsection"/>
        <w:keepNext/>
        <w:spacing w:before="130"/>
      </w:pPr>
      <w:r>
        <w:tab/>
        <w:t>(1)</w:t>
      </w:r>
      <w:r>
        <w:tab/>
        <w:t xml:space="preserve">It is lawful for a person (the </w:t>
      </w:r>
      <w:r>
        <w:rPr>
          <w:rStyle w:val="CharDefText"/>
        </w:rPr>
        <w:t>occupant</w:t>
      </w:r>
      <w:r>
        <w:t>) who is in peaceable possession of a dwelling to use any force or do anything else that the occupant believes, on reasonable grounds, to be necessary —</w:t>
      </w:r>
    </w:p>
    <w:p>
      <w:pPr>
        <w:pStyle w:val="Indenta"/>
        <w:spacing w:before="60"/>
      </w:pPr>
      <w:r>
        <w:tab/>
        <w:t>(a)</w:t>
      </w:r>
      <w:r>
        <w:tab/>
        <w:t>to prevent a home invader from wrongfully entering the dwelling or an associated place; or</w:t>
      </w:r>
    </w:p>
    <w:p>
      <w:pPr>
        <w:pStyle w:val="Indenta"/>
        <w:spacing w:before="60"/>
      </w:pPr>
      <w:r>
        <w:tab/>
        <w:t>(b)</w:t>
      </w:r>
      <w:r>
        <w:tab/>
        <w:t>to cause a home invader who is wrongfully in the dwelling or on or in an associated place to leave the dwelling or place; or</w:t>
      </w:r>
    </w:p>
    <w:p>
      <w:pPr>
        <w:pStyle w:val="Indenta"/>
        <w:keepNext/>
        <w:keepLines/>
        <w:spacing w:before="60"/>
      </w:pPr>
      <w:r>
        <w:tab/>
        <w:t>(c)</w:t>
      </w:r>
      <w:r>
        <w:tab/>
        <w:t>to make effectual defence against violence used or threatened in relation to a person by a home invader who is —</w:t>
      </w:r>
    </w:p>
    <w:p>
      <w:pPr>
        <w:pStyle w:val="Indenti"/>
        <w:spacing w:before="60"/>
      </w:pPr>
      <w:r>
        <w:tab/>
        <w:t>(i)</w:t>
      </w:r>
      <w:r>
        <w:tab/>
        <w:t>attempting to wrongfully enter the dwelling or an associated place; or</w:t>
      </w:r>
    </w:p>
    <w:p>
      <w:pPr>
        <w:pStyle w:val="Indenti"/>
        <w:spacing w:before="60"/>
      </w:pPr>
      <w:r>
        <w:tab/>
        <w:t>(ii)</w:t>
      </w:r>
      <w:r>
        <w:tab/>
        <w:t>wrongfully in the dwelling or on or in an associated place;</w:t>
      </w:r>
    </w:p>
    <w:p>
      <w:pPr>
        <w:pStyle w:val="Indenta"/>
        <w:spacing w:before="40"/>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(1A)</w:t>
      </w:r>
      <w:r>
        <w:tab/>
        <w:t>Despite subsection (1), it is not lawful for the occupant to use force that is intended, or that is likely, to cause death to a home invader unless the occupant believes, on reasonable grounds, that violence is being or is likely to be used or is threatened in relation to a person by a home invader.</w:t>
      </w:r>
    </w:p>
    <w:p>
      <w:pPr>
        <w:pStyle w:val="Subsection"/>
      </w:pPr>
      <w:r>
        <w:tab/>
        <w:t>(2)</w:t>
      </w:r>
      <w:r>
        <w:tab/>
        <w:t xml:space="preserve">A person is a </w:t>
      </w:r>
      <w:r>
        <w:rPr>
          <w:rStyle w:val="CharDefText"/>
        </w:rPr>
        <w:t>home invader</w:t>
      </w:r>
      <w:r>
        <w:t xml:space="preserve"> for the purposes of subsection (1) if the occupant believes, on reasonable grounds, that the person —</w:t>
      </w:r>
    </w:p>
    <w:p>
      <w:pPr>
        <w:pStyle w:val="Indenta"/>
      </w:pPr>
      <w:r>
        <w:tab/>
        <w:t>(a)</w:t>
      </w:r>
      <w:r>
        <w:tab/>
        <w:t>intends to commit an offence; or</w:t>
      </w:r>
    </w:p>
    <w:p>
      <w:pPr>
        <w:pStyle w:val="Indenta"/>
        <w:keepLines/>
      </w:pPr>
      <w:r>
        <w:lastRenderedPageBreak/>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If under subsection (1)(c) it is lawful for the occupant to use a degree of force, it is lawful for another person acting in good faith in aid of the occupant to use the same degree of force to defend the occupant.</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rStyle w:val="CharDefText"/>
        </w:rPr>
        <w:t>associated place</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keepNext/>
      </w:pPr>
      <w:r>
        <w:tab/>
      </w:r>
      <w:r>
        <w:rPr>
          <w:rStyle w:val="CharDefText"/>
        </w:rPr>
        <w:t>offence</w:t>
      </w:r>
      <w:r>
        <w:t xml:space="preserve"> means an offence in addition to any wrongful entry;</w:t>
      </w:r>
    </w:p>
    <w:p>
      <w:pPr>
        <w:pStyle w:val="Defstart"/>
      </w:pPr>
      <w:r>
        <w:tab/>
      </w:r>
      <w:r>
        <w:rPr>
          <w:rStyle w:val="CharDefText"/>
        </w:rPr>
        <w:t>place</w:t>
      </w:r>
      <w:r>
        <w:t xml:space="preserve"> means any land, building or structure, or a part of any land, building or structure.</w:t>
      </w:r>
    </w:p>
    <w:p>
      <w:pPr>
        <w:pStyle w:val="Footnotesection"/>
      </w:pPr>
      <w:r>
        <w:tab/>
        <w:t>[Section 244 inserted: No. 45 of 2000 s. 4; amended: No. 29 of 2008 s. 7.]</w:t>
      </w:r>
    </w:p>
    <w:p>
      <w:pPr>
        <w:pStyle w:val="Heading5"/>
        <w:keepLines w:val="0"/>
        <w:spacing w:before="240"/>
      </w:pPr>
      <w:bookmarkStart w:id="334" w:name="_Toc88662265"/>
      <w:r>
        <w:rPr>
          <w:rStyle w:val="CharSectno"/>
        </w:rPr>
        <w:t>245</w:t>
      </w:r>
      <w:r>
        <w:rPr>
          <w:snapToGrid w:val="0"/>
        </w:rPr>
        <w:t>.</w:t>
      </w:r>
      <w:r>
        <w:rPr>
          <w:snapToGrid w:val="0"/>
        </w:rPr>
        <w:tab/>
        <w:t xml:space="preserve">Term used: </w:t>
      </w:r>
      <w:r>
        <w:t>provocation</w:t>
      </w:r>
      <w:bookmarkEnd w:id="334"/>
    </w:p>
    <w:p>
      <w:pPr>
        <w:pStyle w:val="Subsection"/>
        <w:widowControl w:val="0"/>
        <w:spacing w:before="180"/>
        <w:rPr>
          <w:snapToGrid w:val="0"/>
        </w:rPr>
      </w:pPr>
      <w:r>
        <w:rPr>
          <w:snapToGrid w:val="0"/>
        </w:rPr>
        <w:tab/>
      </w:r>
      <w:r>
        <w:rPr>
          <w:snapToGrid w:val="0"/>
        </w:rPr>
        <w:tab/>
        <w:t xml:space="preserve">The term </w:t>
      </w:r>
      <w:r>
        <w:rPr>
          <w:rStyle w:val="CharDefText"/>
        </w:rPr>
        <w:t>provocation</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w:t>
      </w:r>
      <w:r>
        <w:rPr>
          <w:snapToGrid w:val="0"/>
        </w:rPr>
        <w:lastRenderedPageBreak/>
        <w:t>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ind w:left="890" w:hanging="890"/>
      </w:pPr>
      <w:r>
        <w:tab/>
        <w:t>[Section 245 amended: No. 4 of 2004 s. 61(1).]</w:t>
      </w:r>
    </w:p>
    <w:p>
      <w:pPr>
        <w:pStyle w:val="Heading5"/>
        <w:rPr>
          <w:snapToGrid w:val="0"/>
        </w:rPr>
      </w:pPr>
      <w:bookmarkStart w:id="335" w:name="_Toc88662266"/>
      <w:r>
        <w:rPr>
          <w:rStyle w:val="CharSectno"/>
        </w:rPr>
        <w:t>246</w:t>
      </w:r>
      <w:r>
        <w:rPr>
          <w:snapToGrid w:val="0"/>
        </w:rPr>
        <w:t>.</w:t>
      </w:r>
      <w:r>
        <w:rPr>
          <w:snapToGrid w:val="0"/>
        </w:rPr>
        <w:tab/>
        <w:t>Defence of provocation</w:t>
      </w:r>
      <w:bookmarkEnd w:id="335"/>
    </w:p>
    <w:p>
      <w:pPr>
        <w:pStyle w:val="Subsection"/>
        <w:spacing w:before="120"/>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spacing w:before="120"/>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spacing w:before="240"/>
        <w:rPr>
          <w:snapToGrid w:val="0"/>
        </w:rPr>
      </w:pPr>
      <w:bookmarkStart w:id="336" w:name="_Toc88662267"/>
      <w:r>
        <w:rPr>
          <w:rStyle w:val="CharSectno"/>
        </w:rPr>
        <w:lastRenderedPageBreak/>
        <w:t>247</w:t>
      </w:r>
      <w:r>
        <w:rPr>
          <w:snapToGrid w:val="0"/>
        </w:rPr>
        <w:t>.</w:t>
      </w:r>
      <w:r>
        <w:rPr>
          <w:snapToGrid w:val="0"/>
        </w:rPr>
        <w:tab/>
        <w:t>Repetition of insult, use of force to prevent</w:t>
      </w:r>
      <w:bookmarkEnd w:id="336"/>
    </w:p>
    <w:p>
      <w:pPr>
        <w:pStyle w:val="Subsection"/>
        <w:spacing w:before="180"/>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pPr>
      <w:bookmarkStart w:id="337" w:name="_Toc88662268"/>
      <w:r>
        <w:rPr>
          <w:rStyle w:val="CharSectno"/>
        </w:rPr>
        <w:t>248</w:t>
      </w:r>
      <w:r>
        <w:t>.</w:t>
      </w:r>
      <w:r>
        <w:tab/>
        <w:t>Self</w:t>
      </w:r>
      <w:r>
        <w:noBreakHyphen/>
        <w:t>defence</w:t>
      </w:r>
      <w:bookmarkEnd w:id="337"/>
    </w:p>
    <w:p>
      <w:pPr>
        <w:pStyle w:val="Subsection"/>
        <w:spacing w:before="120"/>
      </w:pPr>
      <w:r>
        <w:tab/>
        <w:t>(1)</w:t>
      </w:r>
      <w:r>
        <w:tab/>
        <w:t>In this section —</w:t>
      </w:r>
    </w:p>
    <w:p>
      <w:pPr>
        <w:pStyle w:val="Defstart"/>
      </w:pPr>
      <w:r>
        <w:rPr>
          <w:b/>
        </w:rPr>
        <w:tab/>
      </w:r>
      <w:r>
        <w:rPr>
          <w:rStyle w:val="CharDefText"/>
        </w:rPr>
        <w:t>harmful act</w:t>
      </w:r>
      <w:r>
        <w:t xml:space="preserve"> means an act that is an element of an offence under this Part other than Chapter XXXV.</w:t>
      </w:r>
    </w:p>
    <w:p>
      <w:pPr>
        <w:pStyle w:val="Subsection"/>
        <w:spacing w:before="120"/>
      </w:pPr>
      <w:r>
        <w:tab/>
        <w:t>(2)</w:t>
      </w:r>
      <w:r>
        <w:tab/>
        <w:t>A harmful act done by a person is lawful if the act is done in self</w:t>
      </w:r>
      <w:r>
        <w:noBreakHyphen/>
        <w:t>defence under subsection (4).</w:t>
      </w:r>
    </w:p>
    <w:p>
      <w:pPr>
        <w:pStyle w:val="Subsection"/>
        <w:spacing w:before="120"/>
      </w:pPr>
      <w:r>
        <w:tab/>
        <w:t>(3)</w:t>
      </w:r>
      <w:r>
        <w:tab/>
        <w:t>If —</w:t>
      </w:r>
    </w:p>
    <w:p>
      <w:pPr>
        <w:pStyle w:val="Indenta"/>
      </w:pPr>
      <w:r>
        <w:tab/>
        <w:t>(a)</w:t>
      </w:r>
      <w:r>
        <w:tab/>
        <w:t>a person unlawfully kills another person in circumstances which, but for this section, would constitute murder; and</w:t>
      </w:r>
    </w:p>
    <w:p>
      <w:pPr>
        <w:pStyle w:val="Indenta"/>
      </w:pPr>
      <w:r>
        <w:tab/>
        <w:t>(b)</w:t>
      </w:r>
      <w:r>
        <w:tab/>
        <w:t>the person’s act that causes the other person’s death would be an act done in self</w:t>
      </w:r>
      <w:r>
        <w:noBreakHyphen/>
        <w:t>defence under subsection (4) but for the fact that the act is not a reasonable response by the person in the circumstances as the person believes them to be,</w:t>
      </w:r>
    </w:p>
    <w:p>
      <w:pPr>
        <w:pStyle w:val="Subsection"/>
        <w:spacing w:before="100"/>
      </w:pPr>
      <w:r>
        <w:tab/>
      </w:r>
      <w:r>
        <w:tab/>
        <w:t>the person is guilty of manslaughter and not murder.</w:t>
      </w:r>
    </w:p>
    <w:p>
      <w:pPr>
        <w:pStyle w:val="Subsection"/>
        <w:spacing w:before="120"/>
      </w:pPr>
      <w:r>
        <w:tab/>
        <w:t>(4)</w:t>
      </w:r>
      <w:r>
        <w:tab/>
        <w:t>A person’s harmful act is done in self</w:t>
      </w:r>
      <w:r>
        <w:noBreakHyphen/>
        <w:t>defence if —</w:t>
      </w:r>
    </w:p>
    <w:p>
      <w:pPr>
        <w:pStyle w:val="Indenta"/>
        <w:spacing w:before="60"/>
      </w:pPr>
      <w:r>
        <w:tab/>
        <w:t>(a)</w:t>
      </w:r>
      <w:r>
        <w:tab/>
        <w:t>the person believes the act is necessary to defend the person or another person from a harmful act, including a harmful act that is not imminent; and</w:t>
      </w:r>
    </w:p>
    <w:p>
      <w:pPr>
        <w:pStyle w:val="Indenta"/>
        <w:spacing w:before="60"/>
      </w:pPr>
      <w:r>
        <w:tab/>
        <w:t>(b)</w:t>
      </w:r>
      <w:r>
        <w:tab/>
        <w:t>the person’s harmful act is a reasonable response by the person in the circumstances as the person believes them to be; and</w:t>
      </w:r>
    </w:p>
    <w:p>
      <w:pPr>
        <w:pStyle w:val="Indenta"/>
        <w:spacing w:before="60"/>
      </w:pPr>
      <w:r>
        <w:tab/>
        <w:t>(c)</w:t>
      </w:r>
      <w:r>
        <w:tab/>
        <w:t>there are reasonable grounds for those beliefs.</w:t>
      </w:r>
    </w:p>
    <w:p>
      <w:pPr>
        <w:pStyle w:val="Subsection"/>
        <w:spacing w:before="120"/>
      </w:pPr>
      <w:r>
        <w:lastRenderedPageBreak/>
        <w:tab/>
        <w:t>(5)</w:t>
      </w:r>
      <w:r>
        <w:tab/>
        <w:t>A person’s harmful act is not done in self</w:t>
      </w:r>
      <w:r>
        <w:noBreakHyphen/>
        <w:t>defence if it is done to defend the person or another person from a harmful act that is lawful.</w:t>
      </w:r>
    </w:p>
    <w:p>
      <w:pPr>
        <w:pStyle w:val="Subsection"/>
        <w:spacing w:before="120"/>
      </w:pPr>
      <w:r>
        <w:tab/>
        <w:t>(6)</w:t>
      </w:r>
      <w:r>
        <w:tab/>
        <w:t>For the purposes of subsection (5), a harmful act is not lawful merely because the person doing it is not criminally responsible for it.</w:t>
      </w:r>
    </w:p>
    <w:p>
      <w:pPr>
        <w:pStyle w:val="Footnotesection"/>
        <w:spacing w:before="80"/>
      </w:pPr>
      <w:r>
        <w:tab/>
        <w:t>[Section 248 inserted: No. 29 of 2008 s. 8.]</w:t>
      </w:r>
    </w:p>
    <w:p>
      <w:pPr>
        <w:pStyle w:val="Ednotesection"/>
        <w:spacing w:before="180"/>
      </w:pPr>
      <w:r>
        <w:t>[</w:t>
      </w:r>
      <w:r>
        <w:rPr>
          <w:b/>
          <w:bCs/>
        </w:rPr>
        <w:t>249, 250.</w:t>
      </w:r>
      <w:r>
        <w:rPr>
          <w:b/>
          <w:bCs/>
        </w:rPr>
        <w:tab/>
      </w:r>
      <w:r>
        <w:t>Deleted: No. 29 of 2008 s. 8.]</w:t>
      </w:r>
    </w:p>
    <w:p>
      <w:pPr>
        <w:pStyle w:val="Heading5"/>
        <w:spacing w:before="180"/>
        <w:rPr>
          <w:snapToGrid w:val="0"/>
        </w:rPr>
      </w:pPr>
      <w:bookmarkStart w:id="338" w:name="_Toc88662269"/>
      <w:r>
        <w:rPr>
          <w:rStyle w:val="CharSectno"/>
        </w:rPr>
        <w:t>251</w:t>
      </w:r>
      <w:r>
        <w:rPr>
          <w:snapToGrid w:val="0"/>
        </w:rPr>
        <w:t>.</w:t>
      </w:r>
      <w:r>
        <w:rPr>
          <w:snapToGrid w:val="0"/>
        </w:rPr>
        <w:tab/>
        <w:t>Movable property, use of force to resist taking of by trespasser etc.</w:t>
      </w:r>
      <w:bookmarkEnd w:id="338"/>
    </w:p>
    <w:p>
      <w:pPr>
        <w:pStyle w:val="Subsection"/>
        <w:spacing w:before="12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No. 37 of 1991 s. 8.]</w:t>
      </w:r>
    </w:p>
    <w:p>
      <w:pPr>
        <w:pStyle w:val="Heading5"/>
        <w:rPr>
          <w:snapToGrid w:val="0"/>
        </w:rPr>
      </w:pPr>
      <w:bookmarkStart w:id="339" w:name="_Toc88662270"/>
      <w:r>
        <w:rPr>
          <w:rStyle w:val="CharSectno"/>
        </w:rPr>
        <w:t>252</w:t>
      </w:r>
      <w:r>
        <w:rPr>
          <w:snapToGrid w:val="0"/>
        </w:rPr>
        <w:t>.</w:t>
      </w:r>
      <w:r>
        <w:rPr>
          <w:snapToGrid w:val="0"/>
        </w:rPr>
        <w:tab/>
        <w:t>Movable property possessed with claim of right, use of force to defend possession of</w:t>
      </w:r>
      <w:bookmarkEnd w:id="339"/>
    </w:p>
    <w:p>
      <w:pPr>
        <w:pStyle w:val="Subsection"/>
        <w:spacing w:before="15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340" w:name="_Toc88662271"/>
      <w:r>
        <w:rPr>
          <w:rStyle w:val="CharSectno"/>
        </w:rPr>
        <w:t>253</w:t>
      </w:r>
      <w:r>
        <w:rPr>
          <w:snapToGrid w:val="0"/>
        </w:rPr>
        <w:t>.</w:t>
      </w:r>
      <w:r>
        <w:rPr>
          <w:snapToGrid w:val="0"/>
        </w:rPr>
        <w:tab/>
        <w:t>Movable property possessed without claim of right etc., use of force to take</w:t>
      </w:r>
      <w:bookmarkEnd w:id="340"/>
    </w:p>
    <w:p>
      <w:pPr>
        <w:pStyle w:val="Subsection"/>
        <w:spacing w:before="150"/>
        <w:rPr>
          <w:snapToGrid w:val="0"/>
        </w:rPr>
      </w:pPr>
      <w:r>
        <w:rPr>
          <w:snapToGrid w:val="0"/>
        </w:rPr>
        <w:tab/>
      </w:r>
      <w:r>
        <w:rPr>
          <w:snapToGrid w:val="0"/>
        </w:rPr>
        <w:tab/>
        <w:t xml:space="preserve">When a person who is entitled by law to the possession of movable property attempts to take it from a person who is in </w:t>
      </w:r>
      <w:r>
        <w:rPr>
          <w:snapToGrid w:val="0"/>
        </w:rPr>
        <w:lastRenderedPageBreak/>
        <w:t>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No. 37 of 1991 s. 9.]</w:t>
      </w:r>
    </w:p>
    <w:p>
      <w:pPr>
        <w:pStyle w:val="Heading5"/>
        <w:rPr>
          <w:snapToGrid w:val="0"/>
        </w:rPr>
      </w:pPr>
      <w:bookmarkStart w:id="341" w:name="_Toc88662272"/>
      <w:r>
        <w:rPr>
          <w:rStyle w:val="CharSectno"/>
        </w:rPr>
        <w:t>254</w:t>
      </w:r>
      <w:r>
        <w:rPr>
          <w:snapToGrid w:val="0"/>
        </w:rPr>
        <w:t>.</w:t>
      </w:r>
      <w:r>
        <w:rPr>
          <w:snapToGrid w:val="0"/>
        </w:rPr>
        <w:tab/>
        <w:t>Place, use of force to prevent entry to and remove people from</w:t>
      </w:r>
      <w:bookmarkEnd w:id="341"/>
    </w:p>
    <w:p>
      <w:pPr>
        <w:pStyle w:val="Subsection"/>
        <w:spacing w:before="150"/>
        <w:rPr>
          <w:snapToGrid w:val="0"/>
        </w:rPr>
      </w:pPr>
      <w:r>
        <w:rPr>
          <w:snapToGrid w:val="0"/>
        </w:rPr>
        <w:tab/>
        <w:t>(1)</w:t>
      </w:r>
      <w:r>
        <w:rPr>
          <w:snapToGrid w:val="0"/>
        </w:rPr>
        <w:tab/>
        <w:t xml:space="preserve">For the purposes of this section and section 255, the term </w:t>
      </w:r>
      <w:r>
        <w:rPr>
          <w:rStyle w:val="CharDefText"/>
        </w:rPr>
        <w:t>place</w:t>
      </w:r>
      <w:r>
        <w:rPr>
          <w:snapToGrid w:val="0"/>
        </w:rPr>
        <w:t xml:space="preserve"> means any land, building, structure, tent, or conveyance, or a part of any land, building, structure, tent, or conveyance.</w:t>
      </w:r>
    </w:p>
    <w:p>
      <w:pPr>
        <w:pStyle w:val="Subsection"/>
        <w:spacing w:before="150"/>
        <w:rPr>
          <w:snapToGrid w:val="0"/>
        </w:rPr>
      </w:pPr>
      <w:r>
        <w:rPr>
          <w:snapToGrid w:val="0"/>
        </w:rPr>
        <w:tab/>
        <w:t>(2)</w:t>
      </w:r>
      <w:r>
        <w:rPr>
          <w:snapToGrid w:val="0"/>
        </w:rPr>
        <w:tab/>
        <w:t>It is lawful for a person (</w:t>
      </w:r>
      <w:r>
        <w:t xml:space="preserve">the </w:t>
      </w:r>
      <w:r>
        <w:rPr>
          <w:rStyle w:val="CharDefText"/>
        </w:rPr>
        <w:t>occupant</w:t>
      </w:r>
      <w:r>
        <w:rPr>
          <w:snapToGrid w:val="0"/>
        </w:rPr>
        <w:t>) who is in peaceable possession of any place, or who is entitled to the control or management of any place, to use such force as is reasonably necessary —</w:t>
      </w:r>
    </w:p>
    <w:p>
      <w:pPr>
        <w:pStyle w:val="Indenta"/>
        <w:rPr>
          <w:snapToGrid w:val="0"/>
        </w:rPr>
      </w:pPr>
      <w:r>
        <w:rPr>
          <w:snapToGrid w:val="0"/>
        </w:rPr>
        <w:tab/>
        <w:t>(a)</w:t>
      </w:r>
      <w:r>
        <w:rPr>
          <w:snapToGrid w:val="0"/>
        </w:rPr>
        <w:tab/>
        <w:t>to prevent a person from wrongfully entering the place; or</w:t>
      </w:r>
    </w:p>
    <w:p>
      <w:pPr>
        <w:pStyle w:val="Indenta"/>
        <w:rPr>
          <w:snapToGrid w:val="0"/>
        </w:rPr>
      </w:pPr>
      <w:r>
        <w:rPr>
          <w:snapToGrid w:val="0"/>
        </w:rPr>
        <w:tab/>
        <w:t>(b)</w:t>
      </w:r>
      <w:r>
        <w:rPr>
          <w:snapToGrid w:val="0"/>
        </w:rPr>
        <w:tab/>
        <w:t>to remove a person who wrongfully remains on or in the place; or</w:t>
      </w:r>
    </w:p>
    <w:p>
      <w:pPr>
        <w:pStyle w:val="Indenta"/>
        <w:keepLines/>
        <w:rPr>
          <w:snapToGrid w:val="0"/>
        </w:rPr>
      </w:pPr>
      <w:r>
        <w:rPr>
          <w:snapToGrid w:val="0"/>
        </w:rPr>
        <w:tab/>
        <w:t>(c)</w:t>
      </w:r>
      <w:r>
        <w:rPr>
          <w:snapToGrid w:val="0"/>
        </w:rPr>
        <w:tab/>
        <w:t>to remove a person behaving in a disorderly manner on or in the place;</w:t>
      </w:r>
    </w:p>
    <w:p>
      <w:pPr>
        <w:pStyle w:val="Subsection"/>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No. 37 of 1991 s. 10.]</w:t>
      </w:r>
    </w:p>
    <w:p>
      <w:pPr>
        <w:pStyle w:val="Heading5"/>
        <w:rPr>
          <w:snapToGrid w:val="0"/>
        </w:rPr>
      </w:pPr>
      <w:bookmarkStart w:id="342" w:name="_Toc88662273"/>
      <w:r>
        <w:rPr>
          <w:rStyle w:val="CharSectno"/>
        </w:rPr>
        <w:lastRenderedPageBreak/>
        <w:t>255</w:t>
      </w:r>
      <w:r>
        <w:rPr>
          <w:snapToGrid w:val="0"/>
        </w:rPr>
        <w:t>.</w:t>
      </w:r>
      <w:r>
        <w:rPr>
          <w:snapToGrid w:val="0"/>
        </w:rPr>
        <w:tab/>
        <w:t>Place possessed with claim of right, use of force to defend</w:t>
      </w:r>
      <w:bookmarkEnd w:id="342"/>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No. 37 of 1991 s. 11.]</w:t>
      </w:r>
    </w:p>
    <w:p>
      <w:pPr>
        <w:pStyle w:val="Heading5"/>
        <w:rPr>
          <w:snapToGrid w:val="0"/>
        </w:rPr>
      </w:pPr>
      <w:bookmarkStart w:id="343" w:name="_Toc88662274"/>
      <w:r>
        <w:rPr>
          <w:rStyle w:val="CharSectno"/>
        </w:rPr>
        <w:t>256</w:t>
      </w:r>
      <w:r>
        <w:rPr>
          <w:snapToGrid w:val="0"/>
        </w:rPr>
        <w:t>.</w:t>
      </w:r>
      <w:r>
        <w:rPr>
          <w:snapToGrid w:val="0"/>
        </w:rPr>
        <w:tab/>
        <w:t>Entry to land to exercise disputed right</w:t>
      </w:r>
      <w:r>
        <w:rPr>
          <w:snapToGrid w:val="0"/>
        </w:rPr>
        <w:noBreakHyphen/>
        <w:t>of</w:t>
      </w:r>
      <w:r>
        <w:rPr>
          <w:snapToGrid w:val="0"/>
        </w:rPr>
        <w:noBreakHyphen/>
        <w:t>way etc., use of force to prevent</w:t>
      </w:r>
      <w:bookmarkEnd w:id="343"/>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344" w:name="_Toc88662275"/>
      <w:r>
        <w:rPr>
          <w:rStyle w:val="CharSectno"/>
        </w:rPr>
        <w:t>257</w:t>
      </w:r>
      <w:r>
        <w:rPr>
          <w:snapToGrid w:val="0"/>
        </w:rPr>
        <w:t>.</w:t>
      </w:r>
      <w:r>
        <w:rPr>
          <w:snapToGrid w:val="0"/>
        </w:rPr>
        <w:tab/>
        <w:t>Discipline of children, use of force for</w:t>
      </w:r>
      <w:bookmarkEnd w:id="344"/>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spacing w:before="80"/>
        <w:ind w:left="890" w:hanging="890"/>
      </w:pPr>
      <w:r>
        <w:tab/>
        <w:t>[Section 257 amended: No. 4 of 2004 s. 61(2).]</w:t>
      </w:r>
    </w:p>
    <w:p>
      <w:pPr>
        <w:pStyle w:val="Heading5"/>
        <w:rPr>
          <w:snapToGrid w:val="0"/>
        </w:rPr>
      </w:pPr>
      <w:bookmarkStart w:id="345" w:name="_Toc88662276"/>
      <w:r>
        <w:rPr>
          <w:rStyle w:val="CharSectno"/>
        </w:rPr>
        <w:t>258</w:t>
      </w:r>
      <w:r>
        <w:rPr>
          <w:snapToGrid w:val="0"/>
        </w:rPr>
        <w:t>.</w:t>
      </w:r>
      <w:r>
        <w:rPr>
          <w:snapToGrid w:val="0"/>
        </w:rPr>
        <w:tab/>
        <w:t>Discipline on ship or aircraft, use of force for</w:t>
      </w:r>
      <w:bookmarkEnd w:id="345"/>
    </w:p>
    <w:p>
      <w:pPr>
        <w:pStyle w:val="Subsection"/>
        <w:rPr>
          <w:snapToGrid w:val="0"/>
        </w:rPr>
      </w:pPr>
      <w:r>
        <w:rPr>
          <w:snapToGrid w:val="0"/>
        </w:rPr>
        <w:tab/>
      </w:r>
      <w:r>
        <w:rPr>
          <w:snapToGrid w:val="0"/>
        </w:rPr>
        <w:tab/>
        <w:t>It is lawful for the master or other person in command of —</w:t>
      </w:r>
    </w:p>
    <w:p>
      <w:pPr>
        <w:pStyle w:val="Indenta"/>
        <w:rPr>
          <w:snapToGrid w:val="0"/>
        </w:rPr>
      </w:pPr>
      <w:r>
        <w:rPr>
          <w:snapToGrid w:val="0"/>
        </w:rPr>
        <w:tab/>
        <w:t>(a)</w:t>
      </w:r>
      <w:r>
        <w:rPr>
          <w:snapToGrid w:val="0"/>
        </w:rPr>
        <w:tab/>
        <w:t>a vessel on a voyage; or</w:t>
      </w:r>
    </w:p>
    <w:p>
      <w:pPr>
        <w:pStyle w:val="Indenta"/>
        <w:keepNext/>
        <w:rPr>
          <w:snapToGrid w:val="0"/>
        </w:rPr>
      </w:pPr>
      <w:r>
        <w:rPr>
          <w:snapToGrid w:val="0"/>
        </w:rPr>
        <w:lastRenderedPageBreak/>
        <w:tab/>
        <w:t>(b)</w:t>
      </w:r>
      <w:r>
        <w:rPr>
          <w:snapToGrid w:val="0"/>
        </w:rPr>
        <w:tab/>
        <w:t>an aircraft on a flight;</w:t>
      </w:r>
    </w:p>
    <w:p>
      <w:pPr>
        <w:pStyle w:val="Subsection"/>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[Section 258 inserted: No. 53 of 1964 s. 3.]</w:t>
      </w:r>
    </w:p>
    <w:p>
      <w:pPr>
        <w:pStyle w:val="Heading5"/>
      </w:pPr>
      <w:bookmarkStart w:id="346" w:name="_Toc88662277"/>
      <w:r>
        <w:rPr>
          <w:rStyle w:val="CharSectno"/>
        </w:rPr>
        <w:t>259</w:t>
      </w:r>
      <w:r>
        <w:t>.</w:t>
      </w:r>
      <w:r>
        <w:tab/>
        <w:t>Surgical and medical treatment, liability for</w:t>
      </w:r>
      <w:bookmarkEnd w:id="346"/>
    </w:p>
    <w:p>
      <w:pPr>
        <w:pStyle w:val="Subsection"/>
      </w:pPr>
      <w:r>
        <w:tab/>
        <w:t>(1)</w:t>
      </w:r>
      <w:r>
        <w:tab/>
        <w:t>A person is not criminally responsible for administering, in good faith and with reasonable care and skill, surgical or medical treatment (including palliative care) —</w:t>
      </w:r>
    </w:p>
    <w:p>
      <w:pPr>
        <w:pStyle w:val="Indenta"/>
      </w:pPr>
      <w:r>
        <w:tab/>
        <w:t>(a)</w:t>
      </w:r>
      <w:r>
        <w:tab/>
        <w:t>to another person for that other person’s benefit; or</w:t>
      </w:r>
    </w:p>
    <w:p>
      <w:pPr>
        <w:pStyle w:val="Indenta"/>
      </w:pPr>
      <w:r>
        <w:tab/>
        <w:t>(b)</w:t>
      </w:r>
      <w:r>
        <w:tab/>
        <w:t>to an unborn child for the preservation of the mother’s life,</w:t>
      </w:r>
    </w:p>
    <w:p>
      <w:pPr>
        <w:pStyle w:val="Subsection"/>
      </w:pPr>
      <w:r>
        <w:tab/>
      </w:r>
      <w:r>
        <w:tab/>
        <w:t>if the administration of the treatment is reasonable, having regard to the patient’s state at the time and to all the circumstances of the case.</w:t>
      </w:r>
    </w:p>
    <w:p>
      <w:pPr>
        <w:pStyle w:val="Subsection"/>
      </w:pPr>
      <w:r>
        <w:tab/>
        <w:t>(2)</w:t>
      </w:r>
      <w:r>
        <w:tab/>
        <w:t>A person is not criminally responsible for not administering or ceasing to administer, in good faith and with reasonable care and skill, surgical or medical treatment (including palliative care) if not administering or ceasing to administer the treatment is reasonable, having regard to the patient’s state at the time and to all the circumstances of the case.</w:t>
      </w:r>
    </w:p>
    <w:p>
      <w:pPr>
        <w:pStyle w:val="Footnotesection"/>
      </w:pPr>
      <w:r>
        <w:tab/>
        <w:t>[Section 259 inserted: No. 15 of 1998 s. 5; amended: No. 25 of 2008 s. 18.]</w:t>
      </w:r>
    </w:p>
    <w:p>
      <w:pPr>
        <w:pStyle w:val="Heading5"/>
        <w:rPr>
          <w:snapToGrid w:val="0"/>
        </w:rPr>
      </w:pPr>
      <w:bookmarkStart w:id="347" w:name="_Toc88662278"/>
      <w:r>
        <w:rPr>
          <w:rStyle w:val="CharSectno"/>
        </w:rPr>
        <w:t>259A</w:t>
      </w:r>
      <w:r>
        <w:rPr>
          <w:snapToGrid w:val="0"/>
        </w:rPr>
        <w:t>.</w:t>
      </w:r>
      <w:r>
        <w:rPr>
          <w:snapToGrid w:val="0"/>
        </w:rPr>
        <w:tab/>
        <w:t>Inoculation procedure, liability for</w:t>
      </w:r>
      <w:bookmarkEnd w:id="347"/>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ind w:left="890" w:hanging="890"/>
      </w:pPr>
      <w:r>
        <w:tab/>
        <w:t>[Section 259A inserted: No. 51 of 1992 s. 4.]</w:t>
      </w:r>
    </w:p>
    <w:p>
      <w:pPr>
        <w:pStyle w:val="Heading5"/>
        <w:rPr>
          <w:snapToGrid w:val="0"/>
        </w:rPr>
      </w:pPr>
      <w:bookmarkStart w:id="348" w:name="_Toc88662279"/>
      <w:r>
        <w:rPr>
          <w:rStyle w:val="CharSectno"/>
        </w:rPr>
        <w:lastRenderedPageBreak/>
        <w:t>260</w:t>
      </w:r>
      <w:r>
        <w:rPr>
          <w:snapToGrid w:val="0"/>
        </w:rPr>
        <w:t>.</w:t>
      </w:r>
      <w:r>
        <w:rPr>
          <w:snapToGrid w:val="0"/>
        </w:rPr>
        <w:tab/>
        <w:t>Excessive force is unlawful</w:t>
      </w:r>
      <w:bookmarkEnd w:id="348"/>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349" w:name="_Toc88662280"/>
      <w:r>
        <w:rPr>
          <w:rStyle w:val="CharSectno"/>
        </w:rPr>
        <w:t>261</w:t>
      </w:r>
      <w:r>
        <w:rPr>
          <w:snapToGrid w:val="0"/>
        </w:rPr>
        <w:t>.</w:t>
      </w:r>
      <w:r>
        <w:rPr>
          <w:snapToGrid w:val="0"/>
        </w:rPr>
        <w:tab/>
        <w:t>Consent to death immaterial</w:t>
      </w:r>
      <w:bookmarkEnd w:id="349"/>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350" w:name="_Toc88569838"/>
      <w:bookmarkStart w:id="351" w:name="_Toc88570360"/>
      <w:bookmarkStart w:id="352" w:name="_Toc88570882"/>
      <w:bookmarkStart w:id="353" w:name="_Toc88662281"/>
      <w:r>
        <w:rPr>
          <w:rStyle w:val="CharDivNo"/>
        </w:rPr>
        <w:t>Chapter XXVII</w:t>
      </w:r>
      <w:r>
        <w:rPr>
          <w:snapToGrid w:val="0"/>
        </w:rPr>
        <w:t> — </w:t>
      </w:r>
      <w:r>
        <w:rPr>
          <w:rStyle w:val="CharDivText"/>
        </w:rPr>
        <w:t>Duties relating to the preservation of human life</w:t>
      </w:r>
      <w:bookmarkEnd w:id="350"/>
      <w:bookmarkEnd w:id="351"/>
      <w:bookmarkEnd w:id="352"/>
      <w:bookmarkEnd w:id="353"/>
    </w:p>
    <w:p>
      <w:pPr>
        <w:pStyle w:val="Heading5"/>
        <w:rPr>
          <w:snapToGrid w:val="0"/>
        </w:rPr>
      </w:pPr>
      <w:bookmarkStart w:id="354" w:name="_Toc88662282"/>
      <w:r>
        <w:rPr>
          <w:rStyle w:val="CharSectno"/>
        </w:rPr>
        <w:t>262</w:t>
      </w:r>
      <w:r>
        <w:rPr>
          <w:snapToGrid w:val="0"/>
        </w:rPr>
        <w:t>.</w:t>
      </w:r>
      <w:r>
        <w:rPr>
          <w:snapToGrid w:val="0"/>
        </w:rPr>
        <w:tab/>
        <w:t>Duty to provide necessaries of life</w:t>
      </w:r>
      <w:bookmarkEnd w:id="354"/>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100"/>
        <w:ind w:left="890" w:hanging="890"/>
      </w:pPr>
      <w:r>
        <w:tab/>
        <w:t>[Section 262 amended: No. 69 of 1996 s. 10.]</w:t>
      </w:r>
    </w:p>
    <w:p>
      <w:pPr>
        <w:pStyle w:val="Heading5"/>
        <w:rPr>
          <w:snapToGrid w:val="0"/>
        </w:rPr>
      </w:pPr>
      <w:bookmarkStart w:id="355" w:name="_Toc88662283"/>
      <w:r>
        <w:rPr>
          <w:rStyle w:val="CharSectno"/>
        </w:rPr>
        <w:t>263</w:t>
      </w:r>
      <w:r>
        <w:rPr>
          <w:snapToGrid w:val="0"/>
        </w:rPr>
        <w:t>.</w:t>
      </w:r>
      <w:r>
        <w:rPr>
          <w:snapToGrid w:val="0"/>
        </w:rPr>
        <w:tab/>
        <w:t>Duty of head of family</w:t>
      </w:r>
      <w:bookmarkEnd w:id="355"/>
    </w:p>
    <w:p>
      <w:pPr>
        <w:pStyle w:val="Subsection"/>
        <w:spacing w:before="120"/>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spacing w:before="180"/>
      </w:pPr>
      <w:r>
        <w:t>[</w:t>
      </w:r>
      <w:r>
        <w:rPr>
          <w:b/>
        </w:rPr>
        <w:t>264.</w:t>
      </w:r>
      <w:r>
        <w:rPr>
          <w:b/>
        </w:rPr>
        <w:tab/>
      </w:r>
      <w:r>
        <w:t>Deleted: No. 4 of 2004 s. 61(3).]</w:t>
      </w:r>
    </w:p>
    <w:p>
      <w:pPr>
        <w:pStyle w:val="Heading5"/>
        <w:spacing w:before="180"/>
        <w:rPr>
          <w:snapToGrid w:val="0"/>
        </w:rPr>
      </w:pPr>
      <w:bookmarkStart w:id="356" w:name="_Toc88662284"/>
      <w:r>
        <w:rPr>
          <w:rStyle w:val="CharSectno"/>
        </w:rPr>
        <w:lastRenderedPageBreak/>
        <w:t>265</w:t>
      </w:r>
      <w:r>
        <w:rPr>
          <w:snapToGrid w:val="0"/>
        </w:rPr>
        <w:t>.</w:t>
      </w:r>
      <w:r>
        <w:rPr>
          <w:snapToGrid w:val="0"/>
        </w:rPr>
        <w:tab/>
        <w:t>Duty of person doing dangerous act</w:t>
      </w:r>
      <w:bookmarkEnd w:id="356"/>
    </w:p>
    <w:p>
      <w:pPr>
        <w:pStyle w:val="Subsection"/>
        <w:spacing w:before="120"/>
        <w:rPr>
          <w:snapToGrid w:val="0"/>
        </w:rPr>
      </w:pPr>
      <w:r>
        <w:rPr>
          <w:snapToGrid w:val="0"/>
        </w:rPr>
        <w:tab/>
      </w:r>
      <w:r>
        <w:rPr>
          <w:snapToGrid w:val="0"/>
        </w:rPr>
        <w:tab/>
        <w:t xml:space="preserve">It is the duty of every person who, except in a case of necessity, undertakes to administer surgical or medical treatment </w:t>
      </w:r>
      <w:r>
        <w:t xml:space="preserve">(including palliative care) </w:t>
      </w:r>
      <w:r>
        <w:rPr>
          <w:snapToGrid w:val="0"/>
        </w:rPr>
        <w:t>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Footnotesection"/>
        <w:spacing w:before="100"/>
      </w:pPr>
      <w:r>
        <w:tab/>
        <w:t>[Section 265 amended: No. 25 of 2008 s. 19.]</w:t>
      </w:r>
    </w:p>
    <w:p>
      <w:pPr>
        <w:pStyle w:val="Heading5"/>
        <w:spacing w:before="180"/>
        <w:rPr>
          <w:snapToGrid w:val="0"/>
        </w:rPr>
      </w:pPr>
      <w:bookmarkStart w:id="357" w:name="_Toc88662285"/>
      <w:r>
        <w:rPr>
          <w:rStyle w:val="CharSectno"/>
        </w:rPr>
        <w:t>266</w:t>
      </w:r>
      <w:r>
        <w:rPr>
          <w:snapToGrid w:val="0"/>
        </w:rPr>
        <w:t>.</w:t>
      </w:r>
      <w:r>
        <w:rPr>
          <w:snapToGrid w:val="0"/>
        </w:rPr>
        <w:tab/>
        <w:t>Duty of person in charge of dangerous thing</w:t>
      </w:r>
      <w:bookmarkEnd w:id="357"/>
    </w:p>
    <w:p>
      <w:pPr>
        <w:pStyle w:val="Subsection"/>
        <w:spacing w:before="120"/>
      </w:pPr>
      <w:r>
        <w:tab/>
        <w:t>(1)</w:t>
      </w:r>
      <w:r>
        <w:tab/>
        <w:t>In this section —</w:t>
      </w:r>
    </w:p>
    <w:p>
      <w:pPr>
        <w:pStyle w:val="Defstart"/>
      </w:pPr>
      <w:r>
        <w:tab/>
      </w:r>
      <w:r>
        <w:rPr>
          <w:rStyle w:val="CharDefText"/>
        </w:rPr>
        <w:t>anything</w:t>
      </w:r>
      <w:r>
        <w:t xml:space="preserve"> includes a source of ignition and a fire.</w:t>
      </w:r>
    </w:p>
    <w:p>
      <w:pPr>
        <w:pStyle w:val="Subsection"/>
        <w:spacing w:before="120"/>
        <w:rPr>
          <w:snapToGrid w:val="0"/>
        </w:rPr>
      </w:pPr>
      <w:r>
        <w:rPr>
          <w:snapToGrid w:val="0"/>
        </w:rPr>
        <w:tab/>
        <w:t>(2)</w:t>
      </w:r>
      <w:r>
        <w:rPr>
          <w:snapToGrid w:val="0"/>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Footnotesection"/>
      </w:pPr>
      <w:r>
        <w:tab/>
        <w:t>[Section 266 amended: No. 43 of 2009 s. 8.]</w:t>
      </w:r>
    </w:p>
    <w:p>
      <w:pPr>
        <w:pStyle w:val="Heading5"/>
        <w:spacing w:before="180"/>
        <w:rPr>
          <w:snapToGrid w:val="0"/>
        </w:rPr>
      </w:pPr>
      <w:bookmarkStart w:id="358" w:name="_Toc88662286"/>
      <w:r>
        <w:rPr>
          <w:rStyle w:val="CharSectno"/>
        </w:rPr>
        <w:t>267</w:t>
      </w:r>
      <w:r>
        <w:rPr>
          <w:snapToGrid w:val="0"/>
        </w:rPr>
        <w:t>.</w:t>
      </w:r>
      <w:r>
        <w:rPr>
          <w:snapToGrid w:val="0"/>
        </w:rPr>
        <w:tab/>
        <w:t>Duty to do certain acts</w:t>
      </w:r>
      <w:bookmarkEnd w:id="358"/>
    </w:p>
    <w:p>
      <w:pPr>
        <w:pStyle w:val="Subsection"/>
        <w:spacing w:before="120"/>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keepLines/>
        <w:spacing w:before="220"/>
        <w:rPr>
          <w:snapToGrid w:val="0"/>
        </w:rPr>
      </w:pPr>
      <w:bookmarkStart w:id="359" w:name="_Toc88569844"/>
      <w:bookmarkStart w:id="360" w:name="_Toc88570366"/>
      <w:bookmarkStart w:id="361" w:name="_Toc88570888"/>
      <w:bookmarkStart w:id="362" w:name="_Toc88662287"/>
      <w:r>
        <w:rPr>
          <w:rStyle w:val="CharDivNo"/>
        </w:rPr>
        <w:lastRenderedPageBreak/>
        <w:t>Chapter XXVIII</w:t>
      </w:r>
      <w:r>
        <w:rPr>
          <w:snapToGrid w:val="0"/>
        </w:rPr>
        <w:t> — </w:t>
      </w:r>
      <w:r>
        <w:rPr>
          <w:rStyle w:val="CharDivText"/>
        </w:rPr>
        <w:t>Homicide: Suicide: Concealment of birth</w:t>
      </w:r>
      <w:bookmarkEnd w:id="359"/>
      <w:bookmarkEnd w:id="360"/>
      <w:bookmarkEnd w:id="361"/>
      <w:bookmarkEnd w:id="362"/>
    </w:p>
    <w:p>
      <w:pPr>
        <w:pStyle w:val="Heading5"/>
        <w:spacing w:before="180"/>
        <w:rPr>
          <w:snapToGrid w:val="0"/>
        </w:rPr>
      </w:pPr>
      <w:bookmarkStart w:id="363" w:name="_Toc88662288"/>
      <w:r>
        <w:rPr>
          <w:rStyle w:val="CharSectno"/>
        </w:rPr>
        <w:t>268</w:t>
      </w:r>
      <w:r>
        <w:rPr>
          <w:snapToGrid w:val="0"/>
        </w:rPr>
        <w:t>.</w:t>
      </w:r>
      <w:r>
        <w:rPr>
          <w:snapToGrid w:val="0"/>
        </w:rPr>
        <w:tab/>
      </w:r>
      <w:r>
        <w:t>Killing</w:t>
      </w:r>
      <w:r>
        <w:rPr>
          <w:snapToGrid w:val="0"/>
        </w:rPr>
        <w:t xml:space="preserve"> a person is unlawful</w:t>
      </w:r>
      <w:bookmarkEnd w:id="363"/>
    </w:p>
    <w:p>
      <w:pPr>
        <w:pStyle w:val="Subsection"/>
        <w:keepLines/>
        <w:spacing w:before="120"/>
        <w:rPr>
          <w:snapToGrid w:val="0"/>
        </w:rPr>
      </w:pPr>
      <w:r>
        <w:rPr>
          <w:snapToGrid w:val="0"/>
        </w:rPr>
        <w:tab/>
      </w:r>
      <w:r>
        <w:rPr>
          <w:snapToGrid w:val="0"/>
        </w:rPr>
        <w:tab/>
        <w:t>It is unlawful to kill any person unless such killing is authorised or justified or excused by law.</w:t>
      </w:r>
    </w:p>
    <w:p>
      <w:pPr>
        <w:pStyle w:val="Heading5"/>
        <w:spacing w:before="180"/>
        <w:rPr>
          <w:snapToGrid w:val="0"/>
        </w:rPr>
      </w:pPr>
      <w:bookmarkStart w:id="364" w:name="_Toc88662289"/>
      <w:r>
        <w:rPr>
          <w:rStyle w:val="CharSectno"/>
        </w:rPr>
        <w:t>269</w:t>
      </w:r>
      <w:r>
        <w:rPr>
          <w:snapToGrid w:val="0"/>
        </w:rPr>
        <w:t>.</w:t>
      </w:r>
      <w:r>
        <w:rPr>
          <w:snapToGrid w:val="0"/>
        </w:rPr>
        <w:tab/>
        <w:t>When a child becomes a human being</w:t>
      </w:r>
      <w:bookmarkEnd w:id="364"/>
    </w:p>
    <w:p>
      <w:pPr>
        <w:pStyle w:val="Subsection"/>
        <w:spacing w:before="12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keepNext w:val="0"/>
        <w:keepLines w:val="0"/>
        <w:spacing w:before="180"/>
        <w:rPr>
          <w:snapToGrid w:val="0"/>
        </w:rPr>
      </w:pPr>
      <w:bookmarkStart w:id="365" w:name="_Toc88662290"/>
      <w:r>
        <w:rPr>
          <w:rStyle w:val="CharSectno"/>
        </w:rPr>
        <w:t>270</w:t>
      </w:r>
      <w:r>
        <w:rPr>
          <w:snapToGrid w:val="0"/>
        </w:rPr>
        <w:t>.</w:t>
      </w:r>
      <w:r>
        <w:rPr>
          <w:snapToGrid w:val="0"/>
        </w:rPr>
        <w:tab/>
        <w:t xml:space="preserve">Term used: </w:t>
      </w:r>
      <w:r>
        <w:rPr>
          <w:rStyle w:val="CharDefText"/>
          <w:b/>
          <w:bCs/>
          <w:i w:val="0"/>
          <w:iCs/>
        </w:rPr>
        <w:t>kill</w:t>
      </w:r>
      <w:bookmarkEnd w:id="365"/>
    </w:p>
    <w:p>
      <w:pPr>
        <w:pStyle w:val="Subsection"/>
        <w:spacing w:before="100"/>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spacing w:before="60"/>
        <w:ind w:left="890" w:hanging="890"/>
      </w:pPr>
      <w:r>
        <w:tab/>
        <w:t>[Section 270 amended: No. 37 of 1991 s. 5.]</w:t>
      </w:r>
    </w:p>
    <w:p>
      <w:pPr>
        <w:pStyle w:val="Heading5"/>
        <w:rPr>
          <w:snapToGrid w:val="0"/>
        </w:rPr>
      </w:pPr>
      <w:bookmarkStart w:id="366" w:name="_Toc88662291"/>
      <w:r>
        <w:rPr>
          <w:rStyle w:val="CharSectno"/>
        </w:rPr>
        <w:t>271</w:t>
      </w:r>
      <w:r>
        <w:rPr>
          <w:snapToGrid w:val="0"/>
        </w:rPr>
        <w:t>.</w:t>
      </w:r>
      <w:r>
        <w:rPr>
          <w:snapToGrid w:val="0"/>
        </w:rPr>
        <w:tab/>
        <w:t>Death from act done at childbirth</w:t>
      </w:r>
      <w:bookmarkEnd w:id="366"/>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367" w:name="_Toc88662292"/>
      <w:r>
        <w:rPr>
          <w:rStyle w:val="CharSectno"/>
        </w:rPr>
        <w:t>272</w:t>
      </w:r>
      <w:r>
        <w:rPr>
          <w:snapToGrid w:val="0"/>
        </w:rPr>
        <w:t>.</w:t>
      </w:r>
      <w:r>
        <w:rPr>
          <w:snapToGrid w:val="0"/>
        </w:rPr>
        <w:tab/>
        <w:t>Causing death by threat</w:t>
      </w:r>
      <w:bookmarkEnd w:id="367"/>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368" w:name="_Toc88662293"/>
      <w:r>
        <w:rPr>
          <w:rStyle w:val="CharSectno"/>
        </w:rPr>
        <w:t>273</w:t>
      </w:r>
      <w:r>
        <w:rPr>
          <w:snapToGrid w:val="0"/>
        </w:rPr>
        <w:t>.</w:t>
      </w:r>
      <w:r>
        <w:rPr>
          <w:snapToGrid w:val="0"/>
        </w:rPr>
        <w:tab/>
        <w:t>Acceleration of death</w:t>
      </w:r>
      <w:bookmarkEnd w:id="368"/>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369" w:name="_Toc88662294"/>
      <w:r>
        <w:rPr>
          <w:rStyle w:val="CharSectno"/>
        </w:rPr>
        <w:lastRenderedPageBreak/>
        <w:t>274</w:t>
      </w:r>
      <w:r>
        <w:rPr>
          <w:snapToGrid w:val="0"/>
        </w:rPr>
        <w:t>.</w:t>
      </w:r>
      <w:r>
        <w:rPr>
          <w:snapToGrid w:val="0"/>
        </w:rPr>
        <w:tab/>
        <w:t>Death from bodily injury that might have been avoided or prevented</w:t>
      </w:r>
      <w:bookmarkEnd w:id="369"/>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keepNext w:val="0"/>
        <w:keepLines w:val="0"/>
        <w:rPr>
          <w:snapToGrid w:val="0"/>
        </w:rPr>
      </w:pPr>
      <w:bookmarkStart w:id="370" w:name="_Toc88662295"/>
      <w:r>
        <w:rPr>
          <w:rStyle w:val="CharSectno"/>
        </w:rPr>
        <w:t>275</w:t>
      </w:r>
      <w:r>
        <w:rPr>
          <w:snapToGrid w:val="0"/>
        </w:rPr>
        <w:t>.</w:t>
      </w:r>
      <w:r>
        <w:rPr>
          <w:snapToGrid w:val="0"/>
        </w:rPr>
        <w:tab/>
        <w:t>Death from, or from treatment of, grievous bodily harm</w:t>
      </w:r>
      <w:bookmarkEnd w:id="370"/>
    </w:p>
    <w:p>
      <w:pPr>
        <w:pStyle w:val="Subsection"/>
        <w:rPr>
          <w:snapToGrid w:val="0"/>
        </w:rPr>
      </w:pPr>
      <w:r>
        <w:rPr>
          <w:snapToGrid w:val="0"/>
        </w:rPr>
        <w:tab/>
      </w:r>
      <w:r>
        <w:rPr>
          <w:snapToGrid w:val="0"/>
        </w:rPr>
        <w:tab/>
        <w:t xml:space="preserve">When a person does grievous bodily harm to another and such other person has recourse to surgical or medical </w:t>
      </w:r>
      <w:r>
        <w:t xml:space="preserve">treatment (including palliative care), and </w:t>
      </w:r>
      <w:r>
        <w:rPr>
          <w:snapToGrid w:val="0"/>
        </w:rPr>
        <w:t>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Footnotesection"/>
      </w:pPr>
      <w:r>
        <w:tab/>
        <w:t>[Section 275 amended: No. 25 of 2008 s. 20.]</w:t>
      </w:r>
    </w:p>
    <w:p>
      <w:pPr>
        <w:pStyle w:val="Ednotesection"/>
        <w:ind w:left="890" w:hanging="890"/>
      </w:pPr>
      <w:r>
        <w:t>[</w:t>
      </w:r>
      <w:r>
        <w:rPr>
          <w:b/>
        </w:rPr>
        <w:t>276</w:t>
      </w:r>
      <w:r>
        <w:rPr>
          <w:b/>
          <w:bCs/>
        </w:rPr>
        <w:t>.</w:t>
      </w:r>
      <w:r>
        <w:tab/>
        <w:t>Deleted: No. 37 of 1991 s. 6.]</w:t>
      </w:r>
    </w:p>
    <w:p>
      <w:pPr>
        <w:pStyle w:val="Heading5"/>
        <w:rPr>
          <w:snapToGrid w:val="0"/>
        </w:rPr>
      </w:pPr>
      <w:bookmarkStart w:id="371" w:name="_Toc88662296"/>
      <w:r>
        <w:rPr>
          <w:rStyle w:val="CharSectno"/>
        </w:rPr>
        <w:t>277</w:t>
      </w:r>
      <w:r>
        <w:rPr>
          <w:snapToGrid w:val="0"/>
        </w:rPr>
        <w:t>.</w:t>
      </w:r>
      <w:r>
        <w:rPr>
          <w:snapToGrid w:val="0"/>
        </w:rPr>
        <w:tab/>
        <w:t>Unlawful homicide is murder or manslaughter</w:t>
      </w:r>
      <w:bookmarkEnd w:id="371"/>
    </w:p>
    <w:p>
      <w:pPr>
        <w:pStyle w:val="Subsection"/>
        <w:rPr>
          <w:snapToGrid w:val="0"/>
        </w:rPr>
      </w:pPr>
      <w:r>
        <w:rPr>
          <w:snapToGrid w:val="0"/>
        </w:rPr>
        <w:tab/>
      </w:r>
      <w:r>
        <w:rPr>
          <w:snapToGrid w:val="0"/>
        </w:rPr>
        <w:tab/>
        <w:t xml:space="preserve">Any person who unlawfully kills another is guilty of a crime which, according to the circumstances of the case, may be </w:t>
      </w:r>
      <w:r>
        <w:t>murder or manslaughter.</w:t>
      </w:r>
    </w:p>
    <w:p>
      <w:pPr>
        <w:pStyle w:val="Footnotesection"/>
      </w:pPr>
      <w:r>
        <w:tab/>
        <w:t>[Section 277 inserted: No. 21 of 1972 s. 9; amended: No. 58 of 1974 s. 4; No. 89 of 1986 s. 6; No. 29 of 2008 s. 16(5).]</w:t>
      </w:r>
    </w:p>
    <w:p>
      <w:pPr>
        <w:pStyle w:val="Ednotesection"/>
        <w:rPr>
          <w:spacing w:val="-2"/>
        </w:rPr>
      </w:pPr>
      <w:r>
        <w:t>[</w:t>
      </w:r>
      <w:r>
        <w:rPr>
          <w:b/>
          <w:bCs/>
        </w:rPr>
        <w:t>278.</w:t>
      </w:r>
      <w:r>
        <w:rPr>
          <w:b/>
          <w:bCs/>
        </w:rPr>
        <w:tab/>
      </w:r>
      <w:r>
        <w:t>Deleted: No. 29 of 2008 s. 10.]</w:t>
      </w:r>
    </w:p>
    <w:p>
      <w:pPr>
        <w:pStyle w:val="Heading5"/>
      </w:pPr>
      <w:bookmarkStart w:id="372" w:name="_Toc88662297"/>
      <w:r>
        <w:rPr>
          <w:rStyle w:val="CharSectno"/>
        </w:rPr>
        <w:t>279</w:t>
      </w:r>
      <w:r>
        <w:t>.</w:t>
      </w:r>
      <w:r>
        <w:tab/>
        <w:t>Murder</w:t>
      </w:r>
      <w:bookmarkEnd w:id="372"/>
    </w:p>
    <w:p>
      <w:pPr>
        <w:pStyle w:val="Subsection"/>
      </w:pPr>
      <w:r>
        <w:tab/>
        <w:t>(1)</w:t>
      </w:r>
      <w:r>
        <w:tab/>
        <w:t>If a person unlawfully kills another person and —</w:t>
      </w:r>
    </w:p>
    <w:p>
      <w:pPr>
        <w:pStyle w:val="Indenta"/>
      </w:pPr>
      <w:r>
        <w:tab/>
        <w:t>(a)</w:t>
      </w:r>
      <w:r>
        <w:tab/>
        <w:t>the person intends to cause the death of the person killed or another person; or</w:t>
      </w:r>
    </w:p>
    <w:p>
      <w:pPr>
        <w:pStyle w:val="Indenta"/>
      </w:pPr>
      <w:r>
        <w:lastRenderedPageBreak/>
        <w:tab/>
        <w:t>(b)</w:t>
      </w:r>
      <w:r>
        <w:tab/>
        <w:t>the person intends to cause a bodily injury of such a nature as to endanger, or be likely to endanger, the life of the person killed or another person; or</w:t>
      </w:r>
    </w:p>
    <w:p>
      <w:pPr>
        <w:pStyle w:val="Indenta"/>
      </w:pPr>
      <w:r>
        <w:tab/>
        <w:t>(c)</w:t>
      </w:r>
      <w:r>
        <w:tab/>
        <w:t>the death is caused by means of an act done in the prosecution of an unlawful purpose, which act is of such a nature as to be likely to endanger human life,</w:t>
      </w:r>
    </w:p>
    <w:p>
      <w:pPr>
        <w:pStyle w:val="Subsection"/>
      </w:pPr>
      <w:r>
        <w:tab/>
      </w:r>
      <w:r>
        <w:tab/>
        <w:t>the person is guilty of murder.</w:t>
      </w:r>
    </w:p>
    <w:p>
      <w:pPr>
        <w:pStyle w:val="Penstart"/>
      </w:pPr>
      <w:r>
        <w:tab/>
        <w:t xml:space="preserve">Alternative offence: s. 280, 281, 283, 284, 290 or 291 or </w:t>
      </w:r>
      <w:r>
        <w:rPr>
          <w:i/>
        </w:rPr>
        <w:t>Road Traffic Act 1974</w:t>
      </w:r>
      <w:r>
        <w:t xml:space="preserve"> s. 59.</w:t>
      </w:r>
    </w:p>
    <w:p>
      <w:pPr>
        <w:pStyle w:val="Subsection"/>
      </w:pPr>
      <w:r>
        <w:tab/>
        <w:t>(2)</w:t>
      </w:r>
      <w:r>
        <w:tab/>
        <w:t>For the purposes of subsection (1)(a) and (b), it is immaterial that the person did not intend to hurt the person killed.</w:t>
      </w:r>
    </w:p>
    <w:p>
      <w:pPr>
        <w:pStyle w:val="Subsection"/>
      </w:pPr>
      <w:r>
        <w:tab/>
        <w:t>(3)</w:t>
      </w:r>
      <w:r>
        <w:tab/>
        <w:t>For the purposes of subsection (1)(c), it is immaterial that the person did not intend to hurt any person.</w:t>
      </w:r>
    </w:p>
    <w:p>
      <w:pPr>
        <w:pStyle w:val="Subsection"/>
      </w:pPr>
      <w:r>
        <w:tab/>
        <w:t>(4)</w:t>
      </w:r>
      <w:r>
        <w:tab/>
        <w:t>A person, other than a child, who is guilty of murder must be sentenced to life imprisonment unless —</w:t>
      </w:r>
    </w:p>
    <w:p>
      <w:pPr>
        <w:pStyle w:val="Indenta"/>
        <w:spacing w:before="60"/>
      </w:pPr>
      <w:r>
        <w:tab/>
        <w:t>(a)</w:t>
      </w:r>
      <w:r>
        <w:tab/>
        <w:t>that sentence would be clearly unjust given the circumstances of the offence and the person; and</w:t>
      </w:r>
    </w:p>
    <w:p>
      <w:pPr>
        <w:pStyle w:val="Indenta"/>
        <w:spacing w:before="60"/>
      </w:pPr>
      <w:r>
        <w:tab/>
        <w:t>(b)</w:t>
      </w:r>
      <w:r>
        <w:tab/>
        <w:t>the person is unlikely to be a threat to the safety of the community when released from imprisonment,</w:t>
      </w:r>
    </w:p>
    <w:p>
      <w:pPr>
        <w:pStyle w:val="Subsection"/>
      </w:pPr>
      <w:r>
        <w:tab/>
      </w:r>
      <w:r>
        <w:tab/>
        <w:t>in which case, subject to subsection (5A), the person is liable to imprisonment for 20 years.</w:t>
      </w:r>
    </w:p>
    <w:p>
      <w:pPr>
        <w:pStyle w:val="Subsection"/>
      </w:pPr>
      <w:r>
        <w:tab/>
        <w:t>(5A)</w:t>
      </w:r>
      <w:r>
        <w:tab/>
        <w:t>If the offence is committed by an adult offender in the course of conduct that constitutes an aggravated home burglary, the court sentencing the offender, if it does not impose a term of life imprisonment must, notwithstanding any other written law, impose a term of imprisonment of at least 15 years.</w:t>
      </w:r>
    </w:p>
    <w:p>
      <w:pPr>
        <w:pStyle w:val="Subsection"/>
      </w:pPr>
      <w:r>
        <w:tab/>
        <w:t>(5)</w:t>
      </w:r>
      <w:r>
        <w:tab/>
        <w:t>A child who is guilty of murder is liable to either —</w:t>
      </w:r>
    </w:p>
    <w:p>
      <w:pPr>
        <w:pStyle w:val="Indenta"/>
        <w:spacing w:before="60"/>
      </w:pPr>
      <w:r>
        <w:tab/>
        <w:t>(a)</w:t>
      </w:r>
      <w:r>
        <w:tab/>
        <w:t>life imprisonment; or</w:t>
      </w:r>
    </w:p>
    <w:p>
      <w:pPr>
        <w:pStyle w:val="Indenta"/>
        <w:spacing w:before="60"/>
      </w:pPr>
      <w:r>
        <w:tab/>
        <w:t>(b)</w:t>
      </w:r>
      <w:r>
        <w:tab/>
        <w:t>detention in a place determined from time to time by the Governor or under another written law until released by order of the Governor.</w:t>
      </w:r>
    </w:p>
    <w:p>
      <w:pPr>
        <w:pStyle w:val="Subsection"/>
      </w:pPr>
      <w:r>
        <w:lastRenderedPageBreak/>
        <w:tab/>
        <w:t>(6A)</w:t>
      </w:r>
      <w:r>
        <w:tab/>
        <w:t>If the offence is committed by a juvenile offender in the course of conduct that constitutes an aggravated home burglary and the court sentences the offender under subsection (5)(a) but does not impose a term of life imprisonment, it —</w:t>
      </w:r>
    </w:p>
    <w:p>
      <w:pPr>
        <w:pStyle w:val="Indenta"/>
      </w:pPr>
      <w:r>
        <w:tab/>
        <w:t>(a)</w:t>
      </w:r>
      <w:r>
        <w:tab/>
        <w:t xml:space="preserve">must, notwithstanding the </w:t>
      </w:r>
      <w:r>
        <w:rPr>
          <w:i/>
        </w:rPr>
        <w:t>Young Offenders Act 1994</w:t>
      </w:r>
      <w:r>
        <w:t xml:space="preserve"> section 46(5a), impose either —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(6B)</w:t>
      </w:r>
      <w:r>
        <w:tab/>
        <w:t>Subsection (6A) does not prevent a court from —</w:t>
      </w:r>
    </w:p>
    <w:p>
      <w:pPr>
        <w:pStyle w:val="Indenta"/>
      </w:pPr>
      <w:r>
        <w:tab/>
        <w:t>(a)</w:t>
      </w:r>
      <w:r>
        <w:tab/>
        <w:t xml:space="preserve">making a direction under the </w:t>
      </w:r>
      <w:r>
        <w:rPr>
          <w:i/>
        </w:rPr>
        <w:t>Young Offenders Act 1994</w:t>
      </w:r>
      <w:r>
        <w:t xml:space="preserve"> section 118(4); or</w:t>
      </w:r>
    </w:p>
    <w:p>
      <w:pPr>
        <w:pStyle w:val="Indenta"/>
        <w:keepNext/>
      </w:pPr>
      <w:r>
        <w:tab/>
        <w:t>(b)</w:t>
      </w:r>
      <w:r>
        <w:tab/>
        <w:t>making a special order under Part 7 Division 9 of that Act.</w:t>
      </w:r>
    </w:p>
    <w:p>
      <w:pPr>
        <w:pStyle w:val="Subsection"/>
        <w:spacing w:before="120"/>
      </w:pPr>
      <w:r>
        <w:tab/>
        <w:t>(6)</w:t>
      </w:r>
      <w:r>
        <w:tab/>
        <w:t>A court that does not sentence a person guilty of murder to life imprisonment must give written reasons why life imprisonment was not imposed.</w:t>
      </w:r>
    </w:p>
    <w:p>
      <w:pPr>
        <w:pStyle w:val="Footnotesection"/>
        <w:spacing w:before="100"/>
        <w:ind w:left="890" w:hanging="890"/>
      </w:pPr>
      <w:r>
        <w:tab/>
        <w:t>[Section 279 inserted: No. 29 of 2008 s. 10; amended: No. 25 of 2015 s. 5.]</w:t>
      </w:r>
    </w:p>
    <w:p>
      <w:pPr>
        <w:pStyle w:val="Heading5"/>
      </w:pPr>
      <w:bookmarkStart w:id="373" w:name="_Toc88662298"/>
      <w:r>
        <w:rPr>
          <w:rStyle w:val="CharSectno"/>
        </w:rPr>
        <w:t>280</w:t>
      </w:r>
      <w:r>
        <w:t>.</w:t>
      </w:r>
      <w:r>
        <w:tab/>
        <w:t>Manslaughter</w:t>
      </w:r>
      <w:bookmarkEnd w:id="373"/>
    </w:p>
    <w:p>
      <w:pPr>
        <w:pStyle w:val="Subsection"/>
        <w:spacing w:before="120"/>
      </w:pPr>
      <w:r>
        <w:tab/>
        <w:t>(1)</w:t>
      </w:r>
      <w:r>
        <w:tab/>
        <w:t>If a person unlawfully kills another person under such circumstances as not to constitute murder, the person is guilty of manslaughter and is liable to imprisonment for life.</w:t>
      </w:r>
    </w:p>
    <w:p>
      <w:pPr>
        <w:pStyle w:val="Penstart"/>
        <w:spacing w:before="60"/>
      </w:pPr>
      <w:r>
        <w:tab/>
        <w:t xml:space="preserve">Alternative offence: s. 281, 284, 290, 291 or 294 or </w:t>
      </w:r>
      <w:r>
        <w:rPr>
          <w:i/>
        </w:rPr>
        <w:t>Road Traffic Act 1974</w:t>
      </w:r>
      <w:r>
        <w:t xml:space="preserve"> s. 59.</w:t>
      </w:r>
    </w:p>
    <w:p>
      <w:pPr>
        <w:pStyle w:val="Subsection"/>
      </w:pPr>
      <w:r>
        <w:tab/>
        <w:t>(2)</w:t>
      </w:r>
      <w:r>
        <w:tab/>
        <w:t xml:space="preserve">If the offence is committed by an adult offender in the course of conduct that constitutes an aggravated home burglary, the court </w:t>
      </w:r>
      <w:r>
        <w:lastRenderedPageBreak/>
        <w:t>sentencing the offender, if it does not impose a term of imprisonment for life must, notwithstanding any other written law, impose a term of imprisonment of at least 15 years.</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if it does not impose a term of imprisonment for life 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00"/>
        <w:ind w:left="890" w:hanging="890"/>
      </w:pPr>
      <w:r>
        <w:tab/>
        <w:t>[Section 280 inserted: No. 29 of 2008 s. 11; amended: No. 58 of 2011 s. 4; No. 25 of 2015 s. 6.]</w:t>
      </w:r>
    </w:p>
    <w:p>
      <w:pPr>
        <w:pStyle w:val="Heading5"/>
      </w:pPr>
      <w:bookmarkStart w:id="374" w:name="_Toc88662299"/>
      <w:r>
        <w:rPr>
          <w:rStyle w:val="CharSectno"/>
        </w:rPr>
        <w:t>281</w:t>
      </w:r>
      <w:r>
        <w:t>.</w:t>
      </w:r>
      <w:r>
        <w:tab/>
        <w:t>Unlawful assault causing death</w:t>
      </w:r>
      <w:bookmarkEnd w:id="374"/>
    </w:p>
    <w:p>
      <w:pPr>
        <w:pStyle w:val="Subsection"/>
        <w:spacing w:before="120"/>
      </w:pPr>
      <w:r>
        <w:tab/>
        <w:t>(1)</w:t>
      </w:r>
      <w:r>
        <w:tab/>
        <w:t>If a person unlawfully assaults another who dies as a direct or indirect result of the assault, the person is guilty of a crime and is liable to imprisonment for 20 years.</w:t>
      </w:r>
    </w:p>
    <w:p>
      <w:pPr>
        <w:pStyle w:val="Subsection"/>
        <w:spacing w:before="120"/>
      </w:pPr>
      <w:r>
        <w:tab/>
        <w:t>(2)</w:t>
      </w:r>
      <w:r>
        <w:tab/>
        <w:t>A person is criminally responsible under subsection (1) even if the person does not intend or foresee the death of the other person and even if the death was not reasonably foreseeable.</w:t>
      </w:r>
    </w:p>
    <w:p>
      <w:pPr>
        <w:pStyle w:val="Subsection"/>
      </w:pPr>
      <w:r>
        <w:lastRenderedPageBreak/>
        <w:tab/>
        <w:t>(3)</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(4)</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(5)</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00"/>
        <w:ind w:left="890" w:hanging="890"/>
      </w:pPr>
      <w:r>
        <w:tab/>
        <w:t>[Section 281 inserted: No. 29 of 2008 s. 12; amended: No. 25 of 2015 s. 7; No. 49 of 2016 s. 100.]</w:t>
      </w:r>
    </w:p>
    <w:p>
      <w:pPr>
        <w:pStyle w:val="Ednotesection"/>
        <w:ind w:left="0" w:firstLine="0"/>
        <w:rPr>
          <w:spacing w:val="-2"/>
        </w:rPr>
      </w:pPr>
      <w:r>
        <w:t>[</w:t>
      </w:r>
      <w:r>
        <w:rPr>
          <w:b/>
          <w:bCs/>
        </w:rPr>
        <w:t>281A.</w:t>
      </w:r>
      <w:r>
        <w:rPr>
          <w:b/>
          <w:bCs/>
        </w:rPr>
        <w:tab/>
      </w:r>
      <w:r>
        <w:t>Deleted: No. 29 of 2008 s. 13.]</w:t>
      </w:r>
    </w:p>
    <w:p>
      <w:pPr>
        <w:pStyle w:val="Ednotesection"/>
        <w:rPr>
          <w:spacing w:val="-2"/>
        </w:rPr>
      </w:pPr>
      <w:r>
        <w:t>[</w:t>
      </w:r>
      <w:r>
        <w:rPr>
          <w:b/>
          <w:bCs/>
        </w:rPr>
        <w:t>282.</w:t>
      </w:r>
      <w:r>
        <w:rPr>
          <w:b/>
          <w:bCs/>
        </w:rPr>
        <w:tab/>
      </w:r>
      <w:r>
        <w:t>Deleted: No. 29 of 2008 s. 10.]</w:t>
      </w:r>
    </w:p>
    <w:p>
      <w:pPr>
        <w:pStyle w:val="Heading5"/>
        <w:rPr>
          <w:snapToGrid w:val="0"/>
        </w:rPr>
      </w:pPr>
      <w:bookmarkStart w:id="375" w:name="_Toc88662300"/>
      <w:r>
        <w:rPr>
          <w:rStyle w:val="CharSectno"/>
        </w:rPr>
        <w:t>283</w:t>
      </w:r>
      <w:r>
        <w:rPr>
          <w:snapToGrid w:val="0"/>
        </w:rPr>
        <w:t>.</w:t>
      </w:r>
      <w:r>
        <w:rPr>
          <w:snapToGrid w:val="0"/>
        </w:rPr>
        <w:tab/>
        <w:t>Attempt to unlawfully kill</w:t>
      </w:r>
      <w:bookmarkEnd w:id="375"/>
    </w:p>
    <w:p>
      <w:pPr>
        <w:pStyle w:val="Subsection"/>
        <w:rPr>
          <w:snapToGrid w:val="0"/>
        </w:rPr>
      </w:pPr>
      <w:r>
        <w:tab/>
        <w:t>(1)</w:t>
      </w:r>
      <w:r>
        <w:tab/>
        <w:t>Any person</w:t>
      </w:r>
      <w:r>
        <w:rPr>
          <w:snapToGrid w:val="0"/>
        </w:rPr>
        <w:t xml:space="preserve"> who —</w:t>
      </w:r>
    </w:p>
    <w:p>
      <w:pPr>
        <w:pStyle w:val="Indenta"/>
        <w:rPr>
          <w:snapToGrid w:val="0"/>
        </w:rPr>
      </w:pPr>
      <w:r>
        <w:tab/>
        <w:t>(a)</w:t>
      </w:r>
      <w:r>
        <w:tab/>
        <w:t>attempts</w:t>
      </w:r>
      <w:r>
        <w:rPr>
          <w:snapToGrid w:val="0"/>
        </w:rPr>
        <w:t xml:space="preserve"> unlawfully to kill another; or</w:t>
      </w:r>
    </w:p>
    <w:p>
      <w:pPr>
        <w:pStyle w:val="Indenta"/>
        <w:rPr>
          <w:snapToGrid w:val="0"/>
        </w:rPr>
      </w:pPr>
      <w:r>
        <w:lastRenderedPageBreak/>
        <w:tab/>
        <w:t>(b)</w:t>
      </w:r>
      <w:r>
        <w:tab/>
        <w:t>with</w:t>
      </w:r>
      <w:r>
        <w:rPr>
          <w:snapToGrid w:val="0"/>
        </w:rPr>
        <w:t xml:space="preserve"> intent unlawfully to kill another does any act, or omits to do any act which it is his duty to do, such act or omission being of such a nature as to be likely to endanger human life;</w:t>
      </w:r>
    </w:p>
    <w:p>
      <w:pPr>
        <w:pStyle w:val="Subsection"/>
        <w:spacing w:before="180"/>
        <w:rPr>
          <w:snapToGrid w:val="0"/>
        </w:rPr>
      </w:pPr>
      <w:r>
        <w:rPr>
          <w:snapToGrid w:val="0"/>
        </w:rPr>
        <w:tab/>
      </w:r>
      <w:r>
        <w:rPr>
          <w:snapToGrid w:val="0"/>
        </w:rPr>
        <w:tab/>
        <w:t>is guilty of a crime, and is liable to imprisonment for life.</w:t>
      </w:r>
    </w:p>
    <w:p>
      <w:pPr>
        <w:pStyle w:val="Penstart"/>
        <w:rPr>
          <w:snapToGrid w:val="0"/>
        </w:rPr>
      </w:pPr>
      <w:r>
        <w:tab/>
        <w:t xml:space="preserve">Alternative offence: s. 292, 294, 297, </w:t>
      </w:r>
      <w:r>
        <w:rPr>
          <w:szCs w:val="24"/>
        </w:rPr>
        <w:t xml:space="preserve">298, </w:t>
      </w:r>
      <w:r>
        <w:t>304, 305 or 317.</w:t>
      </w:r>
    </w:p>
    <w:p>
      <w:pPr>
        <w:pStyle w:val="Subsection"/>
      </w:pPr>
      <w:r>
        <w:tab/>
        <w:t>(2)</w:t>
      </w:r>
      <w:r>
        <w:tab/>
        <w:t>If the offence is committed by an adult offender in the course of conduct that constitutes an aggravated home burglary, the court sentencing the offender, if it does not impose a term of life imprisonment must, notwithstanding any other written law, impose a term of imprisonment of at least 15 years.</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if it does not impose a term of imprisonment for life, 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283 amended: No. 106 of 1987 s. 7; No. 51 of 1992 s. 16(2); No. 4 of 2004 s. 16; No. 70 of 2004 s. 36(3); No. 29 of 2008 s. 16(6); No. 25 of 2015 s. 8; No. 30 of 2020 s. 5.]</w:t>
      </w:r>
    </w:p>
    <w:p>
      <w:pPr>
        <w:pStyle w:val="Heading5"/>
      </w:pPr>
      <w:bookmarkStart w:id="376" w:name="_Toc88662301"/>
      <w:r>
        <w:rPr>
          <w:rStyle w:val="CharSectno"/>
        </w:rPr>
        <w:lastRenderedPageBreak/>
        <w:t>284</w:t>
      </w:r>
      <w:r>
        <w:t>.</w:t>
      </w:r>
      <w:r>
        <w:tab/>
        <w:t>Culpable driving (not of motor vehicle) causing death or grievous bodily harm</w:t>
      </w:r>
      <w:bookmarkEnd w:id="376"/>
    </w:p>
    <w:p>
      <w:pPr>
        <w:pStyle w:val="Subsection"/>
      </w:pPr>
      <w:r>
        <w:tab/>
        <w:t>(1)</w:t>
      </w:r>
      <w:r>
        <w:tab/>
        <w:t>In this section —</w:t>
      </w:r>
    </w:p>
    <w:p>
      <w:pPr>
        <w:pStyle w:val="Defstart"/>
      </w:pPr>
      <w:r>
        <w:rPr>
          <w:b/>
        </w:rPr>
        <w:tab/>
      </w:r>
      <w:r>
        <w:rPr>
          <w:rStyle w:val="CharDefText"/>
        </w:rPr>
        <w:t>conveyance</w:t>
      </w:r>
      <w:r>
        <w:t xml:space="preserve"> does not include a motor vehicle;</w:t>
      </w:r>
    </w:p>
    <w:p>
      <w:pPr>
        <w:pStyle w:val="Defstart"/>
      </w:pPr>
      <w:r>
        <w:rPr>
          <w:b/>
        </w:rPr>
        <w:tab/>
      </w:r>
      <w:r>
        <w:rPr>
          <w:rStyle w:val="CharDefText"/>
        </w:rPr>
        <w:t>drive</w:t>
      </w:r>
      <w:r>
        <w:t xml:space="preserve"> a conveyance, includes to pilot an aircraft and to navigate a vessel.</w:t>
      </w:r>
    </w:p>
    <w:p>
      <w:pPr>
        <w:pStyle w:val="Subsection"/>
      </w:pPr>
      <w:r>
        <w:tab/>
        <w:t>(2)</w:t>
      </w:r>
      <w:r>
        <w:tab/>
        <w:t>For the purposes of this section a person culpably drives a conveyance if the person drives the conveyance in a manner (including at a speed) that, having regard to all the circumstances of the case, is dangerous to any person.</w:t>
      </w:r>
    </w:p>
    <w:p>
      <w:pPr>
        <w:pStyle w:val="Subsection"/>
      </w:pPr>
      <w:r>
        <w:tab/>
        <w:t>(3)</w:t>
      </w:r>
      <w:r>
        <w:tab/>
        <w:t>If —</w:t>
      </w:r>
    </w:p>
    <w:p>
      <w:pPr>
        <w:pStyle w:val="Indenta"/>
      </w:pPr>
      <w:r>
        <w:tab/>
        <w:t>(a)</w:t>
      </w:r>
      <w:r>
        <w:tab/>
        <w:t>a person culpably drives a conveyance; and</w:t>
      </w:r>
    </w:p>
    <w:p>
      <w:pPr>
        <w:pStyle w:val="Indenta"/>
        <w:keepNext/>
        <w:keepLines/>
      </w:pPr>
      <w:r>
        <w:tab/>
        <w:t>(b)</w:t>
      </w:r>
      <w:r>
        <w:tab/>
        <w:t>the conveyance is involved in an incident that directly or indirectly causes the death of, or grievous bodily harm to, another person,</w:t>
      </w:r>
    </w:p>
    <w:p>
      <w:pPr>
        <w:pStyle w:val="Subsection"/>
        <w:keepNext/>
        <w:keepLines/>
        <w:spacing w:before="120"/>
      </w:pPr>
      <w:r>
        <w:tab/>
      </w:r>
      <w:r>
        <w:tab/>
        <w:t>the person is guilty of a crime and is liable to imprisonment for —</w:t>
      </w:r>
    </w:p>
    <w:p>
      <w:pPr>
        <w:pStyle w:val="Indenta"/>
      </w:pPr>
      <w:r>
        <w:tab/>
        <w:t>(c)</w:t>
      </w:r>
      <w:r>
        <w:tab/>
        <w:t>if death is caused, 10 years; or</w:t>
      </w:r>
    </w:p>
    <w:p>
      <w:pPr>
        <w:pStyle w:val="Indenta"/>
        <w:keepNext/>
      </w:pPr>
      <w:r>
        <w:tab/>
        <w:t>(d)</w:t>
      </w:r>
      <w:r>
        <w:tab/>
        <w:t>if grievous bodily harm is caused, 7 years.</w:t>
      </w:r>
    </w:p>
    <w:p>
      <w:pPr>
        <w:pStyle w:val="Penstart"/>
      </w:pPr>
      <w:r>
        <w:tab/>
        <w:t>Summary conviction penalty: imprisonment for 3 years and a fine of $36 000.</w:t>
      </w:r>
    </w:p>
    <w:p>
      <w:pPr>
        <w:pStyle w:val="Subsection"/>
        <w:spacing w:before="120"/>
      </w:pPr>
      <w:r>
        <w:tab/>
        <w:t>(4)</w:t>
      </w:r>
      <w:r>
        <w:tab/>
        <w:t xml:space="preserve">A court convicting a person of an offence under this section that involves the navigation of a vessel must make an order under the </w:t>
      </w:r>
      <w:r>
        <w:rPr>
          <w:i/>
        </w:rPr>
        <w:t>Sentencing Act 1995</w:t>
      </w:r>
      <w:r>
        <w:t xml:space="preserve"> section 107(1) for a term of at least 2 years.</w:t>
      </w:r>
    </w:p>
    <w:p>
      <w:pPr>
        <w:pStyle w:val="Subsection"/>
      </w:pPr>
      <w:r>
        <w:tab/>
        <w:t>(5)</w:t>
      </w:r>
      <w:r>
        <w:tab/>
        <w:t>It is a defence to a charge of an offence under subsection (3) to prove the death or grievous bodily harm caused by the incident was not in any way attributable (as relevant) to the manner (including the speed) in which the conveyance was driven.</w:t>
      </w:r>
    </w:p>
    <w:p>
      <w:pPr>
        <w:pStyle w:val="Footnotesection"/>
      </w:pPr>
      <w:r>
        <w:tab/>
        <w:t>[Section 284 inserted: No. 29 of 2008 s. 14; amended: No. 44 of 2009 s. 5.]</w:t>
      </w:r>
    </w:p>
    <w:p>
      <w:pPr>
        <w:pStyle w:val="Ednotesection"/>
        <w:ind w:left="890" w:hanging="890"/>
      </w:pPr>
      <w:r>
        <w:lastRenderedPageBreak/>
        <w:t>[</w:t>
      </w:r>
      <w:r>
        <w:rPr>
          <w:b/>
        </w:rPr>
        <w:t>285.</w:t>
      </w:r>
      <w:r>
        <w:tab/>
        <w:t>Deleted: No. 101 of 1990 s. 12.]</w:t>
      </w:r>
    </w:p>
    <w:p>
      <w:pPr>
        <w:pStyle w:val="Ednotesection"/>
        <w:ind w:left="890" w:hanging="890"/>
      </w:pPr>
      <w:r>
        <w:t>[</w:t>
      </w:r>
      <w:r>
        <w:rPr>
          <w:b/>
        </w:rPr>
        <w:t>286.</w:t>
      </w:r>
      <w:r>
        <w:tab/>
        <w:t>Deleted: No. 106 of 1987 s. 14(5).]</w:t>
      </w:r>
    </w:p>
    <w:p>
      <w:pPr>
        <w:pStyle w:val="Ednotesection"/>
        <w:rPr>
          <w:spacing w:val="-2"/>
        </w:rPr>
      </w:pPr>
      <w:r>
        <w:t>[</w:t>
      </w:r>
      <w:r>
        <w:rPr>
          <w:b/>
          <w:bCs/>
        </w:rPr>
        <w:t>287.</w:t>
      </w:r>
      <w:r>
        <w:rPr>
          <w:b/>
          <w:bCs/>
        </w:rPr>
        <w:tab/>
      </w:r>
      <w:r>
        <w:t>Deleted: No. 29 of 2008 s. 11.]</w:t>
      </w:r>
    </w:p>
    <w:p>
      <w:pPr>
        <w:pStyle w:val="Ednotesection"/>
        <w:rPr>
          <w:spacing w:val="-2"/>
        </w:rPr>
      </w:pPr>
      <w:r>
        <w:t>[</w:t>
      </w:r>
      <w:r>
        <w:rPr>
          <w:b/>
          <w:bCs/>
        </w:rPr>
        <w:t>287A.</w:t>
      </w:r>
      <w:r>
        <w:rPr>
          <w:b/>
          <w:bCs/>
        </w:rPr>
        <w:tab/>
      </w:r>
      <w:r>
        <w:t>Deleted: No. 29 of 2008 s. 13.]</w:t>
      </w:r>
    </w:p>
    <w:p>
      <w:pPr>
        <w:pStyle w:val="Heading5"/>
        <w:rPr>
          <w:snapToGrid w:val="0"/>
        </w:rPr>
      </w:pPr>
      <w:bookmarkStart w:id="377" w:name="_Toc88662302"/>
      <w:r>
        <w:rPr>
          <w:rStyle w:val="CharSectno"/>
        </w:rPr>
        <w:t>288</w:t>
      </w:r>
      <w:r>
        <w:rPr>
          <w:snapToGrid w:val="0"/>
        </w:rPr>
        <w:t>.</w:t>
      </w:r>
      <w:r>
        <w:rPr>
          <w:snapToGrid w:val="0"/>
        </w:rPr>
        <w:tab/>
        <w:t>Procuring etc. suicide</w:t>
      </w:r>
      <w:bookmarkEnd w:id="377"/>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keepNext/>
        <w:keepLines/>
        <w:rPr>
          <w:snapToGrid w:val="0"/>
        </w:rPr>
      </w:pPr>
      <w:r>
        <w:rPr>
          <w:snapToGrid w:val="0"/>
        </w:rPr>
        <w:tab/>
        <w:t>(3)</w:t>
      </w:r>
      <w:r>
        <w:rPr>
          <w:snapToGrid w:val="0"/>
        </w:rPr>
        <w:tab/>
        <w:t>Aids another in killing himself;</w:t>
      </w:r>
    </w:p>
    <w:p>
      <w:pPr>
        <w:pStyle w:val="Subsection"/>
        <w:keepNext/>
        <w:keepLines/>
        <w:spacing w:before="120"/>
        <w:rPr>
          <w:snapToGrid w:val="0"/>
        </w:rPr>
      </w:pPr>
      <w:r>
        <w:rPr>
          <w:snapToGrid w:val="0"/>
        </w:rPr>
        <w:tab/>
      </w:r>
      <w:r>
        <w:rPr>
          <w:snapToGrid w:val="0"/>
        </w:rPr>
        <w:tab/>
        <w:t>is guilty of a crime, and is liable to imprisonment for life.</w:t>
      </w:r>
    </w:p>
    <w:p>
      <w:pPr>
        <w:pStyle w:val="Footnotesection"/>
        <w:keepLines w:val="0"/>
      </w:pPr>
      <w:r>
        <w:tab/>
        <w:t>[Section 288 amended: No. 51 of 1992 s. 16(2).]</w:t>
      </w:r>
    </w:p>
    <w:p>
      <w:pPr>
        <w:pStyle w:val="Ednotesection"/>
        <w:ind w:left="890" w:hanging="890"/>
      </w:pPr>
      <w:r>
        <w:t>[</w:t>
      </w:r>
      <w:r>
        <w:rPr>
          <w:b/>
        </w:rPr>
        <w:t>289.</w:t>
      </w:r>
      <w:r>
        <w:tab/>
        <w:t>Deleted: No. 21 of 1972 s. 10.]</w:t>
      </w:r>
    </w:p>
    <w:p>
      <w:pPr>
        <w:pStyle w:val="Heading5"/>
        <w:rPr>
          <w:snapToGrid w:val="0"/>
        </w:rPr>
      </w:pPr>
      <w:bookmarkStart w:id="378" w:name="_Toc88662303"/>
      <w:r>
        <w:rPr>
          <w:rStyle w:val="CharSectno"/>
        </w:rPr>
        <w:t>290</w:t>
      </w:r>
      <w:r>
        <w:rPr>
          <w:snapToGrid w:val="0"/>
        </w:rPr>
        <w:t>.</w:t>
      </w:r>
      <w:r>
        <w:rPr>
          <w:snapToGrid w:val="0"/>
        </w:rPr>
        <w:tab/>
        <w:t>Preventing birth of live child</w:t>
      </w:r>
      <w:bookmarkEnd w:id="378"/>
    </w:p>
    <w:p>
      <w:pPr>
        <w:pStyle w:val="Subsection"/>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spacing w:before="60"/>
        <w:ind w:left="890" w:hanging="890"/>
      </w:pPr>
      <w:r>
        <w:tab/>
        <w:t>[Section 290 amended: No. 51 of 1992 s. 16(2); No. 70 of 2004 s. 36(3).]</w:t>
      </w:r>
    </w:p>
    <w:p>
      <w:pPr>
        <w:pStyle w:val="Heading5"/>
        <w:rPr>
          <w:snapToGrid w:val="0"/>
        </w:rPr>
      </w:pPr>
      <w:bookmarkStart w:id="379" w:name="_Toc88662304"/>
      <w:r>
        <w:rPr>
          <w:rStyle w:val="CharSectno"/>
        </w:rPr>
        <w:t>291</w:t>
      </w:r>
      <w:r>
        <w:rPr>
          <w:snapToGrid w:val="0"/>
        </w:rPr>
        <w:t>.</w:t>
      </w:r>
      <w:r>
        <w:rPr>
          <w:snapToGrid w:val="0"/>
        </w:rPr>
        <w:tab/>
        <w:t>Concealing birth of dead child</w:t>
      </w:r>
      <w:bookmarkEnd w:id="379"/>
    </w:p>
    <w:p>
      <w:pPr>
        <w:pStyle w:val="Subsection"/>
        <w:rPr>
          <w:snapToGrid w:val="0"/>
        </w:rPr>
      </w:pPr>
      <w:r>
        <w:rPr>
          <w:snapToGrid w:val="0"/>
        </w:rPr>
        <w:tab/>
      </w:r>
      <w:r>
        <w:rPr>
          <w:snapToGrid w:val="0"/>
        </w:rPr>
        <w:tab/>
        <w:t xml:space="preserve">Any person who, when a woman is delivered of a child endeavours, by any secret disposition of the dead body of the child, to conceal its birth, whether the child died before, at, or </w:t>
      </w:r>
      <w:r>
        <w:rPr>
          <w:snapToGrid w:val="0"/>
        </w:rPr>
        <w:lastRenderedPageBreak/>
        <w:t>after its birth, is guilty of a crime, and is liable to imprisonment for 2 years.</w:t>
      </w:r>
    </w:p>
    <w:p>
      <w:pPr>
        <w:pStyle w:val="Footnotesection"/>
        <w:keepLines w:val="0"/>
      </w:pPr>
      <w:r>
        <w:tab/>
        <w:t>[Section 291 amended: No. 51 of 1992 s. 16(2); No. 70 of 2004 s. 34(1).]</w:t>
      </w:r>
    </w:p>
    <w:p>
      <w:pPr>
        <w:pStyle w:val="Ednotesection"/>
        <w:ind w:left="890" w:hanging="890"/>
      </w:pPr>
      <w:r>
        <w:t>[</w:t>
      </w:r>
      <w:r>
        <w:rPr>
          <w:b/>
        </w:rPr>
        <w:t>291A.</w:t>
      </w:r>
      <w:r>
        <w:tab/>
        <w:t>Deleted: No. 58 of 1974 s. 5.]</w:t>
      </w:r>
    </w:p>
    <w:p>
      <w:pPr>
        <w:pStyle w:val="Heading3"/>
        <w:rPr>
          <w:snapToGrid w:val="0"/>
        </w:rPr>
      </w:pPr>
      <w:bookmarkStart w:id="380" w:name="_Toc88569862"/>
      <w:bookmarkStart w:id="381" w:name="_Toc88570384"/>
      <w:bookmarkStart w:id="382" w:name="_Toc88570906"/>
      <w:bookmarkStart w:id="383" w:name="_Toc88662305"/>
      <w:r>
        <w:rPr>
          <w:rStyle w:val="CharDivNo"/>
        </w:rPr>
        <w:t>Chapter XXIX</w:t>
      </w:r>
      <w:r>
        <w:rPr>
          <w:snapToGrid w:val="0"/>
        </w:rPr>
        <w:t> — </w:t>
      </w:r>
      <w:r>
        <w:rPr>
          <w:rStyle w:val="CharDivText"/>
        </w:rPr>
        <w:t>Offences endangering life or health</w:t>
      </w:r>
      <w:bookmarkEnd w:id="380"/>
      <w:bookmarkEnd w:id="381"/>
      <w:bookmarkEnd w:id="382"/>
      <w:bookmarkEnd w:id="383"/>
    </w:p>
    <w:p>
      <w:pPr>
        <w:pStyle w:val="Heading5"/>
        <w:rPr>
          <w:snapToGrid w:val="0"/>
        </w:rPr>
      </w:pPr>
      <w:bookmarkStart w:id="384" w:name="_Toc88662306"/>
      <w:r>
        <w:rPr>
          <w:rStyle w:val="CharSectno"/>
        </w:rPr>
        <w:t>292</w:t>
      </w:r>
      <w:r>
        <w:rPr>
          <w:snapToGrid w:val="0"/>
        </w:rPr>
        <w:t>.</w:t>
      </w:r>
      <w:r>
        <w:rPr>
          <w:snapToGrid w:val="0"/>
        </w:rPr>
        <w:tab/>
        <w:t>Disabling in order to commit indictable offence etc.</w:t>
      </w:r>
      <w:bookmarkEnd w:id="384"/>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No. 118 of 1981 s. 4; No. 51 of 1992 s. 16(1) and (2); No. 70 of 2004 s. 36(3).]</w:t>
      </w:r>
    </w:p>
    <w:p>
      <w:pPr>
        <w:pStyle w:val="Heading5"/>
        <w:rPr>
          <w:snapToGrid w:val="0"/>
        </w:rPr>
      </w:pPr>
      <w:bookmarkStart w:id="385" w:name="_Toc88662307"/>
      <w:r>
        <w:rPr>
          <w:rStyle w:val="CharSectno"/>
        </w:rPr>
        <w:t>293</w:t>
      </w:r>
      <w:r>
        <w:rPr>
          <w:snapToGrid w:val="0"/>
        </w:rPr>
        <w:t>.</w:t>
      </w:r>
      <w:r>
        <w:rPr>
          <w:snapToGrid w:val="0"/>
        </w:rPr>
        <w:tab/>
        <w:t>Stupefying in order to commit indictable offence etc.</w:t>
      </w:r>
      <w:bookmarkEnd w:id="385"/>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No. 118 of 1981 s. 4; No. 51 of 1992 s. 16(2).]</w:t>
      </w:r>
    </w:p>
    <w:p>
      <w:pPr>
        <w:pStyle w:val="Heading5"/>
        <w:rPr>
          <w:snapToGrid w:val="0"/>
        </w:rPr>
      </w:pPr>
      <w:bookmarkStart w:id="386" w:name="_Toc88662308"/>
      <w:r>
        <w:rPr>
          <w:rStyle w:val="CharSectno"/>
        </w:rPr>
        <w:lastRenderedPageBreak/>
        <w:t>294</w:t>
      </w:r>
      <w:r>
        <w:rPr>
          <w:snapToGrid w:val="0"/>
        </w:rPr>
        <w:t>.</w:t>
      </w:r>
      <w:r>
        <w:rPr>
          <w:snapToGrid w:val="0"/>
        </w:rPr>
        <w:tab/>
        <w:t>Act intended to cause grievous bodily harm or prevent arrest</w:t>
      </w:r>
      <w:bookmarkEnd w:id="386"/>
    </w:p>
    <w:p>
      <w:pPr>
        <w:pStyle w:val="Subsection"/>
        <w:keepNext/>
        <w:tabs>
          <w:tab w:val="left" w:pos="2640"/>
        </w:tabs>
        <w:rPr>
          <w:snapToGrid w:val="0"/>
        </w:rPr>
      </w:pPr>
      <w:r>
        <w:tab/>
        <w:t>(1)</w:t>
      </w:r>
      <w:r>
        <w:tab/>
        <w:t xml:space="preserve">Any person who, </w:t>
      </w:r>
      <w:r>
        <w:rPr>
          <w:snapToGrid w:val="0"/>
        </w:rPr>
        <w:t>with intent to maim, disfigure, or disable any person, or to do some grievous bodily harm to any person, or to resist or prevent the lawful arrest or detention of any person —</w:t>
      </w:r>
    </w:p>
    <w:p>
      <w:pPr>
        <w:pStyle w:val="Indenta"/>
        <w:spacing w:before="100"/>
        <w:rPr>
          <w:snapToGrid w:val="0"/>
        </w:rPr>
      </w:pPr>
      <w:r>
        <w:tab/>
        <w:t>(a)</w:t>
      </w:r>
      <w:r>
        <w:tab/>
        <w:t>unlawfully</w:t>
      </w:r>
      <w:r>
        <w:rPr>
          <w:snapToGrid w:val="0"/>
        </w:rPr>
        <w:t xml:space="preserve"> wounds or does any grievous bodily harm to any person by any means whatever; or</w:t>
      </w:r>
    </w:p>
    <w:p>
      <w:pPr>
        <w:pStyle w:val="Indenta"/>
        <w:spacing w:before="100"/>
        <w:rPr>
          <w:snapToGrid w:val="0"/>
        </w:rPr>
      </w:pPr>
      <w:r>
        <w:tab/>
        <w:t>(b)</w:t>
      </w:r>
      <w:r>
        <w:tab/>
        <w:t>unlawfully</w:t>
      </w:r>
      <w:r>
        <w:rPr>
          <w:snapToGrid w:val="0"/>
        </w:rPr>
        <w:t xml:space="preserve"> attempts in any manner to strike any person with any kind of projectile; or</w:t>
      </w:r>
    </w:p>
    <w:p>
      <w:pPr>
        <w:pStyle w:val="Indenta"/>
        <w:spacing w:before="100"/>
        <w:rPr>
          <w:snapToGrid w:val="0"/>
        </w:rPr>
      </w:pPr>
      <w:r>
        <w:tab/>
        <w:t>(c)</w:t>
      </w:r>
      <w:r>
        <w:tab/>
        <w:t>unlawfully</w:t>
      </w:r>
      <w:r>
        <w:rPr>
          <w:snapToGrid w:val="0"/>
        </w:rPr>
        <w:t xml:space="preserve"> causes any explosive substance to explode; or</w:t>
      </w:r>
    </w:p>
    <w:p>
      <w:pPr>
        <w:pStyle w:val="Indenta"/>
        <w:spacing w:before="100"/>
        <w:rPr>
          <w:snapToGrid w:val="0"/>
        </w:rPr>
      </w:pPr>
      <w:r>
        <w:tab/>
        <w:t>(d)</w:t>
      </w:r>
      <w:r>
        <w:tab/>
        <w:t>sends</w:t>
      </w:r>
      <w:r>
        <w:rPr>
          <w:snapToGrid w:val="0"/>
        </w:rPr>
        <w:t xml:space="preserve"> or delivers any explosive substance or other dangerous or noxious thing to any person; or</w:t>
      </w:r>
    </w:p>
    <w:p>
      <w:pPr>
        <w:pStyle w:val="Indenta"/>
        <w:spacing w:before="100"/>
        <w:rPr>
          <w:snapToGrid w:val="0"/>
        </w:rPr>
      </w:pPr>
      <w:r>
        <w:tab/>
        <w:t>(e)</w:t>
      </w:r>
      <w:r>
        <w:tab/>
        <w:t>causes</w:t>
      </w:r>
      <w:r>
        <w:rPr>
          <w:snapToGrid w:val="0"/>
        </w:rPr>
        <w:t xml:space="preserve"> any such substance or thing to be taken or received by any person; or</w:t>
      </w:r>
    </w:p>
    <w:p>
      <w:pPr>
        <w:pStyle w:val="Indenta"/>
        <w:spacing w:before="100"/>
        <w:rPr>
          <w:snapToGrid w:val="0"/>
        </w:rPr>
      </w:pPr>
      <w:r>
        <w:tab/>
        <w:t>(f)</w:t>
      </w:r>
      <w:r>
        <w:tab/>
        <w:t>puts</w:t>
      </w:r>
      <w:r>
        <w:rPr>
          <w:snapToGrid w:val="0"/>
        </w:rPr>
        <w:t xml:space="preserve"> any corrosive fluid or any destructive or explosive substance in any place; or</w:t>
      </w:r>
    </w:p>
    <w:p>
      <w:pPr>
        <w:pStyle w:val="Indenta"/>
        <w:spacing w:before="100"/>
        <w:rPr>
          <w:snapToGrid w:val="0"/>
        </w:rPr>
      </w:pPr>
      <w:r>
        <w:tab/>
        <w:t>(g)</w:t>
      </w:r>
      <w:r>
        <w:tab/>
        <w:t>unlawfully</w:t>
      </w:r>
      <w:r>
        <w:rPr>
          <w:snapToGrid w:val="0"/>
        </w:rPr>
        <w:t xml:space="preserve"> casts or throws any such fluid or substance at or upon any person, or otherwise applies any such fluid or substance to the person of any person; or</w:t>
      </w:r>
    </w:p>
    <w:p>
      <w:pPr>
        <w:pStyle w:val="Indenta"/>
        <w:keepNext/>
        <w:keepLines/>
        <w:rPr>
          <w:snapToGrid w:val="0"/>
        </w:rPr>
      </w:pPr>
      <w:r>
        <w:tab/>
        <w:t>(h)</w:t>
      </w:r>
      <w:r>
        <w:tab/>
        <w:t>does</w:t>
      </w:r>
      <w:r>
        <w:rPr>
          <w:snapToGrid w:val="0"/>
        </w:rPr>
        <w:t xml:space="preserve"> any act that is likely to result in a person having a serious disease;</w:t>
      </w:r>
    </w:p>
    <w:p>
      <w:pPr>
        <w:pStyle w:val="Subsection"/>
        <w:keepNext/>
        <w:keepLines/>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keepNext/>
      </w:pPr>
      <w:r>
        <w:lastRenderedPageBreak/>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40"/>
        <w:ind w:left="890" w:hanging="890"/>
      </w:pPr>
      <w:r>
        <w:tab/>
        <w:t>[Section 294 amended: No. 118 of 1981 s. 4; No. 51 of 1992 s. 5 and 16(2); No. 70 of 2004 s. 36(3); No. 25 of 2015 s. 9.]</w:t>
      </w:r>
    </w:p>
    <w:p>
      <w:pPr>
        <w:pStyle w:val="Heading5"/>
        <w:keepNext w:val="0"/>
        <w:keepLines w:val="0"/>
        <w:spacing w:before="240"/>
        <w:rPr>
          <w:snapToGrid w:val="0"/>
        </w:rPr>
      </w:pPr>
      <w:bookmarkStart w:id="387" w:name="_Toc88662309"/>
      <w:r>
        <w:rPr>
          <w:rStyle w:val="CharSectno"/>
        </w:rPr>
        <w:t>294A</w:t>
      </w:r>
      <w:r>
        <w:rPr>
          <w:snapToGrid w:val="0"/>
        </w:rPr>
        <w:t>.</w:t>
      </w:r>
      <w:r>
        <w:rPr>
          <w:snapToGrid w:val="0"/>
        </w:rPr>
        <w:tab/>
        <w:t>Dangerous goods on aircraft</w:t>
      </w:r>
      <w:bookmarkEnd w:id="387"/>
    </w:p>
    <w:p>
      <w:pPr>
        <w:pStyle w:val="Subsection"/>
        <w:spacing w:before="180"/>
        <w:rPr>
          <w:snapToGrid w:val="0"/>
        </w:rPr>
      </w:pPr>
      <w:r>
        <w:rPr>
          <w:snapToGrid w:val="0"/>
        </w:rPr>
        <w:tab/>
        <w:t>(1)</w:t>
      </w:r>
      <w:r>
        <w:rPr>
          <w:snapToGrid w:val="0"/>
        </w:rPr>
        <w:tab/>
        <w:t>Subject to this section, any person who —</w:t>
      </w:r>
    </w:p>
    <w:p>
      <w:pPr>
        <w:pStyle w:val="Indenta"/>
        <w:spacing w:before="100"/>
        <w:rPr>
          <w:snapToGrid w:val="0"/>
        </w:rPr>
      </w:pPr>
      <w:r>
        <w:rPr>
          <w:snapToGrid w:val="0"/>
        </w:rPr>
        <w:tab/>
        <w:t>(a)</w:t>
      </w:r>
      <w:r>
        <w:rPr>
          <w:snapToGrid w:val="0"/>
        </w:rPr>
        <w:tab/>
        <w:t>carries or places dangerous goods on board an aircraft; or</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spacing w:before="180"/>
        <w:rPr>
          <w:snapToGrid w:val="0"/>
        </w:rPr>
      </w:pPr>
      <w:r>
        <w:rPr>
          <w:snapToGrid w:val="0"/>
        </w:rPr>
        <w:lastRenderedPageBreak/>
        <w:tab/>
        <w:t>(2)</w:t>
      </w:r>
      <w:r>
        <w:rPr>
          <w:snapToGrid w:val="0"/>
        </w:rPr>
        <w:tab/>
        <w:t>It is a defence to a charge of any offence defined in subsection (1) to prove that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keepNext/>
        <w:keepLines/>
        <w:spacing w:before="180"/>
        <w:rPr>
          <w:snapToGrid w:val="0"/>
        </w:rPr>
      </w:pPr>
      <w:r>
        <w:rPr>
          <w:snapToGrid w:val="0"/>
        </w:rPr>
        <w:tab/>
        <w:t>(3)</w:t>
      </w:r>
      <w:r>
        <w:rPr>
          <w:snapToGrid w:val="0"/>
        </w:rPr>
        <w:tab/>
        <w:t xml:space="preserve">In this section, </w:t>
      </w:r>
      <w:r>
        <w:rPr>
          <w:rStyle w:val="CharDefText"/>
        </w:rPr>
        <w:t>dangerous goods</w:t>
      </w:r>
      <w:r>
        <w:rPr>
          <w:snapToGrid w:val="0"/>
        </w:rPr>
        <w:t xml:space="preserve"> means —</w:t>
      </w:r>
    </w:p>
    <w:p>
      <w:pPr>
        <w:pStyle w:val="Indenta"/>
        <w:keepLines/>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ind w:left="890" w:hanging="890"/>
      </w:pPr>
      <w:r>
        <w:tab/>
        <w:t>[Section 294A inserted: No. 53 of 1964 s. 4; amended: No. 51 of 1992 s. 16(2); No. 70 of 2004 s. 36(3).]</w:t>
      </w:r>
    </w:p>
    <w:p>
      <w:pPr>
        <w:pStyle w:val="Heading5"/>
        <w:keepLines w:val="0"/>
        <w:spacing w:before="240"/>
        <w:rPr>
          <w:snapToGrid w:val="0"/>
        </w:rPr>
      </w:pPr>
      <w:bookmarkStart w:id="388" w:name="_Toc88662310"/>
      <w:r>
        <w:rPr>
          <w:rStyle w:val="CharSectno"/>
        </w:rPr>
        <w:t>295</w:t>
      </w:r>
      <w:r>
        <w:rPr>
          <w:snapToGrid w:val="0"/>
        </w:rPr>
        <w:t>.</w:t>
      </w:r>
      <w:r>
        <w:rPr>
          <w:snapToGrid w:val="0"/>
        </w:rPr>
        <w:tab/>
        <w:t>Preventing escape from wreck</w:t>
      </w:r>
      <w:bookmarkEnd w:id="388"/>
    </w:p>
    <w:p>
      <w:pPr>
        <w:pStyle w:val="Subsection"/>
        <w:rPr>
          <w:snapToGrid w:val="0"/>
        </w:rPr>
      </w:pPr>
      <w:r>
        <w:rPr>
          <w:snapToGrid w:val="0"/>
        </w:rPr>
        <w:tab/>
      </w:r>
      <w:r>
        <w:rPr>
          <w:snapToGrid w:val="0"/>
        </w:rPr>
        <w:tab/>
        <w:t>Any person who unlawfully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keepNext/>
        <w:keepLines/>
        <w:rPr>
          <w:snapToGrid w:val="0"/>
        </w:rPr>
      </w:pPr>
      <w:r>
        <w:rPr>
          <w:snapToGrid w:val="0"/>
        </w:rPr>
        <w:tab/>
        <w:t>(2)</w:t>
      </w:r>
      <w:r>
        <w:rPr>
          <w:snapToGrid w:val="0"/>
        </w:rPr>
        <w:tab/>
        <w:t>Obstructs any person in his endeavours to save the life of any person so situated;</w:t>
      </w:r>
    </w:p>
    <w:p>
      <w:pPr>
        <w:pStyle w:val="Subsection"/>
        <w:keepLines/>
        <w:rPr>
          <w:snapToGrid w:val="0"/>
        </w:rPr>
      </w:pPr>
      <w:r>
        <w:rPr>
          <w:snapToGrid w:val="0"/>
        </w:rPr>
        <w:tab/>
      </w:r>
      <w:r>
        <w:rPr>
          <w:snapToGrid w:val="0"/>
        </w:rPr>
        <w:tab/>
        <w:t>is guilty of a crime, and is liable to imprisonment for 20 years.</w:t>
      </w:r>
    </w:p>
    <w:p>
      <w:pPr>
        <w:pStyle w:val="Footnotesection"/>
        <w:ind w:left="890" w:hanging="890"/>
      </w:pPr>
      <w:r>
        <w:tab/>
        <w:t>[Section 295 amended: No. 118 of 1981 s. 4; No. 51 of 1992 s. 16(2).]</w:t>
      </w:r>
    </w:p>
    <w:p>
      <w:pPr>
        <w:pStyle w:val="Ednotesection"/>
      </w:pPr>
      <w:r>
        <w:t>[</w:t>
      </w:r>
      <w:r>
        <w:rPr>
          <w:b/>
        </w:rPr>
        <w:t>296, 296A.</w:t>
      </w:r>
      <w:r>
        <w:rPr>
          <w:b/>
        </w:rPr>
        <w:tab/>
      </w:r>
      <w:r>
        <w:t>Deleted: No. 4 of 2004 s. 18.]</w:t>
      </w:r>
    </w:p>
    <w:p>
      <w:pPr>
        <w:pStyle w:val="Heading5"/>
        <w:rPr>
          <w:snapToGrid w:val="0"/>
        </w:rPr>
      </w:pPr>
      <w:bookmarkStart w:id="389" w:name="_Toc88662311"/>
      <w:r>
        <w:rPr>
          <w:rStyle w:val="CharSectno"/>
        </w:rPr>
        <w:lastRenderedPageBreak/>
        <w:t>297</w:t>
      </w:r>
      <w:r>
        <w:rPr>
          <w:snapToGrid w:val="0"/>
        </w:rPr>
        <w:t>.</w:t>
      </w:r>
      <w:r>
        <w:rPr>
          <w:snapToGrid w:val="0"/>
        </w:rPr>
        <w:tab/>
        <w:t>Grievous bodily harm</w:t>
      </w:r>
      <w:bookmarkEnd w:id="389"/>
    </w:p>
    <w:p>
      <w:pPr>
        <w:pStyle w:val="Subsection"/>
        <w:keepNext/>
        <w:rPr>
          <w:snapToGrid w:val="0"/>
        </w:rPr>
      </w:pPr>
      <w:r>
        <w:rPr>
          <w:snapToGrid w:val="0"/>
        </w:rPr>
        <w:tab/>
        <w:t>(1)</w:t>
      </w:r>
      <w:r>
        <w:rPr>
          <w:snapToGrid w:val="0"/>
        </w:rPr>
        <w:tab/>
        <w:t>Any person who unlawfully does grievous bodily harm to another is guilty of a crime, and is liable to imprisonment for 10 years.</w:t>
      </w:r>
    </w:p>
    <w:p>
      <w:pPr>
        <w:pStyle w:val="Penstart"/>
        <w:rPr>
          <w:snapToGrid w:val="0"/>
        </w:rPr>
      </w:pPr>
      <w:r>
        <w:rPr>
          <w:snapToGrid w:val="0"/>
        </w:rPr>
        <w:tab/>
      </w:r>
      <w:r>
        <w:t xml:space="preserve">Alternative offence: s. 304, 313 or 317 or </w:t>
      </w:r>
      <w:r>
        <w:rPr>
          <w:i/>
        </w:rPr>
        <w:t xml:space="preserve">Road Traffic Act 1974 </w:t>
      </w:r>
      <w:r>
        <w:t>s. 59.</w:t>
      </w:r>
    </w:p>
    <w:p>
      <w:pPr>
        <w:pStyle w:val="Subsection"/>
        <w:rPr>
          <w:snapToGrid w:val="0"/>
        </w:rPr>
      </w:pPr>
      <w:r>
        <w:rPr>
          <w:snapToGrid w:val="0"/>
        </w:rPr>
        <w:tab/>
        <w:t>(2)</w:t>
      </w:r>
      <w:r>
        <w:rPr>
          <w:snapToGrid w:val="0"/>
        </w:rPr>
        <w:tab/>
        <w:t>If the offence is committed in the course of conduct that, under section 371 or 371A, constitutes the stealing of a motor vehicle, the offender is liable to imprisonment for 14 years.</w:t>
      </w:r>
    </w:p>
    <w:p>
      <w:pPr>
        <w:pStyle w:val="Subsection"/>
        <w:rPr>
          <w:snapToGrid w:val="0"/>
        </w:rPr>
      </w:pPr>
      <w:r>
        <w:rPr>
          <w:snapToGrid w:val="0"/>
        </w:rPr>
        <w:tab/>
        <w:t>(3)</w:t>
      </w:r>
      <w:r>
        <w:rPr>
          <w:snapToGrid w:val="0"/>
        </w:rPr>
        <w:tab/>
      </w:r>
      <w:r>
        <w:t>If the offence is committed in circumstances of aggravation</w:t>
      </w:r>
      <w:r>
        <w:rPr>
          <w:snapToGrid w:val="0"/>
        </w:rPr>
        <w:t>, the offender is liable to imprisonment for 14 years.</w:t>
      </w:r>
    </w:p>
    <w:p>
      <w:pPr>
        <w:pStyle w:val="Subsection"/>
        <w:keepNext/>
        <w:keepLines/>
      </w:pPr>
      <w:r>
        <w:tab/>
        <w:t>(4)</w:t>
      </w:r>
      <w:r>
        <w:tab/>
        <w:t>If —</w:t>
      </w:r>
    </w:p>
    <w:p>
      <w:pPr>
        <w:pStyle w:val="Indenta"/>
      </w:pPr>
      <w:r>
        <w:tab/>
        <w:t>(a)</w:t>
      </w:r>
      <w:r>
        <w:tab/>
        <w:t>the victim of the offence is a public officer who is performing a function of his office or employment; or</w:t>
      </w:r>
    </w:p>
    <w:p>
      <w:pPr>
        <w:pStyle w:val="Indenta"/>
      </w:pPr>
      <w:r>
        <w:tab/>
        <w:t>(b)</w:t>
      </w:r>
      <w:r>
        <w:tab/>
        <w:t>the offence is committed against a public officer on account of his being such an officer or his performance of a function of his office or employment; or</w:t>
      </w:r>
    </w:p>
    <w:p>
      <w:pPr>
        <w:pStyle w:val="Indenta"/>
        <w:keepNext/>
        <w:keepLines/>
      </w:pPr>
      <w:r>
        <w:tab/>
        <w:t>(c)</w:t>
      </w:r>
      <w:r>
        <w:tab/>
        <w:t>the victim of the offence is the driver or person operating or in charge of —</w:t>
      </w:r>
    </w:p>
    <w:p>
      <w:pPr>
        <w:pStyle w:val="Indenti"/>
      </w:pPr>
      <w:r>
        <w:tab/>
        <w:t>(i)</w:t>
      </w:r>
      <w:r>
        <w:tab/>
        <w:t>a vehicle travelling on a railway; or</w:t>
      </w:r>
    </w:p>
    <w:p>
      <w:pPr>
        <w:pStyle w:val="Indenti"/>
      </w:pPr>
      <w:r>
        <w:tab/>
        <w:t>(ii)</w:t>
      </w:r>
      <w:r>
        <w:tab/>
        <w:t>a ferry; or</w:t>
      </w:r>
    </w:p>
    <w:p>
      <w:pPr>
        <w:pStyle w:val="Indenti"/>
      </w:pPr>
      <w:r>
        <w:tab/>
        <w:t>(iii)</w:t>
      </w:r>
      <w:r>
        <w:tab/>
        <w:t xml:space="preserve">a passenger transport vehicle as defined in the </w:t>
      </w:r>
      <w:r>
        <w:rPr>
          <w:i/>
        </w:rPr>
        <w:t xml:space="preserve">Transport (Road Passenger Services) Act 2018 </w:t>
      </w:r>
      <w:r>
        <w:t>section 4(1);</w:t>
      </w:r>
    </w:p>
    <w:p>
      <w:pPr>
        <w:pStyle w:val="Indenta"/>
      </w:pPr>
      <w:r>
        <w:tab/>
      </w:r>
      <w:r>
        <w:tab/>
        <w:t>or</w:t>
      </w:r>
    </w:p>
    <w:p>
      <w:pPr>
        <w:pStyle w:val="Indenta"/>
        <w:rPr>
          <w:szCs w:val="22"/>
        </w:rPr>
      </w:pPr>
      <w:r>
        <w:rPr>
          <w:szCs w:val="22"/>
        </w:rPr>
        <w:tab/>
        <w:t>(d)</w:t>
      </w:r>
      <w:r>
        <w:rPr>
          <w:szCs w:val="22"/>
        </w:rPr>
        <w:tab/>
        <w:t>the victim of the offence is —</w:t>
      </w:r>
    </w:p>
    <w:p>
      <w:pPr>
        <w:pStyle w:val="Indenti"/>
      </w:pPr>
      <w:r>
        <w:rPr>
          <w:szCs w:val="22"/>
        </w:rPr>
        <w:tab/>
        <w:t>(i)</w:t>
      </w:r>
      <w:r>
        <w:rPr>
          <w:szCs w:val="22"/>
        </w:rPr>
        <w:tab/>
        <w:t>an ambulance officer; or</w:t>
      </w:r>
    </w:p>
    <w:p>
      <w:pPr>
        <w:pStyle w:val="Indenti"/>
      </w:pPr>
      <w:r>
        <w:tab/>
        <w:t>(ii)</w:t>
      </w:r>
      <w:r>
        <w:tab/>
        <w:t xml:space="preserve">a member of a FES Unit, SES Unit or VMRS Group (within the meaning given to those terms by the </w:t>
      </w:r>
      <w:r>
        <w:rPr>
          <w:i/>
        </w:rPr>
        <w:t>Fire and Emergency Services Act 1998</w:t>
      </w:r>
      <w:r>
        <w:t>); or</w:t>
      </w:r>
    </w:p>
    <w:p>
      <w:pPr>
        <w:pStyle w:val="Indenti"/>
      </w:pPr>
      <w:r>
        <w:lastRenderedPageBreak/>
        <w:tab/>
        <w:t>(iii)</w:t>
      </w:r>
      <w:r>
        <w:tab/>
        <w:t xml:space="preserve">a member or officer of a private fire brigade or volunteer fire brigade (within the meaning given to those terms by the </w:t>
      </w:r>
      <w:r>
        <w:rPr>
          <w:i/>
        </w:rPr>
        <w:t>Fire Brigades Act 1942</w:t>
      </w:r>
      <w:r>
        <w:t>),</w:t>
      </w:r>
    </w:p>
    <w:p>
      <w:pPr>
        <w:pStyle w:val="Indenta"/>
      </w:pPr>
      <w:r>
        <w:rPr>
          <w:szCs w:val="22"/>
        </w:rPr>
        <w:tab/>
      </w:r>
      <w:r>
        <w:rPr>
          <w:szCs w:val="22"/>
        </w:rPr>
        <w:tab/>
        <w:t>who is performing his or her duties as such; or</w:t>
      </w:r>
    </w:p>
    <w:p>
      <w:pPr>
        <w:pStyle w:val="Indenta"/>
        <w:keepNext/>
      </w:pPr>
      <w:r>
        <w:tab/>
        <w:t>(e)</w:t>
      </w:r>
      <w:r>
        <w:tab/>
        <w:t>the victim of the offence is a person who —</w:t>
      </w:r>
    </w:p>
    <w:p>
      <w:pPr>
        <w:pStyle w:val="Indenti"/>
      </w:pPr>
      <w:r>
        <w:rPr>
          <w:szCs w:val="22"/>
        </w:rPr>
        <w:tab/>
        <w:t>(i)</w:t>
      </w:r>
      <w:r>
        <w:rPr>
          <w:szCs w:val="22"/>
        </w:rPr>
        <w:tab/>
        <w:t>is working in a hospital; or</w:t>
      </w:r>
    </w:p>
    <w:p>
      <w:pPr>
        <w:pStyle w:val="Indenti"/>
      </w:pPr>
      <w:r>
        <w:tab/>
        <w:t>(ii)</w:t>
      </w:r>
      <w:r>
        <w:tab/>
        <w:t>is in the course of providing a health service to the public;</w:t>
      </w:r>
    </w:p>
    <w:p>
      <w:pPr>
        <w:pStyle w:val="Indenta"/>
      </w:pPr>
      <w:r>
        <w:rPr>
          <w:szCs w:val="22"/>
        </w:rPr>
        <w:tab/>
      </w:r>
      <w:r>
        <w:rPr>
          <w:szCs w:val="22"/>
        </w:rPr>
        <w:tab/>
        <w:t>or</w:t>
      </w:r>
    </w:p>
    <w:p>
      <w:pPr>
        <w:pStyle w:val="Indenta"/>
      </w:pPr>
      <w:r>
        <w:tab/>
        <w:t>(f)</w:t>
      </w:r>
      <w:r>
        <w:tab/>
        <w:t xml:space="preserve">the victim of the offence is a contract worker (within the meaning given to that term by the </w:t>
      </w:r>
      <w:r>
        <w:rPr>
          <w:i/>
        </w:rPr>
        <w:t>Court Security and Custodial Services Act 1999</w:t>
      </w:r>
      <w:r>
        <w:t>) who is providing court security services or custodial services under that Act; or</w:t>
      </w:r>
    </w:p>
    <w:p>
      <w:pPr>
        <w:pStyle w:val="Indenta"/>
      </w:pPr>
      <w:r>
        <w:tab/>
        <w:t>(g)</w:t>
      </w:r>
      <w:r>
        <w:tab/>
        <w:t xml:space="preserve">the victim of the offence is a contract worker (within the meaning given to that term by section 15A of the </w:t>
      </w:r>
      <w:r>
        <w:rPr>
          <w:i/>
        </w:rPr>
        <w:t>Prisons Act 1981</w:t>
      </w:r>
      <w:r>
        <w:t>) who is performing functions under Part IIIA of that Act,</w:t>
      </w:r>
    </w:p>
    <w:p>
      <w:pPr>
        <w:pStyle w:val="Subsection"/>
      </w:pPr>
      <w:r>
        <w:tab/>
      </w:r>
      <w:r>
        <w:tab/>
        <w:t>the offender is liable to imprisonment for 14 years.</w:t>
      </w:r>
    </w:p>
    <w:p>
      <w:pPr>
        <w:pStyle w:val="Subsection"/>
      </w:pPr>
      <w:r>
        <w:tab/>
        <w:t>(5)</w:t>
      </w:r>
      <w:r>
        <w:tab/>
        <w:t xml:space="preserve">If the offence is committed </w:t>
      </w:r>
      <w:r>
        <w:rPr>
          <w:noProof/>
          <w:szCs w:val="22"/>
        </w:rPr>
        <w:t>by an adult offender</w:t>
      </w:r>
      <w:r>
        <w:t>, then the court sentencing the offender —</w:t>
      </w:r>
    </w:p>
    <w:p>
      <w:pPr>
        <w:pStyle w:val="Indenta"/>
      </w:pPr>
      <w:r>
        <w:tab/>
        <w:t>(a)</w:t>
      </w:r>
      <w:r>
        <w:tab/>
        <w:t>if the offence is committed in the course of conduct that constitutes an aggravated home burglary, must, notwithstanding any other written law, impose a term of imprisonment of —</w:t>
      </w:r>
    </w:p>
    <w:p>
      <w:pPr>
        <w:pStyle w:val="Indenti"/>
      </w:pPr>
      <w:r>
        <w:tab/>
        <w:t>(i)</w:t>
      </w:r>
      <w:r>
        <w:tab/>
        <w:t>at least 75% of the term specified in subsection (3), where the offence is committed in circumstances of aggravation; or</w:t>
      </w:r>
    </w:p>
    <w:p>
      <w:pPr>
        <w:pStyle w:val="Indenti"/>
      </w:pPr>
      <w:r>
        <w:tab/>
        <w:t>(ii)</w:t>
      </w:r>
      <w:r>
        <w:tab/>
        <w:t>at least 75% of the term specified in subsection (1), in any other case;</w:t>
      </w:r>
    </w:p>
    <w:p>
      <w:pPr>
        <w:pStyle w:val="Indenta"/>
      </w:pPr>
      <w:r>
        <w:tab/>
      </w:r>
      <w:r>
        <w:tab/>
        <w:t>and</w:t>
      </w:r>
    </w:p>
    <w:p>
      <w:pPr>
        <w:pStyle w:val="Indenta"/>
      </w:pPr>
      <w:r>
        <w:tab/>
        <w:t>(b)</w:t>
      </w:r>
      <w:r>
        <w:tab/>
        <w:t xml:space="preserve">if the offence is committed in prescribed circumstances, must, notwithstanding any other written law, impose a </w:t>
      </w:r>
      <w:r>
        <w:lastRenderedPageBreak/>
        <w:t>term of imprisonment of at least 12 months, and must not suspend the term of imprisonment imposed.</w:t>
      </w:r>
    </w:p>
    <w:p>
      <w:pPr>
        <w:pStyle w:val="Subsection"/>
        <w:keepNext/>
      </w:pPr>
      <w:r>
        <w:tab/>
        <w:t>(6)</w:t>
      </w:r>
      <w:r>
        <w:tab/>
        <w:t xml:space="preserve">If the offence is committed </w:t>
      </w:r>
      <w:r>
        <w:rPr>
          <w:noProof/>
          <w:szCs w:val="22"/>
        </w:rPr>
        <w:t>by a juvenile offender</w:t>
      </w:r>
      <w:r>
        <w:t>, then the court sentencing the offender —</w:t>
      </w:r>
    </w:p>
    <w:p>
      <w:pPr>
        <w:pStyle w:val="Indenta"/>
      </w:pPr>
      <w:r>
        <w:tab/>
        <w:t>(a)</w:t>
      </w:r>
      <w:r>
        <w:tab/>
        <w:t xml:space="preserve">if the offence is committed in the course of conduct that constitutes an aggravated home burglary, must, notwithstanding the </w:t>
      </w:r>
      <w:r>
        <w:rPr>
          <w:i/>
        </w:rPr>
        <w:t>Young Offenders Act 1994</w:t>
      </w:r>
      <w:r>
        <w:t>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w:t>
      </w:r>
      <w:r>
        <w:rPr>
          <w:iCs/>
        </w:rPr>
        <w:t>of at least</w:t>
      </w:r>
      <w:r>
        <w:t xml:space="preserve"> 3 years,</w:t>
      </w:r>
    </w:p>
    <w:p>
      <w:pPr>
        <w:pStyle w:val="Indenta"/>
      </w:pPr>
      <w:r>
        <w:tab/>
      </w:r>
      <w:r>
        <w:tab/>
        <w:t>as the court thinks fit; and</w:t>
      </w:r>
    </w:p>
    <w:p>
      <w:pPr>
        <w:pStyle w:val="Indenta"/>
      </w:pPr>
      <w:r>
        <w:tab/>
        <w:t>(b)</w:t>
      </w:r>
      <w:r>
        <w:tab/>
        <w:t xml:space="preserve">if the offence is committed in prescribed circumstances, must, notwithstanding the </w:t>
      </w:r>
      <w:r>
        <w:rPr>
          <w:i/>
        </w:rPr>
        <w:t>Young Offenders Act 1994</w:t>
      </w:r>
      <w:r>
        <w:t>, impose either —</w:t>
      </w:r>
    </w:p>
    <w:p>
      <w:pPr>
        <w:pStyle w:val="Indenti"/>
      </w:pPr>
      <w:r>
        <w:tab/>
        <w:t>(i)</w:t>
      </w:r>
      <w:r>
        <w:tab/>
        <w:t xml:space="preserve">a term of imprisonment of at least 3 months, notwithstanding the </w:t>
      </w:r>
      <w:r>
        <w:rPr>
          <w:i/>
        </w:rPr>
        <w:t xml:space="preserve">Sentencing Act 1995 </w:t>
      </w:r>
      <w:r>
        <w:t>section 86; or</w:t>
      </w:r>
    </w:p>
    <w:p>
      <w:pPr>
        <w:pStyle w:val="Indenti"/>
      </w:pPr>
      <w:r>
        <w:tab/>
        <w:t>(ii)</w:t>
      </w:r>
      <w:r>
        <w:tab/>
        <w:t xml:space="preserve">a term of detention under the </w:t>
      </w:r>
      <w:r>
        <w:rPr>
          <w:i/>
        </w:rPr>
        <w:t>Young Offenders Act 1994</w:t>
      </w:r>
      <w:r>
        <w:rPr>
          <w:iCs/>
        </w:rPr>
        <w:t xml:space="preserve"> of at least</w:t>
      </w:r>
      <w:r>
        <w:t xml:space="preserve"> 3 months,</w:t>
      </w:r>
    </w:p>
    <w:p>
      <w:pPr>
        <w:pStyle w:val="Indenta"/>
      </w:pPr>
      <w:r>
        <w:tab/>
      </w:r>
      <w:r>
        <w:tab/>
        <w:t>as the court thinks fit,</w:t>
      </w:r>
    </w:p>
    <w:p>
      <w:pPr>
        <w:pStyle w:val="Subsection"/>
      </w:pPr>
      <w:r>
        <w:tab/>
      </w:r>
      <w:r>
        <w:tab/>
        <w:t>and in either case must not suspend any term of imprisonment imposed and must record a conviction.</w:t>
      </w:r>
    </w:p>
    <w:p>
      <w:pPr>
        <w:pStyle w:val="Subsection"/>
      </w:pPr>
      <w:r>
        <w:tab/>
        <w:t>(7)</w:t>
      </w:r>
      <w:r>
        <w:tab/>
        <w:t>Subsection (6)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Subsection"/>
        <w:keepNext/>
      </w:pPr>
      <w:r>
        <w:lastRenderedPageBreak/>
        <w:tab/>
        <w:t>(8)</w:t>
      </w:r>
      <w:r>
        <w:tab/>
        <w:t>In subsections (5) and (6) —</w:t>
      </w:r>
    </w:p>
    <w:p>
      <w:pPr>
        <w:pStyle w:val="Defstart"/>
        <w:keepNext/>
      </w:pPr>
      <w:r>
        <w:tab/>
      </w:r>
      <w:r>
        <w:rPr>
          <w:rStyle w:val="CharDefText"/>
        </w:rPr>
        <w:t>prescribed circumstances</w:t>
      </w:r>
      <w:r>
        <w:t xml:space="preserve"> means any of these circumstances —</w:t>
      </w:r>
    </w:p>
    <w:p>
      <w:pPr>
        <w:pStyle w:val="Defpara"/>
      </w:pPr>
      <w:r>
        <w:tab/>
        <w:t>(a)</w:t>
      </w:r>
      <w:r>
        <w:tab/>
        <w:t>where the offence is committed in the circumstances set out in subsection (4)(a) or (b) and the public officer is —</w:t>
      </w:r>
    </w:p>
    <w:p>
      <w:pPr>
        <w:pStyle w:val="Defsubpara"/>
      </w:pPr>
      <w:r>
        <w:tab/>
        <w:t>(i)</w:t>
      </w:r>
      <w:r>
        <w:tab/>
        <w:t>a police officer; or</w:t>
      </w:r>
    </w:p>
    <w:p>
      <w:pPr>
        <w:pStyle w:val="Defsubpara"/>
      </w:pPr>
      <w:r>
        <w:tab/>
        <w:t>(ii)</w:t>
      </w:r>
      <w:r>
        <w:tab/>
        <w:t xml:space="preserve">a prison officer as defined in the </w:t>
      </w:r>
      <w:r>
        <w:rPr>
          <w:i/>
        </w:rPr>
        <w:t xml:space="preserve">Prisons Act 1981 </w:t>
      </w:r>
      <w:r>
        <w:t>section 3(1); or</w:t>
      </w:r>
    </w:p>
    <w:p>
      <w:pPr>
        <w:pStyle w:val="Defsubpara"/>
      </w:pPr>
      <w:r>
        <w:tab/>
        <w:t>(iiia)</w:t>
      </w:r>
      <w:r>
        <w:tab/>
        <w:t xml:space="preserve">a person appointed under the </w:t>
      </w:r>
      <w:r>
        <w:rPr>
          <w:i/>
        </w:rPr>
        <w:t>Young Offenders Act 1994</w:t>
      </w:r>
      <w:r>
        <w:t xml:space="preserve"> section 11(1a)(a); or</w:t>
      </w:r>
    </w:p>
    <w:p>
      <w:pPr>
        <w:pStyle w:val="Defsubpara"/>
      </w:pPr>
      <w:r>
        <w:tab/>
        <w:t>(iii)</w:t>
      </w:r>
      <w:r>
        <w:tab/>
        <w:t xml:space="preserve">a security officer as defined in the </w:t>
      </w:r>
      <w:r>
        <w:rPr>
          <w:i/>
        </w:rPr>
        <w:t>Public Transport Authority Act 2003</w:t>
      </w:r>
      <w:r>
        <w:t xml:space="preserve"> section 3;</w:t>
      </w:r>
    </w:p>
    <w:p>
      <w:pPr>
        <w:pStyle w:val="Defpara"/>
      </w:pPr>
      <w:r>
        <w:tab/>
        <w:t>(b)</w:t>
      </w:r>
      <w:r>
        <w:tab/>
        <w:t>where the offence is committed in the circumstances set out in subsection (4)(d)(i), (f) or (g).</w:t>
      </w:r>
    </w:p>
    <w:p>
      <w:pPr>
        <w:pStyle w:val="Footnotesection"/>
        <w:keepLines w:val="0"/>
        <w:ind w:left="890" w:hanging="890"/>
      </w:pPr>
      <w:r>
        <w:tab/>
        <w:t>[Section 297 amended: No. 1 of 1992 s. 4; No. 51 of 1992 s. 16(2); No. 29 of 1998 s. 3; No. 23 of 2001 s. 3; No. 38 of 2004 s. 65; No. 70 of 2004 s. 36(6); No. 2 of 2008 s. 5; No. 21 of 2009 s. 4; No. 8 of 2012 s. 184; No. 22 of 2012 s. 115; No. 12 of 2013 s. 4; No. 25 of 2015 s. 10; No. 26 of 2018 s. 308 .]</w:t>
      </w:r>
    </w:p>
    <w:p>
      <w:pPr>
        <w:pStyle w:val="Heading5"/>
      </w:pPr>
      <w:bookmarkStart w:id="390" w:name="_Toc88662312"/>
      <w:r>
        <w:rPr>
          <w:rStyle w:val="CharSectno"/>
        </w:rPr>
        <w:t>298</w:t>
      </w:r>
      <w:r>
        <w:t>.</w:t>
      </w:r>
      <w:r>
        <w:tab/>
        <w:t>Suffocation and strangulation</w:t>
      </w:r>
      <w:bookmarkEnd w:id="390"/>
    </w:p>
    <w:p>
      <w:pPr>
        <w:pStyle w:val="Subsection"/>
      </w:pPr>
      <w:r>
        <w:tab/>
      </w:r>
      <w:r>
        <w:tab/>
        <w:t>A person commits a crime if the person unlawfully impedes another person’s normal breathing, blood circulation, or both, by manually, or by using any other aid —</w:t>
      </w:r>
    </w:p>
    <w:p>
      <w:pPr>
        <w:pStyle w:val="Indenta"/>
      </w:pPr>
      <w:r>
        <w:tab/>
        <w:t>(a)</w:t>
      </w:r>
      <w:r>
        <w:tab/>
        <w:t>blocking (completely or partially) another person’s nose, mouth, or both; or</w:t>
      </w:r>
    </w:p>
    <w:p>
      <w:pPr>
        <w:pStyle w:val="Indenta"/>
      </w:pPr>
      <w:r>
        <w:tab/>
        <w:t>(b)</w:t>
      </w:r>
      <w:r>
        <w:tab/>
        <w:t>applying pressure on, or to, another person’s neck.</w:t>
      </w:r>
    </w:p>
    <w:p>
      <w:pPr>
        <w:pStyle w:val="Penstart"/>
      </w:pPr>
      <w:r>
        <w:tab/>
        <w:t>Alternative offence: s. 313.</w:t>
      </w:r>
    </w:p>
    <w:p>
      <w:pPr>
        <w:pStyle w:val="Penstart"/>
      </w:pPr>
      <w:r>
        <w:tab/>
        <w:t>Penalty:</w:t>
      </w:r>
    </w:p>
    <w:p>
      <w:pPr>
        <w:pStyle w:val="Penpara"/>
      </w:pPr>
      <w:r>
        <w:tab/>
        <w:t>(a)</w:t>
      </w:r>
      <w:r>
        <w:tab/>
        <w:t>if the offence is committed in circumstances of aggravation, imprisonment for 7 years; or</w:t>
      </w:r>
    </w:p>
    <w:p>
      <w:pPr>
        <w:pStyle w:val="Penpara"/>
      </w:pPr>
      <w:r>
        <w:tab/>
        <w:t>(b)</w:t>
      </w:r>
      <w:r>
        <w:tab/>
        <w:t>in any other case, imprisonment for 5 years.</w:t>
      </w:r>
    </w:p>
    <w:p>
      <w:pPr>
        <w:pStyle w:val="Penstart"/>
        <w:keepNext/>
      </w:pPr>
      <w:r>
        <w:lastRenderedPageBreak/>
        <w:tab/>
        <w:t>Summary conviction penalty:</w:t>
      </w:r>
    </w:p>
    <w:p>
      <w:pPr>
        <w:pStyle w:val="Penpara"/>
      </w:pPr>
      <w:r>
        <w:tab/>
        <w:t>(a)</w:t>
      </w:r>
      <w:r>
        <w:tab/>
        <w:t>in a case to which the Penalty paragraph (a) applies, imprisonment for 3 years and a fine of $36 000; or</w:t>
      </w:r>
    </w:p>
    <w:p>
      <w:pPr>
        <w:pStyle w:val="Penpara"/>
      </w:pPr>
      <w:r>
        <w:tab/>
        <w:t>(b)</w:t>
      </w:r>
      <w:r>
        <w:tab/>
        <w:t>in a case to which the Penalty paragraph (b) applies, imprisonment for 2 years and a fine of $24 000.</w:t>
      </w:r>
    </w:p>
    <w:p>
      <w:pPr>
        <w:pStyle w:val="Footnotesection"/>
      </w:pPr>
      <w:r>
        <w:tab/>
        <w:t>[Section 298 inserted: No. 30 of 2020 s. 6.]</w:t>
      </w:r>
    </w:p>
    <w:p>
      <w:pPr>
        <w:pStyle w:val="Heading5"/>
      </w:pPr>
      <w:bookmarkStart w:id="391" w:name="_Toc88662313"/>
      <w:r>
        <w:rPr>
          <w:rStyle w:val="CharSectno"/>
        </w:rPr>
        <w:t>299</w:t>
      </w:r>
      <w:r>
        <w:t>.</w:t>
      </w:r>
      <w:r>
        <w:tab/>
        <w:t>Terms used in relation to s. 300 (persistent family violence)</w:t>
      </w:r>
      <w:bookmarkEnd w:id="391"/>
    </w:p>
    <w:p>
      <w:pPr>
        <w:pStyle w:val="Subsection"/>
      </w:pPr>
      <w:r>
        <w:tab/>
        <w:t>(1)</w:t>
      </w:r>
      <w:r>
        <w:tab/>
        <w:t>In this section and section 300 —</w:t>
      </w:r>
    </w:p>
    <w:p>
      <w:pPr>
        <w:pStyle w:val="Defstart"/>
      </w:pPr>
      <w:r>
        <w:tab/>
      </w:r>
      <w:r>
        <w:rPr>
          <w:rStyle w:val="CharDefText"/>
        </w:rPr>
        <w:t>designated family relationship</w:t>
      </w:r>
      <w:r>
        <w:t xml:space="preserve"> means a relationship between 2 persons —</w:t>
      </w:r>
    </w:p>
    <w:p>
      <w:pPr>
        <w:pStyle w:val="Defpara"/>
      </w:pPr>
      <w:r>
        <w:tab/>
        <w:t>(a)</w:t>
      </w:r>
      <w:r>
        <w:tab/>
        <w:t>who are, or were, married to each other; or</w:t>
      </w:r>
    </w:p>
    <w:p>
      <w:pPr>
        <w:pStyle w:val="Defpara"/>
      </w:pPr>
      <w:r>
        <w:tab/>
        <w:t>(b)</w:t>
      </w:r>
      <w:r>
        <w:tab/>
        <w:t>who are, or were, in a de facto relationship with each other; or</w:t>
      </w:r>
    </w:p>
    <w:p>
      <w:pPr>
        <w:pStyle w:val="Defpara"/>
      </w:pPr>
      <w:r>
        <w:tab/>
        <w:t>(c)</w:t>
      </w:r>
      <w:r>
        <w:tab/>
        <w:t>who have, or had, an intimate personal relationship with each other;</w:t>
      </w:r>
    </w:p>
    <w:p>
      <w:pPr>
        <w:pStyle w:val="Defstart"/>
        <w:keepNext/>
      </w:pPr>
      <w:r>
        <w:tab/>
      </w:r>
      <w:r>
        <w:rPr>
          <w:rStyle w:val="CharDefText"/>
        </w:rPr>
        <w:t>prescribed offence</w:t>
      </w:r>
      <w:r>
        <w:t xml:space="preserve"> means —</w:t>
      </w:r>
    </w:p>
    <w:p>
      <w:pPr>
        <w:pStyle w:val="Defpara"/>
      </w:pPr>
      <w:r>
        <w:tab/>
        <w:t>(a)</w:t>
      </w:r>
      <w:r>
        <w:tab/>
        <w:t>an offence against section 221BD, 298, 301, 304(1), 313, 317, 317A, 323, 324, 338B, 338C, 338E or 444(1)(b), or an attempt to commit such an offence; or</w:t>
      </w:r>
    </w:p>
    <w:p>
      <w:pPr>
        <w:pStyle w:val="Defpara"/>
      </w:pPr>
      <w:r>
        <w:tab/>
        <w:t>(b)</w:t>
      </w:r>
      <w:r>
        <w:tab/>
        <w:t xml:space="preserve">an offence against the </w:t>
      </w:r>
      <w:r>
        <w:rPr>
          <w:i/>
        </w:rPr>
        <w:t xml:space="preserve">Restraining Orders Act 1997 </w:t>
      </w:r>
      <w:r>
        <w:t>section 61(1) or (1A).</w:t>
      </w:r>
    </w:p>
    <w:p>
      <w:pPr>
        <w:pStyle w:val="Subsection"/>
      </w:pPr>
      <w:r>
        <w:tab/>
        <w:t>(2)</w:t>
      </w:r>
      <w:r>
        <w:tab/>
        <w:t xml:space="preserve">For the purposes of this section, an </w:t>
      </w:r>
      <w:r>
        <w:rPr>
          <w:rStyle w:val="CharDefText"/>
        </w:rPr>
        <w:t>intimate personal relationship</w:t>
      </w:r>
      <w:r>
        <w:rPr>
          <w:bCs/>
          <w:iCs/>
        </w:rPr>
        <w:t xml:space="preserve"> </w:t>
      </w:r>
      <w:r>
        <w:t xml:space="preserve">exists between 2 persons (including persons of the same sex) if — </w:t>
      </w:r>
    </w:p>
    <w:p>
      <w:pPr>
        <w:pStyle w:val="Indenta"/>
      </w:pPr>
      <w:r>
        <w:tab/>
        <w:t>(a)</w:t>
      </w:r>
      <w:r>
        <w:tab/>
        <w:t>the persons are engaged to be married to each other, including a betrothal under cultural or religious tradition; or</w:t>
      </w:r>
    </w:p>
    <w:p>
      <w:pPr>
        <w:pStyle w:val="Indenta"/>
      </w:pPr>
      <w:r>
        <w:tab/>
        <w:t>(b)</w:t>
      </w:r>
      <w:r>
        <w:tab/>
        <w:t>the persons date each other, or have a romantic involvement with each other, whether or not a sexual relationship is involved.</w:t>
      </w:r>
    </w:p>
    <w:p>
      <w:pPr>
        <w:pStyle w:val="Subsection"/>
      </w:pPr>
      <w:r>
        <w:lastRenderedPageBreak/>
        <w:tab/>
        <w:t>(3)</w:t>
      </w:r>
      <w:r>
        <w:tab/>
        <w:t xml:space="preserve">In deciding whether an intimate personal relationship exists under subsection (2)(b), the following may be taken into account — </w:t>
      </w:r>
    </w:p>
    <w:p>
      <w:pPr>
        <w:pStyle w:val="Indenta"/>
      </w:pPr>
      <w:r>
        <w:tab/>
        <w:t>(a)</w:t>
      </w:r>
      <w:r>
        <w:tab/>
        <w:t xml:space="preserve">the circumstances of the relationship, including, for example, the level of trust and commitment; </w:t>
      </w:r>
    </w:p>
    <w:p>
      <w:pPr>
        <w:pStyle w:val="Indenta"/>
      </w:pPr>
      <w:r>
        <w:tab/>
        <w:t>(b)</w:t>
      </w:r>
      <w:r>
        <w:tab/>
        <w:t>the length of time the relationship has existed;</w:t>
      </w:r>
    </w:p>
    <w:p>
      <w:pPr>
        <w:pStyle w:val="Indenta"/>
      </w:pPr>
      <w:r>
        <w:tab/>
        <w:t>(c)</w:t>
      </w:r>
      <w:r>
        <w:tab/>
        <w:t xml:space="preserve">the frequency of contact between the persons; </w:t>
      </w:r>
    </w:p>
    <w:p>
      <w:pPr>
        <w:pStyle w:val="Indenta"/>
      </w:pPr>
      <w:r>
        <w:tab/>
        <w:t>(d)</w:t>
      </w:r>
      <w:r>
        <w:tab/>
        <w:t>the level of intimacy between the persons.</w:t>
      </w:r>
    </w:p>
    <w:p>
      <w:pPr>
        <w:pStyle w:val="Subsection"/>
      </w:pPr>
      <w:r>
        <w:tab/>
        <w:t>(4)</w:t>
      </w:r>
      <w:r>
        <w:tab/>
        <w:t xml:space="preserve">For the purposes of this section and section 300, a person does an </w:t>
      </w:r>
      <w:r>
        <w:rPr>
          <w:rStyle w:val="CharDefText"/>
        </w:rPr>
        <w:t>act of family violence</w:t>
      </w:r>
      <w:r>
        <w:t xml:space="preserve"> if — </w:t>
      </w:r>
    </w:p>
    <w:p>
      <w:pPr>
        <w:pStyle w:val="Indenta"/>
      </w:pPr>
      <w:r>
        <w:tab/>
        <w:t>(a)</w:t>
      </w:r>
      <w:r>
        <w:tab/>
        <w:t>the person does an act that would constitute a prescribed offence in relation to another person with whom the person is in a designated family relationship; and</w:t>
      </w:r>
    </w:p>
    <w:p>
      <w:pPr>
        <w:pStyle w:val="Indenta"/>
      </w:pPr>
      <w:r>
        <w:tab/>
        <w:t>(b)</w:t>
      </w:r>
      <w:r>
        <w:tab/>
        <w:t>the person is not a child at the time of doing the act.</w:t>
      </w:r>
    </w:p>
    <w:p>
      <w:pPr>
        <w:pStyle w:val="Subsection"/>
      </w:pPr>
      <w:r>
        <w:tab/>
        <w:t>(5)</w:t>
      </w:r>
      <w:r>
        <w:tab/>
        <w:t xml:space="preserve">For the purposes of this section and section 300, a person </w:t>
      </w:r>
      <w:r>
        <w:rPr>
          <w:rStyle w:val="CharDefText"/>
        </w:rPr>
        <w:t>persistently engages in family violence</w:t>
      </w:r>
      <w:r>
        <w:t xml:space="preserve"> if the person does an act of family violence on 3 or more occasions each of which is on a different day over a period not exceeding 10 years against the same person.</w:t>
      </w:r>
    </w:p>
    <w:p>
      <w:pPr>
        <w:pStyle w:val="Subsection"/>
      </w:pPr>
      <w:r>
        <w:tab/>
        <w:t>(6)</w:t>
      </w:r>
      <w:r>
        <w:tab/>
        <w:t>For the purposes of subsection (5), the acts of family violence —</w:t>
      </w:r>
    </w:p>
    <w:p>
      <w:pPr>
        <w:pStyle w:val="Indenta"/>
      </w:pPr>
      <w:r>
        <w:tab/>
        <w:t>(a)</w:t>
      </w:r>
      <w:r>
        <w:tab/>
        <w:t>need not all constitute the same prescribed offence; and</w:t>
      </w:r>
    </w:p>
    <w:p>
      <w:pPr>
        <w:pStyle w:val="Indenta"/>
      </w:pPr>
      <w:r>
        <w:tab/>
        <w:t>(b)</w:t>
      </w:r>
      <w:r>
        <w:tab/>
        <w:t>need not all have occurred in this State as long as at least 1 of them did.</w:t>
      </w:r>
    </w:p>
    <w:p>
      <w:pPr>
        <w:pStyle w:val="Subsection"/>
      </w:pPr>
      <w:r>
        <w:tab/>
        <w:t>(7)</w:t>
      </w:r>
      <w:r>
        <w:tab/>
        <w:t>However, in relation to an act that constitutes a simple offence, an act cannot be an act of family violence if the date at the end of the period during which it is alleged that the acts of family violence occurred for the purposes of this section is outside the period during which it would be possible to charge the accused person with that offence.</w:t>
      </w:r>
    </w:p>
    <w:p>
      <w:pPr>
        <w:pStyle w:val="Footnotesection"/>
      </w:pPr>
      <w:r>
        <w:tab/>
        <w:t>[Section 299 inserted: No. 30 of 2020 s. 6.]</w:t>
      </w:r>
    </w:p>
    <w:p>
      <w:pPr>
        <w:pStyle w:val="Heading5"/>
      </w:pPr>
      <w:bookmarkStart w:id="392" w:name="_Toc88662314"/>
      <w:r>
        <w:rPr>
          <w:rStyle w:val="CharSectno"/>
        </w:rPr>
        <w:lastRenderedPageBreak/>
        <w:t>300</w:t>
      </w:r>
      <w:r>
        <w:t>.</w:t>
      </w:r>
      <w:r>
        <w:tab/>
        <w:t>Persistent family violence</w:t>
      </w:r>
      <w:bookmarkEnd w:id="392"/>
    </w:p>
    <w:p>
      <w:pPr>
        <w:pStyle w:val="Subsection"/>
      </w:pPr>
      <w:r>
        <w:tab/>
        <w:t>(1)</w:t>
      </w:r>
      <w:r>
        <w:tab/>
        <w:t>A person commits a crime if the person persistently engages in family violence.</w:t>
      </w:r>
    </w:p>
    <w:p>
      <w:pPr>
        <w:pStyle w:val="Penstart"/>
      </w:pPr>
      <w:r>
        <w:tab/>
        <w:t>Penalty for this subsection: imprisonment for 14 years.</w:t>
      </w:r>
    </w:p>
    <w:p>
      <w:pPr>
        <w:pStyle w:val="Penstart"/>
      </w:pPr>
      <w:r>
        <w:tab/>
        <w:t>Summary conviction penalty for this subsection: imprisonment for 3 years and a fine of $36 000.</w:t>
      </w:r>
    </w:p>
    <w:p>
      <w:pPr>
        <w:pStyle w:val="Subsection"/>
        <w:keepNext/>
      </w:pPr>
      <w:r>
        <w:tab/>
        <w:t>(2)</w:t>
      </w:r>
      <w:r>
        <w:tab/>
        <w:t>A charge of an offence under subsection (1) —</w:t>
      </w:r>
    </w:p>
    <w:p>
      <w:pPr>
        <w:pStyle w:val="Indenta"/>
      </w:pPr>
      <w:r>
        <w:tab/>
        <w:t>(a)</w:t>
      </w:r>
      <w:r>
        <w:tab/>
        <w:t>must specify the period during which it is alleged that the acts of family violence occurred; and</w:t>
      </w:r>
    </w:p>
    <w:p>
      <w:pPr>
        <w:pStyle w:val="Indenta"/>
      </w:pPr>
      <w:r>
        <w:tab/>
        <w:t>(b)</w:t>
      </w:r>
      <w:r>
        <w:tab/>
        <w:t>need not specify the dates, or in any other way particularise the circumstances, of the acts of family violence that are alleged to constitute the offence.</w:t>
      </w:r>
    </w:p>
    <w:p>
      <w:pPr>
        <w:pStyle w:val="Subsection"/>
      </w:pPr>
      <w:r>
        <w:tab/>
        <w:t>(3)</w:t>
      </w:r>
      <w:r>
        <w:tab/>
        <w:t xml:space="preserve">Subsection (2) applies despite the </w:t>
      </w:r>
      <w:r>
        <w:rPr>
          <w:i/>
        </w:rPr>
        <w:t>Criminal Procedure Act 2004</w:t>
      </w:r>
      <w:r>
        <w:t xml:space="preserve"> sections 23 and 85.</w:t>
      </w:r>
    </w:p>
    <w:p>
      <w:pPr>
        <w:pStyle w:val="Subsection"/>
      </w:pPr>
      <w:r>
        <w:tab/>
        <w:t>(4)</w:t>
      </w:r>
      <w:r>
        <w:tab/>
        <w:t>A person may be charged with both —</w:t>
      </w:r>
    </w:p>
    <w:p>
      <w:pPr>
        <w:pStyle w:val="Indenta"/>
      </w:pPr>
      <w:r>
        <w:tab/>
        <w:t>(a)</w:t>
      </w:r>
      <w:r>
        <w:tab/>
        <w:t>an offence against subsection (1); and</w:t>
      </w:r>
    </w:p>
    <w:p>
      <w:pPr>
        <w:pStyle w:val="Indenta"/>
      </w:pPr>
      <w:r>
        <w:tab/>
        <w:t>(b)</w:t>
      </w:r>
      <w:r>
        <w:tab/>
        <w:t>1 or more prescribed offences that are alleged to have occurred in the period during which it is alleged that the acts of family violence constituting the offence under subsection (1) occurred (including an offence or offences allegedly constituted by an act or acts that are the subject of allegations made for the purposes of an offence against subsection (1)).</w:t>
      </w:r>
    </w:p>
    <w:p>
      <w:pPr>
        <w:pStyle w:val="Subsection"/>
      </w:pPr>
      <w:r>
        <w:tab/>
        <w:t>(5)</w:t>
      </w:r>
      <w:r>
        <w:tab/>
        <w:t xml:space="preserve">A court cannot order the prosecutor to give a person charged with an offence under subsection (1) further particulars of the dates and circumstances of the acts of family violence that are alleged to constitute the offence, despite the </w:t>
      </w:r>
      <w:r>
        <w:rPr>
          <w:i/>
        </w:rPr>
        <w:t>Criminal Procedure Act 2004</w:t>
      </w:r>
      <w:r>
        <w:t xml:space="preserve"> section 131.</w:t>
      </w:r>
    </w:p>
    <w:p>
      <w:pPr>
        <w:pStyle w:val="Subsection"/>
      </w:pPr>
      <w:r>
        <w:tab/>
        <w:t>(6)</w:t>
      </w:r>
      <w:r>
        <w:tab/>
        <w:t xml:space="preserve">If in a trial by jury of a charge of an offence under subsection (1) there is evidence of acts of family violence on 4 or more occasions, the jury members need not all be satisfied that the same acts of family violence occurred on the same </w:t>
      </w:r>
      <w:r>
        <w:lastRenderedPageBreak/>
        <w:t>occasions as long as the jury is satisfied that the accused person persistently engaged in acts of family violence in the period specified.</w:t>
      </w:r>
    </w:p>
    <w:p>
      <w:pPr>
        <w:pStyle w:val="Subsection"/>
      </w:pPr>
      <w:r>
        <w:tab/>
        <w:t>(7)</w:t>
      </w:r>
      <w:r>
        <w:tab/>
        <w:t>If a person is found not guilty of an offence against subsection (1), the person may nevertheless be found guilty of 1 or more prescribed offences committed during the period specified in the charge for the offence against that subsection if the commission of the prescribed offence or prescribed offences is established by the evidence even if the person has not been charged with one or more of those prescribed offences, despite section 10A.</w:t>
      </w:r>
    </w:p>
    <w:p>
      <w:pPr>
        <w:pStyle w:val="Subsection"/>
      </w:pPr>
      <w:r>
        <w:tab/>
        <w:t>(8)</w:t>
      </w:r>
      <w:r>
        <w:tab/>
        <w:t xml:space="preserve">However — </w:t>
      </w:r>
    </w:p>
    <w:p>
      <w:pPr>
        <w:pStyle w:val="Indenta"/>
      </w:pPr>
      <w:r>
        <w:tab/>
        <w:t>(a)</w:t>
      </w:r>
      <w:r>
        <w:tab/>
        <w:t xml:space="preserve">if a person has been convicted or acquitted of a prescribed offence, the act constituting the prescribed offence cannot constitute an act of family violence for the purposes of establishing an offence against subsection (1) in separate or subsequent proceedings; and </w:t>
      </w:r>
    </w:p>
    <w:p>
      <w:pPr>
        <w:pStyle w:val="Indenta"/>
      </w:pPr>
      <w:r>
        <w:tab/>
        <w:t>(b)</w:t>
      </w:r>
      <w:r>
        <w:tab/>
        <w:t>if a person has been convicted or acquitted of an offence against subsection (1), the person cannot, in separate or subsequent proceedings, be found guilty of a prescribed offence constituted by an act that was the subject of evidence presented to the court for the purposes of proceedings for the offence against subsection (1); and</w:t>
      </w:r>
    </w:p>
    <w:p>
      <w:pPr>
        <w:pStyle w:val="Indenta"/>
      </w:pPr>
      <w:r>
        <w:tab/>
        <w:t>(c)</w:t>
      </w:r>
      <w:r>
        <w:tab/>
        <w:t>nothing in this section otherwise allows a person to be punished twice for the same act.</w:t>
      </w:r>
    </w:p>
    <w:p>
      <w:pPr>
        <w:pStyle w:val="Subsection"/>
      </w:pPr>
      <w:r>
        <w:tab/>
        <w:t>(9)</w:t>
      </w:r>
      <w:r>
        <w:tab/>
        <w:t>For the purposes of this section, a person ceases to be regarded as having been convicted of an offence if the conviction is set aside or quashed.</w:t>
      </w:r>
    </w:p>
    <w:p>
      <w:pPr>
        <w:pStyle w:val="Subsection"/>
      </w:pPr>
      <w:r>
        <w:tab/>
        <w:t>(10)</w:t>
      </w:r>
      <w:r>
        <w:tab/>
        <w:t>For the purposes of this section, an act that constitutes a prescribed offence may have occurred before the commencement of this section, unless the prescribed offence was not an offence at the time at which the act occurred.</w:t>
      </w:r>
    </w:p>
    <w:p>
      <w:pPr>
        <w:pStyle w:val="Footnotesection"/>
      </w:pPr>
      <w:r>
        <w:tab/>
        <w:t>[Section 300 inserted: No. 30 of 2020 s. 6.]</w:t>
      </w:r>
    </w:p>
    <w:p>
      <w:pPr>
        <w:pStyle w:val="Heading5"/>
        <w:keepNext w:val="0"/>
        <w:keepLines w:val="0"/>
        <w:spacing w:before="240"/>
        <w:rPr>
          <w:snapToGrid w:val="0"/>
        </w:rPr>
      </w:pPr>
      <w:bookmarkStart w:id="393" w:name="_Toc88662315"/>
      <w:r>
        <w:rPr>
          <w:rStyle w:val="CharSectno"/>
        </w:rPr>
        <w:lastRenderedPageBreak/>
        <w:t>301</w:t>
      </w:r>
      <w:r>
        <w:rPr>
          <w:snapToGrid w:val="0"/>
        </w:rPr>
        <w:t>.</w:t>
      </w:r>
      <w:r>
        <w:rPr>
          <w:snapToGrid w:val="0"/>
        </w:rPr>
        <w:tab/>
        <w:t>Wounding and similar acts</w:t>
      </w:r>
      <w:bookmarkEnd w:id="393"/>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crime, and is liable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keepNext/>
        <w:keepLines/>
        <w:rPr>
          <w:snapToGrid w:val="0"/>
        </w:rPr>
      </w:pPr>
      <w:r>
        <w:tab/>
        <w:t>(b)</w:t>
      </w:r>
      <w:r>
        <w:tab/>
        <w:t>in a case to which paragraph (b) above applies: imprisonment for 2 years and a fine of $24 000.</w:t>
      </w:r>
    </w:p>
    <w:p>
      <w:pPr>
        <w:pStyle w:val="Footnotesection"/>
        <w:ind w:left="890" w:hanging="890"/>
      </w:pPr>
      <w:r>
        <w:tab/>
        <w:t>[Section 301 amended: No. 51 of 1992 s. 16(2); No. 82 of 1994 s. 6; No. 23 of 2001 s. 4; No. 38 of 2004 s. 66; No. 70 of 2004 s. 35(4).]</w:t>
      </w:r>
    </w:p>
    <w:p>
      <w:pPr>
        <w:pStyle w:val="Ednotesection"/>
        <w:keepNext/>
        <w:spacing w:before="180"/>
        <w:ind w:left="890" w:hanging="890"/>
      </w:pPr>
      <w:r>
        <w:t>[</w:t>
      </w:r>
      <w:r>
        <w:rPr>
          <w:b/>
        </w:rPr>
        <w:t>302.</w:t>
      </w:r>
      <w:r>
        <w:rPr>
          <w:b/>
        </w:rPr>
        <w:tab/>
      </w:r>
      <w:r>
        <w:t>Deleted: No. 4 of 2004 s. 20.]</w:t>
      </w:r>
    </w:p>
    <w:p>
      <w:pPr>
        <w:pStyle w:val="Ednotesection"/>
        <w:spacing w:before="180"/>
        <w:ind w:left="890" w:hanging="890"/>
      </w:pPr>
      <w:r>
        <w:t>[</w:t>
      </w:r>
      <w:r>
        <w:rPr>
          <w:b/>
        </w:rPr>
        <w:t>303.</w:t>
      </w:r>
      <w:r>
        <w:rPr>
          <w:b/>
        </w:rPr>
        <w:tab/>
      </w:r>
      <w:r>
        <w:t>Deleted: No. 4 of 2004 s. 61(4).]</w:t>
      </w:r>
    </w:p>
    <w:p>
      <w:pPr>
        <w:pStyle w:val="Heading5"/>
        <w:spacing w:before="180"/>
      </w:pPr>
      <w:bookmarkStart w:id="394" w:name="_Toc88662316"/>
      <w:r>
        <w:rPr>
          <w:rStyle w:val="CharSectno"/>
        </w:rPr>
        <w:t>304</w:t>
      </w:r>
      <w:r>
        <w:t>.</w:t>
      </w:r>
      <w:r>
        <w:tab/>
        <w:t>Act or omission causing bodily harm or danger</w:t>
      </w:r>
      <w:bookmarkEnd w:id="394"/>
    </w:p>
    <w:p>
      <w:pPr>
        <w:pStyle w:val="Subsection"/>
        <w:keepNext/>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keepNext/>
      </w:pPr>
      <w:r>
        <w:tab/>
        <w:t>(b)</w:t>
      </w:r>
      <w:r>
        <w:tab/>
        <w:t>the life, health or safety of any person is or is likely to be endangered,</w:t>
      </w:r>
    </w:p>
    <w:p>
      <w:pPr>
        <w:pStyle w:val="Subsection"/>
        <w:keepLines/>
      </w:pPr>
      <w:r>
        <w:tab/>
      </w:r>
      <w:r>
        <w:tab/>
        <w:t>the person is guilty of a crime and is liable to imprisonment for 7 years.</w:t>
      </w:r>
    </w:p>
    <w:p>
      <w:pPr>
        <w:pStyle w:val="Penstart"/>
      </w:pPr>
      <w:r>
        <w:tab/>
        <w:t>Summary conviction penalty: imprisonment for 3 years and a fine of $36 000.</w:t>
      </w:r>
    </w:p>
    <w:p>
      <w:pPr>
        <w:pStyle w:val="Subsection"/>
      </w:pPr>
      <w:r>
        <w:lastRenderedPageBreak/>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 or</w:t>
      </w:r>
    </w:p>
    <w:p>
      <w:pPr>
        <w:pStyle w:val="Indenta"/>
      </w:pPr>
      <w:r>
        <w:tab/>
        <w:t>(b)</w:t>
      </w:r>
      <w:r>
        <w:tab/>
        <w:t>unlawfully endanger the life, health or safety of, any person; or</w:t>
      </w:r>
    </w:p>
    <w:p>
      <w:pPr>
        <w:pStyle w:val="Indenta"/>
      </w:pPr>
      <w:r>
        <w:tab/>
        <w:t>(c)</w:t>
      </w:r>
      <w:r>
        <w:tab/>
        <w:t>induce any person to deliver property to another person; or</w:t>
      </w:r>
    </w:p>
    <w:p>
      <w:pPr>
        <w:pStyle w:val="Indenta"/>
      </w:pPr>
      <w:r>
        <w:tab/>
        <w:t>(d)</w:t>
      </w:r>
      <w:r>
        <w:tab/>
        <w:t>gain a benefit, pecuniary or otherwise, for any person; or</w:t>
      </w:r>
    </w:p>
    <w:p>
      <w:pPr>
        <w:pStyle w:val="Indenta"/>
      </w:pPr>
      <w:r>
        <w:tab/>
        <w:t>(e)</w:t>
      </w:r>
      <w:r>
        <w:tab/>
        <w:t>cause a detriment, pecuniary or otherwise, to any person; or</w:t>
      </w:r>
    </w:p>
    <w:p>
      <w:pPr>
        <w:pStyle w:val="Indenta"/>
      </w:pPr>
      <w:r>
        <w:tab/>
        <w:t>(f)</w:t>
      </w:r>
      <w:r>
        <w:tab/>
        <w:t>prevent or hinder the doing of an act by a person who is lawfully entitled to do that act; or</w:t>
      </w:r>
    </w:p>
    <w:p>
      <w:pPr>
        <w:pStyle w:val="Indenta"/>
        <w:keepNext/>
        <w:keepLines/>
      </w:pPr>
      <w:r>
        <w:tab/>
        <w:t>(g)</w:t>
      </w:r>
      <w:r>
        <w:tab/>
        <w:t>compel the doing of an act by a person who is lawfully entitled to abstain from doing that act.</w:t>
      </w:r>
    </w:p>
    <w:p>
      <w:pPr>
        <w:pStyle w:val="Footnotesection"/>
        <w:keepLines w:val="0"/>
        <w:ind w:left="890" w:hanging="890"/>
      </w:pPr>
      <w:r>
        <w:tab/>
        <w:t>[Section 304 inserted: No. 4 of 2004 s. 21; amended: No. 70 of 2004 s. 35(2); No. 44 of 2009 s. 6.]</w:t>
      </w:r>
    </w:p>
    <w:p>
      <w:pPr>
        <w:pStyle w:val="Heading5"/>
      </w:pPr>
      <w:bookmarkStart w:id="395" w:name="_Toc88662317"/>
      <w:r>
        <w:rPr>
          <w:rStyle w:val="CharSectno"/>
        </w:rPr>
        <w:t>305</w:t>
      </w:r>
      <w:r>
        <w:t>.</w:t>
      </w:r>
      <w:r>
        <w:tab/>
        <w:t>Setting dangerous thing</w:t>
      </w:r>
      <w:bookmarkEnd w:id="395"/>
    </w:p>
    <w:p>
      <w:pPr>
        <w:pStyle w:val="Subsection"/>
        <w:keepNext/>
        <w:keepLines/>
      </w:pPr>
      <w:r>
        <w:tab/>
        <w:t>(1)</w:t>
      </w:r>
      <w:r>
        <w:tab/>
        <w:t>In this section —</w:t>
      </w:r>
    </w:p>
    <w:p>
      <w:pPr>
        <w:pStyle w:val="Defstart"/>
      </w:pPr>
      <w:r>
        <w:tab/>
      </w:r>
      <w:r>
        <w:rPr>
          <w:rStyle w:val="CharDefText"/>
        </w:rPr>
        <w:t>dangerous thing</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rStyle w:val="CharDefText"/>
        </w:rPr>
        <w:t>set</w:t>
      </w:r>
      <w:r>
        <w:t xml:space="preserve"> includes construct and place.</w:t>
      </w:r>
    </w:p>
    <w:p>
      <w:pPr>
        <w:pStyle w:val="Subsection"/>
        <w:keepNext/>
      </w:pPr>
      <w:r>
        <w:lastRenderedPageBreak/>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spacing w:before="100"/>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No. 4 of 2004 s. 21; amended: No. 70 of 2004 s. 35(1) and 36(3).]</w:t>
      </w:r>
    </w:p>
    <w:p>
      <w:pPr>
        <w:pStyle w:val="Heading5"/>
      </w:pPr>
      <w:bookmarkStart w:id="396" w:name="_Toc88662318"/>
      <w:r>
        <w:rPr>
          <w:rStyle w:val="CharSectno"/>
        </w:rPr>
        <w:t>305A</w:t>
      </w:r>
      <w:r>
        <w:t>.</w:t>
      </w:r>
      <w:r>
        <w:tab/>
        <w:t>Intoxication by deception</w:t>
      </w:r>
      <w:bookmarkEnd w:id="396"/>
    </w:p>
    <w:p>
      <w:pPr>
        <w:pStyle w:val="Subsection"/>
      </w:pPr>
      <w:r>
        <w:tab/>
        <w:t>(1)</w:t>
      </w:r>
      <w:r>
        <w:tab/>
        <w:t>In this section —</w:t>
      </w:r>
    </w:p>
    <w:p>
      <w:pPr>
        <w:pStyle w:val="Defstart"/>
      </w:pPr>
      <w:r>
        <w:tab/>
      </w:r>
      <w:r>
        <w:rPr>
          <w:rStyle w:val="CharDefText"/>
        </w:rPr>
        <w:t>harm</w:t>
      </w:r>
      <w:r>
        <w:t xml:space="preserve"> includes an impairment of the senses or understanding of a person that the person might reasonably be expected to object to in the circumstances;</w:t>
      </w:r>
    </w:p>
    <w:p>
      <w:pPr>
        <w:pStyle w:val="Defstart"/>
      </w:pPr>
      <w:r>
        <w:tab/>
      </w:r>
      <w:r>
        <w:rPr>
          <w:rStyle w:val="CharDefText"/>
        </w:rPr>
        <w:t>impair</w:t>
      </w:r>
      <w:r>
        <w:t xml:space="preserve"> includes further impair and temporarily impair;</w:t>
      </w:r>
    </w:p>
    <w:p>
      <w:pPr>
        <w:pStyle w:val="Defstart"/>
      </w:pPr>
      <w:r>
        <w:tab/>
      </w:r>
      <w:r>
        <w:rPr>
          <w:rStyle w:val="CharDefText"/>
        </w:rPr>
        <w:t>intoxicating substance</w:t>
      </w:r>
      <w:r>
        <w:t xml:space="preserve"> includes any substance that affects a person’s senses or understanding.</w:t>
      </w:r>
    </w:p>
    <w:p>
      <w:pPr>
        <w:pStyle w:val="Subsection"/>
      </w:pPr>
      <w:r>
        <w:lastRenderedPageBreak/>
        <w:tab/>
        <w:t>(2)</w:t>
      </w:r>
      <w:r>
        <w:tab/>
        <w:t>For the purposes of this section giving a person drink or food includes preparing the drink or food for the person or making it available for consumption by the person.</w:t>
      </w:r>
    </w:p>
    <w:p>
      <w:pPr>
        <w:pStyle w:val="Subsection"/>
      </w:pPr>
      <w:r>
        <w:tab/>
        <w:t>(3)</w:t>
      </w:r>
      <w:r>
        <w:tab/>
        <w:t xml:space="preserve">This section applies if a person (the </w:t>
      </w:r>
      <w:r>
        <w:rPr>
          <w:rStyle w:val="CharDefText"/>
        </w:rPr>
        <w:t>provider</w:t>
      </w:r>
      <w:r>
        <w:rPr>
          <w:i/>
          <w:iCs/>
        </w:rPr>
        <w:t>)</w:t>
      </w:r>
      <w:r>
        <w:t xml:space="preserve"> causes another person to be given or to consume drink or food —</w:t>
      </w:r>
    </w:p>
    <w:p>
      <w:pPr>
        <w:pStyle w:val="Indenta"/>
      </w:pPr>
      <w:r>
        <w:tab/>
        <w:t>(a)</w:t>
      </w:r>
      <w:r>
        <w:tab/>
        <w:t>containing an intoxicating substance that other person is not aware that it contains; or</w:t>
      </w:r>
    </w:p>
    <w:p>
      <w:pPr>
        <w:pStyle w:val="Indenta"/>
      </w:pPr>
      <w:r>
        <w:tab/>
        <w:t>(b)</w:t>
      </w:r>
      <w:r>
        <w:tab/>
        <w:t>containing more of an intoxicating substance than that other person would reasonably expect it to contain.</w:t>
      </w:r>
    </w:p>
    <w:p>
      <w:pPr>
        <w:pStyle w:val="Subsection"/>
      </w:pPr>
      <w:r>
        <w:tab/>
        <w:t>(4)</w:t>
      </w:r>
      <w:r>
        <w:tab/>
        <w:t>Where this section applies and the provider —</w:t>
      </w:r>
    </w:p>
    <w:p>
      <w:pPr>
        <w:pStyle w:val="Indenta"/>
      </w:pPr>
      <w:r>
        <w:tab/>
        <w:t>(a)</w:t>
      </w:r>
      <w:r>
        <w:tab/>
        <w:t>intends a person to be harmed by the consumption of the drink or food; or</w:t>
      </w:r>
    </w:p>
    <w:p>
      <w:pPr>
        <w:pStyle w:val="Indenta"/>
        <w:keepNext/>
        <w:keepLines/>
      </w:pPr>
      <w:r>
        <w:tab/>
        <w:t>(b)</w:t>
      </w:r>
      <w:r>
        <w:tab/>
        <w:t>knows or believes that consumption of the drink or food is likely to harm a person,</w:t>
      </w:r>
    </w:p>
    <w:p>
      <w:pPr>
        <w:pStyle w:val="Subsection"/>
        <w:keepLines/>
      </w:pPr>
      <w:r>
        <w:tab/>
      </w:r>
      <w:r>
        <w:tab/>
        <w:t>the provider is guilty of a crime and is liable to imprisonment for 3 years.</w:t>
      </w:r>
    </w:p>
    <w:p>
      <w:pPr>
        <w:pStyle w:val="Penstart"/>
        <w:keepLines/>
      </w:pPr>
      <w:r>
        <w:tab/>
        <w:t>Summary conviction penalty: imprisonment for 12 months and a fine of $12 000.</w:t>
      </w:r>
    </w:p>
    <w:p>
      <w:pPr>
        <w:pStyle w:val="Subsection"/>
      </w:pPr>
      <w:r>
        <w:tab/>
        <w:t>(5)</w:t>
      </w:r>
      <w:r>
        <w:tab/>
        <w:t>It is a defence to a charge under subsection (4) to prove that the accused person had reasonable cause to believe that each person who was likely to consume the drink or food would not have objected to consuming the drink or food if the person had been aware of the presence and quantity of the intoxicating substance in the drink or food.</w:t>
      </w:r>
    </w:p>
    <w:p>
      <w:pPr>
        <w:pStyle w:val="Footnotesection"/>
      </w:pPr>
      <w:r>
        <w:tab/>
        <w:t>[Section 305A inserted: No. 31 of 2007 s. 4.]</w:t>
      </w:r>
    </w:p>
    <w:p>
      <w:pPr>
        <w:pStyle w:val="Heading5"/>
      </w:pPr>
      <w:bookmarkStart w:id="397" w:name="_Toc88662319"/>
      <w:r>
        <w:rPr>
          <w:rStyle w:val="CharSectno"/>
        </w:rPr>
        <w:t>306</w:t>
      </w:r>
      <w:r>
        <w:t>.</w:t>
      </w:r>
      <w:r>
        <w:tab/>
        <w:t>Female genital mutilation</w:t>
      </w:r>
      <w:bookmarkEnd w:id="397"/>
    </w:p>
    <w:p>
      <w:pPr>
        <w:pStyle w:val="Subsection"/>
      </w:pPr>
      <w:r>
        <w:tab/>
        <w:t>(1)</w:t>
      </w:r>
      <w:r>
        <w:tab/>
        <w:t>In this section —</w:t>
      </w:r>
    </w:p>
    <w:p>
      <w:pPr>
        <w:pStyle w:val="Defstart"/>
      </w:pPr>
      <w:r>
        <w:tab/>
      </w:r>
      <w:r>
        <w:rPr>
          <w:rStyle w:val="CharDefText"/>
        </w:rPr>
        <w:t>child</w:t>
      </w:r>
      <w:r>
        <w:t xml:space="preserve"> means a person under the age of 18 years;</w:t>
      </w:r>
    </w:p>
    <w:p>
      <w:pPr>
        <w:pStyle w:val="Defstart"/>
        <w:keepNext/>
      </w:pPr>
      <w:r>
        <w:lastRenderedPageBreak/>
        <w:tab/>
      </w:r>
      <w:r>
        <w:rPr>
          <w:rStyle w:val="CharDefText"/>
        </w:rPr>
        <w:t>female genital mutilation</w:t>
      </w:r>
      <w:r>
        <w:t xml:space="preserve"> means —</w:t>
      </w:r>
    </w:p>
    <w:p>
      <w:pPr>
        <w:pStyle w:val="Defpara"/>
      </w:pPr>
      <w:r>
        <w:tab/>
        <w:t>(a)</w:t>
      </w:r>
      <w:r>
        <w:tab/>
        <w:t>the excision or mutilation of the whole or a part of the clitoris, the labia minora, the labia majora, or any other part of the female genital organs; or</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t>but does not include —</w:t>
      </w:r>
    </w:p>
    <w:p>
      <w:pPr>
        <w:pStyle w:val="Defpara"/>
      </w:pPr>
      <w:r>
        <w:tab/>
        <w:t>(d)</w:t>
      </w:r>
      <w:r>
        <w:tab/>
        <w:t xml:space="preserve">a reassignment procedure within the meaning of the </w:t>
      </w:r>
      <w:r>
        <w:rPr>
          <w:i/>
        </w:rPr>
        <w:t xml:space="preserve">Gender Reassignment Act 2000 </w:t>
      </w:r>
      <w:r>
        <w:t>carried out on a person’s genitals by a medical practitioner as defined in section 3 of that Act; or</w:t>
      </w:r>
    </w:p>
    <w:p>
      <w:pPr>
        <w:pStyle w:val="Defpara"/>
      </w:pPr>
      <w:r>
        <w:tab/>
        <w:t>(e)</w:t>
      </w:r>
      <w:r>
        <w:tab/>
        <w:t>a medical procedure carried out for proper medical purposes.</w:t>
      </w:r>
    </w:p>
    <w:p>
      <w:pPr>
        <w:pStyle w:val="Subsection"/>
        <w:spacing w:before="120"/>
      </w:pPr>
      <w:r>
        <w:tab/>
        <w:t>(2)</w:t>
      </w:r>
      <w:r>
        <w:tab/>
        <w:t>A person who performs female genital mutilation on another person is guilty of a crime and is liable to imprisonment for 20 years.</w:t>
      </w:r>
    </w:p>
    <w:p>
      <w:pPr>
        <w:pStyle w:val="Subsection"/>
        <w:spacing w:before="120"/>
      </w:pPr>
      <w:r>
        <w:tab/>
        <w:t>(3)</w:t>
      </w:r>
      <w:r>
        <w:tab/>
        <w:t>It is not a defence to a charge under subsection (2) that the other person, or a parent or guardian of the other person, consented to the mutilation.</w:t>
      </w:r>
    </w:p>
    <w:p>
      <w:pPr>
        <w:pStyle w:val="Subsection"/>
        <w:spacing w:before="120"/>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spacing w:before="120"/>
      </w:pPr>
      <w:r>
        <w:tab/>
        <w:t>(5)</w:t>
      </w:r>
      <w:r>
        <w:tab/>
        <w:t>In proceedings for an offence under subsection (4), proof that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spacing w:before="120"/>
      </w:pPr>
      <w:r>
        <w:tab/>
      </w:r>
      <w:r>
        <w:tab/>
        <w:t xml:space="preserve">is proof, in the absence of evidence to the contrary, that the accused person took the child, or arranged for the child to be </w:t>
      </w:r>
      <w:r>
        <w:lastRenderedPageBreak/>
        <w:t>taken, from Western Australia, as the case may be, with the intention of having the child subjected to female genital mutilation.</w:t>
      </w:r>
    </w:p>
    <w:p>
      <w:pPr>
        <w:pStyle w:val="Footnotesection"/>
        <w:ind w:left="890" w:hanging="890"/>
      </w:pPr>
      <w:r>
        <w:tab/>
        <w:t>[Section 306 inserted: No. 4 of 2004 s. 22; amended: No. 19 of 2016 s. 128.]</w:t>
      </w:r>
    </w:p>
    <w:p>
      <w:pPr>
        <w:pStyle w:val="Ednotesection"/>
        <w:spacing w:before="180"/>
        <w:ind w:left="890" w:hanging="890"/>
      </w:pPr>
      <w:r>
        <w:t>[</w:t>
      </w:r>
      <w:r>
        <w:rPr>
          <w:b/>
        </w:rPr>
        <w:t>307</w:t>
      </w:r>
      <w:r>
        <w:rPr>
          <w:b/>
        </w:rPr>
        <w:noBreakHyphen/>
        <w:t>312.</w:t>
      </w:r>
      <w:r>
        <w:tab/>
        <w:t>Deleted: No. 4 of 2004 s. 21.]</w:t>
      </w:r>
    </w:p>
    <w:p>
      <w:pPr>
        <w:pStyle w:val="Heading3"/>
        <w:rPr>
          <w:snapToGrid w:val="0"/>
        </w:rPr>
      </w:pPr>
      <w:bookmarkStart w:id="398" w:name="_Toc88569877"/>
      <w:bookmarkStart w:id="399" w:name="_Toc88570399"/>
      <w:bookmarkStart w:id="400" w:name="_Toc88570921"/>
      <w:bookmarkStart w:id="401" w:name="_Toc88662320"/>
      <w:r>
        <w:rPr>
          <w:rStyle w:val="CharDivNo"/>
        </w:rPr>
        <w:t>Chapter XXX</w:t>
      </w:r>
      <w:r>
        <w:rPr>
          <w:snapToGrid w:val="0"/>
        </w:rPr>
        <w:t> — </w:t>
      </w:r>
      <w:r>
        <w:rPr>
          <w:rStyle w:val="CharDivText"/>
        </w:rPr>
        <w:t>Assaults</w:t>
      </w:r>
      <w:bookmarkEnd w:id="398"/>
      <w:bookmarkEnd w:id="399"/>
      <w:bookmarkEnd w:id="400"/>
      <w:bookmarkEnd w:id="401"/>
    </w:p>
    <w:p>
      <w:pPr>
        <w:pStyle w:val="Heading5"/>
        <w:spacing w:before="180"/>
        <w:rPr>
          <w:snapToGrid w:val="0"/>
        </w:rPr>
      </w:pPr>
      <w:bookmarkStart w:id="402" w:name="_Toc88662321"/>
      <w:r>
        <w:rPr>
          <w:rStyle w:val="CharSectno"/>
        </w:rPr>
        <w:t>313</w:t>
      </w:r>
      <w:r>
        <w:rPr>
          <w:snapToGrid w:val="0"/>
        </w:rPr>
        <w:t>.</w:t>
      </w:r>
      <w:r>
        <w:rPr>
          <w:snapToGrid w:val="0"/>
        </w:rPr>
        <w:tab/>
        <w:t>Common assault</w:t>
      </w:r>
      <w:bookmarkEnd w:id="402"/>
    </w:p>
    <w:p>
      <w:pPr>
        <w:pStyle w:val="Subsection"/>
        <w:spacing w:before="120"/>
      </w:pPr>
      <w:r>
        <w:rPr>
          <w:snapToGrid w:val="0"/>
        </w:rPr>
        <w:tab/>
        <w:t>(1)</w:t>
      </w:r>
      <w:r>
        <w:rPr>
          <w:snapToGrid w:val="0"/>
        </w:rPr>
        <w:tab/>
        <w:t xml:space="preserve">Any person who unlawfully assaults another is guilty of a simple offence and is </w:t>
      </w:r>
      <w:r>
        <w:t>liable —</w:t>
      </w:r>
    </w:p>
    <w:p>
      <w:pPr>
        <w:pStyle w:val="Indenta"/>
      </w:pPr>
      <w:r>
        <w:tab/>
        <w:t>(a)</w:t>
      </w:r>
      <w:r>
        <w:tab/>
        <w:t>if the offence is committed in circumstances of aggravation or in circumstances of racial aggravation, to imprisonment for 3 years and a fine of $36 000; or</w:t>
      </w:r>
    </w:p>
    <w:p>
      <w:pPr>
        <w:pStyle w:val="Indenta"/>
        <w:rPr>
          <w:snapToGrid w:val="0"/>
        </w:rPr>
      </w:pPr>
      <w:r>
        <w:tab/>
        <w:t>(b)</w:t>
      </w:r>
      <w:r>
        <w:tab/>
        <w:t>in any other case, to imprisonment for 18 months and a fine of $18 000.</w:t>
      </w:r>
    </w:p>
    <w:p>
      <w:pPr>
        <w:pStyle w:val="Subsection"/>
        <w:spacing w:before="120"/>
        <w:rPr>
          <w:snapToGrid w:val="0"/>
        </w:rPr>
      </w:pPr>
      <w:r>
        <w:rPr>
          <w:snapToGrid w:val="0"/>
        </w:rPr>
        <w:tab/>
        <w:t>(2)</w:t>
      </w:r>
      <w:r>
        <w:rPr>
          <w:snapToGrid w:val="0"/>
        </w:rPr>
        <w:tab/>
        <w:t>A prosecution for an offence under subsection (1) may be commenced at any time.</w:t>
      </w:r>
    </w:p>
    <w:p>
      <w:pPr>
        <w:pStyle w:val="Footnotesection"/>
        <w:keepLines w:val="0"/>
        <w:spacing w:before="80"/>
        <w:ind w:left="890" w:hanging="890"/>
      </w:pPr>
      <w:r>
        <w:tab/>
        <w:t>[Section 313 inserted: No. 106 of 1987 s. 15; amended: No. 23 of 2001 s. 5; No. 38 of 2004 s. 67; No. 70 of 2004 s. 35(4); No. 2 of 2008 s. 6(1).]</w:t>
      </w:r>
    </w:p>
    <w:p>
      <w:pPr>
        <w:pStyle w:val="Ednotesection"/>
        <w:ind w:left="890" w:hanging="890"/>
      </w:pPr>
      <w:r>
        <w:t>[</w:t>
      </w:r>
      <w:r>
        <w:rPr>
          <w:b/>
        </w:rPr>
        <w:t>314, 315.</w:t>
      </w:r>
      <w:r>
        <w:tab/>
        <w:t>Deleted: No. 74 of 1985 s. 7.]</w:t>
      </w:r>
    </w:p>
    <w:p>
      <w:pPr>
        <w:pStyle w:val="Ednotesection"/>
        <w:ind w:left="890" w:hanging="890"/>
      </w:pPr>
      <w:r>
        <w:t>[</w:t>
      </w:r>
      <w:r>
        <w:rPr>
          <w:b/>
        </w:rPr>
        <w:t>316.</w:t>
      </w:r>
      <w:r>
        <w:tab/>
        <w:t>Deleted: No. 119 of 1985 s. 11.]</w:t>
      </w:r>
    </w:p>
    <w:p>
      <w:pPr>
        <w:pStyle w:val="Heading5"/>
        <w:rPr>
          <w:snapToGrid w:val="0"/>
        </w:rPr>
      </w:pPr>
      <w:bookmarkStart w:id="403" w:name="_Toc88662322"/>
      <w:r>
        <w:rPr>
          <w:rStyle w:val="CharSectno"/>
        </w:rPr>
        <w:t>317</w:t>
      </w:r>
      <w:r>
        <w:rPr>
          <w:snapToGrid w:val="0"/>
        </w:rPr>
        <w:t>.</w:t>
      </w:r>
      <w:r>
        <w:rPr>
          <w:snapToGrid w:val="0"/>
        </w:rPr>
        <w:tab/>
        <w:t>Assault causing bodily harm</w:t>
      </w:r>
      <w:bookmarkEnd w:id="403"/>
    </w:p>
    <w:p>
      <w:pPr>
        <w:pStyle w:val="Subsection"/>
      </w:pPr>
      <w:r>
        <w:rPr>
          <w:snapToGrid w:val="0"/>
        </w:rPr>
        <w:tab/>
        <w:t>(1)</w:t>
      </w:r>
      <w:r>
        <w:rPr>
          <w:snapToGrid w:val="0"/>
        </w:rPr>
        <w:tab/>
        <w:t xml:space="preserve">Any person who unlawfully assaults another and thereby does that other person bodily harm is guilty of a crime, and is </w:t>
      </w:r>
      <w:r>
        <w:t>liable —</w:t>
      </w:r>
    </w:p>
    <w:p>
      <w:pPr>
        <w:pStyle w:val="Indenta"/>
      </w:pPr>
      <w:r>
        <w:tab/>
        <w:t>(a)</w:t>
      </w:r>
      <w:r>
        <w:tab/>
        <w:t>if the offence is committed in circumstances of aggravation or in circumstances of racial aggravation, to imprisonment for 7 years; or</w:t>
      </w:r>
    </w:p>
    <w:p>
      <w:pPr>
        <w:pStyle w:val="Indenta"/>
        <w:keepNext/>
      </w:pPr>
      <w:r>
        <w:lastRenderedPageBreak/>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deleted]</w:t>
      </w:r>
    </w:p>
    <w:p>
      <w:pPr>
        <w:pStyle w:val="Footnotesection"/>
      </w:pPr>
      <w:r>
        <w:tab/>
        <w:t>[Section 317 inserted: No. 119 of 1985 s. 12; amended: No. 106 of 1987 s. 24; No. 70 of 1988 s. 28; No. 82 of 1994 s. 12; No. 23 of 2001 s. 6; No. 38 of 2004 s. 68; No. 70 of 2004 s. 35(4) and 36(3); No. 2 of 2008 s. 7(1).]</w:t>
      </w:r>
    </w:p>
    <w:p>
      <w:pPr>
        <w:pStyle w:val="Heading5"/>
        <w:rPr>
          <w:snapToGrid w:val="0"/>
        </w:rPr>
      </w:pPr>
      <w:bookmarkStart w:id="404" w:name="_Toc88662323"/>
      <w:r>
        <w:rPr>
          <w:rStyle w:val="CharSectno"/>
        </w:rPr>
        <w:t>317A</w:t>
      </w:r>
      <w:r>
        <w:rPr>
          <w:snapToGrid w:val="0"/>
        </w:rPr>
        <w:t>.</w:t>
      </w:r>
      <w:r>
        <w:rPr>
          <w:snapToGrid w:val="0"/>
        </w:rPr>
        <w:tab/>
        <w:t>Assault with intent</w:t>
      </w:r>
      <w:bookmarkEnd w:id="404"/>
    </w:p>
    <w:p>
      <w:pPr>
        <w:pStyle w:val="Subsection"/>
        <w:keepNext/>
        <w:keepLines/>
        <w:rPr>
          <w:snapToGrid w:val="0"/>
        </w:rPr>
      </w:pPr>
      <w:r>
        <w:rPr>
          <w:snapToGrid w:val="0"/>
        </w:rPr>
        <w:tab/>
      </w:r>
      <w:r>
        <w:rPr>
          <w:snapToGrid w:val="0"/>
        </w:rPr>
        <w:tab/>
        <w:t>Any person who —</w:t>
      </w:r>
    </w:p>
    <w:p>
      <w:pPr>
        <w:pStyle w:val="Indenta"/>
        <w:keepNext/>
        <w:keepLines/>
        <w:rPr>
          <w:snapToGrid w:val="0"/>
        </w:rPr>
      </w:pPr>
      <w:r>
        <w:rPr>
          <w:snapToGrid w:val="0"/>
        </w:rPr>
        <w:tab/>
        <w:t>(a)</w:t>
      </w:r>
      <w:r>
        <w:rPr>
          <w:snapToGrid w:val="0"/>
        </w:rPr>
        <w:tab/>
        <w:t>assaults another with intent to commit or facilitate the commission of a crime; or</w:t>
      </w:r>
    </w:p>
    <w:p>
      <w:pPr>
        <w:pStyle w:val="Indenta"/>
        <w:rPr>
          <w:snapToGrid w:val="0"/>
        </w:rPr>
      </w:pPr>
      <w:r>
        <w:rPr>
          <w:snapToGrid w:val="0"/>
        </w:rPr>
        <w:tab/>
        <w:t>(b)</w:t>
      </w:r>
      <w:r>
        <w:rPr>
          <w:snapToGrid w:val="0"/>
        </w:rPr>
        <w:tab/>
        <w:t>assaults another with intent to do grievous bodily harm to any person; or</w:t>
      </w:r>
    </w:p>
    <w:p>
      <w:pPr>
        <w:pStyle w:val="Indenta"/>
        <w:keepNext/>
        <w:keepLines/>
        <w:rPr>
          <w:snapToGrid w:val="0"/>
        </w:rPr>
      </w:pPr>
      <w:r>
        <w:rPr>
          <w:snapToGrid w:val="0"/>
        </w:rPr>
        <w:tab/>
        <w:t>(c)</w:t>
      </w:r>
      <w:r>
        <w:rPr>
          <w:snapToGrid w:val="0"/>
        </w:rPr>
        <w:tab/>
        <w:t>assaults another with intent to resist or prevent the lawful arrest or detention of any person,</w:t>
      </w:r>
    </w:p>
    <w:p>
      <w:pPr>
        <w:pStyle w:val="Subsection"/>
        <w:keepNext/>
        <w:keepLines/>
        <w:spacing w:before="180"/>
      </w:pPr>
      <w:r>
        <w:rPr>
          <w:snapToGrid w:val="0"/>
        </w:rPr>
        <w:tab/>
      </w:r>
      <w:r>
        <w:rPr>
          <w:snapToGrid w:val="0"/>
        </w:rPr>
        <w:tab/>
        <w:t xml:space="preserve">is guilty of a crime, and is </w:t>
      </w:r>
      <w:r>
        <w:t>liable —</w:t>
      </w:r>
    </w:p>
    <w:p>
      <w:pPr>
        <w:pStyle w:val="Indenta"/>
      </w:pPr>
      <w:r>
        <w:tab/>
        <w:t>(d)</w:t>
      </w:r>
      <w:r>
        <w:tab/>
        <w:t>if the offence is committed in circumstances of aggravation or in circumstances of racial aggravation, to imprisonment for 7 years; or</w:t>
      </w:r>
    </w:p>
    <w:p>
      <w:pPr>
        <w:pStyle w:val="Indenta"/>
        <w:keepNext/>
        <w:keepLines/>
      </w:pPr>
      <w:r>
        <w:tab/>
        <w:t>(e)</w:t>
      </w:r>
      <w:r>
        <w:tab/>
        <w:t>in any other case, to imprisonment for 5 years.</w:t>
      </w:r>
    </w:p>
    <w:p>
      <w:pPr>
        <w:pStyle w:val="Penstart"/>
        <w:keepLines/>
        <w:spacing w:before="160"/>
      </w:pPr>
      <w:r>
        <w:tab/>
        <w:t>Alternative offence: s. 313 or 317.</w:t>
      </w:r>
    </w:p>
    <w:p>
      <w:pPr>
        <w:pStyle w:val="Penstart"/>
        <w:keepLines/>
        <w:spacing w:before="160"/>
      </w:pPr>
      <w:r>
        <w:tab/>
        <w:t>Summary conviction penalty:</w:t>
      </w:r>
    </w:p>
    <w:p>
      <w:pPr>
        <w:pStyle w:val="Penpara"/>
      </w:pPr>
      <w:r>
        <w:tab/>
        <w:t>(a)</w:t>
      </w:r>
      <w:r>
        <w:tab/>
        <w:t>in a case to which paragraph (d) above applies: imprisonment for 3 years and a fine of $36 000; or</w:t>
      </w:r>
    </w:p>
    <w:p>
      <w:pPr>
        <w:pStyle w:val="Penpara"/>
        <w:keepNext/>
        <w:keepLines/>
      </w:pPr>
      <w:r>
        <w:lastRenderedPageBreak/>
        <w:tab/>
        <w:t>(b)</w:t>
      </w:r>
      <w:r>
        <w:tab/>
        <w:t>in a case to which paragraph (e) above applies: imprisonment for 2 years and a fine of $24 000.</w:t>
      </w:r>
    </w:p>
    <w:p>
      <w:pPr>
        <w:pStyle w:val="Footnotesection"/>
      </w:pPr>
      <w:r>
        <w:tab/>
        <w:t>[Section 317A inserted: No. 82 of 1994 s. 7; amended: No. 23 of 2001 s. 7; No. 38 of 2004 s. 69; No. 70 of 2004 s. 35(4) and 36(3); No. 2 of 2008 s. 8(1).]</w:t>
      </w:r>
    </w:p>
    <w:p>
      <w:pPr>
        <w:pStyle w:val="Heading5"/>
        <w:rPr>
          <w:snapToGrid w:val="0"/>
        </w:rPr>
      </w:pPr>
      <w:bookmarkStart w:id="405" w:name="_Toc88662324"/>
      <w:r>
        <w:rPr>
          <w:rStyle w:val="CharSectno"/>
        </w:rPr>
        <w:t>318</w:t>
      </w:r>
      <w:r>
        <w:rPr>
          <w:snapToGrid w:val="0"/>
        </w:rPr>
        <w:t>.</w:t>
      </w:r>
      <w:r>
        <w:rPr>
          <w:snapToGrid w:val="0"/>
        </w:rPr>
        <w:tab/>
        <w:t>Serious assault</w:t>
      </w:r>
      <w:bookmarkEnd w:id="405"/>
    </w:p>
    <w:p>
      <w:pPr>
        <w:pStyle w:val="Subsection"/>
        <w:keepNext/>
        <w:keepLines/>
        <w:rPr>
          <w:snapToGrid w:val="0"/>
        </w:rPr>
      </w:pPr>
      <w:r>
        <w:rPr>
          <w:snapToGrid w:val="0"/>
        </w:rPr>
        <w:tab/>
        <w:t>(1)</w:t>
      </w:r>
      <w:r>
        <w:rPr>
          <w:snapToGrid w:val="0"/>
        </w:rPr>
        <w:tab/>
        <w:t>Any person who —</w:t>
      </w:r>
    </w:p>
    <w:p>
      <w:pPr>
        <w:pStyle w:val="Ednotepara"/>
        <w:tabs>
          <w:tab w:val="clear" w:pos="1325"/>
          <w:tab w:val="right" w:pos="1560"/>
        </w:tabs>
        <w:spacing w:before="80"/>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assaults a public officer who is performing a function of his office or employment or on account of </w:t>
      </w:r>
      <w:r>
        <w:t>his being such an officer or</w:t>
      </w:r>
      <w:r>
        <w:rPr>
          <w:snapToGrid w:val="0"/>
        </w:rPr>
        <w:t xml:space="preserve"> his performance of such a function; or</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 or</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keepNext/>
        <w:keepLines/>
        <w:rPr>
          <w:snapToGrid w:val="0"/>
        </w:rPr>
      </w:pPr>
      <w:r>
        <w:rPr>
          <w:snapToGrid w:val="0"/>
        </w:rPr>
        <w:tab/>
        <w:t>(g)</w:t>
      </w:r>
      <w:r>
        <w:rPr>
          <w:snapToGrid w:val="0"/>
        </w:rPr>
        <w:tab/>
        <w:t>assaults the driver or person operating or in charge of —</w:t>
      </w:r>
    </w:p>
    <w:p>
      <w:pPr>
        <w:pStyle w:val="Indenti"/>
        <w:keepNext/>
        <w:keepLines/>
        <w:rPr>
          <w:snapToGrid w:val="0"/>
        </w:rPr>
      </w:pPr>
      <w:r>
        <w:rPr>
          <w:snapToGrid w:val="0"/>
        </w:rPr>
        <w:tab/>
        <w:t>(i)</w:t>
      </w:r>
      <w:r>
        <w:rPr>
          <w:snapToGrid w:val="0"/>
        </w:rPr>
        <w:tab/>
        <w:t>a vehicle travelling on a railway; or</w:t>
      </w:r>
    </w:p>
    <w:p>
      <w:pPr>
        <w:pStyle w:val="Indenti"/>
        <w:rPr>
          <w:snapToGrid w:val="0"/>
        </w:rPr>
      </w:pPr>
      <w:r>
        <w:rPr>
          <w:snapToGrid w:val="0"/>
        </w:rPr>
        <w:tab/>
        <w:t>(ii)</w:t>
      </w:r>
      <w:r>
        <w:rPr>
          <w:snapToGrid w:val="0"/>
        </w:rPr>
        <w:tab/>
        <w:t>a ferry; or</w:t>
      </w:r>
    </w:p>
    <w:p>
      <w:pPr>
        <w:pStyle w:val="Indenti"/>
      </w:pPr>
      <w:r>
        <w:tab/>
        <w:t>(iii)</w:t>
      </w:r>
      <w:r>
        <w:tab/>
        <w:t xml:space="preserve">a passenger transport vehicle as defined in the </w:t>
      </w:r>
      <w:r>
        <w:rPr>
          <w:i/>
        </w:rPr>
        <w:t>Transport (Road Passenger Services) Act 2018</w:t>
      </w:r>
      <w:r>
        <w:t xml:space="preserve"> section 4(1);</w:t>
      </w:r>
    </w:p>
    <w:p>
      <w:pPr>
        <w:pStyle w:val="Indenta"/>
        <w:rPr>
          <w:snapToGrid w:val="0"/>
        </w:rPr>
      </w:pPr>
      <w:r>
        <w:rPr>
          <w:snapToGrid w:val="0"/>
        </w:rPr>
        <w:tab/>
      </w:r>
      <w:r>
        <w:rPr>
          <w:snapToGrid w:val="0"/>
        </w:rPr>
        <w:tab/>
        <w:t>or</w:t>
      </w:r>
    </w:p>
    <w:p>
      <w:pPr>
        <w:pStyle w:val="Indenta"/>
      </w:pPr>
      <w:r>
        <w:tab/>
        <w:t>(h)</w:t>
      </w:r>
      <w:r>
        <w:tab/>
        <w:t>assaults —</w:t>
      </w:r>
    </w:p>
    <w:p>
      <w:pPr>
        <w:pStyle w:val="Indenti"/>
      </w:pPr>
      <w:r>
        <w:rPr>
          <w:szCs w:val="22"/>
        </w:rPr>
        <w:tab/>
        <w:t>(i)</w:t>
      </w:r>
      <w:r>
        <w:rPr>
          <w:szCs w:val="22"/>
        </w:rPr>
        <w:tab/>
        <w:t>an ambulance officer; or</w:t>
      </w:r>
    </w:p>
    <w:p>
      <w:pPr>
        <w:pStyle w:val="Indenti"/>
      </w:pPr>
      <w:r>
        <w:tab/>
        <w:t>(ii)</w:t>
      </w:r>
      <w:r>
        <w:tab/>
        <w:t xml:space="preserve">a member of a FES Unit, SES Unit or VMRS Group (within the meaning given to those terms by the </w:t>
      </w:r>
      <w:r>
        <w:rPr>
          <w:i/>
        </w:rPr>
        <w:t>Fire and Emergency Services Act 1998</w:t>
      </w:r>
      <w:r>
        <w:t>); or</w:t>
      </w:r>
    </w:p>
    <w:p>
      <w:pPr>
        <w:pStyle w:val="Indenti"/>
        <w:keepNext/>
        <w:spacing w:before="100"/>
      </w:pPr>
      <w:r>
        <w:lastRenderedPageBreak/>
        <w:tab/>
        <w:t>(iii)</w:t>
      </w:r>
      <w:r>
        <w:tab/>
        <w:t xml:space="preserve">a member or officer of a private fire brigade or volunteer fire brigade (within the meaning given to those terms by the </w:t>
      </w:r>
      <w:r>
        <w:rPr>
          <w:i/>
        </w:rPr>
        <w:t>Fire Brigades Act 1942</w:t>
      </w:r>
      <w:r>
        <w:t>),</w:t>
      </w:r>
    </w:p>
    <w:p>
      <w:pPr>
        <w:pStyle w:val="Indenta"/>
        <w:spacing w:before="100"/>
      </w:pPr>
      <w:r>
        <w:rPr>
          <w:szCs w:val="22"/>
        </w:rPr>
        <w:tab/>
      </w:r>
      <w:r>
        <w:rPr>
          <w:szCs w:val="22"/>
        </w:rPr>
        <w:tab/>
        <w:t>who is performing his or her duties as such; or</w:t>
      </w:r>
    </w:p>
    <w:p>
      <w:pPr>
        <w:pStyle w:val="Indenta"/>
        <w:spacing w:before="100"/>
      </w:pPr>
      <w:r>
        <w:tab/>
        <w:t>(i)</w:t>
      </w:r>
      <w:r>
        <w:tab/>
        <w:t>assaults a person who —</w:t>
      </w:r>
    </w:p>
    <w:p>
      <w:pPr>
        <w:pStyle w:val="Indenti"/>
        <w:spacing w:before="100"/>
      </w:pPr>
      <w:r>
        <w:rPr>
          <w:szCs w:val="22"/>
        </w:rPr>
        <w:tab/>
        <w:t>(i)</w:t>
      </w:r>
      <w:r>
        <w:rPr>
          <w:szCs w:val="22"/>
        </w:rPr>
        <w:tab/>
        <w:t>is working in a hospital; or</w:t>
      </w:r>
    </w:p>
    <w:p>
      <w:pPr>
        <w:pStyle w:val="Indenti"/>
        <w:spacing w:before="100"/>
      </w:pPr>
      <w:r>
        <w:tab/>
        <w:t>(ii)</w:t>
      </w:r>
      <w:r>
        <w:tab/>
        <w:t>is in the course of providing a health service to the public;</w:t>
      </w:r>
    </w:p>
    <w:p>
      <w:pPr>
        <w:pStyle w:val="Indenta"/>
        <w:spacing w:before="100"/>
      </w:pPr>
      <w:r>
        <w:rPr>
          <w:szCs w:val="22"/>
        </w:rPr>
        <w:tab/>
      </w:r>
      <w:r>
        <w:rPr>
          <w:szCs w:val="22"/>
        </w:rPr>
        <w:tab/>
        <w:t>or</w:t>
      </w:r>
    </w:p>
    <w:p>
      <w:pPr>
        <w:pStyle w:val="Indenta"/>
        <w:spacing w:before="100"/>
      </w:pPr>
      <w:r>
        <w:tab/>
        <w:t>(j)</w:t>
      </w:r>
      <w:r>
        <w:tab/>
        <w:t xml:space="preserve">assaults a contract worker (within the meaning given to that term by the </w:t>
      </w:r>
      <w:r>
        <w:rPr>
          <w:i/>
        </w:rPr>
        <w:t>Court Security and Custodial Services Act 1999</w:t>
      </w:r>
      <w:r>
        <w:t>) who is providing court security services or custodial services under that Act; or</w:t>
      </w:r>
    </w:p>
    <w:p>
      <w:pPr>
        <w:pStyle w:val="Indenta"/>
        <w:spacing w:before="100"/>
      </w:pPr>
      <w:r>
        <w:tab/>
        <w:t>(k)</w:t>
      </w:r>
      <w:r>
        <w:tab/>
        <w:t xml:space="preserve">assaults a contract worker (within the meaning given to that term by section 15A of the </w:t>
      </w:r>
      <w:r>
        <w:rPr>
          <w:i/>
        </w:rPr>
        <w:t>Prisons Act 1981</w:t>
      </w:r>
      <w:r>
        <w:t>) who is performing functions under Part IIIA of that Act,</w:t>
      </w:r>
    </w:p>
    <w:p>
      <w:pPr>
        <w:pStyle w:val="Subsection"/>
        <w:keepNext/>
        <w:keepLines/>
        <w:spacing w:before="180"/>
      </w:pPr>
      <w:r>
        <w:tab/>
      </w:r>
      <w:r>
        <w:tab/>
        <w:t>is guilty of a crime and is liable —</w:t>
      </w:r>
    </w:p>
    <w:p>
      <w:pPr>
        <w:pStyle w:val="Indenta"/>
        <w:spacing w:before="100"/>
      </w:pPr>
      <w:r>
        <w:tab/>
        <w:t>(l)</w:t>
      </w:r>
      <w:r>
        <w:tab/>
        <w:t>if at or immediately before or immediately after the commission of the offence —</w:t>
      </w:r>
    </w:p>
    <w:p>
      <w:pPr>
        <w:pStyle w:val="Indenti"/>
        <w:spacing w:before="100"/>
      </w:pPr>
      <w:r>
        <w:tab/>
        <w:t>(i)</w:t>
      </w:r>
      <w:r>
        <w:tab/>
        <w:t>the offender is armed with any dangerous or offensive weapon or instrument; or</w:t>
      </w:r>
    </w:p>
    <w:p>
      <w:pPr>
        <w:pStyle w:val="Indenti"/>
        <w:spacing w:before="100"/>
      </w:pPr>
      <w:r>
        <w:tab/>
        <w:t>(ii)</w:t>
      </w:r>
      <w:r>
        <w:tab/>
        <w:t>the offender is in company with another person or persons,</w:t>
      </w:r>
    </w:p>
    <w:p>
      <w:pPr>
        <w:pStyle w:val="Indenta"/>
        <w:spacing w:before="100"/>
      </w:pPr>
      <w:r>
        <w:tab/>
      </w:r>
      <w:r>
        <w:tab/>
        <w:t>to imprisonment for 10 years; or</w:t>
      </w:r>
    </w:p>
    <w:p>
      <w:pPr>
        <w:pStyle w:val="Indenta"/>
        <w:spacing w:before="100"/>
      </w:pPr>
      <w:r>
        <w:tab/>
        <w:t>(m)</w:t>
      </w:r>
      <w:r>
        <w:tab/>
        <w:t>in any other case, to imprisonment for 7 years.</w:t>
      </w:r>
    </w:p>
    <w:p>
      <w:pPr>
        <w:pStyle w:val="Penstart"/>
        <w:spacing w:before="100"/>
      </w:pPr>
      <w:r>
        <w:tab/>
        <w:t>Summary conviction penalty: in a case to which subsection (1)(m) applies: imprisonment for 3 years and a fine of $36 000.</w:t>
      </w:r>
    </w:p>
    <w:p>
      <w:pPr>
        <w:pStyle w:val="Subsection"/>
        <w:keepNext/>
        <w:keepLines/>
      </w:pPr>
      <w:r>
        <w:lastRenderedPageBreak/>
        <w:tab/>
        <w:t>(1A)</w:t>
      </w:r>
      <w:r>
        <w:tab/>
        <w:t xml:space="preserve">For the period of 27 months beginning on the day on which the </w:t>
      </w:r>
      <w:r>
        <w:rPr>
          <w:i/>
        </w:rPr>
        <w:t>Criminal Code Amendment (COVID</w:t>
      </w:r>
      <w:r>
        <w:rPr>
          <w:i/>
        </w:rPr>
        <w:noBreakHyphen/>
        <w:t>19 Response) Act 2020</w:t>
      </w:r>
      <w:r>
        <w:t xml:space="preserve"> section 4(1) comes into operation, subsection (1) applies as if amended by inserting after paragraph (l) — </w:t>
      </w:r>
    </w:p>
    <w:p>
      <w:pPr>
        <w:pStyle w:val="BlankOpen"/>
      </w:pPr>
    </w:p>
    <w:p>
      <w:pPr>
        <w:pStyle w:val="Indenta"/>
      </w:pPr>
      <w:r>
        <w:tab/>
        <w:t>(la)</w:t>
      </w:r>
      <w:r>
        <w:tab/>
        <w:t xml:space="preserve">to imprisonment for 10 years if — </w:t>
      </w:r>
    </w:p>
    <w:p>
      <w:pPr>
        <w:pStyle w:val="Indenti"/>
      </w:pPr>
      <w:r>
        <w:tab/>
        <w:t>(i)</w:t>
      </w:r>
      <w:r>
        <w:tab/>
        <w:t>at the commission of the offence the offender knows that the offender has COVID</w:t>
      </w:r>
      <w:r>
        <w:noBreakHyphen/>
        <w:t>19; or</w:t>
      </w:r>
    </w:p>
    <w:p>
      <w:pPr>
        <w:pStyle w:val="Indenti"/>
      </w:pPr>
      <w:r>
        <w:tab/>
        <w:t>(ii)</w:t>
      </w:r>
      <w:r>
        <w:tab/>
        <w:t>at or immediately before or immediately after the commission of the offence the offender makes a statement or does any other act that creates a belief, suspicion or fear that the offender has COVID</w:t>
      </w:r>
      <w:r>
        <w:noBreakHyphen/>
        <w:t>19;</w:t>
      </w:r>
    </w:p>
    <w:p>
      <w:pPr>
        <w:pStyle w:val="Indenta"/>
      </w:pPr>
      <w:r>
        <w:tab/>
      </w:r>
      <w:r>
        <w:tab/>
        <w:t>or</w:t>
      </w:r>
    </w:p>
    <w:p>
      <w:pPr>
        <w:pStyle w:val="BlankClose"/>
      </w:pPr>
    </w:p>
    <w:p>
      <w:pPr>
        <w:pStyle w:val="Subsection"/>
        <w:spacing w:before="180"/>
      </w:pPr>
      <w:r>
        <w:tab/>
        <w:t>(2)</w:t>
      </w:r>
      <w:r>
        <w:tab/>
        <w:t xml:space="preserve">If </w:t>
      </w:r>
      <w:r>
        <w:rPr>
          <w:noProof/>
          <w:szCs w:val="22"/>
        </w:rPr>
        <w:t xml:space="preserve">a person is convicted of an offence against this section committed in prescribed circumstances at a time when the person had reached 16 but not 18 years of age, then, notwithstanding the </w:t>
      </w:r>
      <w:r>
        <w:rPr>
          <w:i/>
          <w:noProof/>
          <w:szCs w:val="22"/>
        </w:rPr>
        <w:t>Young Offenders Act 1994</w:t>
      </w:r>
      <w:r>
        <w:t xml:space="preserve"> and in particular section 46(5a) of it, the court sentencing the person —</w:t>
      </w:r>
    </w:p>
    <w:p>
      <w:pPr>
        <w:pStyle w:val="Indenta"/>
        <w:spacing w:before="100"/>
      </w:pPr>
      <w:r>
        <w:tab/>
        <w:t>(a)</w:t>
      </w:r>
      <w:r>
        <w:tab/>
        <w:t>must sentence the offender to either —</w:t>
      </w:r>
    </w:p>
    <w:p>
      <w:pPr>
        <w:pStyle w:val="Indenti"/>
        <w:spacing w:before="100"/>
      </w:pPr>
      <w:r>
        <w:tab/>
        <w:t>(i)</w:t>
      </w:r>
      <w:r>
        <w:tab/>
        <w:t xml:space="preserve">a term of imprisonment of at least 3 months, notwithstanding the </w:t>
      </w:r>
      <w:r>
        <w:rPr>
          <w:i/>
        </w:rPr>
        <w:t>Sentencing Act 1995</w:t>
      </w:r>
      <w:r>
        <w:t xml:space="preserve"> section 86; or</w:t>
      </w:r>
    </w:p>
    <w:p>
      <w:pPr>
        <w:pStyle w:val="Indenti"/>
        <w:spacing w:before="100"/>
      </w:pPr>
      <w:r>
        <w:tab/>
        <w:t>(ii)</w:t>
      </w:r>
      <w:r>
        <w:tab/>
        <w:t xml:space="preserve">to a term of detention (as defined in the </w:t>
      </w:r>
      <w:r>
        <w:rPr>
          <w:i/>
        </w:rPr>
        <w:t>Young Offenders Act 1994</w:t>
      </w:r>
      <w:r>
        <w:rPr>
          <w:iCs/>
        </w:rPr>
        <w:t xml:space="preserve"> section 3</w:t>
      </w:r>
      <w:r>
        <w:t>) of at least 3 months,</w:t>
      </w:r>
    </w:p>
    <w:p>
      <w:pPr>
        <w:pStyle w:val="Indenta"/>
        <w:spacing w:before="100"/>
      </w:pPr>
      <w:r>
        <w:tab/>
      </w:r>
      <w:r>
        <w:tab/>
        <w:t>as the court thinks fit; and</w:t>
      </w:r>
    </w:p>
    <w:p>
      <w:pPr>
        <w:pStyle w:val="Indenta"/>
        <w:spacing w:before="100"/>
      </w:pPr>
      <w:r>
        <w:tab/>
        <w:t>(b)</w:t>
      </w:r>
      <w:r>
        <w:tab/>
        <w:t>must not suspend any term of imprisonment imposed under paragraph (a)(i); and</w:t>
      </w:r>
    </w:p>
    <w:p>
      <w:pPr>
        <w:pStyle w:val="Indenta"/>
        <w:spacing w:before="100"/>
      </w:pPr>
      <w:r>
        <w:tab/>
        <w:t>(c)</w:t>
      </w:r>
      <w:r>
        <w:tab/>
        <w:t>must record a conviction against the person.</w:t>
      </w:r>
    </w:p>
    <w:p>
      <w:pPr>
        <w:pStyle w:val="Subsection"/>
        <w:spacing w:before="180"/>
      </w:pPr>
      <w:r>
        <w:lastRenderedPageBreak/>
        <w:tab/>
        <w:t>(3)</w:t>
      </w:r>
      <w:r>
        <w:tab/>
        <w:t xml:space="preserve">Subsection (2) does not prevent a court from making a direction under the </w:t>
      </w:r>
      <w:r>
        <w:rPr>
          <w:i/>
          <w:iCs/>
        </w:rPr>
        <w:t xml:space="preserve">Young Offenders Act 1994 </w:t>
      </w:r>
      <w:r>
        <w:t>section 118(4) or a special order under Part 7 Division 9 of that Act.</w:t>
      </w:r>
    </w:p>
    <w:p>
      <w:pPr>
        <w:pStyle w:val="Subsection"/>
        <w:spacing w:before="180"/>
      </w:pPr>
      <w:r>
        <w:tab/>
        <w:t>(4)</w:t>
      </w:r>
      <w:r>
        <w:tab/>
        <w:t xml:space="preserve">If a person is convicted of an offence against this section committed in prescribed circumstances </w:t>
      </w:r>
      <w:r>
        <w:rPr>
          <w:color w:val="000000"/>
          <w:szCs w:val="22"/>
        </w:rPr>
        <w:t>at a time when the person had reached 18 years of age</w:t>
      </w:r>
      <w:r>
        <w:t>, then, notwithstanding any other written law, the court sentencing the person —</w:t>
      </w:r>
    </w:p>
    <w:p>
      <w:pPr>
        <w:pStyle w:val="Indenta"/>
        <w:spacing w:before="100"/>
      </w:pPr>
      <w:r>
        <w:tab/>
        <w:t>(a)</w:t>
      </w:r>
      <w:r>
        <w:tab/>
        <w:t>if the offence is committed in the circumstances set out in subsection (1)(l) — must sentence the person to a term of imprisonment of at least 9 months;</w:t>
      </w:r>
    </w:p>
    <w:p>
      <w:pPr>
        <w:pStyle w:val="Indenta"/>
        <w:spacing w:before="100"/>
      </w:pPr>
      <w:r>
        <w:tab/>
        <w:t>(b)</w:t>
      </w:r>
      <w:r>
        <w:tab/>
        <w:t>if the offence is not committed in the circumstances set out in subsection (1)(l) — must sentence the person to a term of imprisonment of at least 6 months,</w:t>
      </w:r>
    </w:p>
    <w:p>
      <w:pPr>
        <w:pStyle w:val="Subsection"/>
        <w:spacing w:before="180"/>
      </w:pPr>
      <w:r>
        <w:tab/>
      </w:r>
      <w:r>
        <w:tab/>
        <w:t>and must not suspend the term of imprisonment imposed under paragraph (a) or (b).</w:t>
      </w:r>
    </w:p>
    <w:p>
      <w:pPr>
        <w:pStyle w:val="Subsection"/>
        <w:keepNext/>
        <w:keepLines/>
        <w:spacing w:before="120"/>
      </w:pPr>
      <w:r>
        <w:tab/>
        <w:t>(5)</w:t>
      </w:r>
      <w:r>
        <w:tab/>
        <w:t>In subsections (2) and (4) —</w:t>
      </w:r>
    </w:p>
    <w:p>
      <w:pPr>
        <w:pStyle w:val="Defstart"/>
        <w:keepNext/>
        <w:keepLines/>
      </w:pPr>
      <w:r>
        <w:tab/>
      </w:r>
      <w:r>
        <w:rPr>
          <w:rStyle w:val="CharDefText"/>
        </w:rPr>
        <w:t>prescribed circumstances</w:t>
      </w:r>
      <w:r>
        <w:t xml:space="preserve"> means any of these circumstances —</w:t>
      </w:r>
    </w:p>
    <w:p>
      <w:pPr>
        <w:pStyle w:val="Defpara"/>
      </w:pPr>
      <w:r>
        <w:tab/>
        <w:t>(a)</w:t>
      </w:r>
      <w:r>
        <w:tab/>
        <w:t>where the offence is committed under subsection (1)(d) or (e) against a public officer who is —</w:t>
      </w:r>
    </w:p>
    <w:p>
      <w:pPr>
        <w:pStyle w:val="Defsubpara"/>
        <w:keepLines w:val="0"/>
      </w:pPr>
      <w:r>
        <w:tab/>
        <w:t>(i)</w:t>
      </w:r>
      <w:r>
        <w:tab/>
        <w:t>a police officer; or</w:t>
      </w:r>
    </w:p>
    <w:p>
      <w:pPr>
        <w:pStyle w:val="Defsubpara"/>
      </w:pPr>
      <w:r>
        <w:tab/>
        <w:t>(ii)</w:t>
      </w:r>
      <w:r>
        <w:tab/>
        <w:t xml:space="preserve">a prison officer as defined in the </w:t>
      </w:r>
      <w:r>
        <w:rPr>
          <w:i/>
        </w:rPr>
        <w:t>Prisons Act 1981</w:t>
      </w:r>
      <w:r>
        <w:t xml:space="preserve"> section 3(1); or</w:t>
      </w:r>
    </w:p>
    <w:p>
      <w:pPr>
        <w:pStyle w:val="Defsubpara"/>
        <w:keepLines w:val="0"/>
      </w:pPr>
      <w:r>
        <w:tab/>
        <w:t>(iiia)</w:t>
      </w:r>
      <w:r>
        <w:tab/>
        <w:t xml:space="preserve">a person appointed under the </w:t>
      </w:r>
      <w:r>
        <w:rPr>
          <w:i/>
        </w:rPr>
        <w:t>Young Offenders Act 1994</w:t>
      </w:r>
      <w:r>
        <w:t xml:space="preserve"> section 11(1a)(a); or</w:t>
      </w:r>
    </w:p>
    <w:p>
      <w:pPr>
        <w:pStyle w:val="Defsubpara"/>
        <w:keepLines w:val="0"/>
      </w:pPr>
      <w:r>
        <w:tab/>
        <w:t>(iii)</w:t>
      </w:r>
      <w:r>
        <w:tab/>
        <w:t xml:space="preserve">a security officer as defined in the </w:t>
      </w:r>
      <w:r>
        <w:rPr>
          <w:i/>
        </w:rPr>
        <w:t>Public Transport Authority Act 2003</w:t>
      </w:r>
      <w:r>
        <w:t xml:space="preserve"> section 3,</w:t>
      </w:r>
    </w:p>
    <w:p>
      <w:pPr>
        <w:pStyle w:val="Defpara"/>
      </w:pPr>
      <w:r>
        <w:tab/>
      </w:r>
      <w:r>
        <w:tab/>
        <w:t>and the officer suffers bodily harm;</w:t>
      </w:r>
    </w:p>
    <w:p>
      <w:pPr>
        <w:pStyle w:val="Defpara"/>
      </w:pPr>
      <w:r>
        <w:tab/>
        <w:t>(b)</w:t>
      </w:r>
      <w:r>
        <w:tab/>
        <w:t>where the offence is committed under subsection (1)(h)(i), (j) or (k) and the person assaulted suffers bodily harm.</w:t>
      </w:r>
    </w:p>
    <w:p>
      <w:pPr>
        <w:pStyle w:val="Ednotesubsection"/>
        <w:spacing w:before="120"/>
      </w:pPr>
      <w:r>
        <w:tab/>
      </w:r>
      <w:r>
        <w:tab/>
        <w:t xml:space="preserve">[Section 318 inserted: No. 119 of 1985 s. 13; amended: No 106 of 1987 s. 24; No. 70 of 1988 s. 29; No. 82 of 1994 s. 8; </w:t>
      </w:r>
      <w:r>
        <w:lastRenderedPageBreak/>
        <w:t>No. 70 of 2004 s. 35(3); No. 2 of 2008 s. 9; No. 21 of 2009 s. 5; No. 8 of 2012 s. 185; No. 22 of 2012 s. 116; No. 12 of 2013 s. 5; No. 26 of 2018 s. 309; No. 8 of 2020 s. 4(1); No. 39 of 2020 s. 4; No. 1 of 2021 s. 4; No. 21 of 2021 s. 4.]</w:t>
      </w:r>
    </w:p>
    <w:p>
      <w:pPr>
        <w:pStyle w:val="Heading5"/>
        <w:rPr>
          <w:snapToGrid w:val="0"/>
        </w:rPr>
      </w:pPr>
      <w:bookmarkStart w:id="406" w:name="_Toc88662325"/>
      <w:r>
        <w:rPr>
          <w:rStyle w:val="CharSectno"/>
        </w:rPr>
        <w:t>318A</w:t>
      </w:r>
      <w:r>
        <w:rPr>
          <w:snapToGrid w:val="0"/>
        </w:rPr>
        <w:t>.</w:t>
      </w:r>
      <w:r>
        <w:rPr>
          <w:snapToGrid w:val="0"/>
        </w:rPr>
        <w:tab/>
        <w:t>Assault on aircraft’s crew</w:t>
      </w:r>
      <w:bookmarkEnd w:id="406"/>
    </w:p>
    <w:p>
      <w:pPr>
        <w:pStyle w:val="Subsection"/>
        <w:rPr>
          <w:snapToGrid w:val="0"/>
        </w:rPr>
      </w:pPr>
      <w:r>
        <w:rPr>
          <w:snapToGrid w:val="0"/>
        </w:rPr>
        <w:tab/>
      </w:r>
      <w:r>
        <w:rPr>
          <w:snapToGrid w:val="0"/>
        </w:rPr>
        <w:tab/>
        <w:t xml:space="preserve">Any person </w:t>
      </w:r>
      <w:r>
        <w:t>who</w:t>
      </w:r>
      <w:r>
        <w:rPr>
          <w:snapToGrid w:val="0"/>
        </w:rPr>
        <w:t xml:space="preserve"> unlawfully assaults a member of the crew of </w:t>
      </w:r>
      <w:r>
        <w:t>an aircraft</w:t>
      </w:r>
      <w:r>
        <w:rPr>
          <w:snapToGrid w:val="0"/>
        </w:rPr>
        <w:t xml:space="preserve"> or threatens with violence a member of the crew of </w:t>
      </w:r>
      <w:r>
        <w:t>an aircraft</w:t>
      </w:r>
      <w:r>
        <w:rPr>
          <w:snapToGrid w:val="0"/>
        </w:rPr>
        <w:t xml:space="preserve">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No. 53 of 1964 s. 6; amended: No. 51 of 1992 s. 16(2); No. 70 of 2004 s. 36(3); No. 44 of 2009 s. 7.]</w:t>
      </w:r>
    </w:p>
    <w:p>
      <w:pPr>
        <w:pStyle w:val="Heading3"/>
        <w:pageBreakBefore/>
        <w:spacing w:before="0"/>
        <w:rPr>
          <w:snapToGrid w:val="0"/>
        </w:rPr>
      </w:pPr>
      <w:bookmarkStart w:id="407" w:name="_Toc88569883"/>
      <w:bookmarkStart w:id="408" w:name="_Toc88570405"/>
      <w:bookmarkStart w:id="409" w:name="_Toc88570927"/>
      <w:bookmarkStart w:id="410" w:name="_Toc88662326"/>
      <w:r>
        <w:rPr>
          <w:rStyle w:val="CharDivNo"/>
        </w:rPr>
        <w:lastRenderedPageBreak/>
        <w:t>Chapter XXXI</w:t>
      </w:r>
      <w:r>
        <w:rPr>
          <w:snapToGrid w:val="0"/>
        </w:rPr>
        <w:t> — </w:t>
      </w:r>
      <w:r>
        <w:rPr>
          <w:rStyle w:val="CharDivText"/>
        </w:rPr>
        <w:t>Sexual offences</w:t>
      </w:r>
      <w:bookmarkEnd w:id="407"/>
      <w:bookmarkEnd w:id="408"/>
      <w:bookmarkEnd w:id="409"/>
      <w:bookmarkEnd w:id="410"/>
    </w:p>
    <w:p>
      <w:pPr>
        <w:pStyle w:val="Footnoteheading"/>
        <w:rPr>
          <w:snapToGrid w:val="0"/>
        </w:rPr>
      </w:pPr>
      <w:r>
        <w:rPr>
          <w:snapToGrid w:val="0"/>
        </w:rPr>
        <w:tab/>
        <w:t>[Heading inserted: No. 14 of 1992 s. 6(1).]</w:t>
      </w:r>
    </w:p>
    <w:p>
      <w:pPr>
        <w:pStyle w:val="Heading5"/>
        <w:keepNext w:val="0"/>
        <w:keepLines w:val="0"/>
        <w:rPr>
          <w:snapToGrid w:val="0"/>
        </w:rPr>
      </w:pPr>
      <w:bookmarkStart w:id="411" w:name="_Toc88662327"/>
      <w:r>
        <w:rPr>
          <w:rStyle w:val="CharSectno"/>
        </w:rPr>
        <w:t>319</w:t>
      </w:r>
      <w:r>
        <w:rPr>
          <w:snapToGrid w:val="0"/>
        </w:rPr>
        <w:t>.</w:t>
      </w:r>
      <w:r>
        <w:rPr>
          <w:snapToGrid w:val="0"/>
        </w:rPr>
        <w:tab/>
        <w:t>Terms used</w:t>
      </w:r>
      <w:bookmarkEnd w:id="411"/>
    </w:p>
    <w:p>
      <w:pPr>
        <w:pStyle w:val="Subsection"/>
        <w:rPr>
          <w:snapToGrid w:val="0"/>
        </w:rPr>
      </w:pPr>
      <w:r>
        <w:rPr>
          <w:snapToGrid w:val="0"/>
        </w:rPr>
        <w:tab/>
        <w:t>(1)</w:t>
      </w:r>
      <w:r>
        <w:rPr>
          <w:snapToGrid w:val="0"/>
        </w:rPr>
        <w:tab/>
        <w:t>In this Chapter —</w:t>
      </w:r>
    </w:p>
    <w:p>
      <w:pPr>
        <w:pStyle w:val="Defstart"/>
      </w:pPr>
      <w:r>
        <w:rPr>
          <w:b/>
        </w:rPr>
        <w:tab/>
      </w:r>
      <w:r>
        <w:rPr>
          <w:rStyle w:val="CharDefText"/>
        </w:rPr>
        <w:t>circumstances of aggravation</w:t>
      </w:r>
      <w:r>
        <w:t>, without limiting the definition of that expression in section 221, includes circumstances in which —</w:t>
      </w:r>
    </w:p>
    <w:p>
      <w:pPr>
        <w:pStyle w:val="Defpara"/>
      </w:pPr>
      <w:r>
        <w:tab/>
        <w:t>(a)</w:t>
      </w:r>
      <w:r>
        <w:tab/>
        <w:t>at or immediately before or immediately after the commission of the offence —</w:t>
      </w:r>
    </w:p>
    <w:p>
      <w:pPr>
        <w:pStyle w:val="Defsubpara"/>
      </w:pPr>
      <w:r>
        <w:tab/>
        <w:t>(i)</w:t>
      </w:r>
      <w:r>
        <w:tab/>
        <w:t>the offender is armed with any dangerous or offensive weapon or instrument or pretends to be so armed; or</w:t>
      </w:r>
    </w:p>
    <w:p>
      <w:pPr>
        <w:pStyle w:val="Defsubpara"/>
        <w:keepLines w:val="0"/>
      </w:pPr>
      <w:r>
        <w:tab/>
        <w:t>(ii)</w:t>
      </w:r>
      <w:r>
        <w:tab/>
        <w:t>the offender is in company with another person or persons; or</w:t>
      </w:r>
    </w:p>
    <w:p>
      <w:pPr>
        <w:pStyle w:val="Defsubpara"/>
        <w:keepLines w:val="0"/>
      </w:pPr>
      <w:r>
        <w:tab/>
        <w:t>(iii)</w:t>
      </w:r>
      <w:r>
        <w:tab/>
        <w:t>the offender does bodily harm to any person; or</w:t>
      </w:r>
    </w:p>
    <w:p>
      <w:pPr>
        <w:pStyle w:val="Defsubpara"/>
        <w:keepLines w:val="0"/>
      </w:pPr>
      <w:r>
        <w:tab/>
        <w:t>(iv)</w:t>
      </w:r>
      <w:r>
        <w:tab/>
        <w:t>the offender does an act which is likely seriously and substantially to degrade or humiliate the victim; or</w:t>
      </w:r>
    </w:p>
    <w:p>
      <w:pPr>
        <w:pStyle w:val="Defsubpara"/>
        <w:keepNext/>
        <w:keepLines w:val="0"/>
      </w:pPr>
      <w:r>
        <w:tab/>
        <w:t>(v)</w:t>
      </w:r>
      <w: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r>
      <w:r>
        <w:rPr>
          <w:rStyle w:val="CharDefText"/>
        </w:rPr>
        <w:t>deals with</w:t>
      </w:r>
      <w:r>
        <w:t xml:space="preserve"> includes doing any act which, if done without consent, would constitute an assault;</w:t>
      </w:r>
    </w:p>
    <w:p>
      <w:pPr>
        <w:pStyle w:val="Defstart"/>
        <w:keepNext/>
        <w:keepLines/>
      </w:pPr>
      <w:r>
        <w:rPr>
          <w:b/>
        </w:rPr>
        <w:tab/>
      </w:r>
      <w:r>
        <w:rPr>
          <w:rStyle w:val="CharDefText"/>
        </w:rPr>
        <w:t>indecent act</w:t>
      </w:r>
      <w:r>
        <w:t xml:space="preserve"> means an indecent act which is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r>
      <w:r>
        <w:rPr>
          <w:rStyle w:val="CharDefText"/>
        </w:rPr>
        <w:t>to indecently record</w:t>
      </w:r>
      <w:r>
        <w:t xml:space="preserve"> means to take, or permit to be taken, or make, or permit to be made, an indecent photograph, film, video tape, or other recording (including a sound recording);</w:t>
      </w:r>
    </w:p>
    <w:p>
      <w:pPr>
        <w:pStyle w:val="Defstart"/>
        <w:spacing w:before="100"/>
      </w:pPr>
      <w:r>
        <w:rPr>
          <w:b/>
        </w:rPr>
        <w:lastRenderedPageBreak/>
        <w:tab/>
      </w:r>
      <w:r>
        <w:rPr>
          <w:rStyle w:val="CharDefText"/>
        </w:rPr>
        <w:t>to sexually penetrate</w:t>
      </w:r>
      <w:r>
        <w:t xml:space="preserve"> means —</w:t>
      </w:r>
    </w:p>
    <w:p>
      <w:pPr>
        <w:pStyle w:val="Defpara"/>
        <w:spacing w:before="60"/>
      </w:pPr>
      <w:r>
        <w:tab/>
        <w:t>(a)</w:t>
      </w:r>
      <w:r>
        <w:tab/>
        <w:t xml:space="preserve">to penetrate the vagina (which term includes the </w:t>
      </w:r>
      <w:r>
        <w:rPr>
          <w:i/>
        </w:rPr>
        <w:t>labia majora</w:t>
      </w:r>
      <w:r>
        <w:t>), the anus, or the urethra of any person with —</w:t>
      </w:r>
    </w:p>
    <w:p>
      <w:pPr>
        <w:pStyle w:val="Defsubpara"/>
        <w:spacing w:before="60"/>
      </w:pPr>
      <w:r>
        <w:tab/>
        <w:t>(i)</w:t>
      </w:r>
      <w:r>
        <w:tab/>
        <w:t>any part of the body of another person; or</w:t>
      </w:r>
    </w:p>
    <w:p>
      <w:pPr>
        <w:pStyle w:val="Defsubpara"/>
        <w:spacing w:before="60"/>
      </w:pPr>
      <w:r>
        <w:tab/>
        <w:t>(ii)</w:t>
      </w:r>
      <w:r>
        <w:tab/>
        <w:t>an object manipulated by another person,</w:t>
      </w:r>
    </w:p>
    <w:p>
      <w:pPr>
        <w:pStyle w:val="Defpara"/>
        <w:spacing w:before="60"/>
      </w:pPr>
      <w:r>
        <w:tab/>
      </w:r>
      <w:r>
        <w:tab/>
        <w:t>except where the penetration is carried out for proper medical purposes; or</w:t>
      </w:r>
    </w:p>
    <w:p>
      <w:pPr>
        <w:pStyle w:val="Defpara"/>
        <w:spacing w:before="60"/>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 or</w:t>
      </w:r>
    </w:p>
    <w:p>
      <w:pPr>
        <w:pStyle w:val="Defpara"/>
        <w:keepNext/>
        <w:keepLines/>
        <w:spacing w:before="60"/>
      </w:pPr>
      <w:r>
        <w:tab/>
        <w:t>(c)</w:t>
      </w:r>
      <w:r>
        <w:tab/>
        <w:t>to introduce any part of the penis of a person into the mouth of another person; or</w:t>
      </w:r>
    </w:p>
    <w:p>
      <w:pPr>
        <w:pStyle w:val="Defpara"/>
        <w:keepLines/>
        <w:spacing w:before="60"/>
      </w:pPr>
      <w:r>
        <w:tab/>
        <w:t>(d)</w:t>
      </w:r>
      <w:r>
        <w:tab/>
        <w:t>to engage in cunnilingus or fellatio; or</w:t>
      </w:r>
    </w:p>
    <w:p>
      <w:pPr>
        <w:pStyle w:val="Defpara"/>
        <w:spacing w:before="60"/>
      </w:pPr>
      <w:r>
        <w:tab/>
        <w:t>(e)</w:t>
      </w:r>
      <w:r>
        <w:tab/>
        <w:t>to continue sexual penetration as defined in paragraph (a), (b), (c) or (d).</w:t>
      </w:r>
    </w:p>
    <w:p>
      <w:pPr>
        <w:pStyle w:val="Subsection"/>
        <w:keepNext/>
        <w:keepLines/>
        <w:spacing w:before="120"/>
        <w:rPr>
          <w:snapToGrid w:val="0"/>
        </w:rPr>
      </w:pPr>
      <w:r>
        <w:rPr>
          <w:snapToGrid w:val="0"/>
        </w:rPr>
        <w:tab/>
        <w:t>(2)</w:t>
      </w:r>
      <w:r>
        <w:rPr>
          <w:snapToGrid w:val="0"/>
        </w:rPr>
        <w:tab/>
        <w:t>For the purposes of this Chapter —</w:t>
      </w:r>
    </w:p>
    <w:p>
      <w:pPr>
        <w:pStyle w:val="Indenta"/>
        <w:spacing w:before="60"/>
        <w:rPr>
          <w:snapToGrid w:val="0"/>
        </w:rPr>
      </w:pPr>
      <w:r>
        <w:rPr>
          <w:snapToGrid w:val="0"/>
        </w:rPr>
        <w:tab/>
        <w:t>(a)</w:t>
      </w:r>
      <w:r>
        <w:rPr>
          <w:snapToGrid w:val="0"/>
        </w:rPr>
        <w:tab/>
      </w:r>
      <w:r>
        <w:rPr>
          <w:rStyle w:val="CharDefText"/>
        </w:rPr>
        <w:t>consent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spacing w:before="60"/>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spacing w:before="120"/>
        <w:rPr>
          <w:snapToGrid w:val="0"/>
        </w:rPr>
      </w:pPr>
      <w:r>
        <w:rPr>
          <w:snapToGrid w:val="0"/>
        </w:rPr>
        <w:tab/>
        <w:t>(3)</w:t>
      </w:r>
      <w:r>
        <w:rPr>
          <w:snapToGrid w:val="0"/>
        </w:rPr>
        <w:tab/>
        <w:t>For the purposes of this Chapter, a reference to a person indecently dealing with a child or an incapable person includes a reference to the person —</w:t>
      </w:r>
    </w:p>
    <w:p>
      <w:pPr>
        <w:pStyle w:val="Indenta"/>
        <w:spacing w:before="60"/>
        <w:rPr>
          <w:snapToGrid w:val="0"/>
        </w:rPr>
      </w:pPr>
      <w:r>
        <w:rPr>
          <w:snapToGrid w:val="0"/>
        </w:rPr>
        <w:tab/>
        <w:t>(a)</w:t>
      </w:r>
      <w:r>
        <w:rPr>
          <w:snapToGrid w:val="0"/>
        </w:rPr>
        <w:tab/>
        <w:t>procuring or permitting the child or incapable person to deal indecently with the person; or</w:t>
      </w:r>
    </w:p>
    <w:p>
      <w:pPr>
        <w:pStyle w:val="Indenta"/>
        <w:rPr>
          <w:snapToGrid w:val="0"/>
        </w:rPr>
      </w:pPr>
      <w:r>
        <w:rPr>
          <w:snapToGrid w:val="0"/>
        </w:rPr>
        <w:lastRenderedPageBreak/>
        <w:tab/>
        <w:t>(b)</w:t>
      </w:r>
      <w:r>
        <w:rPr>
          <w:snapToGrid w:val="0"/>
        </w:rPr>
        <w:tab/>
        <w:t>procuring the child or incapable person to deal indecently with another person; or</w:t>
      </w:r>
    </w:p>
    <w:p>
      <w:pPr>
        <w:pStyle w:val="Indenta"/>
        <w:rPr>
          <w:snapToGrid w:val="0"/>
        </w:rPr>
      </w:pPr>
      <w:r>
        <w:rPr>
          <w:snapToGrid w:val="0"/>
        </w:rPr>
        <w:tab/>
        <w:t>(c)</w:t>
      </w:r>
      <w:r>
        <w:rPr>
          <w:snapToGrid w:val="0"/>
        </w:rPr>
        <w:tab/>
        <w:t>committing an indecent act in the presence of the child or incapable person.</w:t>
      </w:r>
    </w:p>
    <w:p>
      <w:pPr>
        <w:pStyle w:val="Subsection"/>
        <w:rPr>
          <w:snapToGrid w:val="0"/>
        </w:rPr>
      </w:pPr>
      <w:r>
        <w:rPr>
          <w:snapToGrid w:val="0"/>
        </w:rPr>
        <w:tab/>
        <w:t>(4)</w:t>
      </w:r>
      <w:r>
        <w:rPr>
          <w:snapToGrid w:val="0"/>
        </w:rPr>
        <w:tab/>
        <w:t>For the purposes of this Chapter, a person is said to engage in sexual behaviour if the person —</w:t>
      </w:r>
    </w:p>
    <w:p>
      <w:pPr>
        <w:pStyle w:val="Indenta"/>
        <w:rPr>
          <w:snapToGrid w:val="0"/>
        </w:rPr>
      </w:pPr>
      <w:r>
        <w:rPr>
          <w:snapToGrid w:val="0"/>
        </w:rPr>
        <w:tab/>
        <w:t>(a)</w:t>
      </w:r>
      <w:r>
        <w:rPr>
          <w:snapToGrid w:val="0"/>
        </w:rPr>
        <w:tab/>
        <w:t>sexually penetrates any person; or</w:t>
      </w:r>
    </w:p>
    <w:p>
      <w:pPr>
        <w:pStyle w:val="Indenta"/>
        <w:rPr>
          <w:snapToGrid w:val="0"/>
        </w:rPr>
      </w:pPr>
      <w:r>
        <w:rPr>
          <w:snapToGrid w:val="0"/>
        </w:rPr>
        <w:tab/>
        <w:t>(b)</w:t>
      </w:r>
      <w:r>
        <w:rPr>
          <w:snapToGrid w:val="0"/>
        </w:rPr>
        <w:tab/>
        <w:t>has carnal knowledge of an animal; or</w:t>
      </w:r>
    </w:p>
    <w:p>
      <w:pPr>
        <w:pStyle w:val="Indenta"/>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keepLines w:val="0"/>
        <w:ind w:left="890" w:hanging="890"/>
      </w:pPr>
      <w:r>
        <w:tab/>
        <w:t>[Section 319 inserted: No. 14 of 1992 s. 6(1); amended: No. 38 of 2004 s. 70.]</w:t>
      </w:r>
    </w:p>
    <w:p>
      <w:pPr>
        <w:pStyle w:val="Heading5"/>
        <w:spacing w:before="400"/>
        <w:rPr>
          <w:snapToGrid w:val="0"/>
        </w:rPr>
      </w:pPr>
      <w:bookmarkStart w:id="412" w:name="_Toc88662328"/>
      <w:r>
        <w:rPr>
          <w:rStyle w:val="CharSectno"/>
        </w:rPr>
        <w:t>320</w:t>
      </w:r>
      <w:r>
        <w:rPr>
          <w:snapToGrid w:val="0"/>
        </w:rPr>
        <w:t>.</w:t>
      </w:r>
      <w:r>
        <w:rPr>
          <w:snapToGrid w:val="0"/>
        </w:rPr>
        <w:tab/>
        <w:t>Child under 13, sexual offences against</w:t>
      </w:r>
      <w:bookmarkEnd w:id="412"/>
    </w:p>
    <w:p>
      <w:pPr>
        <w:pStyle w:val="Subsection"/>
        <w:rPr>
          <w:snapToGrid w:val="0"/>
        </w:rPr>
      </w:pPr>
      <w:r>
        <w:rPr>
          <w:snapToGrid w:val="0"/>
        </w:rPr>
        <w:tab/>
        <w:t>(1)</w:t>
      </w:r>
      <w:r>
        <w:rPr>
          <w:snapToGrid w:val="0"/>
        </w:rPr>
        <w:tab/>
        <w:t xml:space="preserve">In this section </w:t>
      </w:r>
      <w:r>
        <w:rPr>
          <w:rStyle w:val="CharDefText"/>
        </w:rPr>
        <w:t>child</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keepNext/>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keepNext/>
        <w:rPr>
          <w:snapToGrid w:val="0"/>
        </w:rPr>
      </w:pPr>
      <w:r>
        <w:rPr>
          <w:snapToGrid w:val="0"/>
        </w:rPr>
        <w:lastRenderedPageBreak/>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Subsection"/>
      </w:pPr>
      <w:r>
        <w:tab/>
        <w:t>(7)</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(2), (3), (4), (5) or (6) constitutes the offence.</w:t>
      </w:r>
    </w:p>
    <w:p>
      <w:pPr>
        <w:pStyle w:val="Subsection"/>
      </w:pPr>
      <w:r>
        <w:tab/>
        <w:t>(8)</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(9)</w:t>
      </w:r>
      <w:r>
        <w:tab/>
        <w:t xml:space="preserve">Subsection (8) does not prevent a court from making a direction under the </w:t>
      </w:r>
      <w:r>
        <w:rPr>
          <w:i/>
        </w:rPr>
        <w:t>Young Offenders Act 1994</w:t>
      </w:r>
      <w:r>
        <w:t xml:space="preserve"> section 118(4).</w:t>
      </w:r>
    </w:p>
    <w:p>
      <w:pPr>
        <w:pStyle w:val="Footnotesection"/>
        <w:keepLines w:val="0"/>
      </w:pPr>
      <w:r>
        <w:tab/>
        <w:t>[Section 320 inserted: No. 14 of 1992 s. 6(1); amended: No. 70 of 2004 s. 36(3); No. 25 of 2015 s. 11.]</w:t>
      </w:r>
    </w:p>
    <w:p>
      <w:pPr>
        <w:pStyle w:val="Heading5"/>
        <w:keepNext w:val="0"/>
        <w:keepLines w:val="0"/>
        <w:pageBreakBefore/>
        <w:spacing w:before="0"/>
        <w:rPr>
          <w:snapToGrid w:val="0"/>
        </w:rPr>
      </w:pPr>
      <w:bookmarkStart w:id="413" w:name="_Toc88662329"/>
      <w:r>
        <w:rPr>
          <w:rStyle w:val="CharSectno"/>
        </w:rPr>
        <w:lastRenderedPageBreak/>
        <w:t>321</w:t>
      </w:r>
      <w:r>
        <w:rPr>
          <w:snapToGrid w:val="0"/>
        </w:rPr>
        <w:t>.</w:t>
      </w:r>
      <w:r>
        <w:rPr>
          <w:snapToGrid w:val="0"/>
        </w:rPr>
        <w:tab/>
        <w:t>Child of or over 13 and under 16, sexual offences against</w:t>
      </w:r>
      <w:bookmarkEnd w:id="413"/>
    </w:p>
    <w:p>
      <w:pPr>
        <w:pStyle w:val="Subsection"/>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13 years and under the age of 16 years.</w:t>
      </w:r>
    </w:p>
    <w:p>
      <w:pPr>
        <w:pStyle w:val="Subsection"/>
        <w:spacing w:before="120"/>
        <w:rPr>
          <w:snapToGrid w:val="0"/>
        </w:rPr>
      </w:pPr>
      <w:r>
        <w:rPr>
          <w:snapToGrid w:val="0"/>
        </w:rPr>
        <w:tab/>
        <w:t>(2)</w:t>
      </w:r>
      <w:r>
        <w:rPr>
          <w:snapToGrid w:val="0"/>
        </w:rPr>
        <w:tab/>
        <w:t>A person who sexually penetrates a child is guilty of a crime and is liable to the punishment in subsection (7).</w:t>
      </w:r>
    </w:p>
    <w:p>
      <w:pPr>
        <w:pStyle w:val="Penstart"/>
        <w:spacing w:before="160"/>
        <w:rPr>
          <w:snapToGrid w:val="0"/>
        </w:rPr>
      </w:pPr>
      <w:r>
        <w:tab/>
        <w:t>Alternative offence: s. 321(4) or 322(2) or (4).</w:t>
      </w:r>
    </w:p>
    <w:p>
      <w:pPr>
        <w:pStyle w:val="Subsection"/>
        <w:spacing w:before="120"/>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spacing w:before="120"/>
        <w:rPr>
          <w:snapToGrid w:val="0"/>
        </w:rPr>
      </w:pPr>
      <w:r>
        <w:rPr>
          <w:snapToGrid w:val="0"/>
        </w:rPr>
        <w:tab/>
        <w:t>(4)</w:t>
      </w:r>
      <w:r>
        <w:rPr>
          <w:snapToGrid w:val="0"/>
        </w:rPr>
        <w:tab/>
        <w:t>A person who indecently deals with a child is guilty of a crime and is liable to the punishment in subsection (8).</w:t>
      </w:r>
    </w:p>
    <w:p>
      <w:pPr>
        <w:pStyle w:val="Penstart"/>
        <w:keepLines/>
        <w:rPr>
          <w:snapToGrid w:val="0"/>
        </w:rPr>
      </w:pPr>
      <w:r>
        <w:tab/>
        <w:t>Alternative offence: s. 322(4).</w:t>
      </w:r>
    </w:p>
    <w:p>
      <w:pPr>
        <w:pStyle w:val="Subsection"/>
        <w:spacing w:before="120"/>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spacing w:before="120"/>
        <w:rPr>
          <w:snapToGrid w:val="0"/>
        </w:rPr>
      </w:pPr>
      <w:r>
        <w:rPr>
          <w:snapToGrid w:val="0"/>
        </w:rPr>
        <w:tab/>
        <w:t>(8)</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7 years; or</w:t>
      </w:r>
    </w:p>
    <w:p>
      <w:pPr>
        <w:pStyle w:val="Indenta"/>
        <w:rPr>
          <w:snapToGrid w:val="0"/>
        </w:rPr>
      </w:pPr>
      <w:r>
        <w:rPr>
          <w:snapToGrid w:val="0"/>
        </w:rPr>
        <w:lastRenderedPageBreak/>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spacing w:before="120"/>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Ednotesubsection"/>
      </w:pPr>
      <w:r>
        <w:tab/>
        <w:t>[(10)-(13)</w:t>
      </w:r>
      <w:r>
        <w:tab/>
        <w:t>deleted]</w:t>
      </w:r>
    </w:p>
    <w:p>
      <w:pPr>
        <w:pStyle w:val="Subsection"/>
      </w:pPr>
      <w:r>
        <w:tab/>
        <w:t>(14)</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(7) or (8) applies to the offence.</w:t>
      </w:r>
    </w:p>
    <w:p>
      <w:pPr>
        <w:pStyle w:val="Subsection"/>
      </w:pPr>
      <w:r>
        <w:tab/>
        <w:t>(15)</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lastRenderedPageBreak/>
        <w:tab/>
        <w:t>(b)</w:t>
      </w:r>
      <w:r>
        <w:tab/>
        <w:t>must not suspend any term of imprisonment imposed; and</w:t>
      </w:r>
    </w:p>
    <w:p>
      <w:pPr>
        <w:pStyle w:val="Indenta"/>
      </w:pPr>
      <w:r>
        <w:tab/>
        <w:t>(c)</w:t>
      </w:r>
      <w:r>
        <w:tab/>
        <w:t>must record a conviction against the offender.</w:t>
      </w:r>
    </w:p>
    <w:p>
      <w:pPr>
        <w:pStyle w:val="Subsection"/>
      </w:pPr>
      <w:r>
        <w:tab/>
        <w:t>(16)</w:t>
      </w:r>
      <w:r>
        <w:tab/>
        <w:t xml:space="preserve">Subsection (15) does not prevent a court from making a direction under the </w:t>
      </w:r>
      <w:r>
        <w:rPr>
          <w:i/>
        </w:rPr>
        <w:t>Young Offenders Act 1994</w:t>
      </w:r>
      <w:r>
        <w:t xml:space="preserve"> section 118(4).</w:t>
      </w:r>
    </w:p>
    <w:p>
      <w:pPr>
        <w:pStyle w:val="Footnotesection"/>
      </w:pPr>
      <w:r>
        <w:tab/>
        <w:t>[Section 321 inserted: No. 14 of 1992 s. 6(1); amended: No. 3 of 2002 s. 38; No. 4 of 2004 s. 62; No. 70 of 2004 s. 36(3); No. 25 of 2015 s. 12; No. 2 of 2020 s. 4.]</w:t>
      </w:r>
    </w:p>
    <w:p>
      <w:pPr>
        <w:pStyle w:val="Heading5"/>
      </w:pPr>
      <w:bookmarkStart w:id="414" w:name="_Toc88662330"/>
      <w:r>
        <w:rPr>
          <w:rStyle w:val="CharSectno"/>
        </w:rPr>
        <w:t>321A</w:t>
      </w:r>
      <w:r>
        <w:t>.</w:t>
      </w:r>
      <w:r>
        <w:tab/>
        <w:t>Child under 16, persistent sexual conduct with</w:t>
      </w:r>
      <w:bookmarkEnd w:id="414"/>
    </w:p>
    <w:p>
      <w:pPr>
        <w:pStyle w:val="Subsection"/>
      </w:pPr>
      <w:r>
        <w:tab/>
        <w:t>(1)</w:t>
      </w:r>
      <w:r>
        <w:tab/>
        <w:t>In this section —</w:t>
      </w:r>
    </w:p>
    <w:p>
      <w:pPr>
        <w:pStyle w:val="Defstart"/>
      </w:pPr>
      <w:r>
        <w:rPr>
          <w:b/>
        </w:rPr>
        <w:tab/>
      </w:r>
      <w:r>
        <w:rPr>
          <w:rStyle w:val="CharDefText"/>
        </w:rPr>
        <w:t>prescribed offence</w:t>
      </w:r>
      <w:r>
        <w:t xml:space="preserve"> means —</w:t>
      </w:r>
    </w:p>
    <w:p>
      <w:pPr>
        <w:pStyle w:val="Defpara"/>
      </w:pPr>
      <w:r>
        <w:tab/>
        <w:t>(a)</w:t>
      </w:r>
      <w:r>
        <w:tab/>
        <w:t>an offence under section 320(2) or (4) or 321(2) or (4) or an attempt to commit such an offence; or</w:t>
      </w:r>
    </w:p>
    <w:p>
      <w:pPr>
        <w:pStyle w:val="Defpara"/>
      </w:pPr>
      <w:r>
        <w:tab/>
        <w:t>(b)</w:t>
      </w:r>
      <w:r>
        <w:tab/>
        <w:t>an offence under section 320(3) or 321(3) where the child in fact engages in sexual behaviour;</w:t>
      </w:r>
    </w:p>
    <w:p>
      <w:pPr>
        <w:pStyle w:val="Defstart"/>
      </w:pPr>
      <w:r>
        <w:rPr>
          <w:b/>
        </w:rPr>
        <w:tab/>
      </w:r>
      <w:r>
        <w:rPr>
          <w:rStyle w:val="CharDefText"/>
        </w:rPr>
        <w:t>sexual act</w:t>
      </w:r>
      <w:r>
        <w:t xml:space="preserve"> means an act that would constitute a prescribed offence.</w:t>
      </w:r>
    </w:p>
    <w:p>
      <w:pPr>
        <w:pStyle w:val="Subsection"/>
      </w:pPr>
      <w:r>
        <w:tab/>
        <w:t>(2)</w:t>
      </w:r>
      <w:r>
        <w:tab/>
        <w:t>For the purposes of this section a person persistently engages in sexual conduct with a child if that person does a sexual act in relation to the child on 3 or more occasions each of which is on a different day.</w:t>
      </w:r>
    </w:p>
    <w:p>
      <w:pPr>
        <w:pStyle w:val="Subsection"/>
      </w:pPr>
      <w:r>
        <w:tab/>
        <w:t>(3)</w:t>
      </w:r>
      <w:r>
        <w:tab/>
        <w:t>For the purposes of subsection (2) —</w:t>
      </w:r>
    </w:p>
    <w:p>
      <w:pPr>
        <w:pStyle w:val="Indenta"/>
      </w:pPr>
      <w:r>
        <w:tab/>
        <w:t>(a)</w:t>
      </w:r>
      <w:r>
        <w:tab/>
        <w:t>the sexual acts need not all constitute the same prescribed offence; and</w:t>
      </w:r>
    </w:p>
    <w:p>
      <w:pPr>
        <w:pStyle w:val="Indenta"/>
      </w:pPr>
      <w:r>
        <w:tab/>
        <w:t>(b)</w:t>
      </w:r>
      <w:r>
        <w:tab/>
        <w:t>the sexual acts need not all have occurred in this State as long as at least one of them did.</w:t>
      </w:r>
    </w:p>
    <w:p>
      <w:pPr>
        <w:pStyle w:val="Subsection"/>
      </w:pPr>
      <w:r>
        <w:tab/>
        <w:t>(4)</w:t>
      </w:r>
      <w:r>
        <w:tab/>
        <w:t>A person who persistently engages in sexual conduct with a child under the age of 16 years is guilty of a crime and is liable to imprisonment for 20 years.</w:t>
      </w:r>
    </w:p>
    <w:p>
      <w:pPr>
        <w:pStyle w:val="Subsection"/>
        <w:keepNext/>
      </w:pPr>
      <w:r>
        <w:lastRenderedPageBreak/>
        <w:tab/>
        <w:t>(5)</w:t>
      </w:r>
      <w:r>
        <w:tab/>
        <w:t>A charge of an offence under subsection (4) —</w:t>
      </w:r>
    </w:p>
    <w:p>
      <w:pPr>
        <w:pStyle w:val="Indenta"/>
      </w:pPr>
      <w:r>
        <w:tab/>
        <w:t>(a)</w:t>
      </w:r>
      <w:r>
        <w:tab/>
        <w:t>must specify the period during which it is alleged that the sexual conduct occurred; and</w:t>
      </w:r>
    </w:p>
    <w:p>
      <w:pPr>
        <w:pStyle w:val="Indenta"/>
      </w:pPr>
      <w:r>
        <w:tab/>
        <w:t>(b)</w:t>
      </w:r>
      <w:r>
        <w:tab/>
        <w:t>need not specify the dates, or in any other way particularise the circumstances, of the sexual acts alleged to constitute the sexual conduct.</w:t>
      </w:r>
    </w:p>
    <w:p>
      <w:pPr>
        <w:pStyle w:val="Subsection"/>
      </w:pPr>
      <w:r>
        <w:tab/>
        <w:t>(6)</w:t>
      </w:r>
      <w:r>
        <w:tab/>
        <w:t>A person charged with an offence under subsection (4) may also be charged, either in the same or a separate indictment, with a prescribed offence that is alleged to have been committed in the period during which it is alleged that the sexual conduct constituting the offence under subsection (4) occurred.</w:t>
      </w:r>
    </w:p>
    <w:p>
      <w:pPr>
        <w:pStyle w:val="Subsection"/>
      </w:pPr>
      <w:r>
        <w:tab/>
        <w:t>(7)</w:t>
      </w:r>
      <w:r>
        <w:tab/>
        <w:t>An indictment containing a charge of an offence under subsection (4) must be signed by the Director of Public Prosecutions or the Deputy Director of Public Prosecutions.</w:t>
      </w:r>
    </w:p>
    <w:p>
      <w:pPr>
        <w:pStyle w:val="Subsection"/>
      </w:pPr>
      <w:r>
        <w:tab/>
        <w:t>(8)</w:t>
      </w:r>
      <w:r>
        <w:tab/>
        <w:t xml:space="preserve">A court cannot order the prosecutor to give a person charged with an offence under subsection (4) particulars of the sexual acts alleged to constitute the offence, despite section 131 of the </w:t>
      </w:r>
      <w:r>
        <w:rPr>
          <w:i/>
        </w:rPr>
        <w:t>Criminal Procedure Act 2004</w:t>
      </w:r>
      <w:r>
        <w:t>.</w:t>
      </w:r>
    </w:p>
    <w:p>
      <w:pPr>
        <w:pStyle w:val="Subsection"/>
      </w:pPr>
      <w:r>
        <w:tab/>
        <w:t>(9)</w:t>
      </w:r>
      <w:r>
        <w:tab/>
        <w:t>It is a defence to a charge of an offence under subsection (4)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Ednotesubsection"/>
      </w:pPr>
      <w:r>
        <w:tab/>
        <w:t>[(10)</w:t>
      </w:r>
      <w:r>
        <w:tab/>
        <w:t>deleted]</w:t>
      </w:r>
    </w:p>
    <w:p>
      <w:pPr>
        <w:pStyle w:val="Subsection"/>
      </w:pPr>
      <w:r>
        <w:tab/>
        <w:t>(11)</w:t>
      </w:r>
      <w:r>
        <w:tab/>
        <w:t>If in a trial by jury of a charge of an offence under subsection (4), there is evidence of sexual acts on 4 or more occasions, the jury members need not all be satisfied that the same sexual acts occurred on the same occasions as long as the jury is satisfied that the accused person persistently engaged in sexual conduct in the period specified.</w:t>
      </w:r>
    </w:p>
    <w:p>
      <w:pPr>
        <w:pStyle w:val="Subsection"/>
      </w:pPr>
      <w:r>
        <w:tab/>
        <w:t>(12)</w:t>
      </w:r>
      <w:r>
        <w:tab/>
        <w:t xml:space="preserve">If an accused person is found not guilty of a charge of an offence under subsection (4), he or she may nevertheless be </w:t>
      </w:r>
      <w:r>
        <w:lastRenderedPageBreak/>
        <w:t>found guilty of one or more prescribed offences committed in the period specified in the charge if the offence or offences are established by the evidence, despite section 10A.</w:t>
      </w:r>
    </w:p>
    <w:p>
      <w:pPr>
        <w:pStyle w:val="Subsection"/>
      </w:pPr>
      <w:r>
        <w:tab/>
        <w:t>(13)</w:t>
      </w:r>
      <w:r>
        <w:tab/>
        <w:t>If a person is sentenced, whether on one or more than one indictment, to —</w:t>
      </w:r>
    </w:p>
    <w:p>
      <w:pPr>
        <w:pStyle w:val="Indenta"/>
      </w:pPr>
      <w:r>
        <w:tab/>
        <w:t>(a)</w:t>
      </w:r>
      <w:r>
        <w:tab/>
        <w:t>a term of imprisonment for an offence under subsection (4); and</w:t>
      </w:r>
    </w:p>
    <w:p>
      <w:pPr>
        <w:pStyle w:val="Indenta"/>
      </w:pPr>
      <w:r>
        <w:tab/>
        <w:t>(b)</w:t>
      </w:r>
      <w:r>
        <w:tab/>
        <w:t>a term of imprisonment for a prescribed offence committed in the period during which the offence under subsection (4) was committed,</w:t>
      </w:r>
    </w:p>
    <w:p>
      <w:pPr>
        <w:pStyle w:val="Subsection"/>
      </w:pPr>
      <w:r>
        <w:tab/>
      </w:r>
      <w:r>
        <w:tab/>
        <w:t>the court must not order the terms to be served wholly or partly cumulatively.</w:t>
      </w:r>
    </w:p>
    <w:p>
      <w:pPr>
        <w:pStyle w:val="Footnotesection"/>
        <w:ind w:left="890" w:hanging="890"/>
      </w:pPr>
      <w:r>
        <w:tab/>
        <w:t>[Section 321A inserted: No. 2 of 2008 s. 10; amended: No. 2 of 2020 s. 5.]</w:t>
      </w:r>
    </w:p>
    <w:p>
      <w:pPr>
        <w:pStyle w:val="Heading5"/>
        <w:keepLines w:val="0"/>
        <w:spacing w:before="180"/>
        <w:rPr>
          <w:snapToGrid w:val="0"/>
        </w:rPr>
      </w:pPr>
      <w:bookmarkStart w:id="415" w:name="_Toc88662331"/>
      <w:r>
        <w:rPr>
          <w:rStyle w:val="CharSectno"/>
        </w:rPr>
        <w:t>322</w:t>
      </w:r>
      <w:r>
        <w:rPr>
          <w:snapToGrid w:val="0"/>
        </w:rPr>
        <w:t>.</w:t>
      </w:r>
      <w:r>
        <w:rPr>
          <w:snapToGrid w:val="0"/>
        </w:rPr>
        <w:tab/>
        <w:t>Child of or over 16, sexual offences against by person in authority etc.</w:t>
      </w:r>
      <w:bookmarkEnd w:id="415"/>
    </w:p>
    <w:p>
      <w:pPr>
        <w:pStyle w:val="Subsection"/>
        <w:keepNext/>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lastRenderedPageBreak/>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keepNext/>
      </w:pPr>
      <w:r>
        <w:tab/>
        <w:t>[Section 322 inserted: No. 14 of 1992 s. 6(1); amended: No. 3 of 2002 s. 40; No. 70 of 2004 s. 36(3).]</w:t>
      </w:r>
    </w:p>
    <w:p>
      <w:pPr>
        <w:pStyle w:val="Ednotesection"/>
      </w:pPr>
      <w:r>
        <w:t>[</w:t>
      </w:r>
      <w:r>
        <w:rPr>
          <w:b/>
        </w:rPr>
        <w:t>322A.</w:t>
      </w:r>
      <w:r>
        <w:tab/>
        <w:t>Deleted: No. 3 of 2002 s. 41(1).]</w:t>
      </w:r>
    </w:p>
    <w:p>
      <w:pPr>
        <w:pStyle w:val="Heading5"/>
        <w:rPr>
          <w:snapToGrid w:val="0"/>
        </w:rPr>
      </w:pPr>
      <w:bookmarkStart w:id="416" w:name="_Toc88662332"/>
      <w:r>
        <w:rPr>
          <w:rStyle w:val="CharSectno"/>
        </w:rPr>
        <w:t>323</w:t>
      </w:r>
      <w:r>
        <w:rPr>
          <w:snapToGrid w:val="0"/>
        </w:rPr>
        <w:t>.</w:t>
      </w:r>
      <w:r>
        <w:rPr>
          <w:snapToGrid w:val="0"/>
        </w:rPr>
        <w:tab/>
        <w:t>Indecent assault</w:t>
      </w:r>
      <w:bookmarkEnd w:id="416"/>
    </w:p>
    <w:p>
      <w:pPr>
        <w:pStyle w:val="Subsection"/>
        <w:keepNext/>
        <w:keepLines/>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No. 14 of 1992 s. 6(1); amended: No. 36 of 1996 s. 17; No. 70 of 2004 s. 35(2).]</w:t>
      </w:r>
    </w:p>
    <w:p>
      <w:pPr>
        <w:pStyle w:val="Heading5"/>
        <w:spacing w:before="180"/>
        <w:rPr>
          <w:snapToGrid w:val="0"/>
        </w:rPr>
      </w:pPr>
      <w:bookmarkStart w:id="417" w:name="_Toc88662333"/>
      <w:r>
        <w:rPr>
          <w:rStyle w:val="CharSectno"/>
        </w:rPr>
        <w:t>324</w:t>
      </w:r>
      <w:r>
        <w:rPr>
          <w:snapToGrid w:val="0"/>
        </w:rPr>
        <w:t>.</w:t>
      </w:r>
      <w:r>
        <w:rPr>
          <w:snapToGrid w:val="0"/>
        </w:rPr>
        <w:tab/>
        <w:t>Aggravated indecent assault</w:t>
      </w:r>
      <w:bookmarkEnd w:id="417"/>
    </w:p>
    <w:p>
      <w:pPr>
        <w:pStyle w:val="Subsection"/>
        <w:keepNext/>
        <w:keepLines/>
        <w:rPr>
          <w:snapToGrid w:val="0"/>
        </w:rPr>
      </w:pPr>
      <w:r>
        <w:tab/>
        <w:t>(1)</w:t>
      </w:r>
      <w:r>
        <w:tab/>
        <w:t>A person</w:t>
      </w:r>
      <w:r>
        <w:rPr>
          <w:snapToGrid w:val="0"/>
        </w:rPr>
        <w:t xml:space="preserve">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Subsection"/>
      </w:pPr>
      <w:r>
        <w:lastRenderedPageBreak/>
        <w:tab/>
        <w:t>(2)</w:t>
      </w:r>
      <w:r>
        <w:tab/>
        <w:t>If the offence is committed in the course of conduct that constituted an aggravated home burglary it is not to be dealt with summarily.</w:t>
      </w:r>
    </w:p>
    <w:p>
      <w:pPr>
        <w:pStyle w:val="Subsection"/>
      </w:pPr>
      <w:r>
        <w:tab/>
        <w:t>(3)</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 (not being the term specified in the summary conviction penalty in that subsection).</w:t>
      </w:r>
    </w:p>
    <w:p>
      <w:pPr>
        <w:pStyle w:val="Subsection"/>
      </w:pPr>
      <w:r>
        <w:tab/>
        <w:t>(4)</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keepNext/>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(5)</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keepLines w:val="0"/>
      </w:pPr>
      <w:r>
        <w:tab/>
        <w:t>[Section 324 inserted: No. 14 of 1992 s. 6(1); amended: No. 36 of 1996 s. 18; No. 70 of 2004 s. 35(3) and 36(3); No. 25 of 2015 s. 13.]</w:t>
      </w:r>
    </w:p>
    <w:p>
      <w:pPr>
        <w:pStyle w:val="Heading5"/>
        <w:spacing w:before="180"/>
        <w:rPr>
          <w:snapToGrid w:val="0"/>
        </w:rPr>
      </w:pPr>
      <w:bookmarkStart w:id="418" w:name="_Toc88662334"/>
      <w:r>
        <w:rPr>
          <w:rStyle w:val="CharSectno"/>
        </w:rPr>
        <w:lastRenderedPageBreak/>
        <w:t>325</w:t>
      </w:r>
      <w:r>
        <w:rPr>
          <w:snapToGrid w:val="0"/>
        </w:rPr>
        <w:t>.</w:t>
      </w:r>
      <w:r>
        <w:rPr>
          <w:snapToGrid w:val="0"/>
        </w:rPr>
        <w:tab/>
        <w:t>Sexual penetration without consent</w:t>
      </w:r>
      <w:bookmarkEnd w:id="418"/>
    </w:p>
    <w:p>
      <w:pPr>
        <w:pStyle w:val="Subsection"/>
        <w:keepNext/>
        <w:keepLines/>
        <w:spacing w:before="120"/>
        <w:rPr>
          <w:snapToGrid w:val="0"/>
        </w:rPr>
      </w:pPr>
      <w:r>
        <w:tab/>
        <w:t>(1)</w:t>
      </w:r>
      <w:r>
        <w:tab/>
        <w:t>A person</w:t>
      </w:r>
      <w:r>
        <w:rPr>
          <w:snapToGrid w:val="0"/>
        </w:rPr>
        <w:t xml:space="preserve"> who sexually penetrates another person without the consent of that person is guilty of a crime and is liable to imprisonment for 14 years.</w:t>
      </w:r>
    </w:p>
    <w:p>
      <w:pPr>
        <w:pStyle w:val="Penstart"/>
        <w:spacing w:before="60"/>
        <w:rPr>
          <w:snapToGrid w:val="0"/>
        </w:rPr>
      </w:pPr>
      <w:r>
        <w:tab/>
        <w:t>Alternative offence: s. 322(2) or (4), 323 or 324.</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325 inserted: No. 14 of 1992 s. 6(1); amended: No. 70 of 2004 s. 36(3); No. 25 of 2015 s. 14.]</w:t>
      </w:r>
    </w:p>
    <w:p>
      <w:pPr>
        <w:pStyle w:val="Heading5"/>
        <w:spacing w:before="180"/>
        <w:rPr>
          <w:snapToGrid w:val="0"/>
        </w:rPr>
      </w:pPr>
      <w:bookmarkStart w:id="419" w:name="_Toc88662335"/>
      <w:r>
        <w:rPr>
          <w:rStyle w:val="CharSectno"/>
        </w:rPr>
        <w:lastRenderedPageBreak/>
        <w:t>326</w:t>
      </w:r>
      <w:r>
        <w:rPr>
          <w:snapToGrid w:val="0"/>
        </w:rPr>
        <w:t>.</w:t>
      </w:r>
      <w:r>
        <w:rPr>
          <w:snapToGrid w:val="0"/>
        </w:rPr>
        <w:tab/>
        <w:t>Aggravated sexual penetration without consent</w:t>
      </w:r>
      <w:bookmarkEnd w:id="419"/>
    </w:p>
    <w:p>
      <w:pPr>
        <w:pStyle w:val="Subsection"/>
        <w:keepNext/>
        <w:keepLines/>
        <w:spacing w:before="120"/>
        <w:rPr>
          <w:snapToGrid w:val="0"/>
        </w:rPr>
      </w:pPr>
      <w:r>
        <w:tab/>
        <w:t>(1)</w:t>
      </w:r>
      <w:r>
        <w:tab/>
        <w:t>A person</w:t>
      </w:r>
      <w:r>
        <w:rPr>
          <w:snapToGrid w:val="0"/>
        </w:rPr>
        <w:t xml:space="preserve">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ind w:left="890" w:hanging="890"/>
      </w:pPr>
      <w:r>
        <w:tab/>
        <w:t>[Section 326 inserted: No. 14 of 1992 s. 6(1); amended: No. 70 of 2004 s. 36(3); No. 25 of 2015 s. 15.]</w:t>
      </w:r>
    </w:p>
    <w:p>
      <w:pPr>
        <w:pStyle w:val="Heading5"/>
        <w:rPr>
          <w:snapToGrid w:val="0"/>
        </w:rPr>
      </w:pPr>
      <w:bookmarkStart w:id="420" w:name="_Toc88662336"/>
      <w:r>
        <w:rPr>
          <w:rStyle w:val="CharSectno"/>
        </w:rPr>
        <w:lastRenderedPageBreak/>
        <w:t>327</w:t>
      </w:r>
      <w:r>
        <w:rPr>
          <w:snapToGrid w:val="0"/>
        </w:rPr>
        <w:t>.</w:t>
      </w:r>
      <w:r>
        <w:rPr>
          <w:snapToGrid w:val="0"/>
        </w:rPr>
        <w:tab/>
        <w:t>Sexual coercion</w:t>
      </w:r>
      <w:bookmarkEnd w:id="420"/>
    </w:p>
    <w:p>
      <w:pPr>
        <w:pStyle w:val="Subsection"/>
        <w:rPr>
          <w:snapToGrid w:val="0"/>
        </w:rPr>
      </w:pPr>
      <w:r>
        <w:tab/>
        <w:t>(1)</w:t>
      </w:r>
      <w:r>
        <w:tab/>
        <w:t>A person</w:t>
      </w:r>
      <w:r>
        <w:rPr>
          <w:snapToGrid w:val="0"/>
        </w:rPr>
        <w:t xml:space="preserve"> who compels another person to engage in sexual behaviour is guilty of a crime and is liable to imprisonment for 14 years.</w:t>
      </w:r>
    </w:p>
    <w:p>
      <w:pPr>
        <w:pStyle w:val="Penstart"/>
        <w:rPr>
          <w:snapToGrid w:val="0"/>
        </w:rPr>
      </w:pPr>
      <w:r>
        <w:tab/>
        <w:t>Alternative offence: s. 322(3), (4) or (5).</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keepNext/>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 xml:space="preserve">Subsection (3) does not prevent a court from making a direction under the </w:t>
      </w:r>
      <w:r>
        <w:rPr>
          <w:i/>
        </w:rPr>
        <w:t>Young Offenders Act 1994</w:t>
      </w:r>
      <w:r>
        <w:t xml:space="preserve"> section 118(4).</w:t>
      </w:r>
    </w:p>
    <w:p>
      <w:pPr>
        <w:pStyle w:val="Footnotesection"/>
        <w:spacing w:before="80"/>
        <w:ind w:left="890" w:hanging="890"/>
      </w:pPr>
      <w:r>
        <w:tab/>
        <w:t>[Section 327 inserted: No. 14 of 1992 s. 6(1); amended: No. 70 of 2004 s. 36(3); No. 25 of 2015 s. 16.]</w:t>
      </w:r>
    </w:p>
    <w:p>
      <w:pPr>
        <w:pStyle w:val="Heading5"/>
        <w:keepLines w:val="0"/>
        <w:spacing w:before="180"/>
        <w:rPr>
          <w:snapToGrid w:val="0"/>
        </w:rPr>
      </w:pPr>
      <w:bookmarkStart w:id="421" w:name="_Toc88662337"/>
      <w:r>
        <w:rPr>
          <w:rStyle w:val="CharSectno"/>
        </w:rPr>
        <w:lastRenderedPageBreak/>
        <w:t>328</w:t>
      </w:r>
      <w:r>
        <w:rPr>
          <w:snapToGrid w:val="0"/>
        </w:rPr>
        <w:t>.</w:t>
      </w:r>
      <w:r>
        <w:rPr>
          <w:snapToGrid w:val="0"/>
        </w:rPr>
        <w:tab/>
        <w:t>Aggravated sexual coercion</w:t>
      </w:r>
      <w:bookmarkEnd w:id="421"/>
    </w:p>
    <w:p>
      <w:pPr>
        <w:pStyle w:val="Subsection"/>
        <w:keepNext/>
        <w:rPr>
          <w:snapToGrid w:val="0"/>
        </w:rPr>
      </w:pPr>
      <w:r>
        <w:tab/>
        <w:t>(1)</w:t>
      </w:r>
      <w:r>
        <w:tab/>
        <w:t>A person</w:t>
      </w:r>
      <w:r>
        <w:rPr>
          <w:snapToGrid w:val="0"/>
        </w:rPr>
        <w:t xml:space="preserve">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Subsection"/>
        <w:spacing w:before="120"/>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spacing w:before="120"/>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 xml:space="preserve">Subsection (3) does not prevent a court from making a direction under the </w:t>
      </w:r>
      <w:r>
        <w:rPr>
          <w:i/>
        </w:rPr>
        <w:t>Young Offenders Act 1994</w:t>
      </w:r>
      <w:r>
        <w:t xml:space="preserve"> section 118(4).</w:t>
      </w:r>
    </w:p>
    <w:p>
      <w:pPr>
        <w:pStyle w:val="Footnotesection"/>
      </w:pPr>
      <w:r>
        <w:tab/>
        <w:t>[Section 328 inserted: No. 14 of 1992 s. 6(1); amended: No. 70 of 2004 s. 36(3); No. 25 of 2015 s. 17.]</w:t>
      </w:r>
    </w:p>
    <w:p>
      <w:pPr>
        <w:pStyle w:val="Heading5"/>
        <w:rPr>
          <w:snapToGrid w:val="0"/>
        </w:rPr>
      </w:pPr>
      <w:bookmarkStart w:id="422" w:name="_Toc88662338"/>
      <w:r>
        <w:rPr>
          <w:rStyle w:val="CharSectno"/>
        </w:rPr>
        <w:t>329</w:t>
      </w:r>
      <w:r>
        <w:rPr>
          <w:snapToGrid w:val="0"/>
        </w:rPr>
        <w:t>.</w:t>
      </w:r>
      <w:r>
        <w:rPr>
          <w:snapToGrid w:val="0"/>
        </w:rPr>
        <w:tab/>
        <w:t>Relatives and the like, sexual offences by</w:t>
      </w:r>
      <w:bookmarkEnd w:id="422"/>
    </w:p>
    <w:p>
      <w:pPr>
        <w:pStyle w:val="Subsection"/>
        <w:rPr>
          <w:snapToGrid w:val="0"/>
        </w:rPr>
      </w:pPr>
      <w:r>
        <w:rPr>
          <w:snapToGrid w:val="0"/>
        </w:rPr>
        <w:tab/>
        <w:t>(1)</w:t>
      </w:r>
      <w:r>
        <w:rPr>
          <w:snapToGrid w:val="0"/>
        </w:rPr>
        <w:tab/>
        <w:t>In this section —</w:t>
      </w:r>
    </w:p>
    <w:p>
      <w:pPr>
        <w:pStyle w:val="Defstart"/>
      </w:pPr>
      <w:r>
        <w:rPr>
          <w:b/>
        </w:rPr>
        <w:tab/>
      </w:r>
      <w:r>
        <w:rPr>
          <w:rStyle w:val="CharDefText"/>
        </w:rPr>
        <w:t>de facto child</w:t>
      </w:r>
      <w:r>
        <w:t xml:space="preserve"> means a step</w:t>
      </w:r>
      <w:r>
        <w:noBreakHyphen/>
        <w:t>child of the offender or a child or step</w:t>
      </w:r>
      <w:r>
        <w:noBreakHyphen/>
        <w:t>child of a de facto partner of the offender;</w:t>
      </w:r>
    </w:p>
    <w:p>
      <w:pPr>
        <w:pStyle w:val="Defstart"/>
      </w:pPr>
      <w:r>
        <w:rPr>
          <w:b/>
        </w:rPr>
        <w:lastRenderedPageBreak/>
        <w:tab/>
      </w:r>
      <w:r>
        <w:rPr>
          <w:rStyle w:val="CharDefText"/>
        </w:rPr>
        <w:t>lineal relative</w:t>
      </w:r>
      <w:r>
        <w:t xml:space="preserve"> means a person who is a lineal ancestor, lineal descendant, brother, or sister, whether the relationship is of the whole blood or half</w:t>
      </w:r>
      <w: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spacing w:before="100"/>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spacing w:before="100"/>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spacing w:before="100"/>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spacing w:before="100"/>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spacing w:before="100"/>
        <w:rPr>
          <w:snapToGrid w:val="0"/>
        </w:rPr>
      </w:pPr>
      <w:r>
        <w:rPr>
          <w:snapToGrid w:val="0"/>
        </w:rPr>
        <w:tab/>
      </w:r>
      <w:r>
        <w:t>Alternative offence: s. 321(6) or 322(6).</w:t>
      </w:r>
    </w:p>
    <w:p>
      <w:pPr>
        <w:pStyle w:val="Subsection"/>
        <w:rPr>
          <w:snapToGrid w:val="0"/>
        </w:rPr>
      </w:pPr>
      <w:r>
        <w:rPr>
          <w:snapToGrid w:val="0"/>
        </w:rPr>
        <w:lastRenderedPageBreak/>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[Section 329 inserted: No. 14 of 1992 s. 6(1); amended: No. 3 of 2002 s. 42; No. 70 of 2004 s. 36(3).]</w:t>
      </w:r>
    </w:p>
    <w:p>
      <w:pPr>
        <w:pStyle w:val="Heading5"/>
        <w:spacing w:before="180"/>
        <w:rPr>
          <w:snapToGrid w:val="0"/>
        </w:rPr>
      </w:pPr>
      <w:bookmarkStart w:id="423" w:name="_Toc88662339"/>
      <w:r>
        <w:rPr>
          <w:rStyle w:val="CharSectno"/>
        </w:rPr>
        <w:t>330</w:t>
      </w:r>
      <w:r>
        <w:rPr>
          <w:snapToGrid w:val="0"/>
        </w:rPr>
        <w:t>.</w:t>
      </w:r>
      <w:r>
        <w:rPr>
          <w:snapToGrid w:val="0"/>
        </w:rPr>
        <w:tab/>
        <w:t>Incapable person, sexual offences against</w:t>
      </w:r>
      <w:bookmarkEnd w:id="423"/>
    </w:p>
    <w:p>
      <w:pPr>
        <w:pStyle w:val="Subsection"/>
        <w:rPr>
          <w:snapToGrid w:val="0"/>
        </w:rPr>
      </w:pPr>
      <w:r>
        <w:rPr>
          <w:snapToGrid w:val="0"/>
        </w:rPr>
        <w:tab/>
        <w:t>(1)</w:t>
      </w:r>
      <w:r>
        <w:rPr>
          <w:snapToGrid w:val="0"/>
        </w:rPr>
        <w:tab/>
        <w:t>In this section a reference to an incapable person is a reference to a person who is so mentally impaired as to be incapable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lastRenderedPageBreak/>
        <w:tab/>
        <w:t>(b)</w:t>
      </w:r>
      <w:r>
        <w:rPr>
          <w:snapToGrid w:val="0"/>
        </w:rPr>
        <w:tab/>
        <w:t>of guarding himself or herself against sexual exploitation.</w:t>
      </w:r>
    </w:p>
    <w:p>
      <w:pPr>
        <w:pStyle w:val="Subsection"/>
        <w:keepNext/>
        <w:keepLines/>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spacing w:before="120"/>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spacing w:before="120"/>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spacing w:before="120"/>
        <w:rPr>
          <w:snapToGrid w:val="0"/>
        </w:rPr>
      </w:pPr>
      <w:r>
        <w:rPr>
          <w:snapToGrid w:val="0"/>
        </w:rPr>
        <w:lastRenderedPageBreak/>
        <w:tab/>
        <w:t>(8)</w:t>
      </w:r>
      <w:r>
        <w:rPr>
          <w:snapToGrid w:val="0"/>
        </w:rPr>
        <w:tab/>
        <w:t>A person who is guilty of a crime under subsection (4), (5) or (6) is liable to imprisonment for —</w:t>
      </w:r>
    </w:p>
    <w:p>
      <w:pPr>
        <w:pStyle w:val="Indenta"/>
        <w:keepNext/>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rPr>
          <w:snapToGrid w:val="0"/>
        </w:rPr>
      </w:pPr>
      <w:r>
        <w:rPr>
          <w:snapToGrid w:val="0"/>
        </w:rPr>
        <w:tab/>
        <w:t>(9)</w:t>
      </w:r>
      <w:r>
        <w:rPr>
          <w:snapToGrid w:val="0"/>
        </w:rPr>
        <w:tab/>
        <w:t>It is a defence to a charge under this section to prove the accused person was lawfully married to the incapable person.</w:t>
      </w:r>
    </w:p>
    <w:p>
      <w:pPr>
        <w:pStyle w:val="Subsection"/>
      </w:pPr>
      <w:r>
        <w:tab/>
        <w:t>(10)</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(7) or (8) applies to the offence.</w:t>
      </w:r>
    </w:p>
    <w:p>
      <w:pPr>
        <w:pStyle w:val="Subsection"/>
      </w:pPr>
      <w:r>
        <w:tab/>
        <w:t>(11)</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(12)</w:t>
      </w:r>
      <w:r>
        <w:tab/>
        <w:t xml:space="preserve">Subsection (11) does not prevent a court from making a direction under the </w:t>
      </w:r>
      <w:r>
        <w:rPr>
          <w:i/>
        </w:rPr>
        <w:t>Young Offenders Act 1994</w:t>
      </w:r>
      <w:r>
        <w:t xml:space="preserve"> section 118(4).</w:t>
      </w:r>
    </w:p>
    <w:p>
      <w:pPr>
        <w:pStyle w:val="Footnotesection"/>
      </w:pPr>
      <w:r>
        <w:tab/>
        <w:t>[Section 330 inserted: No. 14 of 1992 s. 6(1); amended: No. 69 of 1996 s. 11; No. 70 of 2004 s. 36(3); No. 25 of 2015 s. 18.]</w:t>
      </w:r>
    </w:p>
    <w:p>
      <w:pPr>
        <w:pStyle w:val="Heading5"/>
        <w:rPr>
          <w:snapToGrid w:val="0"/>
        </w:rPr>
      </w:pPr>
      <w:bookmarkStart w:id="424" w:name="_Toc88662340"/>
      <w:r>
        <w:rPr>
          <w:rStyle w:val="CharSectno"/>
        </w:rPr>
        <w:lastRenderedPageBreak/>
        <w:t>331</w:t>
      </w:r>
      <w:r>
        <w:rPr>
          <w:snapToGrid w:val="0"/>
        </w:rPr>
        <w:t>.</w:t>
      </w:r>
      <w:r>
        <w:rPr>
          <w:snapToGrid w:val="0"/>
        </w:rPr>
        <w:tab/>
        <w:t>Ignorance of age no defence for s. 320 and 329</w:t>
      </w:r>
      <w:bookmarkEnd w:id="424"/>
    </w:p>
    <w:p>
      <w:pPr>
        <w:pStyle w:val="Subsection"/>
        <w:keepNext/>
        <w:keepLines/>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No. 14 of 1992 s. 6(1).]</w:t>
      </w:r>
    </w:p>
    <w:p>
      <w:pPr>
        <w:pStyle w:val="Heading5"/>
        <w:spacing w:before="240"/>
      </w:pPr>
      <w:bookmarkStart w:id="425" w:name="_Toc88662341"/>
      <w:r>
        <w:rPr>
          <w:rStyle w:val="CharSectno"/>
        </w:rPr>
        <w:t>331A</w:t>
      </w:r>
      <w:r>
        <w:t>.</w:t>
      </w:r>
      <w:r>
        <w:tab/>
        <w:t>Terms used in s. 331B to 331D</w:t>
      </w:r>
      <w:bookmarkEnd w:id="425"/>
    </w:p>
    <w:p>
      <w:pPr>
        <w:pStyle w:val="Subsection"/>
      </w:pPr>
      <w:r>
        <w:tab/>
      </w:r>
      <w:r>
        <w:tab/>
        <w:t>In sections 331B to 331D —</w:t>
      </w:r>
    </w:p>
    <w:p>
      <w:pPr>
        <w:pStyle w:val="Defstart"/>
      </w:pPr>
      <w:r>
        <w:tab/>
      </w:r>
      <w:r>
        <w:rPr>
          <w:rStyle w:val="CharDefText"/>
        </w:rPr>
        <w:t>child</w:t>
      </w:r>
      <w:r>
        <w:t xml:space="preserve"> means a person under the age of 18 years;</w:t>
      </w:r>
    </w:p>
    <w:p>
      <w:pPr>
        <w:pStyle w:val="Defstart"/>
      </w:pPr>
      <w:r>
        <w:tab/>
      </w:r>
      <w:r>
        <w:rPr>
          <w:rStyle w:val="CharDefText"/>
        </w:rPr>
        <w:t>incapable person</w:t>
      </w:r>
      <w:r>
        <w:t xml:space="preserve"> has the meaning given by section 330(1);</w:t>
      </w:r>
    </w:p>
    <w:p>
      <w:pPr>
        <w:pStyle w:val="Defstart"/>
      </w:pPr>
      <w:r>
        <w:tab/>
      </w:r>
      <w:r>
        <w:rPr>
          <w:rStyle w:val="CharDefText"/>
        </w:rPr>
        <w:t>sexual service</w:t>
      </w:r>
      <w:r>
        <w:rPr>
          <w:b/>
        </w:rPr>
        <w:t xml:space="preserve"> </w:t>
      </w:r>
      <w:r>
        <w:t>means the use or display of the body of the person providing the service for the sexual arousal or sexual gratification of others.</w:t>
      </w:r>
    </w:p>
    <w:p>
      <w:pPr>
        <w:pStyle w:val="Footnotesection"/>
      </w:pPr>
      <w:r>
        <w:tab/>
        <w:t>[Section 331A inserted: No. 4 of 2004 s. 25.]</w:t>
      </w:r>
    </w:p>
    <w:p>
      <w:pPr>
        <w:pStyle w:val="Heading5"/>
      </w:pPr>
      <w:bookmarkStart w:id="426" w:name="_Toc88662342"/>
      <w:r>
        <w:rPr>
          <w:rStyle w:val="CharSectno"/>
        </w:rPr>
        <w:t>331B</w:t>
      </w:r>
      <w:r>
        <w:t>.</w:t>
      </w:r>
      <w:r>
        <w:tab/>
        <w:t>Sexual servitude</w:t>
      </w:r>
      <w:bookmarkEnd w:id="426"/>
    </w:p>
    <w:p>
      <w:pPr>
        <w:pStyle w:val="Subsection"/>
      </w:pPr>
      <w:r>
        <w:tab/>
      </w:r>
      <w:r>
        <w:tab/>
        <w:t>A person who compels another person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No. 4 of 2004 s. 25.]</w:t>
      </w:r>
    </w:p>
    <w:p>
      <w:pPr>
        <w:pStyle w:val="Heading5"/>
        <w:spacing w:before="240"/>
      </w:pPr>
      <w:bookmarkStart w:id="427" w:name="_Toc88662343"/>
      <w:r>
        <w:rPr>
          <w:rStyle w:val="CharSectno"/>
        </w:rPr>
        <w:t>331C</w:t>
      </w:r>
      <w:r>
        <w:t>.</w:t>
      </w:r>
      <w:r>
        <w:tab/>
        <w:t>Conducting business involving sexual servitude</w:t>
      </w:r>
      <w:bookmarkEnd w:id="427"/>
    </w:p>
    <w:p>
      <w:pPr>
        <w:pStyle w:val="Subsection"/>
      </w:pPr>
      <w:r>
        <w:tab/>
        <w:t>(1)</w:t>
      </w:r>
      <w:r>
        <w:tab/>
        <w:t>In this section —</w:t>
      </w:r>
    </w:p>
    <w:p>
      <w:pPr>
        <w:pStyle w:val="Defstart"/>
      </w:pPr>
      <w:r>
        <w:tab/>
      </w:r>
      <w:r>
        <w:rPr>
          <w:rStyle w:val="CharDefText"/>
        </w:rPr>
        <w:t>conducting a business</w:t>
      </w:r>
      <w:r>
        <w:t xml:space="preserve"> includes —</w:t>
      </w:r>
    </w:p>
    <w:p>
      <w:pPr>
        <w:pStyle w:val="Defpara"/>
      </w:pPr>
      <w:r>
        <w:tab/>
        <w:t>(a)</w:t>
      </w:r>
      <w:r>
        <w:tab/>
        <w:t>taking part in the management of the business; and</w:t>
      </w:r>
    </w:p>
    <w:p>
      <w:pPr>
        <w:pStyle w:val="Defpara"/>
      </w:pPr>
      <w:r>
        <w:tab/>
        <w:t>(b)</w:t>
      </w:r>
      <w:r>
        <w:tab/>
        <w:t>exercising control or direction over the business; and</w:t>
      </w:r>
    </w:p>
    <w:p>
      <w:pPr>
        <w:pStyle w:val="Defpara"/>
      </w:pPr>
      <w:r>
        <w:tab/>
        <w:t>(c)</w:t>
      </w:r>
      <w:r>
        <w:tab/>
        <w:t>providing finance for the business.</w:t>
      </w:r>
    </w:p>
    <w:p>
      <w:pPr>
        <w:pStyle w:val="Subsection"/>
        <w:spacing w:before="180"/>
      </w:pPr>
      <w:r>
        <w:lastRenderedPageBreak/>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keepNext/>
      </w:pPr>
      <w:r>
        <w:tab/>
        <w:t>(b)</w:t>
      </w:r>
      <w:r>
        <w:tab/>
        <w:t>otherwise, to imprisonment for 14 years.</w:t>
      </w:r>
    </w:p>
    <w:p>
      <w:pPr>
        <w:pStyle w:val="Footnotesection"/>
        <w:keepNext/>
      </w:pPr>
      <w:r>
        <w:tab/>
        <w:t>[Section 331C inserted: No. 4 of 2004 s. 25.]</w:t>
      </w:r>
    </w:p>
    <w:p>
      <w:pPr>
        <w:pStyle w:val="Heading5"/>
        <w:spacing w:before="240"/>
      </w:pPr>
      <w:bookmarkStart w:id="428" w:name="_Toc88662344"/>
      <w:r>
        <w:rPr>
          <w:rStyle w:val="CharSectno"/>
        </w:rPr>
        <w:t>331D</w:t>
      </w:r>
      <w:r>
        <w:t>.</w:t>
      </w:r>
      <w:r>
        <w:tab/>
        <w:t>Deceptive recruiting for commercial sexual service</w:t>
      </w:r>
      <w:bookmarkEnd w:id="428"/>
    </w:p>
    <w:p>
      <w:pPr>
        <w:pStyle w:val="Subsection"/>
      </w:pPr>
      <w:r>
        <w:tab/>
        <w:t>(1)</w:t>
      </w:r>
      <w:r>
        <w:tab/>
        <w:t>A person who —</w:t>
      </w:r>
    </w:p>
    <w:p>
      <w:pPr>
        <w:pStyle w:val="Indenta"/>
      </w:pPr>
      <w:r>
        <w:tab/>
        <w:t>(a)</w:t>
      </w:r>
      <w:r>
        <w:tab/>
        <w:t xml:space="preserve">offers a person who is neither a child nor an incapable person (the </w:t>
      </w:r>
      <w:r>
        <w:rPr>
          <w:rStyle w:val="CharDefText"/>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pPr>
      <w:r>
        <w:tab/>
      </w:r>
      <w:r>
        <w:tab/>
        <w:t>and</w:t>
      </w:r>
    </w:p>
    <w:p>
      <w:pPr>
        <w:pStyle w:val="Indenta"/>
        <w:keepNext/>
        <w:keepLines/>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rStyle w:val="CharDefText"/>
        </w:rPr>
        <w:t>victim</w:t>
      </w:r>
      <w:r>
        <w:t>) employment or some other form of engagement to provide personal services; and</w:t>
      </w:r>
    </w:p>
    <w:p>
      <w:pPr>
        <w:pStyle w:val="Indenta"/>
        <w:keepNext/>
        <w:keepLines/>
      </w:pPr>
      <w:r>
        <w:lastRenderedPageBreak/>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keepNext/>
      </w:pPr>
      <w:r>
        <w:tab/>
        <w:t>(ii)</w:t>
      </w:r>
      <w:r>
        <w:tab/>
        <w:t>that the continuation of the employment or engagement, or the victim’s advancement in the employment or engagement, will be dependent on the victim’s preparedness to provide a sexual service,</w:t>
      </w:r>
    </w:p>
    <w:p>
      <w:pPr>
        <w:pStyle w:val="Subsection"/>
        <w:spacing w:before="180"/>
      </w:pPr>
      <w:r>
        <w:tab/>
      </w:r>
      <w:r>
        <w:tab/>
        <w:t>is guilty of a crime and is liable to imprisonment for 20 years.</w:t>
      </w:r>
    </w:p>
    <w:p>
      <w:pPr>
        <w:pStyle w:val="Footnotesection"/>
      </w:pPr>
      <w:r>
        <w:tab/>
        <w:t>[Section 331D inserted: No. 4 of 2004 s. 25.]</w:t>
      </w:r>
    </w:p>
    <w:p>
      <w:pPr>
        <w:pStyle w:val="Ednotedivision"/>
        <w:spacing w:before="240"/>
      </w:pPr>
      <w:r>
        <w:t>[Chapter XXXIA deleted: No. 14 of 1992 s. 6(4).]</w:t>
      </w:r>
    </w:p>
    <w:p>
      <w:pPr>
        <w:pStyle w:val="Ednotedivision"/>
        <w:spacing w:before="240"/>
      </w:pPr>
      <w:r>
        <w:t>[Chapter XXXII deleted: No. 48 of 1991 s. 12(9).]</w:t>
      </w:r>
    </w:p>
    <w:p>
      <w:pPr>
        <w:pStyle w:val="Heading3"/>
        <w:keepLines/>
        <w:spacing w:before="260"/>
        <w:rPr>
          <w:snapToGrid w:val="0"/>
        </w:rPr>
      </w:pPr>
      <w:bookmarkStart w:id="429" w:name="_Toc88569902"/>
      <w:bookmarkStart w:id="430" w:name="_Toc88570424"/>
      <w:bookmarkStart w:id="431" w:name="_Toc88570946"/>
      <w:bookmarkStart w:id="432" w:name="_Toc88662345"/>
      <w:r>
        <w:rPr>
          <w:rStyle w:val="CharDivNo"/>
        </w:rPr>
        <w:t>Chapter XXXIII</w:t>
      </w:r>
      <w:r>
        <w:rPr>
          <w:snapToGrid w:val="0"/>
        </w:rPr>
        <w:t> — </w:t>
      </w:r>
      <w:r>
        <w:rPr>
          <w:rStyle w:val="CharDivText"/>
        </w:rPr>
        <w:t>Offences against liberty</w:t>
      </w:r>
      <w:bookmarkEnd w:id="429"/>
      <w:bookmarkEnd w:id="430"/>
      <w:bookmarkEnd w:id="431"/>
      <w:bookmarkEnd w:id="432"/>
    </w:p>
    <w:p>
      <w:pPr>
        <w:pStyle w:val="Heading5"/>
        <w:spacing w:before="240"/>
        <w:rPr>
          <w:snapToGrid w:val="0"/>
        </w:rPr>
      </w:pPr>
      <w:bookmarkStart w:id="433" w:name="_Toc88662346"/>
      <w:r>
        <w:rPr>
          <w:rStyle w:val="CharSectno"/>
        </w:rPr>
        <w:t>332</w:t>
      </w:r>
      <w:r>
        <w:rPr>
          <w:snapToGrid w:val="0"/>
        </w:rPr>
        <w:t>.</w:t>
      </w:r>
      <w:r>
        <w:rPr>
          <w:snapToGrid w:val="0"/>
        </w:rPr>
        <w:tab/>
        <w:t>Kidnapping</w:t>
      </w:r>
      <w:bookmarkEnd w:id="433"/>
    </w:p>
    <w:p>
      <w:pPr>
        <w:pStyle w:val="Subsection"/>
        <w:spacing w:before="180"/>
        <w:rPr>
          <w:snapToGrid w:val="0"/>
        </w:rPr>
      </w:pPr>
      <w:r>
        <w:rPr>
          <w:snapToGrid w:val="0"/>
        </w:rPr>
        <w:tab/>
        <w:t>(1)</w:t>
      </w:r>
      <w:r>
        <w:rPr>
          <w:snapToGrid w:val="0"/>
        </w:rPr>
        <w:tab/>
        <w:t>For the purposes of this section and section 333, a person who deprives another person of personal liberty —</w:t>
      </w:r>
    </w:p>
    <w:p>
      <w:pPr>
        <w:pStyle w:val="Indenta"/>
        <w:rPr>
          <w:snapToGrid w:val="0"/>
        </w:rPr>
      </w:pPr>
      <w:r>
        <w:rPr>
          <w:snapToGrid w:val="0"/>
        </w:rPr>
        <w:tab/>
        <w:t>(a)</w:t>
      </w:r>
      <w:r>
        <w:rPr>
          <w:snapToGrid w:val="0"/>
        </w:rPr>
        <w:tab/>
        <w:t>by taking the other person away or enticing the other person away; or</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spacing w:before="120"/>
        <w:rPr>
          <w:snapToGrid w:val="0"/>
        </w:rPr>
      </w:pPr>
      <w:r>
        <w:rPr>
          <w:snapToGrid w:val="0"/>
        </w:rPr>
        <w:tab/>
      </w:r>
      <w:r>
        <w:rPr>
          <w:snapToGrid w:val="0"/>
        </w:rPr>
        <w:tab/>
        <w:t>is said to detain that other person.</w:t>
      </w:r>
    </w:p>
    <w:p>
      <w:pPr>
        <w:pStyle w:val="Subsection"/>
        <w:spacing w:before="180"/>
        <w:rPr>
          <w:snapToGrid w:val="0"/>
        </w:rPr>
      </w:pPr>
      <w:r>
        <w:rPr>
          <w:snapToGrid w:val="0"/>
        </w:rPr>
        <w:tab/>
        <w:t>(2)</w:t>
      </w:r>
      <w:r>
        <w:rPr>
          <w:snapToGrid w:val="0"/>
        </w:rPr>
        <w:tab/>
        <w:t>Any person who detains another person with intent to —</w:t>
      </w:r>
    </w:p>
    <w:p>
      <w:pPr>
        <w:pStyle w:val="Indenta"/>
        <w:rPr>
          <w:snapToGrid w:val="0"/>
        </w:rPr>
      </w:pPr>
      <w:r>
        <w:rPr>
          <w:snapToGrid w:val="0"/>
        </w:rPr>
        <w:tab/>
        <w:t>(a)</w:t>
      </w:r>
      <w:r>
        <w:rPr>
          <w:snapToGrid w:val="0"/>
        </w:rPr>
        <w:tab/>
        <w:t>gain a benefit, pecuniary or otherwise, for any person; or</w:t>
      </w:r>
    </w:p>
    <w:p>
      <w:pPr>
        <w:pStyle w:val="Indenta"/>
        <w:rPr>
          <w:snapToGrid w:val="0"/>
        </w:rPr>
      </w:pPr>
      <w:r>
        <w:rPr>
          <w:snapToGrid w:val="0"/>
        </w:rPr>
        <w:tab/>
        <w:t>(b)</w:t>
      </w:r>
      <w:r>
        <w:rPr>
          <w:snapToGrid w:val="0"/>
        </w:rPr>
        <w:tab/>
        <w:t>cause a detriment, pecuniary or otherwise, to any person; or</w:t>
      </w:r>
    </w:p>
    <w:p>
      <w:pPr>
        <w:pStyle w:val="Indenta"/>
        <w:rPr>
          <w:snapToGrid w:val="0"/>
        </w:rPr>
      </w:pPr>
      <w:r>
        <w:rPr>
          <w:snapToGrid w:val="0"/>
        </w:rPr>
        <w:lastRenderedPageBreak/>
        <w:tab/>
        <w:t>(c)</w:t>
      </w:r>
      <w:r>
        <w:rPr>
          <w:snapToGrid w:val="0"/>
        </w:rPr>
        <w:tab/>
        <w:t>prevent or hinder the doing of an act by a person who is lawfully entitled to do that act; or</w:t>
      </w:r>
    </w:p>
    <w:p>
      <w:pPr>
        <w:pStyle w:val="Indenta"/>
        <w:keepNext/>
        <w:keepLines/>
        <w:rPr>
          <w:snapToGrid w:val="0"/>
        </w:rPr>
      </w:pPr>
      <w:r>
        <w:rPr>
          <w:snapToGrid w:val="0"/>
        </w:rPr>
        <w:tab/>
        <w:t>(d)</w:t>
      </w:r>
      <w:r>
        <w:rPr>
          <w:snapToGrid w:val="0"/>
        </w:rPr>
        <w:tab/>
        <w:t>compel the doing of an act by a person who is lawfully entitled to abstain from doing that act,</w:t>
      </w:r>
    </w:p>
    <w:p>
      <w:pPr>
        <w:pStyle w:val="Subsection"/>
        <w:keepNext/>
        <w:keepLines/>
        <w:spacing w:before="120"/>
        <w:rPr>
          <w:snapToGrid w:val="0"/>
        </w:rPr>
      </w:pPr>
      <w:r>
        <w:rPr>
          <w:snapToGrid w:val="0"/>
        </w:rPr>
        <w:tab/>
      </w:r>
      <w:r>
        <w:rPr>
          <w:snapToGrid w:val="0"/>
        </w:rPr>
        <w:tab/>
        <w:t>by a threat, or by a demand, or by a threat and a demand, is guilty of a crime and is liable to imprisonment for 20 years.</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rStyle w:val="CharDefText"/>
        </w:rPr>
        <w:t>threat</w:t>
      </w:r>
      <w:r>
        <w:rPr>
          <w:snapToGrid w:val="0"/>
        </w:rPr>
        <w:t xml:space="preserve"> means a threat to kill, injure, endanger or cause harm or detriment to any person.</w:t>
      </w:r>
    </w:p>
    <w:p>
      <w:pPr>
        <w:pStyle w:val="Footnotesection"/>
        <w:spacing w:before="80"/>
        <w:ind w:left="890" w:hanging="890"/>
      </w:pPr>
      <w:r>
        <w:tab/>
        <w:t>[Section 332 inserted: No. 101 of 1990 s. 14; amended: No. 70 of 2004 s. 36(3).]</w:t>
      </w:r>
    </w:p>
    <w:p>
      <w:pPr>
        <w:pStyle w:val="Heading5"/>
      </w:pPr>
      <w:bookmarkStart w:id="434" w:name="_Toc88662347"/>
      <w:r>
        <w:rPr>
          <w:rStyle w:val="CharSectno"/>
        </w:rPr>
        <w:t>333</w:t>
      </w:r>
      <w:r>
        <w:t>.</w:t>
      </w:r>
      <w:r>
        <w:tab/>
        <w:t>Deprivation of liberty</w:t>
      </w:r>
      <w:bookmarkEnd w:id="434"/>
    </w:p>
    <w:p>
      <w:pPr>
        <w:pStyle w:val="Subsection"/>
      </w:pPr>
      <w:r>
        <w:tab/>
      </w:r>
      <w:r>
        <w:tab/>
        <w:t>A person commits a crime if the person unlawfully detains another person.</w:t>
      </w:r>
    </w:p>
    <w:p>
      <w:pPr>
        <w:pStyle w:val="Penstart"/>
      </w:pPr>
      <w:r>
        <w:tab/>
        <w:t>Penalty:</w:t>
      </w:r>
    </w:p>
    <w:p>
      <w:pPr>
        <w:pStyle w:val="Penpara"/>
      </w:pPr>
      <w:r>
        <w:tab/>
        <w:t>(a)</w:t>
      </w:r>
      <w:r>
        <w:tab/>
        <w:t>if the offence is committed in circumstances of aggravation, imprisonment for 14 years; or</w:t>
      </w:r>
    </w:p>
    <w:p>
      <w:pPr>
        <w:pStyle w:val="Penpara"/>
      </w:pPr>
      <w:r>
        <w:tab/>
        <w:t>(b)</w:t>
      </w:r>
      <w:r>
        <w:tab/>
        <w:t>in any other case, imprisonment for 10 years.</w:t>
      </w:r>
    </w:p>
    <w:p>
      <w:pPr>
        <w:pStyle w:val="Footnotesection"/>
      </w:pPr>
      <w:r>
        <w:tab/>
        <w:t>[Section 333 inserted: No. 30 of 2020 s. 7.]</w:t>
      </w:r>
    </w:p>
    <w:p>
      <w:pPr>
        <w:pStyle w:val="Ednotesection"/>
        <w:spacing w:before="180"/>
      </w:pPr>
      <w:r>
        <w:t>[</w:t>
      </w:r>
      <w:r>
        <w:rPr>
          <w:b/>
        </w:rPr>
        <w:t>334, 335.</w:t>
      </w:r>
      <w:r>
        <w:tab/>
        <w:t>Deleted: No. 101 of 1990 s. 15.]</w:t>
      </w:r>
    </w:p>
    <w:p>
      <w:pPr>
        <w:pStyle w:val="Heading5"/>
        <w:spacing w:before="180"/>
      </w:pPr>
      <w:bookmarkStart w:id="435" w:name="_Toc88662348"/>
      <w:r>
        <w:rPr>
          <w:rStyle w:val="CharSectno"/>
        </w:rPr>
        <w:t>336</w:t>
      </w:r>
      <w:r>
        <w:t>.</w:t>
      </w:r>
      <w:r>
        <w:tab/>
        <w:t>Procuring apprehension or detention of person not suffering from mental illness or impairment</w:t>
      </w:r>
      <w:bookmarkEnd w:id="435"/>
    </w:p>
    <w:p>
      <w:pPr>
        <w:pStyle w:val="Subsection"/>
      </w:pPr>
      <w:r>
        <w:tab/>
      </w:r>
      <w:r>
        <w:tab/>
        <w:t xml:space="preserve">Any person who, by the production of a false certificate or other document, knowingly and wilfully, procures any person, not suffering from mental illness (as defined in the </w:t>
      </w:r>
      <w:r>
        <w:rPr>
          <w:i/>
          <w:snapToGrid w:val="0"/>
        </w:rPr>
        <w:t>Mental Health Act 2014</w:t>
      </w:r>
      <w:r>
        <w:rPr>
          <w:snapToGrid w:val="0"/>
        </w:rPr>
        <w:t xml:space="preserve"> section 4</w:t>
      </w:r>
      <w:r>
        <w:t xml:space="preserve">) or mental impairment, to be apprehended or detained, pursuant to that Act or any law relating to mental </w:t>
      </w:r>
      <w:r>
        <w:lastRenderedPageBreak/>
        <w:t xml:space="preserve">impairment, upon insufficient or unreasonable grounds, is guilty of a </w:t>
      </w:r>
      <w:r>
        <w:rPr>
          <w:snapToGrid w:val="0"/>
        </w:rPr>
        <w:t>crime</w:t>
      </w:r>
      <w:r>
        <w:t xml:space="preserve"> and is liable to imprisonment for 3 years.</w:t>
      </w:r>
    </w:p>
    <w:p>
      <w:pPr>
        <w:pStyle w:val="Footnotesection"/>
      </w:pPr>
      <w:r>
        <w:tab/>
        <w:t>[Section 336 inserted: No. 69 of 1996 s. 12; amended: No. 70 of 2004 s. 34(1); No. 25 of 2014 s. 49.]</w:t>
      </w:r>
    </w:p>
    <w:p>
      <w:pPr>
        <w:pStyle w:val="Heading5"/>
      </w:pPr>
      <w:bookmarkStart w:id="436" w:name="_Toc88662349"/>
      <w:r>
        <w:rPr>
          <w:rStyle w:val="CharSectno"/>
        </w:rPr>
        <w:t>337</w:t>
      </w:r>
      <w:r>
        <w:t>.</w:t>
      </w:r>
      <w:r>
        <w:tab/>
        <w:t>Unlawful detention or custody of person who is mentally ill or impaired</w:t>
      </w:r>
      <w:bookmarkEnd w:id="436"/>
    </w:p>
    <w:p>
      <w:pPr>
        <w:pStyle w:val="Subsection"/>
      </w:pPr>
      <w:r>
        <w:tab/>
      </w:r>
      <w:r>
        <w:tab/>
        <w:t xml:space="preserve">Any person who detains, or assumes the custody of, a person suffering from mental illness (as defined in the </w:t>
      </w:r>
      <w:r>
        <w:rPr>
          <w:i/>
          <w:snapToGrid w:val="0"/>
        </w:rPr>
        <w:t>Mental Health Act 2014</w:t>
      </w:r>
      <w:r>
        <w:rPr>
          <w:snapToGrid w:val="0"/>
        </w:rPr>
        <w:t xml:space="preserve"> section 4</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No. 69 of 1996 s. 13; amended: No. 70 of 2004 s. 34(1) and 35(1); No. 25 of 2014 s. 50.]</w:t>
      </w:r>
    </w:p>
    <w:p>
      <w:pPr>
        <w:pStyle w:val="Heading3"/>
        <w:spacing w:before="300"/>
        <w:rPr>
          <w:snapToGrid w:val="0"/>
        </w:rPr>
      </w:pPr>
      <w:bookmarkStart w:id="437" w:name="_Toc88569907"/>
      <w:bookmarkStart w:id="438" w:name="_Toc88570429"/>
      <w:bookmarkStart w:id="439" w:name="_Toc88570951"/>
      <w:bookmarkStart w:id="440" w:name="_Toc88662350"/>
      <w:r>
        <w:rPr>
          <w:rStyle w:val="CharDivNo"/>
        </w:rPr>
        <w:t>Chapter XXXIIIA</w:t>
      </w:r>
      <w:r>
        <w:rPr>
          <w:snapToGrid w:val="0"/>
        </w:rPr>
        <w:t> — </w:t>
      </w:r>
      <w:r>
        <w:rPr>
          <w:rStyle w:val="CharDivText"/>
        </w:rPr>
        <w:t>Threats</w:t>
      </w:r>
      <w:bookmarkEnd w:id="437"/>
      <w:bookmarkEnd w:id="438"/>
      <w:bookmarkEnd w:id="439"/>
      <w:bookmarkEnd w:id="440"/>
    </w:p>
    <w:p>
      <w:pPr>
        <w:pStyle w:val="Footnoteheading"/>
      </w:pPr>
      <w:r>
        <w:tab/>
        <w:t>[Heading inserted: No. 101 of 1990 s. 17.]</w:t>
      </w:r>
    </w:p>
    <w:p>
      <w:pPr>
        <w:pStyle w:val="Heading5"/>
        <w:spacing w:before="240"/>
        <w:rPr>
          <w:snapToGrid w:val="0"/>
        </w:rPr>
      </w:pPr>
      <w:bookmarkStart w:id="441" w:name="_Toc88662351"/>
      <w:r>
        <w:rPr>
          <w:rStyle w:val="CharSectno"/>
        </w:rPr>
        <w:t>338</w:t>
      </w:r>
      <w:r>
        <w:rPr>
          <w:snapToGrid w:val="0"/>
        </w:rPr>
        <w:t>.</w:t>
      </w:r>
      <w:r>
        <w:rPr>
          <w:snapToGrid w:val="0"/>
        </w:rPr>
        <w:tab/>
        <w:t xml:space="preserve">Term used: </w:t>
      </w:r>
      <w:r>
        <w:rPr>
          <w:rStyle w:val="CharDefText"/>
          <w:b/>
          <w:bCs/>
          <w:i w:val="0"/>
          <w:iCs/>
        </w:rPr>
        <w:t>threat</w:t>
      </w:r>
      <w:bookmarkEnd w:id="441"/>
    </w:p>
    <w:p>
      <w:pPr>
        <w:pStyle w:val="Subsection"/>
        <w:spacing w:before="180"/>
        <w:rPr>
          <w:snapToGrid w:val="0"/>
        </w:rPr>
      </w:pPr>
      <w:r>
        <w:rPr>
          <w:snapToGrid w:val="0"/>
        </w:rPr>
        <w:tab/>
      </w:r>
      <w:r>
        <w:rPr>
          <w:snapToGrid w:val="0"/>
        </w:rPr>
        <w:tab/>
        <w:t>In this Chapter a reference to a threat is a reference to a statement or behaviour that expressly constitutes, or may reasonably be regarded as constituting, a threat to —</w:t>
      </w:r>
    </w:p>
    <w:p>
      <w:pPr>
        <w:pStyle w:val="Indenta"/>
        <w:rPr>
          <w:snapToGrid w:val="0"/>
        </w:rPr>
      </w:pPr>
      <w:r>
        <w:rPr>
          <w:snapToGrid w:val="0"/>
        </w:rPr>
        <w:tab/>
        <w:t>(a)</w:t>
      </w:r>
      <w:r>
        <w:rPr>
          <w:snapToGrid w:val="0"/>
        </w:rPr>
        <w:tab/>
        <w:t>kill, injure, endanger or harm any person, whether a particular person or not; or</w:t>
      </w:r>
    </w:p>
    <w:p>
      <w:pPr>
        <w:pStyle w:val="Indenta"/>
        <w:rPr>
          <w:snapToGrid w:val="0"/>
        </w:rPr>
      </w:pPr>
      <w:r>
        <w:rPr>
          <w:snapToGrid w:val="0"/>
        </w:rPr>
        <w:tab/>
        <w:t>(b)</w:t>
      </w:r>
      <w:r>
        <w:rPr>
          <w:snapToGrid w:val="0"/>
        </w:rPr>
        <w:tab/>
        <w:t>destroy, damage, endanger or harm any property, whether particular property or not; or</w:t>
      </w:r>
    </w:p>
    <w:p>
      <w:pPr>
        <w:pStyle w:val="Indenta"/>
        <w:rPr>
          <w:snapToGrid w:val="0"/>
        </w:rPr>
      </w:pPr>
      <w:r>
        <w:rPr>
          <w:snapToGrid w:val="0"/>
        </w:rPr>
        <w:tab/>
        <w:t>(c)</w:t>
      </w:r>
      <w:r>
        <w:rPr>
          <w:snapToGrid w:val="0"/>
        </w:rPr>
        <w:tab/>
        <w:t>take or exercise control of a building, structure or conveyance by force or violence; or</w:t>
      </w:r>
    </w:p>
    <w:p>
      <w:pPr>
        <w:pStyle w:val="Indenta"/>
        <w:keepNext/>
        <w:rPr>
          <w:snapToGrid w:val="0"/>
        </w:rPr>
      </w:pPr>
      <w:r>
        <w:rPr>
          <w:snapToGrid w:val="0"/>
        </w:rPr>
        <w:lastRenderedPageBreak/>
        <w:tab/>
        <w:t>(d)</w:t>
      </w:r>
      <w:r>
        <w:rPr>
          <w:snapToGrid w:val="0"/>
        </w:rPr>
        <w:tab/>
        <w:t xml:space="preserve">cause a detriment of any kind to any person, whether a particular person or </w:t>
      </w:r>
      <w:r>
        <w:t>not; or</w:t>
      </w:r>
    </w:p>
    <w:p>
      <w:pPr>
        <w:pStyle w:val="Indenta"/>
      </w:pPr>
      <w:r>
        <w:tab/>
        <w:t>(e)</w:t>
      </w:r>
      <w:r>
        <w:tab/>
        <w:t>distribute an intimate image (within the meaning given to those terms in section 221BA) of any person other than the distributor.</w:t>
      </w:r>
    </w:p>
    <w:p>
      <w:pPr>
        <w:pStyle w:val="Footnotesection"/>
        <w:ind w:left="890" w:hanging="890"/>
      </w:pPr>
      <w:r>
        <w:tab/>
        <w:t>[Section 338 inserted: No. 101 of 1990 s. 17; amended: No. 4 of 2019 s. 5.]</w:t>
      </w:r>
    </w:p>
    <w:p>
      <w:pPr>
        <w:pStyle w:val="Heading5"/>
        <w:spacing w:before="260"/>
        <w:rPr>
          <w:snapToGrid w:val="0"/>
        </w:rPr>
      </w:pPr>
      <w:bookmarkStart w:id="442" w:name="_Toc88662352"/>
      <w:r>
        <w:rPr>
          <w:rStyle w:val="CharSectno"/>
        </w:rPr>
        <w:t>338A</w:t>
      </w:r>
      <w:r>
        <w:rPr>
          <w:snapToGrid w:val="0"/>
        </w:rPr>
        <w:t>.</w:t>
      </w:r>
      <w:r>
        <w:rPr>
          <w:snapToGrid w:val="0"/>
        </w:rPr>
        <w:tab/>
        <w:t>Threat with intent to gain etc.</w:t>
      </w:r>
      <w:bookmarkEnd w:id="442"/>
    </w:p>
    <w:p>
      <w:pPr>
        <w:pStyle w:val="Subsection"/>
        <w:spacing w:before="200"/>
        <w:rPr>
          <w:snapToGrid w:val="0"/>
        </w:rPr>
      </w:pPr>
      <w:r>
        <w:rPr>
          <w:snapToGrid w:val="0"/>
        </w:rPr>
        <w:tab/>
      </w:r>
      <w:r>
        <w:rPr>
          <w:snapToGrid w:val="0"/>
        </w:rPr>
        <w:tab/>
        <w:t>Any person who makes a threat with intent to —</w:t>
      </w:r>
    </w:p>
    <w:p>
      <w:pPr>
        <w:pStyle w:val="Indenta"/>
        <w:spacing w:before="100"/>
        <w:rPr>
          <w:snapToGrid w:val="0"/>
        </w:rPr>
      </w:pPr>
      <w:r>
        <w:rPr>
          <w:snapToGrid w:val="0"/>
        </w:rPr>
        <w:tab/>
        <w:t>(a)</w:t>
      </w:r>
      <w:r>
        <w:rPr>
          <w:snapToGrid w:val="0"/>
        </w:rPr>
        <w:tab/>
        <w:t>gain a benefit, pecuniary or otherwise, for any person; or</w:t>
      </w:r>
    </w:p>
    <w:p>
      <w:pPr>
        <w:pStyle w:val="Indenta"/>
        <w:spacing w:before="100"/>
        <w:rPr>
          <w:snapToGrid w:val="0"/>
        </w:rPr>
      </w:pPr>
      <w:r>
        <w:rPr>
          <w:snapToGrid w:val="0"/>
        </w:rPr>
        <w:tab/>
        <w:t>(b)</w:t>
      </w:r>
      <w:r>
        <w:rPr>
          <w:snapToGrid w:val="0"/>
        </w:rPr>
        <w:tab/>
        <w:t>cause a detriment, pecuniary or otherwise, to any person; or</w:t>
      </w:r>
    </w:p>
    <w:p>
      <w:pPr>
        <w:pStyle w:val="Indenta"/>
        <w:spacing w:before="100"/>
        <w:rPr>
          <w:snapToGrid w:val="0"/>
        </w:rPr>
      </w:pPr>
      <w:r>
        <w:rPr>
          <w:snapToGrid w:val="0"/>
        </w:rPr>
        <w:tab/>
        <w:t>(c)</w:t>
      </w:r>
      <w:r>
        <w:rPr>
          <w:snapToGrid w:val="0"/>
        </w:rPr>
        <w:tab/>
        <w:t>prevent or hinder the doing of an act by a person who is lawfully entitled to do that act; or</w:t>
      </w:r>
    </w:p>
    <w:p>
      <w:pPr>
        <w:pStyle w:val="Indenta"/>
        <w:spacing w:before="100"/>
        <w:rPr>
          <w:snapToGrid w:val="0"/>
        </w:rPr>
      </w:pPr>
      <w:r>
        <w:rPr>
          <w:snapToGrid w:val="0"/>
        </w:rPr>
        <w:tab/>
        <w:t>(d)</w:t>
      </w:r>
      <w:r>
        <w:rPr>
          <w:snapToGrid w:val="0"/>
        </w:rPr>
        <w:tab/>
        <w:t>compel the doing of an act by a person who is lawfully entitled to abstain from doing that act,</w:t>
      </w:r>
    </w:p>
    <w:p>
      <w:pPr>
        <w:pStyle w:val="Subsection"/>
        <w:spacing w:before="200"/>
        <w:rPr>
          <w:snapToGrid w:val="0"/>
        </w:rPr>
      </w:pPr>
      <w:r>
        <w:rPr>
          <w:snapToGrid w:val="0"/>
        </w:rPr>
        <w:tab/>
      </w:r>
      <w:r>
        <w:rPr>
          <w:snapToGrid w:val="0"/>
        </w:rPr>
        <w:tab/>
        <w:t>is guilty of a crime and is liable —</w:t>
      </w:r>
    </w:p>
    <w:p>
      <w:pPr>
        <w:pStyle w:val="Indenta"/>
      </w:pPr>
      <w:r>
        <w:tab/>
        <w:t>(e)</w:t>
      </w:r>
      <w:r>
        <w:tab/>
        <w:t>where the threat is to kill a person —</w:t>
      </w:r>
    </w:p>
    <w:p>
      <w:pPr>
        <w:pStyle w:val="Indenti"/>
      </w:pPr>
      <w:r>
        <w:tab/>
        <w:t>(i)</w:t>
      </w:r>
      <w:r>
        <w:tab/>
        <w:t>if the offence is committed in circumstances of aggravation, to imprisonment for 14 years; or</w:t>
      </w:r>
    </w:p>
    <w:p>
      <w:pPr>
        <w:pStyle w:val="Indenti"/>
      </w:pPr>
      <w:r>
        <w:tab/>
        <w:t>(ii)</w:t>
      </w:r>
      <w:r>
        <w:tab/>
        <w:t>in any other case, to imprisonment for 10 years;</w:t>
      </w:r>
    </w:p>
    <w:p>
      <w:pPr>
        <w:pStyle w:val="Indenta"/>
      </w:pPr>
      <w:r>
        <w:tab/>
      </w:r>
      <w:r>
        <w:tab/>
        <w:t>or</w:t>
      </w:r>
    </w:p>
    <w:p>
      <w:pPr>
        <w:pStyle w:val="Indenta"/>
      </w:pPr>
      <w:r>
        <w:tab/>
        <w:t>(f)</w:t>
      </w:r>
      <w:r>
        <w:tab/>
        <w:t>in the case of any other threat —</w:t>
      </w:r>
    </w:p>
    <w:p>
      <w:pPr>
        <w:pStyle w:val="Indenti"/>
      </w:pPr>
      <w:r>
        <w:tab/>
        <w:t>(i)</w:t>
      </w:r>
      <w:r>
        <w:tab/>
        <w:t>if the offence is committed in circumstances of aggravation, to imprisonment for 10 years; or</w:t>
      </w:r>
    </w:p>
    <w:p>
      <w:pPr>
        <w:pStyle w:val="Indenti"/>
        <w:keepNext/>
      </w:pPr>
      <w:r>
        <w:lastRenderedPageBreak/>
        <w:tab/>
        <w:t>(ii)</w:t>
      </w:r>
      <w:r>
        <w:tab/>
        <w:t>in any other case, to imprisonment for 7 years.</w:t>
      </w:r>
    </w:p>
    <w:p>
      <w:pPr>
        <w:pStyle w:val="Penstart"/>
        <w:keepNext/>
        <w:keepLines/>
        <w:spacing w:before="160"/>
        <w:rPr>
          <w:snapToGrid w:val="0"/>
        </w:rPr>
      </w:pPr>
      <w:r>
        <w:rPr>
          <w:snapToGrid w:val="0"/>
        </w:rPr>
        <w:tab/>
      </w:r>
      <w:r>
        <w:t>Alternative offence: s. 338B.</w:t>
      </w:r>
    </w:p>
    <w:p>
      <w:pPr>
        <w:pStyle w:val="Footnotesection"/>
        <w:keepNext/>
        <w:ind w:left="890" w:hanging="890"/>
      </w:pPr>
      <w:r>
        <w:tab/>
        <w:t>[Section 338A inserted: No. 101 of 1990 s. 17; amended: No. 70 of 2004 s. 36(3); No. 30 of 2020 s. 8.]</w:t>
      </w:r>
    </w:p>
    <w:p>
      <w:pPr>
        <w:pStyle w:val="Heading5"/>
        <w:spacing w:before="260"/>
        <w:rPr>
          <w:snapToGrid w:val="0"/>
        </w:rPr>
      </w:pPr>
      <w:bookmarkStart w:id="443" w:name="_Toc88662353"/>
      <w:r>
        <w:rPr>
          <w:rStyle w:val="CharSectno"/>
        </w:rPr>
        <w:t>338B</w:t>
      </w:r>
      <w:r>
        <w:rPr>
          <w:snapToGrid w:val="0"/>
        </w:rPr>
        <w:t>.</w:t>
      </w:r>
      <w:r>
        <w:rPr>
          <w:snapToGrid w:val="0"/>
        </w:rPr>
        <w:tab/>
        <w:t>Threats</w:t>
      </w:r>
      <w:bookmarkEnd w:id="443"/>
    </w:p>
    <w:p>
      <w:pPr>
        <w:pStyle w:val="Subsection"/>
        <w:spacing w:before="200"/>
        <w:rPr>
          <w:snapToGrid w:val="0"/>
        </w:rPr>
      </w:pPr>
      <w:r>
        <w:rPr>
          <w:snapToGrid w:val="0"/>
        </w:rPr>
        <w:tab/>
      </w:r>
      <w:r>
        <w:t>(1)</w:t>
      </w:r>
      <w:r>
        <w:tab/>
        <w:t>Any person</w:t>
      </w:r>
      <w:r>
        <w:rPr>
          <w:snapToGrid w:val="0"/>
        </w:rPr>
        <w:t xml:space="preserve"> who makes a threat to unlawfully do anything mentioned in section 338(a), (b), </w:t>
      </w:r>
      <w:r>
        <w:t>(c), (d) or (e)</w:t>
      </w:r>
      <w:r>
        <w:rPr>
          <w:snapToGrid w:val="0"/>
        </w:rPr>
        <w:t xml:space="preserve"> is guilty of a crime and is liable —</w:t>
      </w:r>
    </w:p>
    <w:p>
      <w:pPr>
        <w:pStyle w:val="Indenta"/>
      </w:pPr>
      <w:r>
        <w:tab/>
        <w:t>(a)</w:t>
      </w:r>
      <w:r>
        <w:tab/>
        <w:t>where the threat is to kill a person —</w:t>
      </w:r>
    </w:p>
    <w:p>
      <w:pPr>
        <w:pStyle w:val="Indenti"/>
      </w:pPr>
      <w:r>
        <w:tab/>
        <w:t>(i)</w:t>
      </w:r>
      <w:r>
        <w:tab/>
        <w:t>if the offence is committed in circumstances of racial aggravation, to imprisonment for 14 years; or</w:t>
      </w:r>
    </w:p>
    <w:p>
      <w:pPr>
        <w:pStyle w:val="Indenti"/>
      </w:pPr>
      <w:r>
        <w:tab/>
        <w:t>(ii)</w:t>
      </w:r>
      <w:r>
        <w:tab/>
        <w:t>if the offence is committed in circumstances of aggravation, to imprisonment for 10 years; or</w:t>
      </w:r>
    </w:p>
    <w:p>
      <w:pPr>
        <w:pStyle w:val="Indenti"/>
      </w:pPr>
      <w:r>
        <w:tab/>
        <w:t>(iii)</w:t>
      </w:r>
      <w:r>
        <w:tab/>
        <w:t>in any other case, to imprisonment for 7 years;</w:t>
      </w:r>
    </w:p>
    <w:p>
      <w:pPr>
        <w:pStyle w:val="Indenta"/>
      </w:pPr>
      <w:r>
        <w:tab/>
      </w:r>
      <w:r>
        <w:tab/>
        <w:t>or</w:t>
      </w:r>
    </w:p>
    <w:p>
      <w:pPr>
        <w:pStyle w:val="Indenta"/>
      </w:pPr>
      <w:r>
        <w:tab/>
        <w:t>(b)</w:t>
      </w:r>
      <w:r>
        <w:tab/>
        <w:t>in the case of any other threat —</w:t>
      </w:r>
    </w:p>
    <w:p>
      <w:pPr>
        <w:pStyle w:val="Indenti"/>
      </w:pPr>
      <w:r>
        <w:tab/>
        <w:t>(i)</w:t>
      </w:r>
      <w:r>
        <w:tab/>
        <w:t>if the offence is committed in circumstances of racial aggravation, to imprisonment for 6 years; or</w:t>
      </w:r>
    </w:p>
    <w:p>
      <w:pPr>
        <w:pStyle w:val="Indenti"/>
      </w:pPr>
      <w:r>
        <w:tab/>
        <w:t>(ii)</w:t>
      </w:r>
      <w:r>
        <w:tab/>
        <w:t>if the offence is committed in circumstances of aggravation, to imprisonment for 5 years; or</w:t>
      </w:r>
    </w:p>
    <w:p>
      <w:pPr>
        <w:pStyle w:val="Indenti"/>
      </w:pPr>
      <w:r>
        <w:tab/>
        <w:t>(iii)</w:t>
      </w:r>
      <w:r>
        <w:tab/>
        <w:t>in any other case, to imprisonment for 3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18 months and a fine of $18 000.</w:t>
      </w:r>
    </w:p>
    <w:p>
      <w:pPr>
        <w:pStyle w:val="Subsection"/>
        <w:keepNext/>
      </w:pPr>
      <w:r>
        <w:tab/>
        <w:t>(2)</w:t>
      </w:r>
      <w:r>
        <w:tab/>
        <w:t xml:space="preserve">For the period of 27 months beginning on the day on which the </w:t>
      </w:r>
      <w:r>
        <w:rPr>
          <w:i/>
        </w:rPr>
        <w:t>Criminal Code Amendment (COVID</w:t>
      </w:r>
      <w:r>
        <w:rPr>
          <w:i/>
        </w:rPr>
        <w:noBreakHyphen/>
        <w:t>19 Response) Act 2020</w:t>
      </w:r>
      <w:r>
        <w:t xml:space="preserve"> </w:t>
      </w:r>
      <w:r>
        <w:lastRenderedPageBreak/>
        <w:t xml:space="preserve">section 5(2) comes into operation, subsection (1) applies as if amended as follows — </w:t>
      </w:r>
    </w:p>
    <w:p>
      <w:pPr>
        <w:pStyle w:val="Indenta"/>
        <w:keepNext/>
      </w:pPr>
      <w:r>
        <w:tab/>
        <w:t>(a)</w:t>
      </w:r>
      <w:r>
        <w:tab/>
        <w:t>after paragraph (a) insert:</w:t>
      </w:r>
    </w:p>
    <w:p>
      <w:pPr>
        <w:pStyle w:val="BlankOpen"/>
      </w:pPr>
    </w:p>
    <w:p>
      <w:pPr>
        <w:pStyle w:val="Indenta"/>
      </w:pPr>
      <w:r>
        <w:tab/>
        <w:t>(aa)</w:t>
      </w:r>
      <w:r>
        <w:tab/>
        <w:t>where the threat is to injure, endanger or harm a person referred to in section 318(1)(d) to (k) by exposing the person to COVID</w:t>
      </w:r>
      <w:r>
        <w:noBreakHyphen/>
        <w:t>19, to imprisonment for 7 years;</w:t>
      </w:r>
    </w:p>
    <w:p>
      <w:pPr>
        <w:pStyle w:val="BlankClose"/>
      </w:pPr>
    </w:p>
    <w:p>
      <w:pPr>
        <w:pStyle w:val="Indenta"/>
      </w:pPr>
      <w:r>
        <w:tab/>
        <w:t>(b)</w:t>
      </w:r>
      <w:r>
        <w:tab/>
        <w:t>in the Summary conviction penalty paragraph (a) after “paragraph (a)” insert:</w:t>
      </w:r>
    </w:p>
    <w:p>
      <w:pPr>
        <w:pStyle w:val="BlankOpen"/>
      </w:pPr>
    </w:p>
    <w:p>
      <w:pPr>
        <w:pStyle w:val="Indenta"/>
      </w:pPr>
      <w:r>
        <w:tab/>
      </w:r>
      <w:r>
        <w:tab/>
        <w:t>or (aa)</w:t>
      </w:r>
    </w:p>
    <w:p>
      <w:pPr>
        <w:pStyle w:val="BlankClose"/>
      </w:pPr>
    </w:p>
    <w:p>
      <w:pPr>
        <w:pStyle w:val="Footnotesection"/>
        <w:ind w:left="890" w:hanging="890"/>
      </w:pPr>
      <w:r>
        <w:tab/>
        <w:t>[Section 338B inserted: No. 101 of 1990 s. 17; amended: No. 70 of 2004 s. 35(5); No. 80 of 2004 s. 10; No. 28 of 2018 s. 7; No. 4 of 2019 s. 6; No. 8 of 2020 s. 5(1) and (2); No. 30 of 2020 s. 9; No. 39 of 2020 s. 5; No. 1 of 2021 s. 5; No. 21 of 2021 s. 5.]</w:t>
      </w:r>
    </w:p>
    <w:p>
      <w:pPr>
        <w:pStyle w:val="Heading5"/>
        <w:rPr>
          <w:snapToGrid w:val="0"/>
        </w:rPr>
      </w:pPr>
      <w:bookmarkStart w:id="444" w:name="_Toc88662354"/>
      <w:r>
        <w:rPr>
          <w:rStyle w:val="CharSectno"/>
        </w:rPr>
        <w:t>338C</w:t>
      </w:r>
      <w:r>
        <w:t>.</w:t>
      </w:r>
      <w:r>
        <w:tab/>
      </w:r>
      <w:r>
        <w:rPr>
          <w:snapToGrid w:val="0"/>
        </w:rPr>
        <w:t>Statement or act creating false apprehension as to existence of threat or danger</w:t>
      </w:r>
      <w:bookmarkEnd w:id="444"/>
    </w:p>
    <w:p>
      <w:pPr>
        <w:pStyle w:val="Subsection"/>
        <w:rPr>
          <w:snapToGrid w:val="0"/>
        </w:rPr>
      </w:pPr>
      <w:r>
        <w:tab/>
        <w:t>(1)</w:t>
      </w:r>
      <w:r>
        <w:tab/>
      </w:r>
      <w:r>
        <w:rPr>
          <w:snapToGrid w:val="0"/>
        </w:rPr>
        <w:t>Any person who makes a statement or conveys information which that person knows to be false and which expressly indicates, or may reasonably be construed as indicating —</w:t>
      </w:r>
    </w:p>
    <w:p>
      <w:pPr>
        <w:pStyle w:val="Indenta"/>
        <w:rPr>
          <w:snapToGrid w:val="0"/>
        </w:rPr>
      </w:pPr>
      <w:r>
        <w:rPr>
          <w:snapToGrid w:val="0"/>
        </w:rPr>
        <w:tab/>
        <w:t>(a)</w:t>
      </w:r>
      <w:r>
        <w:rPr>
          <w:snapToGrid w:val="0"/>
        </w:rPr>
        <w:tab/>
        <w:t xml:space="preserve">that a threat to unlawfully do anything mentioned in section 338(a), (b), </w:t>
      </w:r>
      <w:r>
        <w:t>(c), (d) or (e)</w:t>
      </w:r>
      <w:r>
        <w:rPr>
          <w:snapToGrid w:val="0"/>
        </w:rPr>
        <w:t xml:space="preserve"> has been made; or</w:t>
      </w:r>
    </w:p>
    <w:p>
      <w:pPr>
        <w:pStyle w:val="Indenta"/>
        <w:rPr>
          <w:snapToGrid w:val="0"/>
        </w:rPr>
      </w:pPr>
      <w:r>
        <w:rPr>
          <w:snapToGrid w:val="0"/>
        </w:rPr>
        <w:tab/>
        <w:t>(b)</w:t>
      </w:r>
      <w:r>
        <w:rPr>
          <w:snapToGrid w:val="0"/>
        </w:rPr>
        <w:tab/>
        <w:t xml:space="preserve">that there has been, is, or is to be an intention, proposal, plan or conspiracy to unlawfully do anything mentioned in section 338(a), (b), </w:t>
      </w:r>
      <w:r>
        <w:t>(c), (d) or (e),</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Any person who —</w:t>
      </w:r>
    </w:p>
    <w:p>
      <w:pPr>
        <w:pStyle w:val="Indenta"/>
        <w:rPr>
          <w:snapToGrid w:val="0"/>
        </w:rPr>
      </w:pPr>
      <w:r>
        <w:rPr>
          <w:snapToGrid w:val="0"/>
        </w:rPr>
        <w:tab/>
        <w:t>(a)</w:t>
      </w:r>
      <w:r>
        <w:rPr>
          <w:snapToGrid w:val="0"/>
        </w:rPr>
        <w:tab/>
        <w:t xml:space="preserve">does any act with the intention of creating a belief, suspicion or fear that anything mentioned in </w:t>
      </w:r>
      <w:r>
        <w:rPr>
          <w:snapToGrid w:val="0"/>
        </w:rPr>
        <w:lastRenderedPageBreak/>
        <w:t xml:space="preserve">section 338(a), (b), </w:t>
      </w:r>
      <w:r>
        <w:t>(c), (d) or (e)</w:t>
      </w:r>
      <w:r>
        <w:rPr>
          <w:snapToGrid w:val="0"/>
        </w:rPr>
        <w:t xml:space="preserve">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A person who commits a crime under this section is liable to —</w:t>
      </w:r>
    </w:p>
    <w:p>
      <w:pPr>
        <w:pStyle w:val="Indenta"/>
        <w:rPr>
          <w:snapToGrid w:val="0"/>
        </w:rPr>
      </w:pPr>
      <w:r>
        <w:rPr>
          <w:snapToGrid w:val="0"/>
        </w:rPr>
        <w:tab/>
        <w:t>(a)</w:t>
      </w:r>
      <w:r>
        <w:rPr>
          <w:snapToGrid w:val="0"/>
        </w:rPr>
        <w:tab/>
        <w:t xml:space="preserve">imprisonment for 10 years </w:t>
      </w:r>
      <w:r>
        <w:t xml:space="preserve">or, if the offence is committed in circumstances of aggravation, imprisonment for 14 years, </w:t>
      </w:r>
      <w:r>
        <w:rPr>
          <w:snapToGrid w:val="0"/>
        </w:rPr>
        <w:t>if the —</w:t>
      </w:r>
    </w:p>
    <w:p>
      <w:pPr>
        <w:pStyle w:val="Indenti"/>
        <w:rPr>
          <w:snapToGrid w:val="0"/>
        </w:rPr>
      </w:pPr>
      <w:r>
        <w:rPr>
          <w:snapToGrid w:val="0"/>
        </w:rPr>
        <w:tab/>
        <w:t>(i)</w:t>
      </w:r>
      <w:r>
        <w:rPr>
          <w:snapToGrid w:val="0"/>
        </w:rPr>
        <w:tab/>
        <w:t>threat referred to in subsection (1)(a); or</w:t>
      </w:r>
    </w:p>
    <w:p>
      <w:pPr>
        <w:pStyle w:val="Indenti"/>
        <w:spacing w:before="100"/>
        <w:rPr>
          <w:snapToGrid w:val="0"/>
        </w:rPr>
      </w:pPr>
      <w:r>
        <w:rPr>
          <w:snapToGrid w:val="0"/>
        </w:rPr>
        <w:tab/>
        <w:t>(ii)</w:t>
      </w:r>
      <w:r>
        <w:rPr>
          <w:snapToGrid w:val="0"/>
        </w:rPr>
        <w:tab/>
        <w:t>intention, proposal, plan or conspiracy referred to in subsection (1)(b); or</w:t>
      </w:r>
    </w:p>
    <w:p>
      <w:pPr>
        <w:pStyle w:val="Indenti"/>
        <w:spacing w:before="100"/>
        <w:rPr>
          <w:snapToGrid w:val="0"/>
        </w:rPr>
      </w:pPr>
      <w:r>
        <w:rPr>
          <w:snapToGrid w:val="0"/>
        </w:rPr>
        <w:tab/>
        <w:t>(iii)</w:t>
      </w:r>
      <w:r>
        <w:rPr>
          <w:snapToGrid w:val="0"/>
        </w:rPr>
        <w:tab/>
        <w:t>belief, suspicion or fear referred to in subsection (2)(a),</w:t>
      </w:r>
    </w:p>
    <w:p>
      <w:pPr>
        <w:pStyle w:val="Indenta"/>
        <w:spacing w:before="100"/>
        <w:rPr>
          <w:snapToGrid w:val="0"/>
        </w:rPr>
      </w:pPr>
      <w:r>
        <w:rPr>
          <w:snapToGrid w:val="0"/>
        </w:rPr>
        <w:tab/>
      </w:r>
      <w:r>
        <w:rPr>
          <w:snapToGrid w:val="0"/>
        </w:rPr>
        <w:tab/>
        <w:t>relates to something mentioned in section 338(a), (b) or (c); or</w:t>
      </w:r>
    </w:p>
    <w:p>
      <w:pPr>
        <w:pStyle w:val="Indenta"/>
        <w:keepNext/>
        <w:keepLines/>
        <w:spacing w:before="100"/>
        <w:rPr>
          <w:snapToGrid w:val="0"/>
        </w:rPr>
      </w:pPr>
      <w:r>
        <w:rPr>
          <w:snapToGrid w:val="0"/>
        </w:rPr>
        <w:tab/>
        <w:t>(b)</w:t>
      </w:r>
      <w:r>
        <w:rPr>
          <w:snapToGrid w:val="0"/>
        </w:rPr>
        <w:tab/>
        <w:t>imprisonment for 3 years</w:t>
      </w:r>
      <w:r>
        <w:t xml:space="preserve"> or, if the offence is committed in circumstances of aggravation, imprisonment for 5 years, </w:t>
      </w:r>
      <w:r>
        <w:rPr>
          <w:snapToGrid w:val="0"/>
        </w:rPr>
        <w:t>in any other case.</w:t>
      </w:r>
    </w:p>
    <w:p>
      <w:pPr>
        <w:pStyle w:val="Penstart"/>
        <w:keepNext/>
        <w:keepLines/>
        <w:spacing w:before="100"/>
      </w:pPr>
      <w:r>
        <w:tab/>
        <w:t>Summary conviction penalty for this subsection:</w:t>
      </w:r>
    </w:p>
    <w:p>
      <w:pPr>
        <w:pStyle w:val="Penpara"/>
        <w:spacing w:before="100"/>
      </w:pPr>
      <w:r>
        <w:tab/>
        <w:t>(a)</w:t>
      </w:r>
      <w:r>
        <w:tab/>
        <w:t>in a case to which subsection (3)(a) applies: imprisonment for 3 years and a fine of $36 000; or</w:t>
      </w:r>
    </w:p>
    <w:p>
      <w:pPr>
        <w:pStyle w:val="Penpara"/>
      </w:pPr>
      <w:r>
        <w:tab/>
        <w:t>(b)</w:t>
      </w:r>
      <w:r>
        <w:tab/>
        <w:t>in a case to which subsection (3)(b) applies —</w:t>
      </w:r>
    </w:p>
    <w:p>
      <w:pPr>
        <w:pStyle w:val="Pensubpara"/>
      </w:pPr>
      <w:r>
        <w:tab/>
        <w:t>(i)</w:t>
      </w:r>
      <w:r>
        <w:tab/>
        <w:t>if the offence is committed in circumstances of aggravation, imprisonment for 2 years and a fine of $24 000; or</w:t>
      </w:r>
    </w:p>
    <w:p>
      <w:pPr>
        <w:pStyle w:val="Pensubpara"/>
      </w:pPr>
      <w:r>
        <w:tab/>
        <w:t>(ii)</w:t>
      </w:r>
      <w:r>
        <w:tab/>
        <w:t>in any other case, imprisonment for 18 months and a fine of $18 000.</w:t>
      </w:r>
    </w:p>
    <w:p>
      <w:pPr>
        <w:pStyle w:val="Subsection"/>
        <w:rPr>
          <w:snapToGrid w:val="0"/>
        </w:rPr>
      </w:pPr>
      <w:r>
        <w:rPr>
          <w:snapToGrid w:val="0"/>
        </w:rPr>
        <w:tab/>
        <w:t>(4)</w:t>
      </w:r>
      <w:r>
        <w:rPr>
          <w:snapToGrid w:val="0"/>
        </w:rPr>
        <w:tab/>
        <w:t xml:space="preserve">A court convicting a person of a crime under this section may, in addition to, or without, imposing any penalty, order that person to pay the amount of any wages attributable to, or </w:t>
      </w:r>
      <w:r>
        <w:rPr>
          <w:snapToGrid w:val="0"/>
        </w:rPr>
        <w:lastRenderedPageBreak/>
        <w:t>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An order made under subsection (4) —</w:t>
      </w:r>
    </w:p>
    <w:p>
      <w:pPr>
        <w:pStyle w:val="Indenta"/>
        <w:spacing w:before="100"/>
        <w:rPr>
          <w:snapToGrid w:val="0"/>
        </w:rPr>
      </w:pPr>
      <w:r>
        <w:rPr>
          <w:snapToGrid w:val="0"/>
        </w:rPr>
        <w:tab/>
        <w:t>(a)</w:t>
      </w:r>
      <w:r>
        <w:rPr>
          <w:snapToGrid w:val="0"/>
        </w:rPr>
        <w:tab/>
        <w:t>must specify to whom and in what manner the amount is to be paid; and</w:t>
      </w:r>
    </w:p>
    <w:p>
      <w:pPr>
        <w:pStyle w:val="Indenta"/>
        <w:spacing w:before="100"/>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No. 34 of 2001 s. 3; amended: No. 70 of 2004 s. 35(6); No. 2 of 2008 s. 11; No. 4 of 2019 s. 7; No. 30 of 2020 s. 10.]</w:t>
      </w:r>
    </w:p>
    <w:p>
      <w:pPr>
        <w:pStyle w:val="Heading3"/>
        <w:keepLines/>
        <w:spacing w:before="300"/>
      </w:pPr>
      <w:bookmarkStart w:id="445" w:name="_Toc88569912"/>
      <w:bookmarkStart w:id="446" w:name="_Toc88570434"/>
      <w:bookmarkStart w:id="447" w:name="_Toc88570956"/>
      <w:bookmarkStart w:id="448" w:name="_Toc88662355"/>
      <w:r>
        <w:rPr>
          <w:rStyle w:val="CharDivNo"/>
        </w:rPr>
        <w:t>Chapter XXXIIIB</w:t>
      </w:r>
      <w:r>
        <w:t> — </w:t>
      </w:r>
      <w:r>
        <w:rPr>
          <w:rStyle w:val="CharDivText"/>
        </w:rPr>
        <w:t>Stalking</w:t>
      </w:r>
      <w:bookmarkEnd w:id="445"/>
      <w:bookmarkEnd w:id="446"/>
      <w:bookmarkEnd w:id="447"/>
      <w:bookmarkEnd w:id="448"/>
    </w:p>
    <w:p>
      <w:pPr>
        <w:pStyle w:val="Footnoteheading"/>
        <w:keepNext/>
        <w:keepLines/>
      </w:pPr>
      <w:r>
        <w:tab/>
        <w:t>[Heading inserted: No. 38 of 1998 s. 4.]</w:t>
      </w:r>
    </w:p>
    <w:p>
      <w:pPr>
        <w:pStyle w:val="Heading5"/>
      </w:pPr>
      <w:bookmarkStart w:id="449" w:name="_Toc88662356"/>
      <w:r>
        <w:rPr>
          <w:rStyle w:val="CharSectno"/>
        </w:rPr>
        <w:t>338D</w:t>
      </w:r>
      <w:r>
        <w:t>.</w:t>
      </w:r>
      <w:r>
        <w:tab/>
        <w:t>Terms used</w:t>
      </w:r>
      <w:bookmarkEnd w:id="449"/>
    </w:p>
    <w:p>
      <w:pPr>
        <w:pStyle w:val="Subsection"/>
        <w:keepNext/>
        <w:keepLines/>
      </w:pPr>
      <w:r>
        <w:tab/>
        <w:t>(1)</w:t>
      </w:r>
      <w:r>
        <w:tab/>
        <w:t>In this Chapter —</w:t>
      </w:r>
    </w:p>
    <w:p>
      <w:pPr>
        <w:pStyle w:val="Defstart"/>
        <w:keepNext/>
        <w:keepLines/>
      </w:pPr>
      <w:r>
        <w:tab/>
      </w:r>
      <w:r>
        <w:rPr>
          <w:rStyle w:val="CharDefText"/>
        </w:rPr>
        <w:t>circumstances of aggravation</w:t>
      </w:r>
      <w:r>
        <w:t>, without limiting the definition of that expression in section 221, includes circumstances in which —</w:t>
      </w:r>
    </w:p>
    <w:p>
      <w:pPr>
        <w:pStyle w:val="Defpara"/>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rStyle w:val="CharDefText"/>
        </w:rPr>
        <w:t>intimidate</w:t>
      </w:r>
      <w:r>
        <w:t>, in relation to a person, includes —</w:t>
      </w:r>
    </w:p>
    <w:p>
      <w:pPr>
        <w:pStyle w:val="Defpara"/>
      </w:pPr>
      <w:r>
        <w:tab/>
        <w:t>(a)</w:t>
      </w:r>
      <w:r>
        <w:tab/>
        <w:t>to cause physical or mental harm to the person;</w:t>
      </w:r>
    </w:p>
    <w:p>
      <w:pPr>
        <w:pStyle w:val="Defpara"/>
      </w:pPr>
      <w:r>
        <w:tab/>
        <w:t>(b)</w:t>
      </w:r>
      <w:r>
        <w:tab/>
        <w:t>to cause apprehension or fear in the person;</w:t>
      </w:r>
    </w:p>
    <w:p>
      <w:pPr>
        <w:pStyle w:val="Defpara"/>
      </w:pPr>
      <w:r>
        <w:lastRenderedPageBreak/>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rStyle w:val="CharDefText"/>
        </w:rPr>
        <w:t>pursue</w:t>
      </w:r>
      <w:r>
        <w:t>, in relation to a person, includes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spacing w:before="60"/>
      </w:pPr>
      <w:r>
        <w:tab/>
        <w:t>(e)</w:t>
      </w:r>
      <w:r>
        <w:tab/>
        <w:t>whether or not repeatedly, to do any of the foregoing in breach of a restraining order or bail condition.</w:t>
      </w:r>
    </w:p>
    <w:p>
      <w:pPr>
        <w:pStyle w:val="Subsection"/>
      </w:pPr>
      <w:r>
        <w:tab/>
        <w:t>(2)</w:t>
      </w:r>
      <w:r>
        <w:tab/>
        <w:t>For the purpose of deciding whether an accused person has pursued another person —</w:t>
      </w:r>
    </w:p>
    <w:p>
      <w:pPr>
        <w:pStyle w:val="Defpar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ind w:left="890" w:hanging="890"/>
      </w:pPr>
      <w:r>
        <w:tab/>
        <w:t>[Section 338D inserted: No. 38 of 1998 s. 4(1); amended: No. 38 of 2004 s. 71.]</w:t>
      </w:r>
    </w:p>
    <w:p>
      <w:pPr>
        <w:pStyle w:val="Heading5"/>
        <w:spacing w:before="240"/>
      </w:pPr>
      <w:bookmarkStart w:id="450" w:name="_Toc88662357"/>
      <w:r>
        <w:rPr>
          <w:rStyle w:val="CharSectno"/>
        </w:rPr>
        <w:lastRenderedPageBreak/>
        <w:t>338E</w:t>
      </w:r>
      <w:r>
        <w:t>.</w:t>
      </w:r>
      <w:r>
        <w:tab/>
        <w:t>Stalking</w:t>
      </w:r>
      <w:bookmarkEnd w:id="450"/>
    </w:p>
    <w:p>
      <w:pPr>
        <w:pStyle w:val="Subsection"/>
        <w:keepNext/>
      </w:pPr>
      <w:r>
        <w:tab/>
        <w:t>(1)</w:t>
      </w:r>
      <w:r>
        <w:tab/>
        <w:t>A person who pursues another person with intent to intimidate that person or a third person, is guilty of a crime and is liable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(a)</w:t>
      </w:r>
      <w:r>
        <w:tab/>
        <w:t>in a case to which subsection (1)(a) applies: imprisonment for 2 years and a fine of $24 000;</w:t>
      </w:r>
    </w:p>
    <w:p>
      <w:pPr>
        <w:pStyle w:val="Penpara"/>
      </w:pPr>
      <w:r>
        <w:tab/>
        <w:t>(b)</w:t>
      </w:r>
      <w:r>
        <w:tab/>
        <w:t>in a case to which subsection (1)(b) applies: imprisonment for 18 months and a fine of $18 000.</w:t>
      </w:r>
    </w:p>
    <w:p>
      <w:pPr>
        <w:pStyle w:val="Subsection"/>
        <w:keepLines/>
      </w:pPr>
      <w:r>
        <w:tab/>
        <w:t>(2)</w:t>
      </w:r>
      <w:r>
        <w:tab/>
        <w:t>A person who pursues another person in a manner that could reasonably be expected to intimidate, and that does in fact intimidate, that person or a third person is guilty of a simple offence.</w:t>
      </w:r>
    </w:p>
    <w:p>
      <w:pPr>
        <w:pStyle w:val="Penstart"/>
        <w:spacing w:before="100"/>
      </w:pPr>
      <w:r>
        <w:tab/>
        <w:t>Penalty: imprisonment for 12 months and a fine of $12 000.</w:t>
      </w:r>
    </w:p>
    <w:p>
      <w:pPr>
        <w:pStyle w:val="Subsection"/>
        <w:keepNext/>
        <w:keepLines/>
      </w:pPr>
      <w:r>
        <w:tab/>
        <w:t>(3)</w:t>
      </w:r>
      <w:r>
        <w:tab/>
        <w:t>It is a defence to a charge under this section to prove that the accused person acted with lawful authority.</w:t>
      </w:r>
    </w:p>
    <w:p>
      <w:pPr>
        <w:pStyle w:val="Footnotesection"/>
        <w:spacing w:before="140"/>
        <w:ind w:left="890" w:hanging="890"/>
      </w:pPr>
      <w:r>
        <w:tab/>
        <w:t>[Section 338E inserted: No. 38 of 1998 s. 4(1); amended: No. 70 of 2004 s. 35(7), 35(8) and 36(3); No. 2 of 2008 s. 12.]</w:t>
      </w:r>
    </w:p>
    <w:p>
      <w:pPr>
        <w:pStyle w:val="Heading3"/>
        <w:keepLines/>
        <w:spacing w:before="280"/>
        <w:rPr>
          <w:snapToGrid w:val="0"/>
        </w:rPr>
      </w:pPr>
      <w:bookmarkStart w:id="451" w:name="_Toc88569915"/>
      <w:bookmarkStart w:id="452" w:name="_Toc88570437"/>
      <w:bookmarkStart w:id="453" w:name="_Toc88570959"/>
      <w:bookmarkStart w:id="454" w:name="_Toc88662358"/>
      <w:r>
        <w:rPr>
          <w:rStyle w:val="CharDivNo"/>
        </w:rPr>
        <w:t>Chapter XXXIV</w:t>
      </w:r>
      <w:r>
        <w:t> — </w:t>
      </w:r>
      <w:r>
        <w:rPr>
          <w:rStyle w:val="CharDivText"/>
        </w:rPr>
        <w:t>Offences relating to parental rights and duties</w:t>
      </w:r>
      <w:bookmarkEnd w:id="451"/>
      <w:bookmarkEnd w:id="452"/>
      <w:bookmarkEnd w:id="453"/>
      <w:bookmarkEnd w:id="454"/>
    </w:p>
    <w:p>
      <w:pPr>
        <w:pStyle w:val="Footnoteheading"/>
        <w:keepNext/>
        <w:keepLines/>
        <w:spacing w:before="100"/>
      </w:pPr>
      <w:r>
        <w:tab/>
        <w:t>[Heading amended: No. 70 of 2004 s. 24(2).]</w:t>
      </w:r>
    </w:p>
    <w:p>
      <w:pPr>
        <w:pStyle w:val="Ednotesection"/>
        <w:keepLines/>
        <w:ind w:left="890" w:hanging="890"/>
      </w:pPr>
      <w:r>
        <w:t>[</w:t>
      </w:r>
      <w:r>
        <w:rPr>
          <w:b/>
          <w:bCs/>
        </w:rPr>
        <w:t>339</w:t>
      </w:r>
      <w:r>
        <w:rPr>
          <w:b/>
          <w:bCs/>
        </w:rPr>
        <w:noBreakHyphen/>
        <w:t>342.</w:t>
      </w:r>
      <w:r>
        <w:tab/>
        <w:t>Deleted: No. 70 of 2004 s. 24(1).]</w:t>
      </w:r>
    </w:p>
    <w:p>
      <w:pPr>
        <w:pStyle w:val="Heading5"/>
        <w:spacing w:before="260"/>
        <w:rPr>
          <w:snapToGrid w:val="0"/>
        </w:rPr>
      </w:pPr>
      <w:bookmarkStart w:id="455" w:name="_Toc88662359"/>
      <w:r>
        <w:rPr>
          <w:rStyle w:val="CharSectno"/>
        </w:rPr>
        <w:lastRenderedPageBreak/>
        <w:t>343</w:t>
      </w:r>
      <w:r>
        <w:rPr>
          <w:snapToGrid w:val="0"/>
        </w:rPr>
        <w:t>.</w:t>
      </w:r>
      <w:r>
        <w:rPr>
          <w:snapToGrid w:val="0"/>
        </w:rPr>
        <w:tab/>
        <w:t>Child stealing</w:t>
      </w:r>
      <w:bookmarkEnd w:id="455"/>
    </w:p>
    <w:p>
      <w:pPr>
        <w:pStyle w:val="Subsection"/>
        <w:keepLines/>
        <w:rPr>
          <w:snapToGrid w:val="0"/>
        </w:rPr>
      </w:pPr>
      <w:r>
        <w:rPr>
          <w:snapToGrid w:val="0"/>
        </w:rPr>
        <w:tab/>
      </w:r>
      <w:r>
        <w:rPr>
          <w:snapToGrid w:val="0"/>
        </w:rPr>
        <w:tab/>
        <w:t>Any person who, with intent to deprive any parent, guardian, or other person who has the lawful care or charge of a child under the age of 16 years, of the possession of such child, or with intent to steal any article upon or about the person of any such child —</w:t>
      </w:r>
    </w:p>
    <w:p>
      <w:pPr>
        <w:pStyle w:val="Indenta"/>
        <w:spacing w:before="100"/>
        <w:rPr>
          <w:snapToGrid w:val="0"/>
        </w:rPr>
      </w:pPr>
      <w:r>
        <w:rPr>
          <w:snapToGrid w:val="0"/>
        </w:rPr>
        <w:tab/>
        <w:t>(1)</w:t>
      </w:r>
      <w:r>
        <w:rPr>
          <w:snapToGrid w:val="0"/>
        </w:rPr>
        <w:tab/>
        <w:t>Forcibly or fraudulently takes or entices away, or detains the child; or</w:t>
      </w:r>
    </w:p>
    <w:p>
      <w:pPr>
        <w:pStyle w:val="Indenta"/>
        <w:keepNext/>
        <w:spacing w:before="100"/>
        <w:rPr>
          <w:snapToGrid w:val="0"/>
        </w:rPr>
      </w:pPr>
      <w:r>
        <w:rPr>
          <w:snapToGrid w:val="0"/>
        </w:rPr>
        <w:tab/>
        <w:t>(2)</w:t>
      </w:r>
      <w:r>
        <w:rPr>
          <w:snapToGrid w:val="0"/>
        </w:rPr>
        <w:tab/>
        <w:t>Receives or harbours the child, knowing it to have been so taken or enticed away or detained;</w:t>
      </w:r>
    </w:p>
    <w:p>
      <w:pPr>
        <w:pStyle w:val="Subsection"/>
        <w:rPr>
          <w:snapToGrid w:val="0"/>
        </w:rPr>
      </w:pPr>
      <w:r>
        <w:rPr>
          <w:snapToGrid w:val="0"/>
        </w:rPr>
        <w:tab/>
      </w:r>
      <w:r>
        <w:rPr>
          <w:snapToGrid w:val="0"/>
        </w:rPr>
        <w:tab/>
        <w:t>is guilty of a crime, and is liable to imprisonment for 20 years.</w:t>
      </w:r>
    </w:p>
    <w:p>
      <w:pPr>
        <w:pStyle w:val="Penstart"/>
        <w:spacing w:before="100"/>
      </w:pPr>
      <w:r>
        <w:tab/>
        <w:t>Alternative offence for a charge of an offence under paragraph (1): an offence under paragraph (2).</w:t>
      </w:r>
    </w:p>
    <w:p>
      <w:pPr>
        <w:pStyle w:val="Subsection"/>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spacing w:before="80"/>
        <w:ind w:left="890" w:hanging="890"/>
      </w:pPr>
      <w:r>
        <w:tab/>
        <w:t>[Section 343 amended: No. 25 of 1960 s. 3; No. 118 of 1981 s. 4; No. 51 of 1992 s. 16(2); No. 3 of 2002 s. 43; No. 70 of 2004 s. 36(7).]</w:t>
      </w:r>
    </w:p>
    <w:p>
      <w:pPr>
        <w:pStyle w:val="Heading5"/>
        <w:spacing w:before="180"/>
        <w:rPr>
          <w:snapToGrid w:val="0"/>
        </w:rPr>
      </w:pPr>
      <w:bookmarkStart w:id="456" w:name="_Toc88662360"/>
      <w:r>
        <w:rPr>
          <w:rStyle w:val="CharSectno"/>
        </w:rPr>
        <w:t>343A</w:t>
      </w:r>
      <w:r>
        <w:rPr>
          <w:snapToGrid w:val="0"/>
        </w:rPr>
        <w:t>.</w:t>
      </w:r>
      <w:r>
        <w:rPr>
          <w:snapToGrid w:val="0"/>
        </w:rPr>
        <w:tab/>
        <w:t>Publication of report of child</w:t>
      </w:r>
      <w:r>
        <w:rPr>
          <w:snapToGrid w:val="0"/>
        </w:rPr>
        <w:noBreakHyphen/>
        <w:t>stealing unlawful unless approved</w:t>
      </w:r>
      <w:bookmarkEnd w:id="456"/>
    </w:p>
    <w:p>
      <w:pPr>
        <w:pStyle w:val="Subsection"/>
        <w:spacing w:before="120"/>
        <w:rPr>
          <w:snapToGrid w:val="0"/>
        </w:rPr>
      </w:pPr>
      <w:r>
        <w:rPr>
          <w:snapToGrid w:val="0"/>
        </w:rPr>
        <w:tab/>
        <w:t>(1)</w:t>
      </w:r>
      <w:r>
        <w:rPr>
          <w:snapToGrid w:val="0"/>
        </w:rPr>
        <w:tab/>
        <w:t>Any person who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keepNext/>
        <w:spacing w:before="60"/>
        <w:rPr>
          <w:snapToGrid w:val="0"/>
        </w:rPr>
      </w:pPr>
      <w:r>
        <w:rPr>
          <w:snapToGrid w:val="0"/>
        </w:rPr>
        <w:lastRenderedPageBreak/>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spacing w:before="120"/>
        <w:rPr>
          <w:snapToGrid w:val="0"/>
        </w:rPr>
      </w:pPr>
      <w:r>
        <w:rPr>
          <w:snapToGrid w:val="0"/>
        </w:rPr>
        <w:tab/>
        <w:t>(2)</w:t>
      </w:r>
      <w:r>
        <w:rPr>
          <w:snapToGrid w:val="0"/>
        </w:rPr>
        <w:tab/>
        <w:t xml:space="preserve">In this section the term </w:t>
      </w:r>
      <w:r>
        <w:rPr>
          <w:rStyle w:val="CharDefText"/>
        </w:rPr>
        <w:t>periodical</w:t>
      </w:r>
      <w:r>
        <w:rPr>
          <w:snapToGrid w:val="0"/>
        </w:rPr>
        <w:t xml:space="preserve"> includes any review, magazine, or other writing or print published periodically.</w:t>
      </w:r>
    </w:p>
    <w:p>
      <w:pPr>
        <w:pStyle w:val="Subsection"/>
        <w:spacing w:before="120"/>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60"/>
        <w:ind w:left="890" w:hanging="890"/>
      </w:pPr>
      <w:r>
        <w:tab/>
        <w:t>[Section 343A inserted: No. 25 of 1960 s. 4; amended: No. 113 of 1965 s. 8; No. 73 of 1994 s. 4; No. 70 of 2004 s. 35(9).]</w:t>
      </w:r>
    </w:p>
    <w:p>
      <w:pPr>
        <w:pStyle w:val="Heading5"/>
        <w:rPr>
          <w:snapToGrid w:val="0"/>
        </w:rPr>
      </w:pPr>
      <w:bookmarkStart w:id="457" w:name="_Toc88662361"/>
      <w:r>
        <w:rPr>
          <w:rStyle w:val="CharSectno"/>
        </w:rPr>
        <w:t>344</w:t>
      </w:r>
      <w:r>
        <w:rPr>
          <w:snapToGrid w:val="0"/>
        </w:rPr>
        <w:t>.</w:t>
      </w:r>
      <w:r>
        <w:rPr>
          <w:snapToGrid w:val="0"/>
        </w:rPr>
        <w:tab/>
        <w:t>Deserting child under 16</w:t>
      </w:r>
      <w:bookmarkEnd w:id="457"/>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No. 70 of 2004 s. 34(1).]</w:t>
      </w:r>
    </w:p>
    <w:p>
      <w:pPr>
        <w:pStyle w:val="Heading3"/>
      </w:pPr>
      <w:bookmarkStart w:id="458" w:name="_Toc88569919"/>
      <w:bookmarkStart w:id="459" w:name="_Toc88570441"/>
      <w:bookmarkStart w:id="460" w:name="_Toc88570963"/>
      <w:bookmarkStart w:id="461" w:name="_Toc88662362"/>
      <w:r>
        <w:rPr>
          <w:rStyle w:val="CharDivNo"/>
        </w:rPr>
        <w:lastRenderedPageBreak/>
        <w:t>Chapter XXXV</w:t>
      </w:r>
      <w:r>
        <w:rPr>
          <w:b w:val="0"/>
        </w:rPr>
        <w:t> </w:t>
      </w:r>
      <w:r>
        <w:t>—</w:t>
      </w:r>
      <w:r>
        <w:rPr>
          <w:b w:val="0"/>
        </w:rPr>
        <w:t> </w:t>
      </w:r>
      <w:r>
        <w:rPr>
          <w:rStyle w:val="CharDivText"/>
        </w:rPr>
        <w:t>Criminal defamation</w:t>
      </w:r>
      <w:bookmarkEnd w:id="458"/>
      <w:bookmarkEnd w:id="459"/>
      <w:bookmarkEnd w:id="460"/>
      <w:bookmarkEnd w:id="461"/>
    </w:p>
    <w:p>
      <w:pPr>
        <w:pStyle w:val="Footnoteheading"/>
        <w:keepNext/>
      </w:pPr>
      <w:r>
        <w:tab/>
        <w:t>[Heading inserted: No. 44 of 2005 s. 47.]</w:t>
      </w:r>
    </w:p>
    <w:p>
      <w:pPr>
        <w:pStyle w:val="Heading5"/>
      </w:pPr>
      <w:bookmarkStart w:id="462" w:name="_Toc88662363"/>
      <w:r>
        <w:rPr>
          <w:rStyle w:val="CharSectno"/>
        </w:rPr>
        <w:t>345</w:t>
      </w:r>
      <w:r>
        <w:t>.</w:t>
      </w:r>
      <w:r>
        <w:tab/>
        <w:t>Criminal defamation</w:t>
      </w:r>
      <w:bookmarkEnd w:id="462"/>
    </w:p>
    <w:p>
      <w:pPr>
        <w:pStyle w:val="Subsection"/>
        <w:keepNext/>
      </w:pPr>
      <w:r>
        <w:tab/>
        <w:t>(1)</w:t>
      </w:r>
      <w:r>
        <w:tab/>
        <w:t xml:space="preserve">A person who, without lawful excuse, publishes matter defamatory of another living person (the </w:t>
      </w:r>
      <w:r>
        <w:rPr>
          <w:rStyle w:val="CharDefText"/>
        </w:rPr>
        <w:t>victim</w:t>
      </w:r>
      <w:r>
        <w:t>) —</w:t>
      </w:r>
    </w:p>
    <w:p>
      <w:pPr>
        <w:pStyle w:val="Indenta"/>
      </w:pPr>
      <w:r>
        <w:tab/>
        <w:t>(a)</w:t>
      </w:r>
      <w:r>
        <w:tab/>
        <w:t>knowing the matter to be false or without having regard to whether the matter is true or false; and</w:t>
      </w:r>
    </w:p>
    <w:p>
      <w:pPr>
        <w:pStyle w:val="Indenta"/>
        <w:keepLines/>
      </w:pPr>
      <w:r>
        <w:tab/>
        <w:t>(b)</w:t>
      </w:r>
      <w:r>
        <w:tab/>
        <w:t>intending to cause serious harm to the victim or any other person or without having regard to whether such harm is caused,</w:t>
      </w:r>
    </w:p>
    <w:p>
      <w:pPr>
        <w:pStyle w:val="Subsection"/>
        <w:keepLines/>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In proceedings for an offence under this section the accused person has a lawful excuse for the publication of defamatory matter about the victim if, and only if, subsection (3) applies.</w:t>
      </w:r>
    </w:p>
    <w:p>
      <w:pPr>
        <w:pStyle w:val="Subsection"/>
      </w:pPr>
      <w:r>
        <w:tab/>
        <w:t>(3)</w:t>
      </w:r>
      <w: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pPr>
      <w:r>
        <w:tab/>
        <w:t>(4)</w:t>
      </w:r>
      <w:r>
        <w:tab/>
        <w:t>The prosecutor bears the onus of negativing the existence of a lawful excuse if, and only if, evidence directed to establishing the excuse is first adduced by or on behalf of the accused person.</w:t>
      </w:r>
    </w:p>
    <w:p>
      <w:pPr>
        <w:pStyle w:val="Subsection"/>
        <w:keepNext/>
        <w:keepLines/>
      </w:pPr>
      <w:r>
        <w:tab/>
        <w:t>(5)</w:t>
      </w:r>
      <w:r>
        <w:tab/>
        <w:t>On a trial before a jury for an offence under this section —</w:t>
      </w:r>
    </w:p>
    <w:p>
      <w:pPr>
        <w:pStyle w:val="Indenta"/>
      </w:pPr>
      <w:r>
        <w:tab/>
        <w:t>(a)</w:t>
      </w:r>
      <w:r>
        <w:tab/>
        <w:t>the question of whether the matter complained of is capable of bearing a defamatory meaning is a question for determination by the judge; and</w:t>
      </w:r>
    </w:p>
    <w:p>
      <w:pPr>
        <w:pStyle w:val="Indenta"/>
      </w:pPr>
      <w:r>
        <w:lastRenderedPageBreak/>
        <w:tab/>
        <w:t>(b)</w:t>
      </w:r>
      <w:r>
        <w:tab/>
        <w:t>the question of whether the matter complained of does bear a defamatory meaning is a question for the jury; and</w:t>
      </w:r>
    </w:p>
    <w:p>
      <w:pPr>
        <w:pStyle w:val="Indenta"/>
      </w:pPr>
      <w:r>
        <w:tab/>
        <w:t>(c)</w:t>
      </w:r>
      <w: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keepNext/>
      </w:pPr>
      <w:r>
        <w:tab/>
        <w:t>(7)</w:t>
      </w:r>
      <w:r>
        <w:tab/>
        <w:t>In this section —</w:t>
      </w:r>
    </w:p>
    <w:p>
      <w:pPr>
        <w:pStyle w:val="Defstart"/>
      </w:pPr>
      <w:r>
        <w:rPr>
          <w:b/>
        </w:rPr>
        <w:tab/>
      </w:r>
      <w:r>
        <w:rPr>
          <w:rStyle w:val="CharDefText"/>
        </w:rPr>
        <w:t>publish</w:t>
      </w:r>
      <w:r>
        <w:t xml:space="preserve"> and </w:t>
      </w:r>
      <w:r>
        <w:rPr>
          <w:rStyle w:val="CharDefText"/>
        </w:rPr>
        <w:t>defamatory</w:t>
      </w:r>
      <w:r>
        <w:rPr>
          <w:b/>
        </w:rPr>
        <w:t xml:space="preserve"> </w:t>
      </w:r>
      <w:r>
        <w:t xml:space="preserve">have the meanings that those terms have in the law of tort (as modified by the </w:t>
      </w:r>
      <w:r>
        <w:rPr>
          <w:i/>
          <w:iCs/>
        </w:rPr>
        <w:t>Defamation Act 2005</w:t>
      </w:r>
      <w:r>
        <w:t>) relating to defamation.</w:t>
      </w:r>
    </w:p>
    <w:p>
      <w:pPr>
        <w:pStyle w:val="Footnotesection"/>
      </w:pPr>
      <w:r>
        <w:tab/>
        <w:t>[Section 345 inserted: No. 44 of 2005 s. 47.]</w:t>
      </w:r>
    </w:p>
    <w:p>
      <w:pPr>
        <w:pStyle w:val="Ednotesection"/>
      </w:pPr>
      <w:r>
        <w:t>[</w:t>
      </w:r>
      <w:r>
        <w:rPr>
          <w:b/>
          <w:bCs/>
        </w:rPr>
        <w:t>346</w:t>
      </w:r>
      <w:r>
        <w:rPr>
          <w:b/>
          <w:bCs/>
        </w:rPr>
        <w:noBreakHyphen/>
        <w:t>369.</w:t>
      </w:r>
      <w:r>
        <w:tab/>
        <w:t>Deleted: No. 44 of 2005 s. 47.]</w:t>
      </w:r>
    </w:p>
    <w:p>
      <w:pPr>
        <w:pStyle w:val="Heading2"/>
      </w:pPr>
      <w:bookmarkStart w:id="463" w:name="_Toc88569921"/>
      <w:bookmarkStart w:id="464" w:name="_Toc88570443"/>
      <w:bookmarkStart w:id="465" w:name="_Toc88570965"/>
      <w:bookmarkStart w:id="466" w:name="_Toc88662364"/>
      <w:r>
        <w:rPr>
          <w:rStyle w:val="CharPartNo"/>
        </w:rPr>
        <w:lastRenderedPageBreak/>
        <w:t>Part VI</w:t>
      </w:r>
      <w:r>
        <w:t> — </w:t>
      </w:r>
      <w:r>
        <w:rPr>
          <w:rStyle w:val="CharPartText"/>
        </w:rPr>
        <w:t>Offences relating to property and contracts</w:t>
      </w:r>
      <w:bookmarkEnd w:id="463"/>
      <w:bookmarkEnd w:id="464"/>
      <w:bookmarkEnd w:id="465"/>
      <w:bookmarkEnd w:id="466"/>
    </w:p>
    <w:p>
      <w:pPr>
        <w:pStyle w:val="Heading3"/>
        <w:spacing w:before="200"/>
        <w:rPr>
          <w:snapToGrid w:val="0"/>
        </w:rPr>
      </w:pPr>
      <w:bookmarkStart w:id="467" w:name="_Toc88569922"/>
      <w:bookmarkStart w:id="468" w:name="_Toc88570444"/>
      <w:bookmarkStart w:id="469" w:name="_Toc88570966"/>
      <w:bookmarkStart w:id="470" w:name="_Toc88662365"/>
      <w:r>
        <w:rPr>
          <w:snapToGrid w:val="0"/>
        </w:rPr>
        <w:t>Division I — Stealing and like offences</w:t>
      </w:r>
      <w:bookmarkEnd w:id="467"/>
      <w:bookmarkEnd w:id="468"/>
      <w:bookmarkEnd w:id="469"/>
      <w:bookmarkEnd w:id="470"/>
    </w:p>
    <w:p>
      <w:pPr>
        <w:pStyle w:val="Heading3"/>
        <w:spacing w:before="200"/>
        <w:rPr>
          <w:snapToGrid w:val="0"/>
        </w:rPr>
      </w:pPr>
      <w:bookmarkStart w:id="471" w:name="_Toc88569923"/>
      <w:bookmarkStart w:id="472" w:name="_Toc88570445"/>
      <w:bookmarkStart w:id="473" w:name="_Toc88570967"/>
      <w:bookmarkStart w:id="474" w:name="_Toc88662366"/>
      <w:r>
        <w:rPr>
          <w:rStyle w:val="CharDivNo"/>
        </w:rPr>
        <w:t>Chapter XXXVI</w:t>
      </w:r>
      <w:r>
        <w:rPr>
          <w:snapToGrid w:val="0"/>
        </w:rPr>
        <w:t> — </w:t>
      </w:r>
      <w:r>
        <w:rPr>
          <w:rStyle w:val="CharDivText"/>
        </w:rPr>
        <w:t>Stealing</w:t>
      </w:r>
      <w:bookmarkEnd w:id="471"/>
      <w:bookmarkEnd w:id="472"/>
      <w:bookmarkEnd w:id="473"/>
      <w:bookmarkEnd w:id="474"/>
    </w:p>
    <w:p>
      <w:pPr>
        <w:pStyle w:val="Heading5"/>
        <w:spacing w:before="200"/>
        <w:rPr>
          <w:snapToGrid w:val="0"/>
        </w:rPr>
      </w:pPr>
      <w:bookmarkStart w:id="475" w:name="_Toc88662367"/>
      <w:r>
        <w:rPr>
          <w:rStyle w:val="CharSectno"/>
        </w:rPr>
        <w:t>370</w:t>
      </w:r>
      <w:r>
        <w:rPr>
          <w:snapToGrid w:val="0"/>
        </w:rPr>
        <w:t>.</w:t>
      </w:r>
      <w:r>
        <w:rPr>
          <w:snapToGrid w:val="0"/>
        </w:rPr>
        <w:tab/>
        <w:t>Things capable of being stolen</w:t>
      </w:r>
      <w:bookmarkEnd w:id="475"/>
    </w:p>
    <w:p>
      <w:pPr>
        <w:pStyle w:val="Subsection"/>
        <w:spacing w:before="120"/>
        <w:rPr>
          <w:snapToGrid w:val="0"/>
        </w:rPr>
      </w:pPr>
      <w:r>
        <w:rPr>
          <w:snapToGrid w:val="0"/>
        </w:rPr>
        <w:tab/>
      </w:r>
      <w:r>
        <w:rPr>
          <w:snapToGrid w:val="0"/>
        </w:rPr>
        <w:tab/>
        <w:t>Every inanimate thing whatever which is the property of any person, and which is movable, is capable of being stolen.</w:t>
      </w:r>
    </w:p>
    <w:p>
      <w:pPr>
        <w:pStyle w:val="Subsection"/>
        <w:spacing w:before="120"/>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spacing w:before="120"/>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spacing w:before="120"/>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spacing w:before="120"/>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spacing w:before="120"/>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spacing w:before="120"/>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spacing w:before="120"/>
        <w:rPr>
          <w:snapToGrid w:val="0"/>
        </w:rPr>
      </w:pPr>
      <w:r>
        <w:rPr>
          <w:snapToGrid w:val="0"/>
        </w:rPr>
        <w:lastRenderedPageBreak/>
        <w:tab/>
      </w:r>
      <w:r>
        <w:rPr>
          <w:snapToGrid w:val="0"/>
        </w:rPr>
        <w:tab/>
        <w:t xml:space="preserve">The term </w:t>
      </w:r>
      <w:r>
        <w:rPr>
          <w:rStyle w:val="CharDefText"/>
        </w:rPr>
        <w:t>animal</w:t>
      </w:r>
      <w:r>
        <w:rPr>
          <w:snapToGrid w:val="0"/>
        </w:rPr>
        <w:t xml:space="preserve"> includes any living creature and any living aquatic organism other than mankind.</w:t>
      </w:r>
    </w:p>
    <w:p>
      <w:pPr>
        <w:pStyle w:val="Subsection"/>
        <w:spacing w:before="120"/>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spacing w:before="120"/>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No. 4 of 2004 s. 64.]</w:t>
      </w:r>
    </w:p>
    <w:p>
      <w:pPr>
        <w:pStyle w:val="Heading5"/>
        <w:spacing w:before="180"/>
        <w:rPr>
          <w:snapToGrid w:val="0"/>
        </w:rPr>
      </w:pPr>
      <w:bookmarkStart w:id="476" w:name="_Toc88662368"/>
      <w:r>
        <w:rPr>
          <w:rStyle w:val="CharSectno"/>
        </w:rPr>
        <w:t>371</w:t>
      </w:r>
      <w:r>
        <w:rPr>
          <w:snapToGrid w:val="0"/>
        </w:rPr>
        <w:t>.</w:t>
      </w:r>
      <w:r>
        <w:rPr>
          <w:snapToGrid w:val="0"/>
        </w:rPr>
        <w:tab/>
        <w:t xml:space="preserve">Term used: </w:t>
      </w:r>
      <w:r>
        <w:rPr>
          <w:rStyle w:val="CharDefText"/>
          <w:b/>
          <w:bCs/>
          <w:i w:val="0"/>
          <w:iCs/>
        </w:rPr>
        <w:t>steal</w:t>
      </w:r>
      <w:bookmarkEnd w:id="476"/>
    </w:p>
    <w:p>
      <w:pPr>
        <w:pStyle w:val="Subsection"/>
        <w:spacing w:before="120"/>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spacing w:before="120"/>
        <w:rPr>
          <w:snapToGrid w:val="0"/>
        </w:rPr>
      </w:pPr>
      <w:r>
        <w:rPr>
          <w:snapToGrid w:val="0"/>
        </w:rPr>
        <w:tab/>
        <w:t>(2)</w:t>
      </w:r>
      <w:r>
        <w:rPr>
          <w:snapToGrid w:val="0"/>
        </w:rPr>
        <w:tab/>
        <w:t>A person who takes anything capable of being stolen or converts any property is deemed to do so fraudulently if he does so with any of the following intents, that is to say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lastRenderedPageBreak/>
        <w:tab/>
      </w:r>
      <w:r>
        <w:rPr>
          <w:snapToGrid w:val="0"/>
        </w:rPr>
        <w:tab/>
        <w:t xml:space="preserve">The term </w:t>
      </w:r>
      <w:r>
        <w:rPr>
          <w:rStyle w:val="CharDefText"/>
        </w:rPr>
        <w:t>special property</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rStyle w:val="CharDefText"/>
        </w:rPr>
        <w:t>property</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No. 20 of 1954 s. 2.]</w:t>
      </w:r>
    </w:p>
    <w:p>
      <w:pPr>
        <w:pStyle w:val="Heading5"/>
        <w:rPr>
          <w:snapToGrid w:val="0"/>
        </w:rPr>
      </w:pPr>
      <w:bookmarkStart w:id="477" w:name="_Toc88662369"/>
      <w:r>
        <w:rPr>
          <w:rStyle w:val="CharSectno"/>
        </w:rPr>
        <w:lastRenderedPageBreak/>
        <w:t>371A</w:t>
      </w:r>
      <w:r>
        <w:rPr>
          <w:snapToGrid w:val="0"/>
        </w:rPr>
        <w:t>.</w:t>
      </w:r>
      <w:r>
        <w:rPr>
          <w:snapToGrid w:val="0"/>
        </w:rPr>
        <w:tab/>
        <w:t>Using etc. motor vehicle without consent is stealing</w:t>
      </w:r>
      <w:bookmarkEnd w:id="477"/>
    </w:p>
    <w:p>
      <w:pPr>
        <w:pStyle w:val="Subsection"/>
        <w:spacing w:before="180"/>
      </w:pPr>
      <w:r>
        <w:tab/>
        <w:t>(1)</w:t>
      </w:r>
      <w:r>
        <w:tab/>
        <w:t>A person who unlawfully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No. 37 of 1991 s. 17.]</w:t>
      </w:r>
    </w:p>
    <w:p>
      <w:pPr>
        <w:pStyle w:val="Heading5"/>
        <w:rPr>
          <w:snapToGrid w:val="0"/>
        </w:rPr>
      </w:pPr>
      <w:bookmarkStart w:id="478" w:name="_Toc88662370"/>
      <w:r>
        <w:rPr>
          <w:rStyle w:val="CharSectno"/>
        </w:rPr>
        <w:t>372</w:t>
      </w:r>
      <w:r>
        <w:rPr>
          <w:snapToGrid w:val="0"/>
        </w:rPr>
        <w:t>.</w:t>
      </w:r>
      <w:r>
        <w:rPr>
          <w:snapToGrid w:val="0"/>
        </w:rPr>
        <w:tab/>
        <w:t>Cases which are not stealing</w:t>
      </w:r>
      <w:bookmarkEnd w:id="478"/>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ind w:left="890" w:hanging="890"/>
      </w:pPr>
      <w:r>
        <w:tab/>
        <w:t>[Section 372 amended: No. 4 of 2004 s. 61(5).]</w:t>
      </w:r>
    </w:p>
    <w:p>
      <w:pPr>
        <w:pStyle w:val="Heading5"/>
        <w:rPr>
          <w:snapToGrid w:val="0"/>
        </w:rPr>
      </w:pPr>
      <w:bookmarkStart w:id="479" w:name="_Toc88662371"/>
      <w:r>
        <w:rPr>
          <w:rStyle w:val="CharSectno"/>
        </w:rPr>
        <w:t>373</w:t>
      </w:r>
      <w:r>
        <w:rPr>
          <w:snapToGrid w:val="0"/>
        </w:rPr>
        <w:t>.</w:t>
      </w:r>
      <w:r>
        <w:rPr>
          <w:snapToGrid w:val="0"/>
        </w:rPr>
        <w:tab/>
        <w:t>Funds etc. held under direction, who owns etc.</w:t>
      </w:r>
      <w:bookmarkEnd w:id="479"/>
    </w:p>
    <w:p>
      <w:pPr>
        <w:pStyle w:val="Subsection"/>
        <w:rPr>
          <w:snapToGrid w:val="0"/>
        </w:rPr>
      </w:pPr>
      <w:r>
        <w:rPr>
          <w:snapToGrid w:val="0"/>
        </w:rPr>
        <w:tab/>
      </w:r>
      <w:r>
        <w:rPr>
          <w:snapToGrid w:val="0"/>
        </w:rPr>
        <w:tab/>
        <w:t xml:space="preserve">When a person receives, either alone or jointly with another person, any money or valuable security, or a power of attorney for the sale, mortgage, pledge, or other disposition, of any </w:t>
      </w:r>
      <w:r>
        <w:rPr>
          <w:snapToGrid w:val="0"/>
        </w:rPr>
        <w:lastRenderedPageBreak/>
        <w:t>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480" w:name="_Toc88662372"/>
      <w:r>
        <w:rPr>
          <w:rStyle w:val="CharSectno"/>
        </w:rPr>
        <w:t>374</w:t>
      </w:r>
      <w:r>
        <w:rPr>
          <w:snapToGrid w:val="0"/>
        </w:rPr>
        <w:t>.</w:t>
      </w:r>
      <w:r>
        <w:rPr>
          <w:snapToGrid w:val="0"/>
        </w:rPr>
        <w:tab/>
        <w:t>Proceeds of sale etc. of property by agent, who owns</w:t>
      </w:r>
      <w:bookmarkEnd w:id="480"/>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481" w:name="_Toc88662373"/>
      <w:r>
        <w:rPr>
          <w:rStyle w:val="CharSectno"/>
        </w:rPr>
        <w:lastRenderedPageBreak/>
        <w:t>375</w:t>
      </w:r>
      <w:r>
        <w:rPr>
          <w:snapToGrid w:val="0"/>
        </w:rPr>
        <w:t>.</w:t>
      </w:r>
      <w:r>
        <w:rPr>
          <w:snapToGrid w:val="0"/>
        </w:rPr>
        <w:tab/>
        <w:t>Money received for another, who owns</w:t>
      </w:r>
      <w:bookmarkEnd w:id="481"/>
    </w:p>
    <w:p>
      <w:pPr>
        <w:pStyle w:val="Subsection"/>
        <w:spacing w:before="120"/>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482" w:name="_Toc88662374"/>
      <w:r>
        <w:rPr>
          <w:rStyle w:val="CharSectno"/>
        </w:rPr>
        <w:t>376</w:t>
      </w:r>
      <w:r>
        <w:rPr>
          <w:snapToGrid w:val="0"/>
        </w:rPr>
        <w:t>.</w:t>
      </w:r>
      <w:r>
        <w:rPr>
          <w:snapToGrid w:val="0"/>
        </w:rPr>
        <w:tab/>
        <w:t>Stealing by person having an interest in the thing stolen</w:t>
      </w:r>
      <w:bookmarkEnd w:id="482"/>
    </w:p>
    <w:p>
      <w:pPr>
        <w:pStyle w:val="Subsection"/>
        <w:spacing w:before="120"/>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spacing w:before="180"/>
      </w:pPr>
      <w:r>
        <w:t>[</w:t>
      </w:r>
      <w:r>
        <w:rPr>
          <w:b/>
        </w:rPr>
        <w:t>377.</w:t>
      </w:r>
      <w:r>
        <w:tab/>
        <w:t>Deleted: No. 28 of 2003 s. 118(4).]</w:t>
      </w:r>
    </w:p>
    <w:p>
      <w:pPr>
        <w:pStyle w:val="Heading5"/>
        <w:spacing w:before="180"/>
        <w:rPr>
          <w:snapToGrid w:val="0"/>
        </w:rPr>
      </w:pPr>
      <w:bookmarkStart w:id="483" w:name="_Toc88662375"/>
      <w:r>
        <w:rPr>
          <w:rStyle w:val="CharSectno"/>
        </w:rPr>
        <w:t>378</w:t>
      </w:r>
      <w:r>
        <w:rPr>
          <w:snapToGrid w:val="0"/>
        </w:rPr>
        <w:t>.</w:t>
      </w:r>
      <w:r>
        <w:rPr>
          <w:snapToGrid w:val="0"/>
        </w:rPr>
        <w:tab/>
        <w:t>Penalty for stealing</w:t>
      </w:r>
      <w:bookmarkEnd w:id="483"/>
    </w:p>
    <w:p>
      <w:pPr>
        <w:pStyle w:val="Subsection"/>
        <w:spacing w:before="120"/>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keepLines/>
        <w:spacing w:before="60"/>
        <w:rPr>
          <w:snapToGrid w:val="0"/>
        </w:rPr>
      </w:pPr>
      <w:r>
        <w:tab/>
        <w:t>Alternative offence: s. 382, 383, 388, 390A, 409, 414, 417 or 429.</w:t>
      </w:r>
    </w:p>
    <w:p>
      <w:pPr>
        <w:pStyle w:val="MiscellaneousHeading"/>
        <w:keepLines/>
        <w:spacing w:before="120"/>
        <w:rPr>
          <w:i/>
          <w:snapToGrid w:val="0"/>
        </w:rPr>
      </w:pPr>
      <w:r>
        <w:rPr>
          <w:i/>
          <w:snapToGrid w:val="0"/>
        </w:rPr>
        <w:t>Punishment in special cases</w:t>
      </w:r>
    </w:p>
    <w:p>
      <w:pPr>
        <w:pStyle w:val="Subsection"/>
        <w:spacing w:before="120"/>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lastRenderedPageBreak/>
        <w:tab/>
        <w:t>(2)</w:t>
      </w:r>
      <w:r>
        <w:rPr>
          <w:snapToGrid w:val="0"/>
        </w:rPr>
        <w:tab/>
        <w:t>If the thing stolen is a motor vehicle and the offender —</w:t>
      </w:r>
    </w:p>
    <w:p>
      <w:pPr>
        <w:pStyle w:val="Indenta"/>
        <w:rPr>
          <w:snapToGrid w:val="0"/>
        </w:rPr>
      </w:pPr>
      <w:r>
        <w:rPr>
          <w:snapToGrid w:val="0"/>
        </w:rPr>
        <w:tab/>
        <w:t>(a)</w:t>
      </w:r>
      <w:r>
        <w:rPr>
          <w:snapToGrid w:val="0"/>
        </w:rPr>
        <w:tab/>
        <w:t xml:space="preserve">wilfully drives the motor vehicle in a manner that constitutes an offence under </w:t>
      </w:r>
      <w:r>
        <w:t xml:space="preserve">the </w:t>
      </w:r>
      <w:r>
        <w:rPr>
          <w:i/>
        </w:rPr>
        <w:t>Road Traffic Act 1974</w:t>
      </w:r>
      <w:r>
        <w:t xml:space="preserve"> section 60 or 60A;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deleted]</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rPr>
          <w:snapToGrid w:val="0"/>
        </w:rPr>
      </w:pPr>
      <w:r>
        <w:rPr>
          <w:snapToGrid w:val="0"/>
        </w:rPr>
        <w:tab/>
        <w:t>(5)</w:t>
      </w:r>
      <w:r>
        <w:rPr>
          <w:snapToGrid w:val="0"/>
        </w:rPr>
        <w:tab/>
        <w:t>If the offence is committed under any of the circumstances following, that is to say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 xml:space="preserve">If the offender is a person employed in the Public Service, and the thing stolen is the property of Her Majesty, or came into the </w:t>
      </w:r>
      <w:r>
        <w:rPr>
          <w:snapToGrid w:val="0"/>
        </w:rPr>
        <w:lastRenderedPageBreak/>
        <w:t>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rPr>
          <w:snapToGrid w:val="0"/>
        </w:rPr>
      </w:pPr>
      <w:r>
        <w:rPr>
          <w:snapToGrid w:val="0"/>
        </w:rPr>
        <w:tab/>
        <w:t>(9)</w:t>
      </w:r>
      <w:r>
        <w:rPr>
          <w:snapToGrid w:val="0"/>
        </w:rPr>
        <w:tab/>
        <w:t>If the thing stolen is any of the things following, that is to say —</w:t>
      </w:r>
    </w:p>
    <w:p>
      <w:pPr>
        <w:pStyle w:val="Indenta"/>
        <w:rPr>
          <w:snapToGrid w:val="0"/>
        </w:rPr>
      </w:pPr>
      <w:r>
        <w:rPr>
          <w:snapToGrid w:val="0"/>
        </w:rPr>
        <w:tab/>
        <w:t>(a)</w:t>
      </w:r>
      <w:r>
        <w:rPr>
          <w:snapToGrid w:val="0"/>
        </w:rPr>
        <w:tab/>
        <w:t>Property which has been received by the offender with a power of attorney for the disposition thereof;</w:t>
      </w:r>
    </w:p>
    <w:p>
      <w:pPr>
        <w:pStyle w:val="Indenta"/>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keepLines/>
        <w:spacing w:before="120"/>
        <w:rPr>
          <w:snapToGrid w:val="0"/>
        </w:rPr>
      </w:pPr>
      <w:r>
        <w:rPr>
          <w:snapToGrid w:val="0"/>
        </w:rPr>
        <w:tab/>
      </w:r>
      <w:r>
        <w:rPr>
          <w:snapToGrid w:val="0"/>
        </w:rPr>
        <w:tab/>
        <w:t>the offender is liable to imprisonment for 10 years.</w:t>
      </w:r>
    </w:p>
    <w:p>
      <w:pPr>
        <w:pStyle w:val="Footnotesection"/>
        <w:keepLines w:val="0"/>
        <w:ind w:left="890" w:hanging="890"/>
      </w:pPr>
      <w:r>
        <w:tab/>
        <w:t>[Section 378 amended: No. 53 of 1964 s. 7; No. 113 of 1965 s. 8(1); No. 1 of 1969 s. 2; No. 106 of 1987 s. 24; No. 101 of 1990 s. 18; No. 1 of 1992 s. 5; No. 51 of 1992 s. 16(2); No. 36 of 1996 s. 20; No. 70 of 2004 s. 36(8); No. 84 of 2004 s. 27(2); No. 11 of 2014 s. 6; No. 51 of 2016 s. 49.]</w:t>
      </w:r>
    </w:p>
    <w:p>
      <w:pPr>
        <w:pStyle w:val="Ednotesection"/>
        <w:ind w:left="890" w:hanging="890"/>
      </w:pPr>
      <w:r>
        <w:lastRenderedPageBreak/>
        <w:t>[</w:t>
      </w:r>
      <w:r>
        <w:rPr>
          <w:b/>
        </w:rPr>
        <w:t>378A.</w:t>
      </w:r>
      <w:r>
        <w:tab/>
        <w:t>Deleted: No. 101 of 1990 s. 19.]</w:t>
      </w:r>
    </w:p>
    <w:p>
      <w:pPr>
        <w:pStyle w:val="Heading3"/>
      </w:pPr>
      <w:bookmarkStart w:id="484" w:name="_Toc88569933"/>
      <w:bookmarkStart w:id="485" w:name="_Toc88570455"/>
      <w:bookmarkStart w:id="486" w:name="_Toc88570977"/>
      <w:bookmarkStart w:id="487" w:name="_Toc88662376"/>
      <w:r>
        <w:rPr>
          <w:rStyle w:val="CharDivNo"/>
        </w:rPr>
        <w:t>Chapter XXXVII</w:t>
      </w:r>
      <w:r>
        <w:rPr>
          <w:snapToGrid w:val="0"/>
        </w:rPr>
        <w:t> — </w:t>
      </w:r>
      <w:r>
        <w:rPr>
          <w:rStyle w:val="CharDivText"/>
        </w:rPr>
        <w:t>Offences analogous to stealing</w:t>
      </w:r>
      <w:bookmarkEnd w:id="484"/>
      <w:bookmarkEnd w:id="485"/>
      <w:bookmarkEnd w:id="486"/>
      <w:bookmarkEnd w:id="487"/>
    </w:p>
    <w:p>
      <w:pPr>
        <w:pStyle w:val="Heading5"/>
        <w:rPr>
          <w:snapToGrid w:val="0"/>
        </w:rPr>
      </w:pPr>
      <w:bookmarkStart w:id="488" w:name="_Toc88662377"/>
      <w:r>
        <w:rPr>
          <w:rStyle w:val="CharSectno"/>
        </w:rPr>
        <w:t>379</w:t>
      </w:r>
      <w:r>
        <w:rPr>
          <w:snapToGrid w:val="0"/>
        </w:rPr>
        <w:t>.</w:t>
      </w:r>
      <w:r>
        <w:rPr>
          <w:snapToGrid w:val="0"/>
        </w:rPr>
        <w:tab/>
        <w:t>Concealing official register</w:t>
      </w:r>
      <w:bookmarkEnd w:id="488"/>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ind w:left="890" w:hanging="890"/>
      </w:pPr>
      <w:r>
        <w:tab/>
        <w:t>[Section 379 amended: No. 51 of 1992 s. 16(2); No. 70 of 2004 s. 36(3).]</w:t>
      </w:r>
    </w:p>
    <w:p>
      <w:pPr>
        <w:pStyle w:val="Heading5"/>
        <w:rPr>
          <w:snapToGrid w:val="0"/>
        </w:rPr>
      </w:pPr>
      <w:bookmarkStart w:id="489" w:name="_Toc88662378"/>
      <w:r>
        <w:rPr>
          <w:rStyle w:val="CharSectno"/>
        </w:rPr>
        <w:t>380</w:t>
      </w:r>
      <w:r>
        <w:rPr>
          <w:snapToGrid w:val="0"/>
        </w:rPr>
        <w:t>.</w:t>
      </w:r>
      <w:r>
        <w:rPr>
          <w:snapToGrid w:val="0"/>
        </w:rPr>
        <w:tab/>
        <w:t>Concealing will</w:t>
      </w:r>
      <w:bookmarkEnd w:id="489"/>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ind w:left="890" w:hanging="890"/>
      </w:pPr>
      <w:r>
        <w:tab/>
        <w:t>[Section 380 amended: No. 51 of 1992 s. 16(2).]</w:t>
      </w:r>
    </w:p>
    <w:p>
      <w:pPr>
        <w:pStyle w:val="Heading5"/>
        <w:keepNext w:val="0"/>
        <w:keepLines w:val="0"/>
        <w:spacing w:before="180"/>
        <w:rPr>
          <w:snapToGrid w:val="0"/>
        </w:rPr>
      </w:pPr>
      <w:bookmarkStart w:id="490" w:name="_Toc88662379"/>
      <w:r>
        <w:rPr>
          <w:rStyle w:val="CharSectno"/>
        </w:rPr>
        <w:t>381</w:t>
      </w:r>
      <w:r>
        <w:rPr>
          <w:snapToGrid w:val="0"/>
        </w:rPr>
        <w:t>.</w:t>
      </w:r>
      <w:r>
        <w:rPr>
          <w:snapToGrid w:val="0"/>
        </w:rPr>
        <w:tab/>
        <w:t>Concealing certificate of title etc.</w:t>
      </w:r>
      <w:bookmarkEnd w:id="490"/>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No. 51 of 1992 s. 16(2).]</w:t>
      </w:r>
    </w:p>
    <w:p>
      <w:pPr>
        <w:pStyle w:val="Heading5"/>
        <w:keepNext w:val="0"/>
        <w:keepLines w:val="0"/>
        <w:rPr>
          <w:snapToGrid w:val="0"/>
        </w:rPr>
      </w:pPr>
      <w:bookmarkStart w:id="491" w:name="_Toc88662380"/>
      <w:r>
        <w:rPr>
          <w:rStyle w:val="CharSectno"/>
        </w:rPr>
        <w:t>382</w:t>
      </w:r>
      <w:r>
        <w:rPr>
          <w:snapToGrid w:val="0"/>
        </w:rPr>
        <w:t>.</w:t>
      </w:r>
      <w:r>
        <w:rPr>
          <w:snapToGrid w:val="0"/>
        </w:rPr>
        <w:tab/>
        <w:t>Killing animal with intent to steal</w:t>
      </w:r>
      <w:bookmarkEnd w:id="491"/>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keepLines w:val="0"/>
        <w:spacing w:before="120"/>
        <w:rPr>
          <w:snapToGrid w:val="0"/>
        </w:rPr>
      </w:pPr>
      <w:bookmarkStart w:id="492" w:name="_Toc88662381"/>
      <w:r>
        <w:rPr>
          <w:rStyle w:val="CharSectno"/>
        </w:rPr>
        <w:lastRenderedPageBreak/>
        <w:t>383</w:t>
      </w:r>
      <w:r>
        <w:rPr>
          <w:snapToGrid w:val="0"/>
        </w:rPr>
        <w:t>.</w:t>
      </w:r>
      <w:r>
        <w:rPr>
          <w:snapToGrid w:val="0"/>
        </w:rPr>
        <w:tab/>
        <w:t>Severing with intent to steal</w:t>
      </w:r>
      <w:bookmarkEnd w:id="492"/>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spacing w:before="240"/>
        <w:rPr>
          <w:snapToGrid w:val="0"/>
        </w:rPr>
      </w:pPr>
      <w:bookmarkStart w:id="493" w:name="_Toc88662382"/>
      <w:r>
        <w:rPr>
          <w:rStyle w:val="CharSectno"/>
        </w:rPr>
        <w:t>384</w:t>
      </w:r>
      <w:r>
        <w:rPr>
          <w:snapToGrid w:val="0"/>
        </w:rPr>
        <w:t>.</w:t>
      </w:r>
      <w:r>
        <w:rPr>
          <w:snapToGrid w:val="0"/>
        </w:rPr>
        <w:tab/>
        <w:t>Using registered brand with criminal intention</w:t>
      </w:r>
      <w:bookmarkEnd w:id="493"/>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No. 51 of 1992 s. 16(2); No. 70 of 2004 s. 34(1).]</w:t>
      </w:r>
    </w:p>
    <w:p>
      <w:pPr>
        <w:pStyle w:val="Heading5"/>
        <w:spacing w:before="240"/>
        <w:rPr>
          <w:snapToGrid w:val="0"/>
        </w:rPr>
      </w:pPr>
      <w:bookmarkStart w:id="494" w:name="_Toc88662383"/>
      <w:r>
        <w:rPr>
          <w:rStyle w:val="CharSectno"/>
        </w:rPr>
        <w:t>385</w:t>
      </w:r>
      <w:r>
        <w:rPr>
          <w:snapToGrid w:val="0"/>
        </w:rPr>
        <w:t>.</w:t>
      </w:r>
      <w:r>
        <w:rPr>
          <w:snapToGrid w:val="0"/>
        </w:rPr>
        <w:tab/>
        <w:t>Fraudulently dealing with ore at mine</w:t>
      </w:r>
      <w:bookmarkEnd w:id="494"/>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ind w:left="890" w:hanging="890"/>
      </w:pPr>
      <w:r>
        <w:tab/>
        <w:t>[Section 385 amended: No. 51 of 1992 s. 16(2); No. 70 of 2004 s. 34(1).]</w:t>
      </w:r>
    </w:p>
    <w:p>
      <w:pPr>
        <w:pStyle w:val="Heading5"/>
        <w:keepLines w:val="0"/>
        <w:spacing w:before="240"/>
        <w:rPr>
          <w:snapToGrid w:val="0"/>
        </w:rPr>
      </w:pPr>
      <w:bookmarkStart w:id="495" w:name="_Toc88662384"/>
      <w:r>
        <w:rPr>
          <w:rStyle w:val="CharSectno"/>
        </w:rPr>
        <w:t>386</w:t>
      </w:r>
      <w:r>
        <w:rPr>
          <w:snapToGrid w:val="0"/>
        </w:rPr>
        <w:t>.</w:t>
      </w:r>
      <w:r>
        <w:rPr>
          <w:snapToGrid w:val="0"/>
        </w:rPr>
        <w:tab/>
        <w:t>Concealing royalty</w:t>
      </w:r>
      <w:bookmarkEnd w:id="495"/>
    </w:p>
    <w:p>
      <w:pPr>
        <w:pStyle w:val="Subsection"/>
        <w:rPr>
          <w:snapToGrid w:val="0"/>
        </w:rPr>
      </w:pPr>
      <w:r>
        <w:rPr>
          <w:snapToGrid w:val="0"/>
        </w:rPr>
        <w:tab/>
      </w:r>
      <w:r>
        <w:rPr>
          <w:snapToGrid w:val="0"/>
        </w:rPr>
        <w:tab/>
        <w:t>Any person who, being the holder of any lease issued under any Act relating to mining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keepNext/>
        <w:rPr>
          <w:snapToGrid w:val="0"/>
        </w:rPr>
      </w:pPr>
      <w:r>
        <w:rPr>
          <w:snapToGrid w:val="0"/>
        </w:rPr>
        <w:tab/>
        <w:t>(b)</w:t>
      </w:r>
      <w:r>
        <w:rPr>
          <w:snapToGrid w:val="0"/>
        </w:rPr>
        <w:tab/>
        <w:t>Conceals or makes a false statement as to any produce of the mine with intent to defraud;</w:t>
      </w:r>
    </w:p>
    <w:p>
      <w:pPr>
        <w:pStyle w:val="Subsection"/>
        <w:spacing w:before="200"/>
        <w:rPr>
          <w:snapToGrid w:val="0"/>
        </w:rPr>
      </w:pPr>
      <w:r>
        <w:rPr>
          <w:snapToGrid w:val="0"/>
        </w:rPr>
        <w:tab/>
      </w:r>
      <w:r>
        <w:rPr>
          <w:snapToGrid w:val="0"/>
        </w:rPr>
        <w:tab/>
        <w:t>is guilty of a crime, and is liable to imprisonment for 2 years.</w:t>
      </w:r>
    </w:p>
    <w:p>
      <w:pPr>
        <w:pStyle w:val="Footnotesection"/>
        <w:ind w:left="890" w:hanging="890"/>
      </w:pPr>
      <w:r>
        <w:tab/>
        <w:t>[Section 386 amended: No. 51 of 1992 s. 16(2); No. 70 of 2004 s. 34(1).]</w:t>
      </w:r>
    </w:p>
    <w:p>
      <w:pPr>
        <w:pStyle w:val="Heading5"/>
        <w:spacing w:before="260"/>
        <w:rPr>
          <w:snapToGrid w:val="0"/>
        </w:rPr>
      </w:pPr>
      <w:bookmarkStart w:id="496" w:name="_Toc88662385"/>
      <w:r>
        <w:rPr>
          <w:rStyle w:val="CharSectno"/>
        </w:rPr>
        <w:lastRenderedPageBreak/>
        <w:t>387</w:t>
      </w:r>
      <w:r>
        <w:rPr>
          <w:snapToGrid w:val="0"/>
        </w:rPr>
        <w:t>.</w:t>
      </w:r>
      <w:r>
        <w:rPr>
          <w:snapToGrid w:val="0"/>
        </w:rPr>
        <w:tab/>
        <w:t>Removing guano without licence</w:t>
      </w:r>
      <w:bookmarkEnd w:id="496"/>
    </w:p>
    <w:p>
      <w:pPr>
        <w:pStyle w:val="Subsection"/>
        <w:spacing w:before="2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spacing w:before="80"/>
        <w:ind w:left="890" w:hanging="890"/>
      </w:pPr>
      <w:r>
        <w:tab/>
        <w:t>[Section 387 amended: No. 51 of 1992 s. 16(2); No. 70 of 2004 s. 34(1).]</w:t>
      </w:r>
    </w:p>
    <w:p>
      <w:pPr>
        <w:pStyle w:val="Heading5"/>
        <w:spacing w:before="260"/>
        <w:rPr>
          <w:snapToGrid w:val="0"/>
        </w:rPr>
      </w:pPr>
      <w:bookmarkStart w:id="497" w:name="_Toc88662386"/>
      <w:r>
        <w:rPr>
          <w:rStyle w:val="CharSectno"/>
        </w:rPr>
        <w:t>388</w:t>
      </w:r>
      <w:r>
        <w:rPr>
          <w:snapToGrid w:val="0"/>
        </w:rPr>
        <w:t>.</w:t>
      </w:r>
      <w:r>
        <w:rPr>
          <w:snapToGrid w:val="0"/>
        </w:rPr>
        <w:tab/>
        <w:t>Bringing stolen goods into WA</w:t>
      </w:r>
      <w:bookmarkEnd w:id="497"/>
    </w:p>
    <w:p>
      <w:pPr>
        <w:pStyle w:val="Subsection"/>
        <w:spacing w:before="2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spacing w:before="60"/>
        <w:ind w:left="890" w:hanging="890"/>
      </w:pPr>
      <w:r>
        <w:tab/>
        <w:t>[Section 388 amended: No. 70 of 2004 s. 36(3).]</w:t>
      </w:r>
    </w:p>
    <w:p>
      <w:pPr>
        <w:pStyle w:val="Heading5"/>
        <w:spacing w:before="260"/>
        <w:rPr>
          <w:snapToGrid w:val="0"/>
        </w:rPr>
      </w:pPr>
      <w:bookmarkStart w:id="498" w:name="_Toc88662387"/>
      <w:r>
        <w:rPr>
          <w:rStyle w:val="CharSectno"/>
        </w:rPr>
        <w:t>389</w:t>
      </w:r>
      <w:r>
        <w:rPr>
          <w:snapToGrid w:val="0"/>
        </w:rPr>
        <w:t>.</w:t>
      </w:r>
      <w:r>
        <w:rPr>
          <w:snapToGrid w:val="0"/>
        </w:rPr>
        <w:tab/>
        <w:t>Fraudulent disposition of mortgaged goods</w:t>
      </w:r>
      <w:bookmarkEnd w:id="498"/>
    </w:p>
    <w:p>
      <w:pPr>
        <w:pStyle w:val="Subsection"/>
        <w:spacing w:before="200"/>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spacing w:before="120"/>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spacing w:before="180"/>
        <w:rPr>
          <w:snapToGrid w:val="0"/>
        </w:rPr>
      </w:pPr>
      <w:r>
        <w:rPr>
          <w:snapToGrid w:val="0"/>
        </w:rPr>
        <w:lastRenderedPageBreak/>
        <w:tab/>
      </w:r>
      <w:r>
        <w:rPr>
          <w:snapToGrid w:val="0"/>
        </w:rPr>
        <w:tab/>
        <w:t xml:space="preserve">The term </w:t>
      </w:r>
      <w:r>
        <w:rPr>
          <w:rStyle w:val="CharDefText"/>
        </w:rPr>
        <w:t>mortgaged goods</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80"/>
        <w:rPr>
          <w:snapToGrid w:val="0"/>
        </w:rPr>
      </w:pPr>
      <w:r>
        <w:rPr>
          <w:snapToGrid w:val="0"/>
        </w:rPr>
        <w:tab/>
      </w:r>
      <w:r>
        <w:rPr>
          <w:snapToGrid w:val="0"/>
        </w:rPr>
        <w:tab/>
        <w:t>The consent of the mortgagee may be either express or implied from the nature of the property mortgaged.</w:t>
      </w:r>
    </w:p>
    <w:p>
      <w:pPr>
        <w:pStyle w:val="Subsection"/>
        <w:spacing w:before="18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ind w:left="890" w:hanging="890"/>
      </w:pPr>
      <w:r>
        <w:tab/>
        <w:t>[Section 389 amended: No. 51 of 1992 s. 16(2); No. 70 of 2004 s. 34(1).]</w:t>
      </w:r>
    </w:p>
    <w:p>
      <w:pPr>
        <w:pStyle w:val="Heading5"/>
        <w:spacing w:before="240"/>
        <w:rPr>
          <w:snapToGrid w:val="0"/>
        </w:rPr>
      </w:pPr>
      <w:bookmarkStart w:id="499" w:name="_Toc88662388"/>
      <w:r>
        <w:rPr>
          <w:rStyle w:val="CharSectno"/>
        </w:rPr>
        <w:t>390</w:t>
      </w:r>
      <w:r>
        <w:rPr>
          <w:snapToGrid w:val="0"/>
        </w:rPr>
        <w:t>.</w:t>
      </w:r>
      <w:r>
        <w:rPr>
          <w:snapToGrid w:val="0"/>
        </w:rPr>
        <w:tab/>
        <w:t>Fraudulent appropriation of electricity etc.</w:t>
      </w:r>
      <w:bookmarkEnd w:id="499"/>
    </w:p>
    <w:p>
      <w:pPr>
        <w:pStyle w:val="Subsection"/>
        <w:spacing w:before="18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ind w:left="890" w:hanging="890"/>
      </w:pPr>
      <w:r>
        <w:tab/>
        <w:t>[Section 390 amended: No. 51 of 1992 s. 16(2).]</w:t>
      </w:r>
    </w:p>
    <w:p>
      <w:pPr>
        <w:pStyle w:val="Heading5"/>
      </w:pPr>
      <w:bookmarkStart w:id="500" w:name="_Toc88662389"/>
      <w:r>
        <w:rPr>
          <w:rStyle w:val="CharSectno"/>
        </w:rPr>
        <w:t>390A</w:t>
      </w:r>
      <w:r>
        <w:t>.</w:t>
      </w:r>
      <w:r>
        <w:tab/>
        <w:t>Unlawful use of conveyance (not of motor vehicle)</w:t>
      </w:r>
      <w:bookmarkEnd w:id="500"/>
    </w:p>
    <w:p>
      <w:pPr>
        <w:pStyle w:val="Subsection"/>
      </w:pPr>
      <w:r>
        <w:tab/>
        <w:t>(1)</w:t>
      </w:r>
      <w:r>
        <w:tab/>
        <w:t>In this section —</w:t>
      </w:r>
    </w:p>
    <w:p>
      <w:pPr>
        <w:pStyle w:val="Defstart"/>
      </w:pPr>
      <w:r>
        <w:tab/>
      </w:r>
      <w:r>
        <w:rPr>
          <w:rStyle w:val="CharDefText"/>
        </w:rPr>
        <w:t>conveyance</w:t>
      </w:r>
      <w:r>
        <w:t xml:space="preserve"> does not include a motor vehicle;</w:t>
      </w:r>
    </w:p>
    <w:p>
      <w:pPr>
        <w:pStyle w:val="Defstart"/>
      </w:pPr>
      <w:r>
        <w:tab/>
      </w:r>
      <w:r>
        <w:rPr>
          <w:rStyle w:val="CharDefText"/>
        </w:rPr>
        <w:t>use</w:t>
      </w:r>
      <w:r>
        <w:t xml:space="preserve"> a conveyance, includes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spacing w:before="180"/>
      </w:pPr>
      <w:r>
        <w:lastRenderedPageBreak/>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if immediately before or during or immediately after the commission of the offence, the offender —</w:t>
      </w:r>
    </w:p>
    <w:p>
      <w:pPr>
        <w:pStyle w:val="Indenti"/>
      </w:pPr>
      <w:r>
        <w:tab/>
        <w:t>(i)</w:t>
      </w:r>
      <w:r>
        <w:tab/>
        <w:t>is armed with any dangerous or offensive weapon or instrument or pretends to be so armed; or</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No. 70 of 2004 s. 25.]</w:t>
      </w:r>
    </w:p>
    <w:p>
      <w:pPr>
        <w:pStyle w:val="Ednotesection"/>
        <w:ind w:left="890" w:hanging="890"/>
      </w:pPr>
      <w:r>
        <w:t>[</w:t>
      </w:r>
      <w:r>
        <w:rPr>
          <w:b/>
        </w:rPr>
        <w:t>390B.</w:t>
      </w:r>
      <w:r>
        <w:tab/>
        <w:t>Deleted: No. 70 of 2004 s. 26.]</w:t>
      </w:r>
    </w:p>
    <w:p>
      <w:pPr>
        <w:pStyle w:val="Heading3"/>
        <w:keepNext w:val="0"/>
        <w:rPr>
          <w:snapToGrid w:val="0"/>
        </w:rPr>
      </w:pPr>
      <w:bookmarkStart w:id="501" w:name="_Toc88569947"/>
      <w:bookmarkStart w:id="502" w:name="_Toc88570469"/>
      <w:bookmarkStart w:id="503" w:name="_Toc88570991"/>
      <w:bookmarkStart w:id="504" w:name="_Toc88662390"/>
      <w:r>
        <w:rPr>
          <w:rStyle w:val="CharDivNo"/>
        </w:rPr>
        <w:t>Chapter XXXVIII</w:t>
      </w:r>
      <w:r>
        <w:rPr>
          <w:snapToGrid w:val="0"/>
        </w:rPr>
        <w:t> — </w:t>
      </w:r>
      <w:r>
        <w:rPr>
          <w:rStyle w:val="CharDivText"/>
        </w:rPr>
        <w:t>Robbery: Extortion by threats</w:t>
      </w:r>
      <w:bookmarkEnd w:id="501"/>
      <w:bookmarkEnd w:id="502"/>
      <w:bookmarkEnd w:id="503"/>
      <w:bookmarkEnd w:id="504"/>
    </w:p>
    <w:p>
      <w:pPr>
        <w:pStyle w:val="Footnoteheading"/>
      </w:pPr>
      <w:r>
        <w:tab/>
        <w:t>[Heading amended: No. 23 of 2001 s. 8.]</w:t>
      </w:r>
    </w:p>
    <w:p>
      <w:pPr>
        <w:pStyle w:val="Heading5"/>
        <w:keepNext w:val="0"/>
        <w:keepLines w:val="0"/>
      </w:pPr>
      <w:bookmarkStart w:id="505" w:name="_Toc88662391"/>
      <w:r>
        <w:rPr>
          <w:rStyle w:val="CharSectno"/>
        </w:rPr>
        <w:t>391</w:t>
      </w:r>
      <w:r>
        <w:t>.</w:t>
      </w:r>
      <w:r>
        <w:tab/>
        <w:t>Term used: circumstances of aggravation</w:t>
      </w:r>
      <w:bookmarkEnd w:id="505"/>
    </w:p>
    <w:p>
      <w:pPr>
        <w:pStyle w:val="Subsection"/>
      </w:pPr>
      <w:r>
        <w:tab/>
      </w:r>
      <w:r>
        <w:tab/>
        <w:t>In sections 392 and 393 —</w:t>
      </w:r>
    </w:p>
    <w:p>
      <w:pPr>
        <w:pStyle w:val="Defstart"/>
      </w:pPr>
      <w:r>
        <w:tab/>
      </w:r>
      <w:r>
        <w:rPr>
          <w:rStyle w:val="CharDefText"/>
        </w:rPr>
        <w:t>circumstances of aggravation</w:t>
      </w:r>
      <w:r>
        <w:t xml:space="preserve"> means circumstances in which —</w:t>
      </w:r>
    </w:p>
    <w:p>
      <w:pPr>
        <w:pStyle w:val="Defpara"/>
      </w:pPr>
      <w:r>
        <w:tab/>
        <w:t>(a)</w:t>
      </w:r>
      <w:r>
        <w:tab/>
        <w:t>immediately before or at or immediately after the commission of the offence —</w:t>
      </w:r>
    </w:p>
    <w:p>
      <w:pPr>
        <w:pStyle w:val="Defsubpara"/>
        <w:keepLines w:val="0"/>
      </w:pPr>
      <w:r>
        <w:tab/>
        <w:t>(i)</w:t>
      </w:r>
      <w:r>
        <w:tab/>
        <w:t>the offender is in company with another person or persons; or</w:t>
      </w:r>
    </w:p>
    <w:p>
      <w:pPr>
        <w:pStyle w:val="Defsubpara"/>
        <w:keepLines w:val="0"/>
      </w:pPr>
      <w:r>
        <w:tab/>
        <w:t>(ii)</w:t>
      </w:r>
      <w:r>
        <w:tab/>
        <w:t>the offender does bodily harm to any person; or</w:t>
      </w:r>
    </w:p>
    <w:p>
      <w:pPr>
        <w:pStyle w:val="Defsubpara"/>
        <w:keepNext/>
      </w:pPr>
      <w:r>
        <w:lastRenderedPageBreak/>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No. 23 of 2001 s. 9.]</w:t>
      </w:r>
    </w:p>
    <w:p>
      <w:pPr>
        <w:pStyle w:val="Heading5"/>
        <w:spacing w:before="240"/>
      </w:pPr>
      <w:bookmarkStart w:id="506" w:name="_Toc88662392"/>
      <w:r>
        <w:rPr>
          <w:rStyle w:val="CharSectno"/>
        </w:rPr>
        <w:t>392</w:t>
      </w:r>
      <w:r>
        <w:t>.</w:t>
      </w:r>
      <w:r>
        <w:tab/>
        <w:t>Robbery</w:t>
      </w:r>
      <w:bookmarkEnd w:id="506"/>
    </w:p>
    <w:p>
      <w:pPr>
        <w:pStyle w:val="Subsection"/>
        <w:spacing w:before="180"/>
      </w:pPr>
      <w:r>
        <w:tab/>
      </w:r>
      <w:r>
        <w:tab/>
        <w:t>A person who steals a thing and, immediately before or at the time of or immediately after doing so, uses or threatens to use violence to any person or property in order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is guilty of a crime and is liable —</w:t>
      </w:r>
    </w:p>
    <w:p>
      <w:pPr>
        <w:pStyle w:val="Indenta"/>
      </w:pPr>
      <w:r>
        <w:tab/>
        <w:t>(c)</w:t>
      </w:r>
      <w:r>
        <w:tab/>
        <w:t>if immediately before or at or immediately after the commission of the offence the offender is armed with any dangerous or offensive weapon or instrument or pretends to be so armed, to imprisonment for life; or</w:t>
      </w:r>
    </w:p>
    <w:p>
      <w:pPr>
        <w:pStyle w:val="Indenta"/>
      </w:pPr>
      <w:r>
        <w:tab/>
        <w:t>(d)</w:t>
      </w:r>
      <w:r>
        <w:tab/>
        <w:t>if the offence is committed in circumstances of aggravation, to imprisonment for 20 years; or</w:t>
      </w:r>
    </w:p>
    <w:p>
      <w:pPr>
        <w:pStyle w:val="Indenta"/>
        <w:keepNext/>
      </w:pPr>
      <w:r>
        <w:tab/>
        <w:t>(e)</w:t>
      </w:r>
      <w:r>
        <w:tab/>
        <w:t>in any other case, to imprisonment for 14 years.</w:t>
      </w:r>
    </w:p>
    <w:p>
      <w:pPr>
        <w:pStyle w:val="Penstart"/>
        <w:keepLines/>
        <w:spacing w:before="120"/>
      </w:pPr>
      <w:r>
        <w:tab/>
        <w:t>Alternative offence: s. 68, 297, 313, 317, 317A, 378 or 393.</w:t>
      </w:r>
    </w:p>
    <w:p>
      <w:pPr>
        <w:pStyle w:val="Footnotesection"/>
      </w:pPr>
      <w:r>
        <w:tab/>
        <w:t>[Section 392 inserted: No. 23 of 2001 s. 9; amended: No. 70 of 2004 s. 36(3).]</w:t>
      </w:r>
    </w:p>
    <w:p>
      <w:pPr>
        <w:pStyle w:val="Heading5"/>
      </w:pPr>
      <w:bookmarkStart w:id="507" w:name="_Toc88662393"/>
      <w:r>
        <w:rPr>
          <w:rStyle w:val="CharSectno"/>
        </w:rPr>
        <w:t>393</w:t>
      </w:r>
      <w:r>
        <w:t>.</w:t>
      </w:r>
      <w:r>
        <w:tab/>
        <w:t>Assault with intent to rob</w:t>
      </w:r>
      <w:bookmarkEnd w:id="507"/>
    </w:p>
    <w:p>
      <w:pPr>
        <w:pStyle w:val="Subsection"/>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keepNext/>
        <w:keepLines/>
      </w:pPr>
      <w:r>
        <w:lastRenderedPageBreak/>
        <w:tab/>
        <w:t>(b)</w:t>
      </w:r>
      <w:r>
        <w:tab/>
        <w:t>to prevent or overcome resistance to its being stolen,</w:t>
      </w:r>
    </w:p>
    <w:p>
      <w:pPr>
        <w:pStyle w:val="Subsection"/>
        <w:keepNext/>
        <w:keepLines/>
        <w:spacing w:before="180"/>
      </w:pPr>
      <w:r>
        <w:tab/>
      </w:r>
      <w:r>
        <w:tab/>
        <w:t xml:space="preserve">is guilty of a </w:t>
      </w:r>
      <w:r>
        <w:rPr>
          <w:snapToGrid w:val="0"/>
        </w:rPr>
        <w:t>c</w:t>
      </w:r>
      <w:r>
        <w:t>rime and is liable —</w:t>
      </w:r>
    </w:p>
    <w:p>
      <w:pPr>
        <w:pStyle w:val="Indenta"/>
        <w:keepNext/>
        <w:keepLines/>
      </w:pPr>
      <w:r>
        <w:tab/>
        <w:t>(c)</w:t>
      </w:r>
      <w:r>
        <w:tab/>
        <w:t>if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 or</w:t>
      </w:r>
    </w:p>
    <w:p>
      <w:pPr>
        <w:pStyle w:val="Indenta"/>
      </w:pPr>
      <w:r>
        <w:tab/>
        <w:t>(d)</w:t>
      </w:r>
      <w:r>
        <w:tab/>
        <w:t>if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keepNext/>
        <w:keepLines/>
      </w:pPr>
      <w:r>
        <w:tab/>
        <w:t>(e)</w:t>
      </w:r>
      <w:r>
        <w:tab/>
        <w:t>in any other case, to imprisonment for 10 years.</w:t>
      </w:r>
    </w:p>
    <w:p>
      <w:pPr>
        <w:pStyle w:val="Penstart"/>
        <w:keepNext/>
        <w:keepLines/>
      </w:pPr>
      <w:r>
        <w:tab/>
        <w:t>Alternative offence: s. 68, 297, 313, 317 or 317A.</w:t>
      </w:r>
    </w:p>
    <w:p>
      <w:pPr>
        <w:pStyle w:val="Footnotesection"/>
        <w:ind w:left="890" w:hanging="890"/>
      </w:pPr>
      <w:r>
        <w:tab/>
        <w:t>[Section 393 inserted: No. 23 of 2001 s. 9; amended: No. 70 of 2004 s. 36(3).]</w:t>
      </w:r>
    </w:p>
    <w:p>
      <w:pPr>
        <w:pStyle w:val="Ednotesection"/>
        <w:spacing w:before="180"/>
      </w:pPr>
      <w:r>
        <w:t>[</w:t>
      </w:r>
      <w:r>
        <w:rPr>
          <w:b/>
        </w:rPr>
        <w:t>394.</w:t>
      </w:r>
      <w:r>
        <w:tab/>
        <w:t>Deleted: No. 23 of 2001 s. 9.]</w:t>
      </w:r>
    </w:p>
    <w:p>
      <w:pPr>
        <w:pStyle w:val="Ednotesection"/>
        <w:spacing w:before="180"/>
        <w:ind w:left="890" w:hanging="890"/>
      </w:pPr>
      <w:r>
        <w:t>[</w:t>
      </w:r>
      <w:r>
        <w:rPr>
          <w:b/>
        </w:rPr>
        <w:t>395.</w:t>
      </w:r>
      <w:r>
        <w:tab/>
        <w:t>Deleted: No. 36 of 1996 s. 21.]</w:t>
      </w:r>
    </w:p>
    <w:p>
      <w:pPr>
        <w:pStyle w:val="Heading5"/>
        <w:spacing w:before="180"/>
        <w:rPr>
          <w:snapToGrid w:val="0"/>
        </w:rPr>
      </w:pPr>
      <w:bookmarkStart w:id="508" w:name="_Toc88662394"/>
      <w:r>
        <w:rPr>
          <w:rStyle w:val="CharSectno"/>
        </w:rPr>
        <w:t>396</w:t>
      </w:r>
      <w:r>
        <w:rPr>
          <w:snapToGrid w:val="0"/>
        </w:rPr>
        <w:t>.</w:t>
      </w:r>
      <w:r>
        <w:rPr>
          <w:snapToGrid w:val="0"/>
        </w:rPr>
        <w:tab/>
        <w:t>Demanding property with threats with intent to steal</w:t>
      </w:r>
      <w:bookmarkEnd w:id="508"/>
    </w:p>
    <w:p>
      <w:pPr>
        <w:pStyle w:val="Subsection"/>
        <w:spacing w:before="120"/>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spacing w:before="80"/>
        <w:ind w:left="890" w:hanging="890"/>
      </w:pPr>
      <w:r>
        <w:tab/>
        <w:t>[Section 396 amended: No. 51 of 1992 s. 16(2).]</w:t>
      </w:r>
    </w:p>
    <w:p>
      <w:pPr>
        <w:pStyle w:val="Heading5"/>
        <w:spacing w:before="180"/>
        <w:rPr>
          <w:snapToGrid w:val="0"/>
          <w:spacing w:val="-4"/>
        </w:rPr>
      </w:pPr>
      <w:bookmarkStart w:id="509" w:name="_Toc88662395"/>
      <w:r>
        <w:rPr>
          <w:rStyle w:val="CharSectno"/>
        </w:rPr>
        <w:lastRenderedPageBreak/>
        <w:t>397</w:t>
      </w:r>
      <w:r>
        <w:rPr>
          <w:snapToGrid w:val="0"/>
        </w:rPr>
        <w:t>.</w:t>
      </w:r>
      <w:r>
        <w:rPr>
          <w:snapToGrid w:val="0"/>
        </w:rPr>
        <w:tab/>
        <w:t xml:space="preserve">Demanding property </w:t>
      </w:r>
      <w:r>
        <w:rPr>
          <w:snapToGrid w:val="0"/>
          <w:spacing w:val="-4"/>
        </w:rPr>
        <w:t>with threats with intent to extort or gain</w:t>
      </w:r>
      <w:bookmarkEnd w:id="509"/>
    </w:p>
    <w:p>
      <w:pPr>
        <w:pStyle w:val="Subsection"/>
        <w:rPr>
          <w:snapToGrid w:val="0"/>
        </w:rPr>
      </w:pPr>
      <w:r>
        <w:rPr>
          <w:snapToGrid w:val="0"/>
        </w:rPr>
        <w:tab/>
      </w:r>
      <w:r>
        <w:rPr>
          <w:snapToGrid w:val="0"/>
        </w:rPr>
        <w:tab/>
        <w:t>Any person who, with intent to extort or gain anything from any person,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keepLines/>
        <w:rPr>
          <w:snapToGrid w:val="0"/>
        </w:rPr>
      </w:pPr>
      <w:r>
        <w:rPr>
          <w:snapToGrid w:val="0"/>
        </w:rPr>
        <w:tab/>
      </w:r>
      <w:r>
        <w:rPr>
          <w:snapToGrid w:val="0"/>
        </w:rPr>
        <w:tab/>
        <w:t>is guilty of a crime, and is liable to imprisonment for 14 years.</w:t>
      </w:r>
    </w:p>
    <w:p>
      <w:pPr>
        <w:pStyle w:val="Penstart"/>
        <w:keepLines/>
      </w:pPr>
      <w:r>
        <w:tab/>
        <w:t>Alternative offence: s. 338A or 338B.</w:t>
      </w:r>
    </w:p>
    <w:p>
      <w:pPr>
        <w:pStyle w:val="Subsection"/>
        <w:rPr>
          <w:snapToGrid w:val="0"/>
        </w:rPr>
      </w:pPr>
      <w:r>
        <w:rPr>
          <w:snapToGrid w:val="0"/>
        </w:rPr>
        <w:tab/>
      </w:r>
      <w:r>
        <w:rPr>
          <w:snapToGrid w:val="0"/>
        </w:rPr>
        <w:tab/>
        <w:t xml:space="preserve">The term </w:t>
      </w:r>
      <w:r>
        <w:rPr>
          <w:rStyle w:val="CharDefText"/>
        </w:rPr>
        <w:t>writing</w:t>
      </w:r>
      <w:r>
        <w:rPr>
          <w:snapToGrid w:val="0"/>
        </w:rPr>
        <w:t xml:space="preserve"> includes any gramophone record, wire, tape, or other thing by which words or sounds are recorded and from which they are capable of being reproduced.</w:t>
      </w:r>
    </w:p>
    <w:p>
      <w:pPr>
        <w:pStyle w:val="Footnotesection"/>
        <w:keepLines w:val="0"/>
      </w:pPr>
      <w:r>
        <w:tab/>
        <w:t>[Section 397 inserted: No. 1 of 1969 s. 3; amended: No. 51 of 1992 s. 16(2); No. 70 of 2004 s. 36(9).]</w:t>
      </w:r>
    </w:p>
    <w:p>
      <w:pPr>
        <w:pStyle w:val="Heading5"/>
        <w:spacing w:before="240"/>
        <w:rPr>
          <w:snapToGrid w:val="0"/>
        </w:rPr>
      </w:pPr>
      <w:bookmarkStart w:id="510" w:name="_Toc88662396"/>
      <w:r>
        <w:rPr>
          <w:rStyle w:val="CharSectno"/>
        </w:rPr>
        <w:t>398</w:t>
      </w:r>
      <w:r>
        <w:rPr>
          <w:snapToGrid w:val="0"/>
        </w:rPr>
        <w:t>.</w:t>
      </w:r>
      <w:r>
        <w:rPr>
          <w:snapToGrid w:val="0"/>
        </w:rPr>
        <w:tab/>
        <w:t>Threats etc. with intent to extort etc.</w:t>
      </w:r>
      <w:bookmarkEnd w:id="510"/>
    </w:p>
    <w:p>
      <w:pPr>
        <w:pStyle w:val="Subsection"/>
        <w:rPr>
          <w:snapToGrid w:val="0"/>
        </w:rPr>
      </w:pPr>
      <w:r>
        <w:rPr>
          <w:snapToGrid w:val="0"/>
        </w:rPr>
        <w:tab/>
      </w:r>
      <w:r>
        <w:rPr>
          <w:snapToGrid w:val="0"/>
        </w:rPr>
        <w:tab/>
        <w:t>Any person who, with intent to extort or gain anything from any person —</w:t>
      </w:r>
    </w:p>
    <w:p>
      <w:pPr>
        <w:pStyle w:val="Indenta"/>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lastRenderedPageBreak/>
        <w:tab/>
        <w:t>(2)</w:t>
      </w:r>
      <w:r>
        <w:rPr>
          <w:snapToGrid w:val="0"/>
        </w:rPr>
        <w:tab/>
        <w:t>Threatens that any person shall be accused by any other person of any indictable offence or of any such act; or</w:t>
      </w:r>
    </w:p>
    <w:p>
      <w:pPr>
        <w:pStyle w:val="Indenta"/>
        <w:keepLines/>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keepLines/>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w:t>
      </w:r>
    </w:p>
    <w:p>
      <w:pPr>
        <w:pStyle w:val="Indenta"/>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spacing w:before="80"/>
      </w:pPr>
      <w:r>
        <w:tab/>
        <w:t>[(d)</w:t>
      </w:r>
      <w:r>
        <w:tab/>
        <w:t>deleted]</w:t>
      </w:r>
    </w:p>
    <w:p>
      <w:pPr>
        <w:pStyle w:val="Indenta"/>
        <w:keepNext/>
        <w:keepLines/>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keepNext/>
        <w:keepLines/>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No. 118 of 1981 s. 4; No. 52 of 1984 s. 21; No. 74 of 1985 s. 11; No. 101 of 1990 s. 22; No. 14 of 1992 s. 6(6); No. 51 of 1992 s. 16(2).]</w:t>
      </w:r>
    </w:p>
    <w:p>
      <w:pPr>
        <w:pStyle w:val="Heading5"/>
        <w:rPr>
          <w:snapToGrid w:val="0"/>
        </w:rPr>
      </w:pPr>
      <w:bookmarkStart w:id="511" w:name="_Toc88662397"/>
      <w:r>
        <w:rPr>
          <w:rStyle w:val="CharSectno"/>
        </w:rPr>
        <w:t>399</w:t>
      </w:r>
      <w:r>
        <w:rPr>
          <w:snapToGrid w:val="0"/>
        </w:rPr>
        <w:t>.</w:t>
      </w:r>
      <w:r>
        <w:rPr>
          <w:snapToGrid w:val="0"/>
        </w:rPr>
        <w:tab/>
        <w:t>Procuring execution of deed etc. by threat etc. with intent to defraud</w:t>
      </w:r>
      <w:bookmarkEnd w:id="511"/>
    </w:p>
    <w:p>
      <w:pPr>
        <w:pStyle w:val="Subsection"/>
        <w:rPr>
          <w:snapToGrid w:val="0"/>
        </w:rPr>
      </w:pPr>
      <w:r>
        <w:rPr>
          <w:snapToGrid w:val="0"/>
        </w:rPr>
        <w:tab/>
      </w:r>
      <w:r>
        <w:rPr>
          <w:snapToGrid w:val="0"/>
        </w:rPr>
        <w:tab/>
        <w:t xml:space="preserve">Any person who, with intent to defraud, and by means of any unlawful violence to, or restraint of, the person of another, or by </w:t>
      </w:r>
      <w:r>
        <w:rPr>
          <w:snapToGrid w:val="0"/>
        </w:rPr>
        <w:lastRenderedPageBreak/>
        <w:t>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w:t>
      </w:r>
    </w:p>
    <w:p>
      <w:pPr>
        <w:pStyle w:val="Indenta"/>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ind w:left="890" w:hanging="890"/>
      </w:pPr>
      <w:r>
        <w:tab/>
        <w:t>[Section 399 amended: No. 51 of 1992 s. 16(2).]</w:t>
      </w:r>
    </w:p>
    <w:p>
      <w:pPr>
        <w:pStyle w:val="Ednotesection"/>
        <w:spacing w:before="240"/>
        <w:ind w:left="890" w:hanging="890"/>
      </w:pPr>
      <w:r>
        <w:t>[</w:t>
      </w:r>
      <w:r>
        <w:rPr>
          <w:b/>
        </w:rPr>
        <w:t>399A.</w:t>
      </w:r>
      <w:r>
        <w:rPr>
          <w:b/>
        </w:rPr>
        <w:tab/>
      </w:r>
      <w:r>
        <w:t>Deleted: No. 4 of 2004 s. 65.]</w:t>
      </w:r>
    </w:p>
    <w:p>
      <w:pPr>
        <w:pStyle w:val="Heading3"/>
        <w:rPr>
          <w:snapToGrid w:val="0"/>
        </w:rPr>
      </w:pPr>
      <w:bookmarkStart w:id="512" w:name="_Toc88569955"/>
      <w:bookmarkStart w:id="513" w:name="_Toc88570477"/>
      <w:bookmarkStart w:id="514" w:name="_Toc88570999"/>
      <w:bookmarkStart w:id="515" w:name="_Toc88662398"/>
      <w:r>
        <w:rPr>
          <w:rStyle w:val="CharDivNo"/>
        </w:rPr>
        <w:t>Chapter XXXIX</w:t>
      </w:r>
      <w:r>
        <w:rPr>
          <w:snapToGrid w:val="0"/>
        </w:rPr>
        <w:t> — </w:t>
      </w:r>
      <w:r>
        <w:rPr>
          <w:rStyle w:val="CharDivText"/>
        </w:rPr>
        <w:t>Offences in or in respect of buildings etc.</w:t>
      </w:r>
      <w:bookmarkEnd w:id="512"/>
      <w:bookmarkEnd w:id="513"/>
      <w:bookmarkEnd w:id="514"/>
      <w:bookmarkEnd w:id="515"/>
    </w:p>
    <w:p>
      <w:pPr>
        <w:pStyle w:val="Footnoteheading"/>
      </w:pPr>
      <w:r>
        <w:tab/>
        <w:t>[Heading inserted: No. 37 of 1991 s. 12.]</w:t>
      </w:r>
    </w:p>
    <w:p>
      <w:pPr>
        <w:pStyle w:val="Heading5"/>
        <w:keepNext w:val="0"/>
        <w:rPr>
          <w:snapToGrid w:val="0"/>
        </w:rPr>
      </w:pPr>
      <w:bookmarkStart w:id="516" w:name="_Toc88662399"/>
      <w:r>
        <w:rPr>
          <w:rStyle w:val="CharSectno"/>
        </w:rPr>
        <w:t>400</w:t>
      </w:r>
      <w:r>
        <w:rPr>
          <w:snapToGrid w:val="0"/>
        </w:rPr>
        <w:t>.</w:t>
      </w:r>
      <w:r>
        <w:rPr>
          <w:snapToGrid w:val="0"/>
        </w:rPr>
        <w:tab/>
        <w:t>Terms used</w:t>
      </w:r>
      <w:bookmarkEnd w:id="516"/>
    </w:p>
    <w:p>
      <w:pPr>
        <w:pStyle w:val="Subsection"/>
      </w:pPr>
      <w:r>
        <w:tab/>
        <w:t>(1)</w:t>
      </w:r>
      <w:r>
        <w:tab/>
        <w:t>In this Chapter —</w:t>
      </w:r>
    </w:p>
    <w:p>
      <w:pPr>
        <w:pStyle w:val="Defstart"/>
      </w:pPr>
      <w:r>
        <w:rPr>
          <w:b/>
        </w:rPr>
        <w:tab/>
      </w:r>
      <w:r>
        <w:rPr>
          <w:rStyle w:val="CharDefText"/>
        </w:rPr>
        <w:t>circumstances of aggravation</w:t>
      </w:r>
      <w:r>
        <w:t xml:space="preserve"> means circumstances in which —</w:t>
      </w:r>
    </w:p>
    <w:p>
      <w:pPr>
        <w:pStyle w:val="Defpara"/>
      </w:pPr>
      <w:r>
        <w:tab/>
        <w:t>(a)</w:t>
      </w:r>
      <w:r>
        <w:tab/>
        <w:t>immediately before or during or immediately after the commission of the offence the offender —</w:t>
      </w:r>
    </w:p>
    <w:p>
      <w:pPr>
        <w:pStyle w:val="Defsubpara"/>
        <w:keepLines w:val="0"/>
      </w:pPr>
      <w:r>
        <w:tab/>
        <w:t>(i)</w:t>
      </w:r>
      <w:r>
        <w:tab/>
        <w:t>is or pretends to be armed with a dangerous or offensive weapon or instrument; or</w:t>
      </w:r>
    </w:p>
    <w:p>
      <w:pPr>
        <w:pStyle w:val="Defsubpara"/>
        <w:keepLines w:val="0"/>
      </w:pPr>
      <w:r>
        <w:tab/>
        <w:t>(ii)</w:t>
      </w:r>
      <w:r>
        <w:tab/>
        <w:t>is or pretends to be in possession of an explosive substance; or</w:t>
      </w:r>
    </w:p>
    <w:p>
      <w:pPr>
        <w:pStyle w:val="Defsubpara"/>
        <w:keepLines w:val="0"/>
      </w:pPr>
      <w:r>
        <w:tab/>
        <w:t>(iii)</w:t>
      </w:r>
      <w:r>
        <w:tab/>
        <w:t>is in company with another person or other persons; or</w:t>
      </w:r>
    </w:p>
    <w:p>
      <w:pPr>
        <w:pStyle w:val="Defsubpara"/>
        <w:keepLines w:val="0"/>
      </w:pPr>
      <w:r>
        <w:tab/>
        <w:t>(iv)</w:t>
      </w:r>
      <w:r>
        <w:tab/>
        <w:t>does bodily harm to any person; or</w:t>
      </w:r>
    </w:p>
    <w:p>
      <w:pPr>
        <w:pStyle w:val="Defsubpara"/>
        <w:keepLines w:val="0"/>
        <w:tabs>
          <w:tab w:val="left" w:pos="3720"/>
        </w:tabs>
      </w:pPr>
      <w:r>
        <w:tab/>
        <w:t>(v)</w:t>
      </w:r>
      <w:r>
        <w:tab/>
        <w:t>threatens to kill or injure any person; or</w:t>
      </w:r>
    </w:p>
    <w:p>
      <w:pPr>
        <w:pStyle w:val="Defsubpara"/>
        <w:keepLines w:val="0"/>
        <w:spacing w:before="60"/>
      </w:pPr>
      <w:r>
        <w:lastRenderedPageBreak/>
        <w:tab/>
        <w:t>(vi)</w:t>
      </w:r>
      <w:r>
        <w:tab/>
        <w:t>detains any person (within the meaning of section 332(1));</w:t>
      </w:r>
    </w:p>
    <w:p>
      <w:pPr>
        <w:pStyle w:val="Defpara"/>
        <w:spacing w:before="60"/>
      </w:pPr>
      <w:r>
        <w:tab/>
      </w:r>
      <w:r>
        <w:tab/>
        <w:t>or</w:t>
      </w:r>
    </w:p>
    <w:p>
      <w:pPr>
        <w:pStyle w:val="Defpara"/>
        <w:spacing w:before="60"/>
      </w:pPr>
      <w:r>
        <w:tab/>
        <w:t>(b)</w:t>
      </w:r>
      <w:r>
        <w:tab/>
        <w:t>immediately before the commission of the offence the offender knew or ought to have known that there was another person (other than a co</w:t>
      </w:r>
      <w:r>
        <w:noBreakHyphen/>
        <w:t>offender) in the place;</w:t>
      </w:r>
    </w:p>
    <w:p>
      <w:pPr>
        <w:pStyle w:val="Defstart"/>
        <w:spacing w:before="60"/>
      </w:pPr>
      <w:r>
        <w:rPr>
          <w:b/>
        </w:rPr>
        <w:tab/>
      </w:r>
      <w:r>
        <w:rPr>
          <w:rStyle w:val="CharDefText"/>
        </w:rPr>
        <w:t>commencement day</w:t>
      </w:r>
      <w:r>
        <w:t xml:space="preserve"> means the day on which the</w:t>
      </w:r>
      <w:r>
        <w:rPr>
          <w:i/>
        </w:rPr>
        <w:t xml:space="preserve"> Criminal Law Amendment (Home Burglary and Other Offences) Act 2015 </w:t>
      </w:r>
      <w:r>
        <w:t>section 19 comes into operation;</w:t>
      </w:r>
    </w:p>
    <w:p>
      <w:pPr>
        <w:pStyle w:val="Defstart"/>
        <w:spacing w:before="60"/>
      </w:pPr>
      <w:r>
        <w:rPr>
          <w:b/>
        </w:rPr>
        <w:tab/>
      </w:r>
      <w:r>
        <w:rPr>
          <w:rStyle w:val="CharDefText"/>
        </w:rPr>
        <w:t>place</w:t>
      </w:r>
      <w:r>
        <w:t xml:space="preserve"> means a building, structure, tent, or conveyance, or a part of a building, structure, tent, or conveyance, and includes —</w:t>
      </w:r>
    </w:p>
    <w:p>
      <w:pPr>
        <w:pStyle w:val="Defpara"/>
        <w:spacing w:before="60"/>
      </w:pPr>
      <w:r>
        <w:tab/>
        <w:t>(a)</w:t>
      </w:r>
      <w:r>
        <w:tab/>
        <w:t>a conveyance that at the time of an offence is immovable; or</w:t>
      </w:r>
    </w:p>
    <w:p>
      <w:pPr>
        <w:pStyle w:val="Defpara"/>
        <w:spacing w:before="60"/>
      </w:pPr>
      <w:r>
        <w:tab/>
        <w:t>(b)</w:t>
      </w:r>
      <w:r>
        <w:tab/>
        <w:t>a place that is from time to time uninhabited or empty of property.</w:t>
      </w:r>
    </w:p>
    <w:p>
      <w:pPr>
        <w:pStyle w:val="Subsection"/>
        <w:spacing w:before="120"/>
      </w:pPr>
      <w:r>
        <w:tab/>
        <w:t>(2)</w:t>
      </w:r>
      <w:r>
        <w:tab/>
        <w:t>For the purposes of this Chapter a person enters or is in a place as soon as —</w:t>
      </w:r>
    </w:p>
    <w:p>
      <w:pPr>
        <w:pStyle w:val="Indenta"/>
        <w:spacing w:before="60"/>
        <w:rPr>
          <w:snapToGrid w:val="0"/>
        </w:rPr>
      </w:pPr>
      <w:r>
        <w:rPr>
          <w:snapToGrid w:val="0"/>
        </w:rPr>
        <w:tab/>
        <w:t>(a)</w:t>
      </w:r>
      <w:r>
        <w:rPr>
          <w:snapToGrid w:val="0"/>
        </w:rPr>
        <w:tab/>
        <w:t>any part of the person’s body; or</w:t>
      </w:r>
    </w:p>
    <w:p>
      <w:pPr>
        <w:pStyle w:val="Indenta"/>
        <w:spacing w:before="60"/>
        <w:rPr>
          <w:snapToGrid w:val="0"/>
        </w:rPr>
      </w:pPr>
      <w:r>
        <w:rPr>
          <w:snapToGrid w:val="0"/>
        </w:rPr>
        <w:tab/>
        <w:t>(b)</w:t>
      </w:r>
      <w:r>
        <w:rPr>
          <w:snapToGrid w:val="0"/>
        </w:rPr>
        <w:tab/>
        <w:t>any part of anything in the person’s possession or under the person’s control,</w:t>
      </w:r>
    </w:p>
    <w:p>
      <w:pPr>
        <w:pStyle w:val="Subsection"/>
        <w:spacing w:before="120"/>
        <w:rPr>
          <w:snapToGrid w:val="0"/>
        </w:rPr>
      </w:pPr>
      <w:r>
        <w:rPr>
          <w:snapToGrid w:val="0"/>
        </w:rPr>
        <w:tab/>
      </w:r>
      <w:r>
        <w:rPr>
          <w:snapToGrid w:val="0"/>
        </w:rPr>
        <w:tab/>
        <w:t>is in the place.</w:t>
      </w:r>
    </w:p>
    <w:p>
      <w:pPr>
        <w:pStyle w:val="Footnotesection"/>
        <w:spacing w:before="80"/>
        <w:ind w:left="890" w:hanging="890"/>
      </w:pPr>
      <w:r>
        <w:tab/>
        <w:t>[Section 400 inserted: No. 37 of 1991 s. 13; amended: No. 60 of 1996 s. 4</w:t>
      </w:r>
      <w:r>
        <w:rPr>
          <w:vertAlign w:val="superscript"/>
        </w:rPr>
        <w:t> </w:t>
      </w:r>
      <w:r>
        <w:rPr>
          <w:i w:val="0"/>
          <w:vertAlign w:val="superscript"/>
        </w:rPr>
        <w:t>6</w:t>
      </w:r>
      <w:r>
        <w:t>; No. 29 of 1998 s. 6; No. 25 of 2015 s. 19.]</w:t>
      </w:r>
    </w:p>
    <w:p>
      <w:pPr>
        <w:pStyle w:val="Heading5"/>
        <w:spacing w:before="180"/>
        <w:rPr>
          <w:snapToGrid w:val="0"/>
        </w:rPr>
      </w:pPr>
      <w:bookmarkStart w:id="517" w:name="_Toc88662400"/>
      <w:r>
        <w:rPr>
          <w:rStyle w:val="CharSectno"/>
        </w:rPr>
        <w:t>401A</w:t>
      </w:r>
      <w:r>
        <w:rPr>
          <w:snapToGrid w:val="0"/>
        </w:rPr>
        <w:t>.</w:t>
      </w:r>
      <w:r>
        <w:rPr>
          <w:snapToGrid w:val="0"/>
        </w:rPr>
        <w:tab/>
        <w:t>Term used: relevant conviction</w:t>
      </w:r>
      <w:bookmarkEnd w:id="517"/>
    </w:p>
    <w:p>
      <w:pPr>
        <w:pStyle w:val="Subsection"/>
        <w:spacing w:before="120"/>
      </w:pPr>
      <w:r>
        <w:tab/>
        <w:t>(1)</w:t>
      </w:r>
      <w:r>
        <w:tab/>
        <w:t xml:space="preserve">For the purposes of this Chapter, subject to subsections (2), (3) and (4), a person’s conviction for a home burglary is a </w:t>
      </w:r>
      <w:r>
        <w:rPr>
          <w:rStyle w:val="CharDefText"/>
        </w:rPr>
        <w:t>relevant conviction</w:t>
      </w:r>
      <w:r>
        <w:t xml:space="preserve"> for that person if — </w:t>
      </w:r>
    </w:p>
    <w:p>
      <w:pPr>
        <w:pStyle w:val="Indenta"/>
      </w:pPr>
      <w:r>
        <w:tab/>
        <w:t>(a)</w:t>
      </w:r>
      <w:r>
        <w:tab/>
        <w:t>the home burglary was committed before the commencement day and either —</w:t>
      </w:r>
    </w:p>
    <w:p>
      <w:pPr>
        <w:pStyle w:val="Indenti"/>
        <w:spacing w:before="60"/>
      </w:pPr>
      <w:r>
        <w:tab/>
        <w:t>(i)</w:t>
      </w:r>
      <w:r>
        <w:tab/>
        <w:t xml:space="preserve">it is the person’s first conviction for a home burglary (the person’s </w:t>
      </w:r>
      <w:r>
        <w:rPr>
          <w:rStyle w:val="CharDefText"/>
        </w:rPr>
        <w:t>first relevant conviction</w:t>
      </w:r>
      <w:r>
        <w:t>); or</w:t>
      </w:r>
    </w:p>
    <w:p>
      <w:pPr>
        <w:pStyle w:val="Indenti"/>
      </w:pPr>
      <w:r>
        <w:lastRenderedPageBreak/>
        <w:tab/>
        <w:t>(ii)</w:t>
      </w:r>
      <w:r>
        <w:tab/>
        <w:t xml:space="preserve">it is the person’s first conviction for a home burglary committed after the date on which the person’s first relevant conviction was recorded (the person’s </w:t>
      </w:r>
      <w:r>
        <w:rPr>
          <w:rStyle w:val="CharDefText"/>
        </w:rPr>
        <w:t>second relevant conviction</w:t>
      </w:r>
      <w:r>
        <w:t>); or</w:t>
      </w:r>
    </w:p>
    <w:p>
      <w:pPr>
        <w:pStyle w:val="Indenti"/>
      </w:pPr>
      <w:r>
        <w:tab/>
        <w:t>(iii)</w:t>
      </w:r>
      <w:r>
        <w:tab/>
        <w:t>it is a conviction for a home burglary committed after the date on which the person’s second relevant conviction was recorded;</w:t>
      </w:r>
    </w:p>
    <w:p>
      <w:pPr>
        <w:pStyle w:val="Indenta"/>
      </w:pPr>
      <w:r>
        <w:tab/>
      </w:r>
      <w:r>
        <w:tab/>
        <w:t>or</w:t>
      </w:r>
    </w:p>
    <w:p>
      <w:pPr>
        <w:pStyle w:val="Indenta"/>
      </w:pPr>
      <w:r>
        <w:tab/>
        <w:t>(b)</w:t>
      </w:r>
      <w:r>
        <w:tab/>
        <w:t>the home burglary was committed on or after the commencement day and —</w:t>
      </w:r>
    </w:p>
    <w:p>
      <w:pPr>
        <w:pStyle w:val="Indenti"/>
      </w:pPr>
      <w:r>
        <w:tab/>
        <w:t>(i)</w:t>
      </w:r>
      <w:r>
        <w:tab/>
        <w:t>the person is an adult offender with respect to the home burglary; or</w:t>
      </w:r>
    </w:p>
    <w:p>
      <w:pPr>
        <w:pStyle w:val="Indenti"/>
      </w:pPr>
      <w:r>
        <w:tab/>
        <w:t>(ii)</w:t>
      </w:r>
      <w:r>
        <w:tab/>
        <w:t>the person is a juvenile offender with respect to the home burglary and either —</w:t>
      </w:r>
    </w:p>
    <w:p>
      <w:pPr>
        <w:pStyle w:val="IndentI0"/>
      </w:pPr>
      <w:r>
        <w:tab/>
        <w:t>(I)</w:t>
      </w:r>
      <w:r>
        <w:tab/>
        <w:t>it is the person’s first conviction for a home burglary; or</w:t>
      </w:r>
    </w:p>
    <w:p>
      <w:pPr>
        <w:pStyle w:val="IndentI0"/>
      </w:pPr>
      <w:r>
        <w:tab/>
        <w:t>(II)</w:t>
      </w:r>
      <w:r>
        <w:tab/>
        <w:t>at the time of the home burglary, the person already had a conviction for a previous home burglary;</w:t>
      </w:r>
    </w:p>
    <w:p>
      <w:pPr>
        <w:pStyle w:val="Indenti"/>
      </w:pPr>
      <w:r>
        <w:tab/>
      </w:r>
      <w:r>
        <w:tab/>
        <w:t>or</w:t>
      </w:r>
    </w:p>
    <w:p>
      <w:pPr>
        <w:pStyle w:val="Indenti"/>
      </w:pPr>
      <w:r>
        <w:tab/>
        <w:t>(iii)</w:t>
      </w:r>
      <w:r>
        <w:tab/>
        <w:t>at the time of the home burglary the person had not reached 16 years of age, and either —</w:t>
      </w:r>
    </w:p>
    <w:p>
      <w:pPr>
        <w:pStyle w:val="IndentI0"/>
      </w:pPr>
      <w:r>
        <w:tab/>
        <w:t>(I)</w:t>
      </w:r>
      <w:r>
        <w:tab/>
        <w:t xml:space="preserve">it is the person’s first conviction for a home burglary (the person’s </w:t>
      </w:r>
      <w:r>
        <w:rPr>
          <w:rStyle w:val="CharDefText"/>
        </w:rPr>
        <w:t>first relevant conviction</w:t>
      </w:r>
      <w:r>
        <w:t>); or</w:t>
      </w:r>
    </w:p>
    <w:p>
      <w:pPr>
        <w:pStyle w:val="IndentI0"/>
      </w:pPr>
      <w:r>
        <w:tab/>
        <w:t>(II)</w:t>
      </w:r>
      <w:r>
        <w:tab/>
        <w:t xml:space="preserve">it is the person’s first conviction for a home burglary committed after the date on which the person’s first relevant conviction was recorded (the person’s </w:t>
      </w:r>
      <w:r>
        <w:rPr>
          <w:rStyle w:val="CharDefText"/>
        </w:rPr>
        <w:t>second relevant conviction</w:t>
      </w:r>
      <w:r>
        <w:t>); or</w:t>
      </w:r>
    </w:p>
    <w:p>
      <w:pPr>
        <w:pStyle w:val="IndentI0"/>
      </w:pPr>
      <w:r>
        <w:tab/>
        <w:t>(III)</w:t>
      </w:r>
      <w:r>
        <w:tab/>
        <w:t>it is a conviction for a home burglary committed after the date on which the person’s second relevant conviction was recorded.</w:t>
      </w:r>
    </w:p>
    <w:p>
      <w:pPr>
        <w:pStyle w:val="Subsection"/>
      </w:pPr>
      <w:r>
        <w:lastRenderedPageBreak/>
        <w:tab/>
        <w:t>(2)</w:t>
      </w:r>
      <w:r>
        <w:tab/>
        <w:t>In this section —</w:t>
      </w:r>
    </w:p>
    <w:p>
      <w:pPr>
        <w:pStyle w:val="Indenta"/>
      </w:pPr>
      <w:r>
        <w:tab/>
        <w:t>(a)</w:t>
      </w:r>
      <w:r>
        <w:tab/>
        <w:t>a conviction includes a finding or admission of guilt that leads to a punishment being imposed on, or an order being made in respect of, the person, whether or not a conviction was recorded; and</w:t>
      </w:r>
    </w:p>
    <w:p>
      <w:pPr>
        <w:pStyle w:val="Indenta"/>
      </w:pPr>
      <w:r>
        <w:tab/>
        <w:t>(b)</w:t>
      </w:r>
      <w:r>
        <w:tab/>
        <w:t>a conviction does not include a conviction that has been set aside or quashed.</w:t>
      </w:r>
    </w:p>
    <w:p>
      <w:pPr>
        <w:pStyle w:val="Subsection"/>
      </w:pPr>
      <w:r>
        <w:tab/>
        <w:t>(3)</w:t>
      </w:r>
      <w:r>
        <w:tab/>
        <w:t>For the purposes of this section, convictions for 2 or more home burglaries committed on the same day on or after the commencement day are to be treated as a single conviction.</w:t>
      </w:r>
    </w:p>
    <w:p>
      <w:pPr>
        <w:pStyle w:val="Subsection"/>
      </w:pPr>
      <w:r>
        <w:tab/>
        <w:t>(4)</w:t>
      </w:r>
      <w:r>
        <w:tab/>
        <w:t xml:space="preserve">Where — </w:t>
      </w:r>
    </w:p>
    <w:p>
      <w:pPr>
        <w:pStyle w:val="Indenta"/>
      </w:pPr>
      <w:r>
        <w:tab/>
        <w:t>(a)</w:t>
      </w:r>
      <w:r>
        <w:tab/>
        <w:t xml:space="preserve">a person has 2 or more relevant convictions (the </w:t>
      </w:r>
      <w:r>
        <w:rPr>
          <w:rStyle w:val="CharDefText"/>
        </w:rPr>
        <w:t>prior relevant convictions</w:t>
      </w:r>
      <w:r>
        <w:t>); and</w:t>
      </w:r>
    </w:p>
    <w:p>
      <w:pPr>
        <w:pStyle w:val="Indenta"/>
      </w:pPr>
      <w:r>
        <w:tab/>
        <w:t>(b)</w:t>
      </w:r>
      <w:r>
        <w:tab/>
        <w:t xml:space="preserve">after the sentence completion date for the latest of the prior relevant convictions, the person is convicted for another home burglary (the </w:t>
      </w:r>
      <w:r>
        <w:rPr>
          <w:rStyle w:val="CharDefText"/>
        </w:rPr>
        <w:t>new conviction</w:t>
      </w:r>
      <w:r>
        <w:t>); and</w:t>
      </w:r>
    </w:p>
    <w:p>
      <w:pPr>
        <w:pStyle w:val="Indenta"/>
      </w:pPr>
      <w:r>
        <w:tab/>
        <w:t>(c)</w:t>
      </w:r>
      <w:r>
        <w:tab/>
        <w:t>the new conviction relates to a home burglary which was committed before the date on which the home burglary to which the latest of the prior relevant convictions relates was committed; and</w:t>
      </w:r>
    </w:p>
    <w:p>
      <w:pPr>
        <w:pStyle w:val="Indenta"/>
      </w:pPr>
      <w:r>
        <w:tab/>
        <w:t>(d)</w:t>
      </w:r>
      <w:r>
        <w:tab/>
        <w:t xml:space="preserve">the court sentencing the offender for the home burglary to which the new conviction relates (the </w:t>
      </w:r>
      <w:r>
        <w:rPr>
          <w:rStyle w:val="CharDefText"/>
        </w:rPr>
        <w:t>sentencing court</w:t>
      </w:r>
      <w:r>
        <w:t>) considers that exceptional circumstances exist which justify imposing a lesser sentence than would be required by section 401(4),</w:t>
      </w:r>
    </w:p>
    <w:p>
      <w:pPr>
        <w:pStyle w:val="Subsection"/>
      </w:pPr>
      <w:r>
        <w:tab/>
      </w:r>
      <w:r>
        <w:tab/>
        <w:t>the sentencing court may decide to impose a lesser sentence than would be required by section 401(4).</w:t>
      </w:r>
    </w:p>
    <w:p>
      <w:pPr>
        <w:pStyle w:val="Subsection"/>
      </w:pPr>
      <w:r>
        <w:tab/>
        <w:t>(5)</w:t>
      </w:r>
      <w:r>
        <w:tab/>
        <w:t xml:space="preserve">In subsection (4) — </w:t>
      </w:r>
    </w:p>
    <w:p>
      <w:pPr>
        <w:pStyle w:val="Defstart"/>
      </w:pPr>
      <w:r>
        <w:tab/>
      </w:r>
      <w:r>
        <w:rPr>
          <w:rStyle w:val="CharDefText"/>
        </w:rPr>
        <w:t>sentence completion date</w:t>
      </w:r>
      <w:r>
        <w:t xml:space="preserve"> for a conviction means — </w:t>
      </w:r>
    </w:p>
    <w:p>
      <w:pPr>
        <w:pStyle w:val="Defpara"/>
      </w:pPr>
      <w:r>
        <w:tab/>
        <w:t>(a)</w:t>
      </w:r>
      <w:r>
        <w:tab/>
        <w:t>where no sentence or other punishment is imposed in respect of the conviction, the date of the conviction; and</w:t>
      </w:r>
    </w:p>
    <w:p>
      <w:pPr>
        <w:pStyle w:val="Defpara"/>
      </w:pPr>
      <w:r>
        <w:lastRenderedPageBreak/>
        <w:tab/>
        <w:t>(b)</w:t>
      </w:r>
      <w:r>
        <w:tab/>
        <w:t xml:space="preserve">where a conditional release order is imposed under the </w:t>
      </w:r>
      <w:r>
        <w:rPr>
          <w:i/>
        </w:rPr>
        <w:t>Sentencing Act 1995</w:t>
      </w:r>
      <w:r>
        <w:t xml:space="preserve"> Part 7 in respect of the conviction, the date on which the conditional release order ceases to be in force under section 48(2) of that Act; and</w:t>
      </w:r>
    </w:p>
    <w:p>
      <w:pPr>
        <w:pStyle w:val="Defpara"/>
      </w:pPr>
      <w:r>
        <w:tab/>
        <w:t>(c)</w:t>
      </w:r>
      <w:r>
        <w:tab/>
        <w:t>where a fine is imposed under the</w:t>
      </w:r>
      <w:r>
        <w:rPr>
          <w:i/>
        </w:rPr>
        <w:t xml:space="preserve"> Sentencing Act 1995</w:t>
      </w:r>
      <w:r>
        <w:t xml:space="preserve"> Part 8 in respect of the conviction, the earlier of — </w:t>
      </w:r>
    </w:p>
    <w:p>
      <w:pPr>
        <w:pStyle w:val="Defsubpara"/>
      </w:pPr>
      <w:r>
        <w:tab/>
        <w:t>(i)</w:t>
      </w:r>
      <w:r>
        <w:tab/>
        <w:t>the date on which the fine is paid; or</w:t>
      </w:r>
    </w:p>
    <w:p>
      <w:pPr>
        <w:pStyle w:val="Defsubpara"/>
      </w:pPr>
      <w:r>
        <w:tab/>
        <w:t>(ii)</w:t>
      </w:r>
      <w:r>
        <w:tab/>
        <w:t>the date on which the offender’s liability to pay the fine is discharged under section 58(6) or 59(1) of that Act;</w:t>
      </w:r>
    </w:p>
    <w:p>
      <w:pPr>
        <w:pStyle w:val="Defpara"/>
      </w:pPr>
      <w:r>
        <w:tab/>
      </w:r>
      <w:r>
        <w:tab/>
        <w:t>and</w:t>
      </w:r>
    </w:p>
    <w:p>
      <w:pPr>
        <w:pStyle w:val="Defpara"/>
      </w:pPr>
      <w:r>
        <w:tab/>
        <w:t>(d)</w:t>
      </w:r>
      <w:r>
        <w:tab/>
        <w:t>where a community based order is imposed under the</w:t>
      </w:r>
      <w:r>
        <w:rPr>
          <w:i/>
        </w:rPr>
        <w:t xml:space="preserve"> Sentencing Act 1995</w:t>
      </w:r>
      <w:r>
        <w:t xml:space="preserve"> Part 9 in respect of the conviction, the date on which the community based order ceases to be in force under section 62(4) of that Act; and</w:t>
      </w:r>
    </w:p>
    <w:p>
      <w:pPr>
        <w:pStyle w:val="Defpara"/>
      </w:pPr>
      <w:r>
        <w:tab/>
        <w:t>(e)</w:t>
      </w:r>
      <w:r>
        <w:tab/>
        <w:t>where an intensive supervision order is imposed under the</w:t>
      </w:r>
      <w:r>
        <w:rPr>
          <w:i/>
        </w:rPr>
        <w:t xml:space="preserve"> Sentencing Act 1995</w:t>
      </w:r>
      <w:r>
        <w:t xml:space="preserve"> Part 10 in respect of the conviction, the date on which the intensive supervision order ceases to be in force under section 69(5) of that Act; and</w:t>
      </w:r>
    </w:p>
    <w:p>
      <w:pPr>
        <w:pStyle w:val="Defpara"/>
      </w:pPr>
      <w:r>
        <w:tab/>
        <w:t>(f)</w:t>
      </w:r>
      <w:r>
        <w:tab/>
        <w:t>where suspended imprisonment is imposed under the</w:t>
      </w:r>
      <w:r>
        <w:rPr>
          <w:i/>
        </w:rPr>
        <w:t xml:space="preserve"> Sentencing Act 1995</w:t>
      </w:r>
      <w:r>
        <w:t xml:space="preserve"> Part 11 in respect of the conviction, the date on which the offender is taken to be discharged under section 77(4) of that Act; and</w:t>
      </w:r>
    </w:p>
    <w:p>
      <w:pPr>
        <w:pStyle w:val="Defpara"/>
      </w:pPr>
      <w:r>
        <w:tab/>
        <w:t>(g)</w:t>
      </w:r>
      <w:r>
        <w:tab/>
        <w:t>where conditional suspended imprisonment is imposed under the</w:t>
      </w:r>
      <w:r>
        <w:rPr>
          <w:i/>
        </w:rPr>
        <w:t xml:space="preserve"> Sentencing Act 1995 </w:t>
      </w:r>
      <w:r>
        <w:t>Part 12 in respect of the conviction, the date on which the offender is taken to be discharged under section 82(4) of that Act; and</w:t>
      </w:r>
    </w:p>
    <w:p>
      <w:pPr>
        <w:pStyle w:val="Defpara"/>
      </w:pPr>
      <w:r>
        <w:tab/>
        <w:t>(h)</w:t>
      </w:r>
      <w:r>
        <w:tab/>
        <w:t>where a term of imprisonment is imposed under the</w:t>
      </w:r>
      <w:r>
        <w:rPr>
          <w:i/>
        </w:rPr>
        <w:t xml:space="preserve"> Sentencing Act 1995 </w:t>
      </w:r>
      <w:r>
        <w:t xml:space="preserve">Part 13 in respect of the conviction, the date on which the offender is discharged under section 93(3) or 95 of that Act or the </w:t>
      </w:r>
      <w:r>
        <w:rPr>
          <w:i/>
        </w:rPr>
        <w:t>Sentence Administration Act 2003</w:t>
      </w:r>
      <w:r>
        <w:t xml:space="preserve"> section 66(2); and</w:t>
      </w:r>
    </w:p>
    <w:p>
      <w:pPr>
        <w:pStyle w:val="Defpara"/>
      </w:pPr>
      <w:r>
        <w:lastRenderedPageBreak/>
        <w:tab/>
        <w:t>(i)</w:t>
      </w:r>
      <w:r>
        <w:tab/>
        <w:t>where a youth community based order is imposed under the</w:t>
      </w:r>
      <w:r>
        <w:rPr>
          <w:i/>
        </w:rPr>
        <w:t xml:space="preserve"> Young Offenders Act 1994</w:t>
      </w:r>
      <w:r>
        <w:t xml:space="preserve"> Part 7 Division 6 in respect of the conviction, the date on which the order ceases to be in force under section 76(2) of that Act; and</w:t>
      </w:r>
    </w:p>
    <w:p>
      <w:pPr>
        <w:pStyle w:val="Defpara"/>
      </w:pPr>
      <w:r>
        <w:tab/>
        <w:t>(j)</w:t>
      </w:r>
      <w:r>
        <w:tab/>
        <w:t>where an intensive youth supervision order is imposed under the</w:t>
      </w:r>
      <w:r>
        <w:rPr>
          <w:i/>
        </w:rPr>
        <w:t xml:space="preserve"> Young Offenders Act 1994</w:t>
      </w:r>
      <w:r>
        <w:t xml:space="preserve"> Part 7 Division 7 in respect of the conviction without a sentence of detention, the date on which the order ceases to be in force under section 76(2) of that Act; and</w:t>
      </w:r>
    </w:p>
    <w:p>
      <w:pPr>
        <w:pStyle w:val="Defpara"/>
      </w:pPr>
      <w:r>
        <w:tab/>
        <w:t>(k)</w:t>
      </w:r>
      <w:r>
        <w:tab/>
        <w:t>where a term of detention is imposed under the</w:t>
      </w:r>
      <w:r>
        <w:rPr>
          <w:i/>
        </w:rPr>
        <w:t xml:space="preserve"> Young Offenders Act 1994</w:t>
      </w:r>
      <w:r>
        <w:t xml:space="preserve"> section 118(1)(b) in respect of the conviction, whether or not an intensive youth supervision order is also imposed under Part 7 Division 7 of that Act, the last day of that term.</w:t>
      </w:r>
    </w:p>
    <w:p>
      <w:pPr>
        <w:pStyle w:val="Subsection"/>
      </w:pPr>
      <w:r>
        <w:tab/>
        <w:t>(6)</w:t>
      </w:r>
      <w:r>
        <w:tab/>
        <w:t>A court making the decision referred to in subsection (4) must give written reasons why the decision was made.</w:t>
      </w:r>
    </w:p>
    <w:p>
      <w:pPr>
        <w:pStyle w:val="Footnotesection"/>
        <w:spacing w:before="160"/>
        <w:ind w:left="890" w:hanging="890"/>
      </w:pPr>
      <w:r>
        <w:tab/>
        <w:t>[Section 401A inserted: No. 25 of 2015 s. 20.]</w:t>
      </w:r>
    </w:p>
    <w:p>
      <w:pPr>
        <w:pStyle w:val="Heading5"/>
        <w:rPr>
          <w:snapToGrid w:val="0"/>
        </w:rPr>
      </w:pPr>
      <w:bookmarkStart w:id="518" w:name="_Toc88662401"/>
      <w:r>
        <w:rPr>
          <w:rStyle w:val="CharSectno"/>
        </w:rPr>
        <w:t>401B</w:t>
      </w:r>
      <w:r>
        <w:rPr>
          <w:snapToGrid w:val="0"/>
        </w:rPr>
        <w:t>.</w:t>
      </w:r>
      <w:r>
        <w:rPr>
          <w:snapToGrid w:val="0"/>
        </w:rPr>
        <w:tab/>
        <w:t>Term used: repeat offender</w:t>
      </w:r>
      <w:bookmarkEnd w:id="518"/>
    </w:p>
    <w:p>
      <w:pPr>
        <w:pStyle w:val="Subsection"/>
      </w:pPr>
      <w:r>
        <w:tab/>
        <w:t>(1)</w:t>
      </w:r>
      <w:r>
        <w:tab/>
        <w:t xml:space="preserve">For the purposes of this Chapter, a person who is being sentenced for a home burglary (the </w:t>
      </w:r>
      <w:r>
        <w:rPr>
          <w:rStyle w:val="CharDefText"/>
        </w:rPr>
        <w:t>current offence</w:t>
      </w:r>
      <w:r>
        <w:t xml:space="preserve">) is a </w:t>
      </w:r>
      <w:r>
        <w:rPr>
          <w:rStyle w:val="CharDefText"/>
        </w:rPr>
        <w:t>repeat offender</w:t>
      </w:r>
      <w:r>
        <w:t xml:space="preserve"> if the person has at least 3 relevant convictions.</w:t>
      </w:r>
    </w:p>
    <w:p>
      <w:pPr>
        <w:pStyle w:val="Subsection"/>
      </w:pPr>
      <w:r>
        <w:tab/>
        <w:t>(2)</w:t>
      </w:r>
      <w:r>
        <w:tab/>
        <w:t>For the purposes of subsection (1) —</w:t>
      </w:r>
    </w:p>
    <w:p>
      <w:pPr>
        <w:pStyle w:val="Indenta"/>
        <w:spacing w:before="120"/>
      </w:pPr>
      <w:r>
        <w:tab/>
        <w:t>(a)</w:t>
      </w:r>
      <w:r>
        <w:tab/>
        <w:t>the person’s conviction for the current offence, if it is a relevant conviction, is to be counted; and</w:t>
      </w:r>
    </w:p>
    <w:p>
      <w:pPr>
        <w:pStyle w:val="Indenta"/>
        <w:spacing w:before="120"/>
      </w:pPr>
      <w:r>
        <w:tab/>
        <w:t>(b)</w:t>
      </w:r>
      <w:r>
        <w:tab/>
        <w:t>each of the person’s relevant convictions is to be counted, regardless of whether the home burglary to which it relates was committed before or after the date of any previous relevant conviction; and</w:t>
      </w:r>
    </w:p>
    <w:p>
      <w:pPr>
        <w:pStyle w:val="Indenta"/>
        <w:spacing w:before="120"/>
      </w:pPr>
      <w:r>
        <w:tab/>
        <w:t>(c)</w:t>
      </w:r>
      <w:r>
        <w:tab/>
        <w:t xml:space="preserve">each of the person’s relevant convictions is to be counted, regardless of whether it has been counted on the occasion of sentencing for a previous home burglary </w:t>
      </w:r>
      <w:r>
        <w:lastRenderedPageBreak/>
        <w:t>to determine whether the person was, on that occasion, a repeat offender.</w:t>
      </w:r>
    </w:p>
    <w:p>
      <w:pPr>
        <w:pStyle w:val="Footnotesection"/>
        <w:spacing w:before="160"/>
        <w:ind w:left="890" w:hanging="890"/>
      </w:pPr>
      <w:r>
        <w:tab/>
        <w:t>[Section 401B inserted: No. 25 of 2015 s. 20.]</w:t>
      </w:r>
    </w:p>
    <w:p>
      <w:pPr>
        <w:pStyle w:val="Heading5"/>
        <w:rPr>
          <w:snapToGrid w:val="0"/>
        </w:rPr>
      </w:pPr>
      <w:bookmarkStart w:id="519" w:name="_Toc88662402"/>
      <w:r>
        <w:rPr>
          <w:rStyle w:val="CharSectno"/>
        </w:rPr>
        <w:t>401</w:t>
      </w:r>
      <w:r>
        <w:rPr>
          <w:snapToGrid w:val="0"/>
        </w:rPr>
        <w:t>.</w:t>
      </w:r>
      <w:r>
        <w:rPr>
          <w:snapToGrid w:val="0"/>
        </w:rPr>
        <w:tab/>
        <w:t>Burglary</w:t>
      </w:r>
      <w:bookmarkEnd w:id="519"/>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w:t>
      </w:r>
    </w:p>
    <w:p>
      <w:pPr>
        <w:pStyle w:val="Indenta"/>
      </w:pPr>
      <w:r>
        <w:tab/>
        <w:t>(a)</w:t>
      </w:r>
      <w:r>
        <w:tab/>
        <w:t>if the offence is an aggravated home burglary, to imprisonment for 20 years; or</w:t>
      </w:r>
    </w:p>
    <w:p>
      <w:pPr>
        <w:pStyle w:val="Indenta"/>
      </w:pPr>
      <w:r>
        <w:tab/>
        <w:t>(ba)</w:t>
      </w:r>
      <w:r>
        <w:tab/>
        <w:t>if the offence is not a home burglary but is committed in circumstances of aggravation, to imprisonment for 20 years; or</w:t>
      </w:r>
    </w:p>
    <w:p>
      <w:pPr>
        <w:pStyle w:val="Indenta"/>
      </w:pPr>
      <w:r>
        <w:tab/>
        <w:t>(b)</w:t>
      </w:r>
      <w:r>
        <w:tab/>
        <w:t>if the offence is a home burglary not committed in circumstances of aggravation, to imprisonment for 18 years; or</w:t>
      </w:r>
    </w:p>
    <w:p>
      <w:pPr>
        <w:pStyle w:val="Indenta"/>
        <w:keepNext/>
        <w:keepLines/>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tab/>
        <w:t>(a)</w:t>
      </w:r>
      <w:r>
        <w:tab/>
        <w:t>in a case to which paragraph (a) applies where the only circumstance of aggravation is that the offender is in company with another person or other persons — imprisonment for 3 years and a fine of $36 000; or</w:t>
      </w:r>
    </w:p>
    <w:p>
      <w:pPr>
        <w:pStyle w:val="Penpara"/>
      </w:pPr>
      <w:r>
        <w:tab/>
        <w:t>(ba)</w:t>
      </w:r>
      <w:r>
        <w:tab/>
        <w:t>in a case to which paragraph (ba) applies where the only circumstance of aggravation is that the offender is in company with another person or other persons — imprisonment for 3 years and a fine of $36 000; or</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lastRenderedPageBreak/>
        <w:tab/>
        <w:t>(2)</w:t>
      </w:r>
      <w:r>
        <w:rPr>
          <w:snapToGrid w:val="0"/>
        </w:rPr>
        <w:tab/>
        <w:t>A person who commits an offence in the place of another person, when in that place without that other person’s consent, is guilty of a crime and is liable —</w:t>
      </w:r>
    </w:p>
    <w:p>
      <w:pPr>
        <w:pStyle w:val="Indenta"/>
      </w:pPr>
      <w:r>
        <w:tab/>
        <w:t>(a)</w:t>
      </w:r>
      <w:r>
        <w:tab/>
        <w:t>if the offence is an aggravated home burglary, to imprisonment for 20 years; or</w:t>
      </w:r>
    </w:p>
    <w:p>
      <w:pPr>
        <w:pStyle w:val="Indenta"/>
      </w:pPr>
      <w:r>
        <w:tab/>
        <w:t>(ba)</w:t>
      </w:r>
      <w:r>
        <w:tab/>
        <w:t>if the offence is not a home burglary but is committed in circumstances of aggravation, to imprisonment for 20 years; or</w:t>
      </w:r>
    </w:p>
    <w:p>
      <w:pPr>
        <w:pStyle w:val="Indenta"/>
      </w:pPr>
      <w:r>
        <w:tab/>
        <w:t>(b)</w:t>
      </w:r>
      <w:r>
        <w:tab/>
        <w:t>if the offence is a home burglary not committed in circumstances of aggravation, to imprisonment for 18 years; or</w:t>
      </w:r>
    </w:p>
    <w:p>
      <w:pPr>
        <w:pStyle w:val="Indenta"/>
        <w:keepLines/>
        <w:rPr>
          <w:snapToGrid w:val="0"/>
        </w:rPr>
      </w:pPr>
      <w:r>
        <w:rPr>
          <w:snapToGrid w:val="0"/>
        </w:rPr>
        <w:tab/>
        <w:t>(c)</w:t>
      </w:r>
      <w:r>
        <w:rPr>
          <w:snapToGrid w:val="0"/>
        </w:rPr>
        <w:tab/>
        <w:t>in any other case, to imprisonment for 14 years.</w:t>
      </w:r>
    </w:p>
    <w:p>
      <w:pPr>
        <w:pStyle w:val="Penstart"/>
        <w:keepLines/>
      </w:pPr>
      <w:r>
        <w:tab/>
        <w:t>Summary conviction penalty (subject to subsection (3)):</w:t>
      </w:r>
    </w:p>
    <w:p>
      <w:pPr>
        <w:pStyle w:val="Penpara"/>
      </w:pPr>
      <w:r>
        <w:tab/>
        <w:t>(a)</w:t>
      </w:r>
      <w:r>
        <w:tab/>
        <w:t>in a case to which paragraph (a) applies where the only circumstance of aggravation is that the offender is in company with another person or other persons — imprisonment for 3 years and a fine of $36 000; or</w:t>
      </w:r>
    </w:p>
    <w:p>
      <w:pPr>
        <w:pStyle w:val="Penpara"/>
      </w:pPr>
      <w:r>
        <w:tab/>
        <w:t>(ba)</w:t>
      </w:r>
      <w:r>
        <w:tab/>
        <w:t>in a case to which paragraph (ba) applies where the only circumstance of aggravation is that the offender is in company with another person or other persons — imprisonment for 3 years and a fine of $36 000; or</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 xml:space="preserve">If the offence committed in the place is an offence against property and the value of the property is more than </w:t>
      </w:r>
      <w:r>
        <w:t xml:space="preserve">$50 000 </w:t>
      </w:r>
      <w:r>
        <w:rPr>
          <w:snapToGrid w:val="0"/>
        </w:rPr>
        <w:t>the offence is not to be dealt with summarily.</w:t>
      </w:r>
    </w:p>
    <w:p>
      <w:pPr>
        <w:pStyle w:val="Subsection"/>
        <w:rPr>
          <w:snapToGrid w:val="0"/>
        </w:rPr>
      </w:pPr>
      <w:r>
        <w:rPr>
          <w:snapToGrid w:val="0"/>
        </w:rPr>
        <w:tab/>
        <w:t>(4)</w:t>
      </w:r>
      <w:r>
        <w:rPr>
          <w:snapToGrid w:val="0"/>
        </w:rPr>
        <w:tab/>
        <w:t xml:space="preserve">Subject to section 401A(4), where a person convicted under this section of a home burglary (the </w:t>
      </w:r>
      <w:r>
        <w:rPr>
          <w:rStyle w:val="CharDefText"/>
        </w:rPr>
        <w:t>current offence</w:t>
      </w:r>
      <w:r>
        <w:rPr>
          <w:snapToGrid w:val="0"/>
        </w:rPr>
        <w:t xml:space="preserve">) is a repeat offender, whether or not the conviction for the current offence is </w:t>
      </w:r>
      <w:r>
        <w:rPr>
          <w:snapToGrid w:val="0"/>
        </w:rPr>
        <w:lastRenderedPageBreak/>
        <w:t>a relevant conviction the court sentencing the person for the current offence —</w:t>
      </w:r>
    </w:p>
    <w:p>
      <w:pPr>
        <w:pStyle w:val="Indenta"/>
        <w:rPr>
          <w:snapToGrid w:val="0"/>
        </w:rPr>
      </w:pPr>
      <w:r>
        <w:rPr>
          <w:snapToGrid w:val="0"/>
        </w:rPr>
        <w:tab/>
        <w:t>(a)</w:t>
      </w:r>
      <w:r>
        <w:rPr>
          <w:snapToGrid w:val="0"/>
        </w:rPr>
        <w:tab/>
        <w:t xml:space="preserve">if the current offence was committed before </w:t>
      </w:r>
      <w:r>
        <w:t>the commencement day</w:t>
      </w:r>
      <w:r>
        <w:rPr>
          <w:snapToGrid w:val="0"/>
        </w:rPr>
        <w:t xml:space="preserve"> —</w:t>
      </w:r>
    </w:p>
    <w:p>
      <w:pPr>
        <w:pStyle w:val="Indenti"/>
        <w:rPr>
          <w:snapToGrid w:val="0"/>
        </w:rPr>
      </w:pPr>
      <w:r>
        <w:rPr>
          <w:snapToGrid w:val="0"/>
        </w:rPr>
        <w:tab/>
        <w:t>(i)</w:t>
      </w:r>
      <w:r>
        <w:rPr>
          <w:snapToGrid w:val="0"/>
        </w:rPr>
        <w:tab/>
        <w:t>if the person is an adult offender, notwithstanding any other written law, must impose a term of imprisonment of at least 12 months; or</w:t>
      </w:r>
    </w:p>
    <w:p>
      <w:pPr>
        <w:pStyle w:val="Indenti"/>
        <w:rPr>
          <w:snapToGrid w:val="0"/>
        </w:rPr>
      </w:pPr>
      <w:r>
        <w:rPr>
          <w:snapToGrid w:val="0"/>
        </w:rPr>
        <w:tab/>
        <w:t>(ii)</w:t>
      </w:r>
      <w:r>
        <w:rPr>
          <w:snapToGrid w:val="0"/>
        </w:rPr>
        <w:tab/>
        <w:t xml:space="preserve">if the person had not reached 18 years of age when the current offence was committed, </w:t>
      </w:r>
      <w:r>
        <w:t xml:space="preserve">notwithstanding the </w:t>
      </w:r>
      <w:r>
        <w:rPr>
          <w:i/>
        </w:rPr>
        <w:t>Young Offenders Act 1994</w:t>
      </w:r>
      <w:r>
        <w:t xml:space="preserve"> section 46(5a), </w:t>
      </w:r>
      <w:r>
        <w:rPr>
          <w:snapToGrid w:val="0"/>
        </w:rPr>
        <w:t>must impose either —</w:t>
      </w:r>
    </w:p>
    <w:p>
      <w:pPr>
        <w:pStyle w:val="IndentI0"/>
        <w:rPr>
          <w:snapToGrid w:val="0"/>
        </w:rPr>
      </w:pPr>
      <w:r>
        <w:rPr>
          <w:snapToGrid w:val="0"/>
        </w:rPr>
        <w:tab/>
        <w:t>(I)</w:t>
      </w:r>
      <w:r>
        <w:rPr>
          <w:snapToGrid w:val="0"/>
        </w:rPr>
        <w:tab/>
        <w:t>a term of imprisonment of at least 12 months; or</w:t>
      </w:r>
    </w:p>
    <w:p>
      <w:pPr>
        <w:pStyle w:val="IndentI0"/>
        <w:rPr>
          <w:snapToGrid w:val="0"/>
        </w:rPr>
      </w:pPr>
      <w:r>
        <w:rPr>
          <w:snapToGrid w:val="0"/>
        </w:rPr>
        <w:tab/>
        <w:t>(II)</w:t>
      </w:r>
      <w:r>
        <w:rPr>
          <w:snapToGrid w:val="0"/>
        </w:rPr>
        <w:tab/>
        <w:t xml:space="preserve">a term of detention under the </w:t>
      </w:r>
      <w:r>
        <w:rPr>
          <w:i/>
          <w:snapToGrid w:val="0"/>
        </w:rPr>
        <w:t>Young Offenders Act 1994</w:t>
      </w:r>
      <w:r>
        <w:rPr>
          <w:snapToGrid w:val="0"/>
        </w:rPr>
        <w:t xml:space="preserve"> of at least 12 months,</w:t>
      </w:r>
    </w:p>
    <w:p>
      <w:pPr>
        <w:pStyle w:val="Indenti"/>
        <w:rPr>
          <w:snapToGrid w:val="0"/>
        </w:rPr>
      </w:pPr>
      <w:r>
        <w:rPr>
          <w:snapToGrid w:val="0"/>
        </w:rPr>
        <w:tab/>
      </w:r>
      <w:r>
        <w:rPr>
          <w:snapToGrid w:val="0"/>
        </w:rPr>
        <w:tab/>
        <w:t>as the court thinks fit;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if the current offence was committed on or after </w:t>
      </w:r>
      <w:r>
        <w:t>the commencement day</w:t>
      </w:r>
      <w:r>
        <w:rPr>
          <w:snapToGrid w:val="0"/>
        </w:rPr>
        <w:t> —</w:t>
      </w:r>
    </w:p>
    <w:p>
      <w:pPr>
        <w:pStyle w:val="Indenti"/>
        <w:rPr>
          <w:snapToGrid w:val="0"/>
        </w:rPr>
      </w:pPr>
      <w:r>
        <w:rPr>
          <w:snapToGrid w:val="0"/>
        </w:rPr>
        <w:tab/>
        <w:t>(i)</w:t>
      </w:r>
      <w:r>
        <w:rPr>
          <w:snapToGrid w:val="0"/>
        </w:rPr>
        <w:tab/>
        <w:t>if the person is an adult offender, notwithstanding any other written law, must impose a term of imprisonment of at least 2 years; or</w:t>
      </w:r>
    </w:p>
    <w:p>
      <w:pPr>
        <w:pStyle w:val="Indenti"/>
        <w:rPr>
          <w:snapToGrid w:val="0"/>
        </w:rPr>
      </w:pPr>
      <w:r>
        <w:rPr>
          <w:snapToGrid w:val="0"/>
        </w:rPr>
        <w:tab/>
        <w:t>(ii)</w:t>
      </w:r>
      <w:r>
        <w:rPr>
          <w:snapToGrid w:val="0"/>
        </w:rPr>
        <w:tab/>
        <w:t xml:space="preserve">if the person had not reached 18 years of age when the current offence was committed, </w:t>
      </w:r>
      <w:r>
        <w:t xml:space="preserve">notwithstanding the </w:t>
      </w:r>
      <w:r>
        <w:rPr>
          <w:i/>
        </w:rPr>
        <w:t>Young Offenders Act 1994</w:t>
      </w:r>
      <w:r>
        <w:t xml:space="preserve"> section 46(5a), </w:t>
      </w:r>
      <w:r>
        <w:rPr>
          <w:snapToGrid w:val="0"/>
        </w:rPr>
        <w:t>must impose either —</w:t>
      </w:r>
    </w:p>
    <w:p>
      <w:pPr>
        <w:pStyle w:val="IndentI0"/>
        <w:rPr>
          <w:snapToGrid w:val="0"/>
        </w:rPr>
      </w:pPr>
      <w:r>
        <w:rPr>
          <w:snapToGrid w:val="0"/>
        </w:rPr>
        <w:tab/>
        <w:t>(I)</w:t>
      </w:r>
      <w:r>
        <w:rPr>
          <w:snapToGrid w:val="0"/>
        </w:rPr>
        <w:tab/>
        <w:t>a term of imprisonment of at least 12 months; or</w:t>
      </w:r>
    </w:p>
    <w:p>
      <w:pPr>
        <w:pStyle w:val="IndentI0"/>
        <w:keepNext/>
        <w:rPr>
          <w:snapToGrid w:val="0"/>
        </w:rPr>
      </w:pPr>
      <w:r>
        <w:rPr>
          <w:snapToGrid w:val="0"/>
        </w:rPr>
        <w:lastRenderedPageBreak/>
        <w:tab/>
        <w:t>(II)</w:t>
      </w:r>
      <w:r>
        <w:rPr>
          <w:snapToGrid w:val="0"/>
        </w:rPr>
        <w:tab/>
        <w:t xml:space="preserve">a term of detention under the </w:t>
      </w:r>
      <w:r>
        <w:rPr>
          <w:i/>
          <w:snapToGrid w:val="0"/>
        </w:rPr>
        <w:t>Young Offenders Act 1994</w:t>
      </w:r>
      <w:r>
        <w:rPr>
          <w:snapToGrid w:val="0"/>
        </w:rPr>
        <w:t xml:space="preserve"> of at least 12 months,</w:t>
      </w:r>
    </w:p>
    <w:p>
      <w:pPr>
        <w:pStyle w:val="Indenti"/>
        <w:rPr>
          <w:snapToGrid w:val="0"/>
        </w:rPr>
      </w:pPr>
      <w:r>
        <w:rPr>
          <w:snapToGrid w:val="0"/>
        </w:rPr>
        <w:tab/>
      </w:r>
      <w:r>
        <w:rPr>
          <w:snapToGrid w:val="0"/>
        </w:rPr>
        <w:tab/>
        <w:t>as the court thinks fit.</w:t>
      </w:r>
    </w:p>
    <w:p>
      <w:pPr>
        <w:pStyle w:val="Subsection"/>
        <w:rPr>
          <w:snapToGrid w:val="0"/>
        </w:rPr>
      </w:pPr>
      <w:r>
        <w:rPr>
          <w:snapToGrid w:val="0"/>
        </w:rPr>
        <w:tab/>
        <w:t>(5)</w:t>
      </w:r>
      <w:r>
        <w:rPr>
          <w:snapToGrid w:val="0"/>
        </w:rPr>
        <w:tab/>
        <w:t xml:space="preserve">A court </w:t>
      </w:r>
      <w:r>
        <w:t>must</w:t>
      </w:r>
      <w:r>
        <w:rPr>
          <w:snapToGrid w:val="0"/>
        </w:rPr>
        <w:t xml:space="preserve"> not suspend a term of imprisonment imposed under subsection (4).</w:t>
      </w:r>
    </w:p>
    <w:p>
      <w:pPr>
        <w:pStyle w:val="Subsection"/>
      </w:pPr>
      <w:r>
        <w:tab/>
        <w:t>(6)</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401 inserted: No. 60 of 1996 s. 5; amended: No. 4 of 2004 s. 66; No. 70 of 2004 s. 35(4); No. 25 of 2015 s. 21; No. 28 of 2018 s. 8.]</w:t>
      </w:r>
    </w:p>
    <w:p>
      <w:pPr>
        <w:pStyle w:val="Ednotesection"/>
        <w:spacing w:before="240"/>
      </w:pPr>
      <w:r>
        <w:t>[</w:t>
      </w:r>
      <w:r>
        <w:rPr>
          <w:b/>
        </w:rPr>
        <w:t>402</w:t>
      </w:r>
      <w:r>
        <w:rPr>
          <w:b/>
        </w:rPr>
        <w:noBreakHyphen/>
        <w:t>404.</w:t>
      </w:r>
      <w:r>
        <w:tab/>
        <w:t>Deleted: No. 37 of 1991 s. 13.]</w:t>
      </w:r>
    </w:p>
    <w:p>
      <w:pPr>
        <w:pStyle w:val="Ednotesection"/>
        <w:spacing w:before="240"/>
      </w:pPr>
      <w:r>
        <w:t>[</w:t>
      </w:r>
      <w:r>
        <w:rPr>
          <w:b/>
        </w:rPr>
        <w:t>405, 406.</w:t>
      </w:r>
      <w:r>
        <w:tab/>
        <w:t>Deleted: No. 1 of 1969 s. 7.]</w:t>
      </w:r>
    </w:p>
    <w:p>
      <w:pPr>
        <w:pStyle w:val="Heading5"/>
        <w:spacing w:before="240"/>
        <w:rPr>
          <w:snapToGrid w:val="0"/>
        </w:rPr>
      </w:pPr>
      <w:bookmarkStart w:id="520" w:name="_Toc88662403"/>
      <w:r>
        <w:rPr>
          <w:rStyle w:val="CharSectno"/>
        </w:rPr>
        <w:t>407</w:t>
      </w:r>
      <w:r>
        <w:rPr>
          <w:snapToGrid w:val="0"/>
        </w:rPr>
        <w:t>.</w:t>
      </w:r>
      <w:r>
        <w:rPr>
          <w:snapToGrid w:val="0"/>
        </w:rPr>
        <w:tab/>
        <w:t>Person found armed etc. with intent to commit crime</w:t>
      </w:r>
      <w:bookmarkEnd w:id="520"/>
    </w:p>
    <w:p>
      <w:pPr>
        <w:pStyle w:val="Subsection"/>
        <w:keepNext/>
        <w:rPr>
          <w:snapToGrid w:val="0"/>
        </w:rPr>
      </w:pPr>
      <w:r>
        <w:rPr>
          <w:snapToGrid w:val="0"/>
        </w:rPr>
        <w:tab/>
      </w:r>
      <w:r>
        <w:rPr>
          <w:snapToGrid w:val="0"/>
        </w:rPr>
        <w:tab/>
        <w:t>Any person who is found under any of the circumstances following, that is to say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 or</w:t>
      </w:r>
    </w:p>
    <w:p>
      <w:pPr>
        <w:pStyle w:val="Ednotepara"/>
        <w:spacing w:before="80"/>
      </w:pPr>
      <w:r>
        <w:tab/>
        <w:t>[(b)</w:t>
      </w:r>
      <w:r>
        <w:tab/>
        <w:t>deleted]</w:t>
      </w:r>
    </w:p>
    <w:p>
      <w:pPr>
        <w:pStyle w:val="Indenta"/>
        <w:rPr>
          <w:snapToGrid w:val="0"/>
        </w:rPr>
      </w:pPr>
      <w:r>
        <w:rPr>
          <w:snapToGrid w:val="0"/>
        </w:rPr>
        <w:tab/>
        <w:t>(c)</w:t>
      </w:r>
      <w:r>
        <w:rPr>
          <w:snapToGrid w:val="0"/>
        </w:rPr>
        <w:tab/>
        <w:t>Having in his possession by night without lawful excuse, the proof of which lies on him, any instrument of housebreaking; or</w:t>
      </w:r>
    </w:p>
    <w:p>
      <w:pPr>
        <w:pStyle w:val="Indenta"/>
        <w:rPr>
          <w:snapToGrid w:val="0"/>
        </w:rPr>
      </w:pPr>
      <w:r>
        <w:rPr>
          <w:snapToGrid w:val="0"/>
        </w:rPr>
        <w:tab/>
        <w:t>(d)</w:t>
      </w:r>
      <w:r>
        <w:rPr>
          <w:snapToGrid w:val="0"/>
        </w:rPr>
        <w:tab/>
        <w:t>Having in his possession by day any such instrument with intent to commit an offence; or</w:t>
      </w:r>
    </w:p>
    <w:p>
      <w:pPr>
        <w:pStyle w:val="Indenta"/>
        <w:keepNext/>
        <w:keepLines/>
        <w:rPr>
          <w:snapToGrid w:val="0"/>
        </w:rPr>
      </w:pPr>
      <w:r>
        <w:rPr>
          <w:snapToGrid w:val="0"/>
        </w:rPr>
        <w:lastRenderedPageBreak/>
        <w:tab/>
        <w:t>(e)</w:t>
      </w:r>
      <w:r>
        <w:rPr>
          <w:snapToGrid w:val="0"/>
        </w:rPr>
        <w:tab/>
        <w:t>Having his face masked or blackened or being otherwise disguised, with intent to commit an offence;</w:t>
      </w:r>
    </w:p>
    <w:p>
      <w:pPr>
        <w:pStyle w:val="Subsection"/>
        <w:keepNext/>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No. 37 of 1991 s. 13(2); No. 51 of 1992 s. 16(2); No. 4 of 2004 s. 67; No. 70 of 2004 s. 35(2); No. 84 of 2004 s. 27(3).]</w:t>
      </w:r>
    </w:p>
    <w:p>
      <w:pPr>
        <w:pStyle w:val="Ednotesection"/>
        <w:ind w:left="890" w:hanging="890"/>
      </w:pPr>
      <w:r>
        <w:t>[</w:t>
      </w:r>
      <w:r>
        <w:rPr>
          <w:b/>
        </w:rPr>
        <w:t>407A.</w:t>
      </w:r>
      <w:r>
        <w:tab/>
        <w:t>Deleted: No. 106 of 1987 s. 17.]</w:t>
      </w:r>
    </w:p>
    <w:p>
      <w:pPr>
        <w:pStyle w:val="Heading3"/>
        <w:rPr>
          <w:snapToGrid w:val="0"/>
        </w:rPr>
      </w:pPr>
      <w:bookmarkStart w:id="521" w:name="_Toc88569961"/>
      <w:bookmarkStart w:id="522" w:name="_Toc88570483"/>
      <w:bookmarkStart w:id="523" w:name="_Toc88571005"/>
      <w:bookmarkStart w:id="524" w:name="_Toc88662404"/>
      <w:r>
        <w:rPr>
          <w:rStyle w:val="CharDivNo"/>
        </w:rPr>
        <w:t>Chapter XL</w:t>
      </w:r>
      <w:r>
        <w:rPr>
          <w:snapToGrid w:val="0"/>
        </w:rPr>
        <w:t> — </w:t>
      </w:r>
      <w:r>
        <w:rPr>
          <w:rStyle w:val="CharDivText"/>
        </w:rPr>
        <w:t>Fraud</w:t>
      </w:r>
      <w:bookmarkEnd w:id="521"/>
      <w:bookmarkEnd w:id="522"/>
      <w:bookmarkEnd w:id="523"/>
      <w:bookmarkEnd w:id="524"/>
    </w:p>
    <w:p>
      <w:pPr>
        <w:pStyle w:val="Footnoteheading"/>
      </w:pPr>
      <w:r>
        <w:tab/>
        <w:t>[Heading inserted: No. 101 of 1990 s. 24.]</w:t>
      </w:r>
    </w:p>
    <w:p>
      <w:pPr>
        <w:pStyle w:val="Ednotesection"/>
        <w:ind w:left="890" w:hanging="890"/>
      </w:pPr>
      <w:r>
        <w:t>[</w:t>
      </w:r>
      <w:r>
        <w:rPr>
          <w:b/>
        </w:rPr>
        <w:t>408.</w:t>
      </w:r>
      <w:r>
        <w:rPr>
          <w:b/>
        </w:rPr>
        <w:tab/>
      </w:r>
      <w:r>
        <w:t>Deleted: No. 101 of 1990 s. 24.]</w:t>
      </w:r>
    </w:p>
    <w:p>
      <w:pPr>
        <w:pStyle w:val="Heading5"/>
        <w:keepNext w:val="0"/>
        <w:rPr>
          <w:snapToGrid w:val="0"/>
        </w:rPr>
      </w:pPr>
      <w:bookmarkStart w:id="525" w:name="_Toc88662405"/>
      <w:r>
        <w:rPr>
          <w:rStyle w:val="CharSectno"/>
        </w:rPr>
        <w:t>409</w:t>
      </w:r>
      <w:r>
        <w:rPr>
          <w:snapToGrid w:val="0"/>
        </w:rPr>
        <w:t>.</w:t>
      </w:r>
      <w:r>
        <w:rPr>
          <w:snapToGrid w:val="0"/>
        </w:rPr>
        <w:tab/>
        <w:t>Fraud</w:t>
      </w:r>
      <w:bookmarkEnd w:id="525"/>
    </w:p>
    <w:p>
      <w:pPr>
        <w:pStyle w:val="Subsection"/>
        <w:rPr>
          <w:snapToGrid w:val="0"/>
        </w:rPr>
      </w:pPr>
      <w:r>
        <w:rPr>
          <w:snapToGrid w:val="0"/>
        </w:rPr>
        <w:tab/>
        <w:t>(1)</w:t>
      </w:r>
      <w:r>
        <w:rPr>
          <w:snapToGrid w:val="0"/>
        </w:rPr>
        <w:tab/>
        <w:t>Any person who, with intent to defraud, by deceit or any fraudulent means —</w:t>
      </w:r>
    </w:p>
    <w:p>
      <w:pPr>
        <w:pStyle w:val="Indenta"/>
        <w:rPr>
          <w:snapToGrid w:val="0"/>
        </w:rPr>
      </w:pPr>
      <w:r>
        <w:rPr>
          <w:snapToGrid w:val="0"/>
        </w:rPr>
        <w:tab/>
        <w:t>(a)</w:t>
      </w:r>
      <w:r>
        <w:rPr>
          <w:snapToGrid w:val="0"/>
        </w:rPr>
        <w:tab/>
        <w:t>obtains property from any person; or</w:t>
      </w:r>
    </w:p>
    <w:p>
      <w:pPr>
        <w:pStyle w:val="Indenta"/>
        <w:rPr>
          <w:snapToGrid w:val="0"/>
        </w:rPr>
      </w:pPr>
      <w:r>
        <w:rPr>
          <w:snapToGrid w:val="0"/>
        </w:rPr>
        <w:tab/>
        <w:t>(b)</w:t>
      </w:r>
      <w:r>
        <w:rPr>
          <w:snapToGrid w:val="0"/>
        </w:rPr>
        <w:tab/>
        <w:t>induces any person to deliver property to another person; or</w:t>
      </w:r>
    </w:p>
    <w:p>
      <w:pPr>
        <w:pStyle w:val="Indenta"/>
        <w:rPr>
          <w:snapToGrid w:val="0"/>
        </w:rPr>
      </w:pPr>
      <w:r>
        <w:rPr>
          <w:snapToGrid w:val="0"/>
        </w:rPr>
        <w:tab/>
        <w:t>(c)</w:t>
      </w:r>
      <w:r>
        <w:rPr>
          <w:snapToGrid w:val="0"/>
        </w:rPr>
        <w:tab/>
        <w:t>gains a benefit, pecuniary or otherwise, for any person; or</w:t>
      </w:r>
    </w:p>
    <w:p>
      <w:pPr>
        <w:pStyle w:val="Indenta"/>
        <w:rPr>
          <w:snapToGrid w:val="0"/>
        </w:rPr>
      </w:pPr>
      <w:r>
        <w:rPr>
          <w:snapToGrid w:val="0"/>
        </w:rPr>
        <w:tab/>
        <w:t>(d)</w:t>
      </w:r>
      <w:r>
        <w:rPr>
          <w:snapToGrid w:val="0"/>
        </w:rPr>
        <w:tab/>
        <w:t>causes a detriment, pecuniary or otherwise, to any person; or</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pPr>
      <w:r>
        <w:rPr>
          <w:snapToGrid w:val="0"/>
        </w:rPr>
        <w:tab/>
      </w:r>
      <w:r>
        <w:rPr>
          <w:snapToGrid w:val="0"/>
        </w:rPr>
        <w:tab/>
        <w:t xml:space="preserve">is guilty of a crime and is </w:t>
      </w:r>
      <w:r>
        <w:t>liable —</w:t>
      </w:r>
    </w:p>
    <w:p>
      <w:pPr>
        <w:pStyle w:val="Indenta"/>
      </w:pPr>
      <w:r>
        <w:tab/>
        <w:t>(g)</w:t>
      </w:r>
      <w:r>
        <w:tab/>
        <w:t>if the person deceived is of or over the age of 60 years, to imprisonment for 10 years; or</w:t>
      </w:r>
    </w:p>
    <w:p>
      <w:pPr>
        <w:pStyle w:val="Indenta"/>
      </w:pPr>
      <w:r>
        <w:lastRenderedPageBreak/>
        <w:tab/>
        <w:t>(h)</w:t>
      </w:r>
      <w:r>
        <w:tab/>
        <w:t>in any other case, to imprisonment for 7 years.</w:t>
      </w:r>
    </w:p>
    <w:p>
      <w:pPr>
        <w:pStyle w:val="Penstart"/>
        <w:rPr>
          <w:snapToGrid w:val="0"/>
        </w:rPr>
      </w:pPr>
      <w:r>
        <w:rPr>
          <w:snapToGrid w:val="0"/>
        </w:rPr>
        <w:tab/>
      </w:r>
      <w:r>
        <w:t>Alternative offence: s. 378, 414 or 417.</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w:t>
      </w:r>
    </w:p>
    <w:p>
      <w:pPr>
        <w:pStyle w:val="Indenta"/>
        <w:rPr>
          <w:snapToGrid w:val="0"/>
        </w:rPr>
      </w:pPr>
      <w:r>
        <w:rPr>
          <w:snapToGrid w:val="0"/>
        </w:rPr>
        <w:tab/>
        <w:t>(a)</w:t>
      </w:r>
      <w:r>
        <w:rPr>
          <w:snapToGrid w:val="0"/>
        </w:rPr>
        <w:tab/>
        <w:t>property obtained or delivered; or</w:t>
      </w:r>
    </w:p>
    <w:p>
      <w:pPr>
        <w:pStyle w:val="Indenta"/>
        <w:keepNext/>
        <w:keepLines/>
        <w:rPr>
          <w:snapToGrid w:val="0"/>
        </w:rPr>
      </w:pPr>
      <w:r>
        <w:rPr>
          <w:snapToGrid w:val="0"/>
        </w:rPr>
        <w:tab/>
        <w:t>(b)</w:t>
      </w:r>
      <w:r>
        <w:rPr>
          <w:snapToGrid w:val="0"/>
        </w:rPr>
        <w:tab/>
        <w:t>a benefit gained or a detriment caused;</w:t>
      </w:r>
    </w:p>
    <w:p>
      <w:pPr>
        <w:pStyle w:val="Subsection"/>
        <w:keepNext/>
        <w:keepLines/>
        <w:widowControl w:val="0"/>
        <w:rPr>
          <w:snapToGrid w:val="0"/>
        </w:rPr>
      </w:pPr>
      <w:r>
        <w:rPr>
          <w:snapToGrid w:val="0"/>
        </w:rPr>
        <w:tab/>
      </w:r>
      <w:r>
        <w:rPr>
          <w:snapToGrid w:val="0"/>
        </w:rPr>
        <w:tab/>
        <w:t xml:space="preserve">is more than </w:t>
      </w:r>
      <w:r>
        <w:t xml:space="preserve">$50 000 </w:t>
      </w:r>
      <w:r>
        <w:rPr>
          <w:snapToGrid w:val="0"/>
        </w:rPr>
        <w:t>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No. 101 of 1990 s. 24; amended: No. 36 of 1996 s. 23; No. 23 of 2001 s. 11; No. 70 of 2004 s. 35(4) and 36(3); No. 11 of 2014 s. 6; No. 28 of 2018 s. 9.]</w:t>
      </w:r>
    </w:p>
    <w:p>
      <w:pPr>
        <w:pStyle w:val="Ednotesection"/>
      </w:pPr>
      <w:r>
        <w:t>[</w:t>
      </w:r>
      <w:r>
        <w:rPr>
          <w:b/>
        </w:rPr>
        <w:t>410</w:t>
      </w:r>
      <w:r>
        <w:rPr>
          <w:b/>
        </w:rPr>
        <w:noBreakHyphen/>
        <w:t>413.</w:t>
      </w:r>
      <w:r>
        <w:tab/>
        <w:t>Deleted: No. 101 of 1990 s. 24.]</w:t>
      </w:r>
    </w:p>
    <w:p>
      <w:pPr>
        <w:pStyle w:val="Heading3"/>
        <w:rPr>
          <w:snapToGrid w:val="0"/>
        </w:rPr>
      </w:pPr>
      <w:bookmarkStart w:id="526" w:name="_Toc88569963"/>
      <w:bookmarkStart w:id="527" w:name="_Toc88570485"/>
      <w:bookmarkStart w:id="528" w:name="_Toc88571007"/>
      <w:bookmarkStart w:id="529" w:name="_Toc88662406"/>
      <w:r>
        <w:rPr>
          <w:rStyle w:val="CharDivNo"/>
        </w:rPr>
        <w:t>Chapter XLI</w:t>
      </w:r>
      <w:r>
        <w:rPr>
          <w:snapToGrid w:val="0"/>
        </w:rPr>
        <w:t> — </w:t>
      </w:r>
      <w:r>
        <w:rPr>
          <w:rStyle w:val="CharDivText"/>
        </w:rPr>
        <w:t>Receiving property stolen or fraudulently obtained and like offences</w:t>
      </w:r>
      <w:bookmarkEnd w:id="526"/>
      <w:bookmarkEnd w:id="527"/>
      <w:bookmarkEnd w:id="528"/>
      <w:bookmarkEnd w:id="529"/>
    </w:p>
    <w:p>
      <w:pPr>
        <w:pStyle w:val="Heading5"/>
        <w:rPr>
          <w:snapToGrid w:val="0"/>
        </w:rPr>
      </w:pPr>
      <w:bookmarkStart w:id="530" w:name="_Toc88662407"/>
      <w:r>
        <w:rPr>
          <w:rStyle w:val="CharSectno"/>
        </w:rPr>
        <w:t>414</w:t>
      </w:r>
      <w:r>
        <w:rPr>
          <w:snapToGrid w:val="0"/>
        </w:rPr>
        <w:t>.</w:t>
      </w:r>
      <w:r>
        <w:rPr>
          <w:snapToGrid w:val="0"/>
        </w:rPr>
        <w:tab/>
        <w:t>Receiving stolen property etc.</w:t>
      </w:r>
      <w:bookmarkEnd w:id="530"/>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417.</w:t>
      </w:r>
    </w:p>
    <w:p>
      <w:pPr>
        <w:pStyle w:val="Subsection"/>
      </w:pPr>
      <w:r>
        <w:lastRenderedPageBreak/>
        <w:tab/>
      </w:r>
      <w:r>
        <w:tab/>
        <w:t>The offender is liable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rStyle w:val="CharDefText"/>
        </w:rPr>
        <w:t>property</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ind w:left="890" w:hanging="890"/>
      </w:pPr>
      <w:r>
        <w:tab/>
        <w:t>[Section 414 amended: No. 20 of 1954 s. 3; No. 51 of 1992 s. 10; No. 73 of 1994 s. 4; No. 4 of 2004 s. 68; No. 70 of 2004 s. 36(10); No. 11 of 2014 s. 6.]</w:t>
      </w:r>
    </w:p>
    <w:p>
      <w:pPr>
        <w:pStyle w:val="Heading5"/>
        <w:rPr>
          <w:snapToGrid w:val="0"/>
        </w:rPr>
      </w:pPr>
      <w:bookmarkStart w:id="531" w:name="_Toc88662408"/>
      <w:r>
        <w:rPr>
          <w:rStyle w:val="CharSectno"/>
        </w:rPr>
        <w:t>415</w:t>
      </w:r>
      <w:r>
        <w:rPr>
          <w:snapToGrid w:val="0"/>
        </w:rPr>
        <w:t>.</w:t>
      </w:r>
      <w:r>
        <w:rPr>
          <w:snapToGrid w:val="0"/>
        </w:rPr>
        <w:tab/>
        <w:t>Receiving after change of ownership</w:t>
      </w:r>
      <w:bookmarkEnd w:id="531"/>
    </w:p>
    <w:p>
      <w:pPr>
        <w:pStyle w:val="Subsection"/>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keepLines w:val="0"/>
        <w:spacing w:before="180"/>
        <w:rPr>
          <w:snapToGrid w:val="0"/>
        </w:rPr>
      </w:pPr>
      <w:bookmarkStart w:id="532" w:name="_Toc88662409"/>
      <w:r>
        <w:rPr>
          <w:rStyle w:val="CharSectno"/>
        </w:rPr>
        <w:lastRenderedPageBreak/>
        <w:t>416</w:t>
      </w:r>
      <w:r>
        <w:rPr>
          <w:snapToGrid w:val="0"/>
        </w:rPr>
        <w:t>.</w:t>
      </w:r>
      <w:r>
        <w:rPr>
          <w:snapToGrid w:val="0"/>
        </w:rPr>
        <w:tab/>
        <w:t>Taking reward for recovery of property obtained by means of indictable offence</w:t>
      </w:r>
      <w:bookmarkEnd w:id="532"/>
    </w:p>
    <w:p>
      <w:pPr>
        <w:pStyle w:val="Subsection"/>
        <w:spacing w:before="12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No. 51 of 1992 s. 16(2).]</w:t>
      </w:r>
    </w:p>
    <w:p>
      <w:pPr>
        <w:pStyle w:val="Heading5"/>
      </w:pPr>
      <w:bookmarkStart w:id="533" w:name="_Toc88662410"/>
      <w:r>
        <w:rPr>
          <w:rStyle w:val="CharSectno"/>
        </w:rPr>
        <w:t>417</w:t>
      </w:r>
      <w:r>
        <w:t>.</w:t>
      </w:r>
      <w:r>
        <w:tab/>
        <w:t>Possessing stolen or unlawfully obtained property</w:t>
      </w:r>
      <w:bookmarkEnd w:id="533"/>
    </w:p>
    <w:p>
      <w:pPr>
        <w:pStyle w:val="Subsection"/>
      </w:pPr>
      <w:r>
        <w:tab/>
        <w:t>(1)</w:t>
      </w:r>
      <w:r>
        <w:tab/>
        <w:t>A person who is in possession of any thing capable of being stolen that is reasonably suspected to be stolen or otherwise unlawfully obtained is guilty of a crime and is liable, if no other punishment is provided under section 417A, to imprisonment for 7 years.</w:t>
      </w:r>
    </w:p>
    <w:p>
      <w:pPr>
        <w:pStyle w:val="Subsection"/>
      </w:pPr>
      <w:r>
        <w:tab/>
      </w:r>
      <w:r>
        <w:tab/>
        <w:t>Summary conviction penalty: imprisonment for 2 years and a fine of $24 000.</w:t>
      </w:r>
    </w:p>
    <w:p>
      <w:pPr>
        <w:pStyle w:val="Subsection"/>
      </w:pPr>
      <w:r>
        <w:tab/>
        <w:t>(2)</w:t>
      </w:r>
      <w:r>
        <w:tab/>
        <w:t>It is a defence to a charge under subsection (1) to prove that at the time the accused was allegedly in possession of the thing, the accused had no reasonable grounds for suspecting that the thing was stolen or unlawfully obtained.</w:t>
      </w:r>
    </w:p>
    <w:p>
      <w:pPr>
        <w:pStyle w:val="Footnotesection"/>
      </w:pPr>
      <w:r>
        <w:tab/>
        <w:t>[Section 417 inserted: No. 11 of 2014 s. 4.]</w:t>
      </w:r>
    </w:p>
    <w:p>
      <w:pPr>
        <w:pStyle w:val="Heading5"/>
      </w:pPr>
      <w:bookmarkStart w:id="534" w:name="_Toc88662411"/>
      <w:r>
        <w:rPr>
          <w:rStyle w:val="CharSectno"/>
        </w:rPr>
        <w:t>417A</w:t>
      </w:r>
      <w:r>
        <w:t>.</w:t>
      </w:r>
      <w:r>
        <w:tab/>
        <w:t>Punishment for possession in special cases</w:t>
      </w:r>
      <w:bookmarkEnd w:id="534"/>
    </w:p>
    <w:p>
      <w:pPr>
        <w:pStyle w:val="Subsection"/>
      </w:pPr>
      <w:r>
        <w:tab/>
        <w:t>(1)</w:t>
      </w:r>
      <w:r>
        <w:tab/>
        <w:t>The penalty for a crime committed under section 417(1) in a case specified in this section is the penalty specified for that case.</w:t>
      </w:r>
    </w:p>
    <w:p>
      <w:pPr>
        <w:pStyle w:val="Subsection"/>
      </w:pPr>
      <w:r>
        <w:lastRenderedPageBreak/>
        <w:tab/>
        <w:t>(2)</w:t>
      </w:r>
      <w:r>
        <w:tab/>
        <w:t>If the thing is a testamentary instrument, whether the testator is living or dead, the offender is liable to imprisonment for 10 years.</w:t>
      </w:r>
    </w:p>
    <w:p>
      <w:pPr>
        <w:pStyle w:val="Subsection"/>
      </w:pPr>
      <w:r>
        <w:tab/>
        <w:t>(3)</w:t>
      </w:r>
      <w:r>
        <w:tab/>
        <w:t xml:space="preserve">If the thing is a motor vehicle, the offender is liable to imprisonment for 8 years if the offender — </w:t>
      </w:r>
    </w:p>
    <w:p>
      <w:pPr>
        <w:pStyle w:val="Indenta"/>
      </w:pPr>
      <w:r>
        <w:tab/>
        <w:t>(a)</w:t>
      </w:r>
      <w:r>
        <w:tab/>
        <w:t xml:space="preserve">wilfully drives the motor vehicle in a manner that constitutes an offence under the </w:t>
      </w:r>
      <w:r>
        <w:rPr>
          <w:i/>
        </w:rPr>
        <w:t>Road Traffic Act 1974</w:t>
      </w:r>
      <w:r>
        <w:t xml:space="preserve"> section 60 or 60A; or</w:t>
      </w:r>
    </w:p>
    <w:p>
      <w:pPr>
        <w:pStyle w:val="Indenta"/>
      </w:pPr>
      <w:r>
        <w:tab/>
        <w:t>(b)</w:t>
      </w:r>
      <w:r>
        <w:tab/>
        <w:t xml:space="preserve">drives the motor vehicle in a manner that constitutes an offence under the </w:t>
      </w:r>
      <w:r>
        <w:rPr>
          <w:i/>
        </w:rPr>
        <w:t>Road Traffic Act 1974</w:t>
      </w:r>
      <w:r>
        <w:t xml:space="preserve"> section 61 (i.e. the offence known as dangerous driving).</w:t>
      </w:r>
    </w:p>
    <w:p>
      <w:pPr>
        <w:pStyle w:val="Subsection"/>
      </w:pPr>
      <w:r>
        <w:tab/>
        <w:t>(4)</w:t>
      </w:r>
      <w:r>
        <w:tab/>
        <w:t>If the thing is an aircraft, the offender is liable to imprisonment for 10 years.</w:t>
      </w:r>
    </w:p>
    <w:p>
      <w:pPr>
        <w:pStyle w:val="Subsection"/>
      </w:pPr>
      <w:r>
        <w:tab/>
        <w:t>(5)</w:t>
      </w:r>
      <w:r>
        <w:tab/>
        <w:t>If the offender is employed in the Public Service and the thing came into the possession of the offender by virtue of his or her employment, the offender is liable to imprisonment for 10 years.</w:t>
      </w:r>
    </w:p>
    <w:p>
      <w:pPr>
        <w:pStyle w:val="Subsection"/>
      </w:pPr>
      <w:r>
        <w:tab/>
        <w:t>(6)</w:t>
      </w:r>
      <w:r>
        <w:tab/>
        <w:t>If the offender is an employee and the thing came into the possession of the offender on account of his or her employer, the offender is liable to imprisonment for 10 years.</w:t>
      </w:r>
    </w:p>
    <w:p>
      <w:pPr>
        <w:pStyle w:val="Subsection"/>
      </w:pPr>
      <w:r>
        <w:tab/>
        <w:t>(7)</w:t>
      </w:r>
      <w:r>
        <w:tab/>
        <w:t>If the offender is a director or officer of a corporation or company, and the thing is the property of the corporation or company, the offender is liable to imprisonment for 10 years.</w:t>
      </w:r>
    </w:p>
    <w:p>
      <w:pPr>
        <w:pStyle w:val="Footnotesection"/>
      </w:pPr>
      <w:r>
        <w:tab/>
        <w:t>[Section 417A inserted: No. 11 of 2014 s. 4; amended: No. 51 of 2016 s. 50.]</w:t>
      </w:r>
    </w:p>
    <w:p>
      <w:pPr>
        <w:pStyle w:val="Heading3"/>
        <w:rPr>
          <w:snapToGrid w:val="0"/>
        </w:rPr>
      </w:pPr>
      <w:bookmarkStart w:id="535" w:name="_Toc88569969"/>
      <w:bookmarkStart w:id="536" w:name="_Toc88570491"/>
      <w:bookmarkStart w:id="537" w:name="_Toc88571013"/>
      <w:bookmarkStart w:id="538" w:name="_Toc88662412"/>
      <w:r>
        <w:rPr>
          <w:rStyle w:val="CharDivNo"/>
        </w:rPr>
        <w:t>Chapter XLII</w:t>
      </w:r>
      <w:r>
        <w:rPr>
          <w:snapToGrid w:val="0"/>
        </w:rPr>
        <w:t> — </w:t>
      </w:r>
      <w:r>
        <w:rPr>
          <w:rStyle w:val="CharDivText"/>
        </w:rPr>
        <w:t>Frauds by trustees and officers of companies and corporations: False accounting</w:t>
      </w:r>
      <w:bookmarkEnd w:id="535"/>
      <w:bookmarkEnd w:id="536"/>
      <w:bookmarkEnd w:id="537"/>
      <w:bookmarkEnd w:id="538"/>
    </w:p>
    <w:p>
      <w:pPr>
        <w:pStyle w:val="Heading5"/>
        <w:rPr>
          <w:snapToGrid w:val="0"/>
        </w:rPr>
      </w:pPr>
      <w:bookmarkStart w:id="539" w:name="_Toc88662413"/>
      <w:r>
        <w:rPr>
          <w:rStyle w:val="CharSectno"/>
        </w:rPr>
        <w:t>418</w:t>
      </w:r>
      <w:r>
        <w:rPr>
          <w:snapToGrid w:val="0"/>
        </w:rPr>
        <w:t>.</w:t>
      </w:r>
      <w:r>
        <w:rPr>
          <w:snapToGrid w:val="0"/>
        </w:rPr>
        <w:tab/>
        <w:t>Signing false document relating to company</w:t>
      </w:r>
      <w:bookmarkEnd w:id="539"/>
    </w:p>
    <w:p>
      <w:pPr>
        <w:pStyle w:val="Subsection"/>
        <w:rPr>
          <w:snapToGrid w:val="0"/>
        </w:rPr>
      </w:pPr>
      <w:r>
        <w:rPr>
          <w:snapToGrid w:val="0"/>
        </w:rPr>
        <w:tab/>
      </w:r>
      <w:r>
        <w:rPr>
          <w:snapToGrid w:val="0"/>
        </w:rPr>
        <w:tab/>
        <w:t xml:space="preserve">Any person who signs any memorandum of association, or any statement, abstract, or document, required by any Act or law relating to companies, containing any particulars false to the </w:t>
      </w:r>
      <w:r>
        <w:rPr>
          <w:snapToGrid w:val="0"/>
        </w:rPr>
        <w:lastRenderedPageBreak/>
        <w:t>knowledge of such person, is guilty of a crime, and is liable to imprisonment for one year</w:t>
      </w:r>
      <w:r>
        <w:t xml:space="preserve"> and a fine of $12 000</w:t>
      </w:r>
      <w:r>
        <w:rPr>
          <w:snapToGrid w:val="0"/>
        </w:rPr>
        <w:t>.</w:t>
      </w:r>
    </w:p>
    <w:p>
      <w:pPr>
        <w:pStyle w:val="Footnotesection"/>
      </w:pPr>
      <w:r>
        <w:tab/>
        <w:t>[Section 418 amended: No. 113 of 1965 s. 8(1); No. 10 of 1982 s. 28; No. 51 of 1992 s. 16(2); No. 70 of 2004 s. 34(1) and 35(4).]</w:t>
      </w:r>
    </w:p>
    <w:p>
      <w:pPr>
        <w:pStyle w:val="Heading5"/>
        <w:rPr>
          <w:snapToGrid w:val="0"/>
        </w:rPr>
      </w:pPr>
      <w:bookmarkStart w:id="540" w:name="_Toc88662414"/>
      <w:r>
        <w:rPr>
          <w:rStyle w:val="CharSectno"/>
        </w:rPr>
        <w:t>419</w:t>
      </w:r>
      <w:r>
        <w:rPr>
          <w:snapToGrid w:val="0"/>
        </w:rPr>
        <w:t>.</w:t>
      </w:r>
      <w:r>
        <w:rPr>
          <w:snapToGrid w:val="0"/>
        </w:rPr>
        <w:tab/>
        <w:t>Company’s books etc., acts etc. as to by director etc. with intent to defraud</w:t>
      </w:r>
      <w:bookmarkEnd w:id="540"/>
    </w:p>
    <w:p>
      <w:pPr>
        <w:pStyle w:val="Subsection"/>
        <w:keepNext/>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rPr>
          <w:snapToGrid w:val="0"/>
        </w:rPr>
      </w:pPr>
      <w:r>
        <w:rPr>
          <w:snapToGrid w:val="0"/>
        </w:rPr>
        <w:tab/>
        <w:t>(2)</w:t>
      </w:r>
      <w:r>
        <w:rPr>
          <w:snapToGrid w:val="0"/>
        </w:rPr>
        <w:tab/>
        <w:t>Being a director, officer, or member of a corporation or company, does any of the following acts with intent to defraud, that is to say —</w:t>
      </w:r>
    </w:p>
    <w:p>
      <w:pPr>
        <w:pStyle w:val="Indenti"/>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rPr>
          <w:snapToGrid w:val="0"/>
        </w:rPr>
      </w:pPr>
      <w:r>
        <w:rPr>
          <w:snapToGrid w:val="0"/>
        </w:rPr>
        <w:tab/>
        <w:t>(b)</w:t>
      </w:r>
      <w:r>
        <w:rPr>
          <w:snapToGrid w:val="0"/>
        </w:rPr>
        <w:tab/>
        <w:t>Makes or is privy to making any false entry in any such book, document, or account; or</w:t>
      </w:r>
    </w:p>
    <w:p>
      <w:pPr>
        <w:pStyle w:val="Indenti"/>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419 amended: No. 119 of 1985 s. 30; No. 51 of 1992 s. 16(2).]</w:t>
      </w:r>
    </w:p>
    <w:p>
      <w:pPr>
        <w:pStyle w:val="Heading5"/>
        <w:rPr>
          <w:snapToGrid w:val="0"/>
        </w:rPr>
      </w:pPr>
      <w:bookmarkStart w:id="541" w:name="_Toc88662415"/>
      <w:r>
        <w:rPr>
          <w:rStyle w:val="CharSectno"/>
        </w:rPr>
        <w:lastRenderedPageBreak/>
        <w:t>420</w:t>
      </w:r>
      <w:r>
        <w:rPr>
          <w:snapToGrid w:val="0"/>
        </w:rPr>
        <w:t>.</w:t>
      </w:r>
      <w:r>
        <w:rPr>
          <w:snapToGrid w:val="0"/>
        </w:rPr>
        <w:tab/>
        <w:t>False statement by company’s official</w:t>
      </w:r>
      <w:bookmarkEnd w:id="541"/>
    </w:p>
    <w:p>
      <w:pPr>
        <w:pStyle w:val="Subsection"/>
        <w:rPr>
          <w:snapToGrid w:val="0"/>
        </w:rPr>
      </w:pPr>
      <w:r>
        <w:rPr>
          <w:snapToGrid w:val="0"/>
        </w:rPr>
        <w:tab/>
      </w:r>
      <w:r>
        <w:rPr>
          <w:snapToGrid w:val="0"/>
        </w:rPr>
        <w:tab/>
        <w:t>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w:t>
      </w:r>
    </w:p>
    <w:p>
      <w:pPr>
        <w:pStyle w:val="Indenta"/>
        <w:rPr>
          <w:snapToGrid w:val="0"/>
        </w:rPr>
      </w:pPr>
      <w:r>
        <w:rPr>
          <w:snapToGrid w:val="0"/>
        </w:rPr>
        <w:tab/>
        <w:t>(a)</w:t>
      </w:r>
      <w:r>
        <w:rPr>
          <w:snapToGrid w:val="0"/>
        </w:rPr>
        <w:tab/>
        <w:t>To deceive or defraud any member, shareholder, or creditor of the corporation or company, whether a particular person or not;</w:t>
      </w:r>
    </w:p>
    <w:p>
      <w:pPr>
        <w:pStyle w:val="Indenta"/>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spacing w:before="120"/>
        <w:rPr>
          <w:snapToGrid w:val="0"/>
        </w:rPr>
      </w:pPr>
      <w:r>
        <w:rPr>
          <w:snapToGrid w:val="0"/>
        </w:rPr>
        <w:tab/>
      </w:r>
      <w:r>
        <w:rPr>
          <w:snapToGrid w:val="0"/>
        </w:rPr>
        <w:tab/>
        <w:t>is guilty of a crime, and is liable to imprisonment for 7 years.</w:t>
      </w:r>
    </w:p>
    <w:p>
      <w:pPr>
        <w:pStyle w:val="Footnotesection"/>
        <w:ind w:left="890" w:hanging="890"/>
      </w:pPr>
      <w:r>
        <w:tab/>
        <w:t>[Section 420 amended: No. 119 of 1985 s. 30; No. 51 of 1992 s. 16(2).]</w:t>
      </w:r>
    </w:p>
    <w:p>
      <w:pPr>
        <w:pStyle w:val="Heading5"/>
        <w:rPr>
          <w:snapToGrid w:val="0"/>
        </w:rPr>
      </w:pPr>
      <w:bookmarkStart w:id="542" w:name="_Toc88662416"/>
      <w:r>
        <w:rPr>
          <w:rStyle w:val="CharSectno"/>
        </w:rPr>
        <w:t>421</w:t>
      </w:r>
      <w:r>
        <w:rPr>
          <w:snapToGrid w:val="0"/>
        </w:rPr>
        <w:t>.</w:t>
      </w:r>
      <w:r>
        <w:rPr>
          <w:snapToGrid w:val="0"/>
        </w:rPr>
        <w:tab/>
        <w:t>False statement by company’s official with intent to affect share price</w:t>
      </w:r>
      <w:bookmarkEnd w:id="542"/>
    </w:p>
    <w:p>
      <w:pPr>
        <w:pStyle w:val="Subsection"/>
        <w:spacing w:before="120"/>
        <w:rPr>
          <w:snapToGrid w:val="0"/>
        </w:rPr>
      </w:pPr>
      <w:r>
        <w:rPr>
          <w:snapToGrid w:val="0"/>
        </w:rPr>
        <w:tab/>
      </w:r>
      <w:r>
        <w:rPr>
          <w:snapToGrid w:val="0"/>
        </w:rPr>
        <w:tab/>
        <w:t xml:space="preserve">Any person who, being a director, officer, or agent of a company having its share capital listed for dealings on any stock exchange in Western Australia or elsewhere, wilfully makes or is privy to making in any prospectus, return, report, certificate, </w:t>
      </w:r>
      <w:r>
        <w:rPr>
          <w:snapToGrid w:val="0"/>
          <w:spacing w:val="-4"/>
        </w:rPr>
        <w:t>account, statement of operations, or prospectus, or other document,</w:t>
      </w:r>
      <w:r>
        <w:rPr>
          <w:snapToGrid w:val="0"/>
        </w:rPr>
        <w:t xml:space="preserve">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 crime, and is liable to imprisonment for 2 years</w:t>
      </w:r>
      <w:r>
        <w:t xml:space="preserve"> and a fine of $24 000</w:t>
      </w:r>
      <w:r>
        <w:rPr>
          <w:snapToGrid w:val="0"/>
        </w:rPr>
        <w:t>.</w:t>
      </w:r>
    </w:p>
    <w:p>
      <w:pPr>
        <w:pStyle w:val="Footnotesection"/>
        <w:keepLines w:val="0"/>
        <w:ind w:left="890" w:hanging="890"/>
      </w:pPr>
      <w:r>
        <w:tab/>
        <w:t>[Section 421 amended: No. 113 of 1965 s. 8(1); No. 101 of 1990 s. 26; No. 51 of 1992 s. 16(2); No. 70 of 2004 s. 34(1) and 35(4).]</w:t>
      </w:r>
    </w:p>
    <w:p>
      <w:pPr>
        <w:pStyle w:val="Heading5"/>
        <w:spacing w:before="180"/>
        <w:rPr>
          <w:snapToGrid w:val="0"/>
        </w:rPr>
      </w:pPr>
      <w:bookmarkStart w:id="543" w:name="_Toc88662417"/>
      <w:r>
        <w:rPr>
          <w:rStyle w:val="CharSectno"/>
        </w:rPr>
        <w:lastRenderedPageBreak/>
        <w:t>422</w:t>
      </w:r>
      <w:r>
        <w:rPr>
          <w:snapToGrid w:val="0"/>
        </w:rPr>
        <w:t>.</w:t>
      </w:r>
      <w:r>
        <w:rPr>
          <w:snapToGrid w:val="0"/>
        </w:rPr>
        <w:tab/>
        <w:t>Defence for this Chapter</w:t>
      </w:r>
      <w:bookmarkEnd w:id="543"/>
    </w:p>
    <w:p>
      <w:pPr>
        <w:pStyle w:val="Subsection"/>
        <w:spacing w:before="120"/>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spacing w:before="120"/>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spacing w:before="180"/>
        <w:ind w:left="890" w:hanging="890"/>
      </w:pPr>
      <w:r>
        <w:t>[</w:t>
      </w:r>
      <w:r>
        <w:rPr>
          <w:b/>
        </w:rPr>
        <w:t>423.</w:t>
      </w:r>
      <w:r>
        <w:tab/>
        <w:t>Deleted: No. 101 of 1990 s. 25.]</w:t>
      </w:r>
    </w:p>
    <w:p>
      <w:pPr>
        <w:pStyle w:val="Heading5"/>
        <w:spacing w:before="180"/>
        <w:rPr>
          <w:snapToGrid w:val="0"/>
        </w:rPr>
      </w:pPr>
      <w:bookmarkStart w:id="544" w:name="_Toc88662418"/>
      <w:r>
        <w:rPr>
          <w:rStyle w:val="CharSectno"/>
        </w:rPr>
        <w:t>424</w:t>
      </w:r>
      <w:r>
        <w:rPr>
          <w:snapToGrid w:val="0"/>
        </w:rPr>
        <w:t>.</w:t>
      </w:r>
      <w:r>
        <w:rPr>
          <w:snapToGrid w:val="0"/>
        </w:rPr>
        <w:tab/>
        <w:t>Fraudulent falsification of record</w:t>
      </w:r>
      <w:bookmarkEnd w:id="544"/>
    </w:p>
    <w:p>
      <w:pPr>
        <w:pStyle w:val="Subsection"/>
        <w:spacing w:before="120"/>
        <w:rPr>
          <w:snapToGrid w:val="0"/>
        </w:rPr>
      </w:pPr>
      <w:r>
        <w:rPr>
          <w:snapToGrid w:val="0"/>
        </w:rPr>
        <w:tab/>
      </w:r>
      <w:r>
        <w:rPr>
          <w:snapToGrid w:val="0"/>
        </w:rPr>
        <w:tab/>
        <w:t>Any person who with intent to defraud —</w:t>
      </w:r>
    </w:p>
    <w:p>
      <w:pPr>
        <w:pStyle w:val="Indenta"/>
        <w:keepNext/>
        <w:keepLines/>
        <w:spacing w:before="60"/>
        <w:rPr>
          <w:snapToGrid w:val="0"/>
        </w:rPr>
      </w:pPr>
      <w:r>
        <w:rPr>
          <w:snapToGrid w:val="0"/>
        </w:rPr>
        <w:tab/>
        <w:t>(a)</w:t>
      </w:r>
      <w:r>
        <w:rPr>
          <w:snapToGrid w:val="0"/>
        </w:rPr>
        <w:tab/>
        <w:t>makes a false entry in any record; or</w:t>
      </w:r>
    </w:p>
    <w:p>
      <w:pPr>
        <w:pStyle w:val="Indenta"/>
        <w:spacing w:before="60"/>
        <w:rPr>
          <w:snapToGrid w:val="0"/>
        </w:rPr>
      </w:pPr>
      <w:r>
        <w:rPr>
          <w:snapToGrid w:val="0"/>
        </w:rPr>
        <w:tab/>
        <w:t>(b)</w:t>
      </w:r>
      <w:r>
        <w:rPr>
          <w:snapToGrid w:val="0"/>
        </w:rPr>
        <w:tab/>
        <w:t>omits to make an entry in any record; or</w:t>
      </w:r>
    </w:p>
    <w:p>
      <w:pPr>
        <w:pStyle w:val="Indenta"/>
        <w:spacing w:before="60"/>
        <w:rPr>
          <w:snapToGrid w:val="0"/>
        </w:rPr>
      </w:pPr>
      <w:r>
        <w:rPr>
          <w:snapToGrid w:val="0"/>
        </w:rPr>
        <w:tab/>
        <w:t>(c)</w:t>
      </w:r>
      <w:r>
        <w:rPr>
          <w:snapToGrid w:val="0"/>
        </w:rPr>
        <w:tab/>
        <w:t>gives any certificate or information which is false in a material particular; or</w:t>
      </w:r>
    </w:p>
    <w:p>
      <w:pPr>
        <w:pStyle w:val="Indenta"/>
        <w:keepNext/>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ind w:left="890" w:hanging="890"/>
      </w:pPr>
      <w:r>
        <w:tab/>
        <w:t>[Section 424 inserted: No. 101 of 1990 s. 27; amended: No. 70 of 2004 s. 35(2).]</w:t>
      </w:r>
    </w:p>
    <w:p>
      <w:pPr>
        <w:pStyle w:val="Ednotesection"/>
        <w:ind w:left="890" w:hanging="890"/>
      </w:pPr>
      <w:r>
        <w:t>[</w:t>
      </w:r>
      <w:r>
        <w:rPr>
          <w:b/>
        </w:rPr>
        <w:t>425.</w:t>
      </w:r>
      <w:r>
        <w:tab/>
      </w:r>
      <w:r>
        <w:tab/>
        <w:t>Deleted: No. 101 of 1990 s. 28.]</w:t>
      </w:r>
    </w:p>
    <w:p>
      <w:pPr>
        <w:pStyle w:val="Heading3"/>
        <w:rPr>
          <w:snapToGrid w:val="0"/>
        </w:rPr>
      </w:pPr>
      <w:bookmarkStart w:id="545" w:name="_Toc88569976"/>
      <w:bookmarkStart w:id="546" w:name="_Toc88570498"/>
      <w:bookmarkStart w:id="547" w:name="_Toc88571020"/>
      <w:bookmarkStart w:id="548" w:name="_Toc88662419"/>
      <w:r>
        <w:rPr>
          <w:rStyle w:val="CharDivNo"/>
        </w:rPr>
        <w:lastRenderedPageBreak/>
        <w:t>Chapter XLIII</w:t>
      </w:r>
      <w:r>
        <w:rPr>
          <w:snapToGrid w:val="0"/>
        </w:rPr>
        <w:t> — </w:t>
      </w:r>
      <w:r>
        <w:rPr>
          <w:rStyle w:val="CharDivText"/>
        </w:rPr>
        <w:t>Summary conviction for stealing and like indictable offences</w:t>
      </w:r>
      <w:bookmarkEnd w:id="545"/>
      <w:bookmarkEnd w:id="546"/>
      <w:bookmarkEnd w:id="547"/>
      <w:bookmarkEnd w:id="548"/>
    </w:p>
    <w:p>
      <w:pPr>
        <w:pStyle w:val="Footnoteheading"/>
      </w:pPr>
      <w:r>
        <w:tab/>
        <w:t>[Heading amended: No. 106 of 1987 s. 18; No. 37 of 1991 s. 13(3).]</w:t>
      </w:r>
    </w:p>
    <w:p>
      <w:pPr>
        <w:pStyle w:val="Heading5"/>
        <w:spacing w:before="180"/>
        <w:rPr>
          <w:snapToGrid w:val="0"/>
        </w:rPr>
      </w:pPr>
      <w:bookmarkStart w:id="549" w:name="_Toc88662420"/>
      <w:r>
        <w:rPr>
          <w:rStyle w:val="CharSectno"/>
        </w:rPr>
        <w:t>426</w:t>
      </w:r>
      <w:r>
        <w:rPr>
          <w:snapToGrid w:val="0"/>
        </w:rPr>
        <w:t>.</w:t>
      </w:r>
      <w:r>
        <w:rPr>
          <w:snapToGrid w:val="0"/>
        </w:rPr>
        <w:tab/>
        <w:t>Summary conviction penalty for certain stealing and like offences</w:t>
      </w:r>
      <w:bookmarkEnd w:id="549"/>
    </w:p>
    <w:p>
      <w:pPr>
        <w:pStyle w:val="Subsection"/>
        <w:spacing w:before="120"/>
        <w:rPr>
          <w:snapToGrid w:val="0"/>
        </w:rPr>
      </w:pPr>
      <w:r>
        <w:rPr>
          <w:snapToGrid w:val="0"/>
        </w:rPr>
        <w:tab/>
        <w:t>(1)</w:t>
      </w:r>
      <w:r>
        <w:rPr>
          <w:snapToGrid w:val="0"/>
        </w:rPr>
        <w:tab/>
        <w:t>Subsection (2) applies to the following indictable offences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80"/>
      </w:pPr>
      <w:r>
        <w:tab/>
        <w:t>[(c)</w:t>
      </w:r>
      <w:r>
        <w:tab/>
        <w:t>deleted]</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20"/>
      </w:pPr>
      <w:r>
        <w:tab/>
        <w:t>(2)</w:t>
      </w:r>
      <w:r>
        <w:tab/>
        <w:t>Summary conviction penalty: for an offence to which this subsection applies where the value of the property in question does not exceed $50 000, unless subsection (4) applies — imprisonment for 2 years and a fine of $24 000.</w:t>
      </w:r>
    </w:p>
    <w:p>
      <w:pPr>
        <w:pStyle w:val="Subsection"/>
        <w:spacing w:before="120"/>
      </w:pPr>
      <w:r>
        <w:tab/>
        <w:t>(3)</w:t>
      </w:r>
      <w:r>
        <w:tab/>
        <w:t>Summary conviction penalty: for an offence —</w:t>
      </w:r>
    </w:p>
    <w:p>
      <w:pPr>
        <w:pStyle w:val="Indenta"/>
        <w:spacing w:before="60"/>
      </w:pPr>
      <w:r>
        <w:tab/>
        <w:t>(a)</w:t>
      </w:r>
      <w:r>
        <w:tab/>
        <w:t>under section 378 or 414; or</w:t>
      </w:r>
    </w:p>
    <w:p>
      <w:pPr>
        <w:pStyle w:val="Indenta"/>
        <w:spacing w:before="60"/>
      </w:pPr>
      <w:r>
        <w:tab/>
        <w:t>(b)</w:t>
      </w:r>
      <w:r>
        <w:tab/>
        <w:t>of attempting to commit, or inciting another person to commit, an offence under section 378 or 414,</w:t>
      </w:r>
    </w:p>
    <w:p>
      <w:pPr>
        <w:pStyle w:val="Subsection"/>
        <w:spacing w:before="120"/>
      </w:pPr>
      <w:r>
        <w:tab/>
      </w:r>
      <w:r>
        <w:tab/>
        <w:t>where the property in question is a motor vehicle, unless subsection (4) applies — imprisonment for 2 years and a fine of $24 000.</w:t>
      </w:r>
    </w:p>
    <w:p>
      <w:pPr>
        <w:pStyle w:val="Subsection"/>
        <w:spacing w:before="120"/>
      </w:pPr>
      <w:r>
        <w:lastRenderedPageBreak/>
        <w:tab/>
        <w:t>(4)</w:t>
      </w:r>
      <w:r>
        <w:tab/>
        <w:t>Summary conviction penalty: for an offence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keepLines w:val="0"/>
        <w:spacing w:before="100"/>
        <w:ind w:left="890" w:hanging="890"/>
      </w:pPr>
      <w:r>
        <w:tab/>
        <w:t>[Section 426 inserted: No. 106 of 1987 s. 19; amended: No. 101 of 1990 s. 29; No. 37 of 1991 s. 19; No. 36 of 1996 s. 24; No. 50 of 2003 s. 51(12); No. 4 of 2004 s. 33; No. 70 of 2004 s. 35(4); No. 28 of 2018 s. 10.]</w:t>
      </w:r>
    </w:p>
    <w:p>
      <w:pPr>
        <w:pStyle w:val="Ednotesection"/>
      </w:pPr>
      <w:r>
        <w:t>[</w:t>
      </w:r>
      <w:r>
        <w:rPr>
          <w:b/>
        </w:rPr>
        <w:t>426A.</w:t>
      </w:r>
      <w:r>
        <w:tab/>
        <w:t>Deleted: No. 4 of 2004 s. 34.]</w:t>
      </w:r>
    </w:p>
    <w:p>
      <w:pPr>
        <w:pStyle w:val="Heading5"/>
      </w:pPr>
      <w:bookmarkStart w:id="550" w:name="_Toc88662421"/>
      <w:r>
        <w:rPr>
          <w:rStyle w:val="CharSectno"/>
        </w:rPr>
        <w:t>427</w:t>
      </w:r>
      <w:r>
        <w:t>.</w:t>
      </w:r>
      <w:r>
        <w:tab/>
        <w:t>Summary conviction penalty for certain offences of fraudulent nature</w:t>
      </w:r>
      <w:bookmarkEnd w:id="550"/>
    </w:p>
    <w:p>
      <w:pPr>
        <w:pStyle w:val="Subsection"/>
      </w:pPr>
      <w:r>
        <w:tab/>
      </w:r>
      <w:r>
        <w:tab/>
        <w:t>Summary conviction penalty: for an offence under section 381, 384, 385, 386, 387, 389 or 390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keepLines w:val="0"/>
        <w:ind w:left="890" w:hanging="890"/>
      </w:pPr>
      <w:r>
        <w:tab/>
        <w:t>[Section 427 inserted: No. 4 of 2004 s. 35; amended: No. 70 of 2004 s. 35(4) and (10).]</w:t>
      </w:r>
    </w:p>
    <w:p>
      <w:pPr>
        <w:pStyle w:val="Ednotesection"/>
        <w:ind w:left="890" w:hanging="890"/>
      </w:pPr>
      <w:r>
        <w:t>[</w:t>
      </w:r>
      <w:r>
        <w:rPr>
          <w:b/>
        </w:rPr>
        <w:t>427A.</w:t>
      </w:r>
      <w:r>
        <w:tab/>
        <w:t>Deleted: No. 101 of 1990 s. 32.]</w:t>
      </w:r>
    </w:p>
    <w:p>
      <w:pPr>
        <w:pStyle w:val="Heading3"/>
        <w:pageBreakBefore/>
        <w:spacing w:before="0"/>
      </w:pPr>
      <w:bookmarkStart w:id="551" w:name="_Toc88569979"/>
      <w:bookmarkStart w:id="552" w:name="_Toc88570501"/>
      <w:bookmarkStart w:id="553" w:name="_Toc88571023"/>
      <w:bookmarkStart w:id="554" w:name="_Toc88662422"/>
      <w:r>
        <w:rPr>
          <w:rStyle w:val="CharDivNo"/>
        </w:rPr>
        <w:lastRenderedPageBreak/>
        <w:t>Chapter XLIV</w:t>
      </w:r>
      <w:r>
        <w:t> — </w:t>
      </w:r>
      <w:r>
        <w:rPr>
          <w:rStyle w:val="CharDivText"/>
        </w:rPr>
        <w:t>Simple offences analogous to stealing</w:t>
      </w:r>
      <w:bookmarkEnd w:id="551"/>
      <w:bookmarkEnd w:id="552"/>
      <w:bookmarkEnd w:id="553"/>
      <w:bookmarkEnd w:id="554"/>
    </w:p>
    <w:p>
      <w:pPr>
        <w:pStyle w:val="Footnoteheading"/>
        <w:keepNext/>
      </w:pPr>
      <w:r>
        <w:tab/>
        <w:t>[Heading inserted: No. 70 of 2004 s. 27.]</w:t>
      </w:r>
    </w:p>
    <w:p>
      <w:pPr>
        <w:pStyle w:val="Ednotesection"/>
        <w:ind w:left="890" w:hanging="890"/>
      </w:pPr>
      <w:r>
        <w:t>[</w:t>
      </w:r>
      <w:r>
        <w:rPr>
          <w:b/>
        </w:rPr>
        <w:t>428.</w:t>
      </w:r>
      <w:r>
        <w:tab/>
        <w:t>Deleted: No. 11 of 2014 s. 5.]</w:t>
      </w:r>
    </w:p>
    <w:p>
      <w:pPr>
        <w:pStyle w:val="Heading5"/>
        <w:spacing w:before="180"/>
      </w:pPr>
      <w:bookmarkStart w:id="555" w:name="_Toc88662423"/>
      <w:r>
        <w:rPr>
          <w:rStyle w:val="CharSectno"/>
        </w:rPr>
        <w:t>429</w:t>
      </w:r>
      <w:r>
        <w:t>.</w:t>
      </w:r>
      <w:r>
        <w:tab/>
        <w:t>Unlawfully using another person’s animal</w:t>
      </w:r>
      <w:bookmarkEnd w:id="555"/>
    </w:p>
    <w:p>
      <w:pPr>
        <w:pStyle w:val="Subsection"/>
        <w:keepNext/>
        <w:keepLines/>
      </w:pPr>
      <w:r>
        <w:tab/>
      </w:r>
      <w:r>
        <w:tab/>
        <w:t>A person who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ind w:left="890" w:hanging="890"/>
      </w:pPr>
      <w:r>
        <w:tab/>
        <w:t>[Section 429 inserted: No. 70 of 2004 s. 28.]</w:t>
      </w:r>
    </w:p>
    <w:p>
      <w:pPr>
        <w:pStyle w:val="Ednotesection"/>
        <w:ind w:left="890" w:hanging="890"/>
      </w:pPr>
      <w:r>
        <w:t>[</w:t>
      </w:r>
      <w:r>
        <w:rPr>
          <w:b/>
        </w:rPr>
        <w:t>430</w:t>
      </w:r>
      <w:r>
        <w:rPr>
          <w:b/>
        </w:rPr>
        <w:noBreakHyphen/>
        <w:t>432.</w:t>
      </w:r>
      <w:r>
        <w:rPr>
          <w:bCs/>
        </w:rPr>
        <w:tab/>
      </w:r>
      <w:r>
        <w:t>Deleted: No. 70 of 2004 s. 28.]</w:t>
      </w:r>
    </w:p>
    <w:p>
      <w:pPr>
        <w:pStyle w:val="Ednotesection"/>
        <w:ind w:left="890" w:hanging="890"/>
      </w:pPr>
      <w:r>
        <w:t>[</w:t>
      </w:r>
      <w:r>
        <w:rPr>
          <w:b/>
        </w:rPr>
        <w:t>433.</w:t>
      </w:r>
      <w:r>
        <w:tab/>
        <w:t>Deleted: No. 4 of 2004 s. 36.]</w:t>
      </w:r>
    </w:p>
    <w:p>
      <w:pPr>
        <w:pStyle w:val="Ednotesection"/>
        <w:ind w:left="890" w:hanging="890"/>
      </w:pPr>
      <w:r>
        <w:t>[</w:t>
      </w:r>
      <w:r>
        <w:rPr>
          <w:b/>
        </w:rPr>
        <w:t>434, 435.</w:t>
      </w:r>
      <w:r>
        <w:rPr>
          <w:b/>
        </w:rPr>
        <w:tab/>
      </w:r>
      <w:r>
        <w:t>Deleted: No. 70 of 2004 s. 28.]</w:t>
      </w:r>
    </w:p>
    <w:p>
      <w:pPr>
        <w:pStyle w:val="Heading5"/>
      </w:pPr>
      <w:bookmarkStart w:id="556" w:name="_Toc88662424"/>
      <w:r>
        <w:rPr>
          <w:rStyle w:val="CharSectno"/>
        </w:rPr>
        <w:t>436</w:t>
      </w:r>
      <w:r>
        <w:t>.</w:t>
      </w:r>
      <w:r>
        <w:tab/>
        <w:t>Unlawful fishing</w:t>
      </w:r>
      <w:bookmarkEnd w:id="556"/>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ind w:left="890" w:hanging="890"/>
      </w:pPr>
      <w:r>
        <w:tab/>
        <w:t>[Section 436 inserted: No. 4 of 2004 s. 69; amended: No. 70 of 2004 s. 35(4).]</w:t>
      </w:r>
    </w:p>
    <w:p>
      <w:pPr>
        <w:pStyle w:val="Heading5"/>
      </w:pPr>
      <w:bookmarkStart w:id="557" w:name="_Toc88662425"/>
      <w:r>
        <w:rPr>
          <w:rStyle w:val="CharSectno"/>
        </w:rPr>
        <w:lastRenderedPageBreak/>
        <w:t>437</w:t>
      </w:r>
      <w:r>
        <w:t>.</w:t>
      </w:r>
      <w:r>
        <w:tab/>
        <w:t>Unlawfully taking fish etc.</w:t>
      </w:r>
      <w:bookmarkEnd w:id="557"/>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spacing w:before="120"/>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ind w:left="890" w:hanging="890"/>
      </w:pPr>
      <w:r>
        <w:tab/>
        <w:t>[Section 437 inserted: No. 4 of 2004 s. 69; amended: No. 70 of 2004 s. 35(4).]</w:t>
      </w:r>
    </w:p>
    <w:p>
      <w:pPr>
        <w:pStyle w:val="Ednotesection"/>
        <w:ind w:left="890" w:hanging="890"/>
      </w:pPr>
      <w:r>
        <w:t>[</w:t>
      </w:r>
      <w:r>
        <w:rPr>
          <w:b/>
        </w:rPr>
        <w:t>438.</w:t>
      </w:r>
      <w:r>
        <w:tab/>
        <w:t>Deleted: No. 119 of 1985 s. 18.]</w:t>
      </w:r>
    </w:p>
    <w:p>
      <w:pPr>
        <w:pStyle w:val="Ednotesection"/>
        <w:spacing w:before="180"/>
        <w:ind w:left="890" w:hanging="890"/>
      </w:pPr>
      <w:r>
        <w:t>[</w:t>
      </w:r>
      <w:r>
        <w:rPr>
          <w:b/>
        </w:rPr>
        <w:t>439, 440.</w:t>
      </w:r>
      <w:r>
        <w:rPr>
          <w:bCs/>
        </w:rPr>
        <w:tab/>
      </w:r>
      <w:r>
        <w:t>Deleted: No. 70 of 2004 s. 29.]</w:t>
      </w:r>
    </w:p>
    <w:p>
      <w:pPr>
        <w:pStyle w:val="Heading3"/>
        <w:rPr>
          <w:snapToGrid w:val="0"/>
        </w:rPr>
      </w:pPr>
      <w:bookmarkStart w:id="558" w:name="_Toc88569983"/>
      <w:bookmarkStart w:id="559" w:name="_Toc88570505"/>
      <w:bookmarkStart w:id="560" w:name="_Toc88571027"/>
      <w:bookmarkStart w:id="561" w:name="_Toc88662426"/>
      <w:r>
        <w:rPr>
          <w:rStyle w:val="CharDivNo"/>
        </w:rPr>
        <w:t>Chapter XLIVA</w:t>
      </w:r>
      <w:r>
        <w:rPr>
          <w:snapToGrid w:val="0"/>
        </w:rPr>
        <w:t> — </w:t>
      </w:r>
      <w:r>
        <w:rPr>
          <w:rStyle w:val="CharDivText"/>
        </w:rPr>
        <w:t>Unauthorised use of computer systems</w:t>
      </w:r>
      <w:bookmarkEnd w:id="558"/>
      <w:bookmarkEnd w:id="559"/>
      <w:bookmarkEnd w:id="560"/>
      <w:bookmarkEnd w:id="561"/>
    </w:p>
    <w:p>
      <w:pPr>
        <w:pStyle w:val="Footnoteheading"/>
        <w:keepNext/>
      </w:pPr>
      <w:r>
        <w:tab/>
        <w:t>[Heading inserted: No. 101 of 1990 s. 33.]</w:t>
      </w:r>
    </w:p>
    <w:p>
      <w:pPr>
        <w:pStyle w:val="Heading5"/>
        <w:spacing w:before="180"/>
      </w:pPr>
      <w:bookmarkStart w:id="562" w:name="_Toc88662427"/>
      <w:r>
        <w:rPr>
          <w:rStyle w:val="CharSectno"/>
        </w:rPr>
        <w:t>440A</w:t>
      </w:r>
      <w:r>
        <w:t>.</w:t>
      </w:r>
      <w:r>
        <w:tab/>
        <w:t>Unlawful use of computer</w:t>
      </w:r>
      <w:bookmarkEnd w:id="562"/>
    </w:p>
    <w:p>
      <w:pPr>
        <w:pStyle w:val="Subsection"/>
      </w:pPr>
      <w:r>
        <w:tab/>
        <w:t>(1)</w:t>
      </w:r>
      <w:r>
        <w:tab/>
        <w:t>In this section —</w:t>
      </w:r>
    </w:p>
    <w:p>
      <w:pPr>
        <w:pStyle w:val="Defstart"/>
      </w:pPr>
      <w:r>
        <w:rPr>
          <w:b/>
        </w:rPr>
        <w:tab/>
      </w:r>
      <w:r>
        <w:rPr>
          <w:rStyle w:val="CharDefText"/>
        </w:rPr>
        <w:t>computer system</w:t>
      </w:r>
      <w:r>
        <w:t xml:space="preserve"> includes —</w:t>
      </w:r>
    </w:p>
    <w:p>
      <w:pPr>
        <w:pStyle w:val="Defpara"/>
      </w:pPr>
      <w:r>
        <w:tab/>
        <w:t>(a)</w:t>
      </w:r>
      <w:r>
        <w:tab/>
        <w:t>a part of a computer system;</w:t>
      </w:r>
    </w:p>
    <w:p>
      <w:pPr>
        <w:pStyle w:val="Defpara"/>
      </w:pPr>
      <w:r>
        <w:tab/>
        <w:t>(b)</w:t>
      </w:r>
      <w:r>
        <w:tab/>
        <w:t>an application of a computer system;</w:t>
      </w:r>
    </w:p>
    <w:p>
      <w:pPr>
        <w:pStyle w:val="Defstart"/>
      </w:pPr>
      <w:r>
        <w:rPr>
          <w:b/>
        </w:rPr>
        <w:tab/>
      </w:r>
      <w:r>
        <w:rPr>
          <w:rStyle w:val="CharDefText"/>
        </w:rPr>
        <w:t>password</w:t>
      </w:r>
      <w:r>
        <w:t xml:space="preserve"> includes a code, or set of codes, of electronic impulses;</w:t>
      </w:r>
    </w:p>
    <w:p>
      <w:pPr>
        <w:pStyle w:val="Defstart"/>
      </w:pPr>
      <w:r>
        <w:rPr>
          <w:b/>
        </w:rPr>
        <w:tab/>
      </w:r>
      <w:r>
        <w:rPr>
          <w:rStyle w:val="CharDefText"/>
        </w:rPr>
        <w:t>restricted</w:t>
      </w:r>
      <w:r>
        <w:rPr>
          <w:rStyle w:val="CharDefText"/>
        </w:rPr>
        <w:noBreakHyphen/>
        <w:t>access computer system</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keepNext/>
      </w:pPr>
      <w:r>
        <w:lastRenderedPageBreak/>
        <w:tab/>
        <w:t>(b)</w:t>
      </w:r>
      <w:r>
        <w:tab/>
        <w:t>the person who is entitled to control the use of the system —</w:t>
      </w:r>
    </w:p>
    <w:p>
      <w:pPr>
        <w:pStyle w:val="Defsubpara"/>
        <w:keepLines w:val="0"/>
      </w:pPr>
      <w:r>
        <w:tab/>
        <w:t>(i)</w:t>
      </w:r>
      <w:r>
        <w:tab/>
        <w:t>has withheld knowledge of the password, or the means of producing it, from all other persons; or</w:t>
      </w:r>
    </w:p>
    <w:p>
      <w:pPr>
        <w:pStyle w:val="Defsubpara"/>
        <w:keepLines w:val="0"/>
      </w:pPr>
      <w:r>
        <w:tab/>
        <w:t>(ii)</w:t>
      </w:r>
      <w:r>
        <w:tab/>
        <w:t>has taken steps to restrict knowledge of the password, or the means of producing it, to a particular authorised person or class of authorised person;</w:t>
      </w:r>
    </w:p>
    <w:p>
      <w:pPr>
        <w:pStyle w:val="Defstart"/>
      </w:pPr>
      <w:r>
        <w:rPr>
          <w:b/>
        </w:rPr>
        <w:tab/>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access computer system —</w:t>
      </w:r>
    </w:p>
    <w:p>
      <w:pPr>
        <w:pStyle w:val="Indenta"/>
      </w:pPr>
      <w:r>
        <w:tab/>
        <w:t>(a)</w:t>
      </w:r>
      <w:r>
        <w:tab/>
        <w:t>if the person uses it when he or she is not properly authorised to do so; or</w:t>
      </w:r>
    </w:p>
    <w:p>
      <w:pPr>
        <w:pStyle w:val="Indenta"/>
        <w:spacing w:before="60"/>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if by doing so the person —</w:t>
      </w:r>
    </w:p>
    <w:p>
      <w:pPr>
        <w:pStyle w:val="Indenti"/>
      </w:pPr>
      <w:r>
        <w:tab/>
        <w:t>(i)</w:t>
      </w:r>
      <w:r>
        <w:tab/>
        <w:t>gains a benefit, pecuniary or otherwise, for any person; or</w:t>
      </w:r>
    </w:p>
    <w:p>
      <w:pPr>
        <w:pStyle w:val="Indenti"/>
        <w:keepNext/>
        <w:keepLines/>
      </w:pPr>
      <w:r>
        <w:tab/>
        <w:t>(ii)</w:t>
      </w:r>
      <w:r>
        <w:tab/>
        <w:t>causes a detriment, pecuniary or otherwise, to any person,</w:t>
      </w:r>
    </w:p>
    <w:p>
      <w:pPr>
        <w:pStyle w:val="Indenta"/>
        <w:keepLines/>
      </w:pPr>
      <w:r>
        <w:tab/>
      </w:r>
      <w:r>
        <w:tab/>
        <w:t>of a value of more than $5 000, to imprisonment for 10 years;</w:t>
      </w:r>
    </w:p>
    <w:p>
      <w:pPr>
        <w:pStyle w:val="Indenta"/>
      </w:pPr>
      <w:r>
        <w:tab/>
        <w:t>(b)</w:t>
      </w:r>
      <w:r>
        <w:tab/>
        <w:t>if by doing so the person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lastRenderedPageBreak/>
        <w:tab/>
        <w:t>(c)</w:t>
      </w:r>
      <w:r>
        <w:tab/>
        <w:t>in any other case, to imprisonment for 2 years.</w:t>
      </w:r>
    </w:p>
    <w:p>
      <w:pPr>
        <w:pStyle w:val="Penstart"/>
        <w:spacing w:before="120"/>
      </w:pPr>
      <w:r>
        <w:tab/>
        <w:t>Summary conviction penalty in a case to which paragraph (c) applies: imprisonment for 12 months and a fine of $12 000.</w:t>
      </w:r>
    </w:p>
    <w:p>
      <w:pPr>
        <w:pStyle w:val="Footnotesection"/>
      </w:pPr>
      <w:r>
        <w:tab/>
        <w:t>[Section 440A inserted: No. 70 of 2004 s. 30.]</w:t>
      </w:r>
    </w:p>
    <w:p>
      <w:pPr>
        <w:pStyle w:val="Heading3"/>
        <w:spacing w:before="280"/>
        <w:rPr>
          <w:snapToGrid w:val="0"/>
        </w:rPr>
      </w:pPr>
      <w:bookmarkStart w:id="563" w:name="_Toc88569985"/>
      <w:bookmarkStart w:id="564" w:name="_Toc88570507"/>
      <w:bookmarkStart w:id="565" w:name="_Toc88571029"/>
      <w:bookmarkStart w:id="566" w:name="_Toc88662428"/>
      <w:r>
        <w:rPr>
          <w:snapToGrid w:val="0"/>
        </w:rPr>
        <w:t>Division II — Injuries to property</w:t>
      </w:r>
      <w:bookmarkEnd w:id="563"/>
      <w:bookmarkEnd w:id="564"/>
      <w:bookmarkEnd w:id="565"/>
      <w:bookmarkEnd w:id="566"/>
    </w:p>
    <w:p>
      <w:pPr>
        <w:pStyle w:val="Heading3"/>
        <w:rPr>
          <w:snapToGrid w:val="0"/>
        </w:rPr>
      </w:pPr>
      <w:bookmarkStart w:id="567" w:name="_Toc88569986"/>
      <w:bookmarkStart w:id="568" w:name="_Toc88570508"/>
      <w:bookmarkStart w:id="569" w:name="_Toc88571030"/>
      <w:bookmarkStart w:id="570" w:name="_Toc88662429"/>
      <w:r>
        <w:rPr>
          <w:rStyle w:val="CharDivNo"/>
        </w:rPr>
        <w:t>Chapter XLV</w:t>
      </w:r>
      <w:r>
        <w:rPr>
          <w:snapToGrid w:val="0"/>
        </w:rPr>
        <w:t> — </w:t>
      </w:r>
      <w:r>
        <w:rPr>
          <w:rStyle w:val="CharDivText"/>
        </w:rPr>
        <w:t>Preliminary matters</w:t>
      </w:r>
      <w:bookmarkEnd w:id="567"/>
      <w:bookmarkEnd w:id="568"/>
      <w:bookmarkEnd w:id="569"/>
      <w:bookmarkEnd w:id="570"/>
    </w:p>
    <w:p>
      <w:pPr>
        <w:pStyle w:val="Footnoteheading"/>
      </w:pPr>
      <w:r>
        <w:tab/>
        <w:t>[Heading amended: No. 43 of 2009 s. 9.]</w:t>
      </w:r>
    </w:p>
    <w:p>
      <w:pPr>
        <w:pStyle w:val="Heading5"/>
        <w:spacing w:before="180"/>
        <w:rPr>
          <w:snapToGrid w:val="0"/>
        </w:rPr>
      </w:pPr>
      <w:bookmarkStart w:id="571" w:name="_Toc88662430"/>
      <w:r>
        <w:rPr>
          <w:rStyle w:val="CharSectno"/>
        </w:rPr>
        <w:t>441</w:t>
      </w:r>
      <w:r>
        <w:rPr>
          <w:snapToGrid w:val="0"/>
        </w:rPr>
        <w:t>.</w:t>
      </w:r>
      <w:r>
        <w:rPr>
          <w:snapToGrid w:val="0"/>
        </w:rPr>
        <w:tab/>
        <w:t>Acts injuring property, when unlawful etc.</w:t>
      </w:r>
      <w:bookmarkEnd w:id="571"/>
    </w:p>
    <w:p>
      <w:pPr>
        <w:pStyle w:val="Subsection"/>
        <w:rPr>
          <w:snapToGrid w:val="0"/>
        </w:rPr>
      </w:pPr>
      <w:r>
        <w:rPr>
          <w:snapToGrid w:val="0"/>
        </w:rPr>
        <w:tab/>
        <w:t>(1)</w:t>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t>(2)</w:t>
      </w:r>
      <w:r>
        <w:rPr>
          <w:snapToGrid w:val="0"/>
        </w:rPr>
        <w:tab/>
        <w:t>It is immaterial that the person who does the injury is in possession of the property injured, or has a partial interest in it.</w:t>
      </w:r>
    </w:p>
    <w:p>
      <w:pPr>
        <w:pStyle w:val="Subsection"/>
      </w:pPr>
      <w:r>
        <w:tab/>
        <w:t>(3)</w:t>
      </w:r>
      <w:r>
        <w:tab/>
        <w:t>A person is not criminally responsible for an act that causes an injury to property if —</w:t>
      </w:r>
    </w:p>
    <w:p>
      <w:pPr>
        <w:pStyle w:val="Indenta"/>
      </w:pPr>
      <w:r>
        <w:tab/>
        <w:t>(a)</w:t>
      </w:r>
      <w:r>
        <w:tab/>
        <w:t>the person believes the act is necessary to defend or protect the person, another person or property from injury that the person believes is imminent; and</w:t>
      </w:r>
    </w:p>
    <w:p>
      <w:pPr>
        <w:pStyle w:val="Indenta"/>
        <w:keepNext/>
      </w:pPr>
      <w:r>
        <w:tab/>
        <w:t>(b)</w:t>
      </w:r>
      <w:r>
        <w:tab/>
        <w:t>the act is a reasonable response by the person in the circumstances as the person believes them to be; and</w:t>
      </w:r>
    </w:p>
    <w:p>
      <w:pPr>
        <w:pStyle w:val="Indenta"/>
      </w:pPr>
      <w:r>
        <w:tab/>
        <w:t>(c)</w:t>
      </w:r>
      <w:r>
        <w:tab/>
        <w:t>there are reasonable grounds for those beliefs.</w:t>
      </w:r>
    </w:p>
    <w:p>
      <w:pPr>
        <w:pStyle w:val="Footnotesection"/>
      </w:pPr>
      <w:r>
        <w:tab/>
        <w:t>[Section 441 amended: No. 29 of 2008 s. 9.]</w:t>
      </w:r>
    </w:p>
    <w:p>
      <w:pPr>
        <w:pStyle w:val="Heading5"/>
        <w:spacing w:before="180"/>
        <w:rPr>
          <w:snapToGrid w:val="0"/>
        </w:rPr>
      </w:pPr>
      <w:bookmarkStart w:id="572" w:name="_Toc88662431"/>
      <w:r>
        <w:rPr>
          <w:rStyle w:val="CharSectno"/>
        </w:rPr>
        <w:t>442</w:t>
      </w:r>
      <w:r>
        <w:rPr>
          <w:snapToGrid w:val="0"/>
        </w:rPr>
        <w:t>.</w:t>
      </w:r>
      <w:r>
        <w:rPr>
          <w:snapToGrid w:val="0"/>
        </w:rPr>
        <w:tab/>
        <w:t>Lawful act done with intent to defraud is unlawful</w:t>
      </w:r>
      <w:bookmarkEnd w:id="572"/>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rPr>
          <w:snapToGrid w:val="0"/>
        </w:rPr>
      </w:pPr>
      <w:r>
        <w:rPr>
          <w:snapToGrid w:val="0"/>
        </w:rPr>
        <w:lastRenderedPageBreak/>
        <w:tab/>
      </w:r>
      <w:r>
        <w:rPr>
          <w:snapToGrid w:val="0"/>
        </w:rPr>
        <w:tab/>
        <w:t>When an act which causes injury to property is done with intent to defraud any person, it is immaterial that the property in question is the property of the offender himself.</w:t>
      </w:r>
    </w:p>
    <w:p>
      <w:pPr>
        <w:pStyle w:val="Heading5"/>
        <w:rPr>
          <w:iCs/>
          <w:snapToGrid w:val="0"/>
        </w:rPr>
      </w:pPr>
      <w:bookmarkStart w:id="573" w:name="_Toc88662432"/>
      <w:r>
        <w:rPr>
          <w:rStyle w:val="CharSectno"/>
        </w:rPr>
        <w:t>443</w:t>
      </w:r>
      <w:r>
        <w:rPr>
          <w:snapToGrid w:val="0"/>
        </w:rPr>
        <w:t>.</w:t>
      </w:r>
      <w:r>
        <w:rPr>
          <w:iCs/>
          <w:snapToGrid w:val="0"/>
        </w:rPr>
        <w:tab/>
        <w:t xml:space="preserve">Term used: </w:t>
      </w:r>
      <w:r>
        <w:rPr>
          <w:rStyle w:val="CharDefText"/>
          <w:b/>
          <w:bCs/>
          <w:i w:val="0"/>
        </w:rPr>
        <w:t>wilfully destroy or damage</w:t>
      </w:r>
      <w:bookmarkEnd w:id="573"/>
    </w:p>
    <w:p>
      <w:pPr>
        <w:pStyle w:val="Subsection"/>
        <w:rPr>
          <w:snapToGrid w:val="0"/>
        </w:rPr>
      </w:pPr>
      <w:r>
        <w:rPr>
          <w:snapToGrid w:val="0"/>
        </w:rPr>
        <w:tab/>
      </w:r>
      <w:r>
        <w:rPr>
          <w:snapToGrid w:val="0"/>
        </w:rPr>
        <w:tab/>
        <w:t>Where a person does an act or omits to do an act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ind w:left="890" w:hanging="890"/>
      </w:pPr>
      <w:r>
        <w:tab/>
        <w:t>[Section 443 inserted: No. 101 of 1990 s. 34.]</w:t>
      </w:r>
    </w:p>
    <w:p>
      <w:pPr>
        <w:pStyle w:val="Heading5"/>
      </w:pPr>
      <w:bookmarkStart w:id="574" w:name="_Toc88662433"/>
      <w:r>
        <w:rPr>
          <w:rStyle w:val="CharSectno"/>
        </w:rPr>
        <w:t>444A</w:t>
      </w:r>
      <w:r>
        <w:t>.</w:t>
      </w:r>
      <w:r>
        <w:tab/>
        <w:t>Duty of person in control of ignition source or fire</w:t>
      </w:r>
      <w:bookmarkEnd w:id="574"/>
    </w:p>
    <w:p>
      <w:pPr>
        <w:pStyle w:val="Subsection"/>
      </w:pPr>
      <w:r>
        <w:tab/>
        <w:t>(1)</w:t>
      </w:r>
      <w:r>
        <w:tab/>
        <w:t>It is the duty of a person who has charge of or is in control of a source of ignition to use reasonable care and take reasonable precautions to avoid lighting a fire that destroys or may destroy or cause damage to property that the person is not entitled to damage or destroy; and the person is held to have caused any destruction or damage to that property by reason of any omission to perform that duty.</w:t>
      </w:r>
    </w:p>
    <w:p>
      <w:pPr>
        <w:pStyle w:val="Subsection"/>
      </w:pPr>
      <w:r>
        <w:tab/>
        <w:t>(2)</w:t>
      </w:r>
      <w:r>
        <w:tab/>
        <w:t>It is the duty of a person who has charge of or is in control of a fire to use reasonable care and take reasonable precautions to contain that fire so that it does not destroy or damage property that the person is not entitled to damage or destroy; and the person is held to have caused any destruction or damage to that property by reason of any omission to perform that duty.</w:t>
      </w:r>
    </w:p>
    <w:p>
      <w:pPr>
        <w:pStyle w:val="Subsection"/>
      </w:pPr>
      <w:r>
        <w:tab/>
        <w:t>(3)</w:t>
      </w:r>
      <w:r>
        <w:tab/>
        <w:t>A person does not breach a duty imposed by this section if the fire does not spread beyond the capacity of the person to extinguish it.</w:t>
      </w:r>
    </w:p>
    <w:p>
      <w:pPr>
        <w:pStyle w:val="Subsection"/>
        <w:keepNext/>
      </w:pPr>
      <w:r>
        <w:lastRenderedPageBreak/>
        <w:tab/>
        <w:t>(4)</w:t>
      </w:r>
      <w:r>
        <w:tab/>
        <w:t>Property that is capable of being destroyed or damaged by fire includes vegetation.</w:t>
      </w:r>
    </w:p>
    <w:p>
      <w:pPr>
        <w:pStyle w:val="Footnotesection"/>
        <w:spacing w:before="160"/>
        <w:ind w:left="890" w:hanging="890"/>
      </w:pPr>
      <w:r>
        <w:tab/>
        <w:t>[Section 444A inserted: No. 43 of 2009 s. 10.]</w:t>
      </w:r>
    </w:p>
    <w:p>
      <w:pPr>
        <w:pStyle w:val="Heading3"/>
        <w:spacing w:before="200"/>
        <w:rPr>
          <w:snapToGrid w:val="0"/>
        </w:rPr>
      </w:pPr>
      <w:bookmarkStart w:id="575" w:name="_Toc88569991"/>
      <w:bookmarkStart w:id="576" w:name="_Toc88570513"/>
      <w:bookmarkStart w:id="577" w:name="_Toc88571035"/>
      <w:bookmarkStart w:id="578" w:name="_Toc88662434"/>
      <w:r>
        <w:rPr>
          <w:rStyle w:val="CharDivNo"/>
        </w:rPr>
        <w:t>Chapter XLVI</w:t>
      </w:r>
      <w:r>
        <w:rPr>
          <w:snapToGrid w:val="0"/>
        </w:rPr>
        <w:t> — </w:t>
      </w:r>
      <w:r>
        <w:rPr>
          <w:rStyle w:val="CharDivText"/>
        </w:rPr>
        <w:t>Offences</w:t>
      </w:r>
      <w:bookmarkEnd w:id="575"/>
      <w:bookmarkEnd w:id="576"/>
      <w:bookmarkEnd w:id="577"/>
      <w:bookmarkEnd w:id="578"/>
    </w:p>
    <w:p>
      <w:pPr>
        <w:pStyle w:val="Heading5"/>
        <w:spacing w:before="260"/>
      </w:pPr>
      <w:bookmarkStart w:id="579" w:name="_Toc88662435"/>
      <w:r>
        <w:rPr>
          <w:rStyle w:val="CharSectno"/>
        </w:rPr>
        <w:t>444</w:t>
      </w:r>
      <w:r>
        <w:t>.</w:t>
      </w:r>
      <w:r>
        <w:tab/>
        <w:t>Criminal damage</w:t>
      </w:r>
      <w:bookmarkEnd w:id="579"/>
    </w:p>
    <w:p>
      <w:pPr>
        <w:pStyle w:val="Subsection"/>
      </w:pPr>
      <w:r>
        <w:tab/>
        <w:t>(1A)</w:t>
      </w:r>
      <w:r>
        <w:tab/>
        <w:t>In this section —</w:t>
      </w:r>
    </w:p>
    <w:p>
      <w:pPr>
        <w:pStyle w:val="Defstart"/>
      </w:pPr>
      <w:r>
        <w:tab/>
      </w:r>
      <w:r>
        <w:rPr>
          <w:rStyle w:val="CharDefText"/>
        </w:rPr>
        <w:t>circumstances of aggravation</w:t>
      </w:r>
      <w:r>
        <w:t xml:space="preserve"> has the meaning given in section 221.</w:t>
      </w:r>
    </w:p>
    <w:p>
      <w:pPr>
        <w:pStyle w:val="Subsection"/>
        <w:spacing w:before="220"/>
      </w:pPr>
      <w:r>
        <w:tab/>
        <w:t>(1)</w:t>
      </w:r>
      <w:r>
        <w:tab/>
        <w:t>Any person who wilfully and unlawfully destroys or damages any property is guilty of a crime and is liable —</w:t>
      </w:r>
    </w:p>
    <w:p>
      <w:pPr>
        <w:pStyle w:val="Indenta"/>
        <w:spacing w:before="160"/>
      </w:pPr>
      <w:r>
        <w:tab/>
        <w:t>(a)</w:t>
      </w:r>
      <w:r>
        <w:tab/>
        <w:t>if the property is destroyed or damaged by fire, to life imprisonment; or</w:t>
      </w:r>
    </w:p>
    <w:p>
      <w:pPr>
        <w:pStyle w:val="Indenta"/>
        <w:spacing w:before="160"/>
      </w:pPr>
      <w:r>
        <w:tab/>
        <w:t>(b)</w:t>
      </w:r>
      <w:r>
        <w:tab/>
      </w:r>
      <w:r>
        <w:rPr>
          <w:snapToGrid w:val="0"/>
        </w:rPr>
        <w:t>if the property is not destroyed or damaged by fire</w:t>
      </w:r>
      <w:r>
        <w:t>, to imprisonment for 10 years</w:t>
      </w:r>
      <w:r>
        <w:rPr>
          <w:snapToGrid w:val="0"/>
        </w:rPr>
        <w:t xml:space="preserve"> or, if the offence is committed in </w:t>
      </w:r>
      <w:r>
        <w:t>circumstances of aggravation or in</w:t>
      </w:r>
      <w:r>
        <w:rPr>
          <w:snapToGrid w:val="0"/>
        </w:rPr>
        <w:t xml:space="preserve"> circumstances of racial aggravation, to imprisonment for 14 years</w:t>
      </w:r>
      <w:r>
        <w:t>.</w:t>
      </w:r>
    </w:p>
    <w:p>
      <w:pPr>
        <w:pStyle w:val="Penstart"/>
        <w:spacing w:before="100"/>
      </w:pPr>
      <w:r>
        <w:tab/>
        <w:t>Alternative offence: s. 445.</w:t>
      </w:r>
    </w:p>
    <w:p>
      <w:pPr>
        <w:pStyle w:val="Penstart"/>
        <w:keepNext/>
        <w:spacing w:before="120"/>
      </w:pPr>
      <w:r>
        <w:tab/>
        <w:t>Summary conviction penalty: for an offence where —</w:t>
      </w:r>
    </w:p>
    <w:p>
      <w:pPr>
        <w:pStyle w:val="Penpara"/>
      </w:pPr>
      <w:r>
        <w:tab/>
        <w:t>(a)</w:t>
      </w:r>
      <w:r>
        <w:tab/>
        <w:t>in a case where subsection (1)(b) applies; and</w:t>
      </w:r>
    </w:p>
    <w:p>
      <w:pPr>
        <w:pStyle w:val="Penpara"/>
      </w:pPr>
      <w:r>
        <w:tab/>
        <w:t>(b)</w:t>
      </w:r>
      <w:r>
        <w:tab/>
        <w:t>the amount of the injury done does not exceed $50 000,</w:t>
      </w:r>
    </w:p>
    <w:p>
      <w:pPr>
        <w:pStyle w:val="Penstart"/>
      </w:pPr>
      <w:r>
        <w:tab/>
      </w:r>
      <w:r>
        <w:tab/>
        <w:t>imprisonment for 3 years and a fine of $36 000.</w:t>
      </w:r>
    </w:p>
    <w:p>
      <w:pPr>
        <w:pStyle w:val="Subsection"/>
        <w:keepNext/>
        <w:keepLines/>
      </w:pPr>
      <w:r>
        <w:tab/>
        <w:t>(2)</w:t>
      </w:r>
      <w:r>
        <w:tab/>
        <w:t>Property that is capable of being destroyed or damaged by fire includes vegetation.</w:t>
      </w:r>
    </w:p>
    <w:p>
      <w:pPr>
        <w:pStyle w:val="Footnotesection"/>
        <w:ind w:left="890" w:hanging="890"/>
      </w:pPr>
      <w:r>
        <w:tab/>
        <w:t>[Section 444 inserted: No. 4 of 2004 s. 37; amended: No. 70 of 2004 s. 35(4) and 36(3); No. 80 of 2004 s. 11; No. 43 of 2009 s. 11; No. 30 of 2020 s. 11.]</w:t>
      </w:r>
    </w:p>
    <w:p>
      <w:pPr>
        <w:pStyle w:val="Heading5"/>
        <w:keepLines w:val="0"/>
      </w:pPr>
      <w:bookmarkStart w:id="580" w:name="_Toc88662436"/>
      <w:r>
        <w:rPr>
          <w:rStyle w:val="CharSectno"/>
        </w:rPr>
        <w:lastRenderedPageBreak/>
        <w:t>445A</w:t>
      </w:r>
      <w:r>
        <w:t>.</w:t>
      </w:r>
      <w:r>
        <w:tab/>
        <w:t>Breach of s. 444A duty</w:t>
      </w:r>
      <w:bookmarkEnd w:id="580"/>
    </w:p>
    <w:p>
      <w:pPr>
        <w:pStyle w:val="Subsection"/>
      </w:pPr>
      <w:r>
        <w:tab/>
      </w:r>
      <w:r>
        <w:tab/>
        <w:t>A person who unlawfully omits or refuses to do any act which it is the person’s duty to do under section 444A is guilty of a crime, and is liable to imprisonment for 15 years.</w:t>
      </w:r>
    </w:p>
    <w:p>
      <w:pPr>
        <w:pStyle w:val="Footnotesection"/>
        <w:spacing w:before="80"/>
        <w:ind w:left="890" w:hanging="890"/>
      </w:pPr>
      <w:r>
        <w:tab/>
        <w:t>[Section 445A inserted: No. 43 of 2009 s. 12.]</w:t>
      </w:r>
    </w:p>
    <w:p>
      <w:pPr>
        <w:pStyle w:val="Heading5"/>
        <w:keepNext w:val="0"/>
        <w:keepLines w:val="0"/>
        <w:spacing w:before="120"/>
      </w:pPr>
      <w:bookmarkStart w:id="581" w:name="_Toc88662437"/>
      <w:r>
        <w:rPr>
          <w:rStyle w:val="CharSectno"/>
        </w:rPr>
        <w:t>445</w:t>
      </w:r>
      <w:r>
        <w:t>.</w:t>
      </w:r>
      <w:r>
        <w:tab/>
        <w:t>Damaging property</w:t>
      </w:r>
      <w:bookmarkEnd w:id="581"/>
    </w:p>
    <w:p>
      <w:pPr>
        <w:pStyle w:val="Subsection"/>
        <w:spacing w:before="120"/>
      </w:pPr>
      <w:r>
        <w:tab/>
      </w:r>
      <w:r>
        <w:tab/>
        <w:t>A person who unlawfully destroys or damages the property of another person without that other person’s consent is guilty of an offence and is liable to imprisonment for 2 years and a fine of $24 000.</w:t>
      </w:r>
    </w:p>
    <w:p>
      <w:pPr>
        <w:pStyle w:val="Footnotesection"/>
      </w:pPr>
      <w:r>
        <w:tab/>
        <w:t>[Section 445 inserted: No. 70 of 2004 s. 31; amended: No. 26 of 2009 s. 5.]</w:t>
      </w:r>
    </w:p>
    <w:p>
      <w:pPr>
        <w:pStyle w:val="Ednotesection"/>
      </w:pPr>
      <w:r>
        <w:t>[</w:t>
      </w:r>
      <w:r>
        <w:rPr>
          <w:b/>
        </w:rPr>
        <w:t>446.</w:t>
      </w:r>
      <w:r>
        <w:rPr>
          <w:b/>
        </w:rPr>
        <w:tab/>
      </w:r>
      <w:r>
        <w:t>Deleted: No. 16 of 2016 s. 38.]</w:t>
      </w:r>
    </w:p>
    <w:p>
      <w:pPr>
        <w:pStyle w:val="Ednotesection"/>
        <w:spacing w:before="180"/>
      </w:pPr>
      <w:r>
        <w:t>[</w:t>
      </w:r>
      <w:r>
        <w:rPr>
          <w:b/>
        </w:rPr>
        <w:t>447.</w:t>
      </w:r>
      <w:r>
        <w:tab/>
        <w:t>Deleted: No. 101 of 1990 s. 35.]</w:t>
      </w:r>
    </w:p>
    <w:p>
      <w:pPr>
        <w:pStyle w:val="Ednotesection"/>
        <w:spacing w:before="120"/>
        <w:ind w:left="890" w:hanging="890"/>
      </w:pPr>
      <w:r>
        <w:t>[</w:t>
      </w:r>
      <w:r>
        <w:rPr>
          <w:b/>
        </w:rPr>
        <w:t>448.</w:t>
      </w:r>
      <w:r>
        <w:tab/>
        <w:t>Deleted: No. 106 of 1987 s. 14(5).]</w:t>
      </w:r>
    </w:p>
    <w:p>
      <w:pPr>
        <w:pStyle w:val="Heading5"/>
        <w:spacing w:before="120"/>
        <w:rPr>
          <w:snapToGrid w:val="0"/>
        </w:rPr>
      </w:pPr>
      <w:bookmarkStart w:id="582" w:name="_Toc88662438"/>
      <w:r>
        <w:rPr>
          <w:rStyle w:val="CharSectno"/>
        </w:rPr>
        <w:t>449</w:t>
      </w:r>
      <w:r>
        <w:rPr>
          <w:snapToGrid w:val="0"/>
        </w:rPr>
        <w:t>.</w:t>
      </w:r>
      <w:r>
        <w:rPr>
          <w:snapToGrid w:val="0"/>
        </w:rPr>
        <w:tab/>
        <w:t>Casting away etc. vessel</w:t>
      </w:r>
      <w:bookmarkEnd w:id="582"/>
    </w:p>
    <w:p>
      <w:pPr>
        <w:pStyle w:val="Subsection"/>
        <w:spacing w:before="120"/>
        <w:rPr>
          <w:snapToGrid w:val="0"/>
        </w:rPr>
      </w:pPr>
      <w:r>
        <w:rPr>
          <w:snapToGrid w:val="0"/>
        </w:rPr>
        <w:tab/>
      </w:r>
      <w:r>
        <w:rPr>
          <w:snapToGrid w:val="0"/>
        </w:rPr>
        <w:tab/>
        <w:t xml:space="preserve">Any </w:t>
      </w:r>
      <w:r>
        <w:t>person</w:t>
      </w:r>
      <w:r>
        <w:rPr>
          <w:snapToGrid w:val="0"/>
        </w:rPr>
        <w:t xml:space="preserve"> who —</w:t>
      </w:r>
    </w:p>
    <w:p>
      <w:pPr>
        <w:pStyle w:val="Indenta"/>
        <w:spacing w:before="60"/>
      </w:pPr>
      <w:r>
        <w:rPr>
          <w:snapToGrid w:val="0"/>
        </w:rPr>
        <w:tab/>
        <w:t>(1)</w:t>
      </w:r>
      <w:r>
        <w:rPr>
          <w:snapToGrid w:val="0"/>
        </w:rPr>
        <w:tab/>
      </w:r>
      <w:r>
        <w:t>Wilfully and unlawfully casts away or destroys any vessel, whether complete or not; or</w:t>
      </w:r>
    </w:p>
    <w:p>
      <w:pPr>
        <w:pStyle w:val="Indenta"/>
        <w:spacing w:before="60"/>
      </w:pPr>
      <w:r>
        <w:tab/>
        <w:t>(2)</w:t>
      </w:r>
      <w:r>
        <w:tab/>
        <w:t>Wilfully and unlawfully does any act which tends to the immediate loss or destruction of a vessel in distress; or</w:t>
      </w:r>
    </w:p>
    <w:p>
      <w:pPr>
        <w:pStyle w:val="Indenta"/>
        <w:spacing w:before="60"/>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spacing w:before="120"/>
        <w:rPr>
          <w:snapToGrid w:val="0"/>
        </w:rPr>
      </w:pPr>
      <w:r>
        <w:rPr>
          <w:snapToGrid w:val="0"/>
        </w:rPr>
        <w:tab/>
      </w:r>
      <w:r>
        <w:rPr>
          <w:snapToGrid w:val="0"/>
        </w:rPr>
        <w:tab/>
        <w:t>is guilty of a crime, and is liable to imprisonment for 20 years.</w:t>
      </w:r>
    </w:p>
    <w:p>
      <w:pPr>
        <w:pStyle w:val="Footnotesection"/>
        <w:spacing w:before="100"/>
        <w:ind w:left="890" w:hanging="890"/>
      </w:pPr>
      <w:r>
        <w:tab/>
        <w:t>[Section 449 amended: No. 118 of 1981 s. 4; No. 51 of 1992 s. 16(2).]</w:t>
      </w:r>
    </w:p>
    <w:p>
      <w:pPr>
        <w:pStyle w:val="Ednotesection"/>
      </w:pPr>
      <w:r>
        <w:t>[</w:t>
      </w:r>
      <w:r>
        <w:rPr>
          <w:b/>
        </w:rPr>
        <w:t>450.</w:t>
      </w:r>
      <w:r>
        <w:rPr>
          <w:b/>
        </w:rPr>
        <w:tab/>
      </w:r>
      <w:r>
        <w:t>Deleted: No. 106 of 1987 s. 14(5).]</w:t>
      </w:r>
    </w:p>
    <w:p>
      <w:pPr>
        <w:pStyle w:val="Heading5"/>
        <w:keepLines w:val="0"/>
        <w:rPr>
          <w:snapToGrid w:val="0"/>
        </w:rPr>
      </w:pPr>
      <w:bookmarkStart w:id="583" w:name="_Toc88662439"/>
      <w:r>
        <w:rPr>
          <w:rStyle w:val="CharSectno"/>
        </w:rPr>
        <w:lastRenderedPageBreak/>
        <w:t>451</w:t>
      </w:r>
      <w:r>
        <w:rPr>
          <w:snapToGrid w:val="0"/>
        </w:rPr>
        <w:t>.</w:t>
      </w:r>
      <w:r>
        <w:rPr>
          <w:snapToGrid w:val="0"/>
        </w:rPr>
        <w:tab/>
        <w:t>Acts etc. with intent to obstruct or injure railway</w:t>
      </w:r>
      <w:bookmarkEnd w:id="583"/>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ind w:left="890" w:hanging="890"/>
      </w:pPr>
      <w:r>
        <w:tab/>
        <w:t>[Section 451 amended: No. 118 of 1981 s. 4; No. 51 of 1992 s. 16(2).]</w:t>
      </w:r>
    </w:p>
    <w:p>
      <w:pPr>
        <w:pStyle w:val="Heading5"/>
        <w:rPr>
          <w:snapToGrid w:val="0"/>
        </w:rPr>
      </w:pPr>
      <w:bookmarkStart w:id="584" w:name="_Toc88662440"/>
      <w:r>
        <w:rPr>
          <w:rStyle w:val="CharSectno"/>
        </w:rPr>
        <w:t>451A</w:t>
      </w:r>
      <w:r>
        <w:rPr>
          <w:snapToGrid w:val="0"/>
        </w:rPr>
        <w:t>.</w:t>
      </w:r>
      <w:r>
        <w:rPr>
          <w:snapToGrid w:val="0"/>
        </w:rPr>
        <w:tab/>
        <w:t>Acts etc. with intent to prejudice safe use of aircraft etc.</w:t>
      </w:r>
      <w:bookmarkEnd w:id="584"/>
    </w:p>
    <w:p>
      <w:pPr>
        <w:pStyle w:val="Subsection"/>
        <w:rPr>
          <w:snapToGrid w:val="0"/>
        </w:rPr>
      </w:pPr>
      <w:r>
        <w:rPr>
          <w:snapToGrid w:val="0"/>
        </w:rPr>
        <w:tab/>
        <w:t>(1)</w:t>
      </w:r>
      <w:r>
        <w:rPr>
          <w:snapToGrid w:val="0"/>
        </w:rPr>
        <w:tab/>
        <w:t>Any person who with intent to prejudice the safe use of an aircraft or to injure any property on board an aircraft —</w:t>
      </w:r>
    </w:p>
    <w:p>
      <w:pPr>
        <w:pStyle w:val="Indenta"/>
        <w:rPr>
          <w:snapToGrid w:val="0"/>
        </w:rPr>
      </w:pPr>
      <w:r>
        <w:rPr>
          <w:snapToGrid w:val="0"/>
        </w:rPr>
        <w:tab/>
        <w:t>(a)</w:t>
      </w:r>
      <w:r>
        <w:rPr>
          <w:snapToGrid w:val="0"/>
        </w:rPr>
        <w:tab/>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pPr>
      <w:r>
        <w:tab/>
        <w:t>(ba)</w:t>
      </w:r>
      <w:r>
        <w:tab/>
        <w:t>does any act that endangers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keepLines/>
        <w:rPr>
          <w:snapToGrid w:val="0"/>
        </w:rPr>
      </w:pPr>
      <w:r>
        <w:rPr>
          <w:snapToGrid w:val="0"/>
        </w:rPr>
        <w:lastRenderedPageBreak/>
        <w:tab/>
        <w:t>(2)</w:t>
      </w:r>
      <w:r>
        <w:rPr>
          <w:snapToGrid w:val="0"/>
        </w:rPr>
        <w:tab/>
        <w:t xml:space="preserve">Any person who does any act or makes any omission whereby to his knowledge the safety of </w:t>
      </w:r>
      <w:r>
        <w:t>an aircraft</w:t>
      </w:r>
      <w:r>
        <w:rPr>
          <w:snapToGrid w:val="0"/>
        </w:rPr>
        <w:t xml:space="preserve"> is or is likely to be endangered is guilty of a crime and is liable to imprisonment for 7 years.</w:t>
      </w:r>
    </w:p>
    <w:p>
      <w:pPr>
        <w:pStyle w:val="Footnotesection"/>
        <w:keepLines w:val="0"/>
        <w:ind w:left="890" w:hanging="890"/>
      </w:pPr>
      <w:r>
        <w:tab/>
        <w:t>[Section 451A inserted: No. 53 of 1964 s. 9; amended: No. 118 of 1981 s. 4; No. 51 of 1992 s. 16(2); No. 44 of 2009 s. 8.]</w:t>
      </w:r>
    </w:p>
    <w:p>
      <w:pPr>
        <w:pStyle w:val="Heading5"/>
        <w:rPr>
          <w:snapToGrid w:val="0"/>
        </w:rPr>
      </w:pPr>
      <w:bookmarkStart w:id="585" w:name="_Toc88662441"/>
      <w:r>
        <w:rPr>
          <w:rStyle w:val="CharSectno"/>
        </w:rPr>
        <w:t>451B</w:t>
      </w:r>
      <w:r>
        <w:rPr>
          <w:snapToGrid w:val="0"/>
        </w:rPr>
        <w:t>.</w:t>
      </w:r>
      <w:r>
        <w:rPr>
          <w:snapToGrid w:val="0"/>
        </w:rPr>
        <w:tab/>
        <w:t>Unlawfully interfering with aircraft</w:t>
      </w:r>
      <w:bookmarkEnd w:id="585"/>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ind w:left="890" w:hanging="890"/>
      </w:pPr>
      <w:r>
        <w:tab/>
        <w:t>[Section 451B inserted: No. 41 of 1972 s. 5; amended: No. 51 of 1992 s. 16(2).]</w:t>
      </w:r>
    </w:p>
    <w:p>
      <w:pPr>
        <w:pStyle w:val="Ednotesection"/>
      </w:pPr>
      <w:r>
        <w:t>[</w:t>
      </w:r>
      <w:r>
        <w:rPr>
          <w:b/>
        </w:rPr>
        <w:t>452, 453</w:t>
      </w:r>
      <w:r>
        <w:rPr>
          <w:b/>
          <w:bCs/>
        </w:rPr>
        <w:t>.</w:t>
      </w:r>
      <w:r>
        <w:tab/>
        <w:t>Deleted: No. 101 of 1990 s. 36.]</w:t>
      </w:r>
    </w:p>
    <w:p>
      <w:pPr>
        <w:pStyle w:val="Heading5"/>
        <w:rPr>
          <w:snapToGrid w:val="0"/>
        </w:rPr>
      </w:pPr>
      <w:bookmarkStart w:id="586" w:name="_Toc88662442"/>
      <w:r>
        <w:rPr>
          <w:rStyle w:val="CharSectno"/>
        </w:rPr>
        <w:t>454</w:t>
      </w:r>
      <w:r>
        <w:rPr>
          <w:snapToGrid w:val="0"/>
        </w:rPr>
        <w:t>.</w:t>
      </w:r>
      <w:r>
        <w:rPr>
          <w:snapToGrid w:val="0"/>
        </w:rPr>
        <w:tab/>
        <w:t>Causing explosion likely to do serious injury to property</w:t>
      </w:r>
      <w:bookmarkEnd w:id="586"/>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No. 118 of 1981 s. 4; No. 51 of 1992 s. 16(2).]</w:t>
      </w:r>
    </w:p>
    <w:p>
      <w:pPr>
        <w:pStyle w:val="Heading5"/>
        <w:spacing w:before="180"/>
        <w:rPr>
          <w:snapToGrid w:val="0"/>
        </w:rPr>
      </w:pPr>
      <w:bookmarkStart w:id="587" w:name="_Toc88662443"/>
      <w:r>
        <w:rPr>
          <w:rStyle w:val="CharSectno"/>
        </w:rPr>
        <w:t>455</w:t>
      </w:r>
      <w:r>
        <w:rPr>
          <w:snapToGrid w:val="0"/>
        </w:rPr>
        <w:t>.</w:t>
      </w:r>
      <w:r>
        <w:rPr>
          <w:snapToGrid w:val="0"/>
        </w:rPr>
        <w:tab/>
        <w:t>Acts done with intent to cause explosion likely to do serious injury to property</w:t>
      </w:r>
      <w:bookmarkEnd w:id="587"/>
    </w:p>
    <w:p>
      <w:pPr>
        <w:pStyle w:val="Subsection"/>
        <w:spacing w:before="200"/>
        <w:rPr>
          <w:snapToGrid w:val="0"/>
        </w:rPr>
      </w:pPr>
      <w:r>
        <w:rPr>
          <w:snapToGrid w:val="0"/>
        </w:rPr>
        <w:tab/>
      </w:r>
      <w:r>
        <w:rPr>
          <w:snapToGrid w:val="0"/>
        </w:rPr>
        <w:tab/>
        <w:t>Any person who wilfully and unlawfully —</w:t>
      </w:r>
    </w:p>
    <w:p>
      <w:pPr>
        <w:pStyle w:val="Indenta"/>
        <w:spacing w:before="6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60"/>
        <w:rPr>
          <w:snapToGrid w:val="0"/>
        </w:rPr>
      </w:pPr>
      <w:r>
        <w:rPr>
          <w:snapToGrid w:val="0"/>
        </w:rPr>
        <w:tab/>
        <w:t>(2)</w:t>
      </w:r>
      <w:r>
        <w:rPr>
          <w:snapToGrid w:val="0"/>
        </w:rPr>
        <w:tab/>
        <w:t xml:space="preserve">Makes or has in his possession or under his control, any explosive substance with intent by means thereof to cause serious injury to property in Western Australia, or </w:t>
      </w:r>
      <w:r>
        <w:rPr>
          <w:snapToGrid w:val="0"/>
        </w:rPr>
        <w:lastRenderedPageBreak/>
        <w:t>to enable any other person by means thereof to cause serious injury to property in Western Australia; or</w:t>
      </w:r>
    </w:p>
    <w:p>
      <w:pPr>
        <w:pStyle w:val="Indenta"/>
        <w:spacing w:before="6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rStyle w:val="CharDefText"/>
        </w:rPr>
        <w:t>explosive substance</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ind w:left="890" w:hanging="890"/>
      </w:pPr>
      <w:r>
        <w:tab/>
        <w:t>[Section 455 amended: No. 51 of 1992 s. 16(2).]</w:t>
      </w:r>
    </w:p>
    <w:p>
      <w:pPr>
        <w:pStyle w:val="Heading5"/>
        <w:spacing w:before="240"/>
        <w:rPr>
          <w:snapToGrid w:val="0"/>
        </w:rPr>
      </w:pPr>
      <w:bookmarkStart w:id="588" w:name="_Toc88662444"/>
      <w:r>
        <w:rPr>
          <w:rStyle w:val="CharSectno"/>
        </w:rPr>
        <w:t>456</w:t>
      </w:r>
      <w:r>
        <w:rPr>
          <w:snapToGrid w:val="0"/>
        </w:rPr>
        <w:t>.</w:t>
      </w:r>
      <w:r>
        <w:rPr>
          <w:snapToGrid w:val="0"/>
        </w:rPr>
        <w:tab/>
        <w:t>Acts with intent to injure mine etc.</w:t>
      </w:r>
      <w:bookmarkEnd w:id="588"/>
    </w:p>
    <w:p>
      <w:pPr>
        <w:pStyle w:val="Subsection"/>
        <w:rPr>
          <w:snapToGrid w:val="0"/>
        </w:rPr>
      </w:pPr>
      <w:r>
        <w:rPr>
          <w:snapToGrid w:val="0"/>
        </w:rPr>
        <w:tab/>
      </w:r>
      <w:r>
        <w:rPr>
          <w:snapToGrid w:val="0"/>
        </w:rPr>
        <w:tab/>
        <w:t>Any person who, with intent to injure a mine or to obstruct the working of a mine —</w:t>
      </w:r>
    </w:p>
    <w:p>
      <w:pPr>
        <w:pStyle w:val="Indenta"/>
        <w:spacing w:before="60"/>
        <w:rPr>
          <w:snapToGrid w:val="0"/>
        </w:rPr>
      </w:pPr>
      <w:r>
        <w:rPr>
          <w:snapToGrid w:val="0"/>
        </w:rPr>
        <w:tab/>
        <w:t>(1)</w:t>
      </w:r>
      <w:r>
        <w:rPr>
          <w:snapToGrid w:val="0"/>
        </w:rPr>
        <w:tab/>
        <w:t>Unlawfully, and otherwise than by an act done underground in the course of working an adjoining mine, —</w:t>
      </w:r>
    </w:p>
    <w:p>
      <w:pPr>
        <w:pStyle w:val="Indenti"/>
        <w:spacing w:before="60"/>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t>Unlawfully obstructs the working of any machine, appliance, or apparatus, appertaining to or used with the mine, whether the thing in question is completed or not; or</w:t>
      </w:r>
    </w:p>
    <w:p>
      <w:pPr>
        <w:pStyle w:val="Indenta"/>
        <w:keepLines/>
        <w:rPr>
          <w:snapToGrid w:val="0"/>
        </w:rPr>
      </w:pPr>
      <w:r>
        <w:rPr>
          <w:snapToGrid w:val="0"/>
        </w:rPr>
        <w:lastRenderedPageBreak/>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ind w:left="890" w:hanging="890"/>
      </w:pPr>
      <w:r>
        <w:tab/>
        <w:t>[Section 456 amended: No. 51 of 1992 s. 16(2).]</w:t>
      </w:r>
    </w:p>
    <w:p>
      <w:pPr>
        <w:pStyle w:val="Heading5"/>
        <w:rPr>
          <w:snapToGrid w:val="0"/>
        </w:rPr>
      </w:pPr>
      <w:bookmarkStart w:id="589" w:name="_Toc88662445"/>
      <w:r>
        <w:rPr>
          <w:rStyle w:val="CharSectno"/>
        </w:rPr>
        <w:t>457</w:t>
      </w:r>
      <w:r>
        <w:rPr>
          <w:snapToGrid w:val="0"/>
        </w:rPr>
        <w:t>.</w:t>
      </w:r>
      <w:r>
        <w:rPr>
          <w:snapToGrid w:val="0"/>
        </w:rPr>
        <w:tab/>
        <w:t>Interfering with marine navigation aid</w:t>
      </w:r>
      <w:bookmarkEnd w:id="589"/>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ind w:left="890" w:hanging="890"/>
      </w:pPr>
      <w:r>
        <w:tab/>
        <w:t>[Section 457 amended: No. 51 of 1992 s. 16(2).]</w:t>
      </w:r>
    </w:p>
    <w:p>
      <w:pPr>
        <w:pStyle w:val="Heading5"/>
        <w:keepNext w:val="0"/>
        <w:keepLines w:val="0"/>
        <w:rPr>
          <w:snapToGrid w:val="0"/>
        </w:rPr>
      </w:pPr>
      <w:bookmarkStart w:id="590" w:name="_Toc88662446"/>
      <w:r>
        <w:rPr>
          <w:rStyle w:val="CharSectno"/>
        </w:rPr>
        <w:t>458</w:t>
      </w:r>
      <w:r>
        <w:rPr>
          <w:snapToGrid w:val="0"/>
        </w:rPr>
        <w:t>.</w:t>
      </w:r>
      <w:r>
        <w:rPr>
          <w:snapToGrid w:val="0"/>
        </w:rPr>
        <w:tab/>
        <w:t>Interfering with navigation works</w:t>
      </w:r>
      <w:bookmarkEnd w:id="590"/>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keepLines/>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458 amended: No. 51 of 1992 s. 16(2).]</w:t>
      </w:r>
    </w:p>
    <w:p>
      <w:pPr>
        <w:pStyle w:val="Heading5"/>
        <w:keepLines w:val="0"/>
        <w:rPr>
          <w:snapToGrid w:val="0"/>
        </w:rPr>
      </w:pPr>
      <w:bookmarkStart w:id="591" w:name="_Toc88662447"/>
      <w:r>
        <w:rPr>
          <w:rStyle w:val="CharSectno"/>
        </w:rPr>
        <w:lastRenderedPageBreak/>
        <w:t>459</w:t>
      </w:r>
      <w:r>
        <w:rPr>
          <w:snapToGrid w:val="0"/>
        </w:rPr>
        <w:t>.</w:t>
      </w:r>
      <w:r>
        <w:rPr>
          <w:snapToGrid w:val="0"/>
        </w:rPr>
        <w:tab/>
        <w:t>Communicating infectious disease to animal</w:t>
      </w:r>
      <w:bookmarkEnd w:id="591"/>
    </w:p>
    <w:p>
      <w:pPr>
        <w:pStyle w:val="Subsection"/>
        <w:spacing w:before="120"/>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spacing w:before="100"/>
        <w:ind w:left="890" w:hanging="890"/>
      </w:pPr>
      <w:r>
        <w:tab/>
        <w:t>[Section 459 amended: No. 51 of 1992 s. 16(2).]</w:t>
      </w:r>
    </w:p>
    <w:p>
      <w:pPr>
        <w:pStyle w:val="Heading5"/>
        <w:spacing w:before="200"/>
        <w:rPr>
          <w:snapToGrid w:val="0"/>
        </w:rPr>
      </w:pPr>
      <w:bookmarkStart w:id="592" w:name="_Toc88662448"/>
      <w:r>
        <w:rPr>
          <w:rStyle w:val="CharSectno"/>
        </w:rPr>
        <w:t>460</w:t>
      </w:r>
      <w:r>
        <w:rPr>
          <w:snapToGrid w:val="0"/>
        </w:rPr>
        <w:t>.</w:t>
      </w:r>
      <w:r>
        <w:rPr>
          <w:snapToGrid w:val="0"/>
        </w:rPr>
        <w:tab/>
        <w:t>Unlawfully travelling with infected animal</w:t>
      </w:r>
      <w:bookmarkEnd w:id="592"/>
    </w:p>
    <w:p>
      <w:pPr>
        <w:pStyle w:val="Subsection"/>
        <w:spacing w:before="120"/>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spacing w:before="100"/>
        <w:ind w:left="890" w:hanging="890"/>
      </w:pPr>
      <w:r>
        <w:tab/>
        <w:t>[Section 460 amended: No. 70 of 2004 s. 34(1).]</w:t>
      </w:r>
    </w:p>
    <w:p>
      <w:pPr>
        <w:pStyle w:val="Heading5"/>
        <w:spacing w:before="200"/>
        <w:rPr>
          <w:snapToGrid w:val="0"/>
        </w:rPr>
      </w:pPr>
      <w:bookmarkStart w:id="593" w:name="_Toc88662449"/>
      <w:r>
        <w:rPr>
          <w:rStyle w:val="CharSectno"/>
        </w:rPr>
        <w:t>461</w:t>
      </w:r>
      <w:r>
        <w:rPr>
          <w:snapToGrid w:val="0"/>
        </w:rPr>
        <w:t>.</w:t>
      </w:r>
      <w:r>
        <w:rPr>
          <w:snapToGrid w:val="0"/>
        </w:rPr>
        <w:tab/>
        <w:t>Removing boundary mark with intent to defraud</w:t>
      </w:r>
      <w:bookmarkEnd w:id="593"/>
    </w:p>
    <w:p>
      <w:pPr>
        <w:pStyle w:val="Subsection"/>
        <w:spacing w:before="120"/>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spacing w:before="100"/>
        <w:ind w:left="890" w:hanging="890"/>
      </w:pPr>
      <w:r>
        <w:tab/>
        <w:t>[Section 461 amended: No. 51 of 1992 s. 16(2); No. 70 of 2004 s. 34(1).]</w:t>
      </w:r>
    </w:p>
    <w:p>
      <w:pPr>
        <w:pStyle w:val="Heading5"/>
        <w:spacing w:before="200"/>
        <w:rPr>
          <w:snapToGrid w:val="0"/>
        </w:rPr>
      </w:pPr>
      <w:bookmarkStart w:id="594" w:name="_Toc88662450"/>
      <w:r>
        <w:rPr>
          <w:rStyle w:val="CharSectno"/>
        </w:rPr>
        <w:t>462</w:t>
      </w:r>
      <w:r>
        <w:rPr>
          <w:snapToGrid w:val="0"/>
        </w:rPr>
        <w:t>.</w:t>
      </w:r>
      <w:r>
        <w:rPr>
          <w:snapToGrid w:val="0"/>
        </w:rPr>
        <w:tab/>
        <w:t>Obstructing railway</w:t>
      </w:r>
      <w:bookmarkEnd w:id="594"/>
    </w:p>
    <w:p>
      <w:pPr>
        <w:pStyle w:val="Subsection"/>
        <w:spacing w:before="120"/>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ind w:left="890" w:hanging="890"/>
      </w:pPr>
      <w:r>
        <w:tab/>
        <w:t>[Section 462 amended: No. 51 of 1992 s. 16(2); No. 70 of 2004 s. 34(1).]</w:t>
      </w:r>
    </w:p>
    <w:p>
      <w:pPr>
        <w:pStyle w:val="Ednotesection"/>
        <w:keepLines/>
        <w:ind w:left="890" w:hanging="890"/>
      </w:pPr>
      <w:r>
        <w:lastRenderedPageBreak/>
        <w:t>[</w:t>
      </w:r>
      <w:r>
        <w:rPr>
          <w:b/>
        </w:rPr>
        <w:t>463</w:t>
      </w:r>
      <w:r>
        <w:rPr>
          <w:b/>
        </w:rPr>
        <w:noBreakHyphen/>
        <w:t>463B.</w:t>
      </w:r>
      <w:r>
        <w:tab/>
        <w:t>Deleted: No. 101 of 1990 s. 37.]</w:t>
      </w:r>
    </w:p>
    <w:p>
      <w:pPr>
        <w:pStyle w:val="Ednotesection"/>
        <w:keepLines/>
        <w:ind w:left="890" w:hanging="890"/>
      </w:pPr>
      <w:r>
        <w:t>[</w:t>
      </w:r>
      <w:r>
        <w:rPr>
          <w:b/>
        </w:rPr>
        <w:t>464</w:t>
      </w:r>
      <w:r>
        <w:rPr>
          <w:b/>
          <w:bCs/>
        </w:rPr>
        <w:t>.</w:t>
      </w:r>
      <w:r>
        <w:tab/>
        <w:t>Deleted: No. 119 of 1985 s. 19.]</w:t>
      </w:r>
    </w:p>
    <w:p>
      <w:pPr>
        <w:pStyle w:val="Ednotedivision"/>
        <w:keepNext/>
        <w:keepLines/>
        <w:ind w:left="601" w:hanging="601"/>
      </w:pPr>
      <w:r>
        <w:t>[Chapter XLVII:</w:t>
      </w:r>
      <w:r>
        <w:br/>
        <w:t>s. 465, 466 deleted: No. 4 of 2004 s. 38;</w:t>
      </w:r>
      <w:r>
        <w:br/>
        <w:t>s. 467 deleted: No. 78 of 1995 s. 26;</w:t>
      </w:r>
      <w:r>
        <w:br/>
        <w:t>s. 468 deleted: No. 1 of 1969 s. 16.]</w:t>
      </w:r>
    </w:p>
    <w:p>
      <w:pPr>
        <w:pStyle w:val="Heading3"/>
        <w:keepNext w:val="0"/>
        <w:spacing w:before="260"/>
      </w:pPr>
      <w:bookmarkStart w:id="595" w:name="_Toc88570008"/>
      <w:bookmarkStart w:id="596" w:name="_Toc88570530"/>
      <w:bookmarkStart w:id="597" w:name="_Toc88571052"/>
      <w:bookmarkStart w:id="598" w:name="_Toc88662451"/>
      <w:r>
        <w:t>Division III — Forgery and like offences: Identity crime: Personation</w:t>
      </w:r>
      <w:bookmarkEnd w:id="595"/>
      <w:bookmarkEnd w:id="596"/>
      <w:bookmarkEnd w:id="597"/>
      <w:bookmarkEnd w:id="598"/>
    </w:p>
    <w:p>
      <w:pPr>
        <w:pStyle w:val="Footnoteheading"/>
        <w:rPr>
          <w:snapToGrid w:val="0"/>
        </w:rPr>
      </w:pPr>
      <w:r>
        <w:rPr>
          <w:snapToGrid w:val="0"/>
        </w:rPr>
        <w:tab/>
        <w:t>[Heading inserted: No. 16 of 2010 s. 4.]</w:t>
      </w:r>
    </w:p>
    <w:p>
      <w:pPr>
        <w:pStyle w:val="Ednotedivision"/>
      </w:pPr>
      <w:r>
        <w:t>[Chapter XLVIII (s. 469</w:t>
      </w:r>
      <w:r>
        <w:noBreakHyphen/>
        <w:t>472) deleted: No. 101 of 1990 s. 40.]</w:t>
      </w:r>
    </w:p>
    <w:p>
      <w:pPr>
        <w:pStyle w:val="Heading3"/>
        <w:keepNext w:val="0"/>
        <w:rPr>
          <w:snapToGrid w:val="0"/>
        </w:rPr>
      </w:pPr>
      <w:bookmarkStart w:id="599" w:name="_Toc88570009"/>
      <w:bookmarkStart w:id="600" w:name="_Toc88570531"/>
      <w:bookmarkStart w:id="601" w:name="_Toc88571053"/>
      <w:bookmarkStart w:id="602" w:name="_Toc88662452"/>
      <w:r>
        <w:rPr>
          <w:rStyle w:val="CharDivNo"/>
        </w:rPr>
        <w:t>Chapter XLIX</w:t>
      </w:r>
      <w:r>
        <w:rPr>
          <w:snapToGrid w:val="0"/>
        </w:rPr>
        <w:t> — </w:t>
      </w:r>
      <w:r>
        <w:rPr>
          <w:rStyle w:val="CharDivText"/>
        </w:rPr>
        <w:t>Forgery and uttering</w:t>
      </w:r>
      <w:bookmarkEnd w:id="599"/>
      <w:bookmarkEnd w:id="600"/>
      <w:bookmarkEnd w:id="601"/>
      <w:bookmarkEnd w:id="602"/>
    </w:p>
    <w:p>
      <w:pPr>
        <w:pStyle w:val="Footnoteheading"/>
        <w:rPr>
          <w:snapToGrid w:val="0"/>
        </w:rPr>
      </w:pPr>
      <w:r>
        <w:rPr>
          <w:snapToGrid w:val="0"/>
        </w:rPr>
        <w:tab/>
        <w:t>[Heading inserted: No. 101 of 1990 s. 41.]</w:t>
      </w:r>
    </w:p>
    <w:p>
      <w:pPr>
        <w:pStyle w:val="Heading5"/>
        <w:keepNext w:val="0"/>
        <w:spacing w:before="180"/>
        <w:rPr>
          <w:snapToGrid w:val="0"/>
        </w:rPr>
      </w:pPr>
      <w:bookmarkStart w:id="603" w:name="_Toc88662453"/>
      <w:r>
        <w:rPr>
          <w:rStyle w:val="CharSectno"/>
        </w:rPr>
        <w:t>473</w:t>
      </w:r>
      <w:r>
        <w:rPr>
          <w:snapToGrid w:val="0"/>
        </w:rPr>
        <w:t>.</w:t>
      </w:r>
      <w:r>
        <w:rPr>
          <w:snapToGrid w:val="0"/>
        </w:rPr>
        <w:tab/>
        <w:t>Forgery and uttering</w:t>
      </w:r>
      <w:bookmarkEnd w:id="603"/>
    </w:p>
    <w:p>
      <w:pPr>
        <w:pStyle w:val="Subsection"/>
        <w:ind w:left="890" w:hanging="890"/>
        <w:rPr>
          <w:snapToGrid w:val="0"/>
        </w:rPr>
      </w:pPr>
      <w:r>
        <w:rPr>
          <w:snapToGrid w:val="0"/>
        </w:rPr>
        <w:tab/>
        <w:t>(1)</w:t>
      </w:r>
      <w:r>
        <w:rPr>
          <w:snapToGrid w:val="0"/>
        </w:rPr>
        <w:tab/>
        <w:t>Any person who with intent to defraud —</w:t>
      </w:r>
    </w:p>
    <w:p>
      <w:pPr>
        <w:pStyle w:val="Indenta"/>
        <w:rPr>
          <w:snapToGrid w:val="0"/>
        </w:rPr>
      </w:pPr>
      <w:r>
        <w:rPr>
          <w:snapToGrid w:val="0"/>
        </w:rPr>
        <w:tab/>
        <w:t>(a)</w:t>
      </w:r>
      <w:r>
        <w:rPr>
          <w:snapToGrid w:val="0"/>
        </w:rPr>
        <w:tab/>
        <w:t>forges a record; or</w:t>
      </w:r>
    </w:p>
    <w:p>
      <w:pPr>
        <w:pStyle w:val="Indenta"/>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ind w:left="890" w:hanging="890"/>
      </w:pPr>
      <w:r>
        <w:tab/>
        <w:t>[Section 473 inserted: No. 101 of 1990 s. 41; amended: No. 70 of 2004 s. 35(2); No. 59 of 2006 s. 24.]</w:t>
      </w:r>
    </w:p>
    <w:p>
      <w:pPr>
        <w:pStyle w:val="Heading5"/>
        <w:keepLines w:val="0"/>
        <w:spacing w:before="180"/>
      </w:pPr>
      <w:bookmarkStart w:id="604" w:name="_Toc88662454"/>
      <w:r>
        <w:rPr>
          <w:rStyle w:val="CharSectno"/>
        </w:rPr>
        <w:lastRenderedPageBreak/>
        <w:t>474</w:t>
      </w:r>
      <w:r>
        <w:t>.</w:t>
      </w:r>
      <w:r>
        <w:tab/>
        <w:t>Preparation for forgery etc.</w:t>
      </w:r>
      <w:bookmarkEnd w:id="604"/>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ind w:left="890" w:hanging="890"/>
      </w:pPr>
      <w:r>
        <w:tab/>
        <w:t>[Section 474 inserted: No. 29 of 1998 s. 4; amended: No. 70 of 2004 s. 35(11).]</w:t>
      </w:r>
    </w:p>
    <w:p>
      <w:pPr>
        <w:pStyle w:val="Ednotesection"/>
        <w:ind w:left="890" w:hanging="890"/>
      </w:pPr>
      <w:r>
        <w:t>[</w:t>
      </w:r>
      <w:r>
        <w:rPr>
          <w:b/>
          <w:bCs/>
        </w:rPr>
        <w:t>475</w:t>
      </w:r>
      <w:r>
        <w:rPr>
          <w:b/>
          <w:bCs/>
        </w:rPr>
        <w:noBreakHyphen/>
        <w:t>487.</w:t>
      </w:r>
      <w:r>
        <w:tab/>
        <w:t>Deleted: No. 101 of 1990 s. 41.]</w:t>
      </w:r>
    </w:p>
    <w:p>
      <w:pPr>
        <w:pStyle w:val="Heading3"/>
        <w:keepLines/>
        <w:rPr>
          <w:snapToGrid w:val="0"/>
        </w:rPr>
      </w:pPr>
      <w:bookmarkStart w:id="605" w:name="_Toc88570012"/>
      <w:bookmarkStart w:id="606" w:name="_Toc88570534"/>
      <w:bookmarkStart w:id="607" w:name="_Toc88571056"/>
      <w:bookmarkStart w:id="608" w:name="_Toc88662455"/>
      <w:r>
        <w:rPr>
          <w:rStyle w:val="CharDivNo"/>
        </w:rPr>
        <w:t>Chapter L</w:t>
      </w:r>
      <w:r>
        <w:rPr>
          <w:snapToGrid w:val="0"/>
        </w:rPr>
        <w:t> — </w:t>
      </w:r>
      <w:r>
        <w:rPr>
          <w:rStyle w:val="CharDivText"/>
        </w:rPr>
        <w:t>False representations as to status</w:t>
      </w:r>
      <w:bookmarkEnd w:id="605"/>
      <w:bookmarkEnd w:id="606"/>
      <w:bookmarkEnd w:id="607"/>
      <w:bookmarkEnd w:id="608"/>
    </w:p>
    <w:p>
      <w:pPr>
        <w:pStyle w:val="Footnoteheading"/>
        <w:keepNext/>
        <w:keepLines/>
      </w:pPr>
      <w:r>
        <w:tab/>
        <w:t>[Heading inserted: No. 101 of 1990 s. 41.]</w:t>
      </w:r>
    </w:p>
    <w:p>
      <w:pPr>
        <w:pStyle w:val="Heading5"/>
        <w:rPr>
          <w:snapToGrid w:val="0"/>
        </w:rPr>
      </w:pPr>
      <w:bookmarkStart w:id="609" w:name="_Toc88662456"/>
      <w:r>
        <w:rPr>
          <w:rStyle w:val="CharSectno"/>
        </w:rPr>
        <w:t>488</w:t>
      </w:r>
      <w:r>
        <w:rPr>
          <w:snapToGrid w:val="0"/>
        </w:rPr>
        <w:t>.</w:t>
      </w:r>
      <w:r>
        <w:rPr>
          <w:snapToGrid w:val="0"/>
        </w:rPr>
        <w:tab/>
        <w:t>Procuring or claiming unauthorised status</w:t>
      </w:r>
      <w:bookmarkEnd w:id="609"/>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 or</w:t>
      </w:r>
    </w:p>
    <w:p>
      <w:pPr>
        <w:pStyle w:val="Indenta"/>
        <w:rPr>
          <w:snapToGrid w:val="0"/>
        </w:rPr>
      </w:pPr>
      <w:r>
        <w:rPr>
          <w:snapToGrid w:val="0"/>
        </w:rPr>
        <w:tab/>
        <w:t>(b)</w:t>
      </w:r>
      <w:r>
        <w:rPr>
          <w:snapToGrid w:val="0"/>
        </w:rPr>
        <w:tab/>
        <w:t>falsely represents to any person that he has obtained such a certificate; or</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keepNext/>
        <w:keepLines/>
        <w:rPr>
          <w:snapToGrid w:val="0"/>
        </w:rPr>
      </w:pPr>
      <w:r>
        <w:rPr>
          <w:snapToGrid w:val="0"/>
        </w:rPr>
        <w:lastRenderedPageBreak/>
        <w:tab/>
        <w:t>(d)</w:t>
      </w:r>
      <w:r>
        <w:rPr>
          <w:snapToGrid w:val="0"/>
        </w:rPr>
        <w:tab/>
        <w:t>falsely advertises or publishes himself as having obtained such a certificate, or as having been so registered,</w:t>
      </w:r>
    </w:p>
    <w:p>
      <w:pPr>
        <w:pStyle w:val="Subsection"/>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ind w:left="890" w:hanging="890"/>
      </w:pPr>
      <w:r>
        <w:tab/>
        <w:t>[Section 488 inserted: No. 101 of 1990 s. 41; amended: No. 70 of 2004 s. 35(1).]</w:t>
      </w:r>
    </w:p>
    <w:p>
      <w:pPr>
        <w:pStyle w:val="Heading3"/>
      </w:pPr>
      <w:bookmarkStart w:id="610" w:name="_Toc88570014"/>
      <w:bookmarkStart w:id="611" w:name="_Toc88570536"/>
      <w:bookmarkStart w:id="612" w:name="_Toc88571058"/>
      <w:bookmarkStart w:id="613" w:name="_Toc88662457"/>
      <w:r>
        <w:rPr>
          <w:rStyle w:val="CharDivNo"/>
        </w:rPr>
        <w:t>Chapter LI</w:t>
      </w:r>
      <w:r>
        <w:t> — </w:t>
      </w:r>
      <w:r>
        <w:rPr>
          <w:rStyle w:val="CharDivText"/>
        </w:rPr>
        <w:t>Identity crime</w:t>
      </w:r>
      <w:bookmarkEnd w:id="610"/>
      <w:bookmarkEnd w:id="611"/>
      <w:bookmarkEnd w:id="612"/>
      <w:bookmarkEnd w:id="613"/>
    </w:p>
    <w:p>
      <w:pPr>
        <w:pStyle w:val="Footnoteheading"/>
        <w:rPr>
          <w:snapToGrid w:val="0"/>
        </w:rPr>
      </w:pPr>
      <w:r>
        <w:rPr>
          <w:snapToGrid w:val="0"/>
        </w:rPr>
        <w:tab/>
        <w:t>[Heading inserted: No. 16 of 2010 s. 5.]</w:t>
      </w:r>
    </w:p>
    <w:p>
      <w:pPr>
        <w:pStyle w:val="Heading5"/>
      </w:pPr>
      <w:bookmarkStart w:id="614" w:name="_Toc88662458"/>
      <w:r>
        <w:rPr>
          <w:rStyle w:val="CharSectno"/>
        </w:rPr>
        <w:t>489</w:t>
      </w:r>
      <w:r>
        <w:t>.</w:t>
      </w:r>
      <w:r>
        <w:tab/>
        <w:t>Terms used</w:t>
      </w:r>
      <w:bookmarkEnd w:id="614"/>
    </w:p>
    <w:p>
      <w:pPr>
        <w:pStyle w:val="Subsection"/>
      </w:pPr>
      <w:r>
        <w:tab/>
      </w:r>
      <w:r>
        <w:tab/>
        <w:t xml:space="preserve">In this Chapter — </w:t>
      </w:r>
    </w:p>
    <w:p>
      <w:pPr>
        <w:pStyle w:val="Defstart"/>
      </w:pPr>
      <w:r>
        <w:tab/>
      </w:r>
      <w:r>
        <w:rPr>
          <w:rStyle w:val="CharDefText"/>
        </w:rPr>
        <w:t>digital signature</w:t>
      </w:r>
      <w:r>
        <w:t xml:space="preserve"> means encrypted electronic data intended for the exclusive use of a particular person as a means of identifying the person as the sender of an electronic communication;</w:t>
      </w:r>
    </w:p>
    <w:p>
      <w:pPr>
        <w:pStyle w:val="Defstart"/>
        <w:rPr>
          <w:i/>
        </w:rPr>
      </w:pPr>
      <w:r>
        <w:tab/>
      </w:r>
      <w:r>
        <w:rPr>
          <w:rStyle w:val="CharDefText"/>
        </w:rPr>
        <w:t>electronic communication</w:t>
      </w:r>
      <w:r>
        <w:t xml:space="preserve"> has the meaning given in the</w:t>
      </w:r>
      <w:r>
        <w:rPr>
          <w:i/>
        </w:rPr>
        <w:t xml:space="preserve"> Electronic Transactions Act 2011</w:t>
      </w:r>
      <w:r>
        <w:t xml:space="preserve"> section 5(1);</w:t>
      </w:r>
    </w:p>
    <w:p>
      <w:pPr>
        <w:pStyle w:val="Defstart"/>
      </w:pPr>
      <w:r>
        <w:tab/>
      </w:r>
      <w:r>
        <w:rPr>
          <w:rStyle w:val="CharDefText"/>
        </w:rPr>
        <w:t>identification information</w:t>
      </w:r>
      <w:r>
        <w:t xml:space="preserve"> means information relating to a person, whether living or dead or whether real or fictitious, that is capable of being used, whether alone or in conjunction with other information, to identify or purportedly identify the person and includes — </w:t>
      </w:r>
    </w:p>
    <w:p>
      <w:pPr>
        <w:pStyle w:val="Defpara"/>
      </w:pPr>
      <w:r>
        <w:tab/>
        <w:t>(a)</w:t>
      </w:r>
      <w:r>
        <w:tab/>
        <w:t>a name, address, date of birth or place of birth;</w:t>
      </w:r>
    </w:p>
    <w:p>
      <w:pPr>
        <w:pStyle w:val="Defpara"/>
      </w:pPr>
      <w:r>
        <w:tab/>
        <w:t>(b)</w:t>
      </w:r>
      <w:r>
        <w:tab/>
        <w:t>information about a person’s marital status;</w:t>
      </w:r>
    </w:p>
    <w:p>
      <w:pPr>
        <w:pStyle w:val="Defpara"/>
      </w:pPr>
      <w:r>
        <w:tab/>
        <w:t>(c)</w:t>
      </w:r>
      <w:r>
        <w:tab/>
        <w:t>information that identifies a person as another person’s relative;</w:t>
      </w:r>
    </w:p>
    <w:p>
      <w:pPr>
        <w:pStyle w:val="Defpara"/>
      </w:pPr>
      <w:r>
        <w:tab/>
        <w:t>(d)</w:t>
      </w:r>
      <w:r>
        <w:tab/>
        <w:t>a driver’s licence number;</w:t>
      </w:r>
    </w:p>
    <w:p>
      <w:pPr>
        <w:pStyle w:val="Defpara"/>
      </w:pPr>
      <w:r>
        <w:tab/>
        <w:t>(e)</w:t>
      </w:r>
      <w:r>
        <w:tab/>
        <w:t>a passport number;</w:t>
      </w:r>
    </w:p>
    <w:p>
      <w:pPr>
        <w:pStyle w:val="Defpara"/>
      </w:pPr>
      <w:r>
        <w:tab/>
        <w:t>(f)</w:t>
      </w:r>
      <w:r>
        <w:tab/>
        <w:t>biometric data;</w:t>
      </w:r>
    </w:p>
    <w:p>
      <w:pPr>
        <w:pStyle w:val="Defpara"/>
      </w:pPr>
      <w:r>
        <w:tab/>
        <w:t>(g)</w:t>
      </w:r>
      <w:r>
        <w:tab/>
        <w:t>a voice print;</w:t>
      </w:r>
    </w:p>
    <w:p>
      <w:pPr>
        <w:pStyle w:val="Defpara"/>
      </w:pPr>
      <w:r>
        <w:lastRenderedPageBreak/>
        <w:tab/>
        <w:t>(h)</w:t>
      </w:r>
      <w:r>
        <w:tab/>
        <w:t>information stored on a credit card or debit card;</w:t>
      </w:r>
    </w:p>
    <w:p>
      <w:pPr>
        <w:pStyle w:val="Defpara"/>
      </w:pPr>
      <w:r>
        <w:tab/>
        <w:t>(i)</w:t>
      </w:r>
      <w:r>
        <w:tab/>
        <w:t>a financial account number, user name or password;</w:t>
      </w:r>
    </w:p>
    <w:p>
      <w:pPr>
        <w:pStyle w:val="Defpara"/>
      </w:pPr>
      <w:r>
        <w:tab/>
        <w:t>(j)</w:t>
      </w:r>
      <w:r>
        <w:tab/>
        <w:t>a digital signature;</w:t>
      </w:r>
    </w:p>
    <w:p>
      <w:pPr>
        <w:pStyle w:val="Defpara"/>
      </w:pPr>
      <w:r>
        <w:tab/>
        <w:t>(k)</w:t>
      </w:r>
      <w:r>
        <w:tab/>
        <w:t>a series of numbers or letters, or both numbers and letters, intended for use as a means of personal identification;</w:t>
      </w:r>
    </w:p>
    <w:p>
      <w:pPr>
        <w:pStyle w:val="Defpara"/>
      </w:pPr>
      <w:r>
        <w:tab/>
        <w:t>(l)</w:t>
      </w:r>
      <w:r>
        <w:tab/>
        <w:t xml:space="preserve">an Australian Business Number, as defined in the </w:t>
      </w:r>
      <w:r>
        <w:rPr>
          <w:i/>
          <w:iCs/>
        </w:rPr>
        <w:t>A New Tax System (Australian Business Number) Act 1999</w:t>
      </w:r>
      <w:r>
        <w:t xml:space="preserve"> (Commonwealth);</w:t>
      </w:r>
    </w:p>
    <w:p>
      <w:pPr>
        <w:pStyle w:val="Defstart"/>
      </w:pPr>
      <w:r>
        <w:tab/>
      </w:r>
      <w:r>
        <w:rPr>
          <w:rStyle w:val="CharDefText"/>
        </w:rPr>
        <w:t>identification material</w:t>
      </w:r>
      <w:r>
        <w:rPr>
          <w:b/>
          <w:i/>
        </w:rPr>
        <w:t xml:space="preserve"> </w:t>
      </w:r>
      <w:r>
        <w:t xml:space="preserve">means — </w:t>
      </w:r>
    </w:p>
    <w:p>
      <w:pPr>
        <w:pStyle w:val="Defpara"/>
      </w:pPr>
      <w:r>
        <w:tab/>
        <w:t>(a)</w:t>
      </w:r>
      <w:r>
        <w:tab/>
        <w:t>identification information; or</w:t>
      </w:r>
    </w:p>
    <w:p>
      <w:pPr>
        <w:pStyle w:val="Defpara"/>
      </w:pPr>
      <w:r>
        <w:tab/>
        <w:t>(b)</w:t>
      </w:r>
      <w:r>
        <w:tab/>
        <w:t>a record that contains identification information;</w:t>
      </w:r>
    </w:p>
    <w:p>
      <w:pPr>
        <w:pStyle w:val="Defstart"/>
      </w:pPr>
      <w:r>
        <w:tab/>
      </w:r>
      <w:r>
        <w:rPr>
          <w:rStyle w:val="CharDefText"/>
        </w:rPr>
        <w:t>voice print</w:t>
      </w:r>
      <w:r>
        <w:t xml:space="preserve"> means electronic data recording the unique characteristics of a person’s voice.</w:t>
      </w:r>
    </w:p>
    <w:p>
      <w:pPr>
        <w:pStyle w:val="Footnotesection"/>
      </w:pPr>
      <w:r>
        <w:tab/>
        <w:t>[Section 489 inserted: No. 16 of 2010 s. 5; amended: No. 46 of 2011 s. 26.]</w:t>
      </w:r>
    </w:p>
    <w:p>
      <w:pPr>
        <w:pStyle w:val="Heading5"/>
      </w:pPr>
      <w:bookmarkStart w:id="615" w:name="_Toc88662459"/>
      <w:r>
        <w:rPr>
          <w:rStyle w:val="CharSectno"/>
        </w:rPr>
        <w:t>490</w:t>
      </w:r>
      <w:r>
        <w:t>.</w:t>
      </w:r>
      <w:r>
        <w:tab/>
        <w:t>Making, using or supplying identification material with intent to commit indictable offence</w:t>
      </w:r>
      <w:bookmarkEnd w:id="615"/>
    </w:p>
    <w:p>
      <w:pPr>
        <w:pStyle w:val="Subsection"/>
      </w:pPr>
      <w:r>
        <w:tab/>
        <w:t>(1)</w:t>
      </w:r>
      <w:r>
        <w:tab/>
        <w:t xml:space="preserve">A person who makes, uses or supplies identification material with the intention that the material will be used, by the person or some other person, to commit an indictable offence or to facilitate the commission of an indictable offence is guilty of a crime and is liable to the penalty that is the greater of — </w:t>
      </w:r>
    </w:p>
    <w:p>
      <w:pPr>
        <w:pStyle w:val="Indenta"/>
      </w:pPr>
      <w:r>
        <w:tab/>
        <w:t>(a)</w:t>
      </w:r>
      <w:r>
        <w:tab/>
        <w:t>imprisonment for 7 years; or</w:t>
      </w:r>
    </w:p>
    <w:p>
      <w:pPr>
        <w:pStyle w:val="Indenta"/>
      </w:pPr>
      <w:r>
        <w:tab/>
        <w:t>(b)</w:t>
      </w:r>
      <w:r>
        <w:tab/>
        <w:t>the penalty to which the person would have been liable if convicted of attempting to commit the indictable offence.</w:t>
      </w:r>
    </w:p>
    <w:p>
      <w:pPr>
        <w:pStyle w:val="Penstart"/>
      </w:pPr>
      <w:r>
        <w:tab/>
        <w:t>Alternative offence: s. 491(1).</w:t>
      </w:r>
    </w:p>
    <w:p>
      <w:pPr>
        <w:pStyle w:val="Subsection"/>
      </w:pPr>
      <w:r>
        <w:tab/>
        <w:t>(2)</w:t>
      </w:r>
      <w:r>
        <w:tab/>
        <w:t>For the purposes of subsection (1), it does not matter that it is impossible in fact to commit the indictable offence.</w:t>
      </w:r>
    </w:p>
    <w:p>
      <w:pPr>
        <w:pStyle w:val="Subsection"/>
      </w:pPr>
      <w:r>
        <w:lastRenderedPageBreak/>
        <w:tab/>
        <w:t>(3)</w:t>
      </w:r>
      <w:r>
        <w:tab/>
        <w:t>It is not a defence to a charge of an offence under subsection (1) involving identification material relating to a person other than the accused person that the other person consented to the making, use or supply of the identification material by the accused person.</w:t>
      </w:r>
    </w:p>
    <w:p>
      <w:pPr>
        <w:pStyle w:val="Footnotesection"/>
      </w:pPr>
      <w:r>
        <w:tab/>
        <w:t>[Section 490 inserted: No. 16 of 2010 s. 5.]</w:t>
      </w:r>
    </w:p>
    <w:p>
      <w:pPr>
        <w:pStyle w:val="Heading5"/>
      </w:pPr>
      <w:bookmarkStart w:id="616" w:name="_Toc88662460"/>
      <w:r>
        <w:rPr>
          <w:rStyle w:val="CharSectno"/>
        </w:rPr>
        <w:t>491</w:t>
      </w:r>
      <w:r>
        <w:t>.</w:t>
      </w:r>
      <w:r>
        <w:tab/>
        <w:t>Possessing identification material with intent to commit indictable offence</w:t>
      </w:r>
      <w:bookmarkEnd w:id="616"/>
    </w:p>
    <w:p>
      <w:pPr>
        <w:pStyle w:val="Subsection"/>
      </w:pPr>
      <w:r>
        <w:tab/>
        <w:t>(1)</w:t>
      </w:r>
      <w:r>
        <w:tab/>
        <w:t>A person who is in possession of identification material with the intention that the material will be used, by the person or some other person, to commit an indictable offence or to facilitate the commission of an indictable offence is guilty of a crime and is liable to imprisonment for 5 years.</w:t>
      </w:r>
    </w:p>
    <w:p>
      <w:pPr>
        <w:pStyle w:val="Penstart"/>
      </w:pPr>
      <w:r>
        <w:tab/>
        <w:t>Summary conviction penalty: imprisonment for 24 months and a fine of $24 000.</w:t>
      </w:r>
    </w:p>
    <w:p>
      <w:pPr>
        <w:pStyle w:val="Subsection"/>
      </w:pPr>
      <w:r>
        <w:tab/>
        <w:t>(2)</w:t>
      </w:r>
      <w:r>
        <w:tab/>
        <w:t>For the purposes of subsection (1), it does not matter that it is impossible in fact to commit the indictable offence.</w:t>
      </w:r>
    </w:p>
    <w:p>
      <w:pPr>
        <w:pStyle w:val="Subsection"/>
      </w:pPr>
      <w:r>
        <w:tab/>
        <w:t>(3)</w:t>
      </w:r>
      <w:r>
        <w:tab/>
        <w:t>It is not a defence to a charge of an offence under subsection (1) involving identification material relating to a person other than the accused person that the other person consented to the possession of the identification material by the accused person.</w:t>
      </w:r>
    </w:p>
    <w:p>
      <w:pPr>
        <w:pStyle w:val="Footnotesection"/>
      </w:pPr>
      <w:r>
        <w:tab/>
        <w:t>[Section 491 inserted: No. 16 of 2010 s. 5.]</w:t>
      </w:r>
    </w:p>
    <w:p>
      <w:pPr>
        <w:pStyle w:val="Heading5"/>
        <w:spacing w:before="180"/>
      </w:pPr>
      <w:bookmarkStart w:id="617" w:name="_Toc88662461"/>
      <w:r>
        <w:rPr>
          <w:rStyle w:val="CharSectno"/>
        </w:rPr>
        <w:t>492</w:t>
      </w:r>
      <w:r>
        <w:t>.</w:t>
      </w:r>
      <w:r>
        <w:tab/>
        <w:t>Possessing identification equipment with intent that it be used to commit indictable offence</w:t>
      </w:r>
      <w:bookmarkEnd w:id="617"/>
    </w:p>
    <w:p>
      <w:pPr>
        <w:pStyle w:val="Subsection"/>
      </w:pPr>
      <w:r>
        <w:tab/>
        <w:t>(1)</w:t>
      </w:r>
      <w:r>
        <w:tab/>
        <w:t xml:space="preserve">In this section — </w:t>
      </w:r>
    </w:p>
    <w:p>
      <w:pPr>
        <w:pStyle w:val="Defstart"/>
      </w:pPr>
      <w:r>
        <w:tab/>
      </w:r>
      <w:r>
        <w:rPr>
          <w:rStyle w:val="CharDefText"/>
        </w:rPr>
        <w:t>identification equipment</w:t>
      </w:r>
      <w:r>
        <w:t xml:space="preserve"> means any thing capable of being used to make, use, supply or retain identification material.</w:t>
      </w:r>
    </w:p>
    <w:p>
      <w:pPr>
        <w:pStyle w:val="Subsection"/>
      </w:pPr>
      <w:r>
        <w:tab/>
        <w:t>(2)</w:t>
      </w:r>
      <w:r>
        <w:tab/>
        <w:t xml:space="preserve">A person who is in possession of identification equipment with the intention that the equipment will be used, by the person or some other person, to commit an indictable offence or to </w:t>
      </w:r>
      <w:r>
        <w:lastRenderedPageBreak/>
        <w:t>facilitate the commission of an indictable offence is guilty of a crime and is liable to imprisonment for 5 years.</w:t>
      </w:r>
    </w:p>
    <w:p>
      <w:pPr>
        <w:pStyle w:val="Penstart"/>
      </w:pPr>
      <w:r>
        <w:tab/>
        <w:t>Summary conviction penalty: imprisonment for 24 months and a fine of $24 000.</w:t>
      </w:r>
    </w:p>
    <w:p>
      <w:pPr>
        <w:pStyle w:val="Subsection"/>
        <w:spacing w:before="120"/>
      </w:pPr>
      <w:r>
        <w:tab/>
        <w:t>(3)</w:t>
      </w:r>
      <w:r>
        <w:tab/>
        <w:t>For the purposes of subsection (2), it does not matter that it is impossible in fact to commit the indictable offence.</w:t>
      </w:r>
    </w:p>
    <w:p>
      <w:pPr>
        <w:pStyle w:val="Footnotesection"/>
      </w:pPr>
      <w:r>
        <w:tab/>
        <w:t>[Section 492 inserted: No. 16 of 2010 s. 5.]</w:t>
      </w:r>
    </w:p>
    <w:p>
      <w:pPr>
        <w:pStyle w:val="Heading5"/>
        <w:spacing w:before="180"/>
      </w:pPr>
      <w:bookmarkStart w:id="618" w:name="_Toc88662462"/>
      <w:r>
        <w:rPr>
          <w:rStyle w:val="CharSectno"/>
        </w:rPr>
        <w:t>493</w:t>
      </w:r>
      <w:r>
        <w:t>.</w:t>
      </w:r>
      <w:r>
        <w:tab/>
        <w:t>Attempt offences do not apply</w:t>
      </w:r>
      <w:bookmarkEnd w:id="618"/>
    </w:p>
    <w:p>
      <w:pPr>
        <w:pStyle w:val="Subsection"/>
        <w:spacing w:before="120"/>
      </w:pPr>
      <w:r>
        <w:tab/>
      </w:r>
      <w:r>
        <w:tab/>
        <w:t>Section 552(1) does not apply to an offence against section 490, 491 or 492.</w:t>
      </w:r>
    </w:p>
    <w:p>
      <w:pPr>
        <w:pStyle w:val="Footnotesection"/>
      </w:pPr>
      <w:r>
        <w:tab/>
        <w:t>[Section 493 inserted: No. 16 of 2010 s. 5.]</w:t>
      </w:r>
    </w:p>
    <w:p>
      <w:pPr>
        <w:pStyle w:val="Heading5"/>
      </w:pPr>
      <w:bookmarkStart w:id="619" w:name="_Toc88662463"/>
      <w:r>
        <w:rPr>
          <w:rStyle w:val="CharSectno"/>
        </w:rPr>
        <w:t>494</w:t>
      </w:r>
      <w:r>
        <w:t>.</w:t>
      </w:r>
      <w:r>
        <w:tab/>
        <w:t>Court may grant certificate to victim of identity offence</w:t>
      </w:r>
      <w:bookmarkEnd w:id="619"/>
    </w:p>
    <w:p>
      <w:pPr>
        <w:pStyle w:val="Subsection"/>
      </w:pPr>
      <w:r>
        <w:tab/>
        <w:t>(1)</w:t>
      </w:r>
      <w:r>
        <w:tab/>
        <w:t xml:space="preserve">In this section — </w:t>
      </w:r>
    </w:p>
    <w:p>
      <w:pPr>
        <w:pStyle w:val="Defstart"/>
      </w:pPr>
      <w:r>
        <w:tab/>
      </w:r>
      <w:r>
        <w:rPr>
          <w:rStyle w:val="CharDefText"/>
        </w:rPr>
        <w:t>identification material</w:t>
      </w:r>
      <w:r>
        <w:t>, of a victim, means identification material relating to the victim;</w:t>
      </w:r>
    </w:p>
    <w:p>
      <w:pPr>
        <w:pStyle w:val="Defstart"/>
      </w:pPr>
      <w:r>
        <w:tab/>
      </w:r>
      <w:r>
        <w:rPr>
          <w:rStyle w:val="CharDefText"/>
        </w:rPr>
        <w:t>identity offence</w:t>
      </w:r>
      <w:r>
        <w:t xml:space="preserve"> means an offence against this Division;</w:t>
      </w:r>
    </w:p>
    <w:p>
      <w:pPr>
        <w:pStyle w:val="Defstart"/>
      </w:pPr>
      <w:r>
        <w:tab/>
      </w:r>
      <w:r>
        <w:rPr>
          <w:rStyle w:val="CharDefText"/>
        </w:rPr>
        <w:t>victim</w:t>
      </w:r>
      <w:r>
        <w:t>, of an identity offence, means a person whose identification material has been used, without the person’s consent, in connection with the commission of the offence.</w:t>
      </w:r>
    </w:p>
    <w:p>
      <w:pPr>
        <w:pStyle w:val="Subsection"/>
      </w:pPr>
      <w:r>
        <w:tab/>
        <w:t>(2)</w:t>
      </w:r>
      <w:r>
        <w:tab/>
        <w:t xml:space="preserve">If a court convicts a person of an identity offence, the court may issue a certificate to a victim of the offence setting out — </w:t>
      </w:r>
    </w:p>
    <w:p>
      <w:pPr>
        <w:pStyle w:val="Indenta"/>
      </w:pPr>
      <w:r>
        <w:tab/>
        <w:t>(a)</w:t>
      </w:r>
      <w:r>
        <w:tab/>
        <w:t>the identity offence to which the certificate relates; and</w:t>
      </w:r>
    </w:p>
    <w:p>
      <w:pPr>
        <w:pStyle w:val="Indenta"/>
      </w:pPr>
      <w:r>
        <w:tab/>
        <w:t>(b)</w:t>
      </w:r>
      <w:r>
        <w:tab/>
        <w:t>the name of the victim; and</w:t>
      </w:r>
    </w:p>
    <w:p>
      <w:pPr>
        <w:pStyle w:val="Indenta"/>
      </w:pPr>
      <w:r>
        <w:tab/>
        <w:t>(c)</w:t>
      </w:r>
      <w:r>
        <w:tab/>
        <w:t>any matter prescribed by regulations made under subsection (7); and</w:t>
      </w:r>
    </w:p>
    <w:p>
      <w:pPr>
        <w:pStyle w:val="Indenta"/>
      </w:pPr>
      <w:r>
        <w:tab/>
        <w:t>(d)</w:t>
      </w:r>
      <w:r>
        <w:tab/>
        <w:t>any other matter the court considers relevant.</w:t>
      </w:r>
    </w:p>
    <w:p>
      <w:pPr>
        <w:pStyle w:val="Subsection"/>
        <w:keepNext/>
      </w:pPr>
      <w:r>
        <w:lastRenderedPageBreak/>
        <w:tab/>
        <w:t>(3)</w:t>
      </w:r>
      <w:r>
        <w:tab/>
        <w:t>The court may issue the certificate on its own initiative or on an application made by the prosecutor or the victim.</w:t>
      </w:r>
    </w:p>
    <w:p>
      <w:pPr>
        <w:pStyle w:val="Subsection"/>
      </w:pPr>
      <w:r>
        <w:tab/>
        <w:t>(4)</w:t>
      </w:r>
      <w:r>
        <w:tab/>
        <w:t xml:space="preserve">Unless the offender is convicted of the identity offence on a plea of guilty, the certificate must not be issued to the victim until — </w:t>
      </w:r>
    </w:p>
    <w:p>
      <w:pPr>
        <w:pStyle w:val="Indenta"/>
      </w:pPr>
      <w:r>
        <w:tab/>
        <w:t>(a)</w:t>
      </w:r>
      <w:r>
        <w:tab/>
        <w:t>the end of any period allowed for an appeal against conviction; or</w:t>
      </w:r>
    </w:p>
    <w:p>
      <w:pPr>
        <w:pStyle w:val="Indenta"/>
      </w:pPr>
      <w:r>
        <w:tab/>
        <w:t>(b)</w:t>
      </w:r>
      <w:r>
        <w:tab/>
        <w:t>if an appeal is commenced — the end of any proceedings on the appeal.</w:t>
      </w:r>
    </w:p>
    <w:p>
      <w:pPr>
        <w:pStyle w:val="Subsection"/>
      </w:pPr>
      <w:r>
        <w:tab/>
        <w:t>(5)</w:t>
      </w:r>
      <w:r>
        <w:tab/>
        <w:t>A certificate issued under this section is, in the absence of evidence to the contrary, evidence of its contents.</w:t>
      </w:r>
    </w:p>
    <w:p>
      <w:pPr>
        <w:pStyle w:val="Subsection"/>
      </w:pPr>
      <w:r>
        <w:tab/>
        <w:t>(6)</w:t>
      </w:r>
      <w:r>
        <w:tab/>
      </w:r>
      <w:r>
        <w:rPr>
          <w:szCs w:val="22"/>
        </w:rPr>
        <w:t>A court, for good reason and either on its own initiative or on an application made by the prosecutor, may cancel a certificate it has issued under this section.</w:t>
      </w:r>
    </w:p>
    <w:p>
      <w:pPr>
        <w:pStyle w:val="Subsection"/>
        <w:keepNext/>
      </w:pPr>
      <w:r>
        <w:tab/>
        <w:t>(7)</w:t>
      </w:r>
      <w:r>
        <w:tab/>
        <w:t>The Governor may make regulations providing for any matter to be set out in certificates issued under this section.</w:t>
      </w:r>
    </w:p>
    <w:p>
      <w:pPr>
        <w:pStyle w:val="Footnotesection"/>
      </w:pPr>
      <w:r>
        <w:tab/>
        <w:t>[Section 494 inserted: No. 16 of 2010 s. 5.]</w:t>
      </w:r>
    </w:p>
    <w:p>
      <w:pPr>
        <w:pStyle w:val="Ednotesection"/>
      </w:pPr>
      <w:r>
        <w:t>[</w:t>
      </w:r>
      <w:r>
        <w:rPr>
          <w:b/>
        </w:rPr>
        <w:t>495.</w:t>
      </w:r>
      <w:r>
        <w:tab/>
        <w:t>Deleted: No. 101 of 1990 s. 42.]</w:t>
      </w:r>
    </w:p>
    <w:p>
      <w:pPr>
        <w:pStyle w:val="Ednotedivision"/>
      </w:pPr>
      <w:r>
        <w:t>[Chapter LII (s. 496</w:t>
      </w:r>
      <w:r>
        <w:noBreakHyphen/>
        <w:t>509) deleted: No. 101 of 1990 s. 42.]</w:t>
      </w:r>
    </w:p>
    <w:p>
      <w:pPr>
        <w:pStyle w:val="Heading3"/>
        <w:rPr>
          <w:snapToGrid w:val="0"/>
        </w:rPr>
      </w:pPr>
      <w:bookmarkStart w:id="620" w:name="_Toc88570021"/>
      <w:bookmarkStart w:id="621" w:name="_Toc88570543"/>
      <w:bookmarkStart w:id="622" w:name="_Toc88571065"/>
      <w:bookmarkStart w:id="623" w:name="_Toc88662464"/>
      <w:r>
        <w:rPr>
          <w:rStyle w:val="CharDivNo"/>
        </w:rPr>
        <w:t>Chapter LIII</w:t>
      </w:r>
      <w:r>
        <w:rPr>
          <w:snapToGrid w:val="0"/>
        </w:rPr>
        <w:t> — </w:t>
      </w:r>
      <w:r>
        <w:rPr>
          <w:rStyle w:val="CharDivText"/>
        </w:rPr>
        <w:t>Personation</w:t>
      </w:r>
      <w:bookmarkEnd w:id="620"/>
      <w:bookmarkEnd w:id="621"/>
      <w:bookmarkEnd w:id="622"/>
      <w:bookmarkEnd w:id="623"/>
    </w:p>
    <w:p>
      <w:pPr>
        <w:pStyle w:val="Heading5"/>
        <w:rPr>
          <w:snapToGrid w:val="0"/>
        </w:rPr>
      </w:pPr>
      <w:bookmarkStart w:id="624" w:name="_Toc88662465"/>
      <w:r>
        <w:rPr>
          <w:rStyle w:val="CharSectno"/>
        </w:rPr>
        <w:t>510</w:t>
      </w:r>
      <w:r>
        <w:rPr>
          <w:snapToGrid w:val="0"/>
        </w:rPr>
        <w:t>.</w:t>
      </w:r>
      <w:r>
        <w:rPr>
          <w:snapToGrid w:val="0"/>
        </w:rPr>
        <w:tab/>
        <w:t>Personation in general</w:t>
      </w:r>
      <w:bookmarkEnd w:id="624"/>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keepNext/>
        <w:rPr>
          <w:snapToGrid w:val="0"/>
        </w:rPr>
      </w:pPr>
      <w:r>
        <w:rPr>
          <w:snapToGrid w:val="0"/>
        </w:rPr>
        <w:tab/>
      </w:r>
      <w:r>
        <w:rPr>
          <w:snapToGrid w:val="0"/>
        </w:rPr>
        <w:tab/>
        <w:t xml:space="preserve">If the representation is that the offender is a person entitled by will or operation of law to any specific property, and he commits the offence with intent to obtain such property, or </w:t>
      </w:r>
      <w:r>
        <w:rPr>
          <w:snapToGrid w:val="0"/>
        </w:rPr>
        <w:lastRenderedPageBreak/>
        <w:t>possession thereof, he is guilty of a crime, and is liable to imprisonment for 14 years.</w:t>
      </w:r>
    </w:p>
    <w:p>
      <w:pPr>
        <w:pStyle w:val="Footnotesection"/>
        <w:spacing w:before="80"/>
        <w:ind w:left="890" w:hanging="890"/>
      </w:pPr>
      <w:r>
        <w:tab/>
        <w:t>[Section 510 amended: No. 51 of 1992 s. 16(2); No. 70 of 2004 s. 34(1).]</w:t>
      </w:r>
    </w:p>
    <w:p>
      <w:pPr>
        <w:pStyle w:val="Heading5"/>
        <w:spacing w:before="180"/>
        <w:rPr>
          <w:snapToGrid w:val="0"/>
        </w:rPr>
      </w:pPr>
      <w:bookmarkStart w:id="625" w:name="_Toc88662466"/>
      <w:r>
        <w:rPr>
          <w:rStyle w:val="CharSectno"/>
        </w:rPr>
        <w:t>511</w:t>
      </w:r>
      <w:r>
        <w:rPr>
          <w:snapToGrid w:val="0"/>
        </w:rPr>
        <w:t>.</w:t>
      </w:r>
      <w:r>
        <w:rPr>
          <w:snapToGrid w:val="0"/>
        </w:rPr>
        <w:tab/>
        <w:t>Personating owner of shares</w:t>
      </w:r>
      <w:bookmarkEnd w:id="625"/>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No. 118 of 1981 s. 4; No. 10 of 1982 s. 28; No. 51 of 1992 s. 16(2).]</w:t>
      </w:r>
    </w:p>
    <w:p>
      <w:pPr>
        <w:pStyle w:val="Heading5"/>
        <w:spacing w:before="180"/>
        <w:rPr>
          <w:snapToGrid w:val="0"/>
        </w:rPr>
      </w:pPr>
      <w:bookmarkStart w:id="626" w:name="_Toc88662467"/>
      <w:r>
        <w:rPr>
          <w:rStyle w:val="CharSectno"/>
        </w:rPr>
        <w:t>512</w:t>
      </w:r>
      <w:r>
        <w:rPr>
          <w:snapToGrid w:val="0"/>
        </w:rPr>
        <w:t>.</w:t>
      </w:r>
      <w:r>
        <w:rPr>
          <w:snapToGrid w:val="0"/>
        </w:rPr>
        <w:tab/>
        <w:t>Falsely acknowledging liability etc. of another</w:t>
      </w:r>
      <w:bookmarkEnd w:id="626"/>
    </w:p>
    <w:p>
      <w:pPr>
        <w:pStyle w:val="Subsection"/>
        <w:spacing w:before="180"/>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spacing w:before="120"/>
      </w:pPr>
      <w:r>
        <w:tab/>
        <w:t>Summary conviction penalty: imprisonment for 2 years and a fine of $24 000.</w:t>
      </w:r>
    </w:p>
    <w:p>
      <w:pPr>
        <w:pStyle w:val="Footnotesection"/>
        <w:spacing w:before="140"/>
        <w:ind w:left="890" w:hanging="890"/>
      </w:pPr>
      <w:r>
        <w:tab/>
        <w:t>[Section 512 amended: No. 51 of 1992 s. 16(2); No. 36 of 1996 s. 27; No. 70 of 2004 s. 35(2).]</w:t>
      </w:r>
    </w:p>
    <w:p>
      <w:pPr>
        <w:pStyle w:val="Heading5"/>
        <w:spacing w:before="240"/>
        <w:rPr>
          <w:snapToGrid w:val="0"/>
        </w:rPr>
      </w:pPr>
      <w:bookmarkStart w:id="627" w:name="_Toc88662468"/>
      <w:r>
        <w:rPr>
          <w:rStyle w:val="CharSectno"/>
        </w:rPr>
        <w:t>513</w:t>
      </w:r>
      <w:r>
        <w:rPr>
          <w:snapToGrid w:val="0"/>
        </w:rPr>
        <w:t>.</w:t>
      </w:r>
      <w:r>
        <w:rPr>
          <w:snapToGrid w:val="0"/>
        </w:rPr>
        <w:tab/>
        <w:t>Uttering qualification etc. of another</w:t>
      </w:r>
      <w:bookmarkEnd w:id="627"/>
    </w:p>
    <w:p>
      <w:pPr>
        <w:pStyle w:val="Subsection"/>
        <w:spacing w:before="180"/>
        <w:rPr>
          <w:snapToGrid w:val="0"/>
        </w:rPr>
      </w:pPr>
      <w:r>
        <w:rPr>
          <w:snapToGrid w:val="0"/>
        </w:rPr>
        <w:tab/>
      </w:r>
      <w:r>
        <w:rPr>
          <w:snapToGrid w:val="0"/>
        </w:rPr>
        <w:tab/>
        <w:t xml:space="preserve">Any person who utters any document which has been issued by lawful authority to another person, and whereby that other person is certified to be a person possessed of any qualification recognised by law for any purpose, or to be the holder of any </w:t>
      </w:r>
      <w:r>
        <w:rPr>
          <w:snapToGrid w:val="0"/>
        </w:rPr>
        <w:lastRenderedPageBreak/>
        <w:t>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keepLines w:val="0"/>
        <w:spacing w:before="260"/>
        <w:rPr>
          <w:snapToGrid w:val="0"/>
        </w:rPr>
      </w:pPr>
      <w:bookmarkStart w:id="628" w:name="_Toc88662469"/>
      <w:r>
        <w:rPr>
          <w:rStyle w:val="CharSectno"/>
        </w:rPr>
        <w:t>514</w:t>
      </w:r>
      <w:r>
        <w:rPr>
          <w:snapToGrid w:val="0"/>
        </w:rPr>
        <w:t>.</w:t>
      </w:r>
      <w:r>
        <w:rPr>
          <w:snapToGrid w:val="0"/>
        </w:rPr>
        <w:tab/>
        <w:t>Lending qualification etc. to another with intent it be used for personation</w:t>
      </w:r>
      <w:bookmarkEnd w:id="628"/>
    </w:p>
    <w:p>
      <w:pPr>
        <w:pStyle w:val="Subsection"/>
        <w:spacing w:before="200"/>
        <w:rPr>
          <w:snapToGrid w:val="0"/>
        </w:rPr>
      </w:pPr>
      <w:r>
        <w:rPr>
          <w:snapToGrid w:val="0"/>
        </w:rPr>
        <w:tab/>
      </w:r>
      <w:r>
        <w:rPr>
          <w:snapToGrid w:val="0"/>
        </w:rPr>
        <w:tab/>
        <w:t>Any person who, being a person to whom any document has been issued by lawful authority, whereby he is certified to be a person possessed of any qualification recognised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No. 51 of 1992 s. 16(2); No. 36 of 1996 s. 28; No. 70 of 2004 s. 34(1) and 35(11).]</w:t>
      </w:r>
    </w:p>
    <w:p>
      <w:pPr>
        <w:pStyle w:val="Heading3"/>
        <w:keepLines/>
        <w:rPr>
          <w:snapToGrid w:val="0"/>
        </w:rPr>
      </w:pPr>
      <w:bookmarkStart w:id="629" w:name="_Toc88570027"/>
      <w:bookmarkStart w:id="630" w:name="_Toc88570549"/>
      <w:bookmarkStart w:id="631" w:name="_Toc88571071"/>
      <w:bookmarkStart w:id="632" w:name="_Toc88662470"/>
      <w:r>
        <w:rPr>
          <w:snapToGrid w:val="0"/>
        </w:rPr>
        <w:t>Division IV — Offences connected with trade and breach of contract, and corruption of agents, trustees, and others</w:t>
      </w:r>
      <w:bookmarkEnd w:id="629"/>
      <w:bookmarkEnd w:id="630"/>
      <w:bookmarkEnd w:id="631"/>
      <w:bookmarkEnd w:id="632"/>
    </w:p>
    <w:p>
      <w:pPr>
        <w:pStyle w:val="Heading3"/>
        <w:rPr>
          <w:snapToGrid w:val="0"/>
        </w:rPr>
      </w:pPr>
      <w:bookmarkStart w:id="633" w:name="_Toc88570028"/>
      <w:bookmarkStart w:id="634" w:name="_Toc88570550"/>
      <w:bookmarkStart w:id="635" w:name="_Toc88571072"/>
      <w:bookmarkStart w:id="636" w:name="_Toc88662471"/>
      <w:r>
        <w:rPr>
          <w:rStyle w:val="CharDivNo"/>
        </w:rPr>
        <w:t>Chapter LIV</w:t>
      </w:r>
      <w:r>
        <w:rPr>
          <w:snapToGrid w:val="0"/>
        </w:rPr>
        <w:t> — </w:t>
      </w:r>
      <w:r>
        <w:rPr>
          <w:rStyle w:val="CharDivText"/>
        </w:rPr>
        <w:t>Fraudulent debtors</w:t>
      </w:r>
      <w:bookmarkEnd w:id="633"/>
      <w:bookmarkEnd w:id="634"/>
      <w:bookmarkEnd w:id="635"/>
      <w:bookmarkEnd w:id="636"/>
    </w:p>
    <w:p>
      <w:pPr>
        <w:pStyle w:val="Ednotesection"/>
        <w:keepNext/>
        <w:keepLines/>
      </w:pPr>
      <w:r>
        <w:t>[</w:t>
      </w:r>
      <w:r>
        <w:rPr>
          <w:b/>
        </w:rPr>
        <w:t>515</w:t>
      </w:r>
      <w:r>
        <w:rPr>
          <w:b/>
        </w:rPr>
        <w:noBreakHyphen/>
        <w:t>526.</w:t>
      </w:r>
      <w:r>
        <w:tab/>
        <w:t>Deleted: No. 51 of 1992 s. 11.]</w:t>
      </w:r>
    </w:p>
    <w:p>
      <w:pPr>
        <w:pStyle w:val="Heading5"/>
        <w:rPr>
          <w:snapToGrid w:val="0"/>
        </w:rPr>
      </w:pPr>
      <w:bookmarkStart w:id="637" w:name="_Toc88662472"/>
      <w:r>
        <w:rPr>
          <w:rStyle w:val="CharSectno"/>
        </w:rPr>
        <w:t>527</w:t>
      </w:r>
      <w:r>
        <w:rPr>
          <w:snapToGrid w:val="0"/>
        </w:rPr>
        <w:t>.</w:t>
      </w:r>
      <w:r>
        <w:rPr>
          <w:snapToGrid w:val="0"/>
        </w:rPr>
        <w:tab/>
        <w:t>Fraudulent dealing by judgment debtor</w:t>
      </w:r>
      <w:bookmarkEnd w:id="637"/>
    </w:p>
    <w:p>
      <w:pPr>
        <w:pStyle w:val="Subsection"/>
      </w:pPr>
      <w:r>
        <w:tab/>
        <w:t>(1)</w:t>
      </w:r>
      <w:r>
        <w:tab/>
        <w:t>Any person who, with intent to defraud the person’s creditors or any of them, conceals or removes any property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lastRenderedPageBreak/>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keepNext/>
      </w:pPr>
      <w:r>
        <w:tab/>
        <w:t>(2)</w:t>
      </w:r>
      <w:r>
        <w:tab/>
        <w:t>If the value of the property concealed or removed is more than $50 000 the charge is not to be dealt with summarily.</w:t>
      </w:r>
    </w:p>
    <w:p>
      <w:pPr>
        <w:pStyle w:val="Footnotesection"/>
      </w:pPr>
      <w:r>
        <w:tab/>
        <w:t>[Section 527 inserted: No. 51 of 1992 s. 12; amended: No. 36 of 1996 s. 29; No. 70 of 2004 s. 35(12); No. 28 of 2018 s. 11.]</w:t>
      </w:r>
    </w:p>
    <w:p>
      <w:pPr>
        <w:pStyle w:val="Ednotesection"/>
      </w:pPr>
      <w:r>
        <w:t>[</w:t>
      </w:r>
      <w:r>
        <w:rPr>
          <w:b/>
        </w:rPr>
        <w:t>528.</w:t>
      </w:r>
      <w:r>
        <w:rPr>
          <w:b/>
        </w:rPr>
        <w:tab/>
      </w:r>
      <w:r>
        <w:t>Deleted: No. 51 of 1992 s. 11.]</w:t>
      </w:r>
    </w:p>
    <w:p>
      <w:pPr>
        <w:pStyle w:val="Heading3"/>
        <w:rPr>
          <w:snapToGrid w:val="0"/>
        </w:rPr>
      </w:pPr>
      <w:bookmarkStart w:id="638" w:name="_Toc88570030"/>
      <w:bookmarkStart w:id="639" w:name="_Toc88570552"/>
      <w:bookmarkStart w:id="640" w:name="_Toc88571074"/>
      <w:bookmarkStart w:id="641" w:name="_Toc88662473"/>
      <w:r>
        <w:rPr>
          <w:rStyle w:val="CharDivNo"/>
        </w:rPr>
        <w:t>Chapter LV</w:t>
      </w:r>
      <w:r>
        <w:rPr>
          <w:snapToGrid w:val="0"/>
        </w:rPr>
        <w:t> — </w:t>
      </w:r>
      <w:r>
        <w:rPr>
          <w:rStyle w:val="CharDivText"/>
        </w:rPr>
        <w:t>Corruption of agents, trustees, and others in whom confidence is reposed</w:t>
      </w:r>
      <w:bookmarkEnd w:id="638"/>
      <w:bookmarkEnd w:id="639"/>
      <w:bookmarkEnd w:id="640"/>
      <w:bookmarkEnd w:id="641"/>
    </w:p>
    <w:p>
      <w:pPr>
        <w:pStyle w:val="Heading5"/>
        <w:rPr>
          <w:snapToGrid w:val="0"/>
        </w:rPr>
      </w:pPr>
      <w:bookmarkStart w:id="642" w:name="_Toc88662474"/>
      <w:r>
        <w:rPr>
          <w:rStyle w:val="CharSectno"/>
        </w:rPr>
        <w:t>529</w:t>
      </w:r>
      <w:r>
        <w:rPr>
          <w:snapToGrid w:val="0"/>
        </w:rPr>
        <w:t>.</w:t>
      </w:r>
      <w:r>
        <w:rPr>
          <w:snapToGrid w:val="0"/>
        </w:rPr>
        <w:tab/>
        <w:t>Agent corruptly receiving or soliciting reward etc.</w:t>
      </w:r>
      <w:bookmarkEnd w:id="642"/>
    </w:p>
    <w:p>
      <w:pPr>
        <w:pStyle w:val="Subsection"/>
        <w:rPr>
          <w:snapToGrid w:val="0"/>
        </w:rPr>
      </w:pPr>
      <w:r>
        <w:rPr>
          <w:snapToGrid w:val="0"/>
        </w:rPr>
        <w:tab/>
      </w:r>
      <w:r>
        <w:rPr>
          <w:snapToGrid w:val="0"/>
        </w:rPr>
        <w:tab/>
        <w:t>If any agent corruptly receives or solicits from any person, for himself or for any other person,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[Section 529 amended: No. 101 of 1990 s. 43.]</w:t>
      </w:r>
    </w:p>
    <w:p>
      <w:pPr>
        <w:pStyle w:val="Heading5"/>
        <w:rPr>
          <w:snapToGrid w:val="0"/>
        </w:rPr>
      </w:pPr>
      <w:bookmarkStart w:id="643" w:name="_Toc88662475"/>
      <w:r>
        <w:rPr>
          <w:rStyle w:val="CharSectno"/>
        </w:rPr>
        <w:lastRenderedPageBreak/>
        <w:t>530</w:t>
      </w:r>
      <w:r>
        <w:rPr>
          <w:snapToGrid w:val="0"/>
        </w:rPr>
        <w:t>.</w:t>
      </w:r>
      <w:r>
        <w:rPr>
          <w:snapToGrid w:val="0"/>
        </w:rPr>
        <w:tab/>
        <w:t>Corruptly giving or offering agent reward etc.</w:t>
      </w:r>
      <w:bookmarkEnd w:id="643"/>
    </w:p>
    <w:p>
      <w:pPr>
        <w:pStyle w:val="Subsection"/>
        <w:keepNext/>
        <w:rPr>
          <w:snapToGrid w:val="0"/>
        </w:rPr>
      </w:pPr>
      <w:r>
        <w:rPr>
          <w:snapToGrid w:val="0"/>
        </w:rPr>
        <w:tab/>
      </w:r>
      <w:r>
        <w:rPr>
          <w:snapToGrid w:val="0"/>
        </w:rPr>
        <w:tab/>
        <w:t>If any person corruptly gives or offers to any agent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[Section 530 amended: No. 101 of 1990 s. 43.]</w:t>
      </w:r>
    </w:p>
    <w:p>
      <w:pPr>
        <w:pStyle w:val="Heading5"/>
        <w:spacing w:before="240"/>
        <w:rPr>
          <w:snapToGrid w:val="0"/>
        </w:rPr>
      </w:pPr>
      <w:bookmarkStart w:id="644" w:name="_Toc88662476"/>
      <w:r>
        <w:rPr>
          <w:rStyle w:val="CharSectno"/>
        </w:rPr>
        <w:t>531</w:t>
      </w:r>
      <w:r>
        <w:rPr>
          <w:snapToGrid w:val="0"/>
        </w:rPr>
        <w:t>.</w:t>
      </w:r>
      <w:r>
        <w:rPr>
          <w:snapToGrid w:val="0"/>
        </w:rPr>
        <w:tab/>
        <w:t>Gift to agent’s parent etc. deemed gift to agent</w:t>
      </w:r>
      <w:bookmarkEnd w:id="644"/>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No. 28 of 2003 s. 33.]</w:t>
      </w:r>
    </w:p>
    <w:p>
      <w:pPr>
        <w:pStyle w:val="Heading5"/>
        <w:rPr>
          <w:snapToGrid w:val="0"/>
        </w:rPr>
      </w:pPr>
      <w:bookmarkStart w:id="645" w:name="_Toc88662477"/>
      <w:r>
        <w:rPr>
          <w:rStyle w:val="CharSectno"/>
        </w:rPr>
        <w:lastRenderedPageBreak/>
        <w:t>532</w:t>
      </w:r>
      <w:r>
        <w:rPr>
          <w:snapToGrid w:val="0"/>
        </w:rPr>
        <w:t>.</w:t>
      </w:r>
      <w:r>
        <w:rPr>
          <w:snapToGrid w:val="0"/>
        </w:rPr>
        <w:tab/>
        <w:t>Giving agent, or agent using, false receipt etc. with intent to defraud principal</w:t>
      </w:r>
      <w:bookmarkEnd w:id="645"/>
    </w:p>
    <w:p>
      <w:pPr>
        <w:pStyle w:val="Subsection"/>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[Section 532 amended: No. 101 of 1990 s. 43.]</w:t>
      </w:r>
    </w:p>
    <w:p>
      <w:pPr>
        <w:pStyle w:val="Heading5"/>
        <w:rPr>
          <w:snapToGrid w:val="0"/>
        </w:rPr>
      </w:pPr>
      <w:bookmarkStart w:id="646" w:name="_Toc88662478"/>
      <w:r>
        <w:rPr>
          <w:rStyle w:val="CharSectno"/>
        </w:rPr>
        <w:t>533</w:t>
      </w:r>
      <w:r>
        <w:rPr>
          <w:snapToGrid w:val="0"/>
        </w:rPr>
        <w:t>.</w:t>
      </w:r>
      <w:r>
        <w:rPr>
          <w:snapToGrid w:val="0"/>
        </w:rPr>
        <w:tab/>
        <w:t>Secret commission given by third party to person advising another to contract with third party etc.</w:t>
      </w:r>
      <w:bookmarkEnd w:id="646"/>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 xml:space="preserve">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w:t>
      </w:r>
      <w:r>
        <w:rPr>
          <w:snapToGrid w:val="0"/>
        </w:rPr>
        <w:lastRenderedPageBreak/>
        <w:t>agent of such third person, or when the valuable consideration was not given in respect of such advice.</w:t>
      </w:r>
    </w:p>
    <w:p>
      <w:pPr>
        <w:pStyle w:val="Footnotesection"/>
      </w:pPr>
      <w:r>
        <w:tab/>
        <w:t>[Section 533 amended: No. 101 of 1990 s. 43.]</w:t>
      </w:r>
    </w:p>
    <w:p>
      <w:pPr>
        <w:pStyle w:val="Heading5"/>
        <w:spacing w:before="240"/>
        <w:rPr>
          <w:snapToGrid w:val="0"/>
        </w:rPr>
      </w:pPr>
      <w:bookmarkStart w:id="647" w:name="_Toc88662479"/>
      <w:r>
        <w:rPr>
          <w:rStyle w:val="CharSectno"/>
        </w:rPr>
        <w:t>534</w:t>
      </w:r>
      <w:r>
        <w:rPr>
          <w:snapToGrid w:val="0"/>
        </w:rPr>
        <w:t>.</w:t>
      </w:r>
      <w:r>
        <w:rPr>
          <w:snapToGrid w:val="0"/>
        </w:rPr>
        <w:tab/>
        <w:t>Secret commission for advice to another</w:t>
      </w:r>
      <w:bookmarkEnd w:id="647"/>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[Section 534 amended: No. 101 of 1990 s. 43.]</w:t>
      </w:r>
    </w:p>
    <w:p>
      <w:pPr>
        <w:pStyle w:val="Heading5"/>
        <w:spacing w:before="240"/>
        <w:rPr>
          <w:snapToGrid w:val="0"/>
        </w:rPr>
      </w:pPr>
      <w:bookmarkStart w:id="648" w:name="_Toc88662480"/>
      <w:r>
        <w:rPr>
          <w:rStyle w:val="CharSectno"/>
        </w:rPr>
        <w:t>535</w:t>
      </w:r>
      <w:r>
        <w:rPr>
          <w:snapToGrid w:val="0"/>
        </w:rPr>
        <w:t>.</w:t>
      </w:r>
      <w:r>
        <w:rPr>
          <w:snapToGrid w:val="0"/>
        </w:rPr>
        <w:tab/>
        <w:t>Secret commission to trustee for substituted appointment</w:t>
      </w:r>
      <w:bookmarkEnd w:id="648"/>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No. 101 of 1990 s. 43.]</w:t>
      </w:r>
    </w:p>
    <w:p>
      <w:pPr>
        <w:pStyle w:val="Heading5"/>
        <w:spacing w:before="240"/>
        <w:rPr>
          <w:snapToGrid w:val="0"/>
        </w:rPr>
      </w:pPr>
      <w:bookmarkStart w:id="649" w:name="_Toc88662481"/>
      <w:r>
        <w:rPr>
          <w:rStyle w:val="CharSectno"/>
        </w:rPr>
        <w:lastRenderedPageBreak/>
        <w:t>536</w:t>
      </w:r>
      <w:r>
        <w:rPr>
          <w:snapToGrid w:val="0"/>
        </w:rPr>
        <w:t>.</w:t>
      </w:r>
      <w:r>
        <w:rPr>
          <w:snapToGrid w:val="0"/>
        </w:rPr>
        <w:tab/>
        <w:t>Aiding etc. Chapter LV offences within or outside WA</w:t>
      </w:r>
      <w:bookmarkEnd w:id="649"/>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ind w:left="890" w:hanging="890"/>
      </w:pPr>
      <w:r>
        <w:tab/>
        <w:t>[Section 536 amended: No. 101 of 1990 s. 43.]</w:t>
      </w:r>
    </w:p>
    <w:p>
      <w:pPr>
        <w:pStyle w:val="Heading5"/>
        <w:spacing w:before="240"/>
        <w:rPr>
          <w:snapToGrid w:val="0"/>
        </w:rPr>
      </w:pPr>
      <w:bookmarkStart w:id="650" w:name="_Toc88662482"/>
      <w:r>
        <w:rPr>
          <w:rStyle w:val="CharSectno"/>
        </w:rPr>
        <w:t>537</w:t>
      </w:r>
      <w:r>
        <w:rPr>
          <w:snapToGrid w:val="0"/>
        </w:rPr>
        <w:t>.</w:t>
      </w:r>
      <w:r>
        <w:rPr>
          <w:snapToGrid w:val="0"/>
        </w:rPr>
        <w:tab/>
        <w:t>Liability of director etc. acting without authority</w:t>
      </w:r>
      <w:bookmarkEnd w:id="650"/>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No. 101 of 1990 s. 43.]</w:t>
      </w:r>
    </w:p>
    <w:p>
      <w:pPr>
        <w:pStyle w:val="Heading5"/>
        <w:spacing w:before="240"/>
        <w:rPr>
          <w:snapToGrid w:val="0"/>
        </w:rPr>
      </w:pPr>
      <w:bookmarkStart w:id="651" w:name="_Toc88662483"/>
      <w:r>
        <w:rPr>
          <w:rStyle w:val="CharSectno"/>
        </w:rPr>
        <w:t>538</w:t>
      </w:r>
      <w:r>
        <w:rPr>
          <w:snapToGrid w:val="0"/>
        </w:rPr>
        <w:t>.</w:t>
      </w:r>
      <w:r>
        <w:rPr>
          <w:snapToGrid w:val="0"/>
        </w:rPr>
        <w:tab/>
        <w:t>Penalty for Chapter LV offences</w:t>
      </w:r>
      <w:bookmarkEnd w:id="651"/>
    </w:p>
    <w:p>
      <w:pPr>
        <w:pStyle w:val="Subsection"/>
        <w:ind w:left="890" w:hanging="890"/>
        <w:rPr>
          <w:snapToGrid w:val="0"/>
        </w:rPr>
      </w:pPr>
      <w:r>
        <w:rPr>
          <w:snapToGrid w:val="0"/>
        </w:rPr>
        <w:tab/>
      </w:r>
      <w:r>
        <w:rPr>
          <w:snapToGrid w:val="0"/>
        </w:rPr>
        <w:tab/>
        <w:t>Any person, on conviction of a crime under any of the provisions of this Chapter, shall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keepNext/>
        <w:spacing w:before="60"/>
        <w:rPr>
          <w:snapToGrid w:val="0"/>
        </w:rPr>
      </w:pPr>
      <w:r>
        <w:rPr>
          <w:snapToGrid w:val="0"/>
        </w:rPr>
        <w:tab/>
        <w:t>(b)</w:t>
      </w:r>
      <w:r>
        <w:rPr>
          <w:snapToGrid w:val="0"/>
        </w:rPr>
        <w:tab/>
        <w:t xml:space="preserve">in addition, be liable to be ordered to pay to such person, and in such manner as the court directs, the amount or value, according to the estimation of the court, of any valuable consideration received or given by him or any </w:t>
      </w:r>
      <w:r>
        <w:rPr>
          <w:snapToGrid w:val="0"/>
        </w:rPr>
        <w:lastRenderedPageBreak/>
        <w:t>part thereof; and such order shall be enforceable in the same manner as a judgment of the court.</w:t>
      </w:r>
    </w:p>
    <w:p>
      <w:pPr>
        <w:pStyle w:val="Footnotesection"/>
        <w:keepLines w:val="0"/>
        <w:ind w:left="890" w:hanging="890"/>
      </w:pPr>
      <w:r>
        <w:tab/>
        <w:t>[Section 538 amended: No. 113 of 1965 s. 8(1); No. 101 of 1990 s. 43 and 44.]</w:t>
      </w:r>
    </w:p>
    <w:p>
      <w:pPr>
        <w:pStyle w:val="Heading5"/>
        <w:spacing w:before="240"/>
        <w:rPr>
          <w:snapToGrid w:val="0"/>
        </w:rPr>
      </w:pPr>
      <w:bookmarkStart w:id="652" w:name="_Toc88662484"/>
      <w:r>
        <w:rPr>
          <w:rStyle w:val="CharSectno"/>
        </w:rPr>
        <w:t>539</w:t>
      </w:r>
      <w:r>
        <w:rPr>
          <w:snapToGrid w:val="0"/>
        </w:rPr>
        <w:t>.</w:t>
      </w:r>
      <w:r>
        <w:rPr>
          <w:snapToGrid w:val="0"/>
        </w:rPr>
        <w:tab/>
        <w:t>Court may order withdrawal of trifling or technical case</w:t>
      </w:r>
      <w:bookmarkEnd w:id="652"/>
    </w:p>
    <w:p>
      <w:pPr>
        <w:pStyle w:val="Subsection"/>
        <w:rPr>
          <w:snapToGrid w:val="0"/>
        </w:rPr>
      </w:pPr>
      <w:r>
        <w:rPr>
          <w:snapToGrid w:val="0"/>
        </w:rPr>
        <w:tab/>
      </w:r>
      <w:r>
        <w:rPr>
          <w:snapToGrid w:val="0"/>
        </w:rPr>
        <w:tab/>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w:t>
      </w:r>
      <w:r>
        <w:t xml:space="preserve"> section 538.</w:t>
      </w:r>
    </w:p>
    <w:p>
      <w:pPr>
        <w:pStyle w:val="Footnotesection"/>
        <w:keepLines w:val="0"/>
        <w:ind w:left="890" w:hanging="890"/>
      </w:pPr>
      <w:r>
        <w:tab/>
        <w:t>[Section 539 amended: No. 44 of 2009 s. 14.]</w:t>
      </w:r>
    </w:p>
    <w:p>
      <w:pPr>
        <w:pStyle w:val="Heading5"/>
        <w:keepNext w:val="0"/>
        <w:keepLines w:val="0"/>
        <w:spacing w:before="260"/>
        <w:rPr>
          <w:snapToGrid w:val="0"/>
        </w:rPr>
      </w:pPr>
      <w:bookmarkStart w:id="653" w:name="_Toc88662485"/>
      <w:r>
        <w:rPr>
          <w:rStyle w:val="CharSectno"/>
        </w:rPr>
        <w:t>540</w:t>
      </w:r>
      <w:r>
        <w:rPr>
          <w:snapToGrid w:val="0"/>
        </w:rPr>
        <w:t>.</w:t>
      </w:r>
      <w:r>
        <w:rPr>
          <w:snapToGrid w:val="0"/>
        </w:rPr>
        <w:tab/>
        <w:t>Protection of witness giving answers criminating himself</w:t>
      </w:r>
      <w:bookmarkEnd w:id="653"/>
    </w:p>
    <w:p>
      <w:pPr>
        <w:pStyle w:val="Subsection"/>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rPr>
          <w:snapToGrid w:val="0"/>
        </w:rPr>
      </w:pPr>
      <w:r>
        <w:rPr>
          <w:snapToGrid w:val="0"/>
        </w:rPr>
        <w:tab/>
      </w:r>
      <w:r>
        <w:rPr>
          <w:snapToGrid w:val="0"/>
        </w:rPr>
        <w:tab/>
        <w:t>Provided that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rPr>
      </w:pPr>
      <w:r>
        <w:rPr>
          <w:snapToGrid w:val="0"/>
        </w:rPr>
        <w:tab/>
        <w:t>(b)</w:t>
      </w:r>
      <w:r>
        <w:rPr>
          <w:snapToGrid w:val="0"/>
        </w:rPr>
        <w:tab/>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No. 59 of 2004 s. 80.]</w:t>
      </w:r>
    </w:p>
    <w:p>
      <w:pPr>
        <w:pStyle w:val="Heading5"/>
        <w:rPr>
          <w:snapToGrid w:val="0"/>
        </w:rPr>
      </w:pPr>
      <w:bookmarkStart w:id="654" w:name="_Toc88662486"/>
      <w:r>
        <w:rPr>
          <w:rStyle w:val="CharSectno"/>
        </w:rPr>
        <w:lastRenderedPageBreak/>
        <w:t>541</w:t>
      </w:r>
      <w:r>
        <w:rPr>
          <w:snapToGrid w:val="0"/>
        </w:rPr>
        <w:t>.</w:t>
      </w:r>
      <w:r>
        <w:rPr>
          <w:snapToGrid w:val="0"/>
        </w:rPr>
        <w:tab/>
        <w:t>Stay of proceedings against such witness</w:t>
      </w:r>
      <w:bookmarkEnd w:id="654"/>
    </w:p>
    <w:p>
      <w:pPr>
        <w:pStyle w:val="Subsection"/>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ind w:left="890" w:hanging="890"/>
      </w:pPr>
      <w:r>
        <w:tab/>
        <w:t>[Section 541 amended: No. 59 of 2004 s. 80.]</w:t>
      </w:r>
    </w:p>
    <w:p>
      <w:pPr>
        <w:pStyle w:val="Heading5"/>
        <w:keepLines w:val="0"/>
        <w:spacing w:before="180"/>
        <w:rPr>
          <w:snapToGrid w:val="0"/>
        </w:rPr>
      </w:pPr>
      <w:bookmarkStart w:id="655" w:name="_Toc88662487"/>
      <w:r>
        <w:rPr>
          <w:rStyle w:val="CharSectno"/>
        </w:rPr>
        <w:t>542</w:t>
      </w:r>
      <w:r>
        <w:rPr>
          <w:snapToGrid w:val="0"/>
        </w:rPr>
        <w:t>.</w:t>
      </w:r>
      <w:r>
        <w:rPr>
          <w:snapToGrid w:val="0"/>
        </w:rPr>
        <w:tab/>
        <w:t>Custom of itself no defence</w:t>
      </w:r>
      <w:bookmarkEnd w:id="655"/>
    </w:p>
    <w:p>
      <w:pPr>
        <w:pStyle w:val="Subsection"/>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keepLines w:val="0"/>
        <w:spacing w:before="180"/>
        <w:rPr>
          <w:snapToGrid w:val="0"/>
        </w:rPr>
      </w:pPr>
      <w:bookmarkStart w:id="656" w:name="_Toc88662488"/>
      <w:r>
        <w:rPr>
          <w:rStyle w:val="CharSectno"/>
        </w:rPr>
        <w:t>543</w:t>
      </w:r>
      <w:r>
        <w:rPr>
          <w:snapToGrid w:val="0"/>
        </w:rPr>
        <w:t>.</w:t>
      </w:r>
      <w:r>
        <w:rPr>
          <w:snapToGrid w:val="0"/>
        </w:rPr>
        <w:tab/>
        <w:t>Burden of proof that gift etc. not secret commission</w:t>
      </w:r>
      <w:bookmarkEnd w:id="656"/>
    </w:p>
    <w:p>
      <w:pPr>
        <w:pStyle w:val="Subsection"/>
        <w:spacing w:before="120"/>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t>Deleted: No. 101 of 1990 s. 45.]</w:t>
      </w:r>
    </w:p>
    <w:p>
      <w:pPr>
        <w:pStyle w:val="Ednotesection"/>
        <w:spacing w:before="180"/>
        <w:ind w:left="890" w:hanging="890"/>
      </w:pPr>
      <w:r>
        <w:t>[</w:t>
      </w:r>
      <w:r>
        <w:rPr>
          <w:b/>
        </w:rPr>
        <w:t>545.</w:t>
      </w:r>
      <w:r>
        <w:tab/>
        <w:t>Deleted: No. 101 of 1990 s. 46.]</w:t>
      </w:r>
    </w:p>
    <w:p>
      <w:pPr>
        <w:pStyle w:val="Heading5"/>
        <w:spacing w:before="180"/>
        <w:rPr>
          <w:snapToGrid w:val="0"/>
        </w:rPr>
      </w:pPr>
      <w:bookmarkStart w:id="657" w:name="_Toc88662489"/>
      <w:r>
        <w:rPr>
          <w:rStyle w:val="CharSectno"/>
        </w:rPr>
        <w:t>546</w:t>
      </w:r>
      <w:r>
        <w:rPr>
          <w:snapToGrid w:val="0"/>
        </w:rPr>
        <w:t>.</w:t>
      </w:r>
      <w:r>
        <w:rPr>
          <w:snapToGrid w:val="0"/>
        </w:rPr>
        <w:tab/>
        <w:t>Terms used</w:t>
      </w:r>
      <w:bookmarkEnd w:id="657"/>
      <w:r>
        <w:rPr>
          <w:snapToGrid w:val="0"/>
        </w:rPr>
        <w:t xml:space="preserve"> </w:t>
      </w:r>
    </w:p>
    <w:p>
      <w:pPr>
        <w:pStyle w:val="Subsection"/>
        <w:spacing w:before="120"/>
        <w:rPr>
          <w:snapToGrid w:val="0"/>
        </w:rPr>
      </w:pPr>
      <w:r>
        <w:rPr>
          <w:snapToGrid w:val="0"/>
        </w:rPr>
        <w:tab/>
      </w:r>
      <w:r>
        <w:rPr>
          <w:snapToGrid w:val="0"/>
        </w:rPr>
        <w:tab/>
        <w:t>In the construction of this Chapter, the following provisions shall apply —</w:t>
      </w:r>
    </w:p>
    <w:p>
      <w:pPr>
        <w:pStyle w:val="Indenta"/>
        <w:rPr>
          <w:snapToGrid w:val="0"/>
        </w:rPr>
      </w:pPr>
      <w:r>
        <w:rPr>
          <w:snapToGrid w:val="0"/>
        </w:rPr>
        <w:tab/>
        <w:t>(1)</w:t>
      </w:r>
      <w:r>
        <w:rPr>
          <w:snapToGrid w:val="0"/>
        </w:rPr>
        <w:tab/>
        <w:t xml:space="preserve">The word </w:t>
      </w:r>
      <w:r>
        <w:rPr>
          <w:rStyle w:val="CharDefText"/>
        </w:rPr>
        <w:t>agent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 xml:space="preserve">owner, clerk, </w:t>
      </w:r>
      <w:r>
        <w:rPr>
          <w:snapToGrid w:val="0"/>
        </w:rPr>
        <w:lastRenderedPageBreak/>
        <w:t>servant, employee, banker, broker, auctioneer, architect, clerk of works, engineer, solicitor, surveyor, buyer, salesman, foreman, trustee, executor, administrator, liquidator, trustee in bankruptcy or of a</w:t>
      </w:r>
      <w:r>
        <w:t xml:space="preserve"> personal insolvency agreement,</w:t>
      </w:r>
      <w:r>
        <w:rPr>
          <w:snapToGrid w:val="0"/>
        </w:rPr>
        <w:t xml:space="preserve">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 and</w:t>
      </w:r>
    </w:p>
    <w:p>
      <w:pPr>
        <w:pStyle w:val="Indenta"/>
        <w:rPr>
          <w:snapToGrid w:val="0"/>
        </w:rPr>
      </w:pPr>
      <w:r>
        <w:rPr>
          <w:snapToGrid w:val="0"/>
        </w:rPr>
        <w:tab/>
        <w:t>(2)</w:t>
      </w:r>
      <w:r>
        <w:rPr>
          <w:snapToGrid w:val="0"/>
        </w:rPr>
        <w:tab/>
        <w:t xml:space="preserve">The word </w:t>
      </w:r>
      <w:r>
        <w:rPr>
          <w:rStyle w:val="CharDefText"/>
        </w:rPr>
        <w:t>principal</w:t>
      </w:r>
      <w:r>
        <w:rPr>
          <w:snapToGrid w:val="0"/>
        </w:rPr>
        <w:t xml:space="preserve"> shall include a corporation or other person for or on behalf of whom the agent acts, has </w:t>
      </w:r>
      <w:r>
        <w:t>acted</w:t>
      </w:r>
      <w:r>
        <w:rPr>
          <w:snapToGrid w:val="0"/>
        </w:rPr>
        <w:t>, or is desirous or intending to act: and</w:t>
      </w:r>
    </w:p>
    <w:p>
      <w:pPr>
        <w:pStyle w:val="Indenta"/>
        <w:rPr>
          <w:snapToGrid w:val="0"/>
        </w:rPr>
      </w:pPr>
      <w:r>
        <w:rPr>
          <w:snapToGrid w:val="0"/>
        </w:rPr>
        <w:tab/>
        <w:t>(3)</w:t>
      </w:r>
      <w:r>
        <w:rPr>
          <w:snapToGrid w:val="0"/>
        </w:rPr>
        <w:tab/>
        <w:t xml:space="preserve">The word </w:t>
      </w:r>
      <w:r>
        <w:rPr>
          <w:rStyle w:val="CharDefText"/>
        </w:rPr>
        <w:t>trustee</w:t>
      </w:r>
      <w:r>
        <w:rPr>
          <w:snapToGrid w:val="0"/>
        </w:rPr>
        <w:t xml:space="preserve"> shall include trustee, executor, administrator, liquidator, trustee in bankruptcy or of a </w:t>
      </w:r>
      <w:r>
        <w:t xml:space="preserve">personal insolvency agreement, </w:t>
      </w:r>
      <w:r>
        <w:rPr>
          <w:snapToGrid w:val="0"/>
        </w:rPr>
        <w:t>receiver, director, committee of the estate of an insane person having power to appoint a trustee or person entitled to obtain probate of the will or letters of administration to the estate of a deceased person: and</w:t>
      </w:r>
    </w:p>
    <w:p>
      <w:pPr>
        <w:pStyle w:val="Indenta"/>
        <w:rPr>
          <w:snapToGrid w:val="0"/>
        </w:rPr>
      </w:pPr>
      <w:r>
        <w:rPr>
          <w:snapToGrid w:val="0"/>
        </w:rPr>
        <w:tab/>
        <w:t>(4)</w:t>
      </w:r>
      <w:r>
        <w:rPr>
          <w:snapToGrid w:val="0"/>
        </w:rPr>
        <w:tab/>
        <w:t xml:space="preserve">The words </w:t>
      </w:r>
      <w:r>
        <w:rPr>
          <w:rStyle w:val="CharDefText"/>
        </w:rPr>
        <w:t>valuable consideration</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 and</w:t>
      </w:r>
    </w:p>
    <w:p>
      <w:pPr>
        <w:pStyle w:val="Indenta"/>
        <w:rPr>
          <w:snapToGrid w:val="0"/>
        </w:rPr>
      </w:pPr>
      <w:r>
        <w:rPr>
          <w:snapToGrid w:val="0"/>
        </w:rPr>
        <w:tab/>
        <w:t>(5)</w:t>
      </w:r>
      <w:r>
        <w:rPr>
          <w:snapToGrid w:val="0"/>
        </w:rPr>
        <w:tab/>
        <w:t xml:space="preserve">The words </w:t>
      </w:r>
      <w:r>
        <w:rPr>
          <w:rStyle w:val="CharDefText"/>
        </w:rPr>
        <w:t>valuable consideration</w:t>
      </w:r>
      <w:r>
        <w:rPr>
          <w:snapToGrid w:val="0"/>
        </w:rPr>
        <w:t>, when used in connection with the offer thereof, shall include any offer of any agreement or promise to give, and every holding out of any expectation of valuable consideration: and</w:t>
      </w:r>
    </w:p>
    <w:p>
      <w:pPr>
        <w:pStyle w:val="Indenta"/>
        <w:rPr>
          <w:snapToGrid w:val="0"/>
        </w:rPr>
      </w:pPr>
      <w:r>
        <w:rPr>
          <w:snapToGrid w:val="0"/>
        </w:rPr>
        <w:tab/>
        <w:t>(6)</w:t>
      </w:r>
      <w:r>
        <w:rPr>
          <w:snapToGrid w:val="0"/>
        </w:rPr>
        <w:tab/>
        <w:t xml:space="preserve">The words </w:t>
      </w:r>
      <w:r>
        <w:rPr>
          <w:rStyle w:val="CharDefText"/>
        </w:rPr>
        <w:t>valuable consideration</w:t>
      </w:r>
      <w:r>
        <w:rPr>
          <w:snapToGrid w:val="0"/>
        </w:rPr>
        <w:t xml:space="preserve">, when used in connection with the receipt thereof, shall include any </w:t>
      </w:r>
      <w:r>
        <w:rPr>
          <w:snapToGrid w:val="0"/>
        </w:rPr>
        <w:lastRenderedPageBreak/>
        <w:t>acceptance of any agreement, promise, or offer to give, and of any holding out of any expectation of valuable consideration: and</w:t>
      </w:r>
    </w:p>
    <w:p>
      <w:pPr>
        <w:pStyle w:val="Indenta"/>
        <w:rPr>
          <w:snapToGrid w:val="0"/>
        </w:rPr>
      </w:pPr>
      <w:r>
        <w:rPr>
          <w:snapToGrid w:val="0"/>
        </w:rPr>
        <w:tab/>
        <w:t>(7)</w:t>
      </w:r>
      <w:r>
        <w:rPr>
          <w:snapToGrid w:val="0"/>
        </w:rPr>
        <w:tab/>
        <w:t xml:space="preserve">The word </w:t>
      </w:r>
      <w:r>
        <w:rPr>
          <w:rStyle w:val="CharDefText"/>
        </w:rPr>
        <w:t>contract</w:t>
      </w:r>
      <w:r>
        <w:rPr>
          <w:snapToGrid w:val="0"/>
        </w:rPr>
        <w:t xml:space="preserve"> shall include contract of sale or of employment or any other contract whatever: and</w:t>
      </w:r>
    </w:p>
    <w:p>
      <w:pPr>
        <w:pStyle w:val="Indenta"/>
        <w:rPr>
          <w:snapToGrid w:val="0"/>
        </w:rPr>
      </w:pPr>
      <w:r>
        <w:rPr>
          <w:snapToGrid w:val="0"/>
        </w:rPr>
        <w:tab/>
        <w:t>(8)</w:t>
      </w:r>
      <w:r>
        <w:rPr>
          <w:snapToGrid w:val="0"/>
        </w:rPr>
        <w:tab/>
        <w:t>Any act or thing prohibited by this Chapter is prohibited whether done directly or indirectly by the person mentioned or by or through any other person: and</w:t>
      </w:r>
    </w:p>
    <w:p>
      <w:pPr>
        <w:pStyle w:val="Indenta"/>
        <w:rPr>
          <w:snapToGrid w:val="0"/>
        </w:rPr>
      </w:pPr>
      <w:r>
        <w:rPr>
          <w:snapToGrid w:val="0"/>
        </w:rPr>
        <w:tab/>
        <w:t>(9)</w:t>
      </w:r>
      <w:r>
        <w:rPr>
          <w:snapToGrid w:val="0"/>
        </w:rPr>
        <w:tab/>
        <w:t xml:space="preserve">The words </w:t>
      </w:r>
      <w:r>
        <w:rPr>
          <w:rStyle w:val="CharDefText"/>
        </w:rPr>
        <w:t>solicit any valuable consideration</w:t>
      </w:r>
      <w:r>
        <w:rPr>
          <w:snapToGrid w:val="0"/>
        </w:rPr>
        <w:t xml:space="preserve">, and </w:t>
      </w:r>
      <w:r>
        <w:rPr>
          <w:rStyle w:val="CharDefText"/>
        </w:rPr>
        <w:t>valuable consideration solicited</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 and</w:t>
      </w:r>
    </w:p>
    <w:p>
      <w:pPr>
        <w:pStyle w:val="Indenta"/>
        <w:rPr>
          <w:snapToGrid w:val="0"/>
        </w:rPr>
      </w:pPr>
      <w:r>
        <w:rPr>
          <w:snapToGrid w:val="0"/>
        </w:rPr>
        <w:tab/>
        <w:t>(10)</w:t>
      </w:r>
      <w:r>
        <w:rPr>
          <w:snapToGrid w:val="0"/>
        </w:rPr>
        <w:tab/>
        <w:t xml:space="preserve">The words </w:t>
      </w:r>
      <w:r>
        <w:rPr>
          <w:rStyle w:val="CharDefText"/>
        </w:rPr>
        <w:t>person having business relations with the principal</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 and</w:t>
      </w:r>
    </w:p>
    <w:p>
      <w:pPr>
        <w:pStyle w:val="Indenta"/>
        <w:rPr>
          <w:snapToGrid w:val="0"/>
        </w:rPr>
      </w:pPr>
      <w:r>
        <w:rPr>
          <w:snapToGrid w:val="0"/>
        </w:rPr>
        <w:tab/>
        <w:t>(11)</w:t>
      </w:r>
      <w:r>
        <w:rPr>
          <w:snapToGrid w:val="0"/>
        </w:rPr>
        <w:tab/>
        <w:t xml:space="preserve">The words </w:t>
      </w:r>
      <w:r>
        <w:rPr>
          <w:rStyle w:val="CharDefText"/>
        </w:rPr>
        <w:t>in relation to his principal’s affairs or business</w:t>
      </w:r>
      <w:r>
        <w:rPr>
          <w:snapToGrid w:val="0"/>
        </w:rPr>
        <w:t xml:space="preserve"> shall imply the additional words “whether within the scope of his authority or course of his employment as agent or not”: and</w:t>
      </w:r>
    </w:p>
    <w:p>
      <w:pPr>
        <w:pStyle w:val="Indenta"/>
        <w:rPr>
          <w:snapToGrid w:val="0"/>
        </w:rPr>
      </w:pPr>
      <w:r>
        <w:rPr>
          <w:snapToGrid w:val="0"/>
        </w:rPr>
        <w:lastRenderedPageBreak/>
        <w:tab/>
        <w:t>(12)</w:t>
      </w:r>
      <w:r>
        <w:rPr>
          <w:snapToGrid w:val="0"/>
        </w:rPr>
        <w:tab/>
        <w:t xml:space="preserve">The words </w:t>
      </w:r>
      <w:r>
        <w:rPr>
          <w:rStyle w:val="CharDefText"/>
        </w:rPr>
        <w:t>advice given</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Footnotesection"/>
      </w:pPr>
      <w:r>
        <w:tab/>
        <w:t>[Section 546 amended: No. 18 of 2009 s. 26.]</w:t>
      </w:r>
    </w:p>
    <w:p>
      <w:pPr>
        <w:pStyle w:val="Heading3"/>
        <w:spacing w:before="200"/>
        <w:rPr>
          <w:snapToGrid w:val="0"/>
        </w:rPr>
      </w:pPr>
      <w:bookmarkStart w:id="658" w:name="_Toc88570047"/>
      <w:bookmarkStart w:id="659" w:name="_Toc88570569"/>
      <w:bookmarkStart w:id="660" w:name="_Toc88571091"/>
      <w:bookmarkStart w:id="661" w:name="_Toc88662490"/>
      <w:r>
        <w:rPr>
          <w:rStyle w:val="CharDivNo"/>
        </w:rPr>
        <w:t>Chapter LVI</w:t>
      </w:r>
      <w:r>
        <w:rPr>
          <w:snapToGrid w:val="0"/>
        </w:rPr>
        <w:t> — </w:t>
      </w:r>
      <w:r>
        <w:rPr>
          <w:rStyle w:val="CharDivText"/>
        </w:rPr>
        <w:t>Other offences</w:t>
      </w:r>
      <w:bookmarkEnd w:id="658"/>
      <w:bookmarkEnd w:id="659"/>
      <w:bookmarkEnd w:id="660"/>
      <w:bookmarkEnd w:id="661"/>
    </w:p>
    <w:p>
      <w:pPr>
        <w:pStyle w:val="Heading5"/>
        <w:spacing w:before="180"/>
        <w:rPr>
          <w:snapToGrid w:val="0"/>
        </w:rPr>
      </w:pPr>
      <w:bookmarkStart w:id="662" w:name="_Toc88662491"/>
      <w:r>
        <w:rPr>
          <w:rStyle w:val="CharSectno"/>
        </w:rPr>
        <w:t>547</w:t>
      </w:r>
      <w:r>
        <w:rPr>
          <w:snapToGrid w:val="0"/>
        </w:rPr>
        <w:t>.</w:t>
      </w:r>
      <w:r>
        <w:rPr>
          <w:snapToGrid w:val="0"/>
        </w:rPr>
        <w:tab/>
        <w:t>Joint stock company officer concealing information etc. as to reduction of capital</w:t>
      </w:r>
      <w:bookmarkEnd w:id="662"/>
    </w:p>
    <w:p>
      <w:pPr>
        <w:pStyle w:val="Subsection"/>
        <w:spacing w:before="120"/>
        <w:rPr>
          <w:snapToGrid w:val="0"/>
        </w:rPr>
      </w:pPr>
      <w:r>
        <w:rPr>
          <w:snapToGrid w:val="0"/>
        </w:rPr>
        <w:tab/>
      </w:r>
      <w:r>
        <w:rPr>
          <w:snapToGrid w:val="0"/>
        </w:rPr>
        <w:tab/>
        <w:t>Any person who, being a director or officer of a joint stock company, the capital of which is proposed to be reduced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keepNext/>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[Section 547 amended: No. 51 of 1992 s. 16(2); No. 70 of 2004 s. 34(1).]</w:t>
      </w:r>
    </w:p>
    <w:p>
      <w:pPr>
        <w:pStyle w:val="Heading5"/>
        <w:spacing w:before="240"/>
        <w:rPr>
          <w:snapToGrid w:val="0"/>
        </w:rPr>
      </w:pPr>
      <w:bookmarkStart w:id="663" w:name="_Toc88662492"/>
      <w:r>
        <w:rPr>
          <w:rStyle w:val="CharSectno"/>
        </w:rPr>
        <w:t>548</w:t>
      </w:r>
      <w:r>
        <w:rPr>
          <w:snapToGrid w:val="0"/>
        </w:rPr>
        <w:t>.</w:t>
      </w:r>
      <w:r>
        <w:rPr>
          <w:snapToGrid w:val="0"/>
        </w:rPr>
        <w:tab/>
        <w:t>Company being wound up, officer of falsifying books of etc.</w:t>
      </w:r>
      <w:bookmarkEnd w:id="663"/>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lastRenderedPageBreak/>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[Section 548 amended: No. 10 of 1982 s. 28; No. 51 of 1992 s. 16(2); No. 70 of 2004 s. 34(1).]</w:t>
      </w:r>
    </w:p>
    <w:p>
      <w:pPr>
        <w:pStyle w:val="Heading5"/>
        <w:spacing w:before="240"/>
        <w:rPr>
          <w:snapToGrid w:val="0"/>
        </w:rPr>
      </w:pPr>
      <w:bookmarkStart w:id="664" w:name="_Toc88662493"/>
      <w:r>
        <w:rPr>
          <w:rStyle w:val="CharSectno"/>
        </w:rPr>
        <w:t>549</w:t>
      </w:r>
      <w:r>
        <w:rPr>
          <w:snapToGrid w:val="0"/>
        </w:rPr>
        <w:t>.</w:t>
      </w:r>
      <w:r>
        <w:rPr>
          <w:snapToGrid w:val="0"/>
        </w:rPr>
        <w:tab/>
        <w:t>Mixing uncertified with certified articles</w:t>
      </w:r>
      <w:bookmarkEnd w:id="664"/>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No. 51 of 1992 s. 16(2); No. 36 of 1996 s. 30; No. 70 of 2004 s. 34(1) and 35(1).]</w:t>
      </w:r>
    </w:p>
    <w:p>
      <w:pPr>
        <w:pStyle w:val="Ednotesection"/>
      </w:pPr>
      <w:r>
        <w:t>[</w:t>
      </w:r>
      <w:r>
        <w:rPr>
          <w:b/>
        </w:rPr>
        <w:t>550, 551.</w:t>
      </w:r>
      <w:r>
        <w:tab/>
        <w:t>Deleted: No. 82 of 1994 s. 9(2).]</w:t>
      </w:r>
    </w:p>
    <w:p>
      <w:pPr>
        <w:pStyle w:val="Heading2"/>
      </w:pPr>
      <w:bookmarkStart w:id="665" w:name="_Toc88570051"/>
      <w:bookmarkStart w:id="666" w:name="_Toc88570573"/>
      <w:bookmarkStart w:id="667" w:name="_Toc88571095"/>
      <w:bookmarkStart w:id="668" w:name="_Toc88662494"/>
      <w:r>
        <w:rPr>
          <w:rStyle w:val="CharPartNo"/>
        </w:rPr>
        <w:lastRenderedPageBreak/>
        <w:t>Part VII</w:t>
      </w:r>
      <w:r>
        <w:t> — </w:t>
      </w:r>
      <w:r>
        <w:rPr>
          <w:rStyle w:val="CharPartText"/>
          <w:spacing w:val="-4"/>
        </w:rPr>
        <w:t>Preparation to commit offences: Conspiracy: Accessories after the fact</w:t>
      </w:r>
      <w:bookmarkEnd w:id="665"/>
      <w:bookmarkEnd w:id="666"/>
      <w:bookmarkEnd w:id="667"/>
      <w:bookmarkEnd w:id="668"/>
    </w:p>
    <w:p>
      <w:pPr>
        <w:pStyle w:val="Heading3"/>
        <w:rPr>
          <w:snapToGrid w:val="0"/>
        </w:rPr>
      </w:pPr>
      <w:bookmarkStart w:id="669" w:name="_Toc88570052"/>
      <w:bookmarkStart w:id="670" w:name="_Toc88570574"/>
      <w:bookmarkStart w:id="671" w:name="_Toc88571096"/>
      <w:bookmarkStart w:id="672" w:name="_Toc88662495"/>
      <w:r>
        <w:rPr>
          <w:rStyle w:val="CharDivNo"/>
        </w:rPr>
        <w:t>Chapter LVII</w:t>
      </w:r>
      <w:r>
        <w:rPr>
          <w:snapToGrid w:val="0"/>
        </w:rPr>
        <w:t> — </w:t>
      </w:r>
      <w:r>
        <w:rPr>
          <w:rStyle w:val="CharDivText"/>
        </w:rPr>
        <w:t>Attempts and preparation to commit offences</w:t>
      </w:r>
      <w:bookmarkEnd w:id="669"/>
      <w:bookmarkEnd w:id="670"/>
      <w:bookmarkEnd w:id="671"/>
      <w:bookmarkEnd w:id="672"/>
    </w:p>
    <w:p>
      <w:pPr>
        <w:pStyle w:val="Heading5"/>
      </w:pPr>
      <w:bookmarkStart w:id="673" w:name="_Toc88662496"/>
      <w:r>
        <w:rPr>
          <w:rStyle w:val="CharSectno"/>
        </w:rPr>
        <w:t>552</w:t>
      </w:r>
      <w:r>
        <w:t>.</w:t>
      </w:r>
      <w:r>
        <w:tab/>
        <w:t>Attempt to commit indictable offence</w:t>
      </w:r>
      <w:bookmarkEnd w:id="673"/>
    </w:p>
    <w:p>
      <w:pPr>
        <w:pStyle w:val="Subsection"/>
      </w:pPr>
      <w:r>
        <w:tab/>
        <w:t>(1)</w:t>
      </w:r>
      <w:r>
        <w:tab/>
        <w:t xml:space="preserve">Any person who attempts to commit an indictable offence (the </w:t>
      </w:r>
      <w:r>
        <w:rPr>
          <w:rStyle w:val="CharDefText"/>
        </w:rPr>
        <w:t>principal offence</w:t>
      </w:r>
      <w:r>
        <w:rPr>
          <w:i/>
          <w:iCs/>
        </w:rPr>
        <w:t>)</w:t>
      </w:r>
      <w:r>
        <w:t xml:space="preserv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No. 4 of 2004 s. 39; amended: No. 70 of 2004 s. 34(2) and (3).]</w:t>
      </w:r>
    </w:p>
    <w:p>
      <w:pPr>
        <w:pStyle w:val="Heading5"/>
      </w:pPr>
      <w:bookmarkStart w:id="674" w:name="_Toc88662497"/>
      <w:r>
        <w:rPr>
          <w:rStyle w:val="CharSectno"/>
        </w:rPr>
        <w:t>553</w:t>
      </w:r>
      <w:r>
        <w:t>.</w:t>
      </w:r>
      <w:r>
        <w:tab/>
        <w:t>Incitement to commit indictable offence</w:t>
      </w:r>
      <w:bookmarkEnd w:id="674"/>
    </w:p>
    <w:p>
      <w:pPr>
        <w:pStyle w:val="Subsection"/>
      </w:pPr>
      <w:r>
        <w:tab/>
        <w:t>(1)</w:t>
      </w:r>
      <w:r>
        <w:tab/>
        <w:t xml:space="preserve">Any person who, intending that an indictable offence (the </w:t>
      </w:r>
      <w:r>
        <w:rPr>
          <w:rStyle w:val="CharDefText"/>
          <w:bCs/>
        </w:rPr>
        <w:t>principal offence</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lastRenderedPageBreak/>
        <w:tab/>
        <w:t>(b)</w:t>
      </w:r>
      <w:r>
        <w:tab/>
        <w:t>in any other case — to half of the penalty with which the principal offence is punishable on indictment.</w:t>
      </w:r>
    </w:p>
    <w:p>
      <w:pPr>
        <w:pStyle w:val="Penstart"/>
        <w:spacing w:before="160"/>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No. 4 of 2004 s. 40; amended: No. 70 of 2004 s. 34(4) and (5).]</w:t>
      </w:r>
    </w:p>
    <w:p>
      <w:pPr>
        <w:pStyle w:val="Ednotesection"/>
      </w:pPr>
      <w:r>
        <w:t>[</w:t>
      </w:r>
      <w:r>
        <w:rPr>
          <w:b/>
        </w:rPr>
        <w:t>554, 555.</w:t>
      </w:r>
      <w:r>
        <w:rPr>
          <w:b/>
        </w:rPr>
        <w:tab/>
      </w:r>
      <w:r>
        <w:t>Deleted: No. 4 of 2004 s. 41.]</w:t>
      </w:r>
    </w:p>
    <w:p>
      <w:pPr>
        <w:pStyle w:val="Heading5"/>
        <w:rPr>
          <w:snapToGrid w:val="0"/>
        </w:rPr>
      </w:pPr>
      <w:bookmarkStart w:id="675" w:name="_Toc88662498"/>
      <w:r>
        <w:rPr>
          <w:rStyle w:val="CharSectno"/>
        </w:rPr>
        <w:t>555A</w:t>
      </w:r>
      <w:r>
        <w:rPr>
          <w:snapToGrid w:val="0"/>
        </w:rPr>
        <w:t>.</w:t>
      </w:r>
      <w:r>
        <w:rPr>
          <w:snapToGrid w:val="0"/>
        </w:rPr>
        <w:tab/>
        <w:t>Attempt and incitement to commit simple offence under this Code</w:t>
      </w:r>
      <w:bookmarkEnd w:id="675"/>
    </w:p>
    <w:p>
      <w:pPr>
        <w:pStyle w:val="Subsection"/>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No. 101 of 1990 s. 47.]</w:t>
      </w:r>
    </w:p>
    <w:p>
      <w:pPr>
        <w:pStyle w:val="Heading5"/>
        <w:rPr>
          <w:snapToGrid w:val="0"/>
        </w:rPr>
      </w:pPr>
      <w:bookmarkStart w:id="676" w:name="_Toc88662499"/>
      <w:r>
        <w:rPr>
          <w:rStyle w:val="CharSectno"/>
        </w:rPr>
        <w:lastRenderedPageBreak/>
        <w:t>556</w:t>
      </w:r>
      <w:r>
        <w:rPr>
          <w:snapToGrid w:val="0"/>
        </w:rPr>
        <w:t>.</w:t>
      </w:r>
      <w:r>
        <w:rPr>
          <w:snapToGrid w:val="0"/>
        </w:rPr>
        <w:tab/>
        <w:t>Attempt to procure commission of criminal act</w:t>
      </w:r>
      <w:bookmarkEnd w:id="676"/>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677" w:name="_Toc88662500"/>
      <w:r>
        <w:rPr>
          <w:rStyle w:val="CharSectno"/>
        </w:rPr>
        <w:t>557</w:t>
      </w:r>
      <w:r>
        <w:rPr>
          <w:snapToGrid w:val="0"/>
        </w:rPr>
        <w:t>.</w:t>
      </w:r>
      <w:r>
        <w:rPr>
          <w:snapToGrid w:val="0"/>
        </w:rPr>
        <w:tab/>
        <w:t>Making or possessing explosives in suspicious circumstances</w:t>
      </w:r>
      <w:bookmarkEnd w:id="677"/>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lastRenderedPageBreak/>
        <w:tab/>
        <w:t>(2)</w:t>
      </w:r>
      <w:r>
        <w:rPr>
          <w:snapToGrid w:val="0"/>
        </w:rPr>
        <w:tab/>
        <w:t xml:space="preserve">In this section </w:t>
      </w:r>
      <w:r>
        <w:rPr>
          <w:rStyle w:val="CharDefText"/>
        </w:rPr>
        <w:t>explosive substance</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No. 51 of 1992 s. 16(2); No. 70 of 2004 s. 32.]</w:t>
      </w:r>
    </w:p>
    <w:p>
      <w:pPr>
        <w:pStyle w:val="Heading3"/>
      </w:pPr>
      <w:bookmarkStart w:id="678" w:name="_Toc88570058"/>
      <w:bookmarkStart w:id="679" w:name="_Toc88570580"/>
      <w:bookmarkStart w:id="680" w:name="_Toc88571102"/>
      <w:bookmarkStart w:id="681" w:name="_Toc88662501"/>
      <w:r>
        <w:rPr>
          <w:rStyle w:val="CharDivNo"/>
        </w:rPr>
        <w:t>Chapter LVIIA</w:t>
      </w:r>
      <w:r>
        <w:t> — </w:t>
      </w:r>
      <w:r>
        <w:rPr>
          <w:rStyle w:val="CharDivText"/>
        </w:rPr>
        <w:t>Offences to do with preparing to commit offences</w:t>
      </w:r>
      <w:bookmarkEnd w:id="678"/>
      <w:bookmarkEnd w:id="679"/>
      <w:bookmarkEnd w:id="680"/>
      <w:bookmarkEnd w:id="681"/>
    </w:p>
    <w:p>
      <w:pPr>
        <w:pStyle w:val="Footnoteheading"/>
      </w:pPr>
      <w:r>
        <w:tab/>
        <w:t>[Heading inserted: No. 70 of 2004 s. 33.]</w:t>
      </w:r>
    </w:p>
    <w:p>
      <w:pPr>
        <w:pStyle w:val="Heading5"/>
        <w:spacing w:before="180"/>
      </w:pPr>
      <w:bookmarkStart w:id="682" w:name="_Toc88662502"/>
      <w:r>
        <w:rPr>
          <w:rStyle w:val="CharSectno"/>
        </w:rPr>
        <w:t>557A</w:t>
      </w:r>
      <w:r>
        <w:t>.</w:t>
      </w:r>
      <w:r>
        <w:tab/>
        <w:t>Presumption as to intention</w:t>
      </w:r>
      <w:bookmarkEnd w:id="682"/>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ind w:left="890" w:hanging="890"/>
      </w:pPr>
      <w:r>
        <w:tab/>
        <w:t>[Section 557A inserted: No. 70 of 2004 s. 33.]</w:t>
      </w:r>
    </w:p>
    <w:p>
      <w:pPr>
        <w:pStyle w:val="Ednotesection"/>
      </w:pPr>
      <w:r>
        <w:t>[</w:t>
      </w:r>
      <w:r>
        <w:rPr>
          <w:b/>
          <w:bCs/>
        </w:rPr>
        <w:t>557B.</w:t>
      </w:r>
      <w:r>
        <w:tab/>
        <w:t>Deleted: No. 59 of 2006 s. 25.]</w:t>
      </w:r>
    </w:p>
    <w:p>
      <w:pPr>
        <w:pStyle w:val="Heading5"/>
      </w:pPr>
      <w:bookmarkStart w:id="683" w:name="_Toc88662503"/>
      <w:r>
        <w:rPr>
          <w:rStyle w:val="CharSectno"/>
        </w:rPr>
        <w:t>557C</w:t>
      </w:r>
      <w:r>
        <w:t>.</w:t>
      </w:r>
      <w:r>
        <w:tab/>
        <w:t>Unlawful thing, forfeiture of</w:t>
      </w:r>
      <w:bookmarkEnd w:id="683"/>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No. 70 of 2004 s. 33.]</w:t>
      </w:r>
    </w:p>
    <w:p>
      <w:pPr>
        <w:pStyle w:val="Heading5"/>
      </w:pPr>
      <w:bookmarkStart w:id="684" w:name="_Toc88662504"/>
      <w:r>
        <w:rPr>
          <w:rStyle w:val="CharSectno"/>
        </w:rPr>
        <w:t>557D</w:t>
      </w:r>
      <w:r>
        <w:t>.</w:t>
      </w:r>
      <w:r>
        <w:tab/>
        <w:t>Possessing stupefying or overpowering drug or thing</w:t>
      </w:r>
      <w:bookmarkEnd w:id="684"/>
    </w:p>
    <w:p>
      <w:pPr>
        <w:pStyle w:val="Subsection"/>
      </w:pPr>
      <w:r>
        <w:tab/>
      </w:r>
      <w:r>
        <w:tab/>
        <w:t>A person who is in possession of a stupefying or overpowering drug or thing with the intention of using it to facilitate —</w:t>
      </w:r>
    </w:p>
    <w:p>
      <w:pPr>
        <w:pStyle w:val="Indenta"/>
      </w:pPr>
      <w:r>
        <w:tab/>
        <w:t>(a)</w:t>
      </w:r>
      <w:r>
        <w:tab/>
        <w:t>the commission of an offence; or</w:t>
      </w:r>
    </w:p>
    <w:p>
      <w:pPr>
        <w:pStyle w:val="Indenta"/>
      </w:pPr>
      <w:r>
        <w:lastRenderedPageBreak/>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ind w:left="890" w:hanging="890"/>
      </w:pPr>
      <w:r>
        <w:tab/>
        <w:t>[Section 557D inserted: No. 70 of 2004 s. 33.]</w:t>
      </w:r>
    </w:p>
    <w:p>
      <w:pPr>
        <w:pStyle w:val="Heading5"/>
      </w:pPr>
      <w:bookmarkStart w:id="685" w:name="_Toc88662505"/>
      <w:r>
        <w:rPr>
          <w:rStyle w:val="CharSectno"/>
        </w:rPr>
        <w:t>557E</w:t>
      </w:r>
      <w:r>
        <w:t>.</w:t>
      </w:r>
      <w:r>
        <w:tab/>
        <w:t>Possessing thing to assist unlawful entry to place</w:t>
      </w:r>
      <w:bookmarkEnd w:id="685"/>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No. 70 of 2004 s. 33.]</w:t>
      </w:r>
    </w:p>
    <w:p>
      <w:pPr>
        <w:pStyle w:val="Heading5"/>
      </w:pPr>
      <w:bookmarkStart w:id="686" w:name="_Toc88662506"/>
      <w:r>
        <w:rPr>
          <w:rStyle w:val="CharSectno"/>
        </w:rPr>
        <w:t>557F</w:t>
      </w:r>
      <w:r>
        <w:t>.</w:t>
      </w:r>
      <w:r>
        <w:tab/>
        <w:t>Possessing thing to assist unlawful use of conveyance</w:t>
      </w:r>
      <w:bookmarkEnd w:id="686"/>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No. 70 of 2004 s. 33.]</w:t>
      </w:r>
    </w:p>
    <w:p>
      <w:pPr>
        <w:pStyle w:val="Ednotesection"/>
        <w:spacing w:before="180"/>
        <w:ind w:left="890" w:hanging="890"/>
      </w:pPr>
      <w:r>
        <w:t>[</w:t>
      </w:r>
      <w:r>
        <w:rPr>
          <w:b/>
        </w:rPr>
        <w:t>557G.</w:t>
      </w:r>
      <w:r>
        <w:tab/>
        <w:t>Deleted: No. 16 of 2016 s. 39.]</w:t>
      </w:r>
    </w:p>
    <w:p>
      <w:pPr>
        <w:pStyle w:val="Heading5"/>
      </w:pPr>
      <w:bookmarkStart w:id="687" w:name="_Toc88662507"/>
      <w:r>
        <w:rPr>
          <w:rStyle w:val="CharSectno"/>
        </w:rPr>
        <w:t>557H</w:t>
      </w:r>
      <w:r>
        <w:t>.</w:t>
      </w:r>
      <w:r>
        <w:tab/>
        <w:t>Possessing disguise</w:t>
      </w:r>
      <w:bookmarkEnd w:id="687"/>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No. 70 of 2004 s. 33.]</w:t>
      </w:r>
    </w:p>
    <w:p>
      <w:pPr>
        <w:pStyle w:val="Heading5"/>
      </w:pPr>
      <w:bookmarkStart w:id="688" w:name="_Toc88662508"/>
      <w:r>
        <w:rPr>
          <w:rStyle w:val="CharSectno"/>
        </w:rPr>
        <w:t>557I</w:t>
      </w:r>
      <w:r>
        <w:t>.</w:t>
      </w:r>
      <w:r>
        <w:tab/>
        <w:t>Possessing bulletproof clothing</w:t>
      </w:r>
      <w:bookmarkEnd w:id="688"/>
    </w:p>
    <w:p>
      <w:pPr>
        <w:pStyle w:val="Subsection"/>
        <w:keepNext/>
        <w:keepLines/>
        <w:spacing w:before="180"/>
      </w:pPr>
      <w:r>
        <w:tab/>
        <w:t>(1)</w:t>
      </w:r>
      <w:r>
        <w:tab/>
        <w:t>In this section —</w:t>
      </w:r>
    </w:p>
    <w:p>
      <w:pPr>
        <w:pStyle w:val="Defstart"/>
        <w:spacing w:before="100"/>
      </w:pPr>
      <w:r>
        <w:rPr>
          <w:b/>
        </w:rPr>
        <w:tab/>
      </w:r>
      <w:r>
        <w:rPr>
          <w:rStyle w:val="CharDefText"/>
        </w:rPr>
        <w:t>bulletproof clothing</w:t>
      </w:r>
      <w:r>
        <w:t xml:space="preserve"> means a protective jacket, vest, or other article of clothing, designed to resist the penetration of bullets or other missiles discharged from firearms;</w:t>
      </w:r>
    </w:p>
    <w:p>
      <w:pPr>
        <w:pStyle w:val="Defstart"/>
        <w:spacing w:before="100"/>
      </w:pPr>
      <w:r>
        <w:rPr>
          <w:b/>
        </w:rPr>
        <w:lastRenderedPageBreak/>
        <w:tab/>
      </w:r>
      <w:r>
        <w:rPr>
          <w:rStyle w:val="CharDefText"/>
        </w:rPr>
        <w:t>Commissioner</w:t>
      </w:r>
      <w:r>
        <w:t xml:space="preserve"> means the Commissioner of Police appointed under the </w:t>
      </w:r>
      <w:r>
        <w:rPr>
          <w:i/>
        </w:rPr>
        <w:t>Police Act 1892</w:t>
      </w:r>
      <w:r>
        <w:t>.</w:t>
      </w:r>
    </w:p>
    <w:p>
      <w:pPr>
        <w:pStyle w:val="Subsection"/>
        <w:spacing w:before="180"/>
      </w:pPr>
      <w:r>
        <w:tab/>
        <w:t>(2)</w:t>
      </w:r>
      <w:r>
        <w:tab/>
        <w:t>A person who is in possession of bulletproof clothing is guilty of an offence and is liable to a fine of $6 000.</w:t>
      </w:r>
    </w:p>
    <w:p>
      <w:pPr>
        <w:pStyle w:val="Subsection"/>
        <w:spacing w:before="180"/>
      </w:pPr>
      <w:r>
        <w:tab/>
        <w:t>(3)</w:t>
      </w:r>
      <w:r>
        <w:tab/>
        <w:t>Subsection (2) does not apply to —</w:t>
      </w:r>
    </w:p>
    <w:p>
      <w:pPr>
        <w:pStyle w:val="Indenta"/>
        <w:spacing w:before="60"/>
      </w:pPr>
      <w:r>
        <w:tab/>
        <w:t>(a)</w:t>
      </w:r>
      <w:r>
        <w:tab/>
        <w:t>a person who —</w:t>
      </w:r>
    </w:p>
    <w:p>
      <w:pPr>
        <w:pStyle w:val="Indenti"/>
        <w:spacing w:before="60"/>
      </w:pPr>
      <w:r>
        <w:tab/>
        <w:t>(i)</w:t>
      </w:r>
      <w:r>
        <w:tab/>
        <w:t xml:space="preserve">holds an appointment under Part I, III or IIIA of the </w:t>
      </w:r>
      <w:r>
        <w:rPr>
          <w:i/>
        </w:rPr>
        <w:t>Police Act 1892</w:t>
      </w:r>
      <w:r>
        <w:t>, other than a police cadet;</w:t>
      </w:r>
    </w:p>
    <w:p>
      <w:pPr>
        <w:pStyle w:val="Indenti"/>
        <w:spacing w:before="60"/>
      </w:pPr>
      <w:r>
        <w:tab/>
        <w:t>(ii)</w:t>
      </w:r>
      <w:r>
        <w:tab/>
        <w:t xml:space="preserve">is employed in the department of the Public Service principally assisting in the administration of the </w:t>
      </w:r>
      <w:r>
        <w:rPr>
          <w:i/>
        </w:rPr>
        <w:t>Police Act 1892</w:t>
      </w:r>
      <w:r>
        <w:t>;</w:t>
      </w:r>
    </w:p>
    <w:p>
      <w:pPr>
        <w:pStyle w:val="Indenti"/>
        <w:spacing w:before="60"/>
      </w:pPr>
      <w:r>
        <w:tab/>
        <w:t>(iii)</w:t>
      </w:r>
      <w:r>
        <w:tab/>
        <w:t xml:space="preserve">is a prison officer within the meaning of the </w:t>
      </w:r>
      <w:r>
        <w:rPr>
          <w:i/>
        </w:rPr>
        <w:t>Prisons Act 1981</w:t>
      </w:r>
      <w:r>
        <w:t>;</w:t>
      </w:r>
    </w:p>
    <w:p>
      <w:pPr>
        <w:pStyle w:val="Indenti"/>
        <w:spacing w:before="60"/>
      </w:pPr>
      <w:r>
        <w:tab/>
        <w:t>(iv)</w:t>
      </w:r>
      <w:r>
        <w:tab/>
        <w:t>is employed or appointed under an Act of the Commonwealth, another State or a Territory,</w:t>
      </w:r>
    </w:p>
    <w:p>
      <w:pPr>
        <w:pStyle w:val="Indenta"/>
        <w:spacing w:before="60"/>
      </w:pPr>
      <w:r>
        <w:tab/>
      </w:r>
      <w:r>
        <w:tab/>
        <w:t>and who is lawfully in possession of bulletproof clothing in the course of duty;</w:t>
      </w:r>
    </w:p>
    <w:p>
      <w:pPr>
        <w:pStyle w:val="Indenta"/>
        <w:spacing w:before="60"/>
      </w:pPr>
      <w:r>
        <w:tab/>
        <w:t>(b)</w:t>
      </w:r>
      <w:r>
        <w:tab/>
        <w:t>a person who is in possession of bulletproof clothing in accordance with a permit given under subsection (4);</w:t>
      </w:r>
    </w:p>
    <w:p>
      <w:pPr>
        <w:pStyle w:val="Indenta"/>
        <w:spacing w:before="60"/>
      </w:pPr>
      <w:r>
        <w:tab/>
        <w:t>(c)</w:t>
      </w:r>
      <w:r>
        <w:tab/>
        <w:t>a person who is in possession of bulletproof clothing in the course of and for the purpose of supplying it to a person referred to in paragraph (a) or (b) to fulfil a request previously made for its supply.</w:t>
      </w:r>
    </w:p>
    <w:p>
      <w:pPr>
        <w:pStyle w:val="Subsection"/>
        <w:spacing w:before="180"/>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ind w:left="890" w:hanging="890"/>
      </w:pPr>
      <w:r>
        <w:tab/>
        <w:t>[Section 557I inserted: No. 70 of 2004 s. 33.]</w:t>
      </w:r>
    </w:p>
    <w:p>
      <w:pPr>
        <w:pStyle w:val="Heading5"/>
      </w:pPr>
      <w:bookmarkStart w:id="689" w:name="_Toc88662509"/>
      <w:r>
        <w:rPr>
          <w:rStyle w:val="CharSectno"/>
        </w:rPr>
        <w:lastRenderedPageBreak/>
        <w:t>557J</w:t>
      </w:r>
      <w:r>
        <w:t>.</w:t>
      </w:r>
      <w:r>
        <w:tab/>
        <w:t>Declared drug trafficker, consorting by</w:t>
      </w:r>
      <w:bookmarkEnd w:id="689"/>
    </w:p>
    <w:p>
      <w:pPr>
        <w:pStyle w:val="Subsection"/>
        <w:spacing w:before="180"/>
      </w:pPr>
      <w:r>
        <w:tab/>
        <w:t>(1)</w:t>
      </w:r>
      <w:r>
        <w:tab/>
        <w:t>In this section, unless the contrary intention appears —</w:t>
      </w:r>
    </w:p>
    <w:p>
      <w:pPr>
        <w:pStyle w:val="Defstart"/>
      </w:pPr>
      <w:r>
        <w:rPr>
          <w:b/>
        </w:rPr>
        <w:tab/>
      </w:r>
      <w:r>
        <w:rPr>
          <w:rStyle w:val="CharDefText"/>
        </w:rPr>
        <w:t>consort</w:t>
      </w:r>
      <w:r>
        <w:t xml:space="preserve"> includes to communicate in any manner;</w:t>
      </w:r>
    </w:p>
    <w:p>
      <w:pPr>
        <w:pStyle w:val="Defstart"/>
      </w:pPr>
      <w:r>
        <w:rPr>
          <w:b/>
        </w:rPr>
        <w:tab/>
      </w:r>
      <w:r>
        <w:rPr>
          <w:rStyle w:val="CharDefText"/>
        </w:rPr>
        <w:t>declared drug trafficker</w:t>
      </w:r>
      <w:r>
        <w:t xml:space="preserve"> means a person who is declared to be a drug trafficker under section 32A(1) of the </w:t>
      </w:r>
      <w:r>
        <w:rPr>
          <w:i/>
        </w:rPr>
        <w:t>Misuse of Drugs Act 1981</w:t>
      </w:r>
      <w:r>
        <w:t>.</w:t>
      </w:r>
    </w:p>
    <w:p>
      <w:pPr>
        <w:pStyle w:val="Subsection"/>
        <w:spacing w:before="180"/>
      </w:pPr>
      <w:r>
        <w:tab/>
        <w:t>(2)</w:t>
      </w:r>
      <w:r>
        <w:tab/>
        <w:t>A person who is a declared drug trafficker and who, having been warned by a police officer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spacing w:before="180"/>
      </w:pPr>
      <w:r>
        <w:tab/>
      </w:r>
      <w:r>
        <w:tab/>
        <w:t>habitually consorts with the other person is guilty of an offence and is liable to imprisonment for 2 years and a fine of $24 000.</w:t>
      </w:r>
    </w:p>
    <w:p>
      <w:pPr>
        <w:pStyle w:val="Subsection"/>
        <w:spacing w:before="180"/>
      </w:pPr>
      <w:r>
        <w:tab/>
        <w:t>(3)</w:t>
      </w:r>
      <w:r>
        <w:tab/>
        <w:t>It is a defence to a charge of an offence under subsection (2) to prove that the accused person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No. 70 of 2004 s. 33.]</w:t>
      </w:r>
    </w:p>
    <w:p>
      <w:pPr>
        <w:pStyle w:val="Heading5"/>
      </w:pPr>
      <w:bookmarkStart w:id="690" w:name="_Toc88662510"/>
      <w:r>
        <w:rPr>
          <w:rStyle w:val="CharSectno"/>
        </w:rPr>
        <w:t>557K</w:t>
      </w:r>
      <w:r>
        <w:t>.</w:t>
      </w:r>
      <w:r>
        <w:tab/>
        <w:t>Child sex offender, offences by</w:t>
      </w:r>
      <w:bookmarkEnd w:id="690"/>
    </w:p>
    <w:p>
      <w:pPr>
        <w:pStyle w:val="Subsection"/>
        <w:spacing w:before="180"/>
      </w:pPr>
      <w:r>
        <w:tab/>
        <w:t>(1)</w:t>
      </w:r>
      <w:r>
        <w:tab/>
        <w:t>In this section, unless the contrary intention appears —</w:t>
      </w:r>
    </w:p>
    <w:p>
      <w:pPr>
        <w:pStyle w:val="Defstart"/>
      </w:pPr>
      <w:r>
        <w:rPr>
          <w:b/>
        </w:rPr>
        <w:tab/>
      </w:r>
      <w:r>
        <w:rPr>
          <w:rStyle w:val="CharDefText"/>
        </w:rPr>
        <w:t>child</w:t>
      </w:r>
      <w:r>
        <w:t xml:space="preserve"> means a person under 18 years of age;</w:t>
      </w:r>
    </w:p>
    <w:p>
      <w:pPr>
        <w:pStyle w:val="Defstart"/>
      </w:pPr>
      <w:r>
        <w:tab/>
      </w:r>
      <w:r>
        <w:rPr>
          <w:rStyle w:val="CharDefText"/>
        </w:rPr>
        <w:t>child care centre</w:t>
      </w:r>
      <w:r>
        <w:t xml:space="preserve"> means a place where — </w:t>
      </w:r>
    </w:p>
    <w:p>
      <w:pPr>
        <w:pStyle w:val="Defpara"/>
      </w:pPr>
      <w:r>
        <w:tab/>
        <w:t>(a)</w:t>
      </w:r>
      <w:r>
        <w:tab/>
        <w:t xml:space="preserve">an education and care service as defined in the </w:t>
      </w:r>
      <w:r>
        <w:rPr>
          <w:i/>
        </w:rPr>
        <w:t>Education and Care Services National Law (Western Australia)</w:t>
      </w:r>
      <w:r>
        <w:t xml:space="preserve"> section 5(1) operates; or</w:t>
      </w:r>
    </w:p>
    <w:p>
      <w:pPr>
        <w:pStyle w:val="Defpara"/>
      </w:pPr>
      <w:r>
        <w:tab/>
        <w:t>(b)</w:t>
      </w:r>
      <w:r>
        <w:tab/>
        <w:t xml:space="preserve">a child care service as defined in the </w:t>
      </w:r>
      <w:r>
        <w:rPr>
          <w:i/>
        </w:rPr>
        <w:t>Child Care Services Act 2007</w:t>
      </w:r>
      <w:r>
        <w:t xml:space="preserve"> section 4 is provided;</w:t>
      </w:r>
    </w:p>
    <w:p>
      <w:pPr>
        <w:pStyle w:val="Defstart"/>
        <w:keepNext/>
        <w:keepLines/>
      </w:pPr>
      <w:r>
        <w:rPr>
          <w:b/>
        </w:rPr>
        <w:lastRenderedPageBreak/>
        <w:tab/>
      </w:r>
      <w:r>
        <w:rPr>
          <w:rStyle w:val="CharDefText"/>
        </w:rPr>
        <w:t>child sex offender</w:t>
      </w:r>
      <w:r>
        <w:t xml:space="preserve"> means a person who has been convicted of —</w:t>
      </w:r>
    </w:p>
    <w:p>
      <w:pPr>
        <w:pStyle w:val="Defpara"/>
        <w:keepLines/>
        <w:widowControl w:val="0"/>
      </w:pPr>
      <w:r>
        <w:tab/>
        <w:t>(a)</w:t>
      </w:r>
      <w:r>
        <w:tab/>
        <w:t>an offence under any of these Chapters of this Code that was committed against, in respect of, or in the sight of, a child —</w:t>
      </w:r>
    </w:p>
    <w:p>
      <w:pPr>
        <w:pStyle w:val="Defsubpara"/>
        <w:keepLines w:val="0"/>
      </w:pPr>
      <w:r>
        <w:tab/>
        <w:t>(i)</w:t>
      </w:r>
      <w:r>
        <w:tab/>
        <w:t>Chapter XXII — Offences against morality;</w:t>
      </w:r>
    </w:p>
    <w:p>
      <w:pPr>
        <w:pStyle w:val="Defsubpara"/>
      </w:pPr>
      <w:r>
        <w:tab/>
        <w:t>(iia)</w:t>
      </w:r>
      <w:r>
        <w:tab/>
        <w:t>Chapter XXV</w:t>
      </w:r>
      <w:r>
        <w:rPr>
          <w:vertAlign w:val="superscript"/>
        </w:rPr>
        <w:t> 5</w:t>
      </w:r>
      <w:r>
        <w:t> — Child exploitation material;</w:t>
      </w:r>
    </w:p>
    <w:p>
      <w:pPr>
        <w:pStyle w:val="Defsubpara"/>
        <w:keepLines w:val="0"/>
      </w:pPr>
      <w:r>
        <w:tab/>
        <w:t>(ii)</w:t>
      </w:r>
      <w:r>
        <w:tab/>
        <w:t>Chapter XXXI — Sexual offences;</w:t>
      </w:r>
    </w:p>
    <w:p>
      <w:pPr>
        <w:pStyle w:val="Defsubpara"/>
        <w:keepLines w:val="0"/>
      </w:pPr>
      <w:r>
        <w:tab/>
        <w:t>(iii)</w:t>
      </w:r>
      <w:r>
        <w:tab/>
        <w:t>Chapter XXXIII — Offences against liberty;</w:t>
      </w:r>
    </w:p>
    <w:p>
      <w:pPr>
        <w:pStyle w:val="Defpara"/>
      </w:pPr>
      <w:r>
        <w:tab/>
      </w:r>
      <w:r>
        <w:tab/>
        <w:t>or</w:t>
      </w:r>
    </w:p>
    <w:p>
      <w:pPr>
        <w:pStyle w:val="Defpara"/>
      </w:pPr>
      <w:r>
        <w:tab/>
        <w:t>(b)</w:t>
      </w:r>
      <w:r>
        <w:tab/>
        <w:t>an offence under Chapter XXXIIIB that was committed against or in respect of a child; or</w:t>
      </w:r>
    </w:p>
    <w:p>
      <w:pPr>
        <w:pStyle w:val="Defpara"/>
      </w:pPr>
      <w:r>
        <w:tab/>
        <w:t>(c)</w:t>
      </w:r>
      <w:r>
        <w:tab/>
        <w:t>an offence under any of these repealed enactments of this Code that was committed against a child —</w:t>
      </w:r>
    </w:p>
    <w:p>
      <w:pPr>
        <w:pStyle w:val="Defsubpara"/>
        <w:keepLines w:val="0"/>
      </w:pPr>
      <w:r>
        <w:tab/>
        <w:t>(i)</w:t>
      </w:r>
      <w:r>
        <w:tab/>
        <w:t>section 315 (Indecent assault on males);</w:t>
      </w:r>
    </w:p>
    <w:p>
      <w:pPr>
        <w:pStyle w:val="Defsubpara"/>
        <w:keepLines w:val="0"/>
      </w:pPr>
      <w:r>
        <w:tab/>
        <w:t>(ii)</w:t>
      </w:r>
      <w:r>
        <w:tab/>
        <w:t>Chapter XXXIA — Sexual assaults;</w:t>
      </w:r>
    </w:p>
    <w:p>
      <w:pPr>
        <w:pStyle w:val="Defsubpara"/>
        <w:keepLines w:val="0"/>
      </w:pPr>
      <w:r>
        <w:tab/>
        <w:t>(iii)</w:t>
      </w:r>
      <w:r>
        <w:tab/>
        <w:t>Chapter XXXII — Assaults on females: Abduction;</w:t>
      </w:r>
    </w:p>
    <w:p>
      <w:pPr>
        <w:pStyle w:val="Defpara"/>
      </w:pPr>
      <w:r>
        <w:tab/>
      </w:r>
      <w:r>
        <w:tab/>
        <w:t>or</w:t>
      </w:r>
    </w:p>
    <w:p>
      <w:pPr>
        <w:pStyle w:val="Defpara"/>
      </w:pPr>
      <w:r>
        <w:tab/>
        <w:t>(da)</w:t>
      </w:r>
      <w:r>
        <w:tab/>
        <w:t xml:space="preserve">an offence under any of these provisions of </w:t>
      </w:r>
      <w:r>
        <w:rPr>
          <w:i/>
        </w:rPr>
        <w:t>The Criminal Code</w:t>
      </w:r>
      <w:r>
        <w:t xml:space="preserve"> set out in the Schedule to the </w:t>
      </w:r>
      <w:r>
        <w:rPr>
          <w:i/>
        </w:rPr>
        <w:t>Criminal Code Act 1995</w:t>
      </w:r>
      <w:r>
        <w:t xml:space="preserve"> (Commonwealth) — </w:t>
      </w:r>
    </w:p>
    <w:p>
      <w:pPr>
        <w:pStyle w:val="Defsubpara"/>
      </w:pPr>
      <w:r>
        <w:tab/>
        <w:t>(i)</w:t>
      </w:r>
      <w:r>
        <w:tab/>
        <w:t>Division 272 — Child sex offences outside Australia;</w:t>
      </w:r>
    </w:p>
    <w:p>
      <w:pPr>
        <w:pStyle w:val="Defsubpara"/>
      </w:pPr>
      <w:r>
        <w:tab/>
        <w:t>(ii)</w:t>
      </w:r>
      <w:r>
        <w:tab/>
        <w:t>Division 273 — Offences involving child pornography material or child abuse material outside Australia;</w:t>
      </w:r>
    </w:p>
    <w:p>
      <w:pPr>
        <w:pStyle w:val="Defsubpara"/>
      </w:pPr>
      <w:r>
        <w:tab/>
        <w:t>(iii)</w:t>
      </w:r>
      <w:r>
        <w:tab/>
        <w:t>Division 474 Subdivision D — Offences relating to use of carriage service for child pornography material or child abuse material;</w:t>
      </w:r>
    </w:p>
    <w:p>
      <w:pPr>
        <w:pStyle w:val="Defsubpara"/>
      </w:pPr>
      <w:r>
        <w:lastRenderedPageBreak/>
        <w:tab/>
        <w:t>(iv)</w:t>
      </w:r>
      <w:r>
        <w:tab/>
        <w:t>Division 474 Subdivision F — Offences relating to use of carriage service involving sexual activity with person under 16;</w:t>
      </w:r>
    </w:p>
    <w:p>
      <w:pPr>
        <w:pStyle w:val="Defpara"/>
      </w:pPr>
      <w:r>
        <w:tab/>
      </w:r>
      <w:r>
        <w:tab/>
        <w:t>or</w:t>
      </w:r>
    </w:p>
    <w:p>
      <w:pPr>
        <w:pStyle w:val="Defpara"/>
      </w:pPr>
      <w:r>
        <w:tab/>
        <w:t>(db)</w:t>
      </w:r>
      <w:r>
        <w:tab/>
        <w:t xml:space="preserve">an offence under the repealed Part IIIA Division 2 of the </w:t>
      </w:r>
      <w:r>
        <w:rPr>
          <w:i/>
        </w:rPr>
        <w:t>Crimes Act 1914</w:t>
      </w:r>
      <w:r>
        <w:t xml:space="preserve"> (Commonwealth); or</w:t>
      </w:r>
    </w:p>
    <w:p>
      <w:pPr>
        <w:pStyle w:val="Defpara"/>
      </w:pPr>
      <w:r>
        <w:tab/>
        <w:t>(d)</w:t>
      </w:r>
      <w:r>
        <w:tab/>
        <w:t xml:space="preserve">an offence under section 59 of the </w:t>
      </w:r>
      <w:r>
        <w:rPr>
          <w:i/>
          <w:iCs/>
        </w:rPr>
        <w:t>Classification (Publications, Films and Computer Games) Enforcement Act </w:t>
      </w:r>
      <w:r>
        <w:rPr>
          <w:i/>
        </w:rPr>
        <w:t xml:space="preserve">1996 </w:t>
      </w:r>
      <w:r>
        <w:t>that was committed in circumstances in which an indecent or obscene article was sold, supplied or offered to a child; or</w:t>
      </w:r>
    </w:p>
    <w:p>
      <w:pPr>
        <w:pStyle w:val="Defpara"/>
      </w:pPr>
      <w:r>
        <w:tab/>
        <w:t>(e)</w:t>
      </w:r>
      <w:r>
        <w:tab/>
        <w:t xml:space="preserve">an offence under the deleted section 60 of the </w:t>
      </w:r>
      <w:r>
        <w:rPr>
          <w:i/>
          <w:iCs/>
        </w:rPr>
        <w:t>Classification (Publications, Films and Computer Games) Enforcement Act </w:t>
      </w:r>
      <w:r>
        <w:rPr>
          <w:i/>
        </w:rPr>
        <w:t>1996</w:t>
      </w:r>
      <w:r>
        <w:t>; or</w:t>
      </w:r>
    </w:p>
    <w:p>
      <w:pPr>
        <w:pStyle w:val="Defpara"/>
      </w:pPr>
      <w:r>
        <w:tab/>
        <w:t>(f)</w:t>
      </w:r>
      <w:r>
        <w:tab/>
        <w:t xml:space="preserve">an offence under section 101 of the </w:t>
      </w:r>
      <w:r>
        <w:rPr>
          <w:i/>
          <w:iCs/>
        </w:rPr>
        <w:t>Classification (Publications, Films and Computer Games) Enforcement Act </w:t>
      </w:r>
      <w:r>
        <w:rPr>
          <w:i/>
        </w:rPr>
        <w:t xml:space="preserve">1996 </w:t>
      </w:r>
      <w:r>
        <w:t>that was committed in circumstances in which —</w:t>
      </w:r>
    </w:p>
    <w:p>
      <w:pPr>
        <w:pStyle w:val="Defsubpara"/>
        <w:keepLines w:val="0"/>
        <w:spacing w:before="100"/>
      </w:pPr>
      <w:r>
        <w:tab/>
        <w:t>(i)</w:t>
      </w:r>
      <w:r>
        <w:tab/>
        <w:t>objectionable material was transmitted or demonstrated to a child; or</w:t>
      </w:r>
    </w:p>
    <w:p>
      <w:pPr>
        <w:pStyle w:val="Defsubpara"/>
        <w:keepLines w:val="0"/>
        <w:spacing w:before="100"/>
      </w:pPr>
      <w:r>
        <w:tab/>
        <w:t>(ii)</w:t>
      </w:r>
      <w:r>
        <w:tab/>
        <w:t>the objectionable material was child exploitation material (as defined in section 217A</w:t>
      </w:r>
      <w:r>
        <w:rPr>
          <w:vertAlign w:val="superscript"/>
        </w:rPr>
        <w:t> 5</w:t>
      </w:r>
      <w:r>
        <w:t>);</w:t>
      </w:r>
    </w:p>
    <w:p>
      <w:pPr>
        <w:pStyle w:val="Defpara"/>
        <w:spacing w:before="100"/>
      </w:pPr>
      <w:r>
        <w:tab/>
      </w:r>
      <w:r>
        <w:tab/>
        <w:t>or</w:t>
      </w:r>
    </w:p>
    <w:p>
      <w:pPr>
        <w:pStyle w:val="Defpara"/>
        <w:spacing w:before="100"/>
      </w:pPr>
      <w:r>
        <w:tab/>
        <w:t>(g)</w:t>
      </w:r>
      <w:r>
        <w:tab/>
        <w:t xml:space="preserve">an offence under section 102 of the </w:t>
      </w:r>
      <w:r>
        <w:rPr>
          <w:i/>
          <w:iCs/>
        </w:rPr>
        <w:t>Classification (Publications, Films and Computer Games) Enforcement Act </w:t>
      </w:r>
      <w:r>
        <w:rPr>
          <w:i/>
        </w:rPr>
        <w:t>1996</w:t>
      </w:r>
      <w:r>
        <w:t>; or</w:t>
      </w:r>
    </w:p>
    <w:p>
      <w:pPr>
        <w:pStyle w:val="Defpara"/>
        <w:spacing w:before="100"/>
      </w:pPr>
      <w:r>
        <w:tab/>
        <w:t>(h)</w:t>
      </w:r>
      <w:r>
        <w:tab/>
        <w:t xml:space="preserve">an offence committed under section 5(1), 6(1), 15, 16, 17 or 18 of the </w:t>
      </w:r>
      <w:r>
        <w:rPr>
          <w:i/>
        </w:rPr>
        <w:t xml:space="preserve">Prostitution Act 2000 </w:t>
      </w:r>
      <w:r>
        <w:t>committed against or in respect of a child; or</w:t>
      </w:r>
    </w:p>
    <w:p>
      <w:pPr>
        <w:pStyle w:val="Defpara"/>
        <w:spacing w:before="100"/>
      </w:pPr>
      <w:r>
        <w:tab/>
        <w:t>(i)</w:t>
      </w:r>
      <w:r>
        <w:tab/>
        <w:t>an offence under this section; or</w:t>
      </w:r>
    </w:p>
    <w:p>
      <w:pPr>
        <w:pStyle w:val="Defpara"/>
        <w:spacing w:before="100"/>
      </w:pPr>
      <w:r>
        <w:tab/>
        <w:t>(j)</w:t>
      </w:r>
      <w:r>
        <w:tab/>
        <w:t xml:space="preserve">an offence under the repealed section 66(11) of the </w:t>
      </w:r>
      <w:r>
        <w:rPr>
          <w:i/>
        </w:rPr>
        <w:t xml:space="preserve">Police Act 1892 </w:t>
      </w:r>
      <w:r>
        <w:t>committed in the sight of a child; or</w:t>
      </w:r>
    </w:p>
    <w:p>
      <w:pPr>
        <w:pStyle w:val="Defpara"/>
        <w:spacing w:before="100"/>
      </w:pPr>
      <w:r>
        <w:lastRenderedPageBreak/>
        <w:tab/>
        <w:t>(k)</w:t>
      </w:r>
      <w:r>
        <w:tab/>
        <w:t>an offence against a law of a jurisdiction other than Western Australia that is substantially similar to an offence referred to in any of paragraphs (a) to (j);</w:t>
      </w:r>
    </w:p>
    <w:p>
      <w:pPr>
        <w:pStyle w:val="Defstart"/>
        <w:spacing w:before="100"/>
      </w:pPr>
      <w:r>
        <w:rPr>
          <w:b/>
        </w:rPr>
        <w:tab/>
      </w:r>
      <w:r>
        <w:rPr>
          <w:rStyle w:val="CharDefText"/>
        </w:rPr>
        <w:t>consort</w:t>
      </w:r>
      <w:r>
        <w:t xml:space="preserve"> includes to communicate in any manner.</w:t>
      </w:r>
    </w:p>
    <w:p>
      <w:pPr>
        <w:pStyle w:val="Subsection"/>
        <w:spacing w:before="120"/>
      </w:pPr>
      <w:r>
        <w:tab/>
        <w:t>(2)</w:t>
      </w:r>
      <w:r>
        <w:tab/>
        <w:t xml:space="preserve">A reference in paragraph (a) or (b) of the definition of </w:t>
      </w:r>
      <w:r>
        <w:rPr>
          <w:b/>
          <w:bCs/>
          <w:i/>
          <w:iCs/>
        </w:rPr>
        <w:t>child sex offender</w:t>
      </w:r>
      <w:r>
        <w:t xml:space="preserve"> in subsection (1) to a Chapter of this Code includes a reference to the Chapter as enacted at any time.</w:t>
      </w:r>
    </w:p>
    <w:p>
      <w:pPr>
        <w:pStyle w:val="Subsection"/>
        <w:spacing w:before="120"/>
      </w:pPr>
      <w:r>
        <w:tab/>
        <w:t>(3)</w:t>
      </w:r>
      <w:r>
        <w:tab/>
        <w:t xml:space="preserve">A reference in paragraph (c) of the definition of </w:t>
      </w:r>
      <w:r>
        <w:rPr>
          <w:b/>
          <w:bCs/>
          <w:i/>
          <w:iCs/>
        </w:rPr>
        <w:t>child sex offender</w:t>
      </w:r>
      <w:r>
        <w:t xml:space="preserve"> in subsection (1) to an enactment of this Code includes a reference to the enactment as enacted at any time before it was repealed.</w:t>
      </w:r>
    </w:p>
    <w:p>
      <w:pPr>
        <w:pStyle w:val="Subsection"/>
        <w:spacing w:before="120"/>
      </w:pPr>
      <w:r>
        <w:tab/>
        <w:t>(4)</w:t>
      </w:r>
      <w:r>
        <w:tab/>
        <w:t>A person who is a child sex offender and who, having been warned by a police officer —</w:t>
      </w:r>
    </w:p>
    <w:p>
      <w:pPr>
        <w:pStyle w:val="Indenta"/>
        <w:spacing w:before="100"/>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spacing w:before="120"/>
      </w:pPr>
      <w:r>
        <w:tab/>
      </w:r>
      <w:r>
        <w:tab/>
        <w:t>habitually consorts with the other person is guilty of an offence and is liable to imprisonment for 2 years and a fine of $24 000.</w:t>
      </w:r>
    </w:p>
    <w:p>
      <w:pPr>
        <w:pStyle w:val="Subsection"/>
        <w:keepNext/>
        <w:spacing w:before="120"/>
      </w:pPr>
      <w:r>
        <w:tab/>
        <w:t>(5)</w:t>
      </w:r>
      <w:r>
        <w:tab/>
        <w:t>It is a defence to a charge of an offence under subsection (4) to prove that the accused person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spacing w:before="140"/>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spacing w:before="140"/>
      </w:pPr>
      <w:r>
        <w:tab/>
      </w:r>
      <w:r>
        <w:tab/>
        <w:t>and where children are at the time is guilty of an offence and is liable to imprisonment for 2 years and a fine of $24 000.</w:t>
      </w:r>
    </w:p>
    <w:p>
      <w:pPr>
        <w:pStyle w:val="Footnotesection"/>
        <w:spacing w:before="80"/>
        <w:ind w:left="890" w:hanging="890"/>
      </w:pPr>
      <w:r>
        <w:tab/>
        <w:t>[Section 557K inserted: No. 70 of 2004 s. 33; amended: No. 10 of 2006 Sch. 1 cl. 2; No. 21 of 2010 s. 5; No. 11 of 2012 s. 31; No. 5 of 2014 s. 6.]</w:t>
      </w:r>
    </w:p>
    <w:p>
      <w:pPr>
        <w:pStyle w:val="Heading3"/>
        <w:rPr>
          <w:snapToGrid w:val="0"/>
        </w:rPr>
      </w:pPr>
      <w:bookmarkStart w:id="691" w:name="_Toc88570068"/>
      <w:bookmarkStart w:id="692" w:name="_Toc88570590"/>
      <w:bookmarkStart w:id="693" w:name="_Toc88571112"/>
      <w:bookmarkStart w:id="694" w:name="_Toc88662511"/>
      <w:r>
        <w:rPr>
          <w:rStyle w:val="CharDivNo"/>
        </w:rPr>
        <w:lastRenderedPageBreak/>
        <w:t>Chapter LVIII</w:t>
      </w:r>
      <w:r>
        <w:rPr>
          <w:snapToGrid w:val="0"/>
        </w:rPr>
        <w:t> — </w:t>
      </w:r>
      <w:r>
        <w:rPr>
          <w:rStyle w:val="CharDivText"/>
        </w:rPr>
        <w:t>Conspiracy</w:t>
      </w:r>
      <w:bookmarkEnd w:id="691"/>
      <w:bookmarkEnd w:id="692"/>
      <w:bookmarkEnd w:id="693"/>
      <w:bookmarkEnd w:id="694"/>
    </w:p>
    <w:p>
      <w:pPr>
        <w:pStyle w:val="Heading5"/>
      </w:pPr>
      <w:bookmarkStart w:id="695" w:name="_Toc88662512"/>
      <w:r>
        <w:rPr>
          <w:rStyle w:val="CharSectno"/>
        </w:rPr>
        <w:t>558</w:t>
      </w:r>
      <w:r>
        <w:t>.</w:t>
      </w:r>
      <w:r>
        <w:tab/>
        <w:t>Conspiracy to commit indictable offence</w:t>
      </w:r>
      <w:bookmarkEnd w:id="695"/>
    </w:p>
    <w:p>
      <w:pPr>
        <w:pStyle w:val="Subsection"/>
      </w:pPr>
      <w:r>
        <w:tab/>
        <w:t>(1)</w:t>
      </w:r>
      <w:r>
        <w:tab/>
        <w:t>Any person who conspires with another person —</w:t>
      </w:r>
    </w:p>
    <w:p>
      <w:pPr>
        <w:pStyle w:val="Indenta"/>
      </w:pPr>
      <w:r>
        <w:tab/>
        <w:t>(a)</w:t>
      </w:r>
      <w:r>
        <w:tab/>
        <w:t xml:space="preserve">to commit an indictable offence (the </w:t>
      </w:r>
      <w:r>
        <w:rPr>
          <w:rStyle w:val="CharDefText"/>
        </w:rPr>
        <w:t>principal offence</w:t>
      </w:r>
      <w:r>
        <w:t>); or</w:t>
      </w:r>
    </w:p>
    <w:p>
      <w:pPr>
        <w:pStyle w:val="Indenta"/>
      </w:pPr>
      <w:r>
        <w:tab/>
        <w:t>(b)</w:t>
      </w:r>
      <w:r>
        <w:tab/>
        <w:t xml:space="preserve">to do any act or make any omission in any part of the world which, if done or made in Western Australia, would be an indictable offence (the </w:t>
      </w:r>
      <w:r>
        <w:rPr>
          <w:rStyle w:val="CharDefText"/>
        </w:rPr>
        <w:t>principal offence</w:t>
      </w:r>
      <w:r>
        <w:t>) and which is an offence under the laws in force in the place where it is proposed to be done or made,</w:t>
      </w:r>
    </w:p>
    <w:p>
      <w:pPr>
        <w:pStyle w:val="Subsection"/>
      </w:pPr>
      <w:r>
        <w:tab/>
      </w:r>
      <w:r>
        <w:tab/>
        <w:t>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keepNext/>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keepLines/>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No. 4 of 2004 s. 42; amended: No. 70 of 2004 s. 34(6) and (7).]</w:t>
      </w:r>
    </w:p>
    <w:p>
      <w:pPr>
        <w:pStyle w:val="Ednotesection"/>
      </w:pPr>
      <w:r>
        <w:t>[</w:t>
      </w:r>
      <w:r>
        <w:rPr>
          <w:b/>
        </w:rPr>
        <w:t>559.</w:t>
      </w:r>
      <w:r>
        <w:rPr>
          <w:b/>
        </w:rPr>
        <w:tab/>
      </w:r>
      <w:r>
        <w:t>Deleted: No. 4 of 2004 s. 43.]</w:t>
      </w:r>
    </w:p>
    <w:p>
      <w:pPr>
        <w:pStyle w:val="Heading5"/>
        <w:pageBreakBefore/>
        <w:spacing w:before="0"/>
        <w:rPr>
          <w:snapToGrid w:val="0"/>
        </w:rPr>
      </w:pPr>
      <w:bookmarkStart w:id="696" w:name="_Toc88662513"/>
      <w:r>
        <w:rPr>
          <w:rStyle w:val="CharSectno"/>
        </w:rPr>
        <w:lastRenderedPageBreak/>
        <w:t>560</w:t>
      </w:r>
      <w:r>
        <w:rPr>
          <w:snapToGrid w:val="0"/>
        </w:rPr>
        <w:t>.</w:t>
      </w:r>
      <w:r>
        <w:rPr>
          <w:snapToGrid w:val="0"/>
        </w:rPr>
        <w:tab/>
        <w:t>Conspiracy to commit simple offence</w:t>
      </w:r>
      <w:bookmarkEnd w:id="696"/>
    </w:p>
    <w:p>
      <w:pPr>
        <w:pStyle w:val="Subsection"/>
        <w:rPr>
          <w:snapToGrid w:val="0"/>
        </w:rPr>
      </w:pPr>
      <w:r>
        <w:rPr>
          <w:snapToGrid w:val="0"/>
        </w:rPr>
        <w:tab/>
        <w:t>(1)</w:t>
      </w:r>
      <w:r>
        <w:rPr>
          <w:snapToGrid w:val="0"/>
        </w:rPr>
        <w:tab/>
        <w:t>Any person who conspires with another person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spacing w:before="180"/>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spacing w:before="180"/>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spacing w:before="180"/>
        <w:rPr>
          <w:snapToGrid w:val="0"/>
        </w:rPr>
      </w:pPr>
      <w:r>
        <w:rPr>
          <w:snapToGrid w:val="0"/>
        </w:rPr>
        <w:tab/>
        <w:t>(3)</w:t>
      </w:r>
      <w:r>
        <w:rPr>
          <w:snapToGrid w:val="0"/>
        </w:rPr>
        <w:tab/>
        <w:t>A prosecution for an offence under subsection (1) may be commenced at any time.</w:t>
      </w:r>
    </w:p>
    <w:p>
      <w:pPr>
        <w:pStyle w:val="Footnotesection"/>
      </w:pPr>
      <w:r>
        <w:tab/>
        <w:t>[Section 560 inserted: No. 106 of 1987 s. 9.]</w:t>
      </w:r>
    </w:p>
    <w:p>
      <w:pPr>
        <w:pStyle w:val="Ednotesection"/>
      </w:pPr>
      <w:r>
        <w:t>[</w:t>
      </w:r>
      <w:r>
        <w:rPr>
          <w:b/>
        </w:rPr>
        <w:t>561.</w:t>
      </w:r>
      <w:r>
        <w:tab/>
        <w:t>Deleted: No. 106 of 1987 s. 10.]</w:t>
      </w:r>
    </w:p>
    <w:p>
      <w:pPr>
        <w:pStyle w:val="Heading3"/>
        <w:keepLines/>
        <w:rPr>
          <w:snapToGrid w:val="0"/>
        </w:rPr>
      </w:pPr>
      <w:bookmarkStart w:id="697" w:name="_Toc88570071"/>
      <w:bookmarkStart w:id="698" w:name="_Toc88570593"/>
      <w:bookmarkStart w:id="699" w:name="_Toc88571115"/>
      <w:bookmarkStart w:id="700" w:name="_Toc88662514"/>
      <w:r>
        <w:rPr>
          <w:rStyle w:val="CharDivNo"/>
        </w:rPr>
        <w:t>Chapter LIX</w:t>
      </w:r>
      <w:r>
        <w:rPr>
          <w:snapToGrid w:val="0"/>
        </w:rPr>
        <w:t> — </w:t>
      </w:r>
      <w:r>
        <w:rPr>
          <w:rStyle w:val="CharDivText"/>
        </w:rPr>
        <w:t>Accessories after the fact and property laundering</w:t>
      </w:r>
      <w:bookmarkEnd w:id="697"/>
      <w:bookmarkEnd w:id="698"/>
      <w:bookmarkEnd w:id="699"/>
      <w:bookmarkEnd w:id="700"/>
    </w:p>
    <w:p>
      <w:pPr>
        <w:pStyle w:val="Footnoteheading"/>
        <w:keepNext/>
        <w:keepLines/>
      </w:pPr>
      <w:r>
        <w:tab/>
        <w:t>[Heading amended: No. 15 of 1992 s. 10.]</w:t>
      </w:r>
    </w:p>
    <w:p>
      <w:pPr>
        <w:pStyle w:val="Heading5"/>
      </w:pPr>
      <w:bookmarkStart w:id="701" w:name="_Toc88662515"/>
      <w:r>
        <w:rPr>
          <w:rStyle w:val="CharSectno"/>
        </w:rPr>
        <w:t>562</w:t>
      </w:r>
      <w:r>
        <w:t>.</w:t>
      </w:r>
      <w:r>
        <w:tab/>
        <w:t>Accessory after the fact to indictable offence</w:t>
      </w:r>
      <w:bookmarkEnd w:id="701"/>
    </w:p>
    <w:p>
      <w:pPr>
        <w:pStyle w:val="Subsection"/>
      </w:pPr>
      <w:r>
        <w:tab/>
        <w:t>(1)</w:t>
      </w:r>
      <w:r>
        <w:tab/>
        <w:t xml:space="preserve">Any person who becomes an accessory after the fact to an indictable offence (the </w:t>
      </w:r>
      <w:r>
        <w:rPr>
          <w:rStyle w:val="CharDefText"/>
        </w:rPr>
        <w:t>principal offence</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lastRenderedPageBreak/>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ind w:left="890" w:hanging="890"/>
      </w:pPr>
      <w:r>
        <w:tab/>
        <w:t>[Section 562 inserted: No. 4 of 2004 s. 44; amended: No. 70 of 2004 s. 34(8) and (9).]</w:t>
      </w:r>
    </w:p>
    <w:p>
      <w:pPr>
        <w:pStyle w:val="Ednotesection"/>
      </w:pPr>
      <w:r>
        <w:t>[</w:t>
      </w:r>
      <w:r>
        <w:rPr>
          <w:b/>
        </w:rPr>
        <w:t>563.</w:t>
      </w:r>
      <w:r>
        <w:rPr>
          <w:b/>
        </w:rPr>
        <w:tab/>
      </w:r>
      <w:r>
        <w:t>Deleted: No. 4 of 2004 s. 45.]</w:t>
      </w:r>
    </w:p>
    <w:p>
      <w:pPr>
        <w:pStyle w:val="Heading5"/>
        <w:rPr>
          <w:snapToGrid w:val="0"/>
        </w:rPr>
      </w:pPr>
      <w:bookmarkStart w:id="702" w:name="_Toc88662516"/>
      <w:r>
        <w:rPr>
          <w:rStyle w:val="CharSectno"/>
        </w:rPr>
        <w:t>563A</w:t>
      </w:r>
      <w:r>
        <w:rPr>
          <w:snapToGrid w:val="0"/>
        </w:rPr>
        <w:t>.</w:t>
      </w:r>
      <w:r>
        <w:rPr>
          <w:snapToGrid w:val="0"/>
        </w:rPr>
        <w:tab/>
        <w:t>Property laundering</w:t>
      </w:r>
      <w:bookmarkEnd w:id="702"/>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in Western Australia engages, directly or indirectly, in a transaction that involves; or</w:t>
      </w:r>
    </w:p>
    <w:p>
      <w:pPr>
        <w:pStyle w:val="Indenta"/>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2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w:t>
      </w:r>
    </w:p>
    <w:p>
      <w:pPr>
        <w:pStyle w:val="Indenta"/>
        <w:spacing w:before="60"/>
      </w:pPr>
      <w:r>
        <w:tab/>
        <w:t>(a)</w:t>
      </w:r>
      <w:r>
        <w:tab/>
        <w:t>being credited to an account; or</w:t>
      </w:r>
    </w:p>
    <w:p>
      <w:pPr>
        <w:pStyle w:val="Indenta"/>
        <w:spacing w:before="60"/>
      </w:pPr>
      <w:r>
        <w:tab/>
        <w:t>(b)</w:t>
      </w:r>
      <w:r>
        <w:tab/>
        <w:t>being given away, or exchanged for other property that is not proceeds of an offence.</w:t>
      </w:r>
    </w:p>
    <w:p>
      <w:pPr>
        <w:pStyle w:val="Subsection"/>
        <w:ind w:left="890" w:hanging="890"/>
        <w:rPr>
          <w:snapToGrid w:val="0"/>
        </w:rPr>
      </w:pPr>
      <w:r>
        <w:rPr>
          <w:snapToGrid w:val="0"/>
        </w:rPr>
        <w:tab/>
        <w:t>(2)</w:t>
      </w:r>
      <w:r>
        <w:rPr>
          <w:snapToGrid w:val="0"/>
        </w:rPr>
        <w:tab/>
        <w:t>It is a defence in proceedings for a crime under subsection (1) —</w:t>
      </w:r>
    </w:p>
    <w:p>
      <w:pPr>
        <w:pStyle w:val="Indenta"/>
        <w:spacing w:before="60"/>
        <w:rPr>
          <w:snapToGrid w:val="0"/>
        </w:rPr>
      </w:pPr>
      <w:r>
        <w:rPr>
          <w:snapToGrid w:val="0"/>
        </w:rPr>
        <w:tab/>
        <w:t>(a)</w:t>
      </w:r>
      <w:r>
        <w:rPr>
          <w:snapToGrid w:val="0"/>
        </w:rPr>
        <w:tab/>
        <w:t>to prove that the</w:t>
      </w:r>
      <w:r>
        <w:t xml:space="preserve"> accused</w:t>
      </w:r>
      <w:r>
        <w:rPr>
          <w:snapToGrid w:val="0"/>
        </w:rPr>
        <w:t> —</w:t>
      </w:r>
    </w:p>
    <w:p>
      <w:pPr>
        <w:pStyle w:val="Indenti"/>
        <w:spacing w:before="60"/>
        <w:rPr>
          <w:snapToGrid w:val="0"/>
        </w:rPr>
      </w:pPr>
      <w:r>
        <w:rPr>
          <w:snapToGrid w:val="0"/>
        </w:rPr>
        <w:tab/>
        <w:t>(i)</w:t>
      </w:r>
      <w:r>
        <w:rPr>
          <w:snapToGrid w:val="0"/>
        </w:rPr>
        <w:tab/>
        <w:t>did not know; and</w:t>
      </w:r>
    </w:p>
    <w:p>
      <w:pPr>
        <w:pStyle w:val="Indenti"/>
        <w:spacing w:before="60"/>
        <w:rPr>
          <w:snapToGrid w:val="0"/>
        </w:rPr>
      </w:pPr>
      <w:r>
        <w:rPr>
          <w:snapToGrid w:val="0"/>
        </w:rPr>
        <w:tab/>
        <w:t>(ii)</w:t>
      </w:r>
      <w:r>
        <w:rPr>
          <w:snapToGrid w:val="0"/>
        </w:rPr>
        <w:tab/>
        <w:t>did not believe or suspect; and</w:t>
      </w:r>
    </w:p>
    <w:p>
      <w:pPr>
        <w:pStyle w:val="Indenti"/>
        <w:spacing w:before="60"/>
        <w:rPr>
          <w:snapToGrid w:val="0"/>
        </w:rPr>
      </w:pPr>
      <w:r>
        <w:rPr>
          <w:snapToGrid w:val="0"/>
        </w:rPr>
        <w:lastRenderedPageBreak/>
        <w:tab/>
        <w:t>(iii)</w:t>
      </w:r>
      <w:r>
        <w:rPr>
          <w:snapToGrid w:val="0"/>
        </w:rPr>
        <w:tab/>
        <w:t>did not have reasonable grounds to believe or suspect,</w:t>
      </w:r>
    </w:p>
    <w:p>
      <w:pPr>
        <w:pStyle w:val="Indenta"/>
        <w:spacing w:before="60"/>
        <w:rPr>
          <w:snapToGrid w:val="0"/>
        </w:rPr>
      </w:pPr>
      <w:r>
        <w:rPr>
          <w:snapToGrid w:val="0"/>
        </w:rPr>
        <w:tab/>
      </w:r>
      <w:r>
        <w:rPr>
          <w:snapToGrid w:val="0"/>
        </w:rPr>
        <w:tab/>
        <w:t>that the relevant money or other property was the proceeds of an offence; or</w:t>
      </w:r>
    </w:p>
    <w:p>
      <w:pPr>
        <w:pStyle w:val="Indenta"/>
        <w:spacing w:before="60"/>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20"/>
        <w:ind w:left="890" w:hanging="890"/>
        <w:rPr>
          <w:snapToGrid w:val="0"/>
        </w:rPr>
      </w:pPr>
      <w:r>
        <w:rPr>
          <w:snapToGrid w:val="0"/>
        </w:rPr>
        <w:tab/>
        <w:t>(3)</w:t>
      </w:r>
      <w:r>
        <w:rPr>
          <w:snapToGrid w:val="0"/>
        </w:rPr>
        <w:tab/>
        <w:t>In this section —</w:t>
      </w:r>
    </w:p>
    <w:p>
      <w:pPr>
        <w:pStyle w:val="Defstart"/>
      </w:pPr>
      <w:r>
        <w:rPr>
          <w:b/>
        </w:rPr>
        <w:tab/>
      </w:r>
      <w:r>
        <w:rPr>
          <w:rStyle w:val="CharDefText"/>
        </w:rPr>
        <w:t>offence</w:t>
      </w:r>
      <w:r>
        <w:t xml:space="preserve"> means an offence against a law of Western Australia, the Commonwealth, another State or a Territory;</w:t>
      </w:r>
    </w:p>
    <w:p>
      <w:pPr>
        <w:pStyle w:val="Defstart"/>
      </w:pPr>
      <w:r>
        <w:rPr>
          <w:b/>
        </w:rPr>
        <w:tab/>
      </w:r>
      <w:r>
        <w:rPr>
          <w:rStyle w:val="CharDefText"/>
        </w:rPr>
        <w:t>proceeds</w:t>
      </w:r>
      <w:r>
        <w:t>, in relation to an offence, means money or other property that is derived or realized, directly or indirectly, by any person from the commission of the offence;</w:t>
      </w:r>
    </w:p>
    <w:p>
      <w:pPr>
        <w:pStyle w:val="Defstart"/>
      </w:pPr>
      <w:r>
        <w:rPr>
          <w:b/>
        </w:rPr>
        <w:tab/>
      </w:r>
      <w:r>
        <w:rPr>
          <w:rStyle w:val="CharDefText"/>
        </w:rPr>
        <w:t>transaction</w:t>
      </w:r>
      <w:r>
        <w:t xml:space="preserve"> includes the receiving or making of a gift.</w:t>
      </w:r>
    </w:p>
    <w:p>
      <w:pPr>
        <w:pStyle w:val="Footnotesection"/>
        <w:spacing w:before="80"/>
        <w:ind w:left="890" w:hanging="890"/>
      </w:pPr>
      <w:r>
        <w:tab/>
        <w:t>[Section 563A inserted: No. 15 of 1992 s. 11; amended: No. 26 of 2004 s. 4; No. 84 of 2004 s. 82.]</w:t>
      </w:r>
    </w:p>
    <w:p>
      <w:pPr>
        <w:pStyle w:val="Heading5"/>
        <w:keepLines w:val="0"/>
        <w:spacing w:before="180"/>
      </w:pPr>
      <w:bookmarkStart w:id="703" w:name="_Toc88662517"/>
      <w:r>
        <w:rPr>
          <w:rStyle w:val="CharSectno"/>
        </w:rPr>
        <w:t>563B</w:t>
      </w:r>
      <w:r>
        <w:t>.</w:t>
      </w:r>
      <w:r>
        <w:tab/>
        <w:t>Dealing with property used in connection with an offence</w:t>
      </w:r>
      <w:bookmarkEnd w:id="703"/>
    </w:p>
    <w:p>
      <w:pPr>
        <w:pStyle w:val="Subsection"/>
        <w:spacing w:before="120"/>
      </w:pPr>
      <w:r>
        <w:tab/>
        <w:t>(1)</w:t>
      </w:r>
      <w:r>
        <w:tab/>
        <w:t>A person who deals with any money or other property that is being used, or is intended to be used, in connection with an offence is guilty of a crime and is liable to imprisonment for 20 years.</w:t>
      </w:r>
    </w:p>
    <w:p>
      <w:pPr>
        <w:pStyle w:val="Subsection"/>
        <w:spacing w:before="120"/>
      </w:pPr>
      <w:r>
        <w:tab/>
        <w:t>(2)</w:t>
      </w:r>
      <w:r>
        <w:tab/>
        <w:t>A person may be convicted of a crime under subsection (1) regardless of whether —</w:t>
      </w:r>
    </w:p>
    <w:p>
      <w:pPr>
        <w:pStyle w:val="Indenta"/>
        <w:spacing w:before="60"/>
      </w:pPr>
      <w:r>
        <w:tab/>
        <w:t>(a)</w:t>
      </w:r>
      <w:r>
        <w:tab/>
        <w:t>the person does anything to facilitate or procure the commission of the offence; or</w:t>
      </w:r>
    </w:p>
    <w:p>
      <w:pPr>
        <w:pStyle w:val="Indenta"/>
        <w:spacing w:before="60"/>
      </w:pPr>
      <w:r>
        <w:tab/>
        <w:t>(b)</w:t>
      </w:r>
      <w:r>
        <w:tab/>
        <w:t>the person does or omits to do anything that constitutes all or part of the offence; or</w:t>
      </w:r>
    </w:p>
    <w:p>
      <w:pPr>
        <w:pStyle w:val="Indenta"/>
        <w:spacing w:before="60"/>
      </w:pPr>
      <w:r>
        <w:tab/>
        <w:t>(c)</w:t>
      </w:r>
      <w:r>
        <w:tab/>
        <w:t>anyone who does or omits to do, or who intended or intends to do or omit, anything that constitutes all or part of the offence is identified; or</w:t>
      </w:r>
    </w:p>
    <w:p>
      <w:pPr>
        <w:pStyle w:val="Indenta"/>
        <w:spacing w:before="60"/>
      </w:pPr>
      <w:r>
        <w:tab/>
        <w:t>(d)</w:t>
      </w:r>
      <w:r>
        <w:tab/>
        <w:t>anyone is charged with or convicted of the offence; or</w:t>
      </w:r>
    </w:p>
    <w:p>
      <w:pPr>
        <w:pStyle w:val="Indenta"/>
        <w:spacing w:before="60"/>
      </w:pPr>
      <w:r>
        <w:tab/>
        <w:t>(e)</w:t>
      </w:r>
      <w:r>
        <w:tab/>
        <w:t>the offence is subsequently committed.</w:t>
      </w:r>
    </w:p>
    <w:p>
      <w:pPr>
        <w:pStyle w:val="Subsection"/>
      </w:pPr>
      <w:r>
        <w:lastRenderedPageBreak/>
        <w:tab/>
        <w:t>(3)</w:t>
      </w:r>
      <w:r>
        <w:tab/>
        <w:t>It is a defence in proceedings for a crime under subsection (1) —</w:t>
      </w:r>
    </w:p>
    <w:p>
      <w:pPr>
        <w:pStyle w:val="Indenta"/>
        <w:spacing w:before="60"/>
      </w:pPr>
      <w:r>
        <w:tab/>
        <w:t>(a)</w:t>
      </w:r>
      <w:r>
        <w:tab/>
        <w:t>to prove that the accused —</w:t>
      </w:r>
    </w:p>
    <w:p>
      <w:pPr>
        <w:pStyle w:val="Indenti"/>
        <w:spacing w:before="60"/>
      </w:pPr>
      <w:r>
        <w:tab/>
        <w:t>(i)</w:t>
      </w:r>
      <w:r>
        <w:tab/>
        <w:t>did not know; and</w:t>
      </w:r>
    </w:p>
    <w:p>
      <w:pPr>
        <w:pStyle w:val="Indenti"/>
        <w:spacing w:before="60"/>
      </w:pPr>
      <w:r>
        <w:tab/>
        <w:t>(ii)</w:t>
      </w:r>
      <w:r>
        <w:tab/>
        <w:t>did not believe or suspect; and</w:t>
      </w:r>
    </w:p>
    <w:p>
      <w:pPr>
        <w:pStyle w:val="Indenti"/>
        <w:spacing w:before="60"/>
      </w:pPr>
      <w:r>
        <w:tab/>
        <w:t>(iii)</w:t>
      </w:r>
      <w:r>
        <w:tab/>
        <w:t>did not have reasonable grounds to believe or suspect,</w:t>
      </w:r>
    </w:p>
    <w:p>
      <w:pPr>
        <w:pStyle w:val="Indenta"/>
        <w:spacing w:before="60"/>
      </w:pPr>
      <w:r>
        <w:tab/>
      </w:r>
      <w:r>
        <w:tab/>
        <w:t>that the money or other property was being used or was intended to be used in connection with the offence; or</w:t>
      </w:r>
    </w:p>
    <w:p>
      <w:pPr>
        <w:pStyle w:val="Indenta"/>
        <w:spacing w:before="60"/>
      </w:pPr>
      <w:r>
        <w:tab/>
        <w:t>(b)</w:t>
      </w:r>
      <w:r>
        <w:tab/>
        <w:t>to prove that the accused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keepNext/>
      </w:pPr>
      <w:r>
        <w:tab/>
        <w:t>(5)</w:t>
      </w:r>
      <w:r>
        <w:tab/>
        <w:t>In this section —</w:t>
      </w:r>
    </w:p>
    <w:p>
      <w:pPr>
        <w:pStyle w:val="Defstart"/>
      </w:pPr>
      <w:r>
        <w:rPr>
          <w:b/>
        </w:rPr>
        <w:tab/>
      </w:r>
      <w:r>
        <w:rPr>
          <w:rStyle w:val="CharDefText"/>
        </w:rPr>
        <w:t>deals with</w:t>
      </w:r>
      <w:r>
        <w:t>, in relation to money or other property, means —</w:t>
      </w:r>
    </w:p>
    <w:p>
      <w:pPr>
        <w:pStyle w:val="Defpara"/>
        <w:spacing w:before="60"/>
      </w:pPr>
      <w:r>
        <w:tab/>
        <w:t>(a)</w:t>
      </w:r>
      <w:r>
        <w:tab/>
        <w:t>receives or has possession or control of the money or other property; or</w:t>
      </w:r>
    </w:p>
    <w:p>
      <w:pPr>
        <w:pStyle w:val="Defpara"/>
      </w:pPr>
      <w:r>
        <w:tab/>
        <w:t>(b)</w:t>
      </w:r>
      <w:r>
        <w:tab/>
        <w:t>conceals or attempts to conceal the money or other property; or</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r>
      <w:r>
        <w:rPr>
          <w:rStyle w:val="CharDefText"/>
        </w:rPr>
        <w:t>offence</w:t>
      </w:r>
      <w:r>
        <w:t xml:space="preserve"> means an offence against a law of Western Australia, the Commonwealth, another State or a Territory;</w:t>
      </w:r>
    </w:p>
    <w:p>
      <w:pPr>
        <w:pStyle w:val="Defstart"/>
      </w:pPr>
      <w:r>
        <w:rPr>
          <w:b/>
        </w:rPr>
        <w:tab/>
      </w:r>
      <w:r>
        <w:rPr>
          <w:rStyle w:val="CharDefText"/>
        </w:rPr>
        <w:t>used in connection with an offence</w:t>
      </w:r>
      <w:r>
        <w:t xml:space="preserve"> means used in or in connection with —</w:t>
      </w:r>
    </w:p>
    <w:p>
      <w:pPr>
        <w:pStyle w:val="Defpara"/>
      </w:pPr>
      <w:r>
        <w:tab/>
        <w:t>(a)</w:t>
      </w:r>
      <w:r>
        <w:tab/>
        <w:t>the commission of an offence; or</w:t>
      </w:r>
    </w:p>
    <w:p>
      <w:pPr>
        <w:pStyle w:val="Defpara"/>
      </w:pPr>
      <w:r>
        <w:tab/>
        <w:t>(b)</w:t>
      </w:r>
      <w:r>
        <w:tab/>
        <w:t>facilitating or procuring an offence.</w:t>
      </w:r>
    </w:p>
    <w:p>
      <w:pPr>
        <w:pStyle w:val="Footnotesection"/>
        <w:spacing w:before="100"/>
        <w:ind w:left="890" w:hanging="890"/>
      </w:pPr>
      <w:r>
        <w:tab/>
        <w:t>[Section 563B inserted: No. 26 of 2004 s. 5; amended: No. 5 of 2008 s. 129(3).]</w:t>
      </w:r>
    </w:p>
    <w:p>
      <w:pPr>
        <w:pStyle w:val="Heading2"/>
        <w:sectPr>
          <w:headerReference w:type="even" r:id="rId32"/>
          <w:headerReference w:type="default" r:id="rId33"/>
          <w:type w:val="oddPage"/>
          <w:pgSz w:w="11907" w:h="16840" w:code="9"/>
          <w:pgMar w:top="2376" w:right="2404" w:bottom="3544" w:left="2404" w:header="709" w:footer="3380" w:gutter="0"/>
          <w:cols w:space="720"/>
          <w:noEndnote/>
          <w:docGrid w:linePitch="326"/>
        </w:sectPr>
      </w:pPr>
    </w:p>
    <w:p>
      <w:pPr>
        <w:pStyle w:val="Heading2"/>
      </w:pPr>
      <w:bookmarkStart w:id="704" w:name="_Toc88570075"/>
      <w:bookmarkStart w:id="705" w:name="_Toc88570597"/>
      <w:bookmarkStart w:id="706" w:name="_Toc88571119"/>
      <w:bookmarkStart w:id="707" w:name="_Toc88662518"/>
      <w:r>
        <w:rPr>
          <w:rStyle w:val="CharPartNo"/>
        </w:rPr>
        <w:lastRenderedPageBreak/>
        <w:t>Part VIII</w:t>
      </w:r>
      <w:r>
        <w:rPr>
          <w:rStyle w:val="CharDivNo"/>
        </w:rPr>
        <w:t> </w:t>
      </w:r>
      <w:r>
        <w:t>—</w:t>
      </w:r>
      <w:r>
        <w:rPr>
          <w:rStyle w:val="CharDivText"/>
        </w:rPr>
        <w:t> </w:t>
      </w:r>
      <w:r>
        <w:rPr>
          <w:rStyle w:val="CharPartText"/>
        </w:rPr>
        <w:t>Miscellaneous</w:t>
      </w:r>
      <w:bookmarkEnd w:id="704"/>
      <w:bookmarkEnd w:id="705"/>
      <w:bookmarkEnd w:id="706"/>
      <w:bookmarkEnd w:id="707"/>
    </w:p>
    <w:p>
      <w:pPr>
        <w:pStyle w:val="Footnoteheading"/>
      </w:pPr>
      <w:r>
        <w:tab/>
        <w:t>[Heading inserted: No. 84 of 2004 s. 21.]</w:t>
      </w:r>
    </w:p>
    <w:p>
      <w:pPr>
        <w:pStyle w:val="Ednotedivision"/>
        <w:spacing w:before="240"/>
        <w:ind w:left="601" w:hanging="601"/>
      </w:pPr>
      <w:r>
        <w:t>[Chapter LX:</w:t>
      </w:r>
      <w:r>
        <w:br/>
        <w:t>Heading deleted: No. 59 of 2006 s. 26;</w:t>
      </w:r>
      <w:r>
        <w:br/>
        <w:t>s. 564 deleted: No. 59 of 2006 s. 26;</w:t>
      </w:r>
      <w:r>
        <w:br/>
        <w:t>s. 565 deleted: No. 119 of 1985 s. 21;</w:t>
      </w:r>
      <w:r>
        <w:br/>
        <w:t>s. 565A deleted: No. 59 of 2006 s. 26;</w:t>
      </w:r>
      <w:r>
        <w:br/>
        <w:t>s. 566, 567 deleted: No. 119 of 1985 s. 23;</w:t>
      </w:r>
      <w:r>
        <w:br/>
        <w:t>s. 568, 569 deleted: No. 59 of 2006 s. 26.]</w:t>
      </w:r>
    </w:p>
    <w:p>
      <w:pPr>
        <w:pStyle w:val="Ednotedivision"/>
        <w:spacing w:before="240"/>
        <w:ind w:left="601" w:hanging="601"/>
      </w:pPr>
      <w:r>
        <w:t>[Chapter LXA:</w:t>
      </w:r>
      <w:r>
        <w:br/>
        <w:t>Heading deleted: No. 59 of 2006 s. 26;</w:t>
      </w:r>
      <w:r>
        <w:br/>
        <w:t>s. 570</w:t>
      </w:r>
      <w:r>
        <w:noBreakHyphen/>
        <w:t>570H deleted: No. 59 of 2006 s. 26.]</w:t>
      </w:r>
    </w:p>
    <w:p>
      <w:pPr>
        <w:pStyle w:val="Ednotedivision"/>
        <w:spacing w:before="240"/>
        <w:ind w:left="601" w:hanging="601"/>
      </w:pPr>
      <w:r>
        <w:t>[Chapter LXI:</w:t>
      </w:r>
      <w:r>
        <w:br/>
        <w:t>s. 571 deleted: No. 84 of 2004 s. 22;</w:t>
      </w:r>
      <w:r>
        <w:br/>
        <w:t>s. 572 deleted: No. 4 of 2004 s. 47;</w:t>
      </w:r>
      <w:r>
        <w:br/>
        <w:t>s. 573 deleted: No. 87 of 1982 s. 32;</w:t>
      </w:r>
      <w:r>
        <w:br/>
        <w:t>s. 574 deleted: No. 4 of 2004 s. 48;</w:t>
      </w:r>
      <w:r>
        <w:br/>
        <w:t>s. 575</w:t>
      </w:r>
      <w:r>
        <w:noBreakHyphen/>
        <w:t>577 deleted: No. 84 of 2004 s. 22.]</w:t>
      </w:r>
    </w:p>
    <w:p>
      <w:pPr>
        <w:pStyle w:val="Ednotedivision"/>
        <w:spacing w:before="240"/>
        <w:ind w:left="601" w:hanging="601"/>
      </w:pPr>
      <w:r>
        <w:t>[Chapter LXII:</w:t>
      </w:r>
      <w:r>
        <w:br/>
        <w:t>s. 578</w:t>
      </w:r>
      <w:r>
        <w:noBreakHyphen/>
        <w:t>588 deleted: No. 84 of 2004 s. 22;</w:t>
      </w:r>
      <w:r>
        <w:br/>
        <w:t>s. 589 deleted: No. 32 of 1918 s. 23;</w:t>
      </w:r>
      <w:r>
        <w:br/>
        <w:t>s. 590</w:t>
      </w:r>
      <w:r>
        <w:noBreakHyphen/>
        <w:t>593 deleted: No. 84 of 2004 s. 22.]</w:t>
      </w:r>
    </w:p>
    <w:p>
      <w:pPr>
        <w:pStyle w:val="Ednotedivision"/>
        <w:spacing w:before="240"/>
        <w:ind w:left="601" w:hanging="601"/>
      </w:pPr>
      <w:r>
        <w:t>[Chapter LXIII:</w:t>
      </w:r>
      <w:r>
        <w:br/>
        <w:t>s. 594</w:t>
      </w:r>
      <w:r>
        <w:noBreakHyphen/>
        <w:t>596 deleted: No. 70 of 2004 s. 36(11);</w:t>
      </w:r>
      <w:r>
        <w:br/>
        <w:t>s. 596A, 596AA</w:t>
      </w:r>
      <w:r>
        <w:noBreakHyphen/>
        <w:t>596AC deleted: No. 14 of 1992 s. 7;</w:t>
      </w:r>
      <w:r>
        <w:br/>
        <w:t>s. 596AD deleted: No. 32 of 1989 s. 22;</w:t>
      </w:r>
      <w:r>
        <w:br/>
        <w:t>s. 597</w:t>
      </w:r>
      <w:r>
        <w:noBreakHyphen/>
        <w:t>607B deleted: No. 70 of 2004 s. 36(11).]</w:t>
      </w:r>
    </w:p>
    <w:p>
      <w:pPr>
        <w:pStyle w:val="Ednotedivision"/>
        <w:keepNext/>
        <w:keepLines/>
        <w:spacing w:before="240"/>
        <w:ind w:left="601" w:hanging="601"/>
      </w:pPr>
      <w:r>
        <w:lastRenderedPageBreak/>
        <w:t xml:space="preserve">[Chapter LXIV: </w:t>
      </w:r>
      <w:r>
        <w:br/>
        <w:t>s. 608</w:t>
      </w:r>
      <w:r>
        <w:noBreakHyphen/>
        <w:t>628 deleted: No. 84 of 2004 s. 24;</w:t>
      </w:r>
      <w:r>
        <w:br/>
        <w:t>s. 629 deleted: No. 50 of 1957 s. 2;</w:t>
      </w:r>
      <w:r>
        <w:br/>
        <w:t>s. 630 deleted: No. 84 of 2004 s. 24;</w:t>
      </w:r>
      <w:r>
        <w:br/>
        <w:t>s. 631 deleted: No. 69 of 1996 s. 16;</w:t>
      </w:r>
      <w:r>
        <w:br/>
        <w:t>s. 632</w:t>
      </w:r>
      <w:r>
        <w:noBreakHyphen/>
        <w:t xml:space="preserve">648 deleted: No. 84 of 2004 s. 24; </w:t>
      </w:r>
      <w:r>
        <w:br/>
        <w:t xml:space="preserve">s. 649 deleted: No. 32 of 1918 s. 23; </w:t>
      </w:r>
      <w:r>
        <w:br/>
        <w:t>s. 650, 651 deleted: No. 84 of 2004 s. 24.]</w:t>
      </w:r>
    </w:p>
    <w:p>
      <w:pPr>
        <w:pStyle w:val="Ednotedivision"/>
        <w:spacing w:before="240"/>
      </w:pPr>
      <w:r>
        <w:t>[Chapter LXIVA (s. 651A</w:t>
      </w:r>
      <w:r>
        <w:noBreakHyphen/>
        <w:t>651C) deleted: No. 84 of 2004 s. 24.]</w:t>
      </w:r>
    </w:p>
    <w:p>
      <w:pPr>
        <w:pStyle w:val="Ednotedivision"/>
        <w:spacing w:before="240"/>
        <w:ind w:left="601" w:hanging="601"/>
      </w:pPr>
      <w:r>
        <w:t>[Chapter LXV:</w:t>
      </w:r>
      <w:r>
        <w:br/>
        <w:t>s. 652</w:t>
      </w:r>
      <w:r>
        <w:noBreakHyphen/>
        <w:t>656 deleted: No. 84 of 2004 s. 24;</w:t>
      </w:r>
      <w:r>
        <w:br/>
        <w:t>s. 656A deleted: No. 78 of 1995 s. 26;</w:t>
      </w:r>
      <w:r>
        <w:br/>
        <w:t>s. 657, 658 deleted: No. 52 of 1984 s. 23;</w:t>
      </w:r>
      <w:r>
        <w:br/>
        <w:t>s. 659 deleted: No. 51 of 1992 s. 16(4);</w:t>
      </w:r>
      <w:r>
        <w:br/>
        <w:t>s. 660 deleted: No. 84 of 2004 s. 24;</w:t>
      </w:r>
      <w:r>
        <w:br/>
        <w:t>s. 661</w:t>
      </w:r>
      <w:r>
        <w:noBreakHyphen/>
        <w:t>666 deleted: No. 78 of 1995 s. 26;</w:t>
      </w:r>
      <w:r>
        <w:br/>
        <w:t xml:space="preserve">s. 667 deleted: No. 21 of 1963 s. 4; </w:t>
      </w:r>
      <w:r>
        <w:br/>
        <w:t xml:space="preserve">s. 668 deleted: No. 21 of 1963 s. 5; </w:t>
      </w:r>
      <w:r>
        <w:br/>
        <w:t xml:space="preserve">s. 668A deleted: No. 58 of 1974 s. 8; </w:t>
      </w:r>
      <w:r>
        <w:br/>
        <w:t>s. 669 deleted: No. 78 of 1995 s. 26;</w:t>
      </w:r>
      <w:r>
        <w:br/>
        <w:t>s. 669A deleted: No. 63 of 1963 s. 17;</w:t>
      </w:r>
      <w:r>
        <w:br/>
        <w:t>s. 670 deleted: No. 51 of 1992 s. 16(4);</w:t>
      </w:r>
      <w:r>
        <w:br/>
        <w:t>s. 671, 672 deleted: No. 119 of 1985 s. 27;</w:t>
      </w:r>
      <w:r>
        <w:br/>
        <w:t>s. 673 deleted: No. 4 of 2004 s. 50.]</w:t>
      </w:r>
    </w:p>
    <w:p>
      <w:pPr>
        <w:pStyle w:val="Ednotedivision"/>
        <w:spacing w:before="240"/>
      </w:pPr>
      <w:r>
        <w:t>[Chapter LXVI (s. 674</w:t>
      </w:r>
      <w:r>
        <w:noBreakHyphen/>
        <w:t>677) deleted: No. 84 of 2004 s. 24.]</w:t>
      </w:r>
    </w:p>
    <w:p>
      <w:pPr>
        <w:pStyle w:val="Ednotedivision"/>
        <w:spacing w:before="240"/>
        <w:ind w:left="601" w:hanging="601"/>
      </w:pPr>
      <w:r>
        <w:t>[Chapter LXVII:</w:t>
      </w:r>
      <w:r>
        <w:br/>
        <w:t>s. 678 deleted: No. 52 of 1984 s. 26;</w:t>
      </w:r>
      <w:r>
        <w:br/>
        <w:t>s. 679 deleted: No. 78 of 1995 s. 26;</w:t>
      </w:r>
      <w:r>
        <w:br/>
        <w:t>s. 680 deleted: No. 51 of 1992 s. 16(4);</w:t>
      </w:r>
      <w:r>
        <w:br/>
        <w:t>s. 681, 682 deleted: No. 84 of 2004 s. 24;</w:t>
      </w:r>
      <w:r>
        <w:br/>
        <w:t>s. 682A deleted: No. 92 of 1994 s. 11.]</w:t>
      </w:r>
    </w:p>
    <w:p>
      <w:pPr>
        <w:pStyle w:val="Ednotedivision"/>
        <w:spacing w:before="240"/>
        <w:ind w:left="601" w:hanging="601"/>
        <w:sectPr>
          <w:headerReference w:type="even" r:id="rId34"/>
          <w:headerReference w:type="default" r:id="rId35"/>
          <w:pgSz w:w="11907" w:h="16840" w:code="9"/>
          <w:pgMar w:top="2376" w:right="2404" w:bottom="3544" w:left="2404" w:header="709" w:footer="3380" w:gutter="0"/>
          <w:cols w:space="720"/>
          <w:noEndnote/>
          <w:docGrid w:linePitch="326"/>
        </w:sectPr>
      </w:pPr>
    </w:p>
    <w:p>
      <w:pPr>
        <w:pStyle w:val="Ednotedivision"/>
        <w:spacing w:before="240"/>
        <w:ind w:left="601" w:hanging="601"/>
      </w:pPr>
      <w:r>
        <w:lastRenderedPageBreak/>
        <w:t>[Chapter LXVIII (s. 683</w:t>
      </w:r>
      <w:r>
        <w:noBreakHyphen/>
        <w:t>686) deleted: No. 84 of 2004 s. 24.]</w:t>
      </w:r>
    </w:p>
    <w:p>
      <w:pPr>
        <w:pStyle w:val="Ednotedivision"/>
        <w:spacing w:before="0"/>
        <w:ind w:left="601"/>
      </w:pPr>
      <w:r>
        <w:t>[Chapter LXIX:</w:t>
      </w:r>
      <w:r>
        <w:br/>
        <w:t>s. 687</w:t>
      </w:r>
      <w:r>
        <w:noBreakHyphen/>
        <w:t xml:space="preserve">697 deleted: No. 84 of 2004 s. 24; </w:t>
      </w:r>
      <w:r>
        <w:br/>
        <w:t>s. 698 deleted: No. 101 of 1990 s. 52;</w:t>
      </w:r>
      <w:r>
        <w:br/>
      </w:r>
      <w:r>
        <w:rPr>
          <w:bCs/>
        </w:rPr>
        <w:t>s. 699</w:t>
      </w:r>
      <w:r>
        <w:rPr>
          <w:bCs/>
        </w:rPr>
        <w:noBreakHyphen/>
        <w:t>701</w:t>
      </w:r>
      <w:r>
        <w:t xml:space="preserve"> deleted: No. 84 of 2004 s. 24;</w:t>
      </w:r>
      <w:r>
        <w:br/>
        <w:t>s. 702 deleted: No. 45 of 2004 s. 30(4);</w:t>
      </w:r>
      <w:r>
        <w:br/>
      </w:r>
      <w:r>
        <w:rPr>
          <w:bCs/>
        </w:rPr>
        <w:t>s. 703, 704</w:t>
      </w:r>
      <w:r>
        <w:t xml:space="preserve"> deleted: No. 84 of 2004 s. 24; </w:t>
      </w:r>
      <w:r>
        <w:br/>
      </w:r>
      <w:r>
        <w:rPr>
          <w:bCs/>
        </w:rPr>
        <w:t>s. 705, 706 deleted: No. 78 of 1995 s. 26;</w:t>
      </w:r>
      <w:r>
        <w:rPr>
          <w:bCs/>
        </w:rPr>
        <w:br/>
        <w:t xml:space="preserve">s. 706A deleted: No. 91 of 1965 s. 9; </w:t>
      </w:r>
      <w:r>
        <w:rPr>
          <w:bCs/>
        </w:rPr>
        <w:br/>
        <w:t>s. 707 deleted: No. 78 of 1995 s. 26</w:t>
      </w:r>
      <w:r>
        <w:t>.]</w:t>
      </w:r>
    </w:p>
    <w:p>
      <w:pPr>
        <w:pStyle w:val="Ednotedivision"/>
      </w:pPr>
      <w:r>
        <w:t>[Chapter LXX (s. 708) deleted: No. 91 of 1965 s. 10.]</w:t>
      </w:r>
    </w:p>
    <w:p>
      <w:pPr>
        <w:pStyle w:val="Ednotedivision"/>
      </w:pPr>
      <w:r>
        <w:t>[Chapter LXXI (s. 709</w:t>
      </w:r>
      <w:r>
        <w:noBreakHyphen/>
        <w:t>710) deleted: No. 91 of 1965 s. 10.]</w:t>
      </w:r>
    </w:p>
    <w:p>
      <w:pPr>
        <w:pStyle w:val="Ednotedivision"/>
        <w:ind w:left="601" w:hanging="601"/>
      </w:pPr>
      <w:r>
        <w:t>[Chapter LXXII:</w:t>
      </w:r>
      <w:r>
        <w:br/>
        <w:t>Heading deleted: No. 59 of 2006 s. 27;</w:t>
      </w:r>
      <w:r>
        <w:br/>
        <w:t>s. 711</w:t>
      </w:r>
      <w:r>
        <w:noBreakHyphen/>
        <w:t>712 deleted: No. 59 of 2006 s. 27;</w:t>
      </w:r>
      <w:r>
        <w:br/>
        <w:t>s. 713 deleted: No. 70 of 1988 s. 8(1);</w:t>
      </w:r>
      <w:r>
        <w:br/>
        <w:t>s. 714</w:t>
      </w:r>
      <w:r>
        <w:noBreakHyphen/>
        <w:t>716 deleted: No. 59 of 2006 s. 27;</w:t>
      </w:r>
      <w:r>
        <w:br/>
        <w:t>s. 716A</w:t>
      </w:r>
      <w:r>
        <w:noBreakHyphen/>
        <w:t>719 deleted: No. 78 of 1997 s. 26.]</w:t>
      </w:r>
    </w:p>
    <w:p>
      <w:pPr>
        <w:pStyle w:val="Heading3"/>
      </w:pPr>
      <w:bookmarkStart w:id="708" w:name="_Toc88570076"/>
      <w:bookmarkStart w:id="709" w:name="_Toc88570598"/>
      <w:bookmarkStart w:id="710" w:name="_Toc88571120"/>
      <w:bookmarkStart w:id="711" w:name="_Toc88662519"/>
      <w:r>
        <w:rPr>
          <w:rStyle w:val="CharDivNo"/>
        </w:rPr>
        <w:t>Chapter LXXIII</w:t>
      </w:r>
      <w:r>
        <w:t> — </w:t>
      </w:r>
      <w:r>
        <w:rPr>
          <w:rStyle w:val="CharDivText"/>
        </w:rPr>
        <w:t>Infringement notices</w:t>
      </w:r>
      <w:bookmarkEnd w:id="708"/>
      <w:bookmarkEnd w:id="709"/>
      <w:bookmarkEnd w:id="710"/>
      <w:bookmarkEnd w:id="711"/>
    </w:p>
    <w:p>
      <w:pPr>
        <w:pStyle w:val="Footnoteheading"/>
      </w:pPr>
      <w:r>
        <w:tab/>
        <w:t>[Heading inserted: No. 10 of 2011 s. 4.]</w:t>
      </w:r>
    </w:p>
    <w:p>
      <w:pPr>
        <w:pStyle w:val="Heading5"/>
      </w:pPr>
      <w:bookmarkStart w:id="712" w:name="_Toc88662520"/>
      <w:r>
        <w:rPr>
          <w:rStyle w:val="CharSectno"/>
        </w:rPr>
        <w:t>720</w:t>
      </w:r>
      <w:r>
        <w:t>.</w:t>
      </w:r>
      <w:r>
        <w:tab/>
        <w:t>Term used: CP Act</w:t>
      </w:r>
      <w:bookmarkEnd w:id="712"/>
    </w:p>
    <w:p>
      <w:pPr>
        <w:pStyle w:val="Subsection"/>
      </w:pPr>
      <w:r>
        <w:tab/>
      </w:r>
      <w:r>
        <w:tab/>
        <w:t>In this Chapter —</w:t>
      </w:r>
    </w:p>
    <w:p>
      <w:pPr>
        <w:pStyle w:val="Defstart"/>
      </w:pPr>
      <w:r>
        <w:tab/>
      </w:r>
      <w:r>
        <w:rPr>
          <w:rStyle w:val="CharDefText"/>
        </w:rPr>
        <w:t>CP Act</w:t>
      </w:r>
      <w:r>
        <w:t xml:space="preserve"> means the </w:t>
      </w:r>
      <w:r>
        <w:rPr>
          <w:i/>
        </w:rPr>
        <w:t>Criminal Procedure Act 2004</w:t>
      </w:r>
      <w:r>
        <w:rPr>
          <w:iCs/>
        </w:rPr>
        <w:t>.</w:t>
      </w:r>
    </w:p>
    <w:p>
      <w:pPr>
        <w:pStyle w:val="Footnotesection"/>
      </w:pPr>
      <w:r>
        <w:tab/>
        <w:t>[Section 720 inserted: No. 10 of 2011 s. 4.]</w:t>
      </w:r>
    </w:p>
    <w:p>
      <w:pPr>
        <w:pStyle w:val="Heading5"/>
      </w:pPr>
      <w:bookmarkStart w:id="713" w:name="_Toc88662521"/>
      <w:r>
        <w:rPr>
          <w:rStyle w:val="CharSectno"/>
        </w:rPr>
        <w:t>721</w:t>
      </w:r>
      <w:r>
        <w:t>.</w:t>
      </w:r>
      <w:r>
        <w:tab/>
        <w:t>Regulations to allow infringement notices to be issued for Code offences</w:t>
      </w:r>
      <w:bookmarkEnd w:id="713"/>
    </w:p>
    <w:p>
      <w:pPr>
        <w:pStyle w:val="Subsection"/>
      </w:pPr>
      <w:r>
        <w:tab/>
        <w:t>(1)</w:t>
      </w:r>
      <w:r>
        <w:tab/>
        <w:t xml:space="preserve">This Code is taken to be a prescribed Act for the purposes of the </w:t>
      </w:r>
      <w:r>
        <w:rPr>
          <w:iCs/>
        </w:rPr>
        <w:t xml:space="preserve">CP Act </w:t>
      </w:r>
      <w:r>
        <w:t>Part 2.</w:t>
      </w:r>
    </w:p>
    <w:p>
      <w:pPr>
        <w:pStyle w:val="Subsection"/>
      </w:pPr>
      <w:r>
        <w:lastRenderedPageBreak/>
        <w:tab/>
        <w:t>(2)</w:t>
      </w:r>
      <w:r>
        <w:tab/>
        <w:t>The Governor may make regulations under this Code prescribing all matters that may or must be prescribed under the CP Act Part 2 to enable the CP Act Part 2 to apply to and in relation to offences under this Code.</w:t>
      </w:r>
    </w:p>
    <w:p>
      <w:pPr>
        <w:pStyle w:val="Subsection"/>
        <w:keepNext/>
      </w:pPr>
      <w:r>
        <w:tab/>
        <w:t>(3)</w:t>
      </w:r>
      <w:r>
        <w:tab/>
        <w:t>Regulations made under subsection (2) —</w:t>
      </w:r>
    </w:p>
    <w:p>
      <w:pPr>
        <w:pStyle w:val="Indenta"/>
      </w:pPr>
      <w:r>
        <w:tab/>
        <w:t>(a)</w:t>
      </w:r>
      <w:r>
        <w:tab/>
        <w:t>may, despite the CP Act section 5(2), prescribe any offence under this Code to be a prescribed offence for Part 2 of the CP Act; and</w:t>
      </w:r>
    </w:p>
    <w:p>
      <w:pPr>
        <w:pStyle w:val="Indenta"/>
      </w:pPr>
      <w:r>
        <w:tab/>
        <w:t>(b)</w:t>
      </w:r>
      <w:r>
        <w:tab/>
        <w:t>may prescribe classes of person to whom an infringement notice cannot be issued for an alleged offence under this Code; and</w:t>
      </w:r>
    </w:p>
    <w:p>
      <w:pPr>
        <w:pStyle w:val="Indenta"/>
      </w:pPr>
      <w:r>
        <w:tab/>
        <w:t>(c)</w:t>
      </w:r>
      <w:r>
        <w:tab/>
        <w:t>may prescribe circumstances in which an infringement notice cannot be issued for an alleged offence under this Code.</w:t>
      </w:r>
    </w:p>
    <w:p>
      <w:pPr>
        <w:pStyle w:val="Footnotesection"/>
      </w:pPr>
      <w:r>
        <w:tab/>
        <w:t>[Section 721 inserted: No. 10 of 2011 s. 4.]</w:t>
      </w:r>
    </w:p>
    <w:p>
      <w:pPr>
        <w:pStyle w:val="Heading5"/>
      </w:pPr>
      <w:bookmarkStart w:id="714" w:name="_Toc88662522"/>
      <w:r>
        <w:rPr>
          <w:rStyle w:val="CharSectno"/>
        </w:rPr>
        <w:t>722</w:t>
      </w:r>
      <w:r>
        <w:t>.</w:t>
      </w:r>
      <w:r>
        <w:tab/>
        <w:t xml:space="preserve">Alleged offenders taken to be charged suspects for purposes of </w:t>
      </w:r>
      <w:r>
        <w:rPr>
          <w:i/>
        </w:rPr>
        <w:t>Criminal Investigation (Identifying People) Act 2002</w:t>
      </w:r>
      <w:bookmarkEnd w:id="714"/>
    </w:p>
    <w:p>
      <w:pPr>
        <w:pStyle w:val="Subsection"/>
        <w:keepNext/>
      </w:pPr>
      <w:r>
        <w:tab/>
      </w:r>
      <w:r>
        <w:tab/>
        <w:t xml:space="preserve">If under the CP Act an infringement notice is issued to an alleged offender for an alleged offence under this Code, then — </w:t>
      </w:r>
    </w:p>
    <w:p>
      <w:pPr>
        <w:pStyle w:val="Indenta"/>
      </w:pPr>
      <w:r>
        <w:tab/>
        <w:t>(a)</w:t>
      </w:r>
      <w:r>
        <w:tab/>
        <w:t xml:space="preserve">for the purposes of the </w:t>
      </w:r>
      <w:r>
        <w:rPr>
          <w:i/>
        </w:rPr>
        <w:t>Criminal Investigation (Identifying People) Act 2002</w:t>
      </w:r>
      <w:r>
        <w:t xml:space="preserve"> Part 7 and section 67 the alleged offender is taken — </w:t>
      </w:r>
    </w:p>
    <w:p>
      <w:pPr>
        <w:pStyle w:val="Indenti"/>
      </w:pPr>
      <w:r>
        <w:tab/>
        <w:t>(i)</w:t>
      </w:r>
      <w:r>
        <w:tab/>
        <w:t>to be a charged suspect; and</w:t>
      </w:r>
    </w:p>
    <w:p>
      <w:pPr>
        <w:pStyle w:val="Indenti"/>
      </w:pPr>
      <w:r>
        <w:tab/>
        <w:t>(ii)</w:t>
      </w:r>
      <w:r>
        <w:tab/>
        <w:t>to have been charged with the alleged offence;</w:t>
      </w:r>
    </w:p>
    <w:p>
      <w:pPr>
        <w:pStyle w:val="Indenta"/>
      </w:pPr>
      <w:r>
        <w:tab/>
      </w:r>
      <w:r>
        <w:tab/>
        <w:t>and</w:t>
      </w:r>
    </w:p>
    <w:p>
      <w:pPr>
        <w:pStyle w:val="Indenta"/>
      </w:pPr>
      <w:r>
        <w:tab/>
        <w:t>(b)</w:t>
      </w:r>
      <w:r>
        <w:tab/>
        <w:t xml:space="preserve">without limiting the operation of section 67 of that Act, identifying information obtained under Part 7 of that Act from the alleged offender must be destroyed if — </w:t>
      </w:r>
    </w:p>
    <w:p>
      <w:pPr>
        <w:pStyle w:val="Indenti"/>
      </w:pPr>
      <w:r>
        <w:tab/>
        <w:t>(i)</w:t>
      </w:r>
      <w:r>
        <w:tab/>
        <w:t>the alleged offender pays the modified penalty prescribed for the offence; and</w:t>
      </w:r>
    </w:p>
    <w:p>
      <w:pPr>
        <w:pStyle w:val="Indenti"/>
        <w:keepNext/>
      </w:pPr>
      <w:r>
        <w:lastRenderedPageBreak/>
        <w:tab/>
        <w:t>(ii)</w:t>
      </w:r>
      <w:r>
        <w:tab/>
        <w:t>destruction is requested under section 69 of that Act by or on behalf of the alleged offender;</w:t>
      </w:r>
    </w:p>
    <w:p>
      <w:pPr>
        <w:pStyle w:val="Indenta"/>
      </w:pPr>
      <w:r>
        <w:tab/>
      </w:r>
      <w:r>
        <w:tab/>
        <w:t>and</w:t>
      </w:r>
    </w:p>
    <w:p>
      <w:pPr>
        <w:pStyle w:val="Indenta"/>
        <w:keepNext/>
      </w:pPr>
      <w:r>
        <w:tab/>
        <w:t>(c)</w:t>
      </w:r>
      <w:r>
        <w:tab/>
        <w:t>that Act, with any necessary changes, applies accordingly.</w:t>
      </w:r>
    </w:p>
    <w:p>
      <w:pPr>
        <w:pStyle w:val="Footnotesection"/>
      </w:pPr>
      <w:r>
        <w:tab/>
        <w:t>[Section 722 inserted: No. 10 of 2011 s. 4.]</w:t>
      </w:r>
    </w:p>
    <w:p>
      <w:pPr>
        <w:pStyle w:val="Heading5"/>
        <w:spacing w:before="180"/>
      </w:pPr>
      <w:bookmarkStart w:id="715" w:name="_Toc88662523"/>
      <w:r>
        <w:rPr>
          <w:rStyle w:val="CharSectno"/>
        </w:rPr>
        <w:t>723</w:t>
      </w:r>
      <w:r>
        <w:t>.</w:t>
      </w:r>
      <w:r>
        <w:tab/>
        <w:t>Monitoring of Chapter by Ombudsman</w:t>
      </w:r>
      <w:bookmarkEnd w:id="715"/>
    </w:p>
    <w:p>
      <w:pPr>
        <w:pStyle w:val="Subsection"/>
      </w:pPr>
      <w:r>
        <w:tab/>
        <w:t>(1)</w:t>
      </w:r>
      <w:r>
        <w:tab/>
        <w:t xml:space="preserve">For the period of 12 months after the commencement of this section, the Ombudsman is to keep under scrutiny the operation of the provisions of this Chapter and the regulations made under this Chapter and the </w:t>
      </w:r>
      <w:r>
        <w:rPr>
          <w:i/>
        </w:rPr>
        <w:t>Criminal Investigation (Identifying People) Act 2002</w:t>
      </w:r>
      <w:r>
        <w:t xml:space="preserve"> Part 7 and section 67.</w:t>
      </w:r>
    </w:p>
    <w:p>
      <w:pPr>
        <w:pStyle w:val="Subsection"/>
      </w:pPr>
      <w:r>
        <w:tab/>
        <w:t>(2)</w:t>
      </w:r>
      <w:r>
        <w:tab/>
        <w:t>The scrutiny referred to in subsection (1) is to include review of the impact of the operation of the provisions referred to in that subsection on Aboriginal and Torres Strait Islander communities.</w:t>
      </w:r>
    </w:p>
    <w:p>
      <w:pPr>
        <w:pStyle w:val="Subsection"/>
      </w:pPr>
      <w:r>
        <w:tab/>
        <w:t>(3)</w:t>
      </w:r>
      <w:r>
        <w:tab/>
        <w:t>For that purpose, the Ombudsman may require the Commissioner of Police or any public authority to provide information about police or the public authority’s participation in the operation of the provisions referred to in subsection (1).</w:t>
      </w:r>
    </w:p>
    <w:p>
      <w:pPr>
        <w:pStyle w:val="Subsection"/>
      </w:pPr>
      <w:r>
        <w:tab/>
        <w:t>(4)</w:t>
      </w:r>
      <w:r>
        <w:tab/>
        <w:t>The Ombudsman must, as soon as practicable after the expiration of that 12 month period, prepare a report on the Ombudsman’s work and activities under this section and furnish a copy of the report to the Minister for Police and the Commissioner of Police.</w:t>
      </w:r>
    </w:p>
    <w:p>
      <w:pPr>
        <w:pStyle w:val="Subsection"/>
      </w:pPr>
      <w:r>
        <w:tab/>
        <w:t>(5)</w:t>
      </w:r>
      <w:r>
        <w:tab/>
        <w:t>The Ombudsman may identify, and include recommendations in the report to be considered by the Minister about, amendments that might appropriately be made to this Act with respect to the operation of the provisions referred to in subsection (1).</w:t>
      </w:r>
    </w:p>
    <w:p>
      <w:pPr>
        <w:pStyle w:val="Subsection"/>
      </w:pPr>
      <w:r>
        <w:tab/>
        <w:t>(6)</w:t>
      </w:r>
      <w:r>
        <w:tab/>
        <w:t xml:space="preserve">The Minister is to lay (or cause to be laid) a copy of the report furnished to the Minister under this section before both Houses </w:t>
      </w:r>
      <w:r>
        <w:lastRenderedPageBreak/>
        <w:t>of Parliament as soon as practicable after the Minister receives the report.</w:t>
      </w:r>
    </w:p>
    <w:p>
      <w:pPr>
        <w:pStyle w:val="Footnotesection"/>
      </w:pPr>
      <w:r>
        <w:tab/>
        <w:t>[Section 723 inserted: No. 10 of 2011 s. 4.]</w:t>
      </w:r>
    </w:p>
    <w:p>
      <w:pPr>
        <w:pStyle w:val="Ednotedivision"/>
        <w:spacing w:before="180"/>
      </w:pPr>
      <w:r>
        <w:t>[Chapter LXXIII (s. 724</w:t>
      </w:r>
      <w:r>
        <w:noBreakHyphen/>
        <w:t>729) deleted: No. 84 of 2004 s. 25.]</w:t>
      </w:r>
    </w:p>
    <w:p>
      <w:pPr>
        <w:pStyle w:val="Heading3"/>
        <w:rPr>
          <w:snapToGrid w:val="0"/>
        </w:rPr>
      </w:pPr>
      <w:bookmarkStart w:id="716" w:name="_Toc88570081"/>
      <w:bookmarkStart w:id="717" w:name="_Toc88570603"/>
      <w:bookmarkStart w:id="718" w:name="_Toc88571125"/>
      <w:bookmarkStart w:id="719" w:name="_Toc88662524"/>
      <w:r>
        <w:rPr>
          <w:rStyle w:val="CharDivNo"/>
        </w:rPr>
        <w:t>Chapter LXXIV</w:t>
      </w:r>
      <w:r>
        <w:rPr>
          <w:snapToGrid w:val="0"/>
        </w:rPr>
        <w:t> — </w:t>
      </w:r>
      <w:r>
        <w:rPr>
          <w:rStyle w:val="CharDivText"/>
        </w:rPr>
        <w:t>Miscellaneous provisions</w:t>
      </w:r>
      <w:bookmarkEnd w:id="716"/>
      <w:bookmarkEnd w:id="717"/>
      <w:bookmarkEnd w:id="718"/>
      <w:bookmarkEnd w:id="719"/>
    </w:p>
    <w:p>
      <w:pPr>
        <w:pStyle w:val="Heading5"/>
      </w:pPr>
      <w:bookmarkStart w:id="720" w:name="_Toc88662525"/>
      <w:r>
        <w:rPr>
          <w:rStyle w:val="CharSectno"/>
        </w:rPr>
        <w:t>730</w:t>
      </w:r>
      <w:r>
        <w:t>.</w:t>
      </w:r>
      <w:r>
        <w:tab/>
        <w:t>Forfeitures, escheats etc. abolished</w:t>
      </w:r>
      <w:bookmarkEnd w:id="720"/>
    </w:p>
    <w:p>
      <w:pPr>
        <w:pStyle w:val="Subsection"/>
      </w:pPr>
      <w:r>
        <w:tab/>
      </w:r>
      <w:r>
        <w:tab/>
        <w:t>Forfeitures (except under a written law), escheats, attainders and corruptions of blood on account of crime or conviction stand abolished.</w:t>
      </w:r>
    </w:p>
    <w:p>
      <w:pPr>
        <w:pStyle w:val="Footnotesection"/>
        <w:ind w:left="890" w:hanging="890"/>
      </w:pPr>
      <w:r>
        <w:tab/>
        <w:t>[Section 730 inserted: No. 84 of 2004 s. 26.]</w:t>
      </w:r>
    </w:p>
    <w:p>
      <w:pPr>
        <w:pStyle w:val="Heading5"/>
      </w:pPr>
      <w:bookmarkStart w:id="721" w:name="_Toc88662526"/>
      <w:r>
        <w:rPr>
          <w:rStyle w:val="CharSectno"/>
        </w:rPr>
        <w:t>731</w:t>
      </w:r>
      <w:r>
        <w:t>.</w:t>
      </w:r>
      <w:r>
        <w:tab/>
        <w:t>Forfeiture etc. of property used to commit offence</w:t>
      </w:r>
      <w:bookmarkEnd w:id="721"/>
    </w:p>
    <w:p>
      <w:pPr>
        <w:pStyle w:val="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ind w:left="890" w:hanging="890"/>
      </w:pPr>
      <w:r>
        <w:tab/>
        <w:t>[Section 731 inserted: No. 59 of 2006 s. 28.]</w:t>
      </w:r>
    </w:p>
    <w:p>
      <w:pPr>
        <w:pStyle w:val="Ednotesection"/>
      </w:pPr>
      <w:r>
        <w:t>[</w:t>
      </w:r>
      <w:r>
        <w:rPr>
          <w:b/>
          <w:bCs/>
        </w:rPr>
        <w:t>732.</w:t>
      </w:r>
      <w:r>
        <w:tab/>
        <w:t>Deleted: No. 59 of 2004 s. 80.]</w:t>
      </w:r>
    </w:p>
    <w:p>
      <w:pPr>
        <w:pStyle w:val="Ednotesection"/>
        <w:ind w:left="890" w:hanging="890"/>
      </w:pPr>
      <w:r>
        <w:t>[</w:t>
      </w:r>
      <w:r>
        <w:rPr>
          <w:b/>
        </w:rPr>
        <w:t>733.</w:t>
      </w:r>
      <w:r>
        <w:tab/>
        <w:t>Deleted: No. 84 of 2004 s. 28.]</w:t>
      </w:r>
    </w:p>
    <w:p>
      <w:pPr>
        <w:pStyle w:val="Ednotesection"/>
        <w:ind w:left="890" w:hanging="890"/>
      </w:pPr>
      <w:r>
        <w:t>[</w:t>
      </w:r>
      <w:r>
        <w:rPr>
          <w:b/>
        </w:rPr>
        <w:t>734.</w:t>
      </w:r>
      <w:r>
        <w:tab/>
        <w:t>Deleted: No. 101 of 1990 s. 55.]</w:t>
      </w:r>
    </w:p>
    <w:p>
      <w:pPr>
        <w:pStyle w:val="Ednotesection"/>
        <w:ind w:left="890" w:hanging="890"/>
      </w:pPr>
      <w:r>
        <w:t>[</w:t>
      </w:r>
      <w:r>
        <w:rPr>
          <w:b/>
        </w:rPr>
        <w:t>735.</w:t>
      </w:r>
      <w:r>
        <w:rPr>
          <w:b/>
        </w:rPr>
        <w:tab/>
      </w:r>
      <w:r>
        <w:t>Deleted: No. 55 of 1963 s. 5.]</w:t>
      </w:r>
    </w:p>
    <w:p>
      <w:pPr>
        <w:pStyle w:val="Ednotesection"/>
        <w:ind w:left="890" w:hanging="890"/>
      </w:pPr>
      <w:r>
        <w:t>[</w:t>
      </w:r>
      <w:r>
        <w:rPr>
          <w:b/>
        </w:rPr>
        <w:t>736.</w:t>
      </w:r>
      <w:r>
        <w:tab/>
        <w:t>Deleted: No. 14 of 1992 s. 9.]</w:t>
      </w:r>
    </w:p>
    <w:p>
      <w:pPr>
        <w:pStyle w:val="Heading5"/>
        <w:rPr>
          <w:snapToGrid w:val="0"/>
        </w:rPr>
      </w:pPr>
      <w:bookmarkStart w:id="722" w:name="_Toc88662527"/>
      <w:r>
        <w:rPr>
          <w:rStyle w:val="CharSectno"/>
        </w:rPr>
        <w:lastRenderedPageBreak/>
        <w:t>737</w:t>
      </w:r>
      <w:r>
        <w:rPr>
          <w:snapToGrid w:val="0"/>
        </w:rPr>
        <w:t>.</w:t>
      </w:r>
      <w:r>
        <w:rPr>
          <w:snapToGrid w:val="0"/>
        </w:rPr>
        <w:tab/>
        <w:t>Saving of civil remedies</w:t>
      </w:r>
      <w:bookmarkEnd w:id="722"/>
    </w:p>
    <w:p>
      <w:pPr>
        <w:pStyle w:val="Subsection"/>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260"/>
        <w:rPr>
          <w:snapToGrid w:val="0"/>
        </w:rPr>
      </w:pPr>
      <w:bookmarkStart w:id="723" w:name="_Toc88662528"/>
      <w:r>
        <w:rPr>
          <w:rStyle w:val="CharSectno"/>
        </w:rPr>
        <w:t>738</w:t>
      </w:r>
      <w:r>
        <w:rPr>
          <w:snapToGrid w:val="0"/>
        </w:rPr>
        <w:t>.</w:t>
      </w:r>
      <w:r>
        <w:rPr>
          <w:snapToGrid w:val="0"/>
        </w:rPr>
        <w:tab/>
        <w:t>Answers and discovery tending to show Chapter XXXV or LV offence</w:t>
      </w:r>
      <w:bookmarkEnd w:id="723"/>
    </w:p>
    <w:p>
      <w:pPr>
        <w:pStyle w:val="Subsection"/>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w:t>
      </w:r>
    </w:p>
    <w:p>
      <w:pPr>
        <w:pStyle w:val="Subsection"/>
        <w:rPr>
          <w:snapToGrid w:val="0"/>
        </w:rPr>
      </w:pPr>
      <w:r>
        <w:rPr>
          <w:snapToGrid w:val="0"/>
        </w:rPr>
        <w:tab/>
      </w:r>
      <w:r>
        <w:rPr>
          <w:snapToGrid w:val="0"/>
        </w:rPr>
        <w:tab/>
        <w:t>Provided that his answer shall not be admissible in evidence against him in any criminal proceedings other than a prosecution for perjury.</w:t>
      </w:r>
    </w:p>
    <w:p>
      <w:pPr>
        <w:pStyle w:val="Heading5"/>
        <w:spacing w:before="180"/>
      </w:pPr>
      <w:bookmarkStart w:id="724" w:name="_Toc88662529"/>
      <w:r>
        <w:rPr>
          <w:rStyle w:val="CharSectno"/>
        </w:rPr>
        <w:t>739</w:t>
      </w:r>
      <w:r>
        <w:t>.</w:t>
      </w:r>
      <w:r>
        <w:tab/>
        <w:t>Review of law of homicide</w:t>
      </w:r>
      <w:bookmarkEnd w:id="724"/>
    </w:p>
    <w:p>
      <w:pPr>
        <w:pStyle w:val="Subsection"/>
      </w:pPr>
      <w:r>
        <w:tab/>
        <w:t>(1)</w:t>
      </w:r>
      <w:r>
        <w:tab/>
        <w:t xml:space="preserve">The Minister must carry out a review of the operation and effectiveness of the amendments to this Code and the </w:t>
      </w:r>
      <w:r>
        <w:rPr>
          <w:i/>
        </w:rPr>
        <w:t>Sentencing Act </w:t>
      </w:r>
      <w:r>
        <w:rPr>
          <w:i/>
          <w:iCs/>
        </w:rPr>
        <w:t xml:space="preserve">1995 </w:t>
      </w:r>
      <w:r>
        <w:t xml:space="preserve">made by the </w:t>
      </w:r>
      <w:r>
        <w:rPr>
          <w:i/>
        </w:rPr>
        <w:t xml:space="preserve">Criminal Law Amendment (Homicide) Act 2008 </w:t>
      </w:r>
      <w:r>
        <w:t>as soon as is practicable after the fifth anniversary of the commencement of section 17 of that Act.</w:t>
      </w:r>
    </w:p>
    <w:p>
      <w:pPr>
        <w:pStyle w:val="Subsection"/>
      </w:pPr>
      <w:r>
        <w:tab/>
        <w:t>(2)</w:t>
      </w:r>
      <w:r>
        <w:tab/>
        <w:t>The Minister must prepare a report based on the review and, as soon as is practicable after the report is prepared, cause it to be laid before each House of Parliament.</w:t>
      </w:r>
    </w:p>
    <w:p>
      <w:pPr>
        <w:pStyle w:val="Footnotesection"/>
        <w:spacing w:before="80"/>
        <w:ind w:left="890" w:hanging="890"/>
      </w:pPr>
      <w:r>
        <w:tab/>
        <w:t>[Section 739 inserted: No. 29 of 2008 s. 17.]</w:t>
      </w:r>
    </w:p>
    <w:p>
      <w:pPr>
        <w:pStyle w:val="Heading5"/>
        <w:spacing w:before="180"/>
      </w:pPr>
      <w:bookmarkStart w:id="725" w:name="_Toc88662530"/>
      <w:r>
        <w:rPr>
          <w:rStyle w:val="CharSectno"/>
        </w:rPr>
        <w:t>740A</w:t>
      </w:r>
      <w:r>
        <w:t>.</w:t>
      </w:r>
      <w:r>
        <w:tab/>
        <w:t>Review of certain amendments to s. 297 and 318</w:t>
      </w:r>
      <w:bookmarkEnd w:id="725"/>
    </w:p>
    <w:p>
      <w:pPr>
        <w:pStyle w:val="Subsection"/>
        <w:spacing w:before="200"/>
      </w:pPr>
      <w:r>
        <w:tab/>
        <w:t>(1)</w:t>
      </w:r>
      <w:r>
        <w:tab/>
      </w:r>
      <w:r>
        <w:rPr>
          <w:szCs w:val="22"/>
        </w:rPr>
        <w:t xml:space="preserve">The Minister shall carry out a review of the operation and effectiveness of the amendments made to this Code by the </w:t>
      </w:r>
      <w:r>
        <w:rPr>
          <w:i/>
          <w:iCs/>
          <w:szCs w:val="22"/>
        </w:rPr>
        <w:t>Criminal Code Amendment Act 2009</w:t>
      </w:r>
      <w:r>
        <w:rPr>
          <w:szCs w:val="22"/>
        </w:rPr>
        <w:t xml:space="preserve"> as soon as practicable after </w:t>
      </w:r>
      <w:r>
        <w:rPr>
          <w:szCs w:val="22"/>
        </w:rPr>
        <w:lastRenderedPageBreak/>
        <w:t>the third anniversary of the day on which those amendments came into operation.</w:t>
      </w:r>
    </w:p>
    <w:p>
      <w:pPr>
        <w:pStyle w:val="Subsection"/>
        <w:rPr>
          <w:szCs w:val="22"/>
        </w:rPr>
      </w:pPr>
      <w:r>
        <w:tab/>
        <w:t>(2)</w:t>
      </w:r>
      <w:r>
        <w:tab/>
      </w:r>
      <w:r>
        <w:rPr>
          <w:szCs w:val="22"/>
        </w:rPr>
        <w:t>The Minister shall prepare a report based on the review made under subsection (1), and shall, as soon as is practicable after that preparation, cause the report to be laid before each House of Parliament.</w:t>
      </w:r>
    </w:p>
    <w:p>
      <w:pPr>
        <w:pStyle w:val="Footnotesection"/>
        <w:spacing w:before="80"/>
        <w:ind w:left="890" w:hanging="890"/>
      </w:pPr>
      <w:r>
        <w:tab/>
        <w:t>[Section 740A inserted: No. 21 of 2009 s. 6]</w:t>
      </w:r>
    </w:p>
    <w:p>
      <w:pPr>
        <w:pStyle w:val="Heading5"/>
      </w:pPr>
      <w:bookmarkStart w:id="726" w:name="_Toc88662531"/>
      <w:r>
        <w:rPr>
          <w:rStyle w:val="CharSectno"/>
        </w:rPr>
        <w:t>740B</w:t>
      </w:r>
      <w:r>
        <w:t>.</w:t>
      </w:r>
      <w:r>
        <w:tab/>
        <w:t>Review of certain amendments relating to home burglary</w:t>
      </w:r>
      <w:bookmarkEnd w:id="726"/>
      <w:r>
        <w:t xml:space="preserve"> </w:t>
      </w:r>
    </w:p>
    <w:p>
      <w:pPr>
        <w:pStyle w:val="Subsection"/>
      </w:pPr>
      <w:r>
        <w:tab/>
        <w:t>(1)</w:t>
      </w:r>
      <w:r>
        <w:tab/>
        <w:t xml:space="preserve">In this section — </w:t>
      </w:r>
    </w:p>
    <w:p>
      <w:pPr>
        <w:pStyle w:val="Defstart"/>
      </w:pPr>
      <w:r>
        <w:tab/>
      </w:r>
      <w:r>
        <w:rPr>
          <w:rStyle w:val="CharDefText"/>
        </w:rPr>
        <w:t>review date</w:t>
      </w:r>
      <w:r>
        <w:t xml:space="preserve"> means the fifth anniversary of the day on which the </w:t>
      </w:r>
      <w:r>
        <w:rPr>
          <w:i/>
        </w:rPr>
        <w:t>Criminal Law Amendment (Home Burglary and Other Offences) Act 2015</w:t>
      </w:r>
      <w:r>
        <w:t xml:space="preserve"> section 4 comes into operation.</w:t>
      </w:r>
    </w:p>
    <w:p>
      <w:pPr>
        <w:pStyle w:val="Subsection"/>
      </w:pPr>
      <w:r>
        <w:tab/>
        <w:t>(2)</w:t>
      </w:r>
      <w:r>
        <w:tab/>
        <w:t xml:space="preserve">As soon as practicable after the review date the Minister is to review the operation and effectiveness of — </w:t>
      </w:r>
    </w:p>
    <w:p>
      <w:pPr>
        <w:pStyle w:val="Indenta"/>
      </w:pPr>
      <w:r>
        <w:tab/>
        <w:t>(a)</w:t>
      </w:r>
      <w:r>
        <w:tab/>
        <w:t xml:space="preserve">the amendments made to this Code by the </w:t>
      </w:r>
      <w:r>
        <w:rPr>
          <w:i/>
        </w:rPr>
        <w:t xml:space="preserve">Criminal Law Amendment (Home Burglary and Other Offences) Act 2015 </w:t>
      </w:r>
      <w:r>
        <w:t>Part 2 Divisions 2 and 3; and</w:t>
      </w:r>
    </w:p>
    <w:p>
      <w:pPr>
        <w:pStyle w:val="Indenta"/>
      </w:pPr>
      <w:r>
        <w:tab/>
        <w:t>(b)</w:t>
      </w:r>
      <w:r>
        <w:tab/>
        <w:t xml:space="preserve">the amendment made to the </w:t>
      </w:r>
      <w:r>
        <w:rPr>
          <w:i/>
        </w:rPr>
        <w:t>Sentencing Act 1995</w:t>
      </w:r>
      <w:r>
        <w:t xml:space="preserve"> by the </w:t>
      </w:r>
      <w:r>
        <w:rPr>
          <w:i/>
        </w:rPr>
        <w:t xml:space="preserve">Criminal Law Amendment (Home Burglary and Other Offences) Act 2015 </w:t>
      </w:r>
      <w:r>
        <w:t>Part 3.</w:t>
      </w:r>
    </w:p>
    <w:p>
      <w:pPr>
        <w:pStyle w:val="Subsection"/>
      </w:pPr>
      <w:r>
        <w:tab/>
        <w:t>(3)</w:t>
      </w:r>
      <w:r>
        <w:tab/>
        <w:t>The Minister is to cause a report of the review to be laid before each House of Parliament as soon as practicable after it is done.</w:t>
      </w:r>
    </w:p>
    <w:p>
      <w:pPr>
        <w:pStyle w:val="Footnotesection"/>
      </w:pPr>
      <w:r>
        <w:tab/>
        <w:t>[Section 740B inserted: No. 25 of 2015 s. 22.]</w:t>
      </w:r>
    </w:p>
    <w:p>
      <w:pPr>
        <w:pStyle w:val="Heading5"/>
      </w:pPr>
      <w:bookmarkStart w:id="727" w:name="_Toc88662532"/>
      <w:r>
        <w:rPr>
          <w:rStyle w:val="CharSectno"/>
        </w:rPr>
        <w:t>740C</w:t>
      </w:r>
      <w:r>
        <w:t>.</w:t>
      </w:r>
      <w:r>
        <w:tab/>
        <w:t xml:space="preserve">Review of amendments made by </w:t>
      </w:r>
      <w:r>
        <w:rPr>
          <w:i/>
          <w:iCs/>
        </w:rPr>
        <w:t>Family Violence Legislation Reform Act 2020</w:t>
      </w:r>
      <w:bookmarkEnd w:id="727"/>
    </w:p>
    <w:p>
      <w:pPr>
        <w:pStyle w:val="Subsection"/>
      </w:pPr>
      <w:r>
        <w:tab/>
        <w:t>(1)</w:t>
      </w:r>
      <w:r>
        <w:tab/>
        <w:t xml:space="preserve">The Minister must review the operation and effectiveness of the amendments made to this Act by the </w:t>
      </w:r>
      <w:r>
        <w:rPr>
          <w:i/>
          <w:iCs/>
        </w:rPr>
        <w:t>Family Violence Legislation Reform Act 2020</w:t>
      </w:r>
      <w:r>
        <w:t>, and prepare a report based on the review, as soon as practicable after the 3</w:t>
      </w:r>
      <w:r>
        <w:rPr>
          <w:vertAlign w:val="superscript"/>
        </w:rPr>
        <w:t xml:space="preserve">rd </w:t>
      </w:r>
      <w:r>
        <w:t xml:space="preserve">anniversary of the day on which the </w:t>
      </w:r>
      <w:r>
        <w:rPr>
          <w:i/>
          <w:iCs/>
        </w:rPr>
        <w:t>Family Violence Legislation Reform Act 2020</w:t>
      </w:r>
      <w:r>
        <w:t xml:space="preserve"> section 3 comes</w:t>
      </w:r>
      <w:r>
        <w:rPr>
          <w:iCs/>
        </w:rPr>
        <w:t xml:space="preserve"> </w:t>
      </w:r>
      <w:r>
        <w:t>into operation.</w:t>
      </w:r>
    </w:p>
    <w:p>
      <w:pPr>
        <w:pStyle w:val="Subsection"/>
      </w:pPr>
      <w:r>
        <w:lastRenderedPageBreak/>
        <w:tab/>
        <w:t>(2)</w:t>
      </w:r>
      <w:r>
        <w:tab/>
        <w:t>The Minister must cause the report to be laid before each House of Parliament as soon as practicable after it is prepared, but not later than 12 months after the 3</w:t>
      </w:r>
      <w:r>
        <w:rPr>
          <w:vertAlign w:val="superscript"/>
        </w:rPr>
        <w:t xml:space="preserve">rd </w:t>
      </w:r>
      <w:r>
        <w:t>anniversary.</w:t>
      </w:r>
    </w:p>
    <w:p>
      <w:pPr>
        <w:pStyle w:val="Subsection"/>
      </w:pPr>
      <w:r>
        <w:tab/>
        <w:t>(3)</w:t>
      </w:r>
      <w:r>
        <w:tab/>
        <w:t>The Minister must transmit a copy of the report to the Clerk of a House of Parliament if —</w:t>
      </w:r>
    </w:p>
    <w:p>
      <w:pPr>
        <w:pStyle w:val="Indenta"/>
      </w:pPr>
      <w:r>
        <w:tab/>
        <w:t>(a)</w:t>
      </w:r>
      <w:r>
        <w:tab/>
        <w:t>the report has been prepared; and</w:t>
      </w:r>
    </w:p>
    <w:p>
      <w:pPr>
        <w:pStyle w:val="Indenta"/>
      </w:pPr>
      <w:r>
        <w:tab/>
        <w:t>(b)</w:t>
      </w:r>
      <w:r>
        <w:tab/>
        <w:t>the Minister is of the opinion that the House will not sit during the period of 21 days after the finalisation of the report.</w:t>
      </w:r>
    </w:p>
    <w:p>
      <w:pPr>
        <w:pStyle w:val="Subsection"/>
      </w:pPr>
      <w:r>
        <w:tab/>
        <w:t>(4)</w:t>
      </w:r>
      <w:r>
        <w:tab/>
        <w:t>A copy of the report transmitted to the Clerk of a House is taken to have been laid before that House.</w:t>
      </w:r>
    </w:p>
    <w:p>
      <w:pPr>
        <w:pStyle w:val="Subsection"/>
      </w:pPr>
      <w:r>
        <w:tab/>
        <w:t>(5)</w:t>
      </w:r>
      <w:r>
        <w:tab/>
        <w:t>The laying of a copy of a report that is taken to have occurred under subsection (4) must be recorded in the Minutes, or Votes and Proceedings, of the House on the first sitting day of the House after the receipt of the copy by the Clerk.</w:t>
      </w:r>
    </w:p>
    <w:p>
      <w:pPr>
        <w:pStyle w:val="Footnotesection"/>
      </w:pPr>
      <w:r>
        <w:tab/>
        <w:t>[Section 740C inserted: No. 30 of 2020 s. 12.]</w:t>
      </w:r>
    </w:p>
    <w:p>
      <w:pPr>
        <w:pStyle w:val="Heading5"/>
      </w:pPr>
      <w:bookmarkStart w:id="728" w:name="_Toc88662533"/>
      <w:r>
        <w:rPr>
          <w:rStyle w:val="CharSectno"/>
        </w:rPr>
        <w:t>740</w:t>
      </w:r>
      <w:r>
        <w:t>.</w:t>
      </w:r>
      <w:r>
        <w:tab/>
        <w:t>Transitional provisions (Sch. 1)</w:t>
      </w:r>
      <w:bookmarkEnd w:id="728"/>
    </w:p>
    <w:p>
      <w:pPr>
        <w:pStyle w:val="Subsection"/>
      </w:pPr>
      <w:r>
        <w:tab/>
      </w:r>
      <w:r>
        <w:tab/>
        <w:t>Schedule 1 sets out transitional provisions.</w:t>
      </w:r>
    </w:p>
    <w:p>
      <w:pPr>
        <w:pStyle w:val="Footnotesection"/>
      </w:pPr>
      <w:r>
        <w:tab/>
        <w:t>[Section 740 inserted: No. 29 of 2008 s. 17.]</w:t>
      </w:r>
    </w:p>
    <w:p>
      <w:pPr>
        <w:pStyle w:val="Ednotesection"/>
        <w:ind w:left="890" w:hanging="890"/>
      </w:pPr>
      <w:r>
        <w:t>[</w:t>
      </w:r>
      <w:r>
        <w:rPr>
          <w:b/>
        </w:rPr>
        <w:t>741.</w:t>
      </w:r>
      <w:r>
        <w:rPr>
          <w:bCs/>
        </w:rPr>
        <w:tab/>
      </w:r>
      <w:r>
        <w:t>Deleted: No. 84 of 2004 s. 28.]</w:t>
      </w:r>
    </w:p>
    <w:p>
      <w:pPr>
        <w:pStyle w:val="Ednotesection"/>
      </w:pPr>
      <w:r>
        <w:t>[</w:t>
      </w:r>
      <w:r>
        <w:rPr>
          <w:b/>
          <w:bCs/>
        </w:rPr>
        <w:t>742, 743.</w:t>
      </w:r>
      <w:r>
        <w:tab/>
        <w:t>Deleted: No. 59 of 2004 s. 80.]</w:t>
      </w:r>
    </w:p>
    <w:p>
      <w:pPr>
        <w:pStyle w:val="Ednotesection"/>
        <w:ind w:left="890" w:hanging="890"/>
      </w:pPr>
      <w:r>
        <w:t>[</w:t>
      </w:r>
      <w:r>
        <w:rPr>
          <w:b/>
        </w:rPr>
        <w:t>744</w:t>
      </w:r>
      <w:r>
        <w:rPr>
          <w:b/>
        </w:rPr>
        <w:noBreakHyphen/>
        <w:t>746, 746A, 747.</w:t>
      </w:r>
      <w:r>
        <w:rPr>
          <w:bCs/>
        </w:rPr>
        <w:tab/>
      </w:r>
      <w:r>
        <w:t>Deleted: No. 84 of 2004 s. 28.]</w:t>
      </w:r>
    </w:p>
    <w:p>
      <w:pPr>
        <w:pStyle w:val="Ednotesection"/>
      </w:pPr>
      <w:r>
        <w:t>[</w:t>
      </w:r>
      <w:r>
        <w:rPr>
          <w:b/>
        </w:rPr>
        <w:t>748.</w:t>
      </w:r>
      <w:r>
        <w:tab/>
        <w:t>Deleted: No. 32 of 1918 s. 34.]</w:t>
      </w:r>
    </w:p>
    <w:p>
      <w:pPr>
        <w:sectPr>
          <w:headerReference w:type="even" r:id="rId36"/>
          <w:headerReference w:type="default" r:id="rId37"/>
          <w:pgSz w:w="11907" w:h="16840" w:code="9"/>
          <w:pgMar w:top="2376" w:right="2404" w:bottom="3544" w:left="2404" w:header="709" w:footer="3380" w:gutter="0"/>
          <w:cols w:space="720"/>
          <w:noEndnote/>
          <w:docGrid w:linePitch="326"/>
        </w:sectPr>
      </w:pPr>
    </w:p>
    <w:p>
      <w:pPr>
        <w:pStyle w:val="yScheduleHeading"/>
      </w:pPr>
      <w:bookmarkStart w:id="729" w:name="_Toc88570091"/>
      <w:bookmarkStart w:id="730" w:name="_Toc88570613"/>
      <w:bookmarkStart w:id="731" w:name="_Toc88571135"/>
      <w:bookmarkStart w:id="732" w:name="_Toc88662534"/>
      <w:r>
        <w:rPr>
          <w:rStyle w:val="CharSchNo"/>
        </w:rPr>
        <w:lastRenderedPageBreak/>
        <w:t>Schedule 1</w:t>
      </w:r>
      <w:r>
        <w:t> — </w:t>
      </w:r>
      <w:r>
        <w:rPr>
          <w:rStyle w:val="CharSchText"/>
        </w:rPr>
        <w:t>Transitional provisions</w:t>
      </w:r>
      <w:bookmarkEnd w:id="729"/>
      <w:bookmarkEnd w:id="730"/>
      <w:bookmarkEnd w:id="731"/>
      <w:bookmarkEnd w:id="732"/>
    </w:p>
    <w:p>
      <w:pPr>
        <w:pStyle w:val="yShoulderClause"/>
      </w:pPr>
      <w:r>
        <w:t>[s. 740]</w:t>
      </w:r>
    </w:p>
    <w:p>
      <w:pPr>
        <w:pStyle w:val="yFootnoteheading"/>
      </w:pPr>
      <w:r>
        <w:tab/>
        <w:t>[Heading inserted: No. 29 of 2008 s. 17.]</w:t>
      </w:r>
    </w:p>
    <w:p>
      <w:pPr>
        <w:pStyle w:val="yHeading5"/>
        <w:spacing w:before="200"/>
      </w:pPr>
      <w:bookmarkStart w:id="733" w:name="_Toc88662535"/>
      <w:r>
        <w:rPr>
          <w:rStyle w:val="CharSClsNo"/>
        </w:rPr>
        <w:t>1</w:t>
      </w:r>
      <w:r>
        <w:t>.</w:t>
      </w:r>
      <w:r>
        <w:rPr>
          <w:b w:val="0"/>
        </w:rPr>
        <w:tab/>
      </w:r>
      <w:r>
        <w:t>Terms used</w:t>
      </w:r>
      <w:bookmarkEnd w:id="733"/>
      <w:r>
        <w:t xml:space="preserve"> </w:t>
      </w:r>
    </w:p>
    <w:p>
      <w:pPr>
        <w:pStyle w:val="ySubsection"/>
        <w:spacing w:before="120"/>
      </w:pPr>
      <w:r>
        <w:tab/>
      </w:r>
      <w:r>
        <w:tab/>
        <w:t>In this Schedule —</w:t>
      </w:r>
    </w:p>
    <w:p>
      <w:pPr>
        <w:pStyle w:val="yDefstart"/>
      </w:pPr>
      <w:r>
        <w:tab/>
      </w:r>
      <w:r>
        <w:rPr>
          <w:rStyle w:val="CharDefText"/>
        </w:rPr>
        <w:t>amendment Act</w:t>
      </w:r>
      <w:r>
        <w:t xml:space="preserve"> means the </w:t>
      </w:r>
      <w:r>
        <w:rPr>
          <w:i/>
        </w:rPr>
        <w:t>Criminal Law Amendment (Homicide) Act 2008</w:t>
      </w:r>
      <w:r>
        <w:rPr>
          <w:iCs/>
        </w:rPr>
        <w:t>;</w:t>
      </w:r>
    </w:p>
    <w:p>
      <w:pPr>
        <w:pStyle w:val="yDefstart"/>
      </w:pPr>
      <w:r>
        <w:tab/>
      </w:r>
      <w:r>
        <w:rPr>
          <w:rStyle w:val="CharDefText"/>
        </w:rPr>
        <w:t>commencement</w:t>
      </w:r>
      <w:r>
        <w:t xml:space="preserve"> means the day on which the amendment Act, other than Part 1, comes into operation.</w:t>
      </w:r>
    </w:p>
    <w:p>
      <w:pPr>
        <w:pStyle w:val="yFootnotesection"/>
      </w:pPr>
      <w:r>
        <w:tab/>
        <w:t>[Clause 1 inserted: No. 29 of 2008 s. 17.]</w:t>
      </w:r>
    </w:p>
    <w:p>
      <w:pPr>
        <w:pStyle w:val="yHeading5"/>
        <w:spacing w:before="200"/>
      </w:pPr>
      <w:bookmarkStart w:id="734" w:name="_Toc88662536"/>
      <w:r>
        <w:rPr>
          <w:rStyle w:val="CharSClsNo"/>
        </w:rPr>
        <w:t>2</w:t>
      </w:r>
      <w:r>
        <w:t>.</w:t>
      </w:r>
      <w:r>
        <w:rPr>
          <w:b w:val="0"/>
        </w:rPr>
        <w:tab/>
      </w:r>
      <w:r>
        <w:t>Acts or omissions committed before 1 Aug 2008</w:t>
      </w:r>
      <w:bookmarkEnd w:id="734"/>
    </w:p>
    <w:p>
      <w:pPr>
        <w:pStyle w:val="ySubsection"/>
        <w:spacing w:before="120"/>
      </w:pPr>
      <w:r>
        <w:tab/>
        <w:t>(1)</w:t>
      </w:r>
      <w:r>
        <w:tab/>
        <w:t>In this clause —</w:t>
      </w:r>
    </w:p>
    <w:p>
      <w:pPr>
        <w:pStyle w:val="yDefstart"/>
      </w:pPr>
      <w:r>
        <w:rPr>
          <w:b/>
          <w:bCs/>
        </w:rPr>
        <w:tab/>
      </w:r>
      <w:r>
        <w:rPr>
          <w:rStyle w:val="CharDefText"/>
        </w:rPr>
        <w:t>unamended Code</w:t>
      </w:r>
      <w:r>
        <w:rPr>
          <w:b/>
          <w:bCs/>
        </w:rPr>
        <w:t xml:space="preserve"> </w:t>
      </w:r>
      <w:r>
        <w:t>means this Code as if it had not been amended by the amendment Act.</w:t>
      </w:r>
    </w:p>
    <w:p>
      <w:pPr>
        <w:pStyle w:val="ySubsection"/>
        <w:spacing w:before="120"/>
      </w:pPr>
      <w:r>
        <w:tab/>
        <w:t>(2)</w:t>
      </w:r>
      <w:r>
        <w:tab/>
        <w:t>Despite section 11, if a person does an act or makes an omission before commencement that is an element of or constitutes an offence under the unamended Code, then after commencement this Code applies to and in respect of the person and the act or omission as if it had not been amended by the amendment Act.</w:t>
      </w:r>
    </w:p>
    <w:p>
      <w:pPr>
        <w:pStyle w:val="ySubsection"/>
        <w:spacing w:before="120"/>
      </w:pPr>
      <w:r>
        <w:tab/>
        <w:t>(3)</w:t>
      </w:r>
      <w:r>
        <w:tab/>
        <w:t xml:space="preserve">Despite subclause (2) and the </w:t>
      </w:r>
      <w:r>
        <w:rPr>
          <w:i/>
          <w:iCs/>
        </w:rPr>
        <w:t xml:space="preserve">Sentencing Act 1995 </w:t>
      </w:r>
      <w:r>
        <w:t>section 10, if —</w:t>
      </w:r>
    </w:p>
    <w:p>
      <w:pPr>
        <w:pStyle w:val="yIndenta"/>
      </w:pPr>
      <w:r>
        <w:tab/>
        <w:t>(a)</w:t>
      </w:r>
      <w:r>
        <w:tab/>
        <w:t>a person is convicted of murder or wilful murder under the unamended Code before commencement but is not sentenced for the offence before commencement; or</w:t>
      </w:r>
    </w:p>
    <w:p>
      <w:pPr>
        <w:pStyle w:val="yIndenta"/>
      </w:pPr>
      <w:r>
        <w:tab/>
        <w:t>(b)</w:t>
      </w:r>
      <w:r>
        <w:tab/>
        <w:t>a person is convicted of murder or wilful murder under the unamended Code as it applies under subclause (2),</w:t>
      </w:r>
    </w:p>
    <w:p>
      <w:pPr>
        <w:pStyle w:val="ySubsection"/>
        <w:spacing w:before="120"/>
      </w:pPr>
      <w:r>
        <w:tab/>
      </w:r>
      <w:r>
        <w:tab/>
        <w:t>the person must be sentenced under section 279(4) to (6) as inserted by the amendment Act as if he or she had been convicted of murder under section 279(1) as inserted by that Act.</w:t>
      </w:r>
    </w:p>
    <w:p>
      <w:pPr>
        <w:pStyle w:val="yFootnotesection"/>
      </w:pPr>
      <w:r>
        <w:tab/>
        <w:t>[Clause 2 inserted: No. 29 of 2008 s. 17.]</w:t>
      </w:r>
    </w:p>
    <w:p>
      <w:pPr>
        <w:pStyle w:val="yHeading5"/>
        <w:keepNext w:val="0"/>
        <w:keepLines w:val="0"/>
        <w:spacing w:before="200"/>
      </w:pPr>
      <w:bookmarkStart w:id="735" w:name="_Toc88662537"/>
      <w:r>
        <w:rPr>
          <w:rStyle w:val="CharSClsNo"/>
        </w:rPr>
        <w:t>3</w:t>
      </w:r>
      <w:r>
        <w:t>.</w:t>
      </w:r>
      <w:r>
        <w:rPr>
          <w:b w:val="0"/>
        </w:rPr>
        <w:tab/>
      </w:r>
      <w:r>
        <w:t>Offenders serving life term at 1 Aug 2008</w:t>
      </w:r>
      <w:bookmarkEnd w:id="735"/>
    </w:p>
    <w:p>
      <w:pPr>
        <w:pStyle w:val="ySubsection"/>
        <w:spacing w:before="120"/>
      </w:pPr>
      <w:r>
        <w:tab/>
        <w:t>(1)</w:t>
      </w:r>
      <w:r>
        <w:tab/>
        <w:t xml:space="preserve">If immediately before commencement a person is serving a sentence of life imprisonment for an offence other than murder or wilful </w:t>
      </w:r>
      <w:r>
        <w:lastRenderedPageBreak/>
        <w:t>murder, the person is eligible to be released on parole when he or she has served 7 years of the sentence.</w:t>
      </w:r>
    </w:p>
    <w:p>
      <w:pPr>
        <w:pStyle w:val="ySubsection"/>
      </w:pPr>
      <w:r>
        <w:tab/>
        <w:t>(2)</w:t>
      </w:r>
      <w:r>
        <w:tab/>
        <w:t xml:space="preserve">If immediately before commencement a person is serving a sentence of life imprisonment for murder or wilful murder in respect of which a minimum period was set under the </w:t>
      </w:r>
      <w:r>
        <w:rPr>
          <w:i/>
          <w:iCs/>
        </w:rPr>
        <w:t xml:space="preserve">Sentencing Act 1995 </w:t>
      </w:r>
      <w:r>
        <w:t>section 90 as it was before commencement, the person must not be released before he or she has served that minimum period.</w:t>
      </w:r>
    </w:p>
    <w:p>
      <w:pPr>
        <w:pStyle w:val="ySubsection"/>
      </w:pPr>
      <w:r>
        <w:tab/>
        <w:t>(3)</w:t>
      </w:r>
      <w:r>
        <w:tab/>
        <w:t xml:space="preserve">If immediately before commencement a person is serving a sentence of strict security life imprisonment in respect of which a minimum period was set under the </w:t>
      </w:r>
      <w:r>
        <w:rPr>
          <w:i/>
          <w:iCs/>
        </w:rPr>
        <w:t xml:space="preserve">Sentencing Act 1995 </w:t>
      </w:r>
      <w:r>
        <w:t>section 91(1) as it was before commencement, the person must not be released before he or she has served that minimum period.</w:t>
      </w:r>
    </w:p>
    <w:p>
      <w:pPr>
        <w:pStyle w:val="ySubsection"/>
      </w:pPr>
      <w:r>
        <w:tab/>
        <w:t>(4)</w:t>
      </w:r>
      <w:r>
        <w:tab/>
        <w:t xml:space="preserve">If immediately before commencement a person is serving a sentence of strict security life imprisonment in respect of which an order was made under the </w:t>
      </w:r>
      <w:r>
        <w:rPr>
          <w:i/>
          <w:iCs/>
        </w:rPr>
        <w:t xml:space="preserve">Sentencing Act 1995 </w:t>
      </w:r>
      <w:r>
        <w:t>section 91(3) as it was before commencement, the person must not be released on parole.</w:t>
      </w:r>
    </w:p>
    <w:p>
      <w:pPr>
        <w:pStyle w:val="ySubsection"/>
      </w:pPr>
      <w:r>
        <w:tab/>
        <w:t>(5)</w:t>
      </w:r>
      <w:r>
        <w:tab/>
        <w:t xml:space="preserve">Any order for the release of a person to whom this clause applies must be made in accordance with the </w:t>
      </w:r>
      <w:r>
        <w:rPr>
          <w:i/>
          <w:iCs/>
        </w:rPr>
        <w:t>Sentence Administration Act 2003</w:t>
      </w:r>
      <w:r>
        <w:t xml:space="preserve"> Part 3.</w:t>
      </w:r>
    </w:p>
    <w:p>
      <w:pPr>
        <w:pStyle w:val="ySubsection"/>
      </w:pPr>
      <w:r>
        <w:tab/>
        <w:t>(6)</w:t>
      </w:r>
      <w:r>
        <w:tab/>
        <w:t xml:space="preserve">If immediately before commencement a person is serving a sentence of strict security life imprisonment, any order made after commencement in relation to the person in the exercise of the Royal Prerogative of Mercy is subject to the </w:t>
      </w:r>
      <w:r>
        <w:rPr>
          <w:i/>
          <w:iCs/>
        </w:rPr>
        <w:t xml:space="preserve">Sentencing Act 1995 </w:t>
      </w:r>
      <w:r>
        <w:t>section 142 as it was immediately before commencement.</w:t>
      </w:r>
    </w:p>
    <w:p>
      <w:pPr>
        <w:pStyle w:val="yFootnotesection"/>
      </w:pPr>
      <w:r>
        <w:tab/>
        <w:t>[Clause 3 inserted: No. 29 of 2008 s. 17; amended: No. 45 of 2016 s. 17.]</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39"/>
          <w:headerReference w:type="default" r:id="rId40"/>
          <w:pgSz w:w="11907" w:h="16840" w:code="9"/>
          <w:pgMar w:top="2376" w:right="2405" w:bottom="3542" w:left="2405" w:header="706" w:footer="3380" w:gutter="0"/>
          <w:cols w:space="720"/>
          <w:noEndnote/>
          <w:docGrid w:linePitch="326"/>
        </w:sectPr>
      </w:pPr>
    </w:p>
    <w:p>
      <w:pPr>
        <w:pStyle w:val="nHeading2"/>
      </w:pPr>
      <w:bookmarkStart w:id="737" w:name="_Toc88570095"/>
      <w:bookmarkStart w:id="738" w:name="_Toc88570617"/>
      <w:bookmarkStart w:id="739" w:name="_Toc88571139"/>
      <w:bookmarkStart w:id="740" w:name="_Toc88662538"/>
      <w:r>
        <w:lastRenderedPageBreak/>
        <w:t>Notes</w:t>
      </w:r>
      <w:bookmarkEnd w:id="737"/>
      <w:bookmarkEnd w:id="738"/>
      <w:bookmarkEnd w:id="739"/>
      <w:bookmarkEnd w:id="740"/>
    </w:p>
    <w:p>
      <w:pPr>
        <w:pStyle w:val="nStatement"/>
      </w:pPr>
      <w:r>
        <w:t xml:space="preserve">This is a compilation of the </w:t>
      </w:r>
      <w:r>
        <w:rPr>
          <w:i/>
          <w:noProof/>
        </w:rPr>
        <w:t xml:space="preserve">Criminal </w:t>
      </w:r>
      <w:r>
        <w:rPr>
          <w:i/>
        </w:rPr>
        <w:t>Code Act Compilation Act 1913</w:t>
      </w:r>
      <w:r>
        <w:t xml:space="preserve"> and includes amendments made by other written laws</w:t>
      </w:r>
      <w:r>
        <w:rPr>
          <w:snapToGrid w:val="0"/>
          <w:vertAlign w:val="superscript"/>
        </w:rPr>
        <w:t> 7</w:t>
      </w:r>
      <w:r>
        <w:t>. For provisions that have come into operation, and for information about any reprints, see the compilation table. For provisions that have not yet come into operation see the uncommenced provisions table.</w:t>
      </w:r>
    </w:p>
    <w:p>
      <w:pPr>
        <w:pStyle w:val="nHeading3"/>
      </w:pPr>
      <w:bookmarkStart w:id="741" w:name="_Toc88662539"/>
      <w:r>
        <w:t>Compilation table</w:t>
      </w:r>
      <w:bookmarkEnd w:id="741"/>
    </w:p>
    <w:tbl>
      <w:tblPr>
        <w:tblW w:w="0" w:type="auto"/>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Act Compilation Act 1913</w:t>
            </w:r>
            <w:r>
              <w:rPr>
                <w:vertAlign w:val="superscript"/>
              </w:rPr>
              <w:t> 8</w:t>
            </w:r>
          </w:p>
        </w:tc>
        <w:tc>
          <w:tcPr>
            <w:tcW w:w="1134" w:type="dxa"/>
          </w:tcPr>
          <w:p>
            <w:pPr>
              <w:pStyle w:val="nTable"/>
              <w:spacing w:after="40"/>
            </w:pPr>
            <w:r>
              <w:t xml:space="preserve">28 of 1913 </w:t>
            </w:r>
            <w:r>
              <w:rPr>
                <w:color w:val="000000"/>
              </w:rPr>
              <w:t>(4 Geo. V No. 28)</w:t>
            </w:r>
          </w:p>
        </w:tc>
        <w:tc>
          <w:tcPr>
            <w:tcW w:w="1134" w:type="dxa"/>
          </w:tcPr>
          <w:p>
            <w:pPr>
              <w:pStyle w:val="nTable"/>
              <w:spacing w:after="40"/>
            </w:pPr>
            <w:r>
              <w:t>30 Dec 1913</w:t>
            </w:r>
          </w:p>
        </w:tc>
        <w:tc>
          <w:tcPr>
            <w:tcW w:w="2552" w:type="dxa"/>
          </w:tcPr>
          <w:p>
            <w:pPr>
              <w:pStyle w:val="nTable"/>
              <w:spacing w:after="40"/>
            </w:pPr>
            <w:r>
              <w:t>1 Jan 1914 (see s. 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1918</w:t>
            </w:r>
          </w:p>
        </w:tc>
        <w:tc>
          <w:tcPr>
            <w:tcW w:w="1134" w:type="dxa"/>
          </w:tcPr>
          <w:p>
            <w:pPr>
              <w:pStyle w:val="nTable"/>
              <w:spacing w:after="40"/>
            </w:pPr>
            <w:r>
              <w:t>32 of 1918</w:t>
            </w:r>
            <w:r>
              <w:rPr>
                <w:color w:val="000000"/>
              </w:rPr>
              <w:t xml:space="preserve"> (9 Geo. V No. 22)</w:t>
            </w:r>
          </w:p>
        </w:tc>
        <w:tc>
          <w:tcPr>
            <w:tcW w:w="1134" w:type="dxa"/>
          </w:tcPr>
          <w:p>
            <w:pPr>
              <w:pStyle w:val="nTable"/>
              <w:spacing w:after="40"/>
            </w:pPr>
            <w:r>
              <w:t>24 Dec 1918</w:t>
            </w:r>
          </w:p>
        </w:tc>
        <w:tc>
          <w:tcPr>
            <w:tcW w:w="2552" w:type="dxa"/>
          </w:tcPr>
          <w:p>
            <w:pPr>
              <w:pStyle w:val="nTable"/>
              <w:spacing w:after="40"/>
            </w:pPr>
            <w:r>
              <w:t>24 Dec 1918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(Chapter XXXVII) Amendment Act 1932</w:t>
            </w:r>
          </w:p>
        </w:tc>
        <w:tc>
          <w:tcPr>
            <w:tcW w:w="1134" w:type="dxa"/>
          </w:tcPr>
          <w:p>
            <w:pPr>
              <w:pStyle w:val="nTable"/>
              <w:spacing w:after="40"/>
            </w:pPr>
            <w:r>
              <w:t xml:space="preserve">51 of 1932 </w:t>
            </w:r>
            <w:r>
              <w:rPr>
                <w:color w:val="000000"/>
              </w:rPr>
              <w:t>(23 Geo. V No. 51)</w:t>
            </w:r>
          </w:p>
        </w:tc>
        <w:tc>
          <w:tcPr>
            <w:tcW w:w="1134" w:type="dxa"/>
          </w:tcPr>
          <w:p>
            <w:pPr>
              <w:pStyle w:val="nTable"/>
              <w:spacing w:after="40"/>
            </w:pPr>
            <w:r>
              <w:t>30 Dec 1932</w:t>
            </w:r>
          </w:p>
        </w:tc>
        <w:tc>
          <w:tcPr>
            <w:tcW w:w="2552" w:type="dxa"/>
          </w:tcPr>
          <w:p>
            <w:pPr>
              <w:pStyle w:val="nTable"/>
              <w:spacing w:after="40"/>
            </w:pPr>
            <w:r>
              <w:t>30 Dec 1932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1942</w:t>
            </w:r>
          </w:p>
        </w:tc>
        <w:tc>
          <w:tcPr>
            <w:tcW w:w="1134" w:type="dxa"/>
          </w:tcPr>
          <w:p>
            <w:pPr>
              <w:pStyle w:val="nTable"/>
              <w:spacing w:after="40"/>
            </w:pPr>
            <w:r>
              <w:t>15 of 1942</w:t>
            </w:r>
            <w:r>
              <w:rPr>
                <w:color w:val="000000"/>
              </w:rPr>
              <w:t xml:space="preserve"> (6 Geo. VI No. 15)</w:t>
            </w:r>
          </w:p>
        </w:tc>
        <w:tc>
          <w:tcPr>
            <w:tcW w:w="1134" w:type="dxa"/>
          </w:tcPr>
          <w:p>
            <w:pPr>
              <w:pStyle w:val="nTable"/>
              <w:spacing w:after="40"/>
            </w:pPr>
            <w:r>
              <w:t>26 Nov 1942</w:t>
            </w:r>
          </w:p>
        </w:tc>
        <w:tc>
          <w:tcPr>
            <w:tcW w:w="2552" w:type="dxa"/>
          </w:tcPr>
          <w:p>
            <w:pPr>
              <w:pStyle w:val="nTable"/>
              <w:spacing w:after="40"/>
            </w:pPr>
            <w:r>
              <w:t>26 Nov 1942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1945</w:t>
            </w:r>
          </w:p>
        </w:tc>
        <w:tc>
          <w:tcPr>
            <w:tcW w:w="1134" w:type="dxa"/>
          </w:tcPr>
          <w:p>
            <w:pPr>
              <w:pStyle w:val="nTable"/>
              <w:spacing w:after="40"/>
            </w:pPr>
            <w:r>
              <w:t xml:space="preserve">40 of 1945 </w:t>
            </w:r>
            <w:r>
              <w:rPr>
                <w:color w:val="000000"/>
              </w:rPr>
              <w:t>(9 &amp; 10 Geo. VI No. 40)</w:t>
            </w:r>
          </w:p>
        </w:tc>
        <w:tc>
          <w:tcPr>
            <w:tcW w:w="1134" w:type="dxa"/>
          </w:tcPr>
          <w:p>
            <w:pPr>
              <w:pStyle w:val="nTable"/>
              <w:spacing w:after="40"/>
            </w:pPr>
            <w:r>
              <w:t>30 Jan 1946</w:t>
            </w:r>
          </w:p>
        </w:tc>
        <w:tc>
          <w:tcPr>
            <w:tcW w:w="2552" w:type="dxa"/>
          </w:tcPr>
          <w:p>
            <w:pPr>
              <w:pStyle w:val="nTable"/>
              <w:spacing w:after="40"/>
            </w:pPr>
            <w:r>
              <w:t>30 Jan 1946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1952</w:t>
            </w:r>
          </w:p>
        </w:tc>
        <w:tc>
          <w:tcPr>
            <w:tcW w:w="1134" w:type="dxa"/>
          </w:tcPr>
          <w:p>
            <w:pPr>
              <w:pStyle w:val="nTable"/>
              <w:spacing w:after="40"/>
            </w:pPr>
            <w:r>
              <w:t xml:space="preserve">27 of 1952 </w:t>
            </w:r>
            <w:r>
              <w:rPr>
                <w:color w:val="000000"/>
              </w:rPr>
              <w:t>(1 Eliz. II No. 27)</w:t>
            </w:r>
          </w:p>
        </w:tc>
        <w:tc>
          <w:tcPr>
            <w:tcW w:w="1134" w:type="dxa"/>
          </w:tcPr>
          <w:p>
            <w:pPr>
              <w:pStyle w:val="nTable"/>
              <w:spacing w:after="40"/>
            </w:pPr>
            <w:r>
              <w:t>28 Nov 1952</w:t>
            </w:r>
          </w:p>
        </w:tc>
        <w:tc>
          <w:tcPr>
            <w:tcW w:w="2552" w:type="dxa"/>
          </w:tcPr>
          <w:p>
            <w:pPr>
              <w:pStyle w:val="nTable"/>
              <w:spacing w:after="40"/>
            </w:pPr>
            <w:r>
              <w:t>28 Nov 1952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1953</w:t>
            </w:r>
          </w:p>
        </w:tc>
        <w:tc>
          <w:tcPr>
            <w:tcW w:w="1134" w:type="dxa"/>
          </w:tcPr>
          <w:p>
            <w:pPr>
              <w:pStyle w:val="nTable"/>
              <w:spacing w:after="40"/>
            </w:pPr>
            <w:r>
              <w:t>55 of 1953</w:t>
            </w:r>
            <w:r>
              <w:rPr>
                <w:color w:val="000000"/>
              </w:rPr>
              <w:t xml:space="preserve"> (2 Eliz. II No. 55)</w:t>
            </w:r>
          </w:p>
        </w:tc>
        <w:tc>
          <w:tcPr>
            <w:tcW w:w="1134" w:type="dxa"/>
          </w:tcPr>
          <w:p>
            <w:pPr>
              <w:pStyle w:val="nTable"/>
              <w:spacing w:after="40"/>
            </w:pPr>
            <w:r>
              <w:t>9 Jan 1954</w:t>
            </w:r>
          </w:p>
        </w:tc>
        <w:tc>
          <w:tcPr>
            <w:tcW w:w="2552" w:type="dxa"/>
          </w:tcPr>
          <w:p>
            <w:pPr>
              <w:pStyle w:val="nTable"/>
              <w:spacing w:after="40"/>
            </w:pPr>
            <w:r>
              <w:t>9 Jan 1954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1954</w:t>
            </w:r>
          </w:p>
        </w:tc>
        <w:tc>
          <w:tcPr>
            <w:tcW w:w="1134" w:type="dxa"/>
          </w:tcPr>
          <w:p>
            <w:pPr>
              <w:pStyle w:val="nTable"/>
              <w:spacing w:after="40"/>
            </w:pPr>
            <w:r>
              <w:t xml:space="preserve">20 of 1954 </w:t>
            </w:r>
            <w:r>
              <w:rPr>
                <w:color w:val="000000"/>
              </w:rPr>
              <w:t>(3 Eliz. II No. 20)</w:t>
            </w:r>
          </w:p>
        </w:tc>
        <w:tc>
          <w:tcPr>
            <w:tcW w:w="1134" w:type="dxa"/>
          </w:tcPr>
          <w:p>
            <w:pPr>
              <w:pStyle w:val="nTable"/>
              <w:spacing w:after="40"/>
            </w:pPr>
            <w:r>
              <w:t>28 Sep 1954</w:t>
            </w:r>
          </w:p>
        </w:tc>
        <w:tc>
          <w:tcPr>
            <w:tcW w:w="2552" w:type="dxa"/>
          </w:tcPr>
          <w:p>
            <w:pPr>
              <w:pStyle w:val="nTable"/>
              <w:spacing w:after="40"/>
            </w:pPr>
            <w:r>
              <w:t>28 Sep 1954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Betting Control Act 1954 </w:t>
            </w:r>
            <w:r>
              <w:t>s. 5</w:t>
            </w:r>
          </w:p>
        </w:tc>
        <w:tc>
          <w:tcPr>
            <w:tcW w:w="1134" w:type="dxa"/>
          </w:tcPr>
          <w:p>
            <w:pPr>
              <w:pStyle w:val="nTable"/>
              <w:spacing w:after="40"/>
            </w:pPr>
            <w:r>
              <w:t xml:space="preserve">63 of 1954 </w:t>
            </w:r>
            <w:r>
              <w:rPr>
                <w:color w:val="000000"/>
              </w:rPr>
              <w:t>(3 Eliz. II No. 63)</w:t>
            </w:r>
          </w:p>
        </w:tc>
        <w:tc>
          <w:tcPr>
            <w:tcW w:w="1134" w:type="dxa"/>
          </w:tcPr>
          <w:p>
            <w:pPr>
              <w:pStyle w:val="nTable"/>
              <w:spacing w:after="40"/>
            </w:pPr>
            <w:r>
              <w:t>30 Dec 1954</w:t>
            </w:r>
          </w:p>
        </w:tc>
        <w:tc>
          <w:tcPr>
            <w:tcW w:w="2552" w:type="dxa"/>
          </w:tcPr>
          <w:p>
            <w:pPr>
              <w:pStyle w:val="nTable"/>
              <w:spacing w:after="40"/>
            </w:pPr>
            <w:r>
              <w:t xml:space="preserve">1 Aug 1955 (see s. 2(1) and </w:t>
            </w:r>
            <w:r>
              <w:rPr>
                <w:i/>
              </w:rPr>
              <w:t>Gazette</w:t>
            </w:r>
            <w:r>
              <w:t xml:space="preserve"> 29 Jul 1955 p. 1767)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lastRenderedPageBreak/>
              <w:t>Limitation Act 1935</w:t>
            </w:r>
            <w:r>
              <w:t xml:space="preserve"> s. 48A(1)</w:t>
            </w:r>
          </w:p>
        </w:tc>
        <w:tc>
          <w:tcPr>
            <w:tcW w:w="1134" w:type="dxa"/>
          </w:tcPr>
          <w:p>
            <w:pPr>
              <w:pStyle w:val="nTable"/>
              <w:spacing w:after="40"/>
            </w:pPr>
            <w:r>
              <w:t xml:space="preserve">35 of 1935 </w:t>
            </w:r>
            <w:r>
              <w:rPr>
                <w:color w:val="000000"/>
              </w:rPr>
              <w:t xml:space="preserve">(26 Geo. V No. 35) </w:t>
            </w:r>
            <w:r>
              <w:t>(as amended by No. 73 of 1954 s. 8)</w:t>
            </w:r>
          </w:p>
        </w:tc>
        <w:tc>
          <w:tcPr>
            <w:tcW w:w="1134" w:type="dxa"/>
          </w:tcPr>
          <w:p>
            <w:pPr>
              <w:pStyle w:val="nTable"/>
              <w:spacing w:after="40"/>
            </w:pPr>
            <w:r>
              <w:t>14 Jan 1955</w:t>
            </w:r>
          </w:p>
        </w:tc>
        <w:tc>
          <w:tcPr>
            <w:tcW w:w="2552" w:type="dxa"/>
          </w:tcPr>
          <w:p>
            <w:pPr>
              <w:pStyle w:val="nTable"/>
              <w:spacing w:after="40"/>
            </w:pPr>
            <w:r>
              <w:t>Relevant amendments (see s. 48A and Second Sch.</w:t>
            </w:r>
            <w:r>
              <w:rPr>
                <w:vertAlign w:val="superscript"/>
              </w:rPr>
              <w:t> 9</w:t>
            </w:r>
            <w:r>
              <w:t xml:space="preserve">) took effect on 1 Mar 1955 (see No. 73 of 1954 s. 2 and </w:t>
            </w:r>
            <w:r>
              <w:rPr>
                <w:i/>
              </w:rPr>
              <w:t>Gazette</w:t>
            </w:r>
            <w:r>
              <w:t xml:space="preserve"> 18 Feb 1955 p. 343)</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approved 29 Jun 1955 in Vol. 8 of Reprinted Acts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1956</w:t>
            </w:r>
          </w:p>
        </w:tc>
        <w:tc>
          <w:tcPr>
            <w:tcW w:w="1134" w:type="dxa"/>
          </w:tcPr>
          <w:p>
            <w:pPr>
              <w:pStyle w:val="nTable"/>
              <w:spacing w:after="40"/>
            </w:pPr>
            <w:r>
              <w:t>11 of 1956</w:t>
            </w:r>
            <w:r>
              <w:rPr>
                <w:color w:val="000000"/>
              </w:rPr>
              <w:t xml:space="preserve"> (5 Eliz. II No. 11)</w:t>
            </w:r>
          </w:p>
        </w:tc>
        <w:tc>
          <w:tcPr>
            <w:tcW w:w="1134" w:type="dxa"/>
          </w:tcPr>
          <w:p>
            <w:pPr>
              <w:pStyle w:val="nTable"/>
              <w:spacing w:after="40"/>
            </w:pPr>
            <w:r>
              <w:t>11 Oct 1956</w:t>
            </w:r>
          </w:p>
        </w:tc>
        <w:tc>
          <w:tcPr>
            <w:tcW w:w="2552" w:type="dxa"/>
          </w:tcPr>
          <w:p>
            <w:pPr>
              <w:pStyle w:val="nTable"/>
              <w:spacing w:after="40"/>
            </w:pPr>
            <w:r>
              <w:t>11 Oct 1956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1956</w:t>
            </w:r>
          </w:p>
        </w:tc>
        <w:tc>
          <w:tcPr>
            <w:tcW w:w="1134" w:type="dxa"/>
          </w:tcPr>
          <w:p>
            <w:pPr>
              <w:pStyle w:val="nTable"/>
              <w:spacing w:after="40"/>
            </w:pPr>
            <w:r>
              <w:t>43 of 1956</w:t>
            </w:r>
            <w:r>
              <w:rPr>
                <w:color w:val="000000"/>
              </w:rPr>
              <w:t xml:space="preserve"> (5 Eliz. II No. 43)</w:t>
            </w:r>
          </w:p>
        </w:tc>
        <w:tc>
          <w:tcPr>
            <w:tcW w:w="1134" w:type="dxa"/>
          </w:tcPr>
          <w:p>
            <w:pPr>
              <w:pStyle w:val="nTable"/>
              <w:spacing w:after="40"/>
            </w:pPr>
            <w:r>
              <w:t>18 Dec 1956</w:t>
            </w:r>
          </w:p>
        </w:tc>
        <w:tc>
          <w:tcPr>
            <w:tcW w:w="2552" w:type="dxa"/>
          </w:tcPr>
          <w:p>
            <w:pPr>
              <w:pStyle w:val="nTable"/>
              <w:spacing w:after="40"/>
            </w:pPr>
            <w:r>
              <w:t>18 Dec 1956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Traffic Act Amendment Act (No. 3) 1956 </w:t>
            </w:r>
            <w:r>
              <w:t>s. 25(2)</w:t>
            </w:r>
          </w:p>
        </w:tc>
        <w:tc>
          <w:tcPr>
            <w:tcW w:w="1134" w:type="dxa"/>
          </w:tcPr>
          <w:p>
            <w:pPr>
              <w:pStyle w:val="nTable"/>
              <w:spacing w:after="40"/>
            </w:pPr>
            <w:r>
              <w:t>74 of 1956</w:t>
            </w:r>
            <w:r>
              <w:rPr>
                <w:color w:val="000000"/>
              </w:rPr>
              <w:t xml:space="preserve"> (5 Eliz. II No. 74)</w:t>
            </w:r>
          </w:p>
        </w:tc>
        <w:tc>
          <w:tcPr>
            <w:tcW w:w="1134" w:type="dxa"/>
          </w:tcPr>
          <w:p>
            <w:pPr>
              <w:pStyle w:val="nTable"/>
              <w:spacing w:after="40"/>
            </w:pPr>
            <w:r>
              <w:t>14 Jan 1957</w:t>
            </w:r>
          </w:p>
        </w:tc>
        <w:tc>
          <w:tcPr>
            <w:tcW w:w="2552" w:type="dxa"/>
          </w:tcPr>
          <w:p>
            <w:pPr>
              <w:pStyle w:val="nTable"/>
              <w:spacing w:after="40"/>
            </w:pPr>
            <w:r>
              <w:t>14 Jan 1957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Juries Act 1957</w:t>
            </w:r>
            <w:r>
              <w:t xml:space="preserve"> s. 2</w:t>
            </w:r>
          </w:p>
        </w:tc>
        <w:tc>
          <w:tcPr>
            <w:tcW w:w="1134" w:type="dxa"/>
          </w:tcPr>
          <w:p>
            <w:pPr>
              <w:pStyle w:val="nTable"/>
              <w:spacing w:after="40"/>
            </w:pPr>
            <w:r>
              <w:t xml:space="preserve">50 of 1957 </w:t>
            </w:r>
            <w:r>
              <w:rPr>
                <w:color w:val="000000"/>
              </w:rPr>
              <w:t>(6 Eliz. II No. 50)</w:t>
            </w:r>
          </w:p>
        </w:tc>
        <w:tc>
          <w:tcPr>
            <w:tcW w:w="1134" w:type="dxa"/>
          </w:tcPr>
          <w:p>
            <w:pPr>
              <w:pStyle w:val="nTable"/>
              <w:spacing w:after="40"/>
            </w:pPr>
            <w:r>
              <w:t>9 Dec 1957</w:t>
            </w:r>
          </w:p>
        </w:tc>
        <w:tc>
          <w:tcPr>
            <w:tcW w:w="2552" w:type="dxa"/>
          </w:tcPr>
          <w:p>
            <w:pPr>
              <w:pStyle w:val="nTable"/>
              <w:spacing w:after="40"/>
            </w:pPr>
            <w:r>
              <w:t xml:space="preserve">1 Jul 1960 (see s. 1(2) and </w:t>
            </w:r>
            <w:r>
              <w:rPr>
                <w:i/>
              </w:rPr>
              <w:t>Gazette</w:t>
            </w:r>
            <w:r>
              <w:t xml:space="preserve"> 6 Mar 1959 p. 539)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1960</w:t>
            </w:r>
          </w:p>
        </w:tc>
        <w:tc>
          <w:tcPr>
            <w:tcW w:w="1134" w:type="dxa"/>
          </w:tcPr>
          <w:p>
            <w:pPr>
              <w:pStyle w:val="nTable"/>
              <w:spacing w:after="40"/>
            </w:pPr>
            <w:r>
              <w:t xml:space="preserve">25 of 1960 </w:t>
            </w:r>
            <w:r>
              <w:rPr>
                <w:color w:val="000000"/>
              </w:rPr>
              <w:t>(9 Eliz. II No. 25)</w:t>
            </w:r>
          </w:p>
        </w:tc>
        <w:tc>
          <w:tcPr>
            <w:tcW w:w="1134" w:type="dxa"/>
          </w:tcPr>
          <w:p>
            <w:pPr>
              <w:pStyle w:val="nTable"/>
              <w:spacing w:after="40"/>
            </w:pPr>
            <w:r>
              <w:t>21 Oct 1960</w:t>
            </w:r>
          </w:p>
        </w:tc>
        <w:tc>
          <w:tcPr>
            <w:tcW w:w="2552" w:type="dxa"/>
          </w:tcPr>
          <w:p>
            <w:pPr>
              <w:pStyle w:val="nTable"/>
              <w:spacing w:after="40"/>
            </w:pPr>
            <w:r>
              <w:t>21 Oct 1960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1961</w:t>
            </w:r>
          </w:p>
        </w:tc>
        <w:tc>
          <w:tcPr>
            <w:tcW w:w="1134" w:type="dxa"/>
          </w:tcPr>
          <w:p>
            <w:pPr>
              <w:pStyle w:val="nTable"/>
              <w:spacing w:after="40"/>
            </w:pPr>
            <w:r>
              <w:t>28 of 1961 (</w:t>
            </w:r>
            <w:r>
              <w:rPr>
                <w:color w:val="000000"/>
              </w:rPr>
              <w:t>10 Eliz. II No. 28)</w:t>
            </w:r>
          </w:p>
        </w:tc>
        <w:tc>
          <w:tcPr>
            <w:tcW w:w="1134" w:type="dxa"/>
          </w:tcPr>
          <w:p>
            <w:pPr>
              <w:pStyle w:val="nTable"/>
              <w:spacing w:after="40"/>
            </w:pPr>
            <w:r>
              <w:t>23 May 1962</w:t>
            </w:r>
          </w:p>
        </w:tc>
        <w:tc>
          <w:tcPr>
            <w:tcW w:w="2552" w:type="dxa"/>
          </w:tcPr>
          <w:p>
            <w:pPr>
              <w:pStyle w:val="nTable"/>
              <w:spacing w:after="40"/>
            </w:pPr>
            <w:r>
              <w:t xml:space="preserve">29 Jun 1962 (see </w:t>
            </w:r>
            <w:r>
              <w:rPr>
                <w:i/>
              </w:rPr>
              <w:t>Interpretation Act 1918</w:t>
            </w:r>
            <w:r>
              <w:t xml:space="preserve"> s. 8 and </w:t>
            </w:r>
            <w:r>
              <w:rPr>
                <w:i/>
              </w:rPr>
              <w:t>Gazette</w:t>
            </w:r>
            <w:r>
              <w:t xml:space="preserve"> 29 Jun 1962 p. 1657)</w:t>
            </w:r>
            <w:r>
              <w:br/>
              <w:t xml:space="preserve">Reserved for Royal Assent 31 Oct 1961 </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1962</w:t>
            </w:r>
            <w:r>
              <w:rPr>
                <w:vertAlign w:val="superscript"/>
              </w:rPr>
              <w:t> 10</w:t>
            </w:r>
          </w:p>
        </w:tc>
        <w:tc>
          <w:tcPr>
            <w:tcW w:w="1134" w:type="dxa"/>
          </w:tcPr>
          <w:p>
            <w:pPr>
              <w:pStyle w:val="nTable"/>
              <w:keepNext/>
              <w:keepLines/>
              <w:spacing w:after="40"/>
            </w:pPr>
            <w:r>
              <w:t xml:space="preserve">35 of 1962 </w:t>
            </w:r>
            <w:r>
              <w:rPr>
                <w:color w:val="000000"/>
              </w:rPr>
              <w:t>(11 Eliz. II No. 35)</w:t>
            </w:r>
          </w:p>
        </w:tc>
        <w:tc>
          <w:tcPr>
            <w:tcW w:w="1134" w:type="dxa"/>
          </w:tcPr>
          <w:p>
            <w:pPr>
              <w:pStyle w:val="nTable"/>
              <w:spacing w:after="40"/>
            </w:pPr>
            <w:r>
              <w:t>29 Oct 1962</w:t>
            </w:r>
          </w:p>
        </w:tc>
        <w:tc>
          <w:tcPr>
            <w:tcW w:w="2552" w:type="dxa"/>
          </w:tcPr>
          <w:p>
            <w:pPr>
              <w:pStyle w:val="nTable"/>
              <w:spacing w:after="40"/>
            </w:pPr>
            <w:r>
              <w:t xml:space="preserve">1 Jul 1966 (see s. 2 and </w:t>
            </w:r>
            <w:r>
              <w:rPr>
                <w:i/>
              </w:rPr>
              <w:t>Gazette</w:t>
            </w:r>
            <w:r>
              <w:t xml:space="preserve"> 11 Mar 1966 p. 701)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1963</w:t>
            </w:r>
          </w:p>
        </w:tc>
        <w:tc>
          <w:tcPr>
            <w:tcW w:w="1134" w:type="dxa"/>
          </w:tcPr>
          <w:p>
            <w:pPr>
              <w:pStyle w:val="nTable"/>
              <w:spacing w:after="40"/>
            </w:pPr>
            <w:r>
              <w:t xml:space="preserve">21 of 1963 </w:t>
            </w:r>
            <w:r>
              <w:rPr>
                <w:color w:val="000000"/>
              </w:rPr>
              <w:t>(12 Eliz. II No. 21)</w:t>
            </w:r>
          </w:p>
        </w:tc>
        <w:tc>
          <w:tcPr>
            <w:tcW w:w="1134" w:type="dxa"/>
          </w:tcPr>
          <w:p>
            <w:pPr>
              <w:pStyle w:val="nTable"/>
              <w:spacing w:after="40"/>
            </w:pPr>
            <w:r>
              <w:t xml:space="preserve">13 Nov 1963 </w:t>
            </w:r>
          </w:p>
        </w:tc>
        <w:tc>
          <w:tcPr>
            <w:tcW w:w="2552" w:type="dxa"/>
          </w:tcPr>
          <w:p>
            <w:pPr>
              <w:pStyle w:val="nTable"/>
              <w:spacing w:after="40"/>
            </w:pPr>
            <w:r>
              <w:t xml:space="preserve">1 Jan 1965 (see s. 2 and </w:t>
            </w:r>
            <w:r>
              <w:rPr>
                <w:i/>
              </w:rPr>
              <w:t>Gazette</w:t>
            </w:r>
            <w:r>
              <w:t xml:space="preserve"> 11 Dec 1964 p. 3995)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1963</w:t>
            </w:r>
          </w:p>
        </w:tc>
        <w:tc>
          <w:tcPr>
            <w:tcW w:w="1134" w:type="dxa"/>
          </w:tcPr>
          <w:p>
            <w:pPr>
              <w:pStyle w:val="nTable"/>
              <w:spacing w:after="40"/>
            </w:pPr>
            <w:r>
              <w:t xml:space="preserve">55 of 1963 </w:t>
            </w:r>
            <w:r>
              <w:rPr>
                <w:color w:val="000000"/>
              </w:rPr>
              <w:t>(12 Eliz. II No. 55)</w:t>
            </w:r>
          </w:p>
        </w:tc>
        <w:tc>
          <w:tcPr>
            <w:tcW w:w="1134" w:type="dxa"/>
          </w:tcPr>
          <w:p>
            <w:pPr>
              <w:pStyle w:val="nTable"/>
              <w:spacing w:after="40"/>
            </w:pPr>
            <w:r>
              <w:t>17 Dec 1963</w:t>
            </w:r>
          </w:p>
        </w:tc>
        <w:tc>
          <w:tcPr>
            <w:tcW w:w="2552" w:type="dxa"/>
          </w:tcPr>
          <w:p>
            <w:pPr>
              <w:pStyle w:val="nTable"/>
              <w:spacing w:after="40"/>
            </w:pPr>
            <w:r>
              <w:t xml:space="preserve">1 Jul 1964 (see s. 2 and </w:t>
            </w:r>
            <w:r>
              <w:rPr>
                <w:i/>
              </w:rPr>
              <w:t>Gazette</w:t>
            </w:r>
            <w:r>
              <w:t xml:space="preserve"> 26 Jun 1964 p. 2525)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Convicted Inebriates’ Rehabilitation Act 1963 </w:t>
            </w:r>
            <w:r>
              <w:t>s. 17</w:t>
            </w:r>
          </w:p>
        </w:tc>
        <w:tc>
          <w:tcPr>
            <w:tcW w:w="1134" w:type="dxa"/>
          </w:tcPr>
          <w:p>
            <w:pPr>
              <w:pStyle w:val="nTable"/>
              <w:spacing w:after="40"/>
            </w:pPr>
            <w:r>
              <w:t xml:space="preserve">63 of 1963 </w:t>
            </w:r>
            <w:r>
              <w:rPr>
                <w:color w:val="000000"/>
              </w:rPr>
              <w:t>(12 Eliz. II No. 63)</w:t>
            </w:r>
          </w:p>
        </w:tc>
        <w:tc>
          <w:tcPr>
            <w:tcW w:w="1134" w:type="dxa"/>
          </w:tcPr>
          <w:p>
            <w:pPr>
              <w:pStyle w:val="nTable"/>
              <w:spacing w:after="40"/>
            </w:pPr>
            <w:r>
              <w:t>18 Dec 1963</w:t>
            </w:r>
          </w:p>
        </w:tc>
        <w:tc>
          <w:tcPr>
            <w:tcW w:w="2552" w:type="dxa"/>
          </w:tcPr>
          <w:p>
            <w:pPr>
              <w:pStyle w:val="nTable"/>
              <w:spacing w:after="40"/>
            </w:pPr>
            <w:r>
              <w:t xml:space="preserve">1 Jul 1966 (see s. 2 and </w:t>
            </w:r>
            <w:r>
              <w:rPr>
                <w:i/>
              </w:rPr>
              <w:t>Gazette</w:t>
            </w:r>
            <w:r>
              <w:t xml:space="preserve"> 11 Mar 1966 p. 702)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lastRenderedPageBreak/>
              <w:t>Traffic Act Amendment Act (No. 3) 1963</w:t>
            </w:r>
            <w:r>
              <w:t xml:space="preserve"> s. 8</w:t>
            </w:r>
          </w:p>
        </w:tc>
        <w:tc>
          <w:tcPr>
            <w:tcW w:w="1134" w:type="dxa"/>
          </w:tcPr>
          <w:p>
            <w:pPr>
              <w:pStyle w:val="nTable"/>
              <w:spacing w:after="40"/>
            </w:pPr>
            <w:r>
              <w:t xml:space="preserve">74 of 1963 </w:t>
            </w:r>
            <w:r>
              <w:rPr>
                <w:color w:val="000000"/>
              </w:rPr>
              <w:t>(12 Eliz. II No. 74)</w:t>
            </w:r>
          </w:p>
        </w:tc>
        <w:tc>
          <w:tcPr>
            <w:tcW w:w="1134" w:type="dxa"/>
          </w:tcPr>
          <w:p>
            <w:pPr>
              <w:pStyle w:val="nTable"/>
              <w:spacing w:after="40"/>
            </w:pPr>
            <w:r>
              <w:t>19 Dec 1963</w:t>
            </w:r>
          </w:p>
        </w:tc>
        <w:tc>
          <w:tcPr>
            <w:tcW w:w="2552" w:type="dxa"/>
          </w:tcPr>
          <w:p>
            <w:pPr>
              <w:pStyle w:val="nTable"/>
              <w:spacing w:after="40"/>
            </w:pPr>
            <w:r>
              <w:t xml:space="preserve">1 Mar 1964 (see s. 2 and </w:t>
            </w:r>
            <w:r>
              <w:rPr>
                <w:i/>
              </w:rPr>
              <w:t>Gazette</w:t>
            </w:r>
            <w:r>
              <w:t xml:space="preserve"> 28 Feb 1964 p. 906)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1964</w:t>
            </w:r>
          </w:p>
        </w:tc>
        <w:tc>
          <w:tcPr>
            <w:tcW w:w="1134" w:type="dxa"/>
          </w:tcPr>
          <w:p>
            <w:pPr>
              <w:pStyle w:val="nTable"/>
              <w:spacing w:after="40"/>
            </w:pPr>
            <w:r>
              <w:t xml:space="preserve">53 of 1964 </w:t>
            </w:r>
            <w:r>
              <w:rPr>
                <w:color w:val="000000"/>
              </w:rPr>
              <w:t>(13 Eliz. II No. 53)</w:t>
            </w:r>
          </w:p>
        </w:tc>
        <w:tc>
          <w:tcPr>
            <w:tcW w:w="1134" w:type="dxa"/>
          </w:tcPr>
          <w:p>
            <w:pPr>
              <w:pStyle w:val="nTable"/>
              <w:spacing w:after="40"/>
            </w:pPr>
            <w:r>
              <w:t>30 Nov 1964</w:t>
            </w:r>
          </w:p>
        </w:tc>
        <w:tc>
          <w:tcPr>
            <w:tcW w:w="2552" w:type="dxa"/>
          </w:tcPr>
          <w:p>
            <w:pPr>
              <w:pStyle w:val="nTable"/>
              <w:spacing w:after="40"/>
            </w:pPr>
            <w:r>
              <w:t>30 Nov 1964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1965</w:t>
            </w:r>
          </w:p>
        </w:tc>
        <w:tc>
          <w:tcPr>
            <w:tcW w:w="1134" w:type="dxa"/>
          </w:tcPr>
          <w:p>
            <w:pPr>
              <w:pStyle w:val="nTable"/>
              <w:spacing w:after="40"/>
            </w:pPr>
            <w:r>
              <w:t>91 of 1965</w:t>
            </w:r>
          </w:p>
        </w:tc>
        <w:tc>
          <w:tcPr>
            <w:tcW w:w="1134" w:type="dxa"/>
          </w:tcPr>
          <w:p>
            <w:pPr>
              <w:pStyle w:val="nTable"/>
              <w:spacing w:after="40"/>
            </w:pPr>
            <w:r>
              <w:t>8 Dec 1965</w:t>
            </w:r>
          </w:p>
        </w:tc>
        <w:tc>
          <w:tcPr>
            <w:tcW w:w="2552" w:type="dxa"/>
          </w:tcPr>
          <w:p>
            <w:pPr>
              <w:pStyle w:val="nTable"/>
              <w:spacing w:after="40"/>
            </w:pPr>
            <w:r>
              <w:t>8 Dec 1965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2" w:type="dxa"/>
          </w:tcPr>
          <w:p>
            <w:pPr>
              <w:pStyle w:val="nTable"/>
              <w:spacing w:after="40"/>
            </w:pPr>
            <w:r>
              <w:t>Act other than s. 4</w:t>
            </w:r>
            <w:r>
              <w:noBreakHyphen/>
              <w:t>9: 21 Dec 1965 (see s. 2(1));</w:t>
            </w:r>
            <w:r>
              <w:br/>
              <w:t>s. 4</w:t>
            </w:r>
            <w:r>
              <w:noBreakHyphen/>
              <w:t>9: 14 Feb 1966 (see s. 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1966</w:t>
            </w:r>
          </w:p>
        </w:tc>
        <w:tc>
          <w:tcPr>
            <w:tcW w:w="1134" w:type="dxa"/>
          </w:tcPr>
          <w:p>
            <w:pPr>
              <w:pStyle w:val="nTable"/>
              <w:spacing w:after="40"/>
            </w:pPr>
            <w:r>
              <w:t>89 of 1966</w:t>
            </w:r>
          </w:p>
        </w:tc>
        <w:tc>
          <w:tcPr>
            <w:tcW w:w="1134" w:type="dxa"/>
          </w:tcPr>
          <w:p>
            <w:pPr>
              <w:pStyle w:val="nTable"/>
              <w:spacing w:after="40"/>
            </w:pPr>
            <w:r>
              <w:t>12 Dec 1966</w:t>
            </w:r>
          </w:p>
        </w:tc>
        <w:tc>
          <w:tcPr>
            <w:tcW w:w="2552" w:type="dxa"/>
          </w:tcPr>
          <w:p>
            <w:pPr>
              <w:pStyle w:val="nTable"/>
              <w:spacing w:after="40"/>
            </w:pPr>
            <w:r>
              <w:t>12 Dec 1966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1969</w:t>
            </w:r>
          </w:p>
        </w:tc>
        <w:tc>
          <w:tcPr>
            <w:tcW w:w="1134" w:type="dxa"/>
          </w:tcPr>
          <w:p>
            <w:pPr>
              <w:pStyle w:val="nTable"/>
              <w:keepNext/>
              <w:spacing w:after="40"/>
            </w:pPr>
            <w:r>
              <w:t>1 of 1969</w:t>
            </w:r>
          </w:p>
        </w:tc>
        <w:tc>
          <w:tcPr>
            <w:tcW w:w="1134" w:type="dxa"/>
          </w:tcPr>
          <w:p>
            <w:pPr>
              <w:pStyle w:val="nTable"/>
              <w:keepNext/>
              <w:spacing w:after="40"/>
            </w:pPr>
            <w:r>
              <w:t>21 Apr 1969</w:t>
            </w:r>
          </w:p>
        </w:tc>
        <w:tc>
          <w:tcPr>
            <w:tcW w:w="2552" w:type="dxa"/>
          </w:tcPr>
          <w:p>
            <w:pPr>
              <w:pStyle w:val="nTable"/>
              <w:keepNext/>
              <w:spacing w:after="40"/>
            </w:pPr>
            <w:r>
              <w:t>21 Apr 1969</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approved 9 Jul 1969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1972</w:t>
            </w:r>
          </w:p>
        </w:tc>
        <w:tc>
          <w:tcPr>
            <w:tcW w:w="1134" w:type="dxa"/>
          </w:tcPr>
          <w:p>
            <w:pPr>
              <w:pStyle w:val="nTable"/>
              <w:spacing w:after="40"/>
            </w:pPr>
            <w:r>
              <w:t>21 of 1972</w:t>
            </w:r>
          </w:p>
        </w:tc>
        <w:tc>
          <w:tcPr>
            <w:tcW w:w="1134" w:type="dxa"/>
          </w:tcPr>
          <w:p>
            <w:pPr>
              <w:pStyle w:val="nTable"/>
              <w:spacing w:after="40"/>
            </w:pPr>
            <w:r>
              <w:t>26 May 1972</w:t>
            </w:r>
          </w:p>
        </w:tc>
        <w:tc>
          <w:tcPr>
            <w:tcW w:w="2552" w:type="dxa"/>
          </w:tcPr>
          <w:p>
            <w:pPr>
              <w:pStyle w:val="nTable"/>
              <w:spacing w:after="40"/>
            </w:pPr>
            <w:r>
              <w:t xml:space="preserve">1 Jul 1972 (see s. 2 and </w:t>
            </w:r>
            <w:r>
              <w:rPr>
                <w:i/>
              </w:rPr>
              <w:t>Gazette</w:t>
            </w:r>
            <w:r>
              <w:t xml:space="preserve"> 30 Jun 1972 p. 2097)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1972</w:t>
            </w:r>
          </w:p>
        </w:tc>
        <w:tc>
          <w:tcPr>
            <w:tcW w:w="1134" w:type="dxa"/>
          </w:tcPr>
          <w:p>
            <w:pPr>
              <w:pStyle w:val="nTable"/>
              <w:keepNext/>
              <w:keepLines/>
              <w:spacing w:after="40"/>
            </w:pPr>
            <w:r>
              <w:t>41 of 1972</w:t>
            </w:r>
          </w:p>
        </w:tc>
        <w:tc>
          <w:tcPr>
            <w:tcW w:w="1134" w:type="dxa"/>
          </w:tcPr>
          <w:p>
            <w:pPr>
              <w:pStyle w:val="nTable"/>
              <w:keepNext/>
              <w:keepLines/>
              <w:spacing w:after="40"/>
            </w:pPr>
            <w:r>
              <w:t>16 Jun 1972</w:t>
            </w:r>
          </w:p>
        </w:tc>
        <w:tc>
          <w:tcPr>
            <w:tcW w:w="2552" w:type="dxa"/>
          </w:tcPr>
          <w:p>
            <w:pPr>
              <w:pStyle w:val="nTable"/>
              <w:keepNext/>
              <w:keepLines/>
              <w:spacing w:after="40"/>
            </w:pPr>
            <w:r>
              <w:t xml:space="preserve">1 Jul 1972 (see s. 2 and </w:t>
            </w:r>
            <w:r>
              <w:rPr>
                <w:i/>
              </w:rPr>
              <w:t>Gazette</w:t>
            </w:r>
            <w:r>
              <w:t xml:space="preserve"> 30 Jun 1972 p. 2098)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Metric Conversion Act 1972</w:t>
            </w:r>
            <w:r>
              <w:t xml:space="preserve"> </w:t>
            </w:r>
          </w:p>
        </w:tc>
        <w:tc>
          <w:tcPr>
            <w:tcW w:w="1134" w:type="dxa"/>
          </w:tcPr>
          <w:p>
            <w:pPr>
              <w:pStyle w:val="nTable"/>
              <w:spacing w:after="40"/>
            </w:pPr>
            <w:r>
              <w:t>94 of 1972 (as amended by No. 19 and 83 of 1973 and 42 of 1975)</w:t>
            </w:r>
          </w:p>
        </w:tc>
        <w:tc>
          <w:tcPr>
            <w:tcW w:w="1134" w:type="dxa"/>
          </w:tcPr>
          <w:p>
            <w:pPr>
              <w:pStyle w:val="nTable"/>
              <w:spacing w:after="40"/>
            </w:pPr>
            <w:r>
              <w:t>4 Dec 1972</w:t>
            </w:r>
          </w:p>
        </w:tc>
        <w:tc>
          <w:tcPr>
            <w:tcW w:w="2552" w:type="dxa"/>
          </w:tcPr>
          <w:p>
            <w:pPr>
              <w:pStyle w:val="nTable"/>
              <w:spacing w:after="40"/>
            </w:pPr>
            <w:r>
              <w:t>Relevant amendments (see Second Sch.</w:t>
            </w:r>
            <w:r>
              <w:rPr>
                <w:vertAlign w:val="superscript"/>
              </w:rPr>
              <w:t> 11</w:t>
            </w:r>
            <w:r>
              <w:t xml:space="preserve">) took effect on 1 Jan 1974 (see s. 4(2) and </w:t>
            </w:r>
            <w:r>
              <w:rPr>
                <w:i/>
              </w:rPr>
              <w:t>Gazette</w:t>
            </w:r>
            <w:r>
              <w:t xml:space="preserve"> 2 Nov 1973 p. 4109)</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rPr>
              <w:t xml:space="preserve">Reprint of the </w:t>
            </w:r>
            <w:r>
              <w:rPr>
                <w:b/>
                <w:i/>
              </w:rPr>
              <w:t>Criminal Code Act Compilation Act 1913</w:t>
            </w:r>
            <w:r>
              <w:rPr>
                <w:b/>
              </w:rPr>
              <w:t xml:space="preserve"> approved 9 Jul 1974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(Road Traffic) Act 1974 </w:t>
            </w:r>
            <w:r>
              <w:t>Pt. I</w:t>
            </w:r>
          </w:p>
        </w:tc>
        <w:tc>
          <w:tcPr>
            <w:tcW w:w="1134" w:type="dxa"/>
          </w:tcPr>
          <w:p>
            <w:pPr>
              <w:pStyle w:val="nTable"/>
              <w:spacing w:after="40"/>
            </w:pPr>
            <w:r>
              <w:t>58 of 1974</w:t>
            </w:r>
          </w:p>
        </w:tc>
        <w:tc>
          <w:tcPr>
            <w:tcW w:w="1134" w:type="dxa"/>
          </w:tcPr>
          <w:p>
            <w:pPr>
              <w:pStyle w:val="nTable"/>
              <w:spacing w:after="40"/>
            </w:pPr>
            <w:r>
              <w:t>3 Dec 1974</w:t>
            </w:r>
          </w:p>
        </w:tc>
        <w:tc>
          <w:tcPr>
            <w:tcW w:w="2552" w:type="dxa"/>
          </w:tcPr>
          <w:p>
            <w:pPr>
              <w:pStyle w:val="nTable"/>
              <w:spacing w:after="40"/>
            </w:pPr>
            <w:r>
              <w:t xml:space="preserve">29 Aug 1975 (see s. 2 and </w:t>
            </w:r>
            <w:r>
              <w:rPr>
                <w:i/>
              </w:rPr>
              <w:t>Gazette</w:t>
            </w:r>
            <w:r>
              <w:t xml:space="preserve"> 29 Aug 1975 p. 3085)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1975</w:t>
            </w:r>
          </w:p>
        </w:tc>
        <w:tc>
          <w:tcPr>
            <w:tcW w:w="1134" w:type="dxa"/>
          </w:tcPr>
          <w:p>
            <w:pPr>
              <w:pStyle w:val="nTable"/>
              <w:spacing w:after="40"/>
            </w:pPr>
            <w:r>
              <w:t>49 of 1975</w:t>
            </w:r>
          </w:p>
        </w:tc>
        <w:tc>
          <w:tcPr>
            <w:tcW w:w="1134" w:type="dxa"/>
          </w:tcPr>
          <w:p>
            <w:pPr>
              <w:pStyle w:val="nTable"/>
              <w:spacing w:after="40"/>
            </w:pPr>
            <w:r>
              <w:t>18 Sep 1975</w:t>
            </w:r>
          </w:p>
        </w:tc>
        <w:tc>
          <w:tcPr>
            <w:tcW w:w="2552" w:type="dxa"/>
          </w:tcPr>
          <w:p>
            <w:pPr>
              <w:pStyle w:val="nTable"/>
              <w:spacing w:after="40"/>
            </w:pPr>
            <w:r>
              <w:t>18 Sep 1975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1976</w:t>
            </w:r>
          </w:p>
        </w:tc>
        <w:tc>
          <w:tcPr>
            <w:tcW w:w="1134" w:type="dxa"/>
          </w:tcPr>
          <w:p>
            <w:pPr>
              <w:pStyle w:val="nTable"/>
              <w:spacing w:after="40"/>
            </w:pPr>
            <w:r>
              <w:t>35 of 1976</w:t>
            </w:r>
          </w:p>
        </w:tc>
        <w:tc>
          <w:tcPr>
            <w:tcW w:w="1134" w:type="dxa"/>
          </w:tcPr>
          <w:p>
            <w:pPr>
              <w:pStyle w:val="nTable"/>
              <w:spacing w:after="40"/>
            </w:pPr>
            <w:r>
              <w:t>9 Jun 1976</w:t>
            </w:r>
          </w:p>
        </w:tc>
        <w:tc>
          <w:tcPr>
            <w:tcW w:w="2552" w:type="dxa"/>
          </w:tcPr>
          <w:p>
            <w:pPr>
              <w:pStyle w:val="nTable"/>
              <w:spacing w:after="40"/>
            </w:pPr>
            <w:r>
              <w:t xml:space="preserve">3 Sep 1976 (see s. 2 and </w:t>
            </w:r>
            <w:r>
              <w:rPr>
                <w:i/>
              </w:rPr>
              <w:t>Gazette</w:t>
            </w:r>
            <w:r>
              <w:t xml:space="preserve"> 3 Sep 1976 p. 3271)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1976</w:t>
            </w:r>
            <w:r>
              <w:rPr>
                <w:vertAlign w:val="superscript"/>
              </w:rPr>
              <w:t> 12</w:t>
            </w:r>
          </w:p>
        </w:tc>
        <w:tc>
          <w:tcPr>
            <w:tcW w:w="1134" w:type="dxa"/>
          </w:tcPr>
          <w:p>
            <w:pPr>
              <w:pStyle w:val="nTable"/>
              <w:spacing w:after="40"/>
            </w:pPr>
            <w:r>
              <w:t>62 of 1976</w:t>
            </w:r>
          </w:p>
        </w:tc>
        <w:tc>
          <w:tcPr>
            <w:tcW w:w="1134" w:type="dxa"/>
          </w:tcPr>
          <w:p>
            <w:pPr>
              <w:pStyle w:val="nTable"/>
              <w:spacing w:after="40"/>
            </w:pPr>
            <w:r>
              <w:t>16 Sep 1976</w:t>
            </w:r>
          </w:p>
        </w:tc>
        <w:tc>
          <w:tcPr>
            <w:tcW w:w="2552" w:type="dxa"/>
          </w:tcPr>
          <w:p>
            <w:pPr>
              <w:pStyle w:val="nTable"/>
              <w:spacing w:after="40"/>
            </w:pPr>
            <w:r>
              <w:t>16 Sep 1976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lastRenderedPageBreak/>
              <w:t>Criminal Code Amendment Act (No. 3) 1976</w:t>
            </w:r>
          </w:p>
        </w:tc>
        <w:tc>
          <w:tcPr>
            <w:tcW w:w="1134" w:type="dxa"/>
          </w:tcPr>
          <w:p>
            <w:pPr>
              <w:pStyle w:val="nTable"/>
              <w:spacing w:after="40"/>
            </w:pPr>
            <w:r>
              <w:t>133 of 1976</w:t>
            </w:r>
          </w:p>
        </w:tc>
        <w:tc>
          <w:tcPr>
            <w:tcW w:w="1134" w:type="dxa"/>
          </w:tcPr>
          <w:p>
            <w:pPr>
              <w:pStyle w:val="nTable"/>
              <w:spacing w:after="40"/>
            </w:pPr>
            <w:r>
              <w:t>9 Dec 1976</w:t>
            </w:r>
          </w:p>
        </w:tc>
        <w:tc>
          <w:tcPr>
            <w:tcW w:w="2552" w:type="dxa"/>
          </w:tcPr>
          <w:p>
            <w:pPr>
              <w:pStyle w:val="nTable"/>
              <w:spacing w:after="40"/>
            </w:pPr>
            <w:r>
              <w:t>9 Dec 1976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1977</w:t>
            </w:r>
          </w:p>
        </w:tc>
        <w:tc>
          <w:tcPr>
            <w:tcW w:w="1134" w:type="dxa"/>
          </w:tcPr>
          <w:p>
            <w:pPr>
              <w:pStyle w:val="nTable"/>
              <w:keepNext/>
              <w:spacing w:after="40"/>
            </w:pPr>
            <w:r>
              <w:t>38 of 1977</w:t>
            </w:r>
          </w:p>
        </w:tc>
        <w:tc>
          <w:tcPr>
            <w:tcW w:w="1134" w:type="dxa"/>
          </w:tcPr>
          <w:p>
            <w:pPr>
              <w:pStyle w:val="nTable"/>
              <w:keepNext/>
              <w:spacing w:after="40"/>
            </w:pPr>
            <w:r>
              <w:t>7 Nov 1977</w:t>
            </w:r>
          </w:p>
        </w:tc>
        <w:tc>
          <w:tcPr>
            <w:tcW w:w="2552" w:type="dxa"/>
          </w:tcPr>
          <w:p>
            <w:pPr>
              <w:pStyle w:val="nTable"/>
              <w:keepNext/>
              <w:spacing w:after="40"/>
            </w:pPr>
            <w:r>
              <w:t>7 Nov 1977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3) 1977</w:t>
            </w:r>
          </w:p>
        </w:tc>
        <w:tc>
          <w:tcPr>
            <w:tcW w:w="1134" w:type="dxa"/>
          </w:tcPr>
          <w:p>
            <w:pPr>
              <w:pStyle w:val="nTable"/>
              <w:keepNext/>
              <w:spacing w:after="40"/>
            </w:pPr>
            <w:r>
              <w:t>71 of 1977</w:t>
            </w:r>
          </w:p>
        </w:tc>
        <w:tc>
          <w:tcPr>
            <w:tcW w:w="1134" w:type="dxa"/>
          </w:tcPr>
          <w:p>
            <w:pPr>
              <w:pStyle w:val="nTable"/>
              <w:keepNext/>
              <w:spacing w:after="40"/>
            </w:pPr>
            <w:r>
              <w:t>28 Nov 1977</w:t>
            </w:r>
          </w:p>
        </w:tc>
        <w:tc>
          <w:tcPr>
            <w:tcW w:w="2552" w:type="dxa"/>
          </w:tcPr>
          <w:p>
            <w:pPr>
              <w:pStyle w:val="nTable"/>
              <w:keepNext/>
              <w:spacing w:after="40"/>
            </w:pPr>
            <w:r>
              <w:t>28 Nov 1977</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approved 8 Dec 1978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(Master, Supreme Court) Act 1979 </w:t>
            </w:r>
            <w:r>
              <w:t>Pt. XVIII</w:t>
            </w:r>
          </w:p>
        </w:tc>
        <w:tc>
          <w:tcPr>
            <w:tcW w:w="1134" w:type="dxa"/>
          </w:tcPr>
          <w:p>
            <w:pPr>
              <w:pStyle w:val="nTable"/>
              <w:keepNext/>
              <w:keepLines/>
              <w:spacing w:after="40"/>
            </w:pPr>
            <w:r>
              <w:t>67 of 1979</w:t>
            </w:r>
          </w:p>
        </w:tc>
        <w:tc>
          <w:tcPr>
            <w:tcW w:w="1134" w:type="dxa"/>
          </w:tcPr>
          <w:p>
            <w:pPr>
              <w:pStyle w:val="nTable"/>
              <w:spacing w:after="40"/>
            </w:pPr>
            <w:r>
              <w:t>21 Nov 1979</w:t>
            </w:r>
          </w:p>
        </w:tc>
        <w:tc>
          <w:tcPr>
            <w:tcW w:w="2552" w:type="dxa"/>
          </w:tcPr>
          <w:p>
            <w:pPr>
              <w:pStyle w:val="nTable"/>
              <w:spacing w:after="40"/>
            </w:pPr>
            <w:r>
              <w:t xml:space="preserve">11 Feb 1980 (see s. 2 and </w:t>
            </w:r>
            <w:r>
              <w:rPr>
                <w:i/>
              </w:rPr>
              <w:t>Gazette</w:t>
            </w:r>
            <w:r>
              <w:t xml:space="preserve"> 8 Feb 1980 p. 383)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1979</w:t>
            </w:r>
          </w:p>
        </w:tc>
        <w:tc>
          <w:tcPr>
            <w:tcW w:w="1134" w:type="dxa"/>
          </w:tcPr>
          <w:p>
            <w:pPr>
              <w:pStyle w:val="nTable"/>
              <w:spacing w:after="40"/>
            </w:pPr>
            <w:r>
              <w:t>68 of 1979</w:t>
            </w:r>
          </w:p>
        </w:tc>
        <w:tc>
          <w:tcPr>
            <w:tcW w:w="1134" w:type="dxa"/>
          </w:tcPr>
          <w:p>
            <w:pPr>
              <w:pStyle w:val="nTable"/>
              <w:spacing w:after="40"/>
            </w:pPr>
            <w:r>
              <w:t>21 Nov 1979</w:t>
            </w:r>
          </w:p>
        </w:tc>
        <w:tc>
          <w:tcPr>
            <w:tcW w:w="2552" w:type="dxa"/>
          </w:tcPr>
          <w:p>
            <w:pPr>
              <w:pStyle w:val="nTable"/>
              <w:spacing w:after="40"/>
            </w:pPr>
            <w:r>
              <w:t>21 Nov 1979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1979</w:t>
            </w:r>
          </w:p>
        </w:tc>
        <w:tc>
          <w:tcPr>
            <w:tcW w:w="1134" w:type="dxa"/>
          </w:tcPr>
          <w:p>
            <w:pPr>
              <w:pStyle w:val="nTable"/>
              <w:spacing w:after="40"/>
            </w:pPr>
            <w:r>
              <w:t>107 of 1979</w:t>
            </w:r>
          </w:p>
        </w:tc>
        <w:tc>
          <w:tcPr>
            <w:tcW w:w="1134" w:type="dxa"/>
          </w:tcPr>
          <w:p>
            <w:pPr>
              <w:pStyle w:val="nTable"/>
              <w:spacing w:after="40"/>
            </w:pPr>
            <w:r>
              <w:t>17 Dec 1979</w:t>
            </w:r>
          </w:p>
        </w:tc>
        <w:tc>
          <w:tcPr>
            <w:tcW w:w="2552" w:type="dxa"/>
          </w:tcPr>
          <w:p>
            <w:pPr>
              <w:pStyle w:val="nTable"/>
              <w:spacing w:after="40"/>
            </w:pPr>
            <w:r>
              <w:t>17 Dec 1979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w:t>
            </w:r>
            <w:r>
              <w:rPr>
                <w:i/>
                <w:spacing w:val="-2"/>
              </w:rPr>
              <w:t>Amendment (Strict Security Life Imprisonment)</w:t>
            </w:r>
            <w:r>
              <w:rPr>
                <w:i/>
              </w:rPr>
              <w:t xml:space="preserve"> Act 1980 </w:t>
            </w:r>
            <w:r>
              <w:t>Pt. I</w:t>
            </w:r>
          </w:p>
        </w:tc>
        <w:tc>
          <w:tcPr>
            <w:tcW w:w="1134" w:type="dxa"/>
          </w:tcPr>
          <w:p>
            <w:pPr>
              <w:pStyle w:val="nTable"/>
              <w:spacing w:after="40"/>
            </w:pPr>
            <w:r>
              <w:t>96 of 1980</w:t>
            </w:r>
          </w:p>
        </w:tc>
        <w:tc>
          <w:tcPr>
            <w:tcW w:w="1134" w:type="dxa"/>
          </w:tcPr>
          <w:p>
            <w:pPr>
              <w:pStyle w:val="nTable"/>
              <w:spacing w:after="40"/>
            </w:pPr>
            <w:r>
              <w:t>9 Dec 1980</w:t>
            </w:r>
          </w:p>
        </w:tc>
        <w:tc>
          <w:tcPr>
            <w:tcW w:w="2552" w:type="dxa"/>
          </w:tcPr>
          <w:p>
            <w:pPr>
              <w:pStyle w:val="nTable"/>
              <w:spacing w:after="40"/>
            </w:pPr>
            <w:r>
              <w:t>9 Dec 1980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(Lotto) Act 1981</w:t>
            </w:r>
            <w:r>
              <w:t xml:space="preserve"> Pt. II</w:t>
            </w:r>
          </w:p>
        </w:tc>
        <w:tc>
          <w:tcPr>
            <w:tcW w:w="1134" w:type="dxa"/>
          </w:tcPr>
          <w:p>
            <w:pPr>
              <w:pStyle w:val="nTable"/>
              <w:spacing w:after="40"/>
            </w:pPr>
            <w:r>
              <w:t>103 of 1981</w:t>
            </w:r>
          </w:p>
        </w:tc>
        <w:tc>
          <w:tcPr>
            <w:tcW w:w="1134" w:type="dxa"/>
          </w:tcPr>
          <w:p>
            <w:pPr>
              <w:pStyle w:val="nTable"/>
              <w:spacing w:after="40"/>
            </w:pPr>
            <w:r>
              <w:t>2 Dec 1981</w:t>
            </w:r>
          </w:p>
        </w:tc>
        <w:tc>
          <w:tcPr>
            <w:tcW w:w="2552" w:type="dxa"/>
          </w:tcPr>
          <w:p>
            <w:pPr>
              <w:pStyle w:val="nTable"/>
              <w:spacing w:after="40"/>
            </w:pPr>
            <w:r>
              <w:t xml:space="preserve">18 Dec 1981 (see s. 2 and </w:t>
            </w:r>
            <w:r>
              <w:rPr>
                <w:i/>
              </w:rPr>
              <w:t>Gazette</w:t>
            </w:r>
            <w:r>
              <w:t xml:space="preserve"> 18 Dec 1981 p. 5163)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(Prisons) Act 1981 </w:t>
            </w:r>
            <w:r>
              <w:t>Pt. I</w:t>
            </w:r>
          </w:p>
        </w:tc>
        <w:tc>
          <w:tcPr>
            <w:tcW w:w="1134" w:type="dxa"/>
          </w:tcPr>
          <w:p>
            <w:pPr>
              <w:pStyle w:val="nTable"/>
              <w:spacing w:after="40"/>
            </w:pPr>
            <w:r>
              <w:t>116 of 1981</w:t>
            </w:r>
          </w:p>
        </w:tc>
        <w:tc>
          <w:tcPr>
            <w:tcW w:w="1134" w:type="dxa"/>
          </w:tcPr>
          <w:p>
            <w:pPr>
              <w:pStyle w:val="nTable"/>
              <w:spacing w:after="40"/>
            </w:pPr>
            <w:r>
              <w:t>14 Dec 1981</w:t>
            </w:r>
          </w:p>
        </w:tc>
        <w:tc>
          <w:tcPr>
            <w:tcW w:w="2552" w:type="dxa"/>
          </w:tcPr>
          <w:p>
            <w:pPr>
              <w:pStyle w:val="nTable"/>
              <w:spacing w:after="40"/>
            </w:pPr>
            <w:r>
              <w:t xml:space="preserve">1 Aug 1982 (see s. 2 and </w:t>
            </w:r>
            <w:r>
              <w:rPr>
                <w:i/>
              </w:rPr>
              <w:t>Gazette</w:t>
            </w:r>
            <w:r>
              <w:t xml:space="preserve"> 23 Jul 1982 p. 2841)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(Jurisdiction of Courts) Act 1981 </w:t>
            </w:r>
            <w:r>
              <w:t>Pt. I</w:t>
            </w:r>
          </w:p>
        </w:tc>
        <w:tc>
          <w:tcPr>
            <w:tcW w:w="1134" w:type="dxa"/>
          </w:tcPr>
          <w:p>
            <w:pPr>
              <w:pStyle w:val="nTable"/>
              <w:spacing w:after="40"/>
            </w:pPr>
            <w:r>
              <w:t>118 of 1981</w:t>
            </w:r>
          </w:p>
        </w:tc>
        <w:tc>
          <w:tcPr>
            <w:tcW w:w="1134" w:type="dxa"/>
          </w:tcPr>
          <w:p>
            <w:pPr>
              <w:pStyle w:val="nTable"/>
              <w:spacing w:after="40"/>
            </w:pPr>
            <w:r>
              <w:t>14 Dec 1981</w:t>
            </w:r>
          </w:p>
        </w:tc>
        <w:tc>
          <w:tcPr>
            <w:tcW w:w="2552" w:type="dxa"/>
          </w:tcPr>
          <w:p>
            <w:pPr>
              <w:pStyle w:val="nTable"/>
              <w:spacing w:after="40"/>
            </w:pPr>
            <w:r>
              <w:t xml:space="preserve">1 Feb 1982 (see s. 2 and </w:t>
            </w:r>
            <w:r>
              <w:rPr>
                <w:i/>
              </w:rPr>
              <w:t>Gazette</w:t>
            </w:r>
            <w:r>
              <w:t xml:space="preserve"> 22 Jan 1982 p. 175)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Companies (Consequential </w:t>
            </w:r>
            <w:r>
              <w:rPr>
                <w:i/>
                <w:spacing w:val="-4"/>
              </w:rPr>
              <w:t xml:space="preserve">Amendments) Act 1982 </w:t>
            </w:r>
            <w:r>
              <w:rPr>
                <w:spacing w:val="-4"/>
              </w:rPr>
              <w:t>s. 28</w:t>
            </w:r>
          </w:p>
        </w:tc>
        <w:tc>
          <w:tcPr>
            <w:tcW w:w="1134" w:type="dxa"/>
          </w:tcPr>
          <w:p>
            <w:pPr>
              <w:pStyle w:val="nTable"/>
              <w:keepNext/>
              <w:spacing w:after="40"/>
            </w:pPr>
            <w:r>
              <w:t>10 of 1982</w:t>
            </w:r>
          </w:p>
        </w:tc>
        <w:tc>
          <w:tcPr>
            <w:tcW w:w="1134" w:type="dxa"/>
          </w:tcPr>
          <w:p>
            <w:pPr>
              <w:pStyle w:val="nTable"/>
              <w:keepNext/>
              <w:spacing w:after="40"/>
            </w:pPr>
            <w:r>
              <w:t>14 May 1982</w:t>
            </w:r>
          </w:p>
        </w:tc>
        <w:tc>
          <w:tcPr>
            <w:tcW w:w="2552" w:type="dxa"/>
          </w:tcPr>
          <w:p>
            <w:pPr>
              <w:pStyle w:val="nTable"/>
              <w:keepNext/>
              <w:spacing w:after="40"/>
            </w:pPr>
            <w:r>
              <w:t xml:space="preserve">1 Jul 1982 (see s. 2(1) and </w:t>
            </w:r>
            <w:r>
              <w:rPr>
                <w:i/>
              </w:rPr>
              <w:t>Gazette</w:t>
            </w:r>
            <w:r>
              <w:t xml:space="preserve"> 25 Jun 1982 p. 2079)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(Criminal Penalties and Procedure) Act 1982 </w:t>
            </w:r>
            <w:r>
              <w:t>Pt. II</w:t>
            </w:r>
          </w:p>
        </w:tc>
        <w:tc>
          <w:tcPr>
            <w:tcW w:w="1134" w:type="dxa"/>
          </w:tcPr>
          <w:p>
            <w:pPr>
              <w:pStyle w:val="nTable"/>
              <w:spacing w:after="40"/>
            </w:pPr>
            <w:r>
              <w:t>20 of 1982</w:t>
            </w:r>
          </w:p>
        </w:tc>
        <w:tc>
          <w:tcPr>
            <w:tcW w:w="1134" w:type="dxa"/>
          </w:tcPr>
          <w:p>
            <w:pPr>
              <w:pStyle w:val="nTable"/>
              <w:spacing w:after="40"/>
            </w:pPr>
            <w:r>
              <w:t>27 May 1982</w:t>
            </w:r>
          </w:p>
        </w:tc>
        <w:tc>
          <w:tcPr>
            <w:tcW w:w="2552" w:type="dxa"/>
          </w:tcPr>
          <w:p>
            <w:pPr>
              <w:pStyle w:val="nTable"/>
              <w:spacing w:after="40"/>
            </w:pPr>
            <w:r>
              <w:t>27 May 1982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(Bail) Act 1982</w:t>
            </w:r>
            <w:r>
              <w:t xml:space="preserve"> Pt. III</w:t>
            </w:r>
          </w:p>
        </w:tc>
        <w:tc>
          <w:tcPr>
            <w:tcW w:w="1134" w:type="dxa"/>
          </w:tcPr>
          <w:p>
            <w:pPr>
              <w:pStyle w:val="nTable"/>
              <w:spacing w:after="40"/>
            </w:pPr>
            <w:r>
              <w:t>87 of 1982</w:t>
            </w:r>
          </w:p>
        </w:tc>
        <w:tc>
          <w:tcPr>
            <w:tcW w:w="1134" w:type="dxa"/>
          </w:tcPr>
          <w:p>
            <w:pPr>
              <w:pStyle w:val="nTable"/>
              <w:spacing w:after="40"/>
            </w:pPr>
            <w:r>
              <w:t>17 Nov 1982</w:t>
            </w:r>
          </w:p>
        </w:tc>
        <w:tc>
          <w:tcPr>
            <w:tcW w:w="2552" w:type="dxa"/>
          </w:tcPr>
          <w:p>
            <w:pPr>
              <w:pStyle w:val="nTable"/>
              <w:spacing w:after="40"/>
            </w:pPr>
            <w:r>
              <w:t xml:space="preserve">6 Feb 1989 (see s. 2 and </w:t>
            </w:r>
            <w:r>
              <w:rPr>
                <w:i/>
              </w:rPr>
              <w:t>Gazette</w:t>
            </w:r>
            <w:r>
              <w:t xml:space="preserve"> 27 Jan 1989 p. 263)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lastRenderedPageBreak/>
              <w:t>Acts Amendment (Betting and Gaming) Act 1982</w:t>
            </w:r>
            <w:r>
              <w:t xml:space="preserve"> Pt. III</w:t>
            </w:r>
          </w:p>
        </w:tc>
        <w:tc>
          <w:tcPr>
            <w:tcW w:w="1134" w:type="dxa"/>
          </w:tcPr>
          <w:p>
            <w:pPr>
              <w:pStyle w:val="nTable"/>
              <w:spacing w:after="40"/>
            </w:pPr>
            <w:r>
              <w:t>108 of 1982</w:t>
            </w:r>
          </w:p>
        </w:tc>
        <w:tc>
          <w:tcPr>
            <w:tcW w:w="1134" w:type="dxa"/>
          </w:tcPr>
          <w:p>
            <w:pPr>
              <w:pStyle w:val="nTable"/>
              <w:spacing w:after="40"/>
            </w:pPr>
            <w:r>
              <w:t>7 Dec 1982</w:t>
            </w:r>
          </w:p>
        </w:tc>
        <w:tc>
          <w:tcPr>
            <w:tcW w:w="2552" w:type="dxa"/>
          </w:tcPr>
          <w:p>
            <w:pPr>
              <w:pStyle w:val="nTable"/>
              <w:spacing w:after="40"/>
            </w:pPr>
            <w:r>
              <w:t xml:space="preserve">31 Dec 1982 (see s. 2 and </w:t>
            </w:r>
            <w:r>
              <w:rPr>
                <w:i/>
              </w:rPr>
              <w:t>Gazette</w:t>
            </w:r>
            <w:r>
              <w:t xml:space="preserve"> 31 Dec 1982 p. 4968)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Acts Amendment (Trade Promotion Lotteries) Act 1983 </w:t>
            </w:r>
            <w:r>
              <w:t>Pt. II</w:t>
            </w:r>
          </w:p>
        </w:tc>
        <w:tc>
          <w:tcPr>
            <w:tcW w:w="1134" w:type="dxa"/>
          </w:tcPr>
          <w:p>
            <w:pPr>
              <w:pStyle w:val="nTable"/>
              <w:spacing w:after="40"/>
            </w:pPr>
            <w:r>
              <w:t>21 of 1983</w:t>
            </w:r>
          </w:p>
        </w:tc>
        <w:tc>
          <w:tcPr>
            <w:tcW w:w="1134" w:type="dxa"/>
          </w:tcPr>
          <w:p>
            <w:pPr>
              <w:pStyle w:val="nTable"/>
              <w:spacing w:after="40"/>
            </w:pPr>
            <w:r>
              <w:t>22 Nov 1983</w:t>
            </w:r>
          </w:p>
        </w:tc>
        <w:tc>
          <w:tcPr>
            <w:tcW w:w="2552" w:type="dxa"/>
          </w:tcPr>
          <w:p>
            <w:pPr>
              <w:pStyle w:val="nTable"/>
              <w:spacing w:after="40"/>
            </w:pPr>
            <w:r>
              <w:t>22 Nov 1983</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approved 13 Dec 1983 </w:t>
            </w:r>
            <w:r>
              <w:t xml:space="preserve">(includes amendments listed above except those in the </w:t>
            </w:r>
            <w:r>
              <w:rPr>
                <w:i/>
              </w:rPr>
              <w:t>Acts Amendment (Bail) Act 1982</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1983</w:t>
            </w:r>
          </w:p>
        </w:tc>
        <w:tc>
          <w:tcPr>
            <w:tcW w:w="1134" w:type="dxa"/>
          </w:tcPr>
          <w:p>
            <w:pPr>
              <w:pStyle w:val="nTable"/>
              <w:spacing w:after="40"/>
            </w:pPr>
            <w:r>
              <w:t>77 of 1983</w:t>
            </w:r>
          </w:p>
        </w:tc>
        <w:tc>
          <w:tcPr>
            <w:tcW w:w="1134" w:type="dxa"/>
          </w:tcPr>
          <w:p>
            <w:pPr>
              <w:pStyle w:val="nTable"/>
              <w:spacing w:after="40"/>
            </w:pPr>
            <w:r>
              <w:t>22 Dec 1983</w:t>
            </w:r>
          </w:p>
        </w:tc>
        <w:tc>
          <w:tcPr>
            <w:tcW w:w="2552" w:type="dxa"/>
          </w:tcPr>
          <w:p>
            <w:pPr>
              <w:pStyle w:val="nTable"/>
              <w:spacing w:after="40"/>
            </w:pPr>
            <w:r>
              <w:t>22 Dec 1983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Reprints Act 1984 </w:t>
            </w:r>
            <w:r>
              <w:t>s. 9(2)</w:t>
            </w:r>
          </w:p>
        </w:tc>
        <w:tc>
          <w:tcPr>
            <w:tcW w:w="1134" w:type="dxa"/>
          </w:tcPr>
          <w:p>
            <w:pPr>
              <w:pStyle w:val="nTable"/>
              <w:spacing w:after="40"/>
            </w:pPr>
            <w:r>
              <w:t>13 of 1984</w:t>
            </w:r>
          </w:p>
        </w:tc>
        <w:tc>
          <w:tcPr>
            <w:tcW w:w="1134" w:type="dxa"/>
          </w:tcPr>
          <w:p>
            <w:pPr>
              <w:pStyle w:val="nTable"/>
              <w:spacing w:after="40"/>
            </w:pPr>
            <w:r>
              <w:t>31 May 1984</w:t>
            </w:r>
          </w:p>
        </w:tc>
        <w:tc>
          <w:tcPr>
            <w:tcW w:w="2552" w:type="dxa"/>
          </w:tcPr>
          <w:p>
            <w:pPr>
              <w:pStyle w:val="nTable"/>
              <w:spacing w:after="40"/>
            </w:pPr>
            <w:r>
              <w:t xml:space="preserve">1 Feb 1985 (see s. 2 and </w:t>
            </w:r>
            <w:r>
              <w:rPr>
                <w:i/>
              </w:rPr>
              <w:t>Gazette</w:t>
            </w:r>
            <w:r>
              <w:t xml:space="preserve"> 11 Jan 1985 p. 175)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(Abolition of Capital Punishment) Act 1984 </w:t>
            </w:r>
            <w:r>
              <w:t>Pt. I</w:t>
            </w:r>
          </w:p>
        </w:tc>
        <w:tc>
          <w:tcPr>
            <w:tcW w:w="1134" w:type="dxa"/>
          </w:tcPr>
          <w:p>
            <w:pPr>
              <w:pStyle w:val="nTable"/>
              <w:spacing w:after="40"/>
            </w:pPr>
            <w:r>
              <w:t>52 of 1984</w:t>
            </w:r>
          </w:p>
        </w:tc>
        <w:tc>
          <w:tcPr>
            <w:tcW w:w="1134" w:type="dxa"/>
          </w:tcPr>
          <w:p>
            <w:pPr>
              <w:pStyle w:val="nTable"/>
              <w:spacing w:after="40"/>
            </w:pPr>
            <w:r>
              <w:t>5 Sep 1984</w:t>
            </w:r>
          </w:p>
        </w:tc>
        <w:tc>
          <w:tcPr>
            <w:tcW w:w="2552" w:type="dxa"/>
          </w:tcPr>
          <w:p>
            <w:pPr>
              <w:pStyle w:val="nTable"/>
              <w:spacing w:after="40"/>
            </w:pPr>
            <w:r>
              <w:t>3 Oct 1984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Acts Amendment (Department for Community Services) Act 1984 </w:t>
            </w:r>
            <w:r>
              <w:t>Pt. XI</w:t>
            </w:r>
          </w:p>
        </w:tc>
        <w:tc>
          <w:tcPr>
            <w:tcW w:w="1134" w:type="dxa"/>
          </w:tcPr>
          <w:p>
            <w:pPr>
              <w:pStyle w:val="nTable"/>
              <w:keepNext/>
              <w:spacing w:after="40"/>
            </w:pPr>
            <w:r>
              <w:t>121 of 1984</w:t>
            </w:r>
          </w:p>
        </w:tc>
        <w:tc>
          <w:tcPr>
            <w:tcW w:w="1134" w:type="dxa"/>
          </w:tcPr>
          <w:p>
            <w:pPr>
              <w:pStyle w:val="nTable"/>
              <w:keepNext/>
              <w:spacing w:after="40"/>
            </w:pPr>
            <w:r>
              <w:t>19 Dec 1984</w:t>
            </w:r>
          </w:p>
        </w:tc>
        <w:tc>
          <w:tcPr>
            <w:tcW w:w="2552" w:type="dxa"/>
          </w:tcPr>
          <w:p>
            <w:pPr>
              <w:pStyle w:val="nTable"/>
              <w:keepNext/>
              <w:spacing w:after="40"/>
            </w:pPr>
            <w:r>
              <w:t xml:space="preserve">1 Jan 1985 (see s. 2 and </w:t>
            </w:r>
            <w:r>
              <w:rPr>
                <w:i/>
              </w:rPr>
              <w:t>Gazette</w:t>
            </w:r>
            <w:r>
              <w:t xml:space="preserve"> 28 Dec 1984 p. 4197)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Artificial Conception Act 1985 </w:t>
            </w:r>
            <w:r>
              <w:t>s. 8</w:t>
            </w:r>
          </w:p>
        </w:tc>
        <w:tc>
          <w:tcPr>
            <w:tcW w:w="1134" w:type="dxa"/>
          </w:tcPr>
          <w:p>
            <w:pPr>
              <w:pStyle w:val="nTable"/>
              <w:spacing w:after="40"/>
            </w:pPr>
            <w:r>
              <w:t>14 of 1985</w:t>
            </w:r>
          </w:p>
        </w:tc>
        <w:tc>
          <w:tcPr>
            <w:tcW w:w="1134" w:type="dxa"/>
          </w:tcPr>
          <w:p>
            <w:pPr>
              <w:pStyle w:val="nTable"/>
              <w:spacing w:after="40"/>
            </w:pPr>
            <w:r>
              <w:t>12 Apr 1985</w:t>
            </w:r>
          </w:p>
        </w:tc>
        <w:tc>
          <w:tcPr>
            <w:tcW w:w="2552" w:type="dxa"/>
          </w:tcPr>
          <w:p>
            <w:pPr>
              <w:pStyle w:val="nTable"/>
              <w:spacing w:after="40"/>
            </w:pPr>
            <w:r>
              <w:t xml:space="preserve">1 Jul 1985 (see s. 2 and </w:t>
            </w:r>
            <w:r>
              <w:rPr>
                <w:i/>
              </w:rPr>
              <w:t>Gazette</w:t>
            </w:r>
            <w:r>
              <w:t xml:space="preserve"> 28 Jun 1985 p. 2291)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(Sexual Assaults) Act 1985 </w:t>
            </w:r>
            <w:r>
              <w:t>Pt. II</w:t>
            </w:r>
          </w:p>
        </w:tc>
        <w:tc>
          <w:tcPr>
            <w:tcW w:w="1134" w:type="dxa"/>
          </w:tcPr>
          <w:p>
            <w:pPr>
              <w:pStyle w:val="nTable"/>
              <w:keepNext/>
              <w:keepLines/>
              <w:spacing w:after="40"/>
            </w:pPr>
            <w:r>
              <w:t>74 of 1985</w:t>
            </w:r>
          </w:p>
        </w:tc>
        <w:tc>
          <w:tcPr>
            <w:tcW w:w="1134" w:type="dxa"/>
          </w:tcPr>
          <w:p>
            <w:pPr>
              <w:pStyle w:val="nTable"/>
              <w:spacing w:after="40"/>
            </w:pPr>
            <w:r>
              <w:t>20 Nov 1985</w:t>
            </w:r>
          </w:p>
        </w:tc>
        <w:tc>
          <w:tcPr>
            <w:tcW w:w="2552" w:type="dxa"/>
          </w:tcPr>
          <w:p>
            <w:pPr>
              <w:pStyle w:val="nTable"/>
              <w:spacing w:after="40"/>
            </w:pPr>
            <w:r>
              <w:t xml:space="preserve">1 Apr 1986 (see s. 2 and </w:t>
            </w:r>
            <w:r>
              <w:rPr>
                <w:i/>
              </w:rPr>
              <w:t>Gazette</w:t>
            </w:r>
            <w:r>
              <w:t xml:space="preserve"> 28 Feb 1986 p. 605)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1985 </w:t>
            </w:r>
            <w:r>
              <w:t>Pt. II</w:t>
            </w:r>
          </w:p>
        </w:tc>
        <w:tc>
          <w:tcPr>
            <w:tcW w:w="1134" w:type="dxa"/>
          </w:tcPr>
          <w:p>
            <w:pPr>
              <w:pStyle w:val="nTable"/>
              <w:spacing w:after="40"/>
            </w:pPr>
            <w:r>
              <w:t>119 of 1985</w:t>
            </w:r>
          </w:p>
        </w:tc>
        <w:tc>
          <w:tcPr>
            <w:tcW w:w="1134" w:type="dxa"/>
          </w:tcPr>
          <w:p>
            <w:pPr>
              <w:pStyle w:val="nTable"/>
              <w:spacing w:after="40"/>
            </w:pPr>
            <w:r>
              <w:t>17 Dec 1985</w:t>
            </w:r>
          </w:p>
        </w:tc>
        <w:tc>
          <w:tcPr>
            <w:tcW w:w="2552" w:type="dxa"/>
          </w:tcPr>
          <w:p>
            <w:pPr>
              <w:pStyle w:val="nTable"/>
              <w:spacing w:after="40"/>
            </w:pPr>
            <w:r>
              <w:t xml:space="preserve">1 Sep 1986 (see s. 2 and </w:t>
            </w:r>
            <w:r>
              <w:rPr>
                <w:i/>
              </w:rPr>
              <w:t>Gazette</w:t>
            </w:r>
            <w:r>
              <w:t xml:space="preserve"> 8 Aug 1986 p. 2815)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1986 </w:t>
            </w:r>
            <w:r>
              <w:t>Pt. II</w:t>
            </w:r>
            <w:r>
              <w:rPr>
                <w:vertAlign w:val="superscript"/>
              </w:rPr>
              <w:t> 13</w:t>
            </w:r>
          </w:p>
        </w:tc>
        <w:tc>
          <w:tcPr>
            <w:tcW w:w="1134" w:type="dxa"/>
          </w:tcPr>
          <w:p>
            <w:pPr>
              <w:pStyle w:val="nTable"/>
              <w:spacing w:after="40"/>
            </w:pPr>
            <w:r>
              <w:t>89 of 1986</w:t>
            </w:r>
          </w:p>
        </w:tc>
        <w:tc>
          <w:tcPr>
            <w:tcW w:w="1134" w:type="dxa"/>
          </w:tcPr>
          <w:p>
            <w:pPr>
              <w:pStyle w:val="nTable"/>
              <w:spacing w:after="40"/>
            </w:pPr>
            <w:r>
              <w:t>10 Dec 1986</w:t>
            </w:r>
          </w:p>
        </w:tc>
        <w:tc>
          <w:tcPr>
            <w:tcW w:w="2552" w:type="dxa"/>
          </w:tcPr>
          <w:p>
            <w:pPr>
              <w:pStyle w:val="nTable"/>
              <w:spacing w:after="40"/>
            </w:pPr>
            <w:r>
              <w:t>s. 3</w:t>
            </w:r>
            <w:r>
              <w:noBreakHyphen/>
              <w:t xml:space="preserve">9: 14 Mar 1988 (see s. 2 and </w:t>
            </w:r>
            <w:r>
              <w:rPr>
                <w:i/>
              </w:rPr>
              <w:t>Gazette</w:t>
            </w:r>
            <w:r>
              <w:t xml:space="preserve"> 11 Mar 1988 p. 781); </w:t>
            </w:r>
            <w:r>
              <w:br/>
              <w:t xml:space="preserve">s. 11 and 12: 1 Jan 1989 (see s. 2 and </w:t>
            </w:r>
            <w:r>
              <w:rPr>
                <w:i/>
              </w:rPr>
              <w:t>Gazette</w:t>
            </w:r>
            <w:r>
              <w:t xml:space="preserve"> 2 Dec 1988 p. 4781)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(Corrective Services) Act 1987 </w:t>
            </w:r>
            <w:r>
              <w:t>Pt. V</w:t>
            </w:r>
          </w:p>
        </w:tc>
        <w:tc>
          <w:tcPr>
            <w:tcW w:w="1134" w:type="dxa"/>
          </w:tcPr>
          <w:p>
            <w:pPr>
              <w:pStyle w:val="nTable"/>
              <w:spacing w:after="40"/>
            </w:pPr>
            <w:r>
              <w:t>47 of 1987</w:t>
            </w:r>
          </w:p>
        </w:tc>
        <w:tc>
          <w:tcPr>
            <w:tcW w:w="1134" w:type="dxa"/>
          </w:tcPr>
          <w:p>
            <w:pPr>
              <w:pStyle w:val="nTable"/>
              <w:spacing w:after="40"/>
            </w:pPr>
            <w:r>
              <w:t>3 Oct 1987</w:t>
            </w:r>
          </w:p>
        </w:tc>
        <w:tc>
          <w:tcPr>
            <w:tcW w:w="2552" w:type="dxa"/>
          </w:tcPr>
          <w:p>
            <w:pPr>
              <w:pStyle w:val="nTable"/>
              <w:spacing w:after="40"/>
            </w:pPr>
            <w:r>
              <w:t xml:space="preserve">11 Dec 1987 (see s. 2 and </w:t>
            </w:r>
            <w:r>
              <w:rPr>
                <w:i/>
              </w:rPr>
              <w:t>Gazette</w:t>
            </w:r>
            <w:r>
              <w:t xml:space="preserve"> 11 Dec 1987 p. 4363)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and Repeal (Gaming) Act 1987 </w:t>
            </w:r>
            <w:r>
              <w:t>Pt. IX</w:t>
            </w:r>
          </w:p>
        </w:tc>
        <w:tc>
          <w:tcPr>
            <w:tcW w:w="1134" w:type="dxa"/>
          </w:tcPr>
          <w:p>
            <w:pPr>
              <w:pStyle w:val="nTable"/>
              <w:spacing w:after="40"/>
            </w:pPr>
            <w:r>
              <w:t>74 of 1987</w:t>
            </w:r>
          </w:p>
        </w:tc>
        <w:tc>
          <w:tcPr>
            <w:tcW w:w="1134" w:type="dxa"/>
          </w:tcPr>
          <w:p>
            <w:pPr>
              <w:pStyle w:val="nTable"/>
              <w:spacing w:after="40"/>
            </w:pPr>
            <w:r>
              <w:t>26 Nov 1987</w:t>
            </w:r>
          </w:p>
        </w:tc>
        <w:tc>
          <w:tcPr>
            <w:tcW w:w="2552" w:type="dxa"/>
          </w:tcPr>
          <w:p>
            <w:pPr>
              <w:pStyle w:val="nTable"/>
              <w:spacing w:after="40"/>
            </w:pPr>
            <w:r>
              <w:t xml:space="preserve">2 May 1988 (see s. 2 and </w:t>
            </w:r>
            <w:r>
              <w:rPr>
                <w:i/>
              </w:rPr>
              <w:t xml:space="preserve">Gazette </w:t>
            </w:r>
            <w:r>
              <w:t>29 Apr 1988 p. 1292)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lastRenderedPageBreak/>
              <w:t>Criminal Code Amendment Act (No. 2) 1987</w:t>
            </w:r>
            <w:r>
              <w:rPr>
                <w:vertAlign w:val="superscript"/>
              </w:rPr>
              <w:t> 14</w:t>
            </w:r>
          </w:p>
        </w:tc>
        <w:tc>
          <w:tcPr>
            <w:tcW w:w="1134" w:type="dxa"/>
          </w:tcPr>
          <w:p>
            <w:pPr>
              <w:pStyle w:val="nTable"/>
              <w:spacing w:after="40"/>
            </w:pPr>
            <w:r>
              <w:t>106 of 1987</w:t>
            </w:r>
          </w:p>
        </w:tc>
        <w:tc>
          <w:tcPr>
            <w:tcW w:w="1134" w:type="dxa"/>
          </w:tcPr>
          <w:p>
            <w:pPr>
              <w:pStyle w:val="nTable"/>
              <w:spacing w:after="40"/>
            </w:pPr>
            <w:r>
              <w:t>16 Dec 1987</w:t>
            </w:r>
          </w:p>
        </w:tc>
        <w:tc>
          <w:tcPr>
            <w:tcW w:w="2552" w:type="dxa"/>
          </w:tcPr>
          <w:p>
            <w:pPr>
              <w:pStyle w:val="nTable"/>
              <w:spacing w:after="40"/>
            </w:pPr>
            <w:r>
              <w:t>s. 1 and 2: 16 Dec 1987;</w:t>
            </w:r>
            <w:r>
              <w:br/>
              <w:t xml:space="preserve">Act other than s. 1 and 2: 14 Mar 1988 (see s. 2 and </w:t>
            </w:r>
            <w:r>
              <w:rPr>
                <w:i/>
              </w:rPr>
              <w:t>Gazette</w:t>
            </w:r>
            <w:r>
              <w:t xml:space="preserve"> 11 Mar 1988 p. 781)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Acts Amendment (Imprisonment and Parole) Act 1987 </w:t>
            </w:r>
            <w:r>
              <w:t>Pt. IV</w:t>
            </w:r>
          </w:p>
        </w:tc>
        <w:tc>
          <w:tcPr>
            <w:tcW w:w="1134" w:type="dxa"/>
          </w:tcPr>
          <w:p>
            <w:pPr>
              <w:pStyle w:val="nTable"/>
              <w:spacing w:after="40"/>
            </w:pPr>
            <w:r>
              <w:t>129 of 1987</w:t>
            </w:r>
          </w:p>
        </w:tc>
        <w:tc>
          <w:tcPr>
            <w:tcW w:w="1134" w:type="dxa"/>
          </w:tcPr>
          <w:p>
            <w:pPr>
              <w:pStyle w:val="nTable"/>
              <w:spacing w:after="40"/>
            </w:pPr>
            <w:r>
              <w:t>21 Jan 1988</w:t>
            </w:r>
          </w:p>
        </w:tc>
        <w:tc>
          <w:tcPr>
            <w:tcW w:w="2552" w:type="dxa"/>
          </w:tcPr>
          <w:p>
            <w:pPr>
              <w:pStyle w:val="nTable"/>
              <w:spacing w:after="40"/>
            </w:pPr>
            <w:r>
              <w:t xml:space="preserve">15 Jun 1988 (see s. 2 and </w:t>
            </w:r>
            <w:r>
              <w:rPr>
                <w:i/>
              </w:rPr>
              <w:t>Gazette</w:t>
            </w:r>
            <w:r>
              <w:t xml:space="preserve"> 20 May 1988 p. 1664)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Law Amendment Act 1988</w:t>
            </w:r>
            <w:r>
              <w:t xml:space="preserve"> Pt. 2 (s. 3</w:t>
            </w:r>
            <w:r>
              <w:noBreakHyphen/>
              <w:t>33)</w:t>
            </w:r>
            <w:r>
              <w:rPr>
                <w:vertAlign w:val="superscript"/>
              </w:rPr>
              <w:t> 15</w:t>
            </w:r>
          </w:p>
        </w:tc>
        <w:tc>
          <w:tcPr>
            <w:tcW w:w="1134" w:type="dxa"/>
          </w:tcPr>
          <w:p>
            <w:pPr>
              <w:pStyle w:val="nTable"/>
              <w:spacing w:after="40"/>
            </w:pPr>
            <w:r>
              <w:t>70 of 1988</w:t>
            </w:r>
          </w:p>
        </w:tc>
        <w:tc>
          <w:tcPr>
            <w:tcW w:w="1134" w:type="dxa"/>
          </w:tcPr>
          <w:p>
            <w:pPr>
              <w:pStyle w:val="nTable"/>
              <w:spacing w:after="40"/>
              <w:ind w:right="12"/>
            </w:pPr>
            <w:r>
              <w:t>15 Dec 1988</w:t>
            </w:r>
          </w:p>
        </w:tc>
        <w:tc>
          <w:tcPr>
            <w:tcW w:w="2552" w:type="dxa"/>
          </w:tcPr>
          <w:p>
            <w:pPr>
              <w:pStyle w:val="nTable"/>
              <w:spacing w:after="40"/>
              <w:ind w:right="1"/>
            </w:pPr>
            <w:r>
              <w:t xml:space="preserve">s. 3, 32 and 33: 15 Dec 1988 (see s. 2(3)); </w:t>
            </w:r>
            <w:r>
              <w:br/>
              <w:t xml:space="preserve">Pt. 2 other than s. 3, 32 and 33: 1 Feb 1989 (see s. 2(1) and </w:t>
            </w:r>
            <w:r>
              <w:rPr>
                <w:i/>
              </w:rPr>
              <w:t>Gazette</w:t>
            </w:r>
            <w:r>
              <w:t xml:space="preserve"> 20 Jan 1989 </w:t>
            </w:r>
            <w:r>
              <w:rPr>
                <w:spacing w:val="-2"/>
              </w:rPr>
              <w:t>p. 110)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(Children’s Court) Act 1988 </w:t>
            </w:r>
            <w:r>
              <w:t>Pt. 4</w:t>
            </w:r>
          </w:p>
        </w:tc>
        <w:tc>
          <w:tcPr>
            <w:tcW w:w="1134" w:type="dxa"/>
          </w:tcPr>
          <w:p>
            <w:pPr>
              <w:pStyle w:val="nTable"/>
              <w:spacing w:after="40"/>
            </w:pPr>
            <w:r>
              <w:t>49 of 1988</w:t>
            </w:r>
          </w:p>
        </w:tc>
        <w:tc>
          <w:tcPr>
            <w:tcW w:w="1134" w:type="dxa"/>
          </w:tcPr>
          <w:p>
            <w:pPr>
              <w:pStyle w:val="nTable"/>
              <w:spacing w:after="40"/>
            </w:pPr>
            <w:r>
              <w:t>22 Dec 1988</w:t>
            </w:r>
          </w:p>
        </w:tc>
        <w:tc>
          <w:tcPr>
            <w:tcW w:w="2552" w:type="dxa"/>
          </w:tcPr>
          <w:p>
            <w:pPr>
              <w:pStyle w:val="nTable"/>
              <w:spacing w:after="40"/>
            </w:pPr>
            <w:r>
              <w:t xml:space="preserve">1 Dec 1989 (see s. 2 and </w:t>
            </w:r>
            <w:r>
              <w:rPr>
                <w:i/>
              </w:rPr>
              <w:t>Gazette</w:t>
            </w:r>
            <w:r>
              <w:t xml:space="preserve"> 24 Nov 1989 p. 4327)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Law Reform (Decriminalization of Sodomy) Act 1989 </w:t>
            </w:r>
            <w:r>
              <w:t>Pt. 1</w:t>
            </w:r>
          </w:p>
        </w:tc>
        <w:tc>
          <w:tcPr>
            <w:tcW w:w="1134" w:type="dxa"/>
          </w:tcPr>
          <w:p>
            <w:pPr>
              <w:pStyle w:val="nTable"/>
              <w:spacing w:after="40"/>
            </w:pPr>
            <w:r>
              <w:t>32 of 1989</w:t>
            </w:r>
          </w:p>
        </w:tc>
        <w:tc>
          <w:tcPr>
            <w:tcW w:w="1134" w:type="dxa"/>
          </w:tcPr>
          <w:p>
            <w:pPr>
              <w:pStyle w:val="nTable"/>
              <w:spacing w:after="40"/>
            </w:pPr>
            <w:r>
              <w:t>19 Dec 1989</w:t>
            </w:r>
          </w:p>
        </w:tc>
        <w:tc>
          <w:tcPr>
            <w:tcW w:w="2552" w:type="dxa"/>
          </w:tcPr>
          <w:p>
            <w:pPr>
              <w:pStyle w:val="nTable"/>
              <w:spacing w:after="40"/>
              <w:ind w:right="113"/>
            </w:pPr>
            <w:r>
              <w:t xml:space="preserve">23 Mar 1990 (see s. 2 and </w:t>
            </w:r>
            <w:r>
              <w:rPr>
                <w:i/>
              </w:rPr>
              <w:t xml:space="preserve">Gazette </w:t>
            </w:r>
            <w:r>
              <w:t>23 Mar 1990 p. 1469)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Criminal Code Amendment (Racist harassment and incitement to racial hatred) Act 1990</w:t>
            </w:r>
          </w:p>
        </w:tc>
        <w:tc>
          <w:tcPr>
            <w:tcW w:w="1134" w:type="dxa"/>
          </w:tcPr>
          <w:p>
            <w:pPr>
              <w:pStyle w:val="nTable"/>
              <w:spacing w:after="40"/>
            </w:pPr>
            <w:r>
              <w:t>33 of 1990</w:t>
            </w:r>
          </w:p>
        </w:tc>
        <w:tc>
          <w:tcPr>
            <w:tcW w:w="1134" w:type="dxa"/>
          </w:tcPr>
          <w:p>
            <w:pPr>
              <w:pStyle w:val="nTable"/>
              <w:spacing w:after="40"/>
              <w:ind w:right="113"/>
            </w:pPr>
            <w:r>
              <w:t>9 Oct 1990</w:t>
            </w:r>
          </w:p>
        </w:tc>
        <w:tc>
          <w:tcPr>
            <w:tcW w:w="2552" w:type="dxa"/>
          </w:tcPr>
          <w:p>
            <w:pPr>
              <w:pStyle w:val="nTable"/>
              <w:spacing w:after="40"/>
              <w:ind w:right="113"/>
            </w:pPr>
            <w:r>
              <w:t>6 Nov 1990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1990 </w:t>
            </w:r>
            <w:r>
              <w:t>Pt. 2 (s. 3-55)</w:t>
            </w:r>
          </w:p>
        </w:tc>
        <w:tc>
          <w:tcPr>
            <w:tcW w:w="1134" w:type="dxa"/>
          </w:tcPr>
          <w:p>
            <w:pPr>
              <w:pStyle w:val="nTable"/>
              <w:spacing w:after="40"/>
            </w:pPr>
            <w:r>
              <w:t>101 of 1990</w:t>
            </w:r>
          </w:p>
        </w:tc>
        <w:tc>
          <w:tcPr>
            <w:tcW w:w="1134" w:type="dxa"/>
          </w:tcPr>
          <w:p>
            <w:pPr>
              <w:pStyle w:val="nTable"/>
              <w:spacing w:after="40"/>
            </w:pPr>
            <w:r>
              <w:t>20 Dec 1990</w:t>
            </w:r>
          </w:p>
        </w:tc>
        <w:tc>
          <w:tcPr>
            <w:tcW w:w="2552" w:type="dxa"/>
          </w:tcPr>
          <w:p>
            <w:pPr>
              <w:pStyle w:val="nTable"/>
              <w:spacing w:after="40"/>
            </w:pPr>
            <w:r>
              <w:t>s. 51: 20 Dec 1990 (see s. 2(2));</w:t>
            </w:r>
            <w:r>
              <w:br/>
              <w:t xml:space="preserve">Pt. 2 other than s. 51: 14 Feb 1991 (see s. 2(1)) </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as at 31 May 1991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Law Amendment Act 1991</w:t>
            </w:r>
            <w:r>
              <w:rPr>
                <w:vertAlign w:val="superscript"/>
              </w:rPr>
              <w:t> 16</w:t>
            </w:r>
          </w:p>
        </w:tc>
        <w:tc>
          <w:tcPr>
            <w:tcW w:w="1134" w:type="dxa"/>
          </w:tcPr>
          <w:p>
            <w:pPr>
              <w:pStyle w:val="nTable"/>
              <w:spacing w:after="40"/>
            </w:pPr>
            <w:r>
              <w:t>37 of 1991</w:t>
            </w:r>
          </w:p>
        </w:tc>
        <w:tc>
          <w:tcPr>
            <w:tcW w:w="1134" w:type="dxa"/>
          </w:tcPr>
          <w:p>
            <w:pPr>
              <w:pStyle w:val="nTable"/>
              <w:spacing w:after="40"/>
            </w:pPr>
            <w:r>
              <w:t>12 Dec 1991</w:t>
            </w:r>
          </w:p>
        </w:tc>
        <w:tc>
          <w:tcPr>
            <w:tcW w:w="2552" w:type="dxa"/>
          </w:tcPr>
          <w:p>
            <w:pPr>
              <w:pStyle w:val="nTable"/>
              <w:spacing w:after="40"/>
            </w:pPr>
            <w:r>
              <w:t>Act other than s. 4 and 7 and Pt. 4</w:t>
            </w:r>
            <w:r>
              <w:noBreakHyphen/>
              <w:t xml:space="preserve">5: 12 Dec 1991 (see s. 2(1)); </w:t>
            </w:r>
            <w:r>
              <w:br/>
              <w:t>s. 4 and 7 and Pt. 4</w:t>
            </w:r>
            <w:r>
              <w:noBreakHyphen/>
              <w:t xml:space="preserve">5: 10 Feb 1992 (see s. 2(2) and </w:t>
            </w:r>
            <w:r>
              <w:rPr>
                <w:i/>
              </w:rPr>
              <w:t>Gazette</w:t>
            </w:r>
            <w:r>
              <w:t xml:space="preserve"> 31 Jan 1992 p. 477)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r>
              <w:rPr>
                <w:i/>
              </w:rPr>
              <w:t>Acts Amendment (Evidence) Act 1991 </w:t>
            </w:r>
            <w:r>
              <w:t>Pt. 3</w:t>
            </w:r>
            <w:r>
              <w:rPr>
                <w:vertAlign w:val="superscript"/>
              </w:rPr>
              <w:t> 17</w:t>
            </w:r>
          </w:p>
        </w:tc>
        <w:tc>
          <w:tcPr>
            <w:tcW w:w="1134" w:type="dxa"/>
          </w:tcPr>
          <w:p>
            <w:pPr>
              <w:pStyle w:val="nTable"/>
              <w:spacing w:after="40"/>
            </w:pPr>
            <w:r>
              <w:t>48 of 1991</w:t>
            </w:r>
          </w:p>
        </w:tc>
        <w:tc>
          <w:tcPr>
            <w:tcW w:w="1134" w:type="dxa"/>
          </w:tcPr>
          <w:p>
            <w:pPr>
              <w:pStyle w:val="nTable"/>
              <w:spacing w:after="40"/>
            </w:pPr>
            <w:r>
              <w:t>17 Dec 1991</w:t>
            </w:r>
          </w:p>
        </w:tc>
        <w:tc>
          <w:tcPr>
            <w:tcW w:w="2552" w:type="dxa"/>
          </w:tcPr>
          <w:p>
            <w:pPr>
              <w:pStyle w:val="nTable"/>
              <w:spacing w:after="40"/>
            </w:pPr>
            <w:r>
              <w:t xml:space="preserve">31 Mar 1992 (see s. 2 and </w:t>
            </w:r>
            <w:r>
              <w:rPr>
                <w:i/>
              </w:rPr>
              <w:t>Gazette</w:t>
            </w:r>
            <w:r>
              <w:t xml:space="preserve"> 24 Mar 1992 p. 1317)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1992 </w:t>
            </w:r>
            <w:r>
              <w:t>Pt. 2</w:t>
            </w:r>
          </w:p>
        </w:tc>
        <w:tc>
          <w:tcPr>
            <w:tcW w:w="1134" w:type="dxa"/>
          </w:tcPr>
          <w:p>
            <w:pPr>
              <w:pStyle w:val="nTable"/>
              <w:spacing w:after="40"/>
            </w:pPr>
            <w:r>
              <w:t>1 of 1992</w:t>
            </w:r>
          </w:p>
        </w:tc>
        <w:tc>
          <w:tcPr>
            <w:tcW w:w="1134" w:type="dxa"/>
          </w:tcPr>
          <w:p>
            <w:pPr>
              <w:pStyle w:val="nTable"/>
              <w:spacing w:after="40"/>
            </w:pPr>
            <w:r>
              <w:t>7 Feb 1992</w:t>
            </w:r>
          </w:p>
        </w:tc>
        <w:tc>
          <w:tcPr>
            <w:tcW w:w="2552" w:type="dxa"/>
          </w:tcPr>
          <w:p>
            <w:pPr>
              <w:pStyle w:val="nTable"/>
              <w:spacing w:after="40"/>
            </w:pPr>
            <w:r>
              <w:t>9 Mar 1992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lastRenderedPageBreak/>
              <w:t xml:space="preserve">Acts Amendment (Confiscation of Criminal Profits) Act 1992 </w:t>
            </w:r>
            <w:r>
              <w:t>Pt. 3</w:t>
            </w:r>
          </w:p>
        </w:tc>
        <w:tc>
          <w:tcPr>
            <w:tcW w:w="1134" w:type="dxa"/>
          </w:tcPr>
          <w:p>
            <w:pPr>
              <w:pStyle w:val="nTable"/>
              <w:spacing w:after="40"/>
            </w:pPr>
            <w:r>
              <w:t>15 of 1992</w:t>
            </w:r>
          </w:p>
        </w:tc>
        <w:tc>
          <w:tcPr>
            <w:tcW w:w="1134" w:type="dxa"/>
          </w:tcPr>
          <w:p>
            <w:pPr>
              <w:pStyle w:val="nTable"/>
              <w:spacing w:after="40"/>
            </w:pPr>
            <w:r>
              <w:t>16 Jun 1992</w:t>
            </w:r>
          </w:p>
        </w:tc>
        <w:tc>
          <w:tcPr>
            <w:tcW w:w="2552" w:type="dxa"/>
          </w:tcPr>
          <w:p>
            <w:pPr>
              <w:pStyle w:val="nTable"/>
              <w:spacing w:after="40"/>
            </w:pPr>
            <w:r>
              <w:t>16 Jun 1992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vertAlign w:val="superscript"/>
              </w:rPr>
            </w:pPr>
            <w:r>
              <w:rPr>
                <w:i/>
              </w:rPr>
              <w:t xml:space="preserve">Acts Amendment (Sexual Offences) Act 1992 </w:t>
            </w:r>
            <w:r>
              <w:t>Pt. 2</w:t>
            </w:r>
            <w:r>
              <w:rPr>
                <w:vertAlign w:val="superscript"/>
              </w:rPr>
              <w:t> 18</w:t>
            </w:r>
          </w:p>
        </w:tc>
        <w:tc>
          <w:tcPr>
            <w:tcW w:w="1134" w:type="dxa"/>
          </w:tcPr>
          <w:p>
            <w:pPr>
              <w:pStyle w:val="nTable"/>
              <w:spacing w:after="40"/>
            </w:pPr>
            <w:r>
              <w:t>14 of 1992</w:t>
            </w:r>
          </w:p>
        </w:tc>
        <w:tc>
          <w:tcPr>
            <w:tcW w:w="1134" w:type="dxa"/>
          </w:tcPr>
          <w:p>
            <w:pPr>
              <w:pStyle w:val="nTable"/>
              <w:spacing w:after="40"/>
            </w:pPr>
            <w:r>
              <w:t>17 Jun 1992</w:t>
            </w:r>
          </w:p>
        </w:tc>
        <w:tc>
          <w:tcPr>
            <w:tcW w:w="2552" w:type="dxa"/>
          </w:tcPr>
          <w:p>
            <w:pPr>
              <w:pStyle w:val="nTable"/>
              <w:spacing w:after="40"/>
            </w:pPr>
            <w:r>
              <w:t xml:space="preserve">1 Aug 1992 (see s. 2 and </w:t>
            </w:r>
            <w:r>
              <w:rPr>
                <w:i/>
              </w:rPr>
              <w:t xml:space="preserve">Gazette </w:t>
            </w:r>
            <w:r>
              <w:t>28 Jul 1992 p. 3671)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(No. 2) 1992 </w:t>
            </w:r>
          </w:p>
        </w:tc>
        <w:tc>
          <w:tcPr>
            <w:tcW w:w="1134" w:type="dxa"/>
          </w:tcPr>
          <w:p>
            <w:pPr>
              <w:pStyle w:val="nTable"/>
              <w:spacing w:after="40"/>
            </w:pPr>
            <w:r>
              <w:t>51 of 1992</w:t>
            </w:r>
          </w:p>
        </w:tc>
        <w:tc>
          <w:tcPr>
            <w:tcW w:w="1134" w:type="dxa"/>
          </w:tcPr>
          <w:p>
            <w:pPr>
              <w:pStyle w:val="nTable"/>
              <w:spacing w:after="40"/>
            </w:pPr>
            <w:r>
              <w:t>9 Dec 1992</w:t>
            </w:r>
          </w:p>
        </w:tc>
        <w:tc>
          <w:tcPr>
            <w:tcW w:w="2552" w:type="dxa"/>
          </w:tcPr>
          <w:p>
            <w:pPr>
              <w:pStyle w:val="nTable"/>
              <w:spacing w:after="40"/>
            </w:pPr>
            <w:r>
              <w:t>6 Jan 1993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(Jurisdiction and Criminal Procedure) Act 1992 </w:t>
            </w:r>
            <w:r>
              <w:t xml:space="preserve">Pt. 2 </w:t>
            </w:r>
          </w:p>
        </w:tc>
        <w:tc>
          <w:tcPr>
            <w:tcW w:w="1134" w:type="dxa"/>
          </w:tcPr>
          <w:p>
            <w:pPr>
              <w:pStyle w:val="nTable"/>
              <w:spacing w:after="40"/>
            </w:pPr>
            <w:r>
              <w:t>53 of 1992</w:t>
            </w:r>
          </w:p>
        </w:tc>
        <w:tc>
          <w:tcPr>
            <w:tcW w:w="1134" w:type="dxa"/>
          </w:tcPr>
          <w:p>
            <w:pPr>
              <w:pStyle w:val="nTable"/>
              <w:spacing w:after="40"/>
            </w:pPr>
            <w:r>
              <w:t>9 Dec 1992</w:t>
            </w:r>
          </w:p>
        </w:tc>
        <w:tc>
          <w:tcPr>
            <w:tcW w:w="2552" w:type="dxa"/>
          </w:tcPr>
          <w:p>
            <w:pPr>
              <w:pStyle w:val="nTable"/>
              <w:spacing w:after="40"/>
            </w:pPr>
            <w:r>
              <w:t>s. 3, 4, 6 and 7: 1 Mar 1993 (see s. 2(1) and </w:t>
            </w:r>
            <w:r>
              <w:rPr>
                <w:i/>
              </w:rPr>
              <w:t>Gazette</w:t>
            </w:r>
            <w:r>
              <w:t xml:space="preserve"> 26 Jan 1993 p. 823); </w:t>
            </w:r>
            <w:r>
              <w:br/>
              <w:t xml:space="preserve">s. 5: 4 Nov 1996 (see s. 2(1) and </w:t>
            </w:r>
            <w:r>
              <w:rPr>
                <w:i/>
              </w:rPr>
              <w:t>Gazette</w:t>
            </w:r>
            <w:r>
              <w:t xml:space="preserve"> 25 Oct 1996 p. 5631)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(Ministry of Justice) Act 1993 </w:t>
            </w:r>
            <w:r>
              <w:t>Pt. 6</w:t>
            </w:r>
            <w:r>
              <w:rPr>
                <w:vertAlign w:val="superscript"/>
              </w:rPr>
              <w:t> 19</w:t>
            </w:r>
          </w:p>
        </w:tc>
        <w:tc>
          <w:tcPr>
            <w:tcW w:w="1134" w:type="dxa"/>
          </w:tcPr>
          <w:p>
            <w:pPr>
              <w:pStyle w:val="nTable"/>
              <w:spacing w:after="40"/>
            </w:pPr>
            <w:r>
              <w:t>31 of 1993</w:t>
            </w:r>
          </w:p>
        </w:tc>
        <w:tc>
          <w:tcPr>
            <w:tcW w:w="1134" w:type="dxa"/>
          </w:tcPr>
          <w:p>
            <w:pPr>
              <w:pStyle w:val="nTable"/>
              <w:spacing w:after="40"/>
            </w:pPr>
            <w:r>
              <w:t>15 Dec 1993</w:t>
            </w:r>
          </w:p>
        </w:tc>
        <w:tc>
          <w:tcPr>
            <w:tcW w:w="2552" w:type="dxa"/>
          </w:tcPr>
          <w:p>
            <w:pPr>
              <w:pStyle w:val="nTable"/>
              <w:spacing w:after="40"/>
            </w:pPr>
            <w:r>
              <w:t>1 Jul 1993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as at 17 Dec 1993 </w:t>
            </w:r>
            <w:r>
              <w:rPr>
                <w:b/>
              </w:rPr>
              <w:br/>
            </w:r>
            <w:r>
              <w:t xml:space="preserve">(includes amendments listed above except those in the </w:t>
            </w:r>
            <w:r>
              <w:rPr>
                <w:i/>
              </w:rPr>
              <w:t xml:space="preserve">Acts Amendment (Jurisdiction and Criminal Procedure) Act 1992 </w:t>
            </w:r>
            <w:r>
              <w:t>s. 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(Public Sector Management) Act 1994 </w:t>
            </w:r>
            <w:r>
              <w:t>s. 10</w:t>
            </w:r>
          </w:p>
        </w:tc>
        <w:tc>
          <w:tcPr>
            <w:tcW w:w="1134" w:type="dxa"/>
          </w:tcPr>
          <w:p>
            <w:pPr>
              <w:pStyle w:val="nTable"/>
              <w:spacing w:after="40"/>
            </w:pPr>
            <w:r>
              <w:t>32 of 1994</w:t>
            </w:r>
          </w:p>
        </w:tc>
        <w:tc>
          <w:tcPr>
            <w:tcW w:w="1134" w:type="dxa"/>
          </w:tcPr>
          <w:p>
            <w:pPr>
              <w:pStyle w:val="nTable"/>
              <w:spacing w:after="40"/>
            </w:pPr>
            <w:r>
              <w:t>29 Jun 1994</w:t>
            </w:r>
          </w:p>
        </w:tc>
        <w:tc>
          <w:tcPr>
            <w:tcW w:w="2552" w:type="dxa"/>
          </w:tcPr>
          <w:p>
            <w:pPr>
              <w:pStyle w:val="nTable"/>
              <w:spacing w:after="4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Statutes (Repeals and Minor Amendments) Act 1994 </w:t>
            </w:r>
            <w:r>
              <w:t>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1994 </w:t>
            </w:r>
            <w:r>
              <w:t>Pt. 2</w:t>
            </w:r>
            <w:r>
              <w:noBreakHyphen/>
              <w:t>4</w:t>
            </w:r>
          </w:p>
        </w:tc>
        <w:tc>
          <w:tcPr>
            <w:tcW w:w="1134" w:type="dxa"/>
          </w:tcPr>
          <w:p>
            <w:pPr>
              <w:pStyle w:val="nTable"/>
              <w:spacing w:after="40"/>
            </w:pPr>
            <w:r>
              <w:t>82 of 1994</w:t>
            </w:r>
          </w:p>
        </w:tc>
        <w:tc>
          <w:tcPr>
            <w:tcW w:w="1134" w:type="dxa"/>
          </w:tcPr>
          <w:p>
            <w:pPr>
              <w:pStyle w:val="nTable"/>
              <w:spacing w:after="40"/>
            </w:pPr>
            <w:r>
              <w:t>23 Dec 1994</w:t>
            </w:r>
          </w:p>
        </w:tc>
        <w:tc>
          <w:tcPr>
            <w:tcW w:w="2552" w:type="dxa"/>
          </w:tcPr>
          <w:p>
            <w:pPr>
              <w:pStyle w:val="nTable"/>
              <w:spacing w:after="40"/>
            </w:pPr>
            <w:r>
              <w:t>20 Jan 1995 (see s. 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(Fines, Penalties and Infringement Notices) Act 1994 </w:t>
            </w:r>
            <w:r>
              <w:t>Pt. 5</w:t>
            </w:r>
          </w:p>
        </w:tc>
        <w:tc>
          <w:tcPr>
            <w:tcW w:w="1134" w:type="dxa"/>
          </w:tcPr>
          <w:p>
            <w:pPr>
              <w:pStyle w:val="nTable"/>
              <w:spacing w:after="40"/>
            </w:pPr>
            <w:r>
              <w:t>92 of 1994</w:t>
            </w:r>
          </w:p>
        </w:tc>
        <w:tc>
          <w:tcPr>
            <w:tcW w:w="1134" w:type="dxa"/>
          </w:tcPr>
          <w:p>
            <w:pPr>
              <w:pStyle w:val="nTable"/>
              <w:spacing w:after="40"/>
            </w:pPr>
            <w:r>
              <w:t>23 Dec 1994</w:t>
            </w:r>
          </w:p>
        </w:tc>
        <w:tc>
          <w:tcPr>
            <w:tcW w:w="2552" w:type="dxa"/>
          </w:tcPr>
          <w:p>
            <w:pPr>
              <w:pStyle w:val="nTable"/>
              <w:spacing w:after="40"/>
            </w:pPr>
            <w:r>
              <w:t xml:space="preserve">1 Jan 1995 (see s. 2(1) and </w:t>
            </w:r>
            <w:r>
              <w:rPr>
                <w:i/>
              </w:rPr>
              <w:t>Gazette</w:t>
            </w:r>
            <w:r>
              <w:t xml:space="preserve"> 30 Dec 1994 p. 7211)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Sentencing (Consequential Provisions) Act 1995 </w:t>
            </w:r>
            <w:r>
              <w:t>Pt. 19, 20 and s. 147</w:t>
            </w:r>
            <w:r>
              <w:rPr>
                <w:vertAlign w:val="superscript"/>
              </w:rPr>
              <w:t> 20</w:t>
            </w:r>
          </w:p>
        </w:tc>
        <w:tc>
          <w:tcPr>
            <w:tcW w:w="1134" w:type="dxa"/>
          </w:tcPr>
          <w:p>
            <w:pPr>
              <w:pStyle w:val="nTable"/>
              <w:spacing w:after="40"/>
            </w:pPr>
            <w:r>
              <w:t>78 of 1995</w:t>
            </w:r>
          </w:p>
        </w:tc>
        <w:tc>
          <w:tcPr>
            <w:tcW w:w="1134" w:type="dxa"/>
          </w:tcPr>
          <w:p>
            <w:pPr>
              <w:pStyle w:val="nTable"/>
              <w:spacing w:after="40"/>
            </w:pPr>
            <w:r>
              <w:t>16 Jan 1996</w:t>
            </w:r>
          </w:p>
        </w:tc>
        <w:tc>
          <w:tcPr>
            <w:tcW w:w="2552" w:type="dxa"/>
          </w:tcPr>
          <w:p>
            <w:pPr>
              <w:pStyle w:val="nTable"/>
              <w:spacing w:after="40"/>
            </w:pPr>
            <w:r>
              <w:t xml:space="preserve">4 Nov 1996 (see s. 2 and </w:t>
            </w:r>
            <w:r>
              <w:rPr>
                <w:i/>
              </w:rPr>
              <w:t>Gazette</w:t>
            </w:r>
            <w:r>
              <w:t xml:space="preserve"> 25 Oct 1996 p. 5632)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1996</w:t>
            </w:r>
          </w:p>
        </w:tc>
        <w:tc>
          <w:tcPr>
            <w:tcW w:w="1134" w:type="dxa"/>
          </w:tcPr>
          <w:p>
            <w:pPr>
              <w:pStyle w:val="nTable"/>
              <w:spacing w:after="40"/>
            </w:pPr>
            <w:r>
              <w:t>34 of 1996</w:t>
            </w:r>
          </w:p>
        </w:tc>
        <w:tc>
          <w:tcPr>
            <w:tcW w:w="1134" w:type="dxa"/>
          </w:tcPr>
          <w:p>
            <w:pPr>
              <w:pStyle w:val="nTable"/>
              <w:spacing w:after="40"/>
            </w:pPr>
            <w:r>
              <w:t>27 Sep 1996</w:t>
            </w:r>
          </w:p>
        </w:tc>
        <w:tc>
          <w:tcPr>
            <w:tcW w:w="2552" w:type="dxa"/>
          </w:tcPr>
          <w:p>
            <w:pPr>
              <w:pStyle w:val="nTable"/>
              <w:spacing w:after="40"/>
            </w:pPr>
            <w:r>
              <w:t>27 Sep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r>
              <w:rPr>
                <w:i/>
              </w:rPr>
              <w:lastRenderedPageBreak/>
              <w:t xml:space="preserve">Criminal Law Amendment Act 1996 </w:t>
            </w:r>
            <w:r>
              <w:t>Pt. 2</w:t>
            </w:r>
            <w:r>
              <w:rPr>
                <w:vertAlign w:val="superscript"/>
              </w:rPr>
              <w:t> 2, 3</w:t>
            </w:r>
          </w:p>
        </w:tc>
        <w:tc>
          <w:tcPr>
            <w:tcW w:w="1134" w:type="dxa"/>
          </w:tcPr>
          <w:p>
            <w:pPr>
              <w:pStyle w:val="nTable"/>
              <w:spacing w:after="40"/>
            </w:pPr>
            <w:r>
              <w:t>36 of 1996</w:t>
            </w:r>
          </w:p>
        </w:tc>
        <w:tc>
          <w:tcPr>
            <w:tcW w:w="1134" w:type="dxa"/>
          </w:tcPr>
          <w:p>
            <w:pPr>
              <w:pStyle w:val="nTable"/>
              <w:spacing w:after="40"/>
            </w:pPr>
            <w:r>
              <w:t>10 Oct 1996</w:t>
            </w:r>
          </w:p>
        </w:tc>
        <w:tc>
          <w:tcPr>
            <w:tcW w:w="2552" w:type="dxa"/>
          </w:tcPr>
          <w:p>
            <w:pPr>
              <w:pStyle w:val="nTable"/>
              <w:spacing w:after="40"/>
            </w:pPr>
            <w:r>
              <w:t>10 Oct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Censorship Act 1996</w:t>
            </w:r>
            <w:r>
              <w:t xml:space="preserve"> s. 152(1) and (2)</w:t>
            </w:r>
          </w:p>
        </w:tc>
        <w:tc>
          <w:tcPr>
            <w:tcW w:w="1134" w:type="dxa"/>
          </w:tcPr>
          <w:p>
            <w:pPr>
              <w:pStyle w:val="nTable"/>
              <w:spacing w:after="40"/>
            </w:pPr>
            <w:r>
              <w:t>40 of 1996</w:t>
            </w:r>
          </w:p>
        </w:tc>
        <w:tc>
          <w:tcPr>
            <w:tcW w:w="1134" w:type="dxa"/>
          </w:tcPr>
          <w:p>
            <w:pPr>
              <w:pStyle w:val="nTable"/>
              <w:spacing w:after="40"/>
            </w:pPr>
            <w:r>
              <w:t>10 Oct 1996</w:t>
            </w:r>
          </w:p>
        </w:tc>
        <w:tc>
          <w:tcPr>
            <w:tcW w:w="2552" w:type="dxa"/>
          </w:tcPr>
          <w:p>
            <w:pPr>
              <w:pStyle w:val="nTable"/>
              <w:spacing w:after="40"/>
            </w:pPr>
            <w:r>
              <w:t xml:space="preserve">5 Nov 1996 (see s. 2 and </w:t>
            </w:r>
            <w:r>
              <w:rPr>
                <w:i/>
              </w:rPr>
              <w:t>Gazette</w:t>
            </w:r>
            <w:r>
              <w:t xml:space="preserve"> 5 Nov 1996 p. 5845)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Criminal Code Amendment Act (No. 2) 1996</w:t>
            </w:r>
            <w:r>
              <w:t> </w:t>
            </w:r>
            <w:r>
              <w:rPr>
                <w:vertAlign w:val="superscript"/>
              </w:rPr>
              <w:t>6</w:t>
            </w:r>
          </w:p>
        </w:tc>
        <w:tc>
          <w:tcPr>
            <w:tcW w:w="1134" w:type="dxa"/>
          </w:tcPr>
          <w:p>
            <w:pPr>
              <w:pStyle w:val="nTable"/>
              <w:spacing w:after="40"/>
            </w:pPr>
            <w:r>
              <w:t>60 of 1996</w:t>
            </w:r>
          </w:p>
        </w:tc>
        <w:tc>
          <w:tcPr>
            <w:tcW w:w="1134" w:type="dxa"/>
          </w:tcPr>
          <w:p>
            <w:pPr>
              <w:pStyle w:val="nTable"/>
              <w:spacing w:after="40"/>
            </w:pPr>
            <w:r>
              <w:t>11 Nov 1996</w:t>
            </w:r>
          </w:p>
        </w:tc>
        <w:tc>
          <w:tcPr>
            <w:tcW w:w="2552" w:type="dxa"/>
          </w:tcPr>
          <w:p>
            <w:pPr>
              <w:pStyle w:val="nTable"/>
              <w:spacing w:after="40"/>
            </w:pPr>
            <w:r>
              <w:t>s. 1 and 2: 11 Nov 1996;</w:t>
            </w:r>
            <w:r>
              <w:br/>
              <w:t xml:space="preserve">Act other than s. 1 and 2: 14 Nov 1996 (see s. 2 and </w:t>
            </w:r>
            <w:r>
              <w:rPr>
                <w:i/>
              </w:rPr>
              <w:t>Gazette</w:t>
            </w:r>
            <w:r>
              <w:t xml:space="preserve"> 13 Nov 1996 p. 6439)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Mental Health (Consequential Provisions) Act 1996 </w:t>
            </w:r>
            <w:r>
              <w:t>Pt. 4</w:t>
            </w:r>
            <w:r>
              <w:rPr>
                <w:vertAlign w:val="superscript"/>
              </w:rPr>
              <w:t> 21</w:t>
            </w:r>
          </w:p>
        </w:tc>
        <w:tc>
          <w:tcPr>
            <w:tcW w:w="1134" w:type="dxa"/>
          </w:tcPr>
          <w:p>
            <w:pPr>
              <w:pStyle w:val="nTable"/>
              <w:keepNext/>
              <w:spacing w:after="40"/>
            </w:pPr>
            <w:r>
              <w:t>69 of 1996</w:t>
            </w:r>
          </w:p>
        </w:tc>
        <w:tc>
          <w:tcPr>
            <w:tcW w:w="1134" w:type="dxa"/>
          </w:tcPr>
          <w:p>
            <w:pPr>
              <w:pStyle w:val="nTable"/>
              <w:keepNext/>
              <w:spacing w:after="40"/>
            </w:pPr>
            <w:r>
              <w:t>13 Nov 1996</w:t>
            </w:r>
          </w:p>
        </w:tc>
        <w:tc>
          <w:tcPr>
            <w:tcW w:w="2552" w:type="dxa"/>
          </w:tcPr>
          <w:p>
            <w:pPr>
              <w:pStyle w:val="nTable"/>
              <w:keepNext/>
              <w:spacing w:after="40"/>
            </w:pPr>
            <w:r>
              <w:t>13 Nov 1997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as at 21 Apr 1997</w:t>
            </w:r>
            <w:r>
              <w:rPr>
                <w:b/>
              </w:rPr>
              <w:br/>
            </w:r>
            <w:r>
              <w:t xml:space="preserve">(includes amendments listed above except those in the </w:t>
            </w:r>
            <w:r>
              <w:rPr>
                <w:i/>
              </w:rPr>
              <w:t>Mental Health (Consequential Provisions) Act 1996</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Restraining Orders Act 1997 </w:t>
            </w:r>
            <w:r>
              <w:t>s. 83</w:t>
            </w:r>
          </w:p>
        </w:tc>
        <w:tc>
          <w:tcPr>
            <w:tcW w:w="1134" w:type="dxa"/>
          </w:tcPr>
          <w:p>
            <w:pPr>
              <w:pStyle w:val="nTable"/>
              <w:spacing w:after="40"/>
            </w:pPr>
            <w:r>
              <w:t>19 of 1997</w:t>
            </w:r>
          </w:p>
        </w:tc>
        <w:tc>
          <w:tcPr>
            <w:tcW w:w="1134" w:type="dxa"/>
          </w:tcPr>
          <w:p>
            <w:pPr>
              <w:pStyle w:val="nTable"/>
              <w:spacing w:after="40"/>
            </w:pPr>
            <w:r>
              <w:t>28 Aug 1997</w:t>
            </w:r>
          </w:p>
        </w:tc>
        <w:tc>
          <w:tcPr>
            <w:tcW w:w="2552" w:type="dxa"/>
          </w:tcPr>
          <w:p>
            <w:pPr>
              <w:pStyle w:val="nTable"/>
              <w:spacing w:after="40"/>
            </w:pPr>
            <w:r>
              <w:t xml:space="preserve">15 Sep 1997 (see s. 2 and </w:t>
            </w:r>
            <w:r>
              <w:rPr>
                <w:i/>
              </w:rPr>
              <w:t>Gazette</w:t>
            </w:r>
            <w:r>
              <w:t xml:space="preserve"> 12 Sep 1997 p. 5149)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Sunday Observance Laws Amendment and Repeal Act 1997 </w:t>
            </w:r>
            <w:r>
              <w:t>s. 5</w:t>
            </w:r>
          </w:p>
        </w:tc>
        <w:tc>
          <w:tcPr>
            <w:tcW w:w="1134" w:type="dxa"/>
          </w:tcPr>
          <w:p>
            <w:pPr>
              <w:pStyle w:val="nTable"/>
              <w:spacing w:after="40"/>
            </w:pPr>
            <w:r>
              <w:t>49 of 1997</w:t>
            </w:r>
          </w:p>
        </w:tc>
        <w:tc>
          <w:tcPr>
            <w:tcW w:w="1134" w:type="dxa"/>
          </w:tcPr>
          <w:p>
            <w:pPr>
              <w:pStyle w:val="nTable"/>
              <w:spacing w:after="40"/>
            </w:pPr>
            <w:r>
              <w:t>10 Dec 1997</w:t>
            </w:r>
          </w:p>
        </w:tc>
        <w:tc>
          <w:tcPr>
            <w:tcW w:w="2552" w:type="dxa"/>
          </w:tcPr>
          <w:p>
            <w:pPr>
              <w:pStyle w:val="nTable"/>
              <w:spacing w:after="40"/>
            </w:pPr>
            <w:r>
              <w:t>10 Dec 1997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Statutes (Repeals and Minor Amendments) Act 1997 </w:t>
            </w:r>
            <w:r>
              <w:t>s. 45</w:t>
            </w:r>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(Abortion) Act 1998 </w:t>
            </w:r>
            <w:r>
              <w:t>Pt. 2</w:t>
            </w:r>
          </w:p>
        </w:tc>
        <w:tc>
          <w:tcPr>
            <w:tcW w:w="1134" w:type="dxa"/>
          </w:tcPr>
          <w:p>
            <w:pPr>
              <w:pStyle w:val="nTable"/>
              <w:spacing w:after="40"/>
            </w:pPr>
            <w:r>
              <w:t>15 of 1998</w:t>
            </w:r>
          </w:p>
        </w:tc>
        <w:tc>
          <w:tcPr>
            <w:tcW w:w="1134" w:type="dxa"/>
          </w:tcPr>
          <w:p>
            <w:pPr>
              <w:pStyle w:val="nTable"/>
              <w:spacing w:after="40"/>
            </w:pPr>
            <w:r>
              <w:t>26 May 1998</w:t>
            </w:r>
          </w:p>
        </w:tc>
        <w:tc>
          <w:tcPr>
            <w:tcW w:w="2552" w:type="dxa"/>
          </w:tcPr>
          <w:p>
            <w:pPr>
              <w:pStyle w:val="nTable"/>
              <w:spacing w:after="40"/>
            </w:pPr>
            <w:r>
              <w:t>26 May 1998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(No. 2) 1998 </w:t>
            </w:r>
            <w:r>
              <w:t>Pt. 2</w:t>
            </w:r>
          </w:p>
        </w:tc>
        <w:tc>
          <w:tcPr>
            <w:tcW w:w="1134" w:type="dxa"/>
          </w:tcPr>
          <w:p>
            <w:pPr>
              <w:pStyle w:val="nTable"/>
              <w:spacing w:after="40"/>
            </w:pPr>
            <w:r>
              <w:t>29 of 1998</w:t>
            </w:r>
          </w:p>
        </w:tc>
        <w:tc>
          <w:tcPr>
            <w:tcW w:w="1134" w:type="dxa"/>
          </w:tcPr>
          <w:p>
            <w:pPr>
              <w:pStyle w:val="nTable"/>
              <w:spacing w:after="40"/>
            </w:pPr>
            <w:r>
              <w:t>6 Jul 1998</w:t>
            </w:r>
          </w:p>
        </w:tc>
        <w:tc>
          <w:tcPr>
            <w:tcW w:w="2552" w:type="dxa"/>
          </w:tcPr>
          <w:p>
            <w:pPr>
              <w:pStyle w:val="nTable"/>
              <w:spacing w:after="40"/>
            </w:pPr>
            <w:r>
              <w:t>3 Aug 1998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Criminal Law Amendment Act (No. 1) 1998 </w:t>
            </w:r>
            <w:r>
              <w:t>Pt. 2</w:t>
            </w:r>
          </w:p>
        </w:tc>
        <w:tc>
          <w:tcPr>
            <w:tcW w:w="1134" w:type="dxa"/>
          </w:tcPr>
          <w:p>
            <w:pPr>
              <w:pStyle w:val="nTable"/>
              <w:spacing w:after="40"/>
            </w:pPr>
            <w:r>
              <w:t>38 of 1998</w:t>
            </w:r>
          </w:p>
        </w:tc>
        <w:tc>
          <w:tcPr>
            <w:tcW w:w="1134" w:type="dxa"/>
          </w:tcPr>
          <w:p>
            <w:pPr>
              <w:pStyle w:val="nTable"/>
              <w:spacing w:after="40"/>
            </w:pPr>
            <w:r>
              <w:t>25 Sep 1998</w:t>
            </w:r>
          </w:p>
        </w:tc>
        <w:tc>
          <w:tcPr>
            <w:tcW w:w="2552" w:type="dxa"/>
          </w:tcPr>
          <w:p>
            <w:pPr>
              <w:pStyle w:val="nTable"/>
              <w:spacing w:after="40"/>
            </w:pPr>
            <w:r>
              <w:t>23 Oct 1998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Repeal and Amendment (Births, Deaths and Marriages </w:t>
            </w:r>
            <w:r>
              <w:rPr>
                <w:i/>
                <w:spacing w:val="-2"/>
              </w:rPr>
              <w:t xml:space="preserve">Registration) Act 1998 </w:t>
            </w:r>
            <w:r>
              <w:rPr>
                <w:iCs/>
                <w:spacing w:val="-2"/>
              </w:rPr>
              <w:t>s.</w:t>
            </w:r>
            <w:r>
              <w:rPr>
                <w:spacing w:val="-2"/>
              </w:rPr>
              <w:t> 10</w:t>
            </w:r>
          </w:p>
        </w:tc>
        <w:tc>
          <w:tcPr>
            <w:tcW w:w="1134" w:type="dxa"/>
          </w:tcPr>
          <w:p>
            <w:pPr>
              <w:pStyle w:val="nTable"/>
              <w:keepNext/>
              <w:spacing w:after="40"/>
            </w:pPr>
            <w:r>
              <w:t>40 of 1998</w:t>
            </w:r>
          </w:p>
        </w:tc>
        <w:tc>
          <w:tcPr>
            <w:tcW w:w="1134" w:type="dxa"/>
          </w:tcPr>
          <w:p>
            <w:pPr>
              <w:pStyle w:val="nTable"/>
              <w:keepNext/>
              <w:spacing w:after="40"/>
            </w:pPr>
            <w:r>
              <w:t>30 Oct 1998</w:t>
            </w:r>
          </w:p>
        </w:tc>
        <w:tc>
          <w:tcPr>
            <w:tcW w:w="2552" w:type="dxa"/>
          </w:tcPr>
          <w:p>
            <w:pPr>
              <w:pStyle w:val="nTable"/>
              <w:keepNext/>
              <w:spacing w:after="40"/>
            </w:pPr>
            <w:r>
              <w:t xml:space="preserve">14 Apr 1999 (see s. 2 and </w:t>
            </w:r>
            <w:r>
              <w:rPr>
                <w:i/>
              </w:rPr>
              <w:t>Gazette</w:t>
            </w:r>
            <w:r>
              <w:t xml:space="preserve"> 9 Apr 1999 p. 1433)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(Video and Audio Links) Act 1998 </w:t>
            </w:r>
            <w:r>
              <w:t>Pt. 2</w:t>
            </w:r>
          </w:p>
        </w:tc>
        <w:tc>
          <w:tcPr>
            <w:tcW w:w="1134" w:type="dxa"/>
          </w:tcPr>
          <w:p>
            <w:pPr>
              <w:pStyle w:val="nTable"/>
              <w:spacing w:after="40"/>
            </w:pPr>
            <w:r>
              <w:t>48 of 1998</w:t>
            </w:r>
          </w:p>
        </w:tc>
        <w:tc>
          <w:tcPr>
            <w:tcW w:w="1134" w:type="dxa"/>
          </w:tcPr>
          <w:p>
            <w:pPr>
              <w:pStyle w:val="nTable"/>
              <w:spacing w:after="40"/>
            </w:pPr>
            <w:r>
              <w:t>19 Nov 1998</w:t>
            </w:r>
          </w:p>
        </w:tc>
        <w:tc>
          <w:tcPr>
            <w:tcW w:w="2552" w:type="dxa"/>
          </w:tcPr>
          <w:p>
            <w:pPr>
              <w:pStyle w:val="nTable"/>
              <w:spacing w:after="40"/>
            </w:pPr>
            <w:r>
              <w:t xml:space="preserve">18 Jan 1999 (see s. 2 and </w:t>
            </w:r>
            <w:r>
              <w:rPr>
                <w:i/>
              </w:rPr>
              <w:t>Gazette</w:t>
            </w:r>
            <w:r>
              <w:t xml:space="preserve"> 15 Jan 1999 p. 109)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(Criminal Procedure) Act 1999 </w:t>
            </w:r>
            <w:r>
              <w:t>Pt. 2</w:t>
            </w:r>
          </w:p>
        </w:tc>
        <w:tc>
          <w:tcPr>
            <w:tcW w:w="1134" w:type="dxa"/>
          </w:tcPr>
          <w:p>
            <w:pPr>
              <w:pStyle w:val="nTable"/>
              <w:spacing w:after="40"/>
            </w:pPr>
            <w:r>
              <w:t>10 of 1999</w:t>
            </w:r>
          </w:p>
        </w:tc>
        <w:tc>
          <w:tcPr>
            <w:tcW w:w="1134" w:type="dxa"/>
          </w:tcPr>
          <w:p>
            <w:pPr>
              <w:pStyle w:val="nTable"/>
              <w:spacing w:after="40"/>
            </w:pPr>
            <w:r>
              <w:t>5 May 1999</w:t>
            </w:r>
          </w:p>
        </w:tc>
        <w:tc>
          <w:tcPr>
            <w:tcW w:w="2552" w:type="dxa"/>
          </w:tcPr>
          <w:p>
            <w:pPr>
              <w:pStyle w:val="nTable"/>
              <w:spacing w:after="40"/>
            </w:pPr>
            <w:r>
              <w:t xml:space="preserve">1 Oct 1999 (see s. 2 and </w:t>
            </w:r>
            <w:r>
              <w:rPr>
                <w:i/>
              </w:rPr>
              <w:t>Gazette</w:t>
            </w:r>
            <w:r>
              <w:t xml:space="preserve"> 17 Sep 1999 p. 4557)</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lastRenderedPageBreak/>
              <w:t xml:space="preserve">Reprint of the </w:t>
            </w:r>
            <w:r>
              <w:rPr>
                <w:b/>
                <w:i/>
              </w:rPr>
              <w:t>Criminal Code Act Compilation Act 1913</w:t>
            </w:r>
            <w:r>
              <w:rPr>
                <w:b/>
              </w:rPr>
              <w:t xml:space="preserve"> as at 2 Oct 1999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Criminal Code Amendment Act 1999</w:t>
            </w:r>
          </w:p>
        </w:tc>
        <w:tc>
          <w:tcPr>
            <w:tcW w:w="1134" w:type="dxa"/>
          </w:tcPr>
          <w:p>
            <w:pPr>
              <w:pStyle w:val="nTable"/>
              <w:spacing w:after="40"/>
            </w:pPr>
            <w:r>
              <w:t>35 of 1999</w:t>
            </w:r>
          </w:p>
        </w:tc>
        <w:tc>
          <w:tcPr>
            <w:tcW w:w="1134" w:type="dxa"/>
          </w:tcPr>
          <w:p>
            <w:pPr>
              <w:pStyle w:val="nTable"/>
              <w:spacing w:after="40"/>
            </w:pPr>
            <w:r>
              <w:t>18 Oct 1999</w:t>
            </w:r>
          </w:p>
        </w:tc>
        <w:tc>
          <w:tcPr>
            <w:tcW w:w="2552" w:type="dxa"/>
          </w:tcPr>
          <w:p>
            <w:pPr>
              <w:pStyle w:val="nTable"/>
              <w:spacing w:after="40"/>
            </w:pPr>
            <w:r>
              <w:t>15 Nov 1999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Prisons Amendment Act 1999 </w:t>
            </w:r>
            <w:r>
              <w:t>s. 20</w:t>
            </w:r>
          </w:p>
        </w:tc>
        <w:tc>
          <w:tcPr>
            <w:tcW w:w="1134" w:type="dxa"/>
          </w:tcPr>
          <w:p>
            <w:pPr>
              <w:pStyle w:val="nTable"/>
              <w:spacing w:after="40"/>
            </w:pPr>
            <w:r>
              <w:t>43 of 1999</w:t>
            </w:r>
          </w:p>
        </w:tc>
        <w:tc>
          <w:tcPr>
            <w:tcW w:w="1134" w:type="dxa"/>
          </w:tcPr>
          <w:p>
            <w:pPr>
              <w:pStyle w:val="nTable"/>
              <w:spacing w:after="40"/>
            </w:pPr>
            <w:r>
              <w:t>8 Dec 1999</w:t>
            </w:r>
          </w:p>
        </w:tc>
        <w:tc>
          <w:tcPr>
            <w:tcW w:w="2552" w:type="dxa"/>
          </w:tcPr>
          <w:p>
            <w:pPr>
              <w:pStyle w:val="nTable"/>
              <w:spacing w:after="40"/>
            </w:pPr>
            <w:r>
              <w:t xml:space="preserve">18 Dec 1999 (see s. 2(2) and </w:t>
            </w:r>
            <w:r>
              <w:rPr>
                <w:i/>
              </w:rPr>
              <w:t>Gazette</w:t>
            </w:r>
            <w:r>
              <w:t xml:space="preserve"> 17 Dec 1999 p. 6175)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 xml:space="preserve">Court Security and Custodial Services (Consequential Provisions) Act 1999 </w:t>
            </w:r>
            <w:r>
              <w:t>Pt. 5</w:t>
            </w:r>
          </w:p>
        </w:tc>
        <w:tc>
          <w:tcPr>
            <w:tcW w:w="1134" w:type="dxa"/>
          </w:tcPr>
          <w:p>
            <w:pPr>
              <w:pStyle w:val="nTable"/>
              <w:spacing w:after="40"/>
            </w:pPr>
            <w:r>
              <w:t>47 of 1999</w:t>
            </w:r>
          </w:p>
        </w:tc>
        <w:tc>
          <w:tcPr>
            <w:tcW w:w="1134" w:type="dxa"/>
          </w:tcPr>
          <w:p>
            <w:pPr>
              <w:pStyle w:val="nTable"/>
              <w:spacing w:after="40"/>
            </w:pPr>
            <w:r>
              <w:t>8 Dec 1999</w:t>
            </w:r>
          </w:p>
        </w:tc>
        <w:tc>
          <w:tcPr>
            <w:tcW w:w="2552" w:type="dxa"/>
          </w:tcPr>
          <w:p>
            <w:pPr>
              <w:pStyle w:val="nTable"/>
              <w:spacing w:after="40"/>
            </w:pPr>
            <w:r>
              <w:t xml:space="preserve">18 Dec 1999 (see s. 2 and </w:t>
            </w:r>
            <w:r>
              <w:rPr>
                <w:i/>
              </w:rPr>
              <w:t>Gazette</w:t>
            </w:r>
            <w:r>
              <w:t xml:space="preserve"> 17 Dec 1999 p. 6175</w:t>
            </w:r>
            <w:r>
              <w:noBreakHyphen/>
              <w:t>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Prostitution Act 2000 </w:t>
            </w:r>
            <w:r>
              <w:t>s. 64</w:t>
            </w:r>
          </w:p>
        </w:tc>
        <w:tc>
          <w:tcPr>
            <w:tcW w:w="1134" w:type="dxa"/>
          </w:tcPr>
          <w:p>
            <w:pPr>
              <w:pStyle w:val="nTable"/>
              <w:spacing w:after="40"/>
            </w:pPr>
            <w:r>
              <w:t xml:space="preserve">17 of 2000 </w:t>
            </w:r>
          </w:p>
        </w:tc>
        <w:tc>
          <w:tcPr>
            <w:tcW w:w="1134" w:type="dxa"/>
          </w:tcPr>
          <w:p>
            <w:pPr>
              <w:pStyle w:val="nTable"/>
              <w:spacing w:after="40"/>
            </w:pPr>
            <w:r>
              <w:t xml:space="preserve">22 Jun 2000 </w:t>
            </w:r>
          </w:p>
        </w:tc>
        <w:tc>
          <w:tcPr>
            <w:tcW w:w="2552" w:type="dxa"/>
          </w:tcPr>
          <w:p>
            <w:pPr>
              <w:pStyle w:val="nTable"/>
              <w:spacing w:after="40"/>
            </w:pPr>
            <w:r>
              <w:t xml:space="preserve">29 Jul 2000 (see s. 2 and </w:t>
            </w:r>
            <w:r>
              <w:rPr>
                <w:i/>
              </w:rPr>
              <w:t>Gazette</w:t>
            </w:r>
            <w:r>
              <w:t xml:space="preserve"> 28 Jul 2000 p. 3987)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Criminal Code Amendment (Home Invasion) Act 2000</w:t>
            </w:r>
          </w:p>
        </w:tc>
        <w:tc>
          <w:tcPr>
            <w:tcW w:w="1134" w:type="dxa"/>
          </w:tcPr>
          <w:p>
            <w:pPr>
              <w:pStyle w:val="nTable"/>
              <w:spacing w:after="40"/>
            </w:pPr>
            <w:r>
              <w:t>45 of 2000</w:t>
            </w:r>
          </w:p>
        </w:tc>
        <w:tc>
          <w:tcPr>
            <w:tcW w:w="1134" w:type="dxa"/>
          </w:tcPr>
          <w:p>
            <w:pPr>
              <w:pStyle w:val="nTable"/>
              <w:spacing w:after="40"/>
            </w:pPr>
            <w:r>
              <w:t>17 Nov 2000</w:t>
            </w:r>
          </w:p>
        </w:tc>
        <w:tc>
          <w:tcPr>
            <w:tcW w:w="2552" w:type="dxa"/>
          </w:tcPr>
          <w:p>
            <w:pPr>
              <w:pStyle w:val="nTable"/>
              <w:spacing w:after="40"/>
            </w:pPr>
            <w:r>
              <w:t>17 Nov 2000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 xml:space="preserve">Acts Amendment (Evidence) Act 2000 </w:t>
            </w:r>
            <w:r>
              <w:t>Pt. 5</w:t>
            </w:r>
          </w:p>
        </w:tc>
        <w:tc>
          <w:tcPr>
            <w:tcW w:w="1134" w:type="dxa"/>
          </w:tcPr>
          <w:p>
            <w:pPr>
              <w:pStyle w:val="nTable"/>
              <w:spacing w:after="40"/>
            </w:pPr>
            <w:r>
              <w:t>71 of 2000</w:t>
            </w:r>
          </w:p>
        </w:tc>
        <w:tc>
          <w:tcPr>
            <w:tcW w:w="1134" w:type="dxa"/>
          </w:tcPr>
          <w:p>
            <w:pPr>
              <w:pStyle w:val="nTable"/>
              <w:spacing w:after="40"/>
            </w:pPr>
            <w:r>
              <w:t>6 Dec 2000</w:t>
            </w:r>
          </w:p>
        </w:tc>
        <w:tc>
          <w:tcPr>
            <w:tcW w:w="2552" w:type="dxa"/>
          </w:tcPr>
          <w:p>
            <w:pPr>
              <w:pStyle w:val="nTable"/>
              <w:spacing w:after="40"/>
            </w:pPr>
            <w:r>
              <w:t>3 Jan 2001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of the </w:t>
            </w:r>
            <w:r>
              <w:rPr>
                <w:b/>
                <w:i/>
              </w:rPr>
              <w:t>Criminal Code Act Compilation Act 1913</w:t>
            </w:r>
            <w:r>
              <w:rPr>
                <w:b/>
              </w:rPr>
              <w:t xml:space="preserve"> as at 9 Feb 2001</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Criminal Law Amendment Act 2001</w:t>
            </w:r>
            <w:r>
              <w:t xml:space="preserve"> s. 2</w:t>
            </w:r>
            <w:r>
              <w:noBreakHyphen/>
              <w:t>9 and 11</w:t>
            </w:r>
          </w:p>
        </w:tc>
        <w:tc>
          <w:tcPr>
            <w:tcW w:w="1134" w:type="dxa"/>
          </w:tcPr>
          <w:p>
            <w:pPr>
              <w:pStyle w:val="nTable"/>
              <w:spacing w:after="40"/>
            </w:pPr>
            <w:r>
              <w:t>23 of 2001</w:t>
            </w:r>
          </w:p>
        </w:tc>
        <w:tc>
          <w:tcPr>
            <w:tcW w:w="1134" w:type="dxa"/>
          </w:tcPr>
          <w:p>
            <w:pPr>
              <w:pStyle w:val="nTable"/>
              <w:spacing w:after="40"/>
            </w:pPr>
            <w:r>
              <w:t>26 Nov 2001</w:t>
            </w:r>
          </w:p>
        </w:tc>
        <w:tc>
          <w:tcPr>
            <w:tcW w:w="2552" w:type="dxa"/>
          </w:tcPr>
          <w:p>
            <w:pPr>
              <w:pStyle w:val="nTable"/>
              <w:spacing w:after="40"/>
            </w:pPr>
            <w:r>
              <w:t>24 Dec 2001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Criminal Code Amendment Act 2001</w:t>
            </w:r>
          </w:p>
        </w:tc>
        <w:tc>
          <w:tcPr>
            <w:tcW w:w="1134" w:type="dxa"/>
          </w:tcPr>
          <w:p>
            <w:pPr>
              <w:pStyle w:val="nTable"/>
              <w:spacing w:after="40"/>
            </w:pPr>
            <w:r>
              <w:t>34 of 2001</w:t>
            </w:r>
          </w:p>
        </w:tc>
        <w:tc>
          <w:tcPr>
            <w:tcW w:w="1134" w:type="dxa"/>
          </w:tcPr>
          <w:p>
            <w:pPr>
              <w:pStyle w:val="nTable"/>
              <w:spacing w:after="40"/>
            </w:pPr>
            <w:r>
              <w:t>7 Jan 2002</w:t>
            </w:r>
          </w:p>
        </w:tc>
        <w:tc>
          <w:tcPr>
            <w:tcW w:w="2552" w:type="dxa"/>
          </w:tcPr>
          <w:p>
            <w:pPr>
              <w:pStyle w:val="nTable"/>
              <w:spacing w:after="40"/>
            </w:pPr>
            <w:r>
              <w:t>7 Jan 2002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Acts Amendment (Lesbian and Gay Law Reform) Act 2002 </w:t>
            </w:r>
            <w:r>
              <w:t>Pt. 7</w:t>
            </w:r>
          </w:p>
        </w:tc>
        <w:tc>
          <w:tcPr>
            <w:tcW w:w="1134" w:type="dxa"/>
          </w:tcPr>
          <w:p>
            <w:pPr>
              <w:pStyle w:val="nTable"/>
              <w:spacing w:after="40"/>
            </w:pPr>
            <w:r>
              <w:t>3 of 2002</w:t>
            </w:r>
          </w:p>
        </w:tc>
        <w:tc>
          <w:tcPr>
            <w:tcW w:w="1134" w:type="dxa"/>
          </w:tcPr>
          <w:p>
            <w:pPr>
              <w:pStyle w:val="nTable"/>
              <w:spacing w:after="40"/>
            </w:pPr>
            <w:r>
              <w:t>17 Apr 2002</w:t>
            </w:r>
          </w:p>
        </w:tc>
        <w:tc>
          <w:tcPr>
            <w:tcW w:w="2552" w:type="dxa"/>
          </w:tcPr>
          <w:p>
            <w:pPr>
              <w:pStyle w:val="nTable"/>
              <w:spacing w:after="40"/>
            </w:pPr>
            <w:r>
              <w:t xml:space="preserve">21 Sep 2002 (see s. 2 and </w:t>
            </w:r>
            <w:r>
              <w:rPr>
                <w:i/>
              </w:rPr>
              <w:t>Gazette</w:t>
            </w:r>
            <w:r>
              <w:t xml:space="preserve"> 20 Sep 2002 p. 4693)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Criminal Investigation (Identifying People) Act 2002</w:t>
            </w:r>
            <w:r>
              <w:t xml:space="preserve"> Sch. 2 cl. 3</w:t>
            </w:r>
          </w:p>
        </w:tc>
        <w:tc>
          <w:tcPr>
            <w:tcW w:w="1134" w:type="dxa"/>
          </w:tcPr>
          <w:p>
            <w:pPr>
              <w:pStyle w:val="nTable"/>
              <w:spacing w:after="40"/>
            </w:pPr>
            <w:r>
              <w:t>6 of 2002</w:t>
            </w:r>
          </w:p>
        </w:tc>
        <w:tc>
          <w:tcPr>
            <w:tcW w:w="1134" w:type="dxa"/>
          </w:tcPr>
          <w:p>
            <w:pPr>
              <w:pStyle w:val="nTable"/>
              <w:spacing w:after="40"/>
            </w:pPr>
            <w:r>
              <w:t>4 Jun 2002</w:t>
            </w:r>
          </w:p>
        </w:tc>
        <w:tc>
          <w:tcPr>
            <w:tcW w:w="2552" w:type="dxa"/>
          </w:tcPr>
          <w:p>
            <w:pPr>
              <w:pStyle w:val="nTable"/>
              <w:spacing w:after="40"/>
            </w:pPr>
            <w:r>
              <w:t xml:space="preserve">20 Nov 2002 (see s. 2 and </w:t>
            </w:r>
            <w:r>
              <w:rPr>
                <w:i/>
              </w:rPr>
              <w:t>Gazette</w:t>
            </w:r>
            <w:r>
              <w:t xml:space="preserve"> 19 Nov 2002 p. 5505)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Criminal Code Amendment (Corruption Penalties) Act 2002</w:t>
            </w:r>
          </w:p>
        </w:tc>
        <w:tc>
          <w:tcPr>
            <w:tcW w:w="1134" w:type="dxa"/>
          </w:tcPr>
          <w:p>
            <w:pPr>
              <w:pStyle w:val="nTable"/>
              <w:spacing w:after="40"/>
            </w:pPr>
            <w:r>
              <w:t>8 of 2002</w:t>
            </w:r>
          </w:p>
        </w:tc>
        <w:tc>
          <w:tcPr>
            <w:tcW w:w="1134" w:type="dxa"/>
          </w:tcPr>
          <w:p>
            <w:pPr>
              <w:pStyle w:val="nTable"/>
              <w:spacing w:after="40"/>
            </w:pPr>
            <w:r>
              <w:t>28 Jun 2002</w:t>
            </w:r>
          </w:p>
        </w:tc>
        <w:tc>
          <w:tcPr>
            <w:tcW w:w="2552" w:type="dxa"/>
          </w:tcPr>
          <w:p>
            <w:pPr>
              <w:pStyle w:val="nTable"/>
              <w:spacing w:after="40"/>
            </w:pPr>
            <w:r>
              <w:t>28 Jun 2002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Criminal Law (Procedure) Amendment Act 2002</w:t>
            </w:r>
            <w:r>
              <w:t xml:space="preserve"> Pt. 3</w:t>
            </w:r>
          </w:p>
        </w:tc>
        <w:tc>
          <w:tcPr>
            <w:tcW w:w="1134" w:type="dxa"/>
          </w:tcPr>
          <w:p>
            <w:pPr>
              <w:pStyle w:val="nTable"/>
              <w:spacing w:after="40"/>
            </w:pPr>
            <w:r>
              <w:t>27 of 2002</w:t>
            </w:r>
          </w:p>
        </w:tc>
        <w:tc>
          <w:tcPr>
            <w:tcW w:w="1134" w:type="dxa"/>
          </w:tcPr>
          <w:p>
            <w:pPr>
              <w:pStyle w:val="nTable"/>
              <w:spacing w:after="40"/>
            </w:pPr>
            <w:r>
              <w:t>25 Sep 2002</w:t>
            </w:r>
          </w:p>
        </w:tc>
        <w:tc>
          <w:tcPr>
            <w:tcW w:w="2552" w:type="dxa"/>
          </w:tcPr>
          <w:p>
            <w:pPr>
              <w:pStyle w:val="nTable"/>
              <w:spacing w:after="40"/>
            </w:pPr>
            <w:r>
              <w:t xml:space="preserve">27 Sep 2002 (see s. 2 and </w:t>
            </w:r>
            <w:r>
              <w:rPr>
                <w:i/>
              </w:rPr>
              <w:t>Gazette</w:t>
            </w:r>
            <w:r>
              <w:t xml:space="preserve"> 27 Sep 2002 p. 4875)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rPr>
              <w:t>Reprint 10</w:t>
            </w:r>
            <w:r>
              <w:rPr>
                <w:b/>
                <w:vertAlign w:val="superscript"/>
              </w:rPr>
              <w:t> </w:t>
            </w:r>
            <w:r>
              <w:rPr>
                <w:bCs/>
                <w:vertAlign w:val="superscript"/>
              </w:rPr>
              <w:t>22</w:t>
            </w:r>
            <w:r>
              <w:rPr>
                <w:b/>
              </w:rPr>
              <w:t xml:space="preserve">:  The </w:t>
            </w:r>
            <w:r>
              <w:rPr>
                <w:b/>
                <w:i/>
              </w:rPr>
              <w:t>Criminal Code Act Compilation Act 1913</w:t>
            </w:r>
            <w:r>
              <w:rPr>
                <w:b/>
              </w:rPr>
              <w:t xml:space="preserve"> as at 7 Feb 2003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Juries Amendment Act 2003</w:t>
            </w:r>
            <w:r>
              <w:t xml:space="preserve"> s. 24</w:t>
            </w:r>
          </w:p>
        </w:tc>
        <w:tc>
          <w:tcPr>
            <w:tcW w:w="1134" w:type="dxa"/>
          </w:tcPr>
          <w:p>
            <w:pPr>
              <w:pStyle w:val="nTable"/>
              <w:spacing w:after="40"/>
            </w:pPr>
            <w:r>
              <w:t>25 of 2003</w:t>
            </w:r>
          </w:p>
        </w:tc>
        <w:tc>
          <w:tcPr>
            <w:tcW w:w="1134" w:type="dxa"/>
          </w:tcPr>
          <w:p>
            <w:pPr>
              <w:pStyle w:val="nTable"/>
              <w:spacing w:after="40"/>
            </w:pPr>
            <w:r>
              <w:t>16 May 2003</w:t>
            </w:r>
          </w:p>
        </w:tc>
        <w:tc>
          <w:tcPr>
            <w:tcW w:w="2552" w:type="dxa"/>
          </w:tcPr>
          <w:p>
            <w:pPr>
              <w:pStyle w:val="nTable"/>
              <w:spacing w:after="40"/>
            </w:pPr>
            <w:r>
              <w:t xml:space="preserve">18 Jun 2003 (see s. 2 and </w:t>
            </w:r>
            <w:r>
              <w:rPr>
                <w:i/>
              </w:rPr>
              <w:t>Gazette</w:t>
            </w:r>
            <w:r>
              <w:t xml:space="preserve"> 17 Jun 2003 p. 2201)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lastRenderedPageBreak/>
              <w:t>Acts Amendment (Equality of Status) Act 2003</w:t>
            </w:r>
            <w:r>
              <w:t xml:space="preserve"> Pt. 12 and s. 118</w:t>
            </w:r>
          </w:p>
        </w:tc>
        <w:tc>
          <w:tcPr>
            <w:tcW w:w="1134" w:type="dxa"/>
          </w:tcPr>
          <w:p>
            <w:pPr>
              <w:pStyle w:val="nTable"/>
              <w:spacing w:after="40"/>
            </w:pPr>
            <w:r>
              <w:t>28 of 2003</w:t>
            </w:r>
          </w:p>
        </w:tc>
        <w:tc>
          <w:tcPr>
            <w:tcW w:w="1134" w:type="dxa"/>
          </w:tcPr>
          <w:p>
            <w:pPr>
              <w:pStyle w:val="nTable"/>
              <w:spacing w:after="40"/>
            </w:pPr>
            <w:r>
              <w:t>22 May 2003</w:t>
            </w:r>
          </w:p>
        </w:tc>
        <w:tc>
          <w:tcPr>
            <w:tcW w:w="2552" w:type="dxa"/>
          </w:tcPr>
          <w:p>
            <w:pPr>
              <w:pStyle w:val="nTable"/>
              <w:spacing w:after="40"/>
            </w:pPr>
            <w:r>
              <w:t xml:space="preserve">1 Jul 2003 (see s. 2 and </w:t>
            </w:r>
            <w:r>
              <w:rPr>
                <w:i/>
              </w:rPr>
              <w:t xml:space="preserve">Gazette </w:t>
            </w:r>
            <w:r>
              <w:t>30 Jun 2003 p. 2579)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Censorship Amendment Act 2003</w:t>
            </w:r>
            <w:r>
              <w:t xml:space="preserve"> s. 42</w:t>
            </w:r>
          </w:p>
        </w:tc>
        <w:tc>
          <w:tcPr>
            <w:tcW w:w="1134" w:type="dxa"/>
          </w:tcPr>
          <w:p>
            <w:pPr>
              <w:pStyle w:val="nTable"/>
              <w:spacing w:after="40"/>
            </w:pPr>
            <w:r>
              <w:t>30 of 2003</w:t>
            </w:r>
          </w:p>
        </w:tc>
        <w:tc>
          <w:tcPr>
            <w:tcW w:w="1134" w:type="dxa"/>
          </w:tcPr>
          <w:p>
            <w:pPr>
              <w:pStyle w:val="nTable"/>
              <w:spacing w:after="40"/>
            </w:pPr>
            <w:r>
              <w:t>26 May 2003</w:t>
            </w:r>
          </w:p>
        </w:tc>
        <w:tc>
          <w:tcPr>
            <w:tcW w:w="2552" w:type="dxa"/>
          </w:tcPr>
          <w:p>
            <w:pPr>
              <w:pStyle w:val="nTable"/>
              <w:spacing w:after="40"/>
            </w:pPr>
            <w:r>
              <w:t xml:space="preserve">1 Jul 2003 (see s. 2 and </w:t>
            </w:r>
            <w:r>
              <w:rPr>
                <w:i/>
              </w:rPr>
              <w:t>Gazette</w:t>
            </w:r>
            <w:r>
              <w:t xml:space="preserve"> 27 Jun 2003 p. 2383)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vertAlign w:val="superscript"/>
              </w:rPr>
            </w:pPr>
            <w:r>
              <w:rPr>
                <w:i/>
              </w:rPr>
              <w:t>Corruption and Crime Commission Act 2003</w:t>
            </w:r>
            <w:r>
              <w:t xml:space="preserve"> Sch. 4 cl. 3</w:t>
            </w:r>
            <w:r>
              <w:rPr>
                <w:vertAlign w:val="superscript"/>
              </w:rPr>
              <w:t> 23</w:t>
            </w:r>
          </w:p>
        </w:tc>
        <w:tc>
          <w:tcPr>
            <w:tcW w:w="1134" w:type="dxa"/>
          </w:tcPr>
          <w:p>
            <w:pPr>
              <w:pStyle w:val="nTable"/>
              <w:spacing w:after="40"/>
            </w:pPr>
            <w:r>
              <w:t>48 of 2003</w:t>
            </w:r>
            <w:r>
              <w:br/>
            </w:r>
          </w:p>
        </w:tc>
        <w:tc>
          <w:tcPr>
            <w:tcW w:w="1134" w:type="dxa"/>
          </w:tcPr>
          <w:p>
            <w:pPr>
              <w:pStyle w:val="nTable"/>
              <w:spacing w:after="40"/>
            </w:pPr>
            <w:r>
              <w:t>3 Jul 2003</w:t>
            </w:r>
          </w:p>
        </w:tc>
        <w:tc>
          <w:tcPr>
            <w:tcW w:w="2552" w:type="dxa"/>
          </w:tcPr>
          <w:p>
            <w:pPr>
              <w:pStyle w:val="nTable"/>
              <w:spacing w:after="40"/>
            </w:pPr>
            <w:r>
              <w:t xml:space="preserve">1 Jan 2004 (see s. 2 and </w:t>
            </w:r>
            <w:r>
              <w:rPr>
                <w:i/>
              </w:rPr>
              <w:t>Gazette</w:t>
            </w:r>
            <w: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 xml:space="preserve">Sentencing Legislation Amendment and Repeal Act 2003 </w:t>
            </w:r>
            <w:r>
              <w:t>s. 51</w:t>
            </w:r>
          </w:p>
        </w:tc>
        <w:tc>
          <w:tcPr>
            <w:tcW w:w="1134" w:type="dxa"/>
          </w:tcPr>
          <w:p>
            <w:pPr>
              <w:pStyle w:val="nTable"/>
              <w:spacing w:after="40"/>
            </w:pPr>
            <w:r>
              <w:t>50 of 2003</w:t>
            </w:r>
          </w:p>
        </w:tc>
        <w:tc>
          <w:tcPr>
            <w:tcW w:w="1134" w:type="dxa"/>
          </w:tcPr>
          <w:p>
            <w:pPr>
              <w:pStyle w:val="nTable"/>
              <w:spacing w:after="40"/>
            </w:pPr>
            <w:r>
              <w:t>9 Jul 2003</w:t>
            </w:r>
          </w:p>
        </w:tc>
        <w:tc>
          <w:tcPr>
            <w:tcW w:w="2552" w:type="dxa"/>
          </w:tcPr>
          <w:p>
            <w:pPr>
              <w:pStyle w:val="nTable"/>
              <w:spacing w:after="40"/>
              <w:rPr>
                <w:spacing w:val="-2"/>
              </w:rPr>
            </w:pPr>
            <w:r>
              <w:rPr>
                <w:spacing w:val="-2"/>
              </w:rPr>
              <w:t>15</w:t>
            </w:r>
            <w:r>
              <w:rPr>
                <w:i/>
                <w:spacing w:val="-2"/>
              </w:rPr>
              <w:t> </w:t>
            </w:r>
            <w:r>
              <w:rPr>
                <w:spacing w:val="-2"/>
              </w:rPr>
              <w:t>May 2004 (see s. 2 and</w:t>
            </w:r>
            <w:r>
              <w:rPr>
                <w:i/>
                <w:spacing w:val="-2"/>
              </w:rPr>
              <w:t xml:space="preserve"> Gazette </w:t>
            </w:r>
            <w:r>
              <w:rPr>
                <w:spacing w:val="-2"/>
              </w:rPr>
              <w:t>14 May 2004 p. 1445)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Acts Amendment and Repeal (Courts and Legal Practice) Act 2003</w:t>
            </w:r>
            <w:r>
              <w:t xml:space="preserve"> s. 26, 89, 123</w:t>
            </w:r>
          </w:p>
        </w:tc>
        <w:tc>
          <w:tcPr>
            <w:tcW w:w="1134" w:type="dxa"/>
          </w:tcPr>
          <w:p>
            <w:pPr>
              <w:pStyle w:val="nTable"/>
              <w:spacing w:after="40"/>
            </w:pPr>
            <w:r>
              <w:t>65 of 2003</w:t>
            </w:r>
          </w:p>
        </w:tc>
        <w:tc>
          <w:tcPr>
            <w:tcW w:w="1134" w:type="dxa"/>
          </w:tcPr>
          <w:p>
            <w:pPr>
              <w:pStyle w:val="nTable"/>
              <w:spacing w:after="40"/>
            </w:pPr>
            <w:r>
              <w:t>4 Dec 2003</w:t>
            </w:r>
          </w:p>
        </w:tc>
        <w:tc>
          <w:tcPr>
            <w:tcW w:w="2552"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Statutes (Repeals and Minor Amendments) Act 2003</w:t>
            </w:r>
            <w:r>
              <w:t xml:space="preserve"> s. 150(2)</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 xml:space="preserve">Corruption and Crime Commission Amendment and Repeal Act 2003 </w:t>
            </w:r>
            <w:r>
              <w:t>s. 74(2)</w:t>
            </w:r>
          </w:p>
        </w:tc>
        <w:tc>
          <w:tcPr>
            <w:tcW w:w="1134" w:type="dxa"/>
          </w:tcPr>
          <w:p>
            <w:pPr>
              <w:pStyle w:val="nTable"/>
              <w:spacing w:after="40"/>
            </w:pPr>
            <w:r>
              <w:t>78 of 2003</w:t>
            </w:r>
          </w:p>
        </w:tc>
        <w:tc>
          <w:tcPr>
            <w:tcW w:w="1134" w:type="dxa"/>
          </w:tcPr>
          <w:p>
            <w:pPr>
              <w:pStyle w:val="nTable"/>
              <w:spacing w:after="40"/>
            </w:pPr>
            <w:r>
              <w:t>22 Dec 2003</w:t>
            </w:r>
          </w:p>
        </w:tc>
        <w:tc>
          <w:tcPr>
            <w:tcW w:w="2552" w:type="dxa"/>
          </w:tcPr>
          <w:p>
            <w:pPr>
              <w:pStyle w:val="nTable"/>
              <w:spacing w:after="40"/>
            </w:pPr>
            <w:r>
              <w:t xml:space="preserve">7 Jul 2004 (see s. 2 and </w:t>
            </w:r>
            <w:r>
              <w:rPr>
                <w:i/>
              </w:rPr>
              <w:t xml:space="preserve">Gazette </w:t>
            </w:r>
            <w:r>
              <w:t>6 Jul 2004 p. 2697)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Criminal Code Amendment Act 2004</w:t>
            </w:r>
            <w:r>
              <w:t xml:space="preserve"> </w:t>
            </w:r>
          </w:p>
        </w:tc>
        <w:tc>
          <w:tcPr>
            <w:tcW w:w="1134" w:type="dxa"/>
          </w:tcPr>
          <w:p>
            <w:pPr>
              <w:pStyle w:val="nTable"/>
              <w:spacing w:after="40"/>
            </w:pPr>
            <w:r>
              <w:t>4 of 2004</w:t>
            </w:r>
          </w:p>
        </w:tc>
        <w:tc>
          <w:tcPr>
            <w:tcW w:w="1134" w:type="dxa"/>
          </w:tcPr>
          <w:p>
            <w:pPr>
              <w:pStyle w:val="nTable"/>
              <w:spacing w:after="40"/>
            </w:pPr>
            <w:r>
              <w:t>23 Apr 2004</w:t>
            </w:r>
          </w:p>
        </w:tc>
        <w:tc>
          <w:tcPr>
            <w:tcW w:w="2552" w:type="dxa"/>
          </w:tcPr>
          <w:p>
            <w:pPr>
              <w:pStyle w:val="nTable"/>
              <w:spacing w:after="40"/>
              <w:rPr>
                <w:spacing w:val="-2"/>
              </w:rPr>
            </w:pPr>
            <w:r>
              <w:t>21 May 2004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Reprint 11</w:t>
            </w:r>
            <w:r>
              <w:rPr>
                <w:b/>
                <w:vertAlign w:val="superscript"/>
              </w:rPr>
              <w:t> </w:t>
            </w:r>
            <w:r>
              <w:rPr>
                <w:bCs/>
                <w:vertAlign w:val="superscript"/>
              </w:rPr>
              <w:t>22</w:t>
            </w:r>
            <w:r>
              <w:rPr>
                <w:b/>
              </w:rPr>
              <w:t xml:space="preserve">:  The </w:t>
            </w:r>
            <w:r>
              <w:rPr>
                <w:b/>
                <w:i/>
              </w:rPr>
              <w:t>Criminal Code Act Compilation Act 1913</w:t>
            </w:r>
            <w:r>
              <w:rPr>
                <w:b/>
              </w:rPr>
              <w:t xml:space="preserve"> as at 3 Sep 2004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 xml:space="preserve">Criminal Law Amendment (Criminal Property) Act 2004 </w:t>
            </w:r>
            <w:r>
              <w:t xml:space="preserve">Pt. 2 </w:t>
            </w:r>
          </w:p>
        </w:tc>
        <w:tc>
          <w:tcPr>
            <w:tcW w:w="1134" w:type="dxa"/>
          </w:tcPr>
          <w:p>
            <w:pPr>
              <w:pStyle w:val="nTable"/>
              <w:spacing w:after="40"/>
            </w:pPr>
            <w:r>
              <w:t>26 of 2004</w:t>
            </w:r>
          </w:p>
        </w:tc>
        <w:tc>
          <w:tcPr>
            <w:tcW w:w="1134" w:type="dxa"/>
          </w:tcPr>
          <w:p>
            <w:pPr>
              <w:pStyle w:val="nTable"/>
              <w:spacing w:after="40"/>
            </w:pPr>
            <w:r>
              <w:t>7 Oct 2004</w:t>
            </w:r>
          </w:p>
        </w:tc>
        <w:tc>
          <w:tcPr>
            <w:tcW w:w="2552" w:type="dxa"/>
          </w:tcPr>
          <w:p>
            <w:pPr>
              <w:pStyle w:val="nTable"/>
              <w:spacing w:after="40"/>
              <w:rPr>
                <w:spacing w:val="-2"/>
              </w:rPr>
            </w:pPr>
            <w:r>
              <w:t>7 Oct 2004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Acts Amendment (Family and Domestic Violence) Act 2004</w:t>
            </w:r>
            <w:r>
              <w:t xml:space="preserve"> Pt. 4</w:t>
            </w:r>
          </w:p>
        </w:tc>
        <w:tc>
          <w:tcPr>
            <w:tcW w:w="1134" w:type="dxa"/>
          </w:tcPr>
          <w:p>
            <w:pPr>
              <w:pStyle w:val="nTable"/>
              <w:spacing w:after="40"/>
            </w:pPr>
            <w:r>
              <w:t>38 of 2004</w:t>
            </w:r>
          </w:p>
        </w:tc>
        <w:tc>
          <w:tcPr>
            <w:tcW w:w="1134" w:type="dxa"/>
          </w:tcPr>
          <w:p>
            <w:pPr>
              <w:pStyle w:val="nTable"/>
              <w:spacing w:after="40"/>
            </w:pPr>
            <w:r>
              <w:t>9 Nov 2004</w:t>
            </w:r>
          </w:p>
        </w:tc>
        <w:tc>
          <w:tcPr>
            <w:tcW w:w="2552" w:type="dxa"/>
          </w:tcPr>
          <w:p>
            <w:pPr>
              <w:pStyle w:val="nTable"/>
              <w:spacing w:after="40"/>
            </w:pPr>
            <w:r>
              <w:t xml:space="preserve">1 Dec 2004 (see s. 2 and </w:t>
            </w:r>
            <w:r>
              <w:rPr>
                <w:i/>
              </w:rPr>
              <w:t>Gazette</w:t>
            </w:r>
            <w:r>
              <w:t xml:space="preserve"> 26 Nov 2004 p. 5309)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Acts Amendment (Court of Appeal) Act 2004</w:t>
            </w:r>
            <w:r>
              <w:t xml:space="preserve"> s. 30</w:t>
            </w:r>
          </w:p>
        </w:tc>
        <w:tc>
          <w:tcPr>
            <w:tcW w:w="1134" w:type="dxa"/>
          </w:tcPr>
          <w:p>
            <w:pPr>
              <w:pStyle w:val="nTable"/>
              <w:spacing w:after="40"/>
            </w:pPr>
            <w:r>
              <w:t>45 of 2004</w:t>
            </w:r>
          </w:p>
        </w:tc>
        <w:tc>
          <w:tcPr>
            <w:tcW w:w="1134" w:type="dxa"/>
          </w:tcPr>
          <w:p>
            <w:pPr>
              <w:pStyle w:val="nTable"/>
              <w:spacing w:after="40"/>
            </w:pPr>
            <w:r>
              <w:t xml:space="preserve">9 Nov 2004 </w:t>
            </w:r>
          </w:p>
        </w:tc>
        <w:tc>
          <w:tcPr>
            <w:tcW w:w="2552" w:type="dxa"/>
          </w:tcPr>
          <w:p>
            <w:pPr>
              <w:pStyle w:val="nTable"/>
              <w:spacing w:after="40"/>
            </w:pPr>
            <w:r>
              <w:rPr>
                <w:snapToGrid w:val="0"/>
              </w:rPr>
              <w:t xml:space="preserve">1 Feb 2005 (see s. 2 and </w:t>
            </w:r>
            <w:r>
              <w:rPr>
                <w:i/>
                <w:iCs/>
                <w:snapToGrid w:val="0"/>
              </w:rPr>
              <w:t>Gazette</w:t>
            </w:r>
            <w:r>
              <w:rPr>
                <w:snapToGrid w:val="0"/>
              </w:rPr>
              <w:t xml:space="preserve"> 14 Jan 2005 p. 163)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rPr>
            </w:pPr>
            <w:r>
              <w:rPr>
                <w:i/>
              </w:rPr>
              <w:t>Criminal Law Amendment (Sexual Assault and Other Matters) Act 2004</w:t>
            </w:r>
            <w:r>
              <w:rPr>
                <w:iCs/>
              </w:rPr>
              <w:t xml:space="preserve"> Pt. 2</w:t>
            </w:r>
          </w:p>
        </w:tc>
        <w:tc>
          <w:tcPr>
            <w:tcW w:w="1134" w:type="dxa"/>
          </w:tcPr>
          <w:p>
            <w:pPr>
              <w:pStyle w:val="nTable"/>
              <w:spacing w:after="40"/>
            </w:pPr>
            <w:r>
              <w:t>46 of 2004</w:t>
            </w:r>
          </w:p>
        </w:tc>
        <w:tc>
          <w:tcPr>
            <w:tcW w:w="1134" w:type="dxa"/>
          </w:tcPr>
          <w:p>
            <w:pPr>
              <w:pStyle w:val="nTable"/>
              <w:spacing w:after="40"/>
            </w:pPr>
            <w:r>
              <w:t>9 Nov 2004</w:t>
            </w:r>
          </w:p>
        </w:tc>
        <w:tc>
          <w:tcPr>
            <w:tcW w:w="2552" w:type="dxa"/>
          </w:tcPr>
          <w:p>
            <w:pPr>
              <w:pStyle w:val="nTable"/>
              <w:spacing w:after="40"/>
            </w:pPr>
            <w:r>
              <w:t xml:space="preserve">1 Jan 2005 (see s. 2 and </w:t>
            </w:r>
            <w:r>
              <w:rPr>
                <w:i/>
                <w:iCs/>
              </w:rPr>
              <w:t>Gazette</w:t>
            </w:r>
            <w:r>
              <w:t xml:space="preserve"> 31 Dec 2004 p. 7130)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rPr>
            </w:pPr>
            <w:r>
              <w:rPr>
                <w:i/>
              </w:rPr>
              <w:t>Courts Legislation Amendment and Repeal Act 2004</w:t>
            </w:r>
            <w:r>
              <w:rPr>
                <w:iCs/>
              </w:rPr>
              <w:t xml:space="preserve"> Pt. 9</w:t>
            </w:r>
          </w:p>
        </w:tc>
        <w:tc>
          <w:tcPr>
            <w:tcW w:w="1134" w:type="dxa"/>
          </w:tcPr>
          <w:p>
            <w:pPr>
              <w:pStyle w:val="nTable"/>
              <w:spacing w:after="40"/>
            </w:pPr>
            <w:r>
              <w:t>59 of 2004</w:t>
            </w:r>
          </w:p>
        </w:tc>
        <w:tc>
          <w:tcPr>
            <w:tcW w:w="1134" w:type="dxa"/>
          </w:tcPr>
          <w:p>
            <w:pPr>
              <w:pStyle w:val="nTable"/>
              <w:spacing w:after="40"/>
            </w:pPr>
            <w:r>
              <w:t>23 Nov 2004</w:t>
            </w:r>
          </w:p>
        </w:tc>
        <w:tc>
          <w:tcPr>
            <w:tcW w:w="2552" w:type="dxa"/>
          </w:tcPr>
          <w:p>
            <w:pPr>
              <w:pStyle w:val="nTable"/>
              <w:spacing w:after="40"/>
            </w:pPr>
            <w:r>
              <w:t xml:space="preserve">1 May 2005 (see s. 2 and </w:t>
            </w:r>
            <w:r>
              <w:rPr>
                <w:i/>
                <w:iCs/>
              </w:rPr>
              <w:t>Gazette</w:t>
            </w:r>
            <w:r>
              <w:t xml:space="preserve"> 31 Dec 2004 p. 7128)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vertAlign w:val="superscript"/>
              </w:rPr>
            </w:pPr>
            <w:r>
              <w:rPr>
                <w:i/>
                <w:snapToGrid w:val="0"/>
              </w:rPr>
              <w:lastRenderedPageBreak/>
              <w:t>Criminal Law Amendment (Simple Offences) Act 2004</w:t>
            </w:r>
            <w:r>
              <w:rPr>
                <w:iCs/>
                <w:snapToGrid w:val="0"/>
              </w:rPr>
              <w:t xml:space="preserve"> Pt. 2 (s. 3-39)</w:t>
            </w:r>
            <w:r>
              <w:rPr>
                <w:iCs/>
                <w:snapToGrid w:val="0"/>
                <w:vertAlign w:val="superscript"/>
              </w:rPr>
              <w:t> 24, 25, 26</w:t>
            </w:r>
          </w:p>
        </w:tc>
        <w:tc>
          <w:tcPr>
            <w:tcW w:w="1134" w:type="dxa"/>
          </w:tcPr>
          <w:p>
            <w:pPr>
              <w:pStyle w:val="nTable"/>
              <w:spacing w:after="40"/>
            </w:pPr>
            <w:r>
              <w:rPr>
                <w:snapToGrid w:val="0"/>
              </w:rPr>
              <w:t xml:space="preserve">70 of 2004 </w:t>
            </w:r>
            <w:r>
              <w:t xml:space="preserve">(as amended by No. 24 of 2005 s. 63; No. 2 of </w:t>
            </w:r>
            <w:r>
              <w:rPr>
                <w:spacing w:val="-4"/>
              </w:rPr>
              <w:t>2008 s. 76(2))</w:t>
            </w:r>
          </w:p>
        </w:tc>
        <w:tc>
          <w:tcPr>
            <w:tcW w:w="1134" w:type="dxa"/>
          </w:tcPr>
          <w:p>
            <w:pPr>
              <w:pStyle w:val="nTable"/>
              <w:spacing w:after="40"/>
            </w:pPr>
            <w:r>
              <w:t>8 Dec 2004</w:t>
            </w:r>
          </w:p>
        </w:tc>
        <w:tc>
          <w:tcPr>
            <w:tcW w:w="2552" w:type="dxa"/>
          </w:tcPr>
          <w:p>
            <w:pPr>
              <w:pStyle w:val="nTable"/>
              <w:spacing w:after="40"/>
            </w:pPr>
            <w:r>
              <w:rPr>
                <w:snapToGrid w:val="0"/>
              </w:rPr>
              <w:t xml:space="preserve">Pt. 2 other than s. 37 and 39: 31 May 2005 (see s. 2 and </w:t>
            </w:r>
            <w:r>
              <w:rPr>
                <w:i/>
                <w:iCs/>
                <w:snapToGrid w:val="0"/>
              </w:rPr>
              <w:t>Gazette</w:t>
            </w:r>
            <w:r>
              <w:rPr>
                <w:snapToGrid w:val="0"/>
              </w:rPr>
              <w:t xml:space="preserve"> 14 Jan 2005 p. 163) </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rPr>
            </w:pPr>
            <w:r>
              <w:rPr>
                <w:i/>
              </w:rPr>
              <w:t>Criminal Code Amendment (Racial Vilification) Act 2004</w:t>
            </w:r>
            <w:r>
              <w:rPr>
                <w:iCs/>
                <w:vertAlign w:val="superscript"/>
              </w:rPr>
              <w:t> 27</w:t>
            </w:r>
          </w:p>
        </w:tc>
        <w:tc>
          <w:tcPr>
            <w:tcW w:w="1134" w:type="dxa"/>
          </w:tcPr>
          <w:p>
            <w:pPr>
              <w:pStyle w:val="nTable"/>
              <w:spacing w:after="40"/>
            </w:pPr>
            <w:r>
              <w:t xml:space="preserve">80 of 2004 (as amended by No. 2 of 2008 s. 6(2), </w:t>
            </w:r>
            <w:r>
              <w:rPr>
                <w:spacing w:val="-4"/>
              </w:rPr>
              <w:t>7(2) and 8(2))</w:t>
            </w:r>
          </w:p>
        </w:tc>
        <w:tc>
          <w:tcPr>
            <w:tcW w:w="1134" w:type="dxa"/>
          </w:tcPr>
          <w:p>
            <w:pPr>
              <w:pStyle w:val="nTable"/>
              <w:spacing w:after="40"/>
            </w:pPr>
            <w:r>
              <w:t>8 Dec 2004</w:t>
            </w:r>
          </w:p>
        </w:tc>
        <w:tc>
          <w:tcPr>
            <w:tcW w:w="2552" w:type="dxa"/>
          </w:tcPr>
          <w:p>
            <w:pPr>
              <w:pStyle w:val="nTable"/>
              <w:spacing w:after="40"/>
            </w:pPr>
            <w:r>
              <w:t>8 Dec 2004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vertAlign w:val="superscript"/>
              </w:rPr>
            </w:pPr>
            <w:r>
              <w:rPr>
                <w:i/>
                <w:iCs/>
                <w:snapToGrid w:val="0"/>
              </w:rPr>
              <w:t>Criminal Procedure and Appeals (Consequential and Other Provisions) Act 2004</w:t>
            </w:r>
            <w:r>
              <w:rPr>
                <w:snapToGrid w:val="0"/>
              </w:rPr>
              <w:t xml:space="preserve"> Pt. 5, s. 80 and 82</w:t>
            </w:r>
            <w:r>
              <w:rPr>
                <w:snapToGrid w:val="0"/>
                <w:vertAlign w:val="superscript"/>
              </w:rPr>
              <w:t> 28, 29</w:t>
            </w:r>
          </w:p>
        </w:tc>
        <w:tc>
          <w:tcPr>
            <w:tcW w:w="1134" w:type="dxa"/>
          </w:tcPr>
          <w:p>
            <w:pPr>
              <w:pStyle w:val="nTable"/>
              <w:spacing w:after="40"/>
              <w:rPr>
                <w:snapToGrid w:val="0"/>
              </w:rPr>
            </w:pPr>
            <w:r>
              <w:rPr>
                <w:snapToGrid w:val="0"/>
              </w:rPr>
              <w:t xml:space="preserve">84 of 2004 </w:t>
            </w:r>
            <w:r>
              <w:t xml:space="preserve">(as amended by No. 2 </w:t>
            </w:r>
            <w:r>
              <w:rPr>
                <w:spacing w:val="-4"/>
              </w:rPr>
              <w:t>of 2008 s. 78(7))</w:t>
            </w:r>
          </w:p>
        </w:tc>
        <w:tc>
          <w:tcPr>
            <w:tcW w:w="1134" w:type="dxa"/>
          </w:tcPr>
          <w:p>
            <w:pPr>
              <w:pStyle w:val="nTable"/>
              <w:spacing w:after="40"/>
            </w:pPr>
            <w:r>
              <w:t>16 Dec 2004</w:t>
            </w:r>
          </w:p>
        </w:tc>
        <w:tc>
          <w:tcPr>
            <w:tcW w:w="2552" w:type="dxa"/>
          </w:tcPr>
          <w:p>
            <w:pPr>
              <w:pStyle w:val="nTable"/>
              <w:spacing w:after="40"/>
              <w:rPr>
                <w:snapToGrid w:val="0"/>
              </w:rPr>
            </w:pPr>
            <w:r>
              <w:rPr>
                <w:snapToGrid w:val="0"/>
              </w:rPr>
              <w:t xml:space="preserve">Pt. 5, s. 80 (Sch. 2 cl. 36 (the amendments to s. 17, 711 and 716)) and s. 82: 2 May 2005 (see s. 2 and </w:t>
            </w:r>
            <w:r>
              <w:rPr>
                <w:i/>
                <w:iCs/>
                <w:snapToGrid w:val="0"/>
              </w:rPr>
              <w:t>Gazette</w:t>
            </w:r>
            <w:r>
              <w:rPr>
                <w:snapToGrid w:val="0"/>
              </w:rPr>
              <w:t xml:space="preserve"> 31 Dec 2004 p. 7129 (correction: </w:t>
            </w:r>
            <w:r>
              <w:rPr>
                <w:i/>
                <w:iCs/>
                <w:snapToGrid w:val="0"/>
              </w:rPr>
              <w:t>Gazette</w:t>
            </w:r>
            <w:r>
              <w:rPr>
                <w:snapToGrid w:val="0"/>
              </w:rPr>
              <w:t xml:space="preserve"> 7 Jan 2005 p. 53))</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napToGrid w:val="0"/>
              </w:rPr>
            </w:pPr>
            <w:r>
              <w:rPr>
                <w:b/>
              </w:rPr>
              <w:t>Reprint 12</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1 Jun 2005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rPr>
              <w:t>Oaths, Affidavits and Statutory Declarations (Consequential Provisions) Act 2005</w:t>
            </w:r>
            <w:r>
              <w:rPr>
                <w:iCs/>
              </w:rPr>
              <w:t xml:space="preserve"> Pt. 11</w:t>
            </w:r>
          </w:p>
        </w:tc>
        <w:tc>
          <w:tcPr>
            <w:tcW w:w="1134" w:type="dxa"/>
          </w:tcPr>
          <w:p>
            <w:pPr>
              <w:pStyle w:val="nTable"/>
              <w:spacing w:after="40"/>
              <w:rPr>
                <w:snapToGrid w:val="0"/>
              </w:rPr>
            </w:pPr>
            <w:r>
              <w:t xml:space="preserve">24 of 2005 </w:t>
            </w:r>
          </w:p>
        </w:tc>
        <w:tc>
          <w:tcPr>
            <w:tcW w:w="1134" w:type="dxa"/>
          </w:tcPr>
          <w:p>
            <w:pPr>
              <w:pStyle w:val="nTable"/>
              <w:spacing w:after="40"/>
            </w:pPr>
            <w:r>
              <w:t>2 Dec 2005</w:t>
            </w:r>
          </w:p>
        </w:tc>
        <w:tc>
          <w:tcPr>
            <w:tcW w:w="2552" w:type="dxa"/>
          </w:tcPr>
          <w:p>
            <w:pPr>
              <w:pStyle w:val="nTable"/>
              <w:spacing w:after="40"/>
            </w:pPr>
            <w:r>
              <w:t xml:space="preserve">1 Jan 2006 (see s. 2(1) and </w:t>
            </w:r>
            <w:r>
              <w:rPr>
                <w:i/>
                <w:iCs/>
              </w:rPr>
              <w:t>Gazette</w:t>
            </w:r>
            <w:r>
              <w:t xml:space="preserve"> 23 Dec 2005 p. 6244)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iCs/>
                <w:snapToGrid w:val="0"/>
              </w:rPr>
              <w:t xml:space="preserve">Defamation Act 2005 </w:t>
            </w:r>
            <w:r>
              <w:rPr>
                <w:snapToGrid w:val="0"/>
              </w:rPr>
              <w:t>s. 47</w:t>
            </w:r>
          </w:p>
        </w:tc>
        <w:tc>
          <w:tcPr>
            <w:tcW w:w="1134" w:type="dxa"/>
          </w:tcPr>
          <w:p>
            <w:pPr>
              <w:pStyle w:val="nTable"/>
              <w:spacing w:after="40"/>
              <w:rPr>
                <w:snapToGrid w:val="0"/>
              </w:rPr>
            </w:pPr>
            <w:r>
              <w:rPr>
                <w:snapToGrid w:val="0"/>
              </w:rPr>
              <w:t>44 of 2005</w:t>
            </w:r>
          </w:p>
        </w:tc>
        <w:tc>
          <w:tcPr>
            <w:tcW w:w="1134" w:type="dxa"/>
          </w:tcPr>
          <w:p>
            <w:pPr>
              <w:pStyle w:val="nTable"/>
              <w:spacing w:after="40"/>
            </w:pPr>
            <w:r>
              <w:t>19 Dec 2005</w:t>
            </w:r>
          </w:p>
        </w:tc>
        <w:tc>
          <w:tcPr>
            <w:tcW w:w="2552" w:type="dxa"/>
          </w:tcPr>
          <w:p>
            <w:pPr>
              <w:pStyle w:val="nTable"/>
              <w:spacing w:after="40"/>
            </w:pPr>
            <w:r>
              <w:rPr>
                <w:snapToGrid w:val="0"/>
              </w:rPr>
              <w:t>1 Jan 2006 (see s.</w:t>
            </w:r>
            <w:r>
              <w:t>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iCs/>
                <w:snapToGrid w:val="0"/>
              </w:rPr>
              <w:t>Criminal Code Amendment (Cyber Predators) Act 2006</w:t>
            </w:r>
            <w:r>
              <w:rPr>
                <w:snapToGrid w:val="0"/>
              </w:rPr>
              <w:t xml:space="preserve"> s. 3</w:t>
            </w:r>
            <w:r>
              <w:rPr>
                <w:snapToGrid w:val="0"/>
              </w:rPr>
              <w:noBreakHyphen/>
              <w:t>6</w:t>
            </w:r>
          </w:p>
        </w:tc>
        <w:tc>
          <w:tcPr>
            <w:tcW w:w="1134" w:type="dxa"/>
          </w:tcPr>
          <w:p>
            <w:pPr>
              <w:pStyle w:val="nTable"/>
              <w:keepNext/>
              <w:keepLines/>
              <w:spacing w:after="40"/>
              <w:rPr>
                <w:snapToGrid w:val="0"/>
              </w:rPr>
            </w:pPr>
            <w:r>
              <w:rPr>
                <w:snapToGrid w:val="0"/>
              </w:rPr>
              <w:t>3 of 2006</w:t>
            </w:r>
          </w:p>
        </w:tc>
        <w:tc>
          <w:tcPr>
            <w:tcW w:w="1134" w:type="dxa"/>
          </w:tcPr>
          <w:p>
            <w:pPr>
              <w:pStyle w:val="nTable"/>
              <w:keepNext/>
              <w:keepLines/>
              <w:spacing w:after="40"/>
            </w:pPr>
            <w:r>
              <w:t>30 Mar 2006</w:t>
            </w:r>
          </w:p>
        </w:tc>
        <w:tc>
          <w:tcPr>
            <w:tcW w:w="2552" w:type="dxa"/>
          </w:tcPr>
          <w:p>
            <w:pPr>
              <w:pStyle w:val="nTable"/>
              <w:keepNext/>
              <w:keepLines/>
              <w:spacing w:after="40"/>
              <w:rPr>
                <w:snapToGrid w:val="0"/>
              </w:rPr>
            </w:pPr>
            <w:r>
              <w:rPr>
                <w:snapToGrid w:val="0"/>
              </w:rPr>
              <w:t>s. 3</w:t>
            </w:r>
            <w:r>
              <w:rPr>
                <w:snapToGrid w:val="0"/>
              </w:rPr>
              <w:noBreakHyphen/>
              <w:t>5: 30 Mar 2006 (see s. 2(1));</w:t>
            </w:r>
            <w:r>
              <w:rPr>
                <w:snapToGrid w:val="0"/>
              </w:rPr>
              <w:br/>
              <w:t xml:space="preserve">s. 6: 7 Apr 2006 (see s. 2(2) and </w:t>
            </w:r>
            <w:r>
              <w:rPr>
                <w:i/>
                <w:iCs/>
                <w:snapToGrid w:val="0"/>
              </w:rPr>
              <w:t>Gazette</w:t>
            </w:r>
            <w:r>
              <w:rPr>
                <w:snapToGrid w:val="0"/>
              </w:rPr>
              <w:t xml:space="preserve"> 7 Apr 2006 p. 1489)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iCs/>
                <w:snapToGrid w:val="0"/>
              </w:rPr>
              <w:t xml:space="preserve">Censorship Amendment Act 2006 </w:t>
            </w:r>
            <w:r>
              <w:rPr>
                <w:snapToGrid w:val="0"/>
              </w:rPr>
              <w:t>Sch. 1 cl. 2</w:t>
            </w:r>
          </w:p>
        </w:tc>
        <w:tc>
          <w:tcPr>
            <w:tcW w:w="1134" w:type="dxa"/>
          </w:tcPr>
          <w:p>
            <w:pPr>
              <w:pStyle w:val="nTable"/>
              <w:spacing w:after="40"/>
              <w:rPr>
                <w:snapToGrid w:val="0"/>
              </w:rPr>
            </w:pPr>
            <w:r>
              <w:rPr>
                <w:snapToGrid w:val="0"/>
              </w:rPr>
              <w:t>10 of 2006</w:t>
            </w:r>
          </w:p>
        </w:tc>
        <w:tc>
          <w:tcPr>
            <w:tcW w:w="1134" w:type="dxa"/>
          </w:tcPr>
          <w:p>
            <w:pPr>
              <w:pStyle w:val="nTable"/>
              <w:spacing w:after="40"/>
            </w:pPr>
            <w:r>
              <w:t>8 May 2006</w:t>
            </w:r>
          </w:p>
        </w:tc>
        <w:tc>
          <w:tcPr>
            <w:tcW w:w="2552" w:type="dxa"/>
          </w:tcPr>
          <w:p>
            <w:pPr>
              <w:pStyle w:val="nTable"/>
              <w:spacing w:after="40"/>
              <w:rPr>
                <w:snapToGrid w:val="0"/>
              </w:rPr>
            </w:pPr>
            <w:r>
              <w:rPr>
                <w:snapToGrid w:val="0"/>
              </w:rPr>
              <w:t xml:space="preserve">10 Jun 2006 (see s. 2 and </w:t>
            </w:r>
            <w:r>
              <w:rPr>
                <w:i/>
                <w:iCs/>
                <w:snapToGrid w:val="0"/>
              </w:rPr>
              <w:t>Gazette</w:t>
            </w:r>
            <w:r>
              <w:rPr>
                <w:snapToGrid w:val="0"/>
              </w:rPr>
              <w:t xml:space="preserve"> 9 Jun 2006 p. 2029)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pPr>
            <w:r>
              <w:rPr>
                <w:i/>
              </w:rPr>
              <w:t xml:space="preserve">Nurses and Midwives Act 2006 </w:t>
            </w:r>
            <w:r>
              <w:rPr>
                <w:snapToGrid w:val="0"/>
              </w:rPr>
              <w:t>Sch. 3 cl. 6</w:t>
            </w:r>
            <w:r>
              <w:rPr>
                <w:iCs/>
                <w:snapToGrid w:val="0"/>
                <w:vertAlign w:val="superscript"/>
              </w:rPr>
              <w:t> 30</w:t>
            </w:r>
          </w:p>
        </w:tc>
        <w:tc>
          <w:tcPr>
            <w:tcW w:w="1134" w:type="dxa"/>
          </w:tcPr>
          <w:p>
            <w:pPr>
              <w:pStyle w:val="nTable"/>
              <w:spacing w:after="40"/>
            </w:pPr>
            <w:r>
              <w:t>50 of 2006</w:t>
            </w:r>
          </w:p>
        </w:tc>
        <w:tc>
          <w:tcPr>
            <w:tcW w:w="1134" w:type="dxa"/>
          </w:tcPr>
          <w:p>
            <w:pPr>
              <w:pStyle w:val="nTable"/>
              <w:spacing w:after="40"/>
            </w:pPr>
            <w:r>
              <w:t>6 Oct 2006</w:t>
            </w:r>
          </w:p>
        </w:tc>
        <w:tc>
          <w:tcPr>
            <w:tcW w:w="2552" w:type="dxa"/>
          </w:tcPr>
          <w:p>
            <w:pPr>
              <w:pStyle w:val="nTable"/>
              <w:spacing w:after="40"/>
            </w:pPr>
            <w:r>
              <w:t xml:space="preserve">19 Sep 2007 (see s. 2 and </w:t>
            </w:r>
            <w:r>
              <w:rPr>
                <w:i/>
                <w:iCs/>
              </w:rPr>
              <w:t xml:space="preserve">Gazette </w:t>
            </w:r>
            <w:r>
              <w:t>18 Sep 2007 p. 4711)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vertAlign w:val="superscript"/>
              </w:rPr>
            </w:pPr>
            <w:r>
              <w:rPr>
                <w:i/>
                <w:snapToGrid w:val="0"/>
              </w:rPr>
              <w:t>Criminal Investigation (Consequential Provisions) Act 2006</w:t>
            </w:r>
            <w:r>
              <w:rPr>
                <w:iCs/>
                <w:snapToGrid w:val="0"/>
              </w:rPr>
              <w:t xml:space="preserve"> Pt. 5</w:t>
            </w:r>
            <w:r>
              <w:rPr>
                <w:iCs/>
                <w:snapToGrid w:val="0"/>
                <w:vertAlign w:val="superscript"/>
              </w:rPr>
              <w:t> 31</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2"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iCs/>
                <w:snapToGrid w:val="0"/>
              </w:rPr>
              <w:t xml:space="preserve">Liquor and Gaming Legislation Amendment Act 2006 </w:t>
            </w:r>
            <w:r>
              <w:rPr>
                <w:snapToGrid w:val="0"/>
              </w:rPr>
              <w:t>s. 114</w:t>
            </w:r>
          </w:p>
        </w:tc>
        <w:tc>
          <w:tcPr>
            <w:tcW w:w="1134" w:type="dxa"/>
          </w:tcPr>
          <w:p>
            <w:pPr>
              <w:pStyle w:val="nTable"/>
              <w:spacing w:after="40"/>
              <w:rPr>
                <w:snapToGrid w:val="0"/>
              </w:rPr>
            </w:pPr>
            <w:r>
              <w:rPr>
                <w:snapToGrid w:val="0"/>
              </w:rPr>
              <w:t>73 of 2006</w:t>
            </w:r>
          </w:p>
        </w:tc>
        <w:tc>
          <w:tcPr>
            <w:tcW w:w="1134" w:type="dxa"/>
          </w:tcPr>
          <w:p>
            <w:pPr>
              <w:pStyle w:val="nTable"/>
              <w:spacing w:after="40"/>
            </w:pPr>
            <w:r>
              <w:rPr>
                <w:snapToGrid w:val="0"/>
              </w:rPr>
              <w:t>13 Dec 2006</w:t>
            </w:r>
          </w:p>
        </w:tc>
        <w:tc>
          <w:tcPr>
            <w:tcW w:w="2552" w:type="dxa"/>
          </w:tcPr>
          <w:p>
            <w:pPr>
              <w:pStyle w:val="nTable"/>
              <w:spacing w:after="40"/>
              <w:rPr>
                <w:snapToGrid w:val="0"/>
              </w:rPr>
            </w:pPr>
            <w:r>
              <w:rPr>
                <w:snapToGrid w:val="0"/>
              </w:rPr>
              <w:t xml:space="preserve">7 May 2007 (see s. 2(2) and </w:t>
            </w:r>
            <w:r>
              <w:rPr>
                <w:i/>
                <w:iCs/>
                <w:snapToGrid w:val="0"/>
              </w:rPr>
              <w:t xml:space="preserve">Gazette </w:t>
            </w:r>
            <w:r>
              <w:rPr>
                <w:snapToGrid w:val="0"/>
              </w:rPr>
              <w:t>1 May 2007 p. 1893)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iCs/>
                <w:snapToGrid w:val="0"/>
              </w:rPr>
              <w:lastRenderedPageBreak/>
              <w:t>Criminal Code Amendment (Drink and Food Spiking) Act 2007</w:t>
            </w:r>
          </w:p>
        </w:tc>
        <w:tc>
          <w:tcPr>
            <w:tcW w:w="1134" w:type="dxa"/>
          </w:tcPr>
          <w:p>
            <w:pPr>
              <w:pStyle w:val="nTable"/>
              <w:spacing w:after="40"/>
              <w:rPr>
                <w:snapToGrid w:val="0"/>
              </w:rPr>
            </w:pPr>
            <w:r>
              <w:rPr>
                <w:snapToGrid w:val="0"/>
              </w:rPr>
              <w:t>31 of 2007</w:t>
            </w:r>
          </w:p>
        </w:tc>
        <w:tc>
          <w:tcPr>
            <w:tcW w:w="1134" w:type="dxa"/>
          </w:tcPr>
          <w:p>
            <w:pPr>
              <w:pStyle w:val="nTable"/>
              <w:spacing w:after="40"/>
              <w:rPr>
                <w:snapToGrid w:val="0"/>
              </w:rPr>
            </w:pPr>
            <w:r>
              <w:rPr>
                <w:snapToGrid w:val="0"/>
              </w:rPr>
              <w:t>21 Dec 2007</w:t>
            </w:r>
          </w:p>
        </w:tc>
        <w:tc>
          <w:tcPr>
            <w:tcW w:w="2552" w:type="dxa"/>
          </w:tcPr>
          <w:p>
            <w:pPr>
              <w:pStyle w:val="nTable"/>
              <w:spacing w:after="40"/>
              <w:rPr>
                <w:snapToGrid w:val="0"/>
              </w:rPr>
            </w:pPr>
            <w:r>
              <w:rPr>
                <w:snapToGrid w:val="0"/>
              </w:rPr>
              <w:t>s. 1 and 2: 21 Dec 2007 (see s. 2(a));</w:t>
            </w:r>
            <w:r>
              <w:rPr>
                <w:snapToGrid w:val="0"/>
              </w:rPr>
              <w:br/>
              <w:t>Act other than s. 1 and 2: 22 Dec 2007 (see s. 2(b))</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napToGrid w:val="0"/>
              </w:rPr>
            </w:pPr>
            <w:r>
              <w:rPr>
                <w:b/>
              </w:rPr>
              <w:t>Reprint 13</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18 Jan 2008 </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snapToGrid w:val="0"/>
              </w:rPr>
              <w:t>Criminal Law and Evidence Amendment Act 2008</w:t>
            </w:r>
            <w:r>
              <w:rPr>
                <w:iCs/>
                <w:snapToGrid w:val="0"/>
              </w:rPr>
              <w:t xml:space="preserve"> Pt. 2</w:t>
            </w:r>
          </w:p>
        </w:tc>
        <w:tc>
          <w:tcPr>
            <w:tcW w:w="1134" w:type="dxa"/>
          </w:tcPr>
          <w:p>
            <w:pPr>
              <w:pStyle w:val="nTable"/>
              <w:keepNext/>
              <w:keepLines/>
              <w:spacing w:after="40"/>
              <w:rPr>
                <w:snapToGrid w:val="0"/>
              </w:rPr>
            </w:pPr>
            <w:r>
              <w:rPr>
                <w:snapToGrid w:val="0"/>
              </w:rPr>
              <w:t>2 of 2008</w:t>
            </w:r>
          </w:p>
        </w:tc>
        <w:tc>
          <w:tcPr>
            <w:tcW w:w="1134" w:type="dxa"/>
          </w:tcPr>
          <w:p>
            <w:pPr>
              <w:pStyle w:val="nTable"/>
              <w:keepNext/>
              <w:keepLines/>
              <w:spacing w:after="40"/>
            </w:pPr>
            <w:r>
              <w:t>12 Mar 2008</w:t>
            </w:r>
          </w:p>
        </w:tc>
        <w:tc>
          <w:tcPr>
            <w:tcW w:w="2552" w:type="dxa"/>
          </w:tcPr>
          <w:p>
            <w:pPr>
              <w:pStyle w:val="nTable"/>
              <w:keepNext/>
              <w:keepLines/>
              <w:spacing w:after="40"/>
              <w:rPr>
                <w:snapToGrid w:val="0"/>
              </w:rPr>
            </w:pPr>
            <w:r>
              <w:rPr>
                <w:snapToGrid w:val="0"/>
              </w:rPr>
              <w:t xml:space="preserve">27 Apr 2008 (see s. 2 and </w:t>
            </w:r>
            <w:r>
              <w:rPr>
                <w:i/>
                <w:iCs/>
                <w:snapToGrid w:val="0"/>
              </w:rPr>
              <w:t>Gazette</w:t>
            </w:r>
            <w:r>
              <w:rPr>
                <w:snapToGrid w:val="0"/>
              </w:rPr>
              <w:t xml:space="preserve"> 24 Apr 2008 p. 1559)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Acts Amendment (Justice) Act 2008</w:t>
            </w:r>
            <w:r>
              <w:rPr>
                <w:iCs/>
                <w:snapToGrid w:val="0"/>
              </w:rPr>
              <w:t xml:space="preserve"> s. 129</w:t>
            </w:r>
          </w:p>
        </w:tc>
        <w:tc>
          <w:tcPr>
            <w:tcW w:w="1134" w:type="dxa"/>
          </w:tcPr>
          <w:p>
            <w:pPr>
              <w:pStyle w:val="nTable"/>
              <w:keepNext/>
              <w:keepLines/>
              <w:spacing w:after="40"/>
              <w:rPr>
                <w:snapToGrid w:val="0"/>
              </w:rPr>
            </w:pPr>
            <w:r>
              <w:t>5 of 2008</w:t>
            </w:r>
          </w:p>
        </w:tc>
        <w:tc>
          <w:tcPr>
            <w:tcW w:w="1134" w:type="dxa"/>
          </w:tcPr>
          <w:p>
            <w:pPr>
              <w:pStyle w:val="nTable"/>
              <w:keepNext/>
              <w:keepLines/>
              <w:spacing w:after="40"/>
            </w:pPr>
            <w:r>
              <w:t>31 Mar 2008</w:t>
            </w:r>
          </w:p>
        </w:tc>
        <w:tc>
          <w:tcPr>
            <w:tcW w:w="2552" w:type="dxa"/>
          </w:tcPr>
          <w:p>
            <w:pPr>
              <w:pStyle w:val="nTable"/>
              <w:keepNext/>
              <w:keepLines/>
              <w:spacing w:after="40"/>
              <w:rPr>
                <w:snapToGrid w:val="0"/>
              </w:rPr>
            </w:pPr>
            <w:r>
              <w:rPr>
                <w:snapToGrid w:val="0"/>
              </w:rPr>
              <w:t xml:space="preserve">30 Sep 2008 (see s. 2(d) and </w:t>
            </w:r>
            <w:r>
              <w:rPr>
                <w:i/>
                <w:iCs/>
                <w:snapToGrid w:val="0"/>
              </w:rPr>
              <w:t xml:space="preserve">Gazette </w:t>
            </w:r>
            <w:r>
              <w:rPr>
                <w:snapToGrid w:val="0"/>
              </w:rPr>
              <w:t>11 Jul 2008 p. 3253)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Acts Amendment (Consent to Medical Treatment) Act 2008</w:t>
            </w:r>
            <w:r>
              <w:rPr>
                <w:iCs/>
                <w:snapToGrid w:val="0"/>
              </w:rPr>
              <w:t xml:space="preserve"> Pt. 4</w:t>
            </w:r>
          </w:p>
        </w:tc>
        <w:tc>
          <w:tcPr>
            <w:tcW w:w="1134" w:type="dxa"/>
          </w:tcPr>
          <w:p>
            <w:pPr>
              <w:pStyle w:val="nTable"/>
              <w:keepNext/>
              <w:keepLines/>
              <w:spacing w:after="40"/>
            </w:pPr>
            <w:r>
              <w:t>25 of 2008</w:t>
            </w:r>
          </w:p>
        </w:tc>
        <w:tc>
          <w:tcPr>
            <w:tcW w:w="1134" w:type="dxa"/>
          </w:tcPr>
          <w:p>
            <w:pPr>
              <w:pStyle w:val="nTable"/>
              <w:keepNext/>
              <w:keepLines/>
              <w:spacing w:after="40"/>
            </w:pPr>
            <w:r>
              <w:t>19 Jun 2008</w:t>
            </w:r>
          </w:p>
        </w:tc>
        <w:tc>
          <w:tcPr>
            <w:tcW w:w="2552" w:type="dxa"/>
          </w:tcPr>
          <w:p>
            <w:pPr>
              <w:pStyle w:val="nTable"/>
              <w:keepNext/>
              <w:keepLines/>
              <w:spacing w:after="40"/>
              <w:rPr>
                <w:snapToGrid w:val="0"/>
              </w:rPr>
            </w:pPr>
            <w:r>
              <w:t xml:space="preserve">27 Jun 2009 (see s. 2 and </w:t>
            </w:r>
            <w:r>
              <w:rPr>
                <w:i/>
                <w:iCs/>
              </w:rPr>
              <w:t>Gazette</w:t>
            </w:r>
            <w:r>
              <w:t xml:space="preserve"> 26 Jun 2009 p. 2565)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 xml:space="preserve">Criminal Law Amendment (Homicide) Act 2008 </w:t>
            </w:r>
            <w:r>
              <w:rPr>
                <w:iCs/>
                <w:snapToGrid w:val="0"/>
              </w:rPr>
              <w:t>Pt. 2 and s. 27</w:t>
            </w:r>
          </w:p>
        </w:tc>
        <w:tc>
          <w:tcPr>
            <w:tcW w:w="1134" w:type="dxa"/>
          </w:tcPr>
          <w:p>
            <w:pPr>
              <w:pStyle w:val="nTable"/>
              <w:keepNext/>
              <w:keepLines/>
              <w:spacing w:after="40"/>
              <w:rPr>
                <w:snapToGrid w:val="0"/>
              </w:rPr>
            </w:pPr>
            <w:r>
              <w:t>29 of 2008</w:t>
            </w:r>
          </w:p>
        </w:tc>
        <w:tc>
          <w:tcPr>
            <w:tcW w:w="1134" w:type="dxa"/>
          </w:tcPr>
          <w:p>
            <w:pPr>
              <w:pStyle w:val="nTable"/>
              <w:keepNext/>
              <w:keepLines/>
              <w:spacing w:after="40"/>
            </w:pPr>
            <w:r>
              <w:t>27 Jun 2008</w:t>
            </w:r>
          </w:p>
        </w:tc>
        <w:tc>
          <w:tcPr>
            <w:tcW w:w="2552" w:type="dxa"/>
          </w:tcPr>
          <w:p>
            <w:pPr>
              <w:pStyle w:val="nTable"/>
              <w:keepNext/>
              <w:keepLines/>
              <w:spacing w:after="40"/>
              <w:rPr>
                <w:snapToGrid w:val="0"/>
              </w:rPr>
            </w:pPr>
            <w:r>
              <w:rPr>
                <w:snapToGrid w:val="0"/>
              </w:rPr>
              <w:t xml:space="preserve">1 Aug 2008 (see s. 2(d) and </w:t>
            </w:r>
            <w:r>
              <w:rPr>
                <w:i/>
                <w:iCs/>
                <w:snapToGrid w:val="0"/>
              </w:rPr>
              <w:t>Gazette</w:t>
            </w:r>
            <w:r>
              <w:rPr>
                <w:snapToGrid w:val="0"/>
              </w:rPr>
              <w:t xml:space="preserve"> 22 Jul 2008 p. 3353)</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napToGrid w:val="0"/>
              </w:rPr>
            </w:pPr>
            <w:r>
              <w:rPr>
                <w:b/>
              </w:rPr>
              <w:t>Reprint 14</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3 Oct 2008 </w:t>
            </w:r>
            <w:r>
              <w:rPr>
                <w:b/>
              </w:rPr>
              <w:br/>
            </w:r>
            <w:r>
              <w:t xml:space="preserve">(includes amendments listed above except those in the </w:t>
            </w:r>
            <w:r>
              <w:rPr>
                <w:i/>
                <w:iCs/>
              </w:rPr>
              <w:t>Acts Amendment (Consent to Medical Treatment) Act 2008</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rPr>
            </w:pPr>
            <w:r>
              <w:rPr>
                <w:i/>
                <w:snapToGrid w:val="0"/>
              </w:rPr>
              <w:t>Acts Amendment (Bankruptcy) Act 2009</w:t>
            </w:r>
            <w:r>
              <w:rPr>
                <w:iCs/>
                <w:snapToGrid w:val="0"/>
              </w:rPr>
              <w:t xml:space="preserve"> s. 26</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Criminal Code Amendment Act 2009</w:t>
            </w:r>
          </w:p>
        </w:tc>
        <w:tc>
          <w:tcPr>
            <w:tcW w:w="1134" w:type="dxa"/>
          </w:tcPr>
          <w:p>
            <w:pPr>
              <w:pStyle w:val="nTable"/>
              <w:spacing w:after="40"/>
            </w:pPr>
            <w:r>
              <w:t>21 of 2009</w:t>
            </w:r>
          </w:p>
        </w:tc>
        <w:tc>
          <w:tcPr>
            <w:tcW w:w="1134" w:type="dxa"/>
          </w:tcPr>
          <w:p>
            <w:pPr>
              <w:pStyle w:val="nTable"/>
              <w:spacing w:after="40"/>
            </w:pPr>
            <w:r>
              <w:t>21 Sep 2009</w:t>
            </w:r>
          </w:p>
        </w:tc>
        <w:tc>
          <w:tcPr>
            <w:tcW w:w="2552" w:type="dxa"/>
          </w:tcPr>
          <w:p>
            <w:pPr>
              <w:pStyle w:val="nTable"/>
              <w:spacing w:after="40"/>
            </w:pPr>
            <w:r>
              <w:t>s. 1 and 2: 21 Sep 2009 (see s. 2(a));</w:t>
            </w:r>
            <w:r>
              <w:br/>
              <w:t>Act other than s. 1 and 2: 22 Sep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Criminal Code Amendment (Graffiti) Act 2009</w:t>
            </w:r>
          </w:p>
        </w:tc>
        <w:tc>
          <w:tcPr>
            <w:tcW w:w="1134" w:type="dxa"/>
          </w:tcPr>
          <w:p>
            <w:pPr>
              <w:pStyle w:val="nTable"/>
              <w:spacing w:after="40"/>
            </w:pPr>
            <w:r>
              <w:t>26 of 2009</w:t>
            </w:r>
          </w:p>
        </w:tc>
        <w:tc>
          <w:tcPr>
            <w:tcW w:w="1134" w:type="dxa"/>
          </w:tcPr>
          <w:p>
            <w:pPr>
              <w:pStyle w:val="nTable"/>
              <w:spacing w:after="40"/>
            </w:pPr>
            <w:r>
              <w:t>17 Nov 2009</w:t>
            </w:r>
          </w:p>
        </w:tc>
        <w:tc>
          <w:tcPr>
            <w:tcW w:w="2552" w:type="dxa"/>
          </w:tcPr>
          <w:p>
            <w:pPr>
              <w:pStyle w:val="nTable"/>
              <w:spacing w:after="40"/>
            </w:pPr>
            <w:r>
              <w:t>s. 1 and 2: 17 Nov 2009 (see s. 2(a));</w:t>
            </w:r>
            <w:r>
              <w:br/>
              <w:t xml:space="preserve">Act other than s. 1 and 2: 1 Jan 2010 (see s. 2(b) and </w:t>
            </w:r>
            <w:r>
              <w:rPr>
                <w:i/>
                <w:iCs/>
              </w:rPr>
              <w:t>Gazette</w:t>
            </w:r>
            <w:r>
              <w:t xml:space="preserve"> 31 Dec 2009 p. 5317)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rPr>
            </w:pPr>
            <w:r>
              <w:rPr>
                <w:i/>
                <w:snapToGrid w:val="0"/>
              </w:rPr>
              <w:t>Acts Amendment (Weapons) Act 2009</w:t>
            </w:r>
            <w:r>
              <w:rPr>
                <w:iCs/>
                <w:snapToGrid w:val="0"/>
              </w:rPr>
              <w:t xml:space="preserve"> Pt. 2</w:t>
            </w:r>
          </w:p>
        </w:tc>
        <w:tc>
          <w:tcPr>
            <w:tcW w:w="1134" w:type="dxa"/>
          </w:tcPr>
          <w:p>
            <w:pPr>
              <w:pStyle w:val="nTable"/>
              <w:spacing w:after="40"/>
            </w:pPr>
            <w:r>
              <w:t>34 of 2009</w:t>
            </w:r>
          </w:p>
        </w:tc>
        <w:tc>
          <w:tcPr>
            <w:tcW w:w="1134" w:type="dxa"/>
          </w:tcPr>
          <w:p>
            <w:pPr>
              <w:pStyle w:val="nTable"/>
              <w:spacing w:after="40"/>
            </w:pPr>
            <w:r>
              <w:t xml:space="preserve">3 Dec 2009 </w:t>
            </w:r>
          </w:p>
        </w:tc>
        <w:tc>
          <w:tcPr>
            <w:tcW w:w="2552" w:type="dxa"/>
          </w:tcPr>
          <w:p>
            <w:pPr>
              <w:pStyle w:val="nTable"/>
              <w:spacing w:after="40"/>
            </w:pPr>
            <w:r>
              <w:t>4 Dec 2009 (see s. 2(c))</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rPr>
            </w:pPr>
            <w:r>
              <w:rPr>
                <w:i/>
                <w:iCs/>
                <w:snapToGrid w:val="0"/>
              </w:rPr>
              <w:t>Police Amendment Act 2009</w:t>
            </w:r>
            <w:r>
              <w:rPr>
                <w:iCs/>
                <w:snapToGrid w:val="0"/>
              </w:rPr>
              <w:t xml:space="preserve"> s. 14</w:t>
            </w:r>
          </w:p>
        </w:tc>
        <w:tc>
          <w:tcPr>
            <w:tcW w:w="1134" w:type="dxa"/>
          </w:tcPr>
          <w:p>
            <w:pPr>
              <w:pStyle w:val="nTable"/>
              <w:spacing w:after="40"/>
            </w:pPr>
            <w:r>
              <w:rPr>
                <w:snapToGrid w:val="0"/>
              </w:rPr>
              <w:t>42 of 2009</w:t>
            </w:r>
          </w:p>
        </w:tc>
        <w:tc>
          <w:tcPr>
            <w:tcW w:w="1134" w:type="dxa"/>
          </w:tcPr>
          <w:p>
            <w:pPr>
              <w:pStyle w:val="nTable"/>
              <w:spacing w:after="40"/>
            </w:pPr>
            <w:r>
              <w:rPr>
                <w:snapToGrid w:val="0"/>
              </w:rPr>
              <w:t>3 Dec 2009</w:t>
            </w:r>
          </w:p>
        </w:tc>
        <w:tc>
          <w:tcPr>
            <w:tcW w:w="2552" w:type="dxa"/>
          </w:tcPr>
          <w:p>
            <w:pPr>
              <w:pStyle w:val="nTable"/>
              <w:spacing w:after="40"/>
            </w:pPr>
            <w:r>
              <w:rPr>
                <w:snapToGrid w:val="0"/>
              </w:rPr>
              <w:t xml:space="preserve">13 Mar 2010 (see s. 2(b) and </w:t>
            </w:r>
            <w:r>
              <w:rPr>
                <w:i/>
                <w:iCs/>
                <w:snapToGrid w:val="0"/>
              </w:rPr>
              <w:t>Gazette</w:t>
            </w:r>
            <w:r>
              <w:rPr>
                <w:snapToGrid w:val="0"/>
              </w:rPr>
              <w:t xml:space="preserve"> 12 Mar 2010 p. 941)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Arson Legislation Amendment Act 2009</w:t>
            </w:r>
            <w:r>
              <w:rPr>
                <w:iCs/>
                <w:snapToGrid w:val="0"/>
              </w:rPr>
              <w:t xml:space="preserve"> Pt. 3</w:t>
            </w:r>
          </w:p>
        </w:tc>
        <w:tc>
          <w:tcPr>
            <w:tcW w:w="1134" w:type="dxa"/>
          </w:tcPr>
          <w:p>
            <w:pPr>
              <w:pStyle w:val="nTable"/>
              <w:spacing w:after="40"/>
            </w:pPr>
            <w:r>
              <w:t>43 of 2009</w:t>
            </w:r>
          </w:p>
        </w:tc>
        <w:tc>
          <w:tcPr>
            <w:tcW w:w="1134" w:type="dxa"/>
          </w:tcPr>
          <w:p>
            <w:pPr>
              <w:pStyle w:val="nTable"/>
              <w:spacing w:after="40"/>
            </w:pPr>
            <w:r>
              <w:t>3 Dec 2009</w:t>
            </w:r>
          </w:p>
        </w:tc>
        <w:tc>
          <w:tcPr>
            <w:tcW w:w="2552" w:type="dxa"/>
          </w:tcPr>
          <w:p>
            <w:pPr>
              <w:pStyle w:val="nTable"/>
              <w:spacing w:after="40"/>
            </w:pPr>
            <w:r>
              <w:t xml:space="preserve">19 Dec 2009 (see s. 2(b) and </w:t>
            </w:r>
            <w:r>
              <w:rPr>
                <w:i/>
                <w:iCs/>
              </w:rPr>
              <w:t>Gazette</w:t>
            </w:r>
            <w:r>
              <w:t xml:space="preserve"> 18 Dec 2009 p. 5167)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Criminal Code Amendment Act (No. 2) 2009</w:t>
            </w:r>
          </w:p>
        </w:tc>
        <w:tc>
          <w:tcPr>
            <w:tcW w:w="1134" w:type="dxa"/>
          </w:tcPr>
          <w:p>
            <w:pPr>
              <w:pStyle w:val="nTable"/>
              <w:spacing w:after="40"/>
            </w:pPr>
            <w:r>
              <w:t>44 of 2009</w:t>
            </w:r>
          </w:p>
        </w:tc>
        <w:tc>
          <w:tcPr>
            <w:tcW w:w="1134" w:type="dxa"/>
          </w:tcPr>
          <w:p>
            <w:pPr>
              <w:pStyle w:val="nTable"/>
              <w:spacing w:after="40"/>
            </w:pPr>
            <w:r>
              <w:t>3 Dec 2009</w:t>
            </w:r>
          </w:p>
        </w:tc>
        <w:tc>
          <w:tcPr>
            <w:tcW w:w="2552" w:type="dxa"/>
          </w:tcPr>
          <w:p>
            <w:pPr>
              <w:pStyle w:val="nTable"/>
              <w:spacing w:after="40"/>
            </w:pPr>
            <w:r>
              <w:t>Pt. 1: 3 Dec 2009 (see s. 2(a));</w:t>
            </w:r>
            <w:r>
              <w:br/>
              <w:t>Act other than Pt. 1: 4 Dec 2009 (see s. 2(b))</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rPr>
              <w:lastRenderedPageBreak/>
              <w:t>Reprint 15</w:t>
            </w:r>
            <w:r>
              <w:rPr>
                <w:b/>
                <w:vertAlign w:val="superscript"/>
              </w:rPr>
              <w:t> </w:t>
            </w:r>
            <w:r>
              <w:rPr>
                <w:bCs/>
                <w:vertAlign w:val="superscript"/>
              </w:rPr>
              <w:t>22</w:t>
            </w:r>
            <w:r>
              <w:rPr>
                <w:b/>
              </w:rPr>
              <w:t xml:space="preserve">:  The </w:t>
            </w:r>
            <w:r>
              <w:rPr>
                <w:b/>
                <w:i/>
              </w:rPr>
              <w:t xml:space="preserve">Criminal Code Act Compilation Act 1913 </w:t>
            </w:r>
            <w:r>
              <w:rPr>
                <w:b/>
              </w:rPr>
              <w:t>as at 19 Feb 2010</w:t>
            </w:r>
            <w:r>
              <w:rPr>
                <w:b/>
              </w:rPr>
              <w:br/>
            </w:r>
            <w:r>
              <w:t xml:space="preserve">(includes amendments listed above except those in the </w:t>
            </w:r>
            <w:r>
              <w:rPr>
                <w:i/>
                <w:iCs/>
              </w:rPr>
              <w:t>Police Amendment Act 2009</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snapToGrid w:val="0"/>
              </w:rPr>
              <w:t>Criminal Code Amendment (Identity Crime) Act 2010</w:t>
            </w:r>
          </w:p>
        </w:tc>
        <w:tc>
          <w:tcPr>
            <w:tcW w:w="1134" w:type="dxa"/>
          </w:tcPr>
          <w:p>
            <w:pPr>
              <w:pStyle w:val="nTable"/>
              <w:spacing w:after="40"/>
              <w:rPr>
                <w:snapToGrid w:val="0"/>
              </w:rPr>
            </w:pPr>
            <w:r>
              <w:rPr>
                <w:snapToGrid w:val="0"/>
              </w:rPr>
              <w:t>16 of 2010</w:t>
            </w:r>
          </w:p>
        </w:tc>
        <w:tc>
          <w:tcPr>
            <w:tcW w:w="1134" w:type="dxa"/>
          </w:tcPr>
          <w:p>
            <w:pPr>
              <w:pStyle w:val="nTable"/>
              <w:spacing w:after="40"/>
              <w:rPr>
                <w:snapToGrid w:val="0"/>
              </w:rPr>
            </w:pPr>
            <w:r>
              <w:rPr>
                <w:snapToGrid w:val="0"/>
              </w:rPr>
              <w:t>25 Jun 2010</w:t>
            </w:r>
          </w:p>
        </w:tc>
        <w:tc>
          <w:tcPr>
            <w:tcW w:w="2552" w:type="dxa"/>
          </w:tcPr>
          <w:p>
            <w:pPr>
              <w:pStyle w:val="nTable"/>
              <w:spacing w:after="40"/>
              <w:rPr>
                <w:snapToGrid w:val="0"/>
              </w:rPr>
            </w:pPr>
            <w:r>
              <w:rPr>
                <w:snapToGrid w:val="0"/>
              </w:rPr>
              <w:t>s. 1 and 2: 25 Jun 2010 (see s. 2(a));</w:t>
            </w:r>
            <w:r>
              <w:rPr>
                <w:snapToGrid w:val="0"/>
              </w:rPr>
              <w:br/>
              <w:t xml:space="preserve">Act other than s. 1 and 2: 21 Apr 2012 (see s. 2(b) and </w:t>
            </w:r>
            <w:r>
              <w:rPr>
                <w:i/>
                <w:snapToGrid w:val="0"/>
              </w:rPr>
              <w:t>Gazette</w:t>
            </w:r>
            <w:r>
              <w:rPr>
                <w:snapToGrid w:val="0"/>
              </w:rPr>
              <w:t xml:space="preserve"> 20 Apr 2012 p. 1695)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iCs/>
              </w:rPr>
              <w:t xml:space="preserve">Child Pornography and Exploitation Material and Classification Legislation Amendment Act 2010 </w:t>
            </w:r>
            <w:r>
              <w:t>Pt. 2 Div. 1 </w:t>
            </w:r>
          </w:p>
        </w:tc>
        <w:tc>
          <w:tcPr>
            <w:tcW w:w="1134" w:type="dxa"/>
          </w:tcPr>
          <w:p>
            <w:pPr>
              <w:pStyle w:val="nTable"/>
              <w:spacing w:after="40"/>
              <w:rPr>
                <w:snapToGrid w:val="0"/>
              </w:rPr>
            </w:pPr>
            <w:r>
              <w:rPr>
                <w:snapToGrid w:val="0"/>
              </w:rPr>
              <w:t>21 of 2010</w:t>
            </w:r>
          </w:p>
        </w:tc>
        <w:tc>
          <w:tcPr>
            <w:tcW w:w="1134" w:type="dxa"/>
          </w:tcPr>
          <w:p>
            <w:pPr>
              <w:pStyle w:val="nTable"/>
              <w:spacing w:after="40"/>
              <w:rPr>
                <w:snapToGrid w:val="0"/>
              </w:rPr>
            </w:pPr>
            <w:r>
              <w:rPr>
                <w:snapToGrid w:val="0"/>
              </w:rPr>
              <w:t>7 Jul 2010</w:t>
            </w:r>
          </w:p>
        </w:tc>
        <w:tc>
          <w:tcPr>
            <w:tcW w:w="2552" w:type="dxa"/>
          </w:tcPr>
          <w:p>
            <w:pPr>
              <w:pStyle w:val="nTable"/>
              <w:spacing w:after="40"/>
              <w:rPr>
                <w:snapToGrid w:val="0"/>
              </w:rPr>
            </w:pPr>
            <w:r>
              <w:rPr>
                <w:snapToGrid w:val="0"/>
              </w:rPr>
              <w:t xml:space="preserve">28 Aug 2010 (see s. 2(b) and </w:t>
            </w:r>
            <w:r>
              <w:rPr>
                <w:i/>
                <w:iCs/>
                <w:snapToGrid w:val="0"/>
              </w:rPr>
              <w:t>Gazette</w:t>
            </w:r>
            <w:r>
              <w:rPr>
                <w:snapToGrid w:val="0"/>
              </w:rPr>
              <w:t xml:space="preserve"> 27 Aug 2010 p. 4105)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napToGrid w:val="0"/>
              </w:rPr>
            </w:pPr>
            <w:r>
              <w:rPr>
                <w:b/>
              </w:rPr>
              <w:t>Reprint 16</w:t>
            </w:r>
            <w:r>
              <w:rPr>
                <w:b/>
                <w:vertAlign w:val="superscript"/>
              </w:rPr>
              <w:t> </w:t>
            </w:r>
            <w:r>
              <w:rPr>
                <w:bCs/>
                <w:vertAlign w:val="superscript"/>
              </w:rPr>
              <w:t>22</w:t>
            </w:r>
            <w:r>
              <w:rPr>
                <w:b/>
              </w:rPr>
              <w:t xml:space="preserve">:  The </w:t>
            </w:r>
            <w:r>
              <w:rPr>
                <w:b/>
                <w:i/>
              </w:rPr>
              <w:t xml:space="preserve">Criminal Code Act Compilation Act 1913 </w:t>
            </w:r>
            <w:r>
              <w:rPr>
                <w:b/>
              </w:rPr>
              <w:t>as at 15 Oct 2010</w:t>
            </w:r>
            <w:r>
              <w:rPr>
                <w:b/>
              </w:rPr>
              <w:br/>
            </w:r>
            <w:r>
              <w:t xml:space="preserve">(includes amendments listed above except those in the </w:t>
            </w:r>
            <w:r>
              <w:rPr>
                <w:i/>
              </w:rPr>
              <w:t>Criminal Code Amendment (Identity Crime) Act 2010</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snapToGrid w:val="0"/>
              </w:rPr>
              <w:t>Criminal Code Amendment (Infringement Notices) Act 2011</w:t>
            </w:r>
          </w:p>
        </w:tc>
        <w:tc>
          <w:tcPr>
            <w:tcW w:w="1134" w:type="dxa"/>
          </w:tcPr>
          <w:p>
            <w:pPr>
              <w:pStyle w:val="nTable"/>
              <w:spacing w:after="40"/>
            </w:pPr>
            <w:r>
              <w:t>10 of 2011</w:t>
            </w:r>
          </w:p>
        </w:tc>
        <w:tc>
          <w:tcPr>
            <w:tcW w:w="1134" w:type="dxa"/>
          </w:tcPr>
          <w:p>
            <w:pPr>
              <w:pStyle w:val="nTable"/>
              <w:spacing w:after="40"/>
            </w:pPr>
            <w:r>
              <w:t>2 May 2011</w:t>
            </w:r>
          </w:p>
        </w:tc>
        <w:tc>
          <w:tcPr>
            <w:tcW w:w="2552" w:type="dxa"/>
          </w:tcPr>
          <w:p>
            <w:pPr>
              <w:pStyle w:val="nTable"/>
              <w:spacing w:after="40"/>
              <w:rPr>
                <w:snapToGrid w:val="0"/>
              </w:rPr>
            </w:pPr>
            <w:r>
              <w:rPr>
                <w:snapToGrid w:val="0"/>
              </w:rPr>
              <w:t>s. 1 and 2: 2 May 2011 (see s. 2(a));</w:t>
            </w:r>
            <w:r>
              <w:rPr>
                <w:snapToGrid w:val="0"/>
              </w:rPr>
              <w:br/>
              <w:t xml:space="preserve">Act other than s. 1 and 2: 4 Mar 2015 (see s. 2(b) and </w:t>
            </w:r>
            <w:r>
              <w:rPr>
                <w:i/>
                <w:iCs/>
                <w:snapToGrid w:val="0"/>
              </w:rPr>
              <w:t>Gazette</w:t>
            </w:r>
            <w:r>
              <w:rPr>
                <w:snapToGrid w:val="0"/>
              </w:rPr>
              <w:t xml:space="preserve"> 3 Mar 2015 p. 783)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 xml:space="preserve">Electronic Transactions Act 2011 </w:t>
            </w:r>
            <w:r>
              <w:rPr>
                <w:snapToGrid w:val="0"/>
              </w:rPr>
              <w:t>s. 25 and 26</w:t>
            </w:r>
          </w:p>
        </w:tc>
        <w:tc>
          <w:tcPr>
            <w:tcW w:w="1134" w:type="dxa"/>
          </w:tcPr>
          <w:p>
            <w:pPr>
              <w:pStyle w:val="nTable"/>
              <w:spacing w:after="40"/>
            </w:pPr>
            <w:r>
              <w:t>46 of 2011</w:t>
            </w:r>
          </w:p>
        </w:tc>
        <w:tc>
          <w:tcPr>
            <w:tcW w:w="1134" w:type="dxa"/>
          </w:tcPr>
          <w:p>
            <w:pPr>
              <w:pStyle w:val="nTable"/>
              <w:spacing w:after="40"/>
            </w:pPr>
            <w:r>
              <w:t>25 Oct 2011</w:t>
            </w:r>
          </w:p>
        </w:tc>
        <w:tc>
          <w:tcPr>
            <w:tcW w:w="2552" w:type="dxa"/>
          </w:tcPr>
          <w:p>
            <w:pPr>
              <w:pStyle w:val="nTable"/>
              <w:spacing w:after="40"/>
              <w:rPr>
                <w:snapToGrid w:val="0"/>
              </w:rPr>
            </w:pPr>
            <w:r>
              <w:rPr>
                <w:snapToGrid w:val="0"/>
              </w:rPr>
              <w:t xml:space="preserve">s. 25: 1 Aug 2012 (see s. 2(c) and </w:t>
            </w:r>
            <w:r>
              <w:rPr>
                <w:i/>
                <w:iCs/>
                <w:snapToGrid w:val="0"/>
              </w:rPr>
              <w:t>Gazette</w:t>
            </w:r>
            <w:r>
              <w:rPr>
                <w:snapToGrid w:val="0"/>
              </w:rPr>
              <w:t xml:space="preserve"> 31 Jul 2012 p. 3683);</w:t>
            </w:r>
            <w:r>
              <w:rPr>
                <w:snapToGrid w:val="0"/>
              </w:rPr>
              <w:br/>
              <w:t xml:space="preserve">s. 26: 1 Aug 2012 (see s. 2(b)(i) and </w:t>
            </w:r>
            <w:r>
              <w:rPr>
                <w:i/>
                <w:iCs/>
                <w:snapToGrid w:val="0"/>
              </w:rPr>
              <w:t>Gazette</w:t>
            </w:r>
            <w:r>
              <w:rPr>
                <w:snapToGrid w:val="0"/>
              </w:rPr>
              <w:t xml:space="preserve"> 31 Jul 2012 p. 3683)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iCs/>
                <w:snapToGrid w:val="0"/>
              </w:rPr>
            </w:pPr>
            <w:r>
              <w:rPr>
                <w:i/>
                <w:snapToGrid w:val="0"/>
              </w:rPr>
              <w:t>Manslaughter Legislation Amendment Act 2011</w:t>
            </w:r>
            <w:r>
              <w:rPr>
                <w:snapToGrid w:val="0"/>
              </w:rPr>
              <w:t xml:space="preserve"> Pt. 2</w:t>
            </w:r>
          </w:p>
        </w:tc>
        <w:tc>
          <w:tcPr>
            <w:tcW w:w="1134" w:type="dxa"/>
          </w:tcPr>
          <w:p>
            <w:pPr>
              <w:pStyle w:val="nTable"/>
              <w:spacing w:after="40"/>
              <w:rPr>
                <w:snapToGrid w:val="0"/>
              </w:rPr>
            </w:pPr>
            <w:r>
              <w:t>58 of 2011</w:t>
            </w:r>
          </w:p>
        </w:tc>
        <w:tc>
          <w:tcPr>
            <w:tcW w:w="1134" w:type="dxa"/>
          </w:tcPr>
          <w:p>
            <w:pPr>
              <w:pStyle w:val="nTable"/>
              <w:spacing w:after="40"/>
              <w:rPr>
                <w:snapToGrid w:val="0"/>
              </w:rPr>
            </w:pPr>
            <w:r>
              <w:t>30 Nov 2011</w:t>
            </w:r>
          </w:p>
        </w:tc>
        <w:tc>
          <w:tcPr>
            <w:tcW w:w="2552" w:type="dxa"/>
          </w:tcPr>
          <w:p>
            <w:pPr>
              <w:pStyle w:val="nTable"/>
              <w:spacing w:after="40"/>
              <w:rPr>
                <w:snapToGrid w:val="0"/>
              </w:rPr>
            </w:pPr>
            <w:r>
              <w:rPr>
                <w:snapToGrid w:val="0"/>
              </w:rPr>
              <w:t xml:space="preserve">17 Mar 2012 (see s. 2(b) and </w:t>
            </w:r>
            <w:r>
              <w:rPr>
                <w:i/>
                <w:iCs/>
                <w:snapToGrid w:val="0"/>
              </w:rPr>
              <w:t>Gazette</w:t>
            </w:r>
            <w:r>
              <w:rPr>
                <w:snapToGrid w:val="0"/>
              </w:rPr>
              <w:t xml:space="preserve"> 16 Mar 2012 p. 1245)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 xml:space="preserve">Road Traffic Legislation Amendment Act 2012 </w:t>
            </w:r>
            <w:r>
              <w:rPr>
                <w:snapToGrid w:val="0"/>
              </w:rPr>
              <w:t>Pt. 4 Div. 50</w:t>
            </w:r>
          </w:p>
        </w:tc>
        <w:tc>
          <w:tcPr>
            <w:tcW w:w="1134" w:type="dxa"/>
          </w:tcPr>
          <w:p>
            <w:pPr>
              <w:pStyle w:val="nTable"/>
              <w:spacing w:after="40"/>
            </w:pPr>
            <w:r>
              <w:rPr>
                <w:snapToGrid w:val="0"/>
              </w:rPr>
              <w:t>8 of 2012</w:t>
            </w:r>
          </w:p>
        </w:tc>
        <w:tc>
          <w:tcPr>
            <w:tcW w:w="1134" w:type="dxa"/>
          </w:tcPr>
          <w:p>
            <w:pPr>
              <w:pStyle w:val="nTable"/>
              <w:spacing w:after="40"/>
            </w:pPr>
            <w:r>
              <w:t>21 May 2012</w:t>
            </w:r>
          </w:p>
        </w:tc>
        <w:tc>
          <w:tcPr>
            <w:tcW w:w="2552" w:type="dxa"/>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Criminal Appeals Amendment (Double Jeopardy) Act 2012</w:t>
            </w:r>
            <w:r>
              <w:rPr>
                <w:snapToGrid w:val="0"/>
              </w:rPr>
              <w:t xml:space="preserve"> s. 6</w:t>
            </w:r>
          </w:p>
        </w:tc>
        <w:tc>
          <w:tcPr>
            <w:tcW w:w="1134" w:type="dxa"/>
          </w:tcPr>
          <w:p>
            <w:pPr>
              <w:pStyle w:val="nTable"/>
              <w:spacing w:after="40"/>
            </w:pPr>
            <w:r>
              <w:rPr>
                <w:snapToGrid w:val="0"/>
              </w:rPr>
              <w:t>9 of 2012</w:t>
            </w:r>
          </w:p>
        </w:tc>
        <w:tc>
          <w:tcPr>
            <w:tcW w:w="1134" w:type="dxa"/>
          </w:tcPr>
          <w:p>
            <w:pPr>
              <w:pStyle w:val="nTable"/>
              <w:spacing w:after="40"/>
            </w:pPr>
            <w:r>
              <w:t>21 May 2012</w:t>
            </w:r>
          </w:p>
        </w:tc>
        <w:tc>
          <w:tcPr>
            <w:tcW w:w="2552" w:type="dxa"/>
          </w:tcPr>
          <w:p>
            <w:pPr>
              <w:pStyle w:val="nTable"/>
              <w:spacing w:after="40"/>
              <w:rPr>
                <w:snapToGrid w:val="0"/>
              </w:rPr>
            </w:pPr>
            <w:r>
              <w:rPr>
                <w:snapToGrid w:val="0"/>
              </w:rPr>
              <w:t xml:space="preserve">26 Sep 2012 (see s. 2(b) and </w:t>
            </w:r>
            <w:r>
              <w:rPr>
                <w:i/>
                <w:snapToGrid w:val="0"/>
              </w:rPr>
              <w:t>Gazette</w:t>
            </w:r>
            <w:r>
              <w:rPr>
                <w:snapToGrid w:val="0"/>
              </w:rPr>
              <w:t xml:space="preserve"> 25 Sep 2012 p. 4499)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Education and Care Services National Law (WA) Act 2012</w:t>
            </w:r>
            <w:r>
              <w:rPr>
                <w:snapToGrid w:val="0"/>
              </w:rPr>
              <w:t xml:space="preserve"> Pt. 4 Div. 4</w:t>
            </w:r>
          </w:p>
        </w:tc>
        <w:tc>
          <w:tcPr>
            <w:tcW w:w="1134" w:type="dxa"/>
          </w:tcPr>
          <w:p>
            <w:pPr>
              <w:pStyle w:val="nTable"/>
              <w:spacing w:after="40"/>
            </w:pPr>
            <w:r>
              <w:rPr>
                <w:snapToGrid w:val="0"/>
              </w:rPr>
              <w:t>11 of 2012</w:t>
            </w:r>
          </w:p>
        </w:tc>
        <w:tc>
          <w:tcPr>
            <w:tcW w:w="1134" w:type="dxa"/>
          </w:tcPr>
          <w:p>
            <w:pPr>
              <w:pStyle w:val="nTable"/>
              <w:spacing w:after="40"/>
            </w:pPr>
            <w:r>
              <w:t>20 Jun 2012</w:t>
            </w:r>
          </w:p>
        </w:tc>
        <w:tc>
          <w:tcPr>
            <w:tcW w:w="2552" w:type="dxa"/>
          </w:tcPr>
          <w:p>
            <w:pPr>
              <w:pStyle w:val="nTable"/>
              <w:spacing w:after="40"/>
              <w:rPr>
                <w:snapToGrid w:val="0"/>
              </w:rPr>
            </w:pPr>
            <w:r>
              <w:rPr>
                <w:snapToGrid w:val="0"/>
              </w:rPr>
              <w:t xml:space="preserve">1 Aug 2012 (see s. 2(c) and </w:t>
            </w:r>
            <w:r>
              <w:rPr>
                <w:i/>
                <w:snapToGrid w:val="0"/>
              </w:rPr>
              <w:t>Gazette</w:t>
            </w:r>
            <w:r>
              <w:rPr>
                <w:snapToGrid w:val="0"/>
              </w:rPr>
              <w:t xml:space="preserve"> 25 Jul 2012 p. 3411)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Fire and Emergency Services Legislation Amendment Act 2012</w:t>
            </w:r>
            <w:r>
              <w:rPr>
                <w:snapToGrid w:val="0"/>
              </w:rPr>
              <w:t xml:space="preserve"> Pt. 7 Div. 3</w:t>
            </w:r>
          </w:p>
        </w:tc>
        <w:tc>
          <w:tcPr>
            <w:tcW w:w="1134" w:type="dxa"/>
          </w:tcPr>
          <w:p>
            <w:pPr>
              <w:pStyle w:val="nTable"/>
              <w:spacing w:after="40"/>
              <w:rPr>
                <w:snapToGrid w:val="0"/>
              </w:rPr>
            </w:pPr>
            <w:r>
              <w:rPr>
                <w:snapToGrid w:val="0"/>
              </w:rPr>
              <w:t>22 of 2012</w:t>
            </w:r>
          </w:p>
        </w:tc>
        <w:tc>
          <w:tcPr>
            <w:tcW w:w="1134" w:type="dxa"/>
          </w:tcPr>
          <w:p>
            <w:pPr>
              <w:pStyle w:val="nTable"/>
              <w:spacing w:after="40"/>
            </w:pPr>
            <w:r>
              <w:t>29 Aug 2012</w:t>
            </w:r>
          </w:p>
        </w:tc>
        <w:tc>
          <w:tcPr>
            <w:tcW w:w="2552"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lastRenderedPageBreak/>
              <w:t xml:space="preserve">Criminal Organisations Control Act 2012 </w:t>
            </w:r>
            <w:r>
              <w:rPr>
                <w:snapToGrid w:val="0"/>
              </w:rPr>
              <w:t>s. 173</w:t>
            </w:r>
          </w:p>
        </w:tc>
        <w:tc>
          <w:tcPr>
            <w:tcW w:w="1134" w:type="dxa"/>
            <w:shd w:val="clear" w:color="auto" w:fill="auto"/>
          </w:tcPr>
          <w:p>
            <w:pPr>
              <w:pStyle w:val="nTable"/>
              <w:spacing w:after="40"/>
              <w:rPr>
                <w:snapToGrid w:val="0"/>
              </w:rPr>
            </w:pPr>
            <w:r>
              <w:rPr>
                <w:snapToGrid w:val="0"/>
              </w:rPr>
              <w:t>49 of 2012</w:t>
            </w:r>
          </w:p>
        </w:tc>
        <w:tc>
          <w:tcPr>
            <w:tcW w:w="1134" w:type="dxa"/>
            <w:shd w:val="clear" w:color="auto" w:fill="auto"/>
          </w:tcPr>
          <w:p>
            <w:pPr>
              <w:pStyle w:val="nTable"/>
              <w:spacing w:after="40"/>
            </w:pPr>
            <w:r>
              <w:t>29 Nov 2012</w:t>
            </w:r>
          </w:p>
        </w:tc>
        <w:tc>
          <w:tcPr>
            <w:tcW w:w="2552" w:type="dxa"/>
            <w:shd w:val="clear" w:color="auto" w:fill="auto"/>
          </w:tcPr>
          <w:p>
            <w:pPr>
              <w:pStyle w:val="nTable"/>
              <w:spacing w:after="40"/>
              <w:rPr>
                <w:snapToGrid w:val="0"/>
                <w:spacing w:val="-2"/>
              </w:rPr>
            </w:pPr>
            <w:r>
              <w:rPr>
                <w:snapToGrid w:val="0"/>
              </w:rPr>
              <w:t xml:space="preserve">2 Nov 2013 (see s. 2(b) and </w:t>
            </w:r>
            <w:r>
              <w:rPr>
                <w:i/>
                <w:snapToGrid w:val="0"/>
              </w:rPr>
              <w:t>Gazette</w:t>
            </w:r>
            <w:r>
              <w:rPr>
                <w:snapToGrid w:val="0"/>
              </w:rPr>
              <w:t xml:space="preserve"> 1 Nov 2013 p. 4891)</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 xml:space="preserve">Criminal Law Amendment (Out-of-Control Gatherings) Act 2012 </w:t>
            </w:r>
            <w:r>
              <w:rPr>
                <w:snapToGrid w:val="0"/>
              </w:rPr>
              <w:t>Pt. 2</w:t>
            </w:r>
          </w:p>
        </w:tc>
        <w:tc>
          <w:tcPr>
            <w:tcW w:w="1134" w:type="dxa"/>
            <w:shd w:val="clear" w:color="auto" w:fill="auto"/>
          </w:tcPr>
          <w:p>
            <w:pPr>
              <w:pStyle w:val="nTable"/>
              <w:spacing w:after="40"/>
              <w:rPr>
                <w:snapToGrid w:val="0"/>
              </w:rPr>
            </w:pPr>
            <w:r>
              <w:rPr>
                <w:snapToGrid w:val="0"/>
              </w:rPr>
              <w:t>56 of 2012</w:t>
            </w:r>
          </w:p>
        </w:tc>
        <w:tc>
          <w:tcPr>
            <w:tcW w:w="1134" w:type="dxa"/>
            <w:shd w:val="clear" w:color="auto" w:fill="auto"/>
          </w:tcPr>
          <w:p>
            <w:pPr>
              <w:pStyle w:val="nTable"/>
              <w:spacing w:after="40"/>
            </w:pPr>
            <w:r>
              <w:t>6 Dec 2012</w:t>
            </w:r>
          </w:p>
        </w:tc>
        <w:tc>
          <w:tcPr>
            <w:tcW w:w="2552" w:type="dxa"/>
            <w:shd w:val="clear" w:color="auto" w:fill="auto"/>
          </w:tcPr>
          <w:p>
            <w:pPr>
              <w:pStyle w:val="nTable"/>
              <w:spacing w:after="40"/>
              <w:rPr>
                <w:snapToGrid w:val="0"/>
              </w:rPr>
            </w:pPr>
            <w:r>
              <w:rPr>
                <w:snapToGrid w:val="0"/>
              </w:rPr>
              <w:t xml:space="preserve">15 Dec 2012 (see s. 2(b) and </w:t>
            </w:r>
            <w:r>
              <w:rPr>
                <w:i/>
                <w:snapToGrid w:val="0"/>
              </w:rPr>
              <w:t>Gazette</w:t>
            </w:r>
            <w:r>
              <w:rPr>
                <w:snapToGrid w:val="0"/>
              </w:rPr>
              <w:t xml:space="preserve"> 14 Dec 2012 p. 6196)</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spacing w:after="40"/>
              <w:rPr>
                <w:snapToGrid w:val="0"/>
              </w:rPr>
            </w:pPr>
            <w:r>
              <w:rPr>
                <w:b/>
              </w:rPr>
              <w:t>Reprint 17</w:t>
            </w:r>
            <w:r>
              <w:rPr>
                <w:b/>
                <w:vertAlign w:val="superscript"/>
              </w:rPr>
              <w:t> </w:t>
            </w:r>
            <w:r>
              <w:rPr>
                <w:bCs/>
                <w:vertAlign w:val="superscript"/>
              </w:rPr>
              <w:t>22</w:t>
            </w:r>
            <w:r>
              <w:rPr>
                <w:b/>
              </w:rPr>
              <w:t xml:space="preserve">:  The </w:t>
            </w:r>
            <w:r>
              <w:rPr>
                <w:b/>
                <w:i/>
              </w:rPr>
              <w:t xml:space="preserve">Criminal Code Act Compilation Act 1913 </w:t>
            </w:r>
            <w:r>
              <w:rPr>
                <w:b/>
              </w:rPr>
              <w:t>as at 1 Mar 2013</w:t>
            </w:r>
            <w:r>
              <w:rPr>
                <w:b/>
              </w:rPr>
              <w:br/>
            </w:r>
            <w:r>
              <w:t xml:space="preserve">(includes amendments listed above except those in the </w:t>
            </w:r>
            <w:r>
              <w:rPr>
                <w:i/>
              </w:rPr>
              <w:t>Criminal Organisations Control Act 2012,</w:t>
            </w:r>
            <w:r>
              <w:t xml:space="preserve"> </w:t>
            </w:r>
            <w:r>
              <w:rPr>
                <w:i/>
              </w:rPr>
              <w:t xml:space="preserve">Criminal Code Amendment (Infringement Notices) Act 2011 </w:t>
            </w:r>
            <w:r>
              <w:t>and the</w:t>
            </w:r>
            <w:r>
              <w:rPr>
                <w:i/>
              </w:rPr>
              <w:t xml:space="preserve"> </w:t>
            </w:r>
            <w:r>
              <w:rPr>
                <w:i/>
                <w:snapToGrid w:val="0"/>
              </w:rPr>
              <w:t xml:space="preserve">Road Traffic Legislation Amendment Act 2012 </w:t>
            </w:r>
            <w:r>
              <w:rPr>
                <w:snapToGrid w:val="0"/>
              </w:rPr>
              <w:t>Pt. 4</w:t>
            </w:r>
            <w:r>
              <w:rPr>
                <w:i/>
                <w:snapToGrid w:val="0"/>
              </w:rPr>
              <w:t xml:space="preserve"> </w:t>
            </w:r>
            <w:r>
              <w:rPr>
                <w:snapToGrid w:val="0"/>
              </w:rPr>
              <w:t>Div. 50</w:t>
            </w:r>
            <w:r>
              <w:t>)</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Criminal Code Amendment Act 2013</w:t>
            </w:r>
          </w:p>
        </w:tc>
        <w:tc>
          <w:tcPr>
            <w:tcW w:w="1134" w:type="dxa"/>
            <w:shd w:val="clear" w:color="auto" w:fill="auto"/>
          </w:tcPr>
          <w:p>
            <w:pPr>
              <w:pStyle w:val="nTable"/>
              <w:spacing w:after="40"/>
              <w:rPr>
                <w:snapToGrid w:val="0"/>
              </w:rPr>
            </w:pPr>
            <w:r>
              <w:rPr>
                <w:snapToGrid w:val="0"/>
              </w:rPr>
              <w:t>12 of 2013</w:t>
            </w:r>
          </w:p>
        </w:tc>
        <w:tc>
          <w:tcPr>
            <w:tcW w:w="1134" w:type="dxa"/>
            <w:shd w:val="clear" w:color="auto" w:fill="auto"/>
          </w:tcPr>
          <w:p>
            <w:pPr>
              <w:pStyle w:val="nTable"/>
              <w:spacing w:after="40"/>
            </w:pPr>
            <w:r>
              <w:t>4 Oct 2013</w:t>
            </w:r>
          </w:p>
        </w:tc>
        <w:tc>
          <w:tcPr>
            <w:tcW w:w="2552" w:type="dxa"/>
            <w:shd w:val="clear" w:color="auto" w:fill="auto"/>
          </w:tcPr>
          <w:p>
            <w:pPr>
              <w:pStyle w:val="nTable"/>
              <w:spacing w:after="40"/>
              <w:rPr>
                <w:snapToGrid w:val="0"/>
              </w:rPr>
            </w:pPr>
            <w:r>
              <w:rPr>
                <w:snapToGrid w:val="0"/>
                <w:spacing w:val="-2"/>
              </w:rPr>
              <w:t>s. 1 and 2: 4 Oct 2013 (see s. 2(a));</w:t>
            </w:r>
            <w:r>
              <w:rPr>
                <w:snapToGrid w:val="0"/>
                <w:spacing w:val="-2"/>
              </w:rPr>
              <w:br/>
              <w:t>Act other than s. 1 and 2: 5 Oct 2013 (see s. 2(b))</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Criminal Code Amendment (Child Sex Offences) Act 2014</w:t>
            </w:r>
          </w:p>
        </w:tc>
        <w:tc>
          <w:tcPr>
            <w:tcW w:w="1134" w:type="dxa"/>
            <w:shd w:val="clear" w:color="auto" w:fill="auto"/>
          </w:tcPr>
          <w:p>
            <w:pPr>
              <w:pStyle w:val="nTable"/>
              <w:spacing w:after="40"/>
              <w:rPr>
                <w:snapToGrid w:val="0"/>
              </w:rPr>
            </w:pPr>
            <w:r>
              <w:rPr>
                <w:snapToGrid w:val="0"/>
              </w:rPr>
              <w:t>5 of 2014</w:t>
            </w:r>
          </w:p>
        </w:tc>
        <w:tc>
          <w:tcPr>
            <w:tcW w:w="1134" w:type="dxa"/>
            <w:shd w:val="clear" w:color="auto" w:fill="auto"/>
          </w:tcPr>
          <w:p>
            <w:pPr>
              <w:pStyle w:val="nTable"/>
              <w:spacing w:after="40"/>
            </w:pPr>
            <w:r>
              <w:t>22 Apr 2014</w:t>
            </w:r>
          </w:p>
        </w:tc>
        <w:tc>
          <w:tcPr>
            <w:tcW w:w="2552" w:type="dxa"/>
            <w:shd w:val="clear" w:color="auto" w:fill="auto"/>
          </w:tcPr>
          <w:p>
            <w:pPr>
              <w:pStyle w:val="nTable"/>
              <w:spacing w:after="40"/>
              <w:rPr>
                <w:snapToGrid w:val="0"/>
                <w:spacing w:val="-2"/>
              </w:rPr>
            </w:pPr>
            <w:r>
              <w:rPr>
                <w:snapToGrid w:val="0"/>
                <w:spacing w:val="-2"/>
              </w:rPr>
              <w:t>s. 1 and 2: 22 Apr 2014 (see s. 2(a));</w:t>
            </w:r>
            <w:r>
              <w:rPr>
                <w:snapToGrid w:val="0"/>
                <w:spacing w:val="-2"/>
              </w:rPr>
              <w:br/>
              <w:t>Act other than s. 1 and 2: 23 Apr 2014 (see s. 2(b))</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Criminal Code Amendment (Unlawful Possession) Act 2014</w:t>
            </w:r>
            <w:r>
              <w:rPr>
                <w:snapToGrid w:val="0"/>
              </w:rPr>
              <w:t xml:space="preserve"> Pt. 2</w:t>
            </w:r>
          </w:p>
        </w:tc>
        <w:tc>
          <w:tcPr>
            <w:tcW w:w="1134" w:type="dxa"/>
            <w:shd w:val="clear" w:color="auto" w:fill="auto"/>
          </w:tcPr>
          <w:p>
            <w:pPr>
              <w:pStyle w:val="nTable"/>
              <w:spacing w:after="40"/>
              <w:rPr>
                <w:snapToGrid w:val="0"/>
              </w:rPr>
            </w:pPr>
            <w:r>
              <w:rPr>
                <w:snapToGrid w:val="0"/>
              </w:rPr>
              <w:t>11 of 2014</w:t>
            </w:r>
          </w:p>
        </w:tc>
        <w:tc>
          <w:tcPr>
            <w:tcW w:w="1134" w:type="dxa"/>
            <w:shd w:val="clear" w:color="auto" w:fill="auto"/>
          </w:tcPr>
          <w:p>
            <w:pPr>
              <w:pStyle w:val="nTable"/>
              <w:spacing w:after="40"/>
            </w:pPr>
            <w:r>
              <w:t>24 Jun 2014</w:t>
            </w:r>
          </w:p>
        </w:tc>
        <w:tc>
          <w:tcPr>
            <w:tcW w:w="2552" w:type="dxa"/>
            <w:shd w:val="clear" w:color="auto" w:fill="auto"/>
          </w:tcPr>
          <w:p>
            <w:pPr>
              <w:pStyle w:val="nTable"/>
              <w:spacing w:after="40"/>
              <w:rPr>
                <w:snapToGrid w:val="0"/>
                <w:spacing w:val="-2"/>
              </w:rPr>
            </w:pPr>
            <w:r>
              <w:rPr>
                <w:snapToGrid w:val="0"/>
                <w:spacing w:val="-2"/>
              </w:rPr>
              <w:t xml:space="preserve">13 Aug 2014 (see s. 2(b) and </w:t>
            </w:r>
            <w:r>
              <w:rPr>
                <w:i/>
                <w:snapToGrid w:val="0"/>
                <w:spacing w:val="-2"/>
              </w:rPr>
              <w:t>Gazette</w:t>
            </w:r>
            <w:r>
              <w:rPr>
                <w:snapToGrid w:val="0"/>
                <w:spacing w:val="-2"/>
              </w:rPr>
              <w:t xml:space="preserve"> 12 Aug 2014 p. 2889)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vertAlign w:val="superscript"/>
              </w:rPr>
            </w:pPr>
            <w:r>
              <w:rPr>
                <w:i/>
              </w:rPr>
              <w:t>Mental Health Legislation Amendment Act 2014</w:t>
            </w:r>
            <w:r>
              <w:t xml:space="preserve"> Pt. 4 Div. 4 Subdiv. 7</w:t>
            </w:r>
          </w:p>
        </w:tc>
        <w:tc>
          <w:tcPr>
            <w:tcW w:w="1134" w:type="dxa"/>
          </w:tcPr>
          <w:p>
            <w:pPr>
              <w:pStyle w:val="nTable"/>
              <w:spacing w:after="40"/>
              <w:rPr>
                <w:snapToGrid w:val="0"/>
              </w:rPr>
            </w:pPr>
            <w:r>
              <w:rPr>
                <w:snapToGrid w:val="0"/>
              </w:rPr>
              <w:t>25 of 2014</w:t>
            </w:r>
          </w:p>
        </w:tc>
        <w:tc>
          <w:tcPr>
            <w:tcW w:w="1134" w:type="dxa"/>
          </w:tcPr>
          <w:p>
            <w:pPr>
              <w:pStyle w:val="nTable"/>
              <w:spacing w:after="40"/>
              <w:rPr>
                <w:snapToGrid w:val="0"/>
              </w:rPr>
            </w:pPr>
            <w:r>
              <w:t>3 Nov 2014</w:t>
            </w:r>
          </w:p>
        </w:tc>
        <w:tc>
          <w:tcPr>
            <w:tcW w:w="2552" w:type="dxa"/>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rPr>
              <w:t>Criminal Law Amendment (Home Burglary and Other Offences) Act 2015</w:t>
            </w:r>
            <w:r>
              <w:t xml:space="preserve"> Pt. 2</w:t>
            </w:r>
          </w:p>
        </w:tc>
        <w:tc>
          <w:tcPr>
            <w:tcW w:w="1134" w:type="dxa"/>
            <w:shd w:val="clear" w:color="auto" w:fill="auto"/>
          </w:tcPr>
          <w:p>
            <w:pPr>
              <w:pStyle w:val="nTable"/>
              <w:spacing w:after="40"/>
              <w:rPr>
                <w:snapToGrid w:val="0"/>
              </w:rPr>
            </w:pPr>
            <w:r>
              <w:rPr>
                <w:snapToGrid w:val="0"/>
              </w:rPr>
              <w:t>25 of 2015</w:t>
            </w:r>
          </w:p>
        </w:tc>
        <w:tc>
          <w:tcPr>
            <w:tcW w:w="1134" w:type="dxa"/>
            <w:shd w:val="clear" w:color="auto" w:fill="auto"/>
          </w:tcPr>
          <w:p>
            <w:pPr>
              <w:pStyle w:val="nTable"/>
              <w:spacing w:after="40"/>
            </w:pPr>
            <w:r>
              <w:t>24 Sep 2015</w:t>
            </w:r>
          </w:p>
        </w:tc>
        <w:tc>
          <w:tcPr>
            <w:tcW w:w="2552" w:type="dxa"/>
            <w:shd w:val="clear" w:color="auto" w:fill="auto"/>
          </w:tcPr>
          <w:p>
            <w:pPr>
              <w:pStyle w:val="nTable"/>
              <w:spacing w:after="40"/>
              <w:rPr>
                <w:snapToGrid w:val="0"/>
                <w:spacing w:val="-2"/>
              </w:rPr>
            </w:pPr>
            <w:r>
              <w:rPr>
                <w:snapToGrid w:val="0"/>
                <w:spacing w:val="-2"/>
              </w:rPr>
              <w:t xml:space="preserve">31 Oct 2015 (see s. 2(b) and </w:t>
            </w:r>
            <w:r>
              <w:rPr>
                <w:i/>
                <w:snapToGrid w:val="0"/>
                <w:spacing w:val="-2"/>
              </w:rPr>
              <w:t>Gazette</w:t>
            </w:r>
            <w:r>
              <w:rPr>
                <w:snapToGrid w:val="0"/>
                <w:spacing w:val="-2"/>
              </w:rPr>
              <w:t xml:space="preserve"> 30 Oct 2015 p. 4493)</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spacing w:after="40"/>
              <w:rPr>
                <w:snapToGrid w:val="0"/>
                <w:spacing w:val="-2"/>
              </w:rPr>
            </w:pPr>
            <w:r>
              <w:rPr>
                <w:b/>
                <w:snapToGrid w:val="0"/>
                <w:spacing w:val="-2"/>
              </w:rPr>
              <w:t>Reprint 18</w:t>
            </w:r>
            <w:r>
              <w:rPr>
                <w:b/>
                <w:vertAlign w:val="superscript"/>
              </w:rPr>
              <w:t> </w:t>
            </w:r>
            <w:r>
              <w:rPr>
                <w:bCs/>
                <w:vertAlign w:val="superscript"/>
              </w:rPr>
              <w:t>22</w:t>
            </w:r>
            <w:r>
              <w:rPr>
                <w:b/>
                <w:snapToGrid w:val="0"/>
                <w:spacing w:val="-2"/>
              </w:rPr>
              <w:t xml:space="preserve">: The </w:t>
            </w:r>
            <w:r>
              <w:rPr>
                <w:b/>
                <w:i/>
              </w:rPr>
              <w:t xml:space="preserve">Criminal Code Act Compilation Act 1913 </w:t>
            </w:r>
            <w:r>
              <w:rPr>
                <w:b/>
                <w:snapToGrid w:val="0"/>
                <w:spacing w:val="-2"/>
              </w:rPr>
              <w:t>as at 3 Jun 2016</w:t>
            </w:r>
            <w:r>
              <w:rPr>
                <w:snapToGrid w:val="0"/>
                <w:spacing w:val="-2"/>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 xml:space="preserve">Graffiti Vandalism Act 2016 </w:t>
            </w:r>
            <w:r>
              <w:rPr>
                <w:snapToGrid w:val="0"/>
              </w:rPr>
              <w:t>Pt. 6 Div. 1</w:t>
            </w:r>
          </w:p>
        </w:tc>
        <w:tc>
          <w:tcPr>
            <w:tcW w:w="1134" w:type="dxa"/>
            <w:shd w:val="clear" w:color="auto" w:fill="auto"/>
          </w:tcPr>
          <w:p>
            <w:pPr>
              <w:pStyle w:val="nTable"/>
              <w:spacing w:after="40"/>
              <w:rPr>
                <w:snapToGrid w:val="0"/>
              </w:rPr>
            </w:pPr>
            <w:r>
              <w:t>16 of 2016</w:t>
            </w:r>
          </w:p>
        </w:tc>
        <w:tc>
          <w:tcPr>
            <w:tcW w:w="1134" w:type="dxa"/>
            <w:shd w:val="clear" w:color="auto" w:fill="auto"/>
          </w:tcPr>
          <w:p>
            <w:pPr>
              <w:pStyle w:val="nTable"/>
              <w:spacing w:after="40"/>
            </w:pPr>
            <w:r>
              <w:t>11 Jul 2016</w:t>
            </w:r>
          </w:p>
        </w:tc>
        <w:tc>
          <w:tcPr>
            <w:tcW w:w="2552" w:type="dxa"/>
            <w:shd w:val="clear" w:color="auto" w:fill="auto"/>
          </w:tcPr>
          <w:p>
            <w:pPr>
              <w:pStyle w:val="nTable"/>
              <w:spacing w:after="40"/>
              <w:rPr>
                <w:snapToGrid w:val="0"/>
                <w:spacing w:val="-2"/>
              </w:rPr>
            </w:pPr>
            <w:r>
              <w:rPr>
                <w:snapToGrid w:val="0"/>
                <w:spacing w:val="-2"/>
              </w:rPr>
              <w:t xml:space="preserve">12 Oct 2016 (see s. 2(b) and </w:t>
            </w:r>
            <w:r>
              <w:rPr>
                <w:i/>
                <w:snapToGrid w:val="0"/>
                <w:spacing w:val="-2"/>
              </w:rPr>
              <w:t>Gazette</w:t>
            </w:r>
            <w:r>
              <w:rPr>
                <w:snapToGrid w:val="0"/>
                <w:spacing w:val="-2"/>
              </w:rPr>
              <w:t xml:space="preserve"> 11 Oct 2016 p. 4531)</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rPr>
              <w:t>Public Health (Consequential Provisions) Act 2016</w:t>
            </w:r>
            <w:r>
              <w:t xml:space="preserve"> Pt. 3 Div. 10</w:t>
            </w:r>
          </w:p>
        </w:tc>
        <w:tc>
          <w:tcPr>
            <w:tcW w:w="1134" w:type="dxa"/>
            <w:shd w:val="clear" w:color="auto" w:fill="auto"/>
          </w:tcPr>
          <w:p>
            <w:pPr>
              <w:pStyle w:val="nTable"/>
              <w:spacing w:after="40"/>
            </w:pPr>
            <w:r>
              <w:t>19 of 2016</w:t>
            </w:r>
          </w:p>
        </w:tc>
        <w:tc>
          <w:tcPr>
            <w:tcW w:w="1134" w:type="dxa"/>
            <w:shd w:val="clear" w:color="auto" w:fill="auto"/>
          </w:tcPr>
          <w:p>
            <w:pPr>
              <w:pStyle w:val="nTable"/>
              <w:spacing w:after="40"/>
            </w:pPr>
            <w:r>
              <w:t>25 Jul 2016</w:t>
            </w:r>
          </w:p>
        </w:tc>
        <w:tc>
          <w:tcPr>
            <w:tcW w:w="2552" w:type="dxa"/>
            <w:shd w:val="clear" w:color="auto" w:fill="auto"/>
          </w:tcPr>
          <w:p>
            <w:pPr>
              <w:pStyle w:val="nTable"/>
              <w:spacing w:after="40"/>
              <w:rPr>
                <w:snapToGrid w:val="0"/>
                <w:spacing w:val="-2"/>
              </w:rPr>
            </w:pPr>
            <w:r>
              <w:rPr>
                <w:snapToGrid w:val="0"/>
              </w:rPr>
              <w:t xml:space="preserve">24 Jan 2017 (see s. 2(1)(c) and </w:t>
            </w:r>
            <w:r>
              <w:rPr>
                <w:i/>
                <w:snapToGrid w:val="0"/>
              </w:rPr>
              <w:t>Gazette</w:t>
            </w:r>
            <w:r>
              <w:rPr>
                <w:snapToGrid w:val="0"/>
              </w:rPr>
              <w:t xml:space="preserve"> 10 Jan 2017 p. 165)</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snapToGrid w:val="0"/>
              </w:rPr>
            </w:pPr>
            <w:r>
              <w:rPr>
                <w:i/>
                <w:snapToGrid w:val="0"/>
              </w:rPr>
              <w:t xml:space="preserve">Road Traffic Amendment (Impounding and Confiscation of Vehicles) Act 2016 </w:t>
            </w:r>
            <w:r>
              <w:rPr>
                <w:snapToGrid w:val="0"/>
              </w:rPr>
              <w:t>Pt. 3 Div. 1</w:t>
            </w:r>
          </w:p>
        </w:tc>
        <w:tc>
          <w:tcPr>
            <w:tcW w:w="1134" w:type="dxa"/>
            <w:shd w:val="clear" w:color="auto" w:fill="auto"/>
          </w:tcPr>
          <w:p>
            <w:pPr>
              <w:pStyle w:val="nTable"/>
              <w:spacing w:after="40"/>
            </w:pPr>
            <w:r>
              <w:t>51 of 2016</w:t>
            </w:r>
          </w:p>
        </w:tc>
        <w:tc>
          <w:tcPr>
            <w:tcW w:w="1134" w:type="dxa"/>
            <w:shd w:val="clear" w:color="auto" w:fill="auto"/>
          </w:tcPr>
          <w:p>
            <w:pPr>
              <w:pStyle w:val="nTable"/>
              <w:spacing w:after="40"/>
            </w:pPr>
            <w:r>
              <w:t>28 Nov 2016</w:t>
            </w:r>
          </w:p>
        </w:tc>
        <w:tc>
          <w:tcPr>
            <w:tcW w:w="2552" w:type="dxa"/>
            <w:shd w:val="clear" w:color="auto" w:fill="auto"/>
          </w:tcPr>
          <w:p>
            <w:pPr>
              <w:pStyle w:val="nTable"/>
              <w:spacing w:after="40"/>
              <w:rPr>
                <w:snapToGrid w:val="0"/>
                <w:spacing w:val="-2"/>
              </w:rPr>
            </w:pPr>
            <w:r>
              <w:rPr>
                <w:snapToGrid w:val="0"/>
                <w:spacing w:val="-2"/>
              </w:rPr>
              <w:t xml:space="preserve">14 Jan 2017 (see s. 2(1)(b) and </w:t>
            </w:r>
            <w:r>
              <w:rPr>
                <w:i/>
                <w:snapToGrid w:val="0"/>
                <w:spacing w:val="-2"/>
              </w:rPr>
              <w:t>Gazette</w:t>
            </w:r>
            <w:r>
              <w:rPr>
                <w:snapToGrid w:val="0"/>
                <w:spacing w:val="-2"/>
              </w:rPr>
              <w:t xml:space="preserve"> 13 Jan 2017 p. 338)</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snapToGrid w:val="0"/>
              </w:rPr>
            </w:pPr>
            <w:r>
              <w:rPr>
                <w:i/>
              </w:rPr>
              <w:lastRenderedPageBreak/>
              <w:t xml:space="preserve">Restraining Orders and Related Legislation Amendment (Family Violence) Act 2016 </w:t>
            </w:r>
            <w:r>
              <w:t>Pt. 3 Div. 4 (s. 97-100)</w:t>
            </w:r>
          </w:p>
        </w:tc>
        <w:tc>
          <w:tcPr>
            <w:tcW w:w="1134" w:type="dxa"/>
            <w:shd w:val="clear" w:color="auto" w:fill="auto"/>
          </w:tcPr>
          <w:p>
            <w:pPr>
              <w:pStyle w:val="nTable"/>
              <w:spacing w:after="40"/>
            </w:pPr>
            <w:r>
              <w:t>49 of 2016</w:t>
            </w:r>
          </w:p>
        </w:tc>
        <w:tc>
          <w:tcPr>
            <w:tcW w:w="1134" w:type="dxa"/>
            <w:shd w:val="clear" w:color="auto" w:fill="auto"/>
          </w:tcPr>
          <w:p>
            <w:pPr>
              <w:pStyle w:val="nTable"/>
              <w:spacing w:after="40"/>
            </w:pPr>
            <w:r>
              <w:t>29 Nov 2016</w:t>
            </w:r>
          </w:p>
        </w:tc>
        <w:tc>
          <w:tcPr>
            <w:tcW w:w="2552" w:type="dxa"/>
            <w:shd w:val="clear" w:color="auto" w:fill="auto"/>
          </w:tcPr>
          <w:p>
            <w:pPr>
              <w:pStyle w:val="nTable"/>
              <w:spacing w:after="40"/>
              <w:rPr>
                <w:snapToGrid w:val="0"/>
                <w:spacing w:val="-2"/>
              </w:rPr>
            </w:pPr>
            <w:r>
              <w:rPr>
                <w:snapToGrid w:val="0"/>
                <w:spacing w:val="-2"/>
              </w:rPr>
              <w:t xml:space="preserve">s. 97, 98 and 100: 8 Feb 2017 (see s. 2(b) and </w:t>
            </w:r>
            <w:r>
              <w:rPr>
                <w:i/>
                <w:snapToGrid w:val="0"/>
                <w:spacing w:val="-2"/>
              </w:rPr>
              <w:t>Gazette</w:t>
            </w:r>
            <w:r>
              <w:rPr>
                <w:snapToGrid w:val="0"/>
                <w:spacing w:val="-2"/>
              </w:rPr>
              <w:t xml:space="preserve"> 7 Feb 2017 p. 1157);</w:t>
            </w:r>
            <w:r>
              <w:rPr>
                <w:snapToGrid w:val="0"/>
                <w:spacing w:val="-2"/>
              </w:rPr>
              <w:br/>
            </w:r>
            <w:r>
              <w:t xml:space="preserve">s. 99: </w:t>
            </w:r>
            <w:r>
              <w:rPr>
                <w:snapToGrid w:val="0"/>
              </w:rPr>
              <w:t>1 Jul 2017 (see s. 2(b)</w:t>
            </w:r>
            <w:r>
              <w:rPr>
                <w:snapToGrid w:val="0"/>
                <w:spacing w:val="-2"/>
              </w:rPr>
              <w:t xml:space="preserve"> and </w:t>
            </w:r>
            <w:r>
              <w:rPr>
                <w:i/>
                <w:snapToGrid w:val="0"/>
                <w:spacing w:val="-2"/>
              </w:rPr>
              <w:t>Gazette</w:t>
            </w:r>
            <w:r>
              <w:rPr>
                <w:snapToGrid w:val="0"/>
                <w:spacing w:val="-2"/>
              </w:rPr>
              <w:t xml:space="preserve"> 7 Feb 2017 p. 1157</w:t>
            </w:r>
            <w:r>
              <w:rPr>
                <w:snapToGrid w:val="0"/>
              </w:rPr>
              <w:t>)</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snapToGrid w:val="0"/>
              </w:rPr>
            </w:pPr>
            <w:r>
              <w:rPr>
                <w:i/>
                <w:snapToGrid w:val="0"/>
              </w:rPr>
              <w:t>Sentencing Legislation Amendment Act 2016</w:t>
            </w:r>
            <w:r>
              <w:rPr>
                <w:snapToGrid w:val="0"/>
              </w:rPr>
              <w:t xml:space="preserve"> Pt. 2 Div. 2</w:t>
            </w:r>
          </w:p>
        </w:tc>
        <w:tc>
          <w:tcPr>
            <w:tcW w:w="1134" w:type="dxa"/>
            <w:shd w:val="clear" w:color="auto" w:fill="auto"/>
          </w:tcPr>
          <w:p>
            <w:pPr>
              <w:pStyle w:val="nTable"/>
              <w:spacing w:after="40"/>
            </w:pPr>
            <w:r>
              <w:t>45 of 2016</w:t>
            </w:r>
          </w:p>
        </w:tc>
        <w:tc>
          <w:tcPr>
            <w:tcW w:w="1134" w:type="dxa"/>
            <w:shd w:val="clear" w:color="auto" w:fill="auto"/>
          </w:tcPr>
          <w:p>
            <w:pPr>
              <w:pStyle w:val="nTable"/>
              <w:spacing w:after="40"/>
            </w:pPr>
            <w:r>
              <w:t>7 Dec 2016</w:t>
            </w:r>
          </w:p>
        </w:tc>
        <w:tc>
          <w:tcPr>
            <w:tcW w:w="2552" w:type="dxa"/>
            <w:shd w:val="clear" w:color="auto" w:fill="auto"/>
          </w:tcPr>
          <w:p>
            <w:pPr>
              <w:pStyle w:val="nTable"/>
              <w:spacing w:after="40"/>
              <w:rPr>
                <w:snapToGrid w:val="0"/>
                <w:spacing w:val="-2"/>
              </w:rPr>
            </w:pPr>
            <w:r>
              <w:rPr>
                <w:snapToGrid w:val="0"/>
                <w:spacing w:val="-2"/>
              </w:rPr>
              <w:t>8 Dec 2016 (see s. 2(b))</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spacing w:after="40"/>
              <w:rPr>
                <w:snapToGrid w:val="0"/>
                <w:spacing w:val="-2"/>
              </w:rPr>
            </w:pPr>
            <w:r>
              <w:rPr>
                <w:b/>
                <w:snapToGrid w:val="0"/>
                <w:spacing w:val="-2"/>
              </w:rPr>
              <w:t>Reprint 19</w:t>
            </w:r>
            <w:r>
              <w:rPr>
                <w:b/>
                <w:vertAlign w:val="superscript"/>
              </w:rPr>
              <w:t> </w:t>
            </w:r>
            <w:r>
              <w:rPr>
                <w:bCs/>
                <w:vertAlign w:val="superscript"/>
              </w:rPr>
              <w:t>22</w:t>
            </w:r>
            <w:r>
              <w:rPr>
                <w:b/>
                <w:snapToGrid w:val="0"/>
                <w:spacing w:val="-2"/>
              </w:rPr>
              <w:t xml:space="preserve">: The </w:t>
            </w:r>
            <w:r>
              <w:rPr>
                <w:b/>
                <w:i/>
                <w:noProof/>
                <w:snapToGrid w:val="0"/>
                <w:spacing w:val="-2"/>
              </w:rPr>
              <w:t>Criminal Code</w:t>
            </w:r>
            <w:r>
              <w:rPr>
                <w:b/>
                <w:snapToGrid w:val="0"/>
                <w:spacing w:val="-2"/>
              </w:rPr>
              <w:t xml:space="preserve"> </w:t>
            </w:r>
            <w:r>
              <w:rPr>
                <w:b/>
                <w:i/>
                <w:snapToGrid w:val="0"/>
                <w:spacing w:val="-2"/>
              </w:rPr>
              <w:t>Act Compilation Act 1913</w:t>
            </w:r>
            <w:r>
              <w:rPr>
                <w:b/>
                <w:snapToGrid w:val="0"/>
                <w:spacing w:val="-2"/>
              </w:rPr>
              <w:t xml:space="preserve"> as at 22 Sep 2017</w:t>
            </w:r>
            <w:r>
              <w:rPr>
                <w:snapToGrid w:val="0"/>
                <w:spacing w:val="-2"/>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snapToGrid w:val="0"/>
              </w:rPr>
            </w:pPr>
            <w:r>
              <w:rPr>
                <w:i/>
                <w:snapToGrid w:val="0"/>
              </w:rPr>
              <w:t xml:space="preserve">Transport (Road Passenger Services) Act 2018 </w:t>
            </w:r>
            <w:r>
              <w:rPr>
                <w:snapToGrid w:val="0"/>
              </w:rPr>
              <w:t>Pt. 14 Div. 2 Subdiv. 2</w:t>
            </w:r>
          </w:p>
        </w:tc>
        <w:tc>
          <w:tcPr>
            <w:tcW w:w="1134" w:type="dxa"/>
            <w:shd w:val="clear" w:color="auto" w:fill="auto"/>
          </w:tcPr>
          <w:p>
            <w:pPr>
              <w:pStyle w:val="nTable"/>
              <w:spacing w:after="40"/>
            </w:pPr>
            <w:r>
              <w:t>26 of 2018</w:t>
            </w:r>
          </w:p>
        </w:tc>
        <w:tc>
          <w:tcPr>
            <w:tcW w:w="1134" w:type="dxa"/>
            <w:shd w:val="clear" w:color="auto" w:fill="auto"/>
          </w:tcPr>
          <w:p>
            <w:pPr>
              <w:pStyle w:val="nTable"/>
              <w:spacing w:after="40"/>
            </w:pPr>
            <w:r>
              <w:t>30 Oct 2018</w:t>
            </w:r>
          </w:p>
        </w:tc>
        <w:tc>
          <w:tcPr>
            <w:tcW w:w="2552" w:type="dxa"/>
            <w:shd w:val="clear" w:color="auto" w:fill="auto"/>
          </w:tcPr>
          <w:p>
            <w:pPr>
              <w:pStyle w:val="nTable"/>
              <w:spacing w:after="40"/>
              <w:rPr>
                <w:snapToGrid w:val="0"/>
                <w:spacing w:val="-2"/>
              </w:rPr>
            </w:pPr>
            <w:r>
              <w:rPr>
                <w:snapToGrid w:val="0"/>
                <w:spacing w:val="-2"/>
              </w:rPr>
              <w:t xml:space="preserve">2 Jul 2019 (see s. 2(b) and </w:t>
            </w:r>
            <w:r>
              <w:rPr>
                <w:i/>
                <w:snapToGrid w:val="0"/>
                <w:spacing w:val="-2"/>
              </w:rPr>
              <w:t>Gazette</w:t>
            </w:r>
            <w:r>
              <w:rPr>
                <w:snapToGrid w:val="0"/>
                <w:spacing w:val="-2"/>
              </w:rPr>
              <w:t xml:space="preserve"> 28 Jun 2019 p. 2473)</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snapToGrid w:val="0"/>
              </w:rPr>
            </w:pPr>
            <w:r>
              <w:rPr>
                <w:i/>
                <w:snapToGrid w:val="0"/>
              </w:rPr>
              <w:t xml:space="preserve">Court Jurisdiction Legislation Amendment Act 2018 </w:t>
            </w:r>
            <w:r>
              <w:rPr>
                <w:snapToGrid w:val="0"/>
              </w:rPr>
              <w:t>Pt. 3</w:t>
            </w:r>
          </w:p>
        </w:tc>
        <w:tc>
          <w:tcPr>
            <w:tcW w:w="1134" w:type="dxa"/>
            <w:shd w:val="clear" w:color="auto" w:fill="auto"/>
          </w:tcPr>
          <w:p>
            <w:pPr>
              <w:pStyle w:val="nTable"/>
              <w:spacing w:after="40"/>
            </w:pPr>
            <w:r>
              <w:t>28 of 2018</w:t>
            </w:r>
          </w:p>
        </w:tc>
        <w:tc>
          <w:tcPr>
            <w:tcW w:w="1134" w:type="dxa"/>
            <w:shd w:val="clear" w:color="auto" w:fill="auto"/>
          </w:tcPr>
          <w:p>
            <w:pPr>
              <w:pStyle w:val="nTable"/>
              <w:spacing w:after="40"/>
            </w:pPr>
            <w:r>
              <w:t>2 Nov 2018</w:t>
            </w:r>
          </w:p>
        </w:tc>
        <w:tc>
          <w:tcPr>
            <w:tcW w:w="2552" w:type="dxa"/>
            <w:shd w:val="clear" w:color="auto" w:fill="auto"/>
          </w:tcPr>
          <w:p>
            <w:pPr>
              <w:pStyle w:val="nTable"/>
              <w:spacing w:after="40"/>
              <w:rPr>
                <w:snapToGrid w:val="0"/>
                <w:spacing w:val="-2"/>
              </w:rPr>
            </w:pPr>
            <w:r>
              <w:rPr>
                <w:snapToGrid w:val="0"/>
                <w:spacing w:val="-2"/>
              </w:rPr>
              <w:t xml:space="preserve">1 Jan 2019 (see s. 2(b) and </w:t>
            </w:r>
            <w:r>
              <w:rPr>
                <w:i/>
                <w:snapToGrid w:val="0"/>
                <w:spacing w:val="-2"/>
              </w:rPr>
              <w:t>Gazette</w:t>
            </w:r>
            <w:r>
              <w:rPr>
                <w:snapToGrid w:val="0"/>
                <w:spacing w:val="-2"/>
              </w:rPr>
              <w:t xml:space="preserve"> 21 Dec 2018 p. 4845)</w:t>
            </w:r>
          </w:p>
        </w:tc>
      </w:tr>
      <w:tr>
        <w:trPr>
          <w:cantSplit/>
        </w:trPr>
        <w:tc>
          <w:tcPr>
            <w:tcW w:w="2268" w:type="dxa"/>
            <w:tcBorders>
              <w:top w:val="nil"/>
              <w:bottom w:val="nil"/>
            </w:tcBorders>
            <w:shd w:val="clear" w:color="auto" w:fill="auto"/>
          </w:tcPr>
          <w:p>
            <w:pPr>
              <w:pStyle w:val="nTable"/>
              <w:spacing w:after="40"/>
              <w:rPr>
                <w:i/>
                <w:snapToGrid w:val="0"/>
              </w:rPr>
            </w:pPr>
            <w:r>
              <w:rPr>
                <w:i/>
              </w:rPr>
              <w:t>Criminal Law Amendment (Intimate Images) Act 2019</w:t>
            </w:r>
            <w:r>
              <w:rPr>
                <w:snapToGrid w:val="0"/>
                <w:vertAlign w:val="superscript"/>
              </w:rPr>
              <w:t xml:space="preserve"> </w:t>
            </w:r>
            <w:r>
              <w:rPr>
                <w:snapToGrid w:val="0"/>
              </w:rPr>
              <w:t>Pt. 2</w:t>
            </w:r>
          </w:p>
        </w:tc>
        <w:tc>
          <w:tcPr>
            <w:tcW w:w="1134" w:type="dxa"/>
            <w:tcBorders>
              <w:top w:val="nil"/>
              <w:bottom w:val="nil"/>
            </w:tcBorders>
            <w:shd w:val="clear" w:color="auto" w:fill="auto"/>
          </w:tcPr>
          <w:p>
            <w:pPr>
              <w:pStyle w:val="nTable"/>
              <w:spacing w:after="40"/>
            </w:pPr>
            <w:r>
              <w:t>4 of 2019</w:t>
            </w:r>
          </w:p>
        </w:tc>
        <w:tc>
          <w:tcPr>
            <w:tcW w:w="1134" w:type="dxa"/>
            <w:tcBorders>
              <w:top w:val="nil"/>
              <w:bottom w:val="nil"/>
            </w:tcBorders>
            <w:shd w:val="clear" w:color="auto" w:fill="auto"/>
          </w:tcPr>
          <w:p>
            <w:pPr>
              <w:pStyle w:val="nTable"/>
              <w:spacing w:after="40"/>
            </w:pPr>
            <w:r>
              <w:t>26 Feb 2019</w:t>
            </w:r>
          </w:p>
        </w:tc>
        <w:tc>
          <w:tcPr>
            <w:tcW w:w="2552" w:type="dxa"/>
            <w:tcBorders>
              <w:top w:val="nil"/>
              <w:bottom w:val="nil"/>
            </w:tcBorders>
            <w:shd w:val="clear" w:color="auto" w:fill="auto"/>
          </w:tcPr>
          <w:p>
            <w:pPr>
              <w:pStyle w:val="nTable"/>
              <w:spacing w:after="40"/>
              <w:rPr>
                <w:snapToGrid w:val="0"/>
                <w:spacing w:val="-2"/>
              </w:rPr>
            </w:pPr>
            <w:r>
              <w:t xml:space="preserve">15 Apr 2019 (see s. 2(b) and </w:t>
            </w:r>
            <w:r>
              <w:rPr>
                <w:i/>
              </w:rPr>
              <w:t>Gazette</w:t>
            </w:r>
            <w:r>
              <w:t xml:space="preserve"> 9 Apr 2019 p. 1041)</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
              </w:rPr>
            </w:pPr>
            <w:r>
              <w:rPr>
                <w:i/>
              </w:rPr>
              <w:t>Criminal Code Amendment (Child Marriage) Act 2020</w:t>
            </w:r>
          </w:p>
        </w:tc>
        <w:tc>
          <w:tcPr>
            <w:tcW w:w="1134" w:type="dxa"/>
            <w:shd w:val="clear" w:color="auto" w:fill="auto"/>
          </w:tcPr>
          <w:p>
            <w:pPr>
              <w:pStyle w:val="nTable"/>
              <w:spacing w:after="40"/>
            </w:pPr>
            <w:r>
              <w:t>2 of 2020</w:t>
            </w:r>
          </w:p>
        </w:tc>
        <w:tc>
          <w:tcPr>
            <w:tcW w:w="1134" w:type="dxa"/>
            <w:shd w:val="clear" w:color="auto" w:fill="auto"/>
          </w:tcPr>
          <w:p>
            <w:pPr>
              <w:pStyle w:val="nTable"/>
              <w:spacing w:after="40"/>
            </w:pPr>
            <w:r>
              <w:t>27 Feb 2020</w:t>
            </w:r>
          </w:p>
        </w:tc>
        <w:tc>
          <w:tcPr>
            <w:tcW w:w="2552" w:type="dxa"/>
            <w:shd w:val="clear" w:color="auto" w:fill="auto"/>
          </w:tcPr>
          <w:p>
            <w:pPr>
              <w:pStyle w:val="nTable"/>
              <w:spacing w:after="40"/>
            </w:pPr>
            <w:r>
              <w:t>s. 1 and 2: 27 Feb 2020 (see s. 2(a));</w:t>
            </w:r>
            <w:r>
              <w:br/>
              <w:t>Act other than s.1 and 2: 28 Feb 2020 (see s. 2(b))</w:t>
            </w:r>
          </w:p>
        </w:tc>
      </w:tr>
      <w:tr>
        <w:tblPrEx>
          <w:tblBorders>
            <w:top w:val="none" w:sz="0" w:space="0" w:color="auto"/>
            <w:bottom w:val="none" w:sz="0" w:space="0" w:color="auto"/>
            <w:insideH w:val="none" w:sz="0" w:space="0" w:color="auto"/>
          </w:tblBorders>
        </w:tblPrEx>
        <w:trPr>
          <w:cantSplit/>
          <w:trHeight w:val="473"/>
        </w:trPr>
        <w:tc>
          <w:tcPr>
            <w:tcW w:w="2268" w:type="dxa"/>
            <w:shd w:val="clear" w:color="auto" w:fill="auto"/>
          </w:tcPr>
          <w:p>
            <w:pPr>
              <w:pStyle w:val="nTable"/>
              <w:spacing w:after="40"/>
              <w:rPr>
                <w:i/>
              </w:rPr>
            </w:pPr>
            <w:r>
              <w:rPr>
                <w:i/>
              </w:rPr>
              <w:t>Criminal Code Amendment (COVID</w:t>
            </w:r>
            <w:r>
              <w:rPr>
                <w:i/>
              </w:rPr>
              <w:noBreakHyphen/>
              <w:t xml:space="preserve">19 Response) Act 2020 </w:t>
            </w:r>
          </w:p>
        </w:tc>
        <w:tc>
          <w:tcPr>
            <w:tcW w:w="1134" w:type="dxa"/>
            <w:shd w:val="clear" w:color="auto" w:fill="auto"/>
          </w:tcPr>
          <w:p>
            <w:pPr>
              <w:pStyle w:val="nTable"/>
              <w:spacing w:after="40"/>
            </w:pPr>
            <w:r>
              <w:t>8 of 2020</w:t>
            </w:r>
          </w:p>
        </w:tc>
        <w:tc>
          <w:tcPr>
            <w:tcW w:w="1134" w:type="dxa"/>
            <w:shd w:val="clear" w:color="auto" w:fill="auto"/>
          </w:tcPr>
          <w:p>
            <w:pPr>
              <w:pStyle w:val="nTable"/>
              <w:spacing w:after="40"/>
            </w:pPr>
            <w:r>
              <w:t>3 Apr 2020</w:t>
            </w:r>
          </w:p>
        </w:tc>
        <w:tc>
          <w:tcPr>
            <w:tcW w:w="2552" w:type="dxa"/>
            <w:shd w:val="clear" w:color="auto" w:fill="auto"/>
          </w:tcPr>
          <w:p>
            <w:pPr>
              <w:pStyle w:val="nTable"/>
              <w:spacing w:after="40"/>
            </w:pPr>
            <w:r>
              <w:t>s. 1 and 2: 3 Apr 2020 (see s. 2(a));</w:t>
            </w:r>
            <w:r>
              <w:br/>
              <w:t>Act other than s. 1, 2, 4(2) and 5(3): 4 Apr 2020 (see s. 2(c))</w:t>
            </w:r>
          </w:p>
        </w:tc>
      </w:tr>
      <w:tr>
        <w:trPr>
          <w:cantSplit/>
          <w:trHeight w:val="473"/>
        </w:trPr>
        <w:tc>
          <w:tcPr>
            <w:tcW w:w="2268" w:type="dxa"/>
            <w:tcBorders>
              <w:top w:val="nil"/>
              <w:bottom w:val="nil"/>
              <w:right w:val="nil"/>
            </w:tcBorders>
            <w:shd w:val="clear" w:color="auto" w:fill="auto"/>
          </w:tcPr>
          <w:p>
            <w:pPr>
              <w:pStyle w:val="nTable"/>
              <w:spacing w:after="40"/>
              <w:rPr>
                <w:i/>
              </w:rPr>
            </w:pPr>
            <w:r>
              <w:rPr>
                <w:i/>
              </w:rPr>
              <w:t>Family Violence Legislation Reform Act 2020</w:t>
            </w:r>
            <w:r>
              <w:t xml:space="preserve"> Pt. 2</w:t>
            </w:r>
          </w:p>
        </w:tc>
        <w:tc>
          <w:tcPr>
            <w:tcW w:w="1134" w:type="dxa"/>
            <w:tcBorders>
              <w:top w:val="nil"/>
              <w:left w:val="nil"/>
              <w:bottom w:val="nil"/>
              <w:right w:val="nil"/>
            </w:tcBorders>
            <w:shd w:val="clear" w:color="auto" w:fill="auto"/>
          </w:tcPr>
          <w:p>
            <w:pPr>
              <w:pStyle w:val="nTable"/>
              <w:spacing w:after="40"/>
            </w:pPr>
            <w:r>
              <w:t>30 of 2020</w:t>
            </w:r>
          </w:p>
        </w:tc>
        <w:tc>
          <w:tcPr>
            <w:tcW w:w="1134" w:type="dxa"/>
            <w:tcBorders>
              <w:top w:val="nil"/>
              <w:left w:val="nil"/>
              <w:bottom w:val="nil"/>
              <w:right w:val="nil"/>
            </w:tcBorders>
            <w:shd w:val="clear" w:color="auto" w:fill="auto"/>
          </w:tcPr>
          <w:p>
            <w:pPr>
              <w:pStyle w:val="nTable"/>
              <w:spacing w:after="40"/>
            </w:pPr>
            <w:r>
              <w:t>9 Jul 2020</w:t>
            </w:r>
          </w:p>
        </w:tc>
        <w:tc>
          <w:tcPr>
            <w:tcW w:w="2552" w:type="dxa"/>
            <w:tcBorders>
              <w:top w:val="nil"/>
              <w:left w:val="nil"/>
              <w:bottom w:val="nil"/>
            </w:tcBorders>
            <w:shd w:val="clear" w:color="auto" w:fill="auto"/>
          </w:tcPr>
          <w:p>
            <w:pPr>
              <w:pStyle w:val="nTable"/>
              <w:spacing w:after="40"/>
            </w:pPr>
            <w:r>
              <w:t>s. 12: 10 Jul 2020 (see s. 2(1)(b));</w:t>
            </w:r>
            <w:r>
              <w:br/>
              <w:t>s. 3, 4 and 7-11: 6 Aug 2020 (see s. 2(1)(c) and SL 2020/125 cl. 2(a)(i));</w:t>
            </w:r>
            <w:r>
              <w:br/>
              <w:t>s. 5 and 6: 1 Oct 2020 (see s. 2(1)(c) and SL 2020/125 cl. 2(b)(i))</w:t>
            </w:r>
          </w:p>
        </w:tc>
      </w:tr>
      <w:tr>
        <w:trPr>
          <w:cantSplit/>
          <w:trHeight w:val="473"/>
        </w:trPr>
        <w:tc>
          <w:tcPr>
            <w:tcW w:w="2268" w:type="dxa"/>
            <w:tcBorders>
              <w:top w:val="nil"/>
              <w:bottom w:val="nil"/>
              <w:right w:val="nil"/>
            </w:tcBorders>
            <w:shd w:val="clear" w:color="auto" w:fill="auto"/>
          </w:tcPr>
          <w:p>
            <w:pPr>
              <w:pStyle w:val="nTable"/>
              <w:spacing w:after="40"/>
            </w:pPr>
            <w:r>
              <w:rPr>
                <w:i/>
              </w:rPr>
              <w:t>COVID</w:t>
            </w:r>
            <w:r>
              <w:rPr>
                <w:i/>
              </w:rPr>
              <w:noBreakHyphen/>
              <w:t>19 Response Legislation Amendment (Extension of Expiring Provisions) Act 2020</w:t>
            </w:r>
            <w:r>
              <w:t xml:space="preserve"> Pt. 2</w:t>
            </w:r>
          </w:p>
        </w:tc>
        <w:tc>
          <w:tcPr>
            <w:tcW w:w="1134" w:type="dxa"/>
            <w:tcBorders>
              <w:top w:val="nil"/>
              <w:left w:val="nil"/>
              <w:bottom w:val="nil"/>
              <w:right w:val="nil"/>
            </w:tcBorders>
            <w:shd w:val="clear" w:color="auto" w:fill="auto"/>
          </w:tcPr>
          <w:p>
            <w:pPr>
              <w:pStyle w:val="nTable"/>
              <w:spacing w:after="40"/>
            </w:pPr>
            <w:r>
              <w:t>39 of 2020</w:t>
            </w:r>
          </w:p>
        </w:tc>
        <w:tc>
          <w:tcPr>
            <w:tcW w:w="1134" w:type="dxa"/>
            <w:tcBorders>
              <w:top w:val="nil"/>
              <w:left w:val="nil"/>
              <w:bottom w:val="nil"/>
              <w:right w:val="nil"/>
            </w:tcBorders>
            <w:shd w:val="clear" w:color="auto" w:fill="auto"/>
          </w:tcPr>
          <w:p>
            <w:pPr>
              <w:pStyle w:val="nTable"/>
              <w:spacing w:after="40"/>
            </w:pPr>
            <w:r>
              <w:t>19 Nov 2020</w:t>
            </w:r>
          </w:p>
        </w:tc>
        <w:tc>
          <w:tcPr>
            <w:tcW w:w="2552" w:type="dxa"/>
            <w:tcBorders>
              <w:top w:val="nil"/>
              <w:left w:val="nil"/>
              <w:bottom w:val="nil"/>
            </w:tcBorders>
            <w:shd w:val="clear" w:color="auto" w:fill="auto"/>
          </w:tcPr>
          <w:p>
            <w:pPr>
              <w:pStyle w:val="nTable"/>
              <w:spacing w:after="40"/>
            </w:pPr>
            <w:r>
              <w:t>20 Nov 2020 (see s. 2(b))</w:t>
            </w:r>
          </w:p>
        </w:tc>
      </w:tr>
      <w:tr>
        <w:tblPrEx>
          <w:tblBorders>
            <w:top w:val="none" w:sz="0" w:space="0" w:color="auto"/>
            <w:bottom w:val="none" w:sz="0" w:space="0" w:color="auto"/>
            <w:insideH w:val="none" w:sz="0" w:space="0" w:color="auto"/>
          </w:tblBorders>
        </w:tblPrEx>
        <w:trPr>
          <w:cantSplit/>
          <w:trHeight w:val="473"/>
        </w:trPr>
        <w:tc>
          <w:tcPr>
            <w:tcW w:w="2268" w:type="dxa"/>
            <w:shd w:val="clear" w:color="auto" w:fill="auto"/>
          </w:tcPr>
          <w:p>
            <w:pPr>
              <w:pStyle w:val="nTable"/>
              <w:spacing w:after="40"/>
            </w:pPr>
            <w:r>
              <w:rPr>
                <w:i/>
              </w:rPr>
              <w:lastRenderedPageBreak/>
              <w:t>Criminal Law Amendment (Uncertain Dates) Act 2020</w:t>
            </w:r>
            <w:r>
              <w:t xml:space="preserve"> Pt. 2</w:t>
            </w:r>
          </w:p>
        </w:tc>
        <w:tc>
          <w:tcPr>
            <w:tcW w:w="1134" w:type="dxa"/>
            <w:shd w:val="clear" w:color="auto" w:fill="auto"/>
          </w:tcPr>
          <w:p>
            <w:pPr>
              <w:pStyle w:val="nTable"/>
              <w:spacing w:after="40"/>
            </w:pPr>
            <w:r>
              <w:t>47 of 2020</w:t>
            </w:r>
          </w:p>
        </w:tc>
        <w:tc>
          <w:tcPr>
            <w:tcW w:w="1134" w:type="dxa"/>
            <w:shd w:val="clear" w:color="auto" w:fill="auto"/>
          </w:tcPr>
          <w:p>
            <w:pPr>
              <w:pStyle w:val="nTable"/>
              <w:spacing w:after="40"/>
            </w:pPr>
            <w:r>
              <w:t>9 Dec 2020</w:t>
            </w:r>
          </w:p>
        </w:tc>
        <w:tc>
          <w:tcPr>
            <w:tcW w:w="2552" w:type="dxa"/>
            <w:shd w:val="clear" w:color="auto" w:fill="auto"/>
          </w:tcPr>
          <w:p>
            <w:pPr>
              <w:pStyle w:val="nTable"/>
              <w:spacing w:after="40"/>
            </w:pPr>
            <w:r>
              <w:t>10 Dec 2020 (see s. 2(b))</w:t>
            </w:r>
          </w:p>
        </w:tc>
      </w:tr>
      <w:tr>
        <w:trPr>
          <w:cantSplit/>
          <w:trHeight w:val="473"/>
        </w:trPr>
        <w:tc>
          <w:tcPr>
            <w:tcW w:w="2268" w:type="dxa"/>
            <w:tcBorders>
              <w:top w:val="nil"/>
              <w:bottom w:val="nil"/>
            </w:tcBorders>
            <w:shd w:val="clear" w:color="auto" w:fill="auto"/>
          </w:tcPr>
          <w:p>
            <w:pPr>
              <w:pStyle w:val="nTable"/>
              <w:spacing w:after="40"/>
            </w:pPr>
            <w:r>
              <w:rPr>
                <w:i/>
              </w:rPr>
              <w:t>COVID</w:t>
            </w:r>
            <w:r>
              <w:rPr>
                <w:i/>
              </w:rPr>
              <w:noBreakHyphen/>
              <w:t>19 Response Legislation Amendment (Extension of Expiring Provisions) Act 2021</w:t>
            </w:r>
            <w:r>
              <w:t xml:space="preserve"> Pt. 2</w:t>
            </w:r>
          </w:p>
        </w:tc>
        <w:tc>
          <w:tcPr>
            <w:tcW w:w="1134" w:type="dxa"/>
            <w:tcBorders>
              <w:top w:val="nil"/>
              <w:bottom w:val="nil"/>
            </w:tcBorders>
            <w:shd w:val="clear" w:color="auto" w:fill="auto"/>
          </w:tcPr>
          <w:p>
            <w:pPr>
              <w:pStyle w:val="nTable"/>
              <w:spacing w:after="40"/>
            </w:pPr>
            <w:r>
              <w:t>1 of 2021</w:t>
            </w:r>
          </w:p>
        </w:tc>
        <w:tc>
          <w:tcPr>
            <w:tcW w:w="1134" w:type="dxa"/>
            <w:tcBorders>
              <w:top w:val="nil"/>
              <w:bottom w:val="nil"/>
            </w:tcBorders>
            <w:shd w:val="clear" w:color="auto" w:fill="auto"/>
          </w:tcPr>
          <w:p>
            <w:pPr>
              <w:pStyle w:val="nTable"/>
              <w:spacing w:after="40"/>
            </w:pPr>
            <w:r>
              <w:t>2 Jun 2021</w:t>
            </w:r>
          </w:p>
        </w:tc>
        <w:tc>
          <w:tcPr>
            <w:tcW w:w="2552" w:type="dxa"/>
            <w:tcBorders>
              <w:top w:val="nil"/>
              <w:bottom w:val="nil"/>
            </w:tcBorders>
            <w:shd w:val="clear" w:color="auto" w:fill="auto"/>
          </w:tcPr>
          <w:p>
            <w:pPr>
              <w:pStyle w:val="nTable"/>
              <w:spacing w:after="40"/>
            </w:pPr>
            <w:r>
              <w:t>3 Jun 2021 (see s. 2(b))</w:t>
            </w:r>
          </w:p>
        </w:tc>
      </w:tr>
      <w:tr>
        <w:tblPrEx>
          <w:tblBorders>
            <w:top w:val="none" w:sz="0" w:space="0" w:color="auto"/>
            <w:bottom w:val="none" w:sz="0" w:space="0" w:color="auto"/>
            <w:insideH w:val="none" w:sz="0" w:space="0" w:color="auto"/>
          </w:tblBorders>
        </w:tblPrEx>
        <w:trPr>
          <w:cantSplit/>
          <w:trHeight w:val="473"/>
        </w:trPr>
        <w:tc>
          <w:tcPr>
            <w:tcW w:w="2268" w:type="dxa"/>
            <w:tcBorders>
              <w:bottom w:val="single" w:sz="4" w:space="0" w:color="auto"/>
            </w:tcBorders>
            <w:shd w:val="clear" w:color="auto" w:fill="auto"/>
          </w:tcPr>
          <w:p>
            <w:pPr>
              <w:pStyle w:val="nTable"/>
              <w:spacing w:after="40"/>
            </w:pPr>
            <w:r>
              <w:rPr>
                <w:i/>
              </w:rPr>
              <w:t>COVID</w:t>
            </w:r>
            <w:r>
              <w:rPr>
                <w:i/>
              </w:rPr>
              <w:noBreakHyphen/>
              <w:t>19 Response Legislation Amendment (Extension of Expiring Provisions) Act (No. 2) 2021</w:t>
            </w:r>
            <w:r>
              <w:t xml:space="preserve"> Pt. 2</w:t>
            </w:r>
          </w:p>
        </w:tc>
        <w:tc>
          <w:tcPr>
            <w:tcW w:w="1134" w:type="dxa"/>
            <w:tcBorders>
              <w:bottom w:val="single" w:sz="4" w:space="0" w:color="auto"/>
            </w:tcBorders>
            <w:shd w:val="clear" w:color="auto" w:fill="auto"/>
          </w:tcPr>
          <w:p>
            <w:pPr>
              <w:pStyle w:val="nTable"/>
              <w:spacing w:after="40"/>
            </w:pPr>
            <w:r>
              <w:t>21 of 2021</w:t>
            </w:r>
          </w:p>
        </w:tc>
        <w:tc>
          <w:tcPr>
            <w:tcW w:w="1134" w:type="dxa"/>
            <w:tcBorders>
              <w:bottom w:val="single" w:sz="4" w:space="0" w:color="auto"/>
            </w:tcBorders>
            <w:shd w:val="clear" w:color="auto" w:fill="auto"/>
          </w:tcPr>
          <w:p>
            <w:pPr>
              <w:pStyle w:val="nTable"/>
              <w:spacing w:after="40"/>
            </w:pPr>
            <w:r>
              <w:t>24 Nov 2021</w:t>
            </w:r>
          </w:p>
        </w:tc>
        <w:tc>
          <w:tcPr>
            <w:tcW w:w="2552" w:type="dxa"/>
            <w:tcBorders>
              <w:bottom w:val="single" w:sz="4" w:space="0" w:color="auto"/>
            </w:tcBorders>
            <w:shd w:val="clear" w:color="auto" w:fill="auto"/>
          </w:tcPr>
          <w:p>
            <w:pPr>
              <w:pStyle w:val="nTable"/>
              <w:spacing w:after="40"/>
              <w:rPr>
                <w:highlight w:val="yellow"/>
              </w:rPr>
            </w:pPr>
            <w:r>
              <w:t>25 Nov 2021 (see s. 2(b))</w:t>
            </w:r>
          </w:p>
        </w:tc>
      </w:tr>
    </w:tbl>
    <w:p>
      <w:pPr>
        <w:rPr>
          <w:sz w:val="2"/>
          <w:szCs w:val="2"/>
        </w:rPr>
      </w:pPr>
    </w:p>
    <w:p>
      <w:pPr>
        <w:pStyle w:val="nHeading3"/>
      </w:pPr>
      <w:bookmarkStart w:id="742" w:name="_Toc88662540"/>
      <w:r>
        <w:t>Uncommenced provisions table</w:t>
      </w:r>
      <w:bookmarkEnd w:id="742"/>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keepNext/>
              <w:spacing w:after="40"/>
              <w:rPr>
                <w:b/>
              </w:rPr>
            </w:pPr>
            <w:r>
              <w:rPr>
                <w:b/>
              </w:rPr>
              <w:t>Short title</w:t>
            </w:r>
          </w:p>
        </w:tc>
        <w:tc>
          <w:tcPr>
            <w:tcW w:w="1134" w:type="dxa"/>
          </w:tcPr>
          <w:p>
            <w:pPr>
              <w:pStyle w:val="nTable"/>
              <w:keepNext/>
              <w:spacing w:after="40"/>
              <w:rPr>
                <w:b/>
              </w:rPr>
            </w:pPr>
            <w:r>
              <w:rPr>
                <w:b/>
              </w:rPr>
              <w:t>Number and year</w:t>
            </w:r>
          </w:p>
        </w:tc>
        <w:tc>
          <w:tcPr>
            <w:tcW w:w="1134" w:type="dxa"/>
          </w:tcPr>
          <w:p>
            <w:pPr>
              <w:pStyle w:val="nTable"/>
              <w:keepNext/>
              <w:spacing w:after="40"/>
              <w:rPr>
                <w:b/>
              </w:rPr>
            </w:pPr>
            <w:r>
              <w:rPr>
                <w:b/>
              </w:rPr>
              <w:t>Assent</w:t>
            </w:r>
          </w:p>
        </w:tc>
        <w:tc>
          <w:tcPr>
            <w:tcW w:w="2552" w:type="dxa"/>
          </w:tcPr>
          <w:p>
            <w:pPr>
              <w:pStyle w:val="nTable"/>
              <w:keepNext/>
              <w:spacing w:after="40"/>
              <w:rPr>
                <w:b/>
              </w:rPr>
            </w:pPr>
            <w:r>
              <w:rPr>
                <w:b/>
              </w:rPr>
              <w:t>Commencement</w:t>
            </w:r>
          </w:p>
        </w:tc>
      </w:tr>
      <w:tr>
        <w:trPr>
          <w:cantSplit/>
        </w:trPr>
        <w:tc>
          <w:tcPr>
            <w:tcW w:w="2268" w:type="dxa"/>
            <w:tcBorders>
              <w:bottom w:val="nil"/>
            </w:tcBorders>
          </w:tcPr>
          <w:p>
            <w:pPr>
              <w:pStyle w:val="nTable"/>
              <w:keepNext/>
              <w:spacing w:after="40"/>
              <w:rPr>
                <w:i/>
                <w:snapToGrid w:val="0"/>
              </w:rPr>
            </w:pPr>
            <w:r>
              <w:rPr>
                <w:i/>
                <w:snapToGrid w:val="0"/>
              </w:rPr>
              <w:t>Prostitution Amendment Act 2008</w:t>
            </w:r>
            <w:r>
              <w:rPr>
                <w:iCs/>
                <w:snapToGrid w:val="0"/>
              </w:rPr>
              <w:t xml:space="preserve"> s. 30</w:t>
            </w:r>
          </w:p>
        </w:tc>
        <w:tc>
          <w:tcPr>
            <w:tcW w:w="1134" w:type="dxa"/>
            <w:tcBorders>
              <w:bottom w:val="nil"/>
            </w:tcBorders>
          </w:tcPr>
          <w:p>
            <w:pPr>
              <w:pStyle w:val="nTable"/>
              <w:keepNext/>
              <w:spacing w:after="40"/>
            </w:pPr>
            <w:r>
              <w:t>13 of 2008</w:t>
            </w:r>
          </w:p>
        </w:tc>
        <w:tc>
          <w:tcPr>
            <w:tcW w:w="1134" w:type="dxa"/>
            <w:tcBorders>
              <w:bottom w:val="nil"/>
            </w:tcBorders>
          </w:tcPr>
          <w:p>
            <w:pPr>
              <w:pStyle w:val="nTable"/>
              <w:keepNext/>
              <w:spacing w:after="40"/>
            </w:pPr>
            <w:r>
              <w:t>14 Apr 2008</w:t>
            </w:r>
          </w:p>
        </w:tc>
        <w:tc>
          <w:tcPr>
            <w:tcW w:w="2552" w:type="dxa"/>
            <w:tcBorders>
              <w:bottom w:val="nil"/>
            </w:tcBorders>
          </w:tcPr>
          <w:p>
            <w:pPr>
              <w:pStyle w:val="nTable"/>
              <w:keepNext/>
              <w:spacing w:after="40"/>
              <w:rPr>
                <w:snapToGrid w:val="0"/>
              </w:rPr>
            </w:pPr>
            <w:r>
              <w:rPr>
                <w:snapToGrid w:val="0"/>
              </w:rPr>
              <w:t>To be proclaimed (see s. 2(b))</w:t>
            </w:r>
          </w:p>
        </w:tc>
      </w:tr>
      <w:tr>
        <w:trPr>
          <w:cantSplit/>
        </w:trPr>
        <w:tc>
          <w:tcPr>
            <w:tcW w:w="2268" w:type="dxa"/>
            <w:tcBorders>
              <w:top w:val="nil"/>
              <w:bottom w:val="single" w:sz="4" w:space="0" w:color="auto"/>
              <w:right w:val="nil"/>
            </w:tcBorders>
            <w:shd w:val="clear" w:color="auto" w:fill="auto"/>
          </w:tcPr>
          <w:p>
            <w:pPr>
              <w:pStyle w:val="nTable"/>
              <w:spacing w:after="40"/>
              <w:rPr>
                <w:i/>
                <w:snapToGrid w:val="0"/>
              </w:rPr>
            </w:pPr>
            <w:r>
              <w:rPr>
                <w:i/>
                <w:snapToGrid w:val="0"/>
              </w:rPr>
              <w:t>Criminal Code Amendment (COVID</w:t>
            </w:r>
            <w:r>
              <w:rPr>
                <w:i/>
                <w:snapToGrid w:val="0"/>
              </w:rPr>
              <w:noBreakHyphen/>
              <w:t>19 Response) Act 2020</w:t>
            </w:r>
            <w:r>
              <w:rPr>
                <w:snapToGrid w:val="0"/>
              </w:rPr>
              <w:t xml:space="preserve"> s. 4(2) and 5(3)</w:t>
            </w:r>
          </w:p>
        </w:tc>
        <w:tc>
          <w:tcPr>
            <w:tcW w:w="1134" w:type="dxa"/>
            <w:tcBorders>
              <w:top w:val="nil"/>
              <w:left w:val="nil"/>
              <w:bottom w:val="single" w:sz="4" w:space="0" w:color="auto"/>
              <w:right w:val="nil"/>
            </w:tcBorders>
            <w:shd w:val="clear" w:color="auto" w:fill="auto"/>
          </w:tcPr>
          <w:p>
            <w:pPr>
              <w:pStyle w:val="nTable"/>
              <w:spacing w:after="40"/>
            </w:pPr>
            <w:r>
              <w:t>8 of 2020 (as amended by No. 39 of 2020 Pt. 3, No. 1 of 2021 Pt. 3 and No. 21 of 2021 Pt. 3)</w:t>
            </w:r>
          </w:p>
        </w:tc>
        <w:tc>
          <w:tcPr>
            <w:tcW w:w="1134" w:type="dxa"/>
            <w:tcBorders>
              <w:top w:val="nil"/>
              <w:left w:val="nil"/>
              <w:bottom w:val="single" w:sz="4" w:space="0" w:color="auto"/>
              <w:right w:val="nil"/>
            </w:tcBorders>
            <w:shd w:val="clear" w:color="auto" w:fill="auto"/>
          </w:tcPr>
          <w:p>
            <w:pPr>
              <w:pStyle w:val="nTable"/>
              <w:spacing w:after="40"/>
            </w:pPr>
            <w:r>
              <w:t>3 Apr 2020</w:t>
            </w:r>
          </w:p>
        </w:tc>
        <w:tc>
          <w:tcPr>
            <w:tcW w:w="2552" w:type="dxa"/>
            <w:tcBorders>
              <w:top w:val="nil"/>
              <w:left w:val="nil"/>
              <w:bottom w:val="single" w:sz="4" w:space="0" w:color="auto"/>
            </w:tcBorders>
            <w:shd w:val="clear" w:color="auto" w:fill="auto"/>
          </w:tcPr>
          <w:p>
            <w:pPr>
              <w:pStyle w:val="nTable"/>
              <w:spacing w:after="40"/>
              <w:rPr>
                <w:snapToGrid w:val="0"/>
              </w:rPr>
            </w:pPr>
            <w:r>
              <w:rPr>
                <w:snapToGrid w:val="0"/>
              </w:rPr>
              <w:t>4 Jul 2022 (see s. 2(b))</w:t>
            </w:r>
          </w:p>
        </w:tc>
      </w:tr>
    </w:tbl>
    <w:p>
      <w:pPr>
        <w:pStyle w:val="nHeading3"/>
      </w:pPr>
      <w:bookmarkStart w:id="743" w:name="_Toc88662541"/>
      <w:r>
        <w:t>Other notes</w:t>
      </w:r>
      <w:bookmarkEnd w:id="743"/>
    </w:p>
    <w:p>
      <w:pPr>
        <w:pStyle w:val="nNote"/>
        <w:spacing w:before="160"/>
        <w:ind w:left="482" w:hanging="482"/>
      </w:pPr>
      <w:r>
        <w:rPr>
          <w:vertAlign w:val="superscript"/>
        </w:rPr>
        <w:t>1</w:t>
      </w:r>
      <w:r>
        <w:tab/>
        <w:t>Footnote no longer applicable.</w:t>
      </w:r>
    </w:p>
    <w:p>
      <w:pPr>
        <w:pStyle w:val="nNote"/>
        <w:spacing w:before="160"/>
        <w:ind w:left="482" w:hanging="482"/>
      </w:pPr>
      <w:r>
        <w:rPr>
          <w:vertAlign w:val="superscript"/>
        </w:rPr>
        <w:t>2</w:t>
      </w:r>
      <w:r>
        <w:tab/>
        <w:t xml:space="preserve">The </w:t>
      </w:r>
      <w:r>
        <w:rPr>
          <w:i/>
        </w:rPr>
        <w:t>Criminal Law Amendment Act 1996</w:t>
      </w:r>
      <w:r>
        <w:t xml:space="preserve"> s. 5(2) is a transitional provision.</w:t>
      </w:r>
    </w:p>
    <w:p>
      <w:pPr>
        <w:pStyle w:val="nNote"/>
        <w:ind w:left="459" w:hanging="459"/>
      </w:pPr>
      <w:r>
        <w:rPr>
          <w:vertAlign w:val="superscript"/>
        </w:rPr>
        <w:t>3</w:t>
      </w:r>
      <w:r>
        <w:tab/>
        <w:t xml:space="preserve">The </w:t>
      </w:r>
      <w:r>
        <w:rPr>
          <w:i/>
        </w:rPr>
        <w:t>Criminal Law Amendment Act 1996</w:t>
      </w:r>
      <w:r>
        <w:t xml:space="preserve"> s. 6(2) is a transitional provision.</w:t>
      </w:r>
    </w:p>
    <w:p>
      <w:pPr>
        <w:pStyle w:val="nNote"/>
        <w:ind w:left="459" w:hanging="459"/>
      </w:pPr>
      <w:r>
        <w:rPr>
          <w:vertAlign w:val="superscript"/>
        </w:rPr>
        <w:t>4</w:t>
      </w:r>
      <w:r>
        <w:rPr>
          <w:vertAlign w:val="superscript"/>
        </w:rPr>
        <w:tab/>
      </w:r>
      <w:r>
        <w:t xml:space="preserve">See </w:t>
      </w:r>
      <w:r>
        <w:rPr>
          <w:i/>
          <w:iCs/>
        </w:rPr>
        <w:t xml:space="preserve">Firearms Regulations 1974 </w:t>
      </w:r>
      <w:r>
        <w:t>r. 2B.</w:t>
      </w:r>
    </w:p>
    <w:p>
      <w:pPr>
        <w:pStyle w:val="nNote"/>
        <w:ind w:left="459" w:hanging="459"/>
      </w:pPr>
      <w:r>
        <w:rPr>
          <w:spacing w:val="-2"/>
          <w:vertAlign w:val="superscript"/>
        </w:rPr>
        <w:t>5</w:t>
      </w:r>
      <w:r>
        <w:rPr>
          <w:spacing w:val="-2"/>
        </w:rPr>
        <w:tab/>
      </w:r>
      <w:r>
        <w:t xml:space="preserve">Renumbered under the </w:t>
      </w:r>
      <w:r>
        <w:rPr>
          <w:i/>
          <w:iCs/>
        </w:rPr>
        <w:t>Reprints Act 1984</w:t>
      </w:r>
      <w:r>
        <w:t xml:space="preserve"> s. 7(5)(c)(ii).</w:t>
      </w:r>
    </w:p>
    <w:p>
      <w:pPr>
        <w:pStyle w:val="nNote"/>
        <w:ind w:left="459" w:hanging="459"/>
      </w:pPr>
      <w:r>
        <w:rPr>
          <w:spacing w:val="-2"/>
          <w:vertAlign w:val="superscript"/>
        </w:rPr>
        <w:lastRenderedPageBreak/>
        <w:t>6</w:t>
      </w:r>
      <w:r>
        <w:rPr>
          <w:spacing w:val="-2"/>
        </w:rPr>
        <w:tab/>
      </w:r>
      <w:r>
        <w:t>T</w:t>
      </w:r>
      <w:r>
        <w:rPr>
          <w:spacing w:val="-2"/>
        </w:rPr>
        <w:t xml:space="preserve">he </w:t>
      </w:r>
      <w:r>
        <w:rPr>
          <w:i/>
          <w:spacing w:val="-2"/>
        </w:rPr>
        <w:t>Criminal Code Amendment Act (No. 2) 1996</w:t>
      </w:r>
      <w:r>
        <w:rPr>
          <w:spacing w:val="-2"/>
        </w:rPr>
        <w:t xml:space="preserve"> s. 4(3) </w:t>
      </w:r>
      <w:r>
        <w:t>is a transitional provision.</w:t>
      </w:r>
    </w:p>
    <w:p>
      <w:pPr>
        <w:pStyle w:val="nNote"/>
        <w:ind w:left="459" w:hanging="459"/>
      </w:pPr>
      <w:r>
        <w:rPr>
          <w:spacing w:val="-2"/>
          <w:vertAlign w:val="superscript"/>
        </w:rPr>
        <w:t>7</w:t>
      </w:r>
      <w:r>
        <w:rPr>
          <w:spacing w:val="-2"/>
        </w:rPr>
        <w:tab/>
      </w:r>
      <w:r>
        <w:t>T</w:t>
      </w:r>
      <w:r>
        <w:rPr>
          <w:spacing w:val="-2"/>
        </w:rPr>
        <w:t xml:space="preserve">he </w:t>
      </w:r>
      <w:r>
        <w:rPr>
          <w:i/>
          <w:spacing w:val="-2"/>
        </w:rPr>
        <w:t>Acts Amendment (Mental Health) Act 1981</w:t>
      </w:r>
      <w:r>
        <w:rPr>
          <w:spacing w:val="-2"/>
        </w:rPr>
        <w:t xml:space="preserve"> was repealed by the </w:t>
      </w:r>
      <w:r>
        <w:rPr>
          <w:i/>
          <w:spacing w:val="-2"/>
        </w:rPr>
        <w:t>Statute Law Revision Act 2006</w:t>
      </w:r>
      <w:r>
        <w:rPr>
          <w:spacing w:val="-2"/>
        </w:rPr>
        <w:t xml:space="preserve"> s. 3(1) before it came into operation</w:t>
      </w:r>
      <w:r>
        <w:t>.</w:t>
      </w:r>
    </w:p>
    <w:p>
      <w:pPr>
        <w:pStyle w:val="nNote"/>
        <w:ind w:left="459" w:hanging="459"/>
        <w:rPr>
          <w:i/>
        </w:rPr>
      </w:pPr>
      <w:r>
        <w:rPr>
          <w:vertAlign w:val="superscript"/>
        </w:rPr>
        <w:t>8</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Note"/>
        <w:ind w:left="459" w:hanging="459"/>
      </w:pPr>
      <w:r>
        <w:rPr>
          <w:vertAlign w:val="superscript"/>
        </w:rPr>
        <w:t>9</w:t>
      </w:r>
      <w:r>
        <w:rPr>
          <w:i/>
        </w:rPr>
        <w:tab/>
      </w:r>
      <w:r>
        <w:rPr>
          <w:iCs/>
        </w:rPr>
        <w:t>The</w:t>
      </w:r>
      <w:r>
        <w:rPr>
          <w:i/>
        </w:rPr>
        <w:t xml:space="preserve"> Limitation Act 1935</w:t>
      </w:r>
      <w:r>
        <w:t xml:space="preserve"> s. 48A and the Second Schedule were inserted by No. 73 of 1954 s. 8.</w:t>
      </w:r>
    </w:p>
    <w:p>
      <w:pPr>
        <w:pStyle w:val="nNote"/>
        <w:ind w:left="459" w:hanging="459"/>
      </w:pPr>
      <w:r>
        <w:rPr>
          <w:vertAlign w:val="superscript"/>
        </w:rPr>
        <w:t>10</w:t>
      </w:r>
      <w:r>
        <w:tab/>
      </w:r>
      <w:r>
        <w:rPr>
          <w:iCs/>
        </w:rPr>
        <w:t>The</w:t>
      </w:r>
      <w:r>
        <w:rPr>
          <w:i/>
        </w:rPr>
        <w:t xml:space="preserve"> Criminal Code Amendment Act 1962</w:t>
      </w:r>
      <w:r>
        <w:t xml:space="preserve"> s. 8 was repealed by No. 63 of 1963 s. 17.</w:t>
      </w:r>
    </w:p>
    <w:p>
      <w:pPr>
        <w:pStyle w:val="nNote"/>
        <w:ind w:left="459" w:hanging="459"/>
        <w:rPr>
          <w:i/>
        </w:rPr>
      </w:pPr>
      <w:r>
        <w:rPr>
          <w:vertAlign w:val="superscript"/>
        </w:rPr>
        <w:t>11</w:t>
      </w:r>
      <w:r>
        <w:tab/>
      </w:r>
      <w:r>
        <w:rPr>
          <w:iCs/>
        </w:rPr>
        <w:t>The</w:t>
      </w:r>
      <w:r>
        <w:rPr>
          <w:i/>
        </w:rPr>
        <w:t xml:space="preserve"> Metric Conversion Act 1972 </w:t>
      </w:r>
      <w:r>
        <w:t xml:space="preserve">Second Schedule was inserted by the </w:t>
      </w:r>
      <w:r>
        <w:rPr>
          <w:i/>
        </w:rPr>
        <w:t>Metric Conversion Act Amendment Act 1973.</w:t>
      </w:r>
    </w:p>
    <w:p>
      <w:pPr>
        <w:pStyle w:val="nNote"/>
        <w:ind w:left="459" w:hanging="459"/>
      </w:pPr>
      <w:r>
        <w:rPr>
          <w:vertAlign w:val="superscript"/>
        </w:rPr>
        <w:t>12</w:t>
      </w:r>
      <w:r>
        <w:tab/>
      </w:r>
      <w:r>
        <w:rPr>
          <w:iCs/>
        </w:rPr>
        <w:t>The</w:t>
      </w:r>
      <w:r>
        <w:rPr>
          <w:i/>
        </w:rPr>
        <w:t xml:space="preserve"> Criminal Code Amendment Act (No. 2) 1976 </w:t>
      </w:r>
      <w:r>
        <w:t>s. 3 is a validation provision.</w:t>
      </w:r>
    </w:p>
    <w:p>
      <w:pPr>
        <w:pStyle w:val="nNote"/>
        <w:ind w:left="459" w:hanging="459"/>
      </w:pPr>
      <w:r>
        <w:rPr>
          <w:vertAlign w:val="superscript"/>
        </w:rPr>
        <w:t>13</w:t>
      </w:r>
      <w:r>
        <w:tab/>
      </w:r>
      <w:r>
        <w:rPr>
          <w:iCs/>
        </w:rPr>
        <w:t>The</w:t>
      </w:r>
      <w:r>
        <w:rPr>
          <w:i/>
        </w:rPr>
        <w:t xml:space="preserve"> Criminal Law Amendment Act 1986</w:t>
      </w:r>
      <w:r>
        <w:t xml:space="preserve"> s. 10 was repealed by No. 106 of 1987 s. 14(7).</w:t>
      </w:r>
    </w:p>
    <w:p>
      <w:pPr>
        <w:pStyle w:val="nNote"/>
        <w:ind w:left="459" w:hanging="459"/>
      </w:pPr>
      <w:r>
        <w:rPr>
          <w:vertAlign w:val="superscript"/>
        </w:rPr>
        <w:t>14</w:t>
      </w:r>
      <w:r>
        <w:tab/>
      </w:r>
      <w:r>
        <w:rPr>
          <w:iCs/>
        </w:rPr>
        <w:t>The</w:t>
      </w:r>
      <w:r>
        <w:rPr>
          <w:i/>
        </w:rPr>
        <w:t xml:space="preserve"> Criminal Code Amendment Act (No. 2) 1987</w:t>
      </w:r>
      <w:r>
        <w:t xml:space="preserve"> s. 25 is a savings provision.</w:t>
      </w:r>
    </w:p>
    <w:p>
      <w:pPr>
        <w:pStyle w:val="nNote"/>
        <w:ind w:left="459" w:hanging="459"/>
      </w:pPr>
      <w:r>
        <w:rPr>
          <w:vertAlign w:val="superscript"/>
        </w:rPr>
        <w:t>15</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Note"/>
        <w:ind w:left="459" w:hanging="459"/>
      </w:pPr>
      <w:r>
        <w:rPr>
          <w:vertAlign w:val="superscript"/>
        </w:rPr>
        <w:t>16</w:t>
      </w:r>
      <w:r>
        <w:tab/>
      </w:r>
      <w:r>
        <w:rPr>
          <w:iCs/>
        </w:rPr>
        <w:t>The</w:t>
      </w:r>
      <w:r>
        <w:rPr>
          <w:i/>
        </w:rPr>
        <w:t xml:space="preserve"> Criminal Law Amendment Act 1991</w:t>
      </w:r>
      <w:r>
        <w:t xml:space="preserve"> s. 6(3) and (4) are savings provisions.</w:t>
      </w:r>
    </w:p>
    <w:p>
      <w:pPr>
        <w:pStyle w:val="nNote"/>
        <w:ind w:left="459" w:hanging="459"/>
      </w:pPr>
      <w:r>
        <w:rPr>
          <w:vertAlign w:val="superscript"/>
        </w:rPr>
        <w:t>17</w:t>
      </w:r>
      <w:r>
        <w:tab/>
      </w:r>
      <w:r>
        <w:rPr>
          <w:iCs/>
        </w:rPr>
        <w:t>The</w:t>
      </w:r>
      <w:r>
        <w:rPr>
          <w:i/>
        </w:rPr>
        <w:t xml:space="preserve"> Acts Amendment (Evidence) Act 1991</w:t>
      </w:r>
      <w:r>
        <w:t xml:space="preserve"> s. 3 is a transitional provision.</w:t>
      </w:r>
    </w:p>
    <w:p>
      <w:pPr>
        <w:pStyle w:val="nNote"/>
      </w:pPr>
      <w:r>
        <w:rPr>
          <w:vertAlign w:val="superscript"/>
        </w:rPr>
        <w:t>18</w:t>
      </w:r>
      <w:r>
        <w:tab/>
      </w:r>
      <w:r>
        <w:rPr>
          <w:iCs/>
        </w:rPr>
        <w:t>The</w:t>
      </w:r>
      <w:r>
        <w:rPr>
          <w:i/>
        </w:rPr>
        <w:t xml:space="preserve"> Acts Amendment (Sexual Offences) Act 1992</w:t>
      </w:r>
      <w:r>
        <w:t xml:space="preserve"> s. 6(7) and Sch. 1 are transitional and savings provisions.</w:t>
      </w:r>
    </w:p>
    <w:p>
      <w:pPr>
        <w:pStyle w:val="nNote"/>
        <w:ind w:left="459" w:hanging="459"/>
      </w:pPr>
      <w:r>
        <w:rPr>
          <w:vertAlign w:val="superscript"/>
        </w:rPr>
        <w:t>19</w:t>
      </w:r>
      <w:r>
        <w:tab/>
      </w:r>
      <w:r>
        <w:rPr>
          <w:iCs/>
        </w:rPr>
        <w:t>The</w:t>
      </w:r>
      <w:r>
        <w:rPr>
          <w:i/>
        </w:rPr>
        <w:t xml:space="preserve"> Acts Amendment (Ministry of Justice) Act 1993 </w:t>
      </w:r>
      <w:r>
        <w:t>s. 68 and 69 are savings and transitional provisions respectively.</w:t>
      </w:r>
    </w:p>
    <w:p>
      <w:pPr>
        <w:pStyle w:val="nNote"/>
        <w:ind w:left="459" w:hanging="459"/>
        <w:rPr>
          <w:spacing w:val="-2"/>
        </w:rPr>
      </w:pPr>
      <w:r>
        <w:rPr>
          <w:spacing w:val="-2"/>
          <w:vertAlign w:val="superscript"/>
        </w:rPr>
        <w:t>20</w:t>
      </w:r>
      <w:r>
        <w:rPr>
          <w:spacing w:val="-2"/>
        </w:rPr>
        <w:tab/>
        <w:t xml:space="preserve">The </w:t>
      </w:r>
      <w:r>
        <w:rPr>
          <w:i/>
          <w:spacing w:val="-2"/>
        </w:rPr>
        <w:t>Sentencing (Consequential Provisions) Act 1995</w:t>
      </w:r>
      <w:r>
        <w:rPr>
          <w:spacing w:val="-2"/>
        </w:rPr>
        <w:t xml:space="preserve"> s. 27 </w:t>
      </w:r>
      <w:r>
        <w:t>is a transitional provision.</w:t>
      </w:r>
    </w:p>
    <w:p>
      <w:pPr>
        <w:pStyle w:val="nNote"/>
        <w:ind w:left="459" w:hanging="459"/>
      </w:pPr>
      <w:r>
        <w:rPr>
          <w:vertAlign w:val="superscript"/>
        </w:rPr>
        <w:t>21</w:t>
      </w:r>
      <w:r>
        <w:tab/>
        <w:t xml:space="preserve">The </w:t>
      </w:r>
      <w:r>
        <w:rPr>
          <w:i/>
        </w:rPr>
        <w:t>Mental Health (Consequential Provisions) Act 1996</w:t>
      </w:r>
      <w:r>
        <w:t xml:space="preserve"> s. 20 is a transitional provision.</w:t>
      </w:r>
    </w:p>
    <w:p>
      <w:pPr>
        <w:pStyle w:val="nNote"/>
        <w:keepLines/>
        <w:rPr>
          <w:snapToGrid w:val="0"/>
        </w:rPr>
      </w:pPr>
      <w:r>
        <w:rPr>
          <w:snapToGrid w:val="0"/>
          <w:vertAlign w:val="superscript"/>
        </w:rPr>
        <w:t>22</w:t>
      </w:r>
      <w:r>
        <w:rPr>
          <w:snapToGrid w:val="0"/>
          <w:vertAlign w:val="superscript"/>
        </w:rPr>
        <w:tab/>
      </w:r>
      <w:r>
        <w:rPr>
          <w:snapToGrid w:val="0"/>
        </w:rPr>
        <w:t>Reprints before Reprint 10 are not numbered.  Reprint 10 and subsequent reprints are numbered consecutively but are out by one number.</w:t>
      </w:r>
    </w:p>
    <w:p>
      <w:pPr>
        <w:pStyle w:val="nNote"/>
        <w:ind w:left="459" w:hanging="459"/>
      </w:pPr>
      <w:r>
        <w:rPr>
          <w:vertAlign w:val="superscript"/>
        </w:rPr>
        <w:t>23</w:t>
      </w:r>
      <w:r>
        <w:rPr>
          <w:vertAlign w:val="superscript"/>
        </w:rPr>
        <w:tab/>
      </w:r>
      <w:r>
        <w:t xml:space="preserve">The </w:t>
      </w:r>
      <w:r>
        <w:rPr>
          <w:i/>
          <w:iCs/>
        </w:rPr>
        <w:t>Corruption and Crime Commission Act 2003</w:t>
      </w:r>
      <w:r>
        <w:t xml:space="preserve"> Sch. 3 was renumbered as Sch. 4 by the </w:t>
      </w:r>
      <w:r>
        <w:rPr>
          <w:i/>
          <w:iCs/>
        </w:rPr>
        <w:t>Corruption and Crime Commission Amendment and Repeal Act 2003</w:t>
      </w:r>
      <w:r>
        <w:t xml:space="preserve"> s. 35(12).</w:t>
      </w:r>
    </w:p>
    <w:p>
      <w:pPr>
        <w:pStyle w:val="nNote"/>
        <w:rPr>
          <w:snapToGrid w:val="0"/>
        </w:rPr>
      </w:pPr>
      <w:r>
        <w:rPr>
          <w:vertAlign w:val="superscript"/>
        </w:rPr>
        <w:t>24</w:t>
      </w:r>
      <w:r>
        <w:tab/>
      </w:r>
      <w:r>
        <w:rPr>
          <w:snapToGrid w:val="0"/>
        </w:rPr>
        <w:t xml:space="preserve">The </w:t>
      </w:r>
      <w:r>
        <w:rPr>
          <w:i/>
          <w:snapToGrid w:val="0"/>
        </w:rPr>
        <w:t>Criminal Law Amendment (Simple Offences) Act 2004</w:t>
      </w:r>
      <w:r>
        <w:rPr>
          <w:iCs/>
          <w:snapToGrid w:val="0"/>
        </w:rPr>
        <w:t xml:space="preserve"> </w:t>
      </w:r>
      <w:r>
        <w:rPr>
          <w:snapToGrid w:val="0"/>
        </w:rPr>
        <w:t xml:space="preserve">s. 37 did not come into operation and was repealed by the </w:t>
      </w:r>
      <w:r>
        <w:rPr>
          <w:i/>
          <w:iCs/>
          <w:snapToGrid w:val="0"/>
        </w:rPr>
        <w:t>Criminal Law and Evidence Amendment Act </w:t>
      </w:r>
      <w:r>
        <w:rPr>
          <w:snapToGrid w:val="0"/>
        </w:rPr>
        <w:t>2008 s. 76(2).</w:t>
      </w:r>
    </w:p>
    <w:p>
      <w:pPr>
        <w:pStyle w:val="nNote"/>
        <w:rPr>
          <w:snapToGrid w:val="0"/>
        </w:rPr>
      </w:pPr>
      <w:r>
        <w:rPr>
          <w:snapToGrid w:val="0"/>
          <w:vertAlign w:val="superscript"/>
        </w:rPr>
        <w:t>25</w:t>
      </w:r>
      <w:r>
        <w:rPr>
          <w:snapToGrid w:val="0"/>
        </w:rPr>
        <w:tab/>
      </w:r>
      <w:r>
        <w:rPr>
          <w:iCs/>
          <w:snapToGrid w:val="0"/>
        </w:rPr>
        <w:t xml:space="preserve">The amendment in the </w:t>
      </w:r>
      <w:r>
        <w:rPr>
          <w:i/>
          <w:snapToGrid w:val="0"/>
        </w:rPr>
        <w:t>Criminal Law Amendment (Simple Offences) Act 2004</w:t>
      </w:r>
      <w:r>
        <w:rPr>
          <w:iCs/>
          <w:snapToGrid w:val="0"/>
        </w:rPr>
        <w:t xml:space="preserve"> </w:t>
      </w:r>
      <w:r>
        <w:rPr>
          <w:snapToGrid w:val="0"/>
        </w:rPr>
        <w:t xml:space="preserve">s. 35(4) to </w:t>
      </w:r>
      <w:r>
        <w:rPr>
          <w:i/>
          <w:iCs/>
          <w:snapToGrid w:val="0"/>
        </w:rPr>
        <w:t>The Criminal Code</w:t>
      </w:r>
      <w:r>
        <w:rPr>
          <w:snapToGrid w:val="0"/>
        </w:rPr>
        <w:t xml:space="preserve"> s. 635A(5) is not included because s. 635A was </w:t>
      </w:r>
      <w:r>
        <w:rPr>
          <w:snapToGrid w:val="0"/>
        </w:rPr>
        <w:lastRenderedPageBreak/>
        <w:t xml:space="preserve">deleted by the </w:t>
      </w:r>
      <w:r>
        <w:rPr>
          <w:i/>
          <w:iCs/>
          <w:snapToGrid w:val="0"/>
        </w:rPr>
        <w:t xml:space="preserve">Criminal Procedure and Appeals (Consequential and Other Provisions) Act 2004 </w:t>
      </w:r>
      <w:r>
        <w:rPr>
          <w:snapToGrid w:val="0"/>
        </w:rPr>
        <w:t>s. 24 before s. 35(4) commenced.</w:t>
      </w:r>
    </w:p>
    <w:p>
      <w:pPr>
        <w:pStyle w:val="nNote"/>
        <w:rPr>
          <w:snapToGrid w:val="0"/>
        </w:rPr>
      </w:pPr>
      <w:r>
        <w:rPr>
          <w:snapToGrid w:val="0"/>
          <w:vertAlign w:val="superscript"/>
        </w:rPr>
        <w:t>26</w:t>
      </w:r>
      <w:r>
        <w:rPr>
          <w:snapToGrid w:val="0"/>
          <w:vertAlign w:val="superscript"/>
        </w:rPr>
        <w:tab/>
      </w:r>
      <w:r>
        <w:rPr>
          <w:snapToGrid w:val="0"/>
        </w:rPr>
        <w:t xml:space="preserve">The </w:t>
      </w:r>
      <w:r>
        <w:rPr>
          <w:i/>
          <w:iCs/>
          <w:snapToGrid w:val="0"/>
        </w:rPr>
        <w:t xml:space="preserve">Criminal Law Amendment (Simple Offences) Act 2004 </w:t>
      </w:r>
      <w:r>
        <w:rPr>
          <w:snapToGrid w:val="0"/>
        </w:rPr>
        <w:t xml:space="preserve">s. 39 did not come into operation and was repealed by the </w:t>
      </w:r>
      <w:r>
        <w:rPr>
          <w:i/>
          <w:iCs/>
          <w:snapToGrid w:val="0"/>
        </w:rPr>
        <w:t xml:space="preserve">Oaths, Affidavits and Statutory Declarations (Consequential Provisions) Act 2005 </w:t>
      </w:r>
      <w:r>
        <w:rPr>
          <w:snapToGrid w:val="0"/>
        </w:rPr>
        <w:t>Sch. 1 item 7.</w:t>
      </w:r>
    </w:p>
    <w:p>
      <w:pPr>
        <w:pStyle w:val="nNote"/>
      </w:pPr>
      <w:r>
        <w:rPr>
          <w:vertAlign w:val="superscript"/>
        </w:rPr>
        <w:t>27</w:t>
      </w:r>
      <w:r>
        <w:rPr>
          <w:vertAlign w:val="superscript"/>
        </w:rPr>
        <w:tab/>
      </w:r>
      <w:r>
        <w:t xml:space="preserve">The </w:t>
      </w:r>
      <w:r>
        <w:rPr>
          <w:i/>
          <w:iCs/>
        </w:rPr>
        <w:t>Criminal Code Amendment (Racial Vilification) Act 2004</w:t>
      </w:r>
      <w:r>
        <w:t xml:space="preserve"> s. 7</w:t>
      </w:r>
      <w:r>
        <w:noBreakHyphen/>
        <w:t xml:space="preserve">9 did not have any effect as, before the Act received the Royal Assent, the provisions they would have amended were amended by the </w:t>
      </w:r>
      <w:r>
        <w:rPr>
          <w:i/>
        </w:rPr>
        <w:t>Acts Amendment (Family and Domestic Violence) Act 2004</w:t>
      </w:r>
      <w:r>
        <w:rPr>
          <w:iCs/>
        </w:rPr>
        <w:t> s. 67</w:t>
      </w:r>
      <w:r>
        <w:rPr>
          <w:iCs/>
        </w:rPr>
        <w:noBreakHyphen/>
        <w:t xml:space="preserve">69.  They </w:t>
      </w:r>
      <w:r>
        <w:rPr>
          <w:snapToGrid w:val="0"/>
        </w:rPr>
        <w:t xml:space="preserve">were repealed by the </w:t>
      </w:r>
      <w:r>
        <w:rPr>
          <w:i/>
          <w:iCs/>
          <w:snapToGrid w:val="0"/>
        </w:rPr>
        <w:t>Criminal Law and Evidence Amendment Act </w:t>
      </w:r>
      <w:r>
        <w:rPr>
          <w:snapToGrid w:val="0"/>
        </w:rPr>
        <w:t>2008 s. 6(2), 7(2) and 8(2)</w:t>
      </w:r>
      <w:r>
        <w:rPr>
          <w:iCs/>
        </w:rPr>
        <w:t>.</w:t>
      </w:r>
    </w:p>
    <w:p>
      <w:pPr>
        <w:pStyle w:val="nNote"/>
        <w:rPr>
          <w:snapToGrid w:val="0"/>
        </w:rPr>
      </w:pPr>
      <w:r>
        <w:rPr>
          <w:iCs/>
          <w:snapToGrid w:val="0"/>
          <w:vertAlign w:val="superscript"/>
        </w:rPr>
        <w:t>28</w:t>
      </w:r>
      <w:r>
        <w:rPr>
          <w:iCs/>
          <w:snapToGrid w:val="0"/>
        </w:rPr>
        <w:tab/>
        <w:t xml:space="preserve">The amendment in the </w:t>
      </w:r>
      <w:r>
        <w:rPr>
          <w:i/>
          <w:iCs/>
          <w:snapToGrid w:val="0"/>
        </w:rPr>
        <w:t>Criminal Procedure and Appeals (Consequential and Other Provisions) Act 2004</w:t>
      </w:r>
      <w:r>
        <w:rPr>
          <w:snapToGrid w:val="0"/>
        </w:rPr>
        <w:t xml:space="preserve"> s. 82 to </w:t>
      </w:r>
      <w:r>
        <w:rPr>
          <w:i/>
          <w:iCs/>
          <w:snapToGrid w:val="0"/>
        </w:rPr>
        <w:t>The Criminal Code</w:t>
      </w:r>
      <w:r>
        <w:rPr>
          <w:snapToGrid w:val="0"/>
        </w:rPr>
        <w:t xml:space="preserve"> s. 5(11) is not included because s. 5(11) was amended by the </w:t>
      </w:r>
      <w:r>
        <w:rPr>
          <w:i/>
          <w:iCs/>
          <w:snapToGrid w:val="0"/>
        </w:rPr>
        <w:t>Courts Legislation Amendment and Repeal Act 2004</w:t>
      </w:r>
      <w:r>
        <w:rPr>
          <w:snapToGrid w:val="0"/>
        </w:rPr>
        <w:t xml:space="preserve"> s. 80 before s. 82 commenced.</w:t>
      </w:r>
    </w:p>
    <w:p>
      <w:pPr>
        <w:pStyle w:val="nNote"/>
        <w:rPr>
          <w:snapToGrid w:val="0"/>
        </w:rPr>
      </w:pPr>
      <w:r>
        <w:rPr>
          <w:iCs/>
          <w:snapToGrid w:val="0"/>
          <w:vertAlign w:val="superscript"/>
        </w:rPr>
        <w:t>29</w:t>
      </w:r>
      <w:r>
        <w:rPr>
          <w:iCs/>
          <w:snapToGrid w:val="0"/>
        </w:rPr>
        <w:tab/>
        <w:t>The</w:t>
      </w:r>
      <w:r>
        <w:rPr>
          <w:snapToGrid w:val="0"/>
        </w:rPr>
        <w:t xml:space="preserve"> amendment in the</w:t>
      </w:r>
      <w:r>
        <w:rPr>
          <w:iCs/>
          <w:snapToGrid w:val="0"/>
        </w:rPr>
        <w:t xml:space="preserve"> </w:t>
      </w:r>
      <w:r>
        <w:rPr>
          <w:i/>
          <w:iCs/>
          <w:snapToGrid w:val="0"/>
        </w:rPr>
        <w:t>Criminal Procedure and Appeals (Consequential and Other Provisions) Act 2004</w:t>
      </w:r>
      <w:r>
        <w:rPr>
          <w:snapToGrid w:val="0"/>
        </w:rPr>
        <w:t xml:space="preserve"> Sch. 2 cl. 36 to </w:t>
      </w:r>
      <w:r>
        <w:rPr>
          <w:i/>
          <w:snapToGrid w:val="0"/>
        </w:rPr>
        <w:t>The Criminal Code</w:t>
      </w:r>
      <w:r>
        <w:rPr>
          <w:snapToGrid w:val="0"/>
        </w:rPr>
        <w:t xml:space="preserve"> s. 133A was deleted by the </w:t>
      </w:r>
      <w:r>
        <w:rPr>
          <w:i/>
          <w:iCs/>
          <w:snapToGrid w:val="0"/>
        </w:rPr>
        <w:t>Criminal Law and Evidence Amendment Act </w:t>
      </w:r>
      <w:r>
        <w:rPr>
          <w:snapToGrid w:val="0"/>
        </w:rPr>
        <w:t>2008 s. 78(7) before it came into operation.</w:t>
      </w:r>
    </w:p>
    <w:p>
      <w:pPr>
        <w:pStyle w:val="nNote"/>
        <w:keepNext/>
        <w:keepLines/>
        <w:rPr>
          <w:iCs/>
          <w:snapToGrid w:val="0"/>
        </w:rPr>
      </w:pPr>
      <w:r>
        <w:rPr>
          <w:snapToGrid w:val="0"/>
          <w:vertAlign w:val="superscript"/>
        </w:rPr>
        <w:t>30</w:t>
      </w:r>
      <w:r>
        <w:rPr>
          <w:snapToGrid w:val="0"/>
        </w:rPr>
        <w:tab/>
        <w:t xml:space="preserve">The amendment in the </w:t>
      </w:r>
      <w:r>
        <w:rPr>
          <w:i/>
          <w:iCs/>
          <w:snapToGrid w:val="0"/>
        </w:rPr>
        <w:t>Nurses and Midwives Act 2006</w:t>
      </w:r>
      <w:r>
        <w:rPr>
          <w:snapToGrid w:val="0"/>
        </w:rPr>
        <w:t xml:space="preserve"> s. 114 is not included because the section it sought to amend had been deleted by the </w:t>
      </w:r>
      <w:r>
        <w:rPr>
          <w:i/>
          <w:snapToGrid w:val="0"/>
        </w:rPr>
        <w:t>Criminal Investigation (Consequential Provisions) Act 2006</w:t>
      </w:r>
      <w:r>
        <w:rPr>
          <w:iCs/>
          <w:snapToGrid w:val="0"/>
        </w:rPr>
        <w:t xml:space="preserve"> s. 22 before the amendment came into operation.</w:t>
      </w:r>
    </w:p>
    <w:p>
      <w:pPr>
        <w:pStyle w:val="nNote"/>
        <w:rPr>
          <w:snapToGrid w:val="0"/>
        </w:rPr>
      </w:pPr>
      <w:r>
        <w:rPr>
          <w:snapToGrid w:val="0"/>
          <w:vertAlign w:val="superscript"/>
        </w:rPr>
        <w:t>31</w:t>
      </w:r>
      <w:r>
        <w:rPr>
          <w:snapToGrid w:val="0"/>
        </w:rPr>
        <w:tab/>
        <w:t xml:space="preserve">The </w:t>
      </w:r>
      <w:r>
        <w:rPr>
          <w:i/>
          <w:snapToGrid w:val="0"/>
        </w:rPr>
        <w:t>Criminal Investigation (Consequential Provisions) Act 2006</w:t>
      </w:r>
      <w:r>
        <w:rPr>
          <w:iCs/>
          <w:snapToGrid w:val="0"/>
        </w:rPr>
        <w:t xml:space="preserve"> s. 29 is a transitional provision about search warrants.</w:t>
      </w:r>
    </w:p>
    <w:p/>
    <w:p>
      <w:pPr>
        <w:sectPr>
          <w:headerReference w:type="even" r:id="rId41"/>
          <w:headerReference w:type="default" r:id="rId42"/>
          <w:pgSz w:w="11907" w:h="16840" w:code="9"/>
          <w:pgMar w:top="2376" w:right="2405" w:bottom="3542" w:left="2405" w:header="706" w:footer="3380" w:gutter="0"/>
          <w:cols w:space="720"/>
          <w:noEndnote/>
          <w:docGrid w:linePitch="326"/>
        </w:sectPr>
      </w:pPr>
    </w:p>
    <w:p>
      <w:pPr>
        <w:pStyle w:val="nHeading2"/>
        <w:rPr>
          <w:sz w:val="28"/>
        </w:rPr>
      </w:pPr>
      <w:bookmarkStart w:id="745" w:name="_Toc88570099"/>
      <w:bookmarkStart w:id="746" w:name="_Toc88570621"/>
      <w:bookmarkStart w:id="747" w:name="_Toc88571143"/>
      <w:bookmarkStart w:id="748" w:name="_Toc88662542"/>
      <w:r>
        <w:rPr>
          <w:sz w:val="28"/>
        </w:rPr>
        <w:lastRenderedPageBreak/>
        <w:t>Defined terms</w:t>
      </w:r>
      <w:bookmarkEnd w:id="745"/>
      <w:bookmarkEnd w:id="746"/>
      <w:bookmarkEnd w:id="747"/>
      <w:bookmarkEnd w:id="74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accessory after the fact</w:t>
      </w:r>
      <w:r>
        <w:tab/>
        <w:t>10</w:t>
      </w:r>
    </w:p>
    <w:p>
      <w:pPr>
        <w:pStyle w:val="DefinedTerms"/>
      </w:pPr>
      <w:r>
        <w:t>accused</w:t>
      </w:r>
      <w:r>
        <w:tab/>
        <w:t>5(1), 10G(2), 10H(2)</w:t>
      </w:r>
    </w:p>
    <w:p>
      <w:pPr>
        <w:pStyle w:val="DefinedTerms"/>
      </w:pPr>
      <w:r>
        <w:t>act of family violence</w:t>
      </w:r>
      <w:r>
        <w:tab/>
        <w:t>299(4)</w:t>
      </w:r>
    </w:p>
    <w:p>
      <w:pPr>
        <w:pStyle w:val="DefinedTerms"/>
      </w:pPr>
      <w:r>
        <w:t>adult offender</w:t>
      </w:r>
      <w:r>
        <w:tab/>
        <w:t>1(1)</w:t>
      </w:r>
    </w:p>
    <w:p>
      <w:pPr>
        <w:pStyle w:val="DefinedTerms"/>
      </w:pPr>
      <w:r>
        <w:t>advice given</w:t>
      </w:r>
      <w:r>
        <w:tab/>
        <w:t>546</w:t>
      </w:r>
    </w:p>
    <w:p>
      <w:pPr>
        <w:pStyle w:val="DefinedTerms"/>
      </w:pPr>
      <w:r>
        <w:t>agent</w:t>
      </w:r>
      <w:r>
        <w:tab/>
        <w:t>546</w:t>
      </w:r>
    </w:p>
    <w:p>
      <w:pPr>
        <w:pStyle w:val="DefinedTerms"/>
      </w:pPr>
      <w:r>
        <w:t>aggravated home burglary</w:t>
      </w:r>
      <w:r>
        <w:tab/>
        <w:t>1(1)</w:t>
      </w:r>
    </w:p>
    <w:p>
      <w:pPr>
        <w:pStyle w:val="DefinedTerms"/>
      </w:pPr>
      <w:r>
        <w:t>aid</w:t>
      </w:r>
      <w:r>
        <w:tab/>
        <w:t>148(1)</w:t>
      </w:r>
    </w:p>
    <w:p>
      <w:pPr>
        <w:pStyle w:val="DefinedTerms"/>
      </w:pPr>
      <w:r>
        <w:t>aircraft</w:t>
      </w:r>
      <w:r>
        <w:tab/>
        <w:t>1(1)</w:t>
      </w:r>
    </w:p>
    <w:p>
      <w:pPr>
        <w:pStyle w:val="DefinedTerms"/>
      </w:pPr>
      <w:r>
        <w:t>Alternative offence</w:t>
      </w:r>
      <w:r>
        <w:tab/>
        <w:t>10B</w:t>
      </w:r>
    </w:p>
    <w:p>
      <w:pPr>
        <w:pStyle w:val="DefinedTerms"/>
      </w:pPr>
      <w:r>
        <w:t>amended</w:t>
      </w:r>
      <w:r>
        <w:tab/>
        <w:t>10K</w:t>
      </w:r>
    </w:p>
    <w:p>
      <w:pPr>
        <w:pStyle w:val="DefinedTerms"/>
      </w:pPr>
      <w:r>
        <w:t>amendment Act</w:t>
      </w:r>
      <w:r>
        <w:tab/>
        <w:t>Sch. 1 cl. 1</w:t>
      </w:r>
    </w:p>
    <w:p>
      <w:pPr>
        <w:pStyle w:val="DefinedTerms"/>
      </w:pPr>
      <w:r>
        <w:t>animal</w:t>
      </w:r>
      <w:r>
        <w:tab/>
        <w:t>370</w:t>
      </w:r>
    </w:p>
    <w:p>
      <w:pPr>
        <w:pStyle w:val="DefinedTerms"/>
      </w:pPr>
      <w:r>
        <w:t>animosity towards</w:t>
      </w:r>
      <w:r>
        <w:tab/>
        <w:t>76</w:t>
      </w:r>
    </w:p>
    <w:p>
      <w:pPr>
        <w:pStyle w:val="DefinedTerms"/>
      </w:pPr>
      <w:r>
        <w:t>anything</w:t>
      </w:r>
      <w:r>
        <w:tab/>
        <w:t>266(1)</w:t>
      </w:r>
    </w:p>
    <w:p>
      <w:pPr>
        <w:pStyle w:val="DefinedTerms"/>
      </w:pPr>
      <w:r>
        <w:t>applies force</w:t>
      </w:r>
      <w:r>
        <w:tab/>
        <w:t>222</w:t>
      </w:r>
    </w:p>
    <w:p>
      <w:pPr>
        <w:pStyle w:val="DefinedTerms"/>
      </w:pPr>
      <w:r>
        <w:t>assault</w:t>
      </w:r>
      <w:r>
        <w:tab/>
        <w:t>1(1), 222</w:t>
      </w:r>
    </w:p>
    <w:p>
      <w:pPr>
        <w:pStyle w:val="DefinedTerms"/>
      </w:pPr>
      <w:r>
        <w:t>associated place</w:t>
      </w:r>
      <w:r>
        <w:tab/>
        <w:t>244(6)</w:t>
      </w:r>
    </w:p>
    <w:p>
      <w:pPr>
        <w:pStyle w:val="DefinedTerms"/>
      </w:pPr>
      <w:r>
        <w:t>attempt to commit offence</w:t>
      </w:r>
      <w:r>
        <w:tab/>
        <w:t>4</w:t>
      </w:r>
    </w:p>
    <w:p>
      <w:pPr>
        <w:pStyle w:val="DefinedTerms"/>
      </w:pPr>
      <w:r>
        <w:t>Attorney General</w:t>
      </w:r>
      <w:r>
        <w:tab/>
        <w:t>1(1)</w:t>
      </w:r>
    </w:p>
    <w:p>
      <w:pPr>
        <w:pStyle w:val="DefinedTerms"/>
      </w:pPr>
      <w:r>
        <w:t>behave in a disorderly manner</w:t>
      </w:r>
      <w:r>
        <w:tab/>
        <w:t>74A(1)</w:t>
      </w:r>
    </w:p>
    <w:p>
      <w:pPr>
        <w:pStyle w:val="DefinedTerms"/>
      </w:pPr>
      <w:r>
        <w:t>belief</w:t>
      </w:r>
      <w:r>
        <w:tab/>
        <w:t>171(1)</w:t>
      </w:r>
    </w:p>
    <w:p>
      <w:pPr>
        <w:pStyle w:val="DefinedTerms"/>
      </w:pPr>
      <w:r>
        <w:t>bodily harm</w:t>
      </w:r>
      <w:r>
        <w:tab/>
        <w:t>1(1)</w:t>
      </w:r>
    </w:p>
    <w:p>
      <w:pPr>
        <w:pStyle w:val="DefinedTerms"/>
      </w:pPr>
      <w:r>
        <w:t>bribe</w:t>
      </w:r>
      <w:r>
        <w:tab/>
        <w:t>1(1)</w:t>
      </w:r>
    </w:p>
    <w:p>
      <w:pPr>
        <w:pStyle w:val="DefinedTerms"/>
      </w:pPr>
      <w:r>
        <w:t>bulletproof clothing</w:t>
      </w:r>
      <w:r>
        <w:tab/>
        <w:t>557I(1)</w:t>
      </w:r>
    </w:p>
    <w:p>
      <w:pPr>
        <w:pStyle w:val="DefinedTerms"/>
      </w:pPr>
      <w:r>
        <w:t>carnal connection</w:t>
      </w:r>
      <w:r>
        <w:tab/>
        <w:t>6</w:t>
      </w:r>
    </w:p>
    <w:p>
      <w:pPr>
        <w:pStyle w:val="DefinedTerms"/>
      </w:pPr>
      <w:r>
        <w:t>carnal knowledge</w:t>
      </w:r>
      <w:r>
        <w:tab/>
        <w:t>6</w:t>
      </w:r>
    </w:p>
    <w:p>
      <w:pPr>
        <w:pStyle w:val="DefinedTerms"/>
      </w:pPr>
      <w:r>
        <w:t>charge</w:t>
      </w:r>
      <w:r>
        <w:tab/>
        <w:t>5(1)</w:t>
      </w:r>
    </w:p>
    <w:p>
      <w:pPr>
        <w:pStyle w:val="DefinedTerms"/>
      </w:pPr>
      <w:r>
        <w:t>child</w:t>
      </w:r>
      <w:r>
        <w:tab/>
        <w:t>1(1), 217A, 306(1), 320(1), 321(1), 322(1), 331A, 557K(1)</w:t>
      </w:r>
    </w:p>
    <w:p>
      <w:pPr>
        <w:pStyle w:val="DefinedTerms"/>
      </w:pPr>
      <w:r>
        <w:t>child care centre</w:t>
      </w:r>
      <w:r>
        <w:tab/>
        <w:t>557K(1)</w:t>
      </w:r>
    </w:p>
    <w:p>
      <w:pPr>
        <w:pStyle w:val="DefinedTerms"/>
      </w:pPr>
      <w:r>
        <w:t>child exploitation material</w:t>
      </w:r>
      <w:r>
        <w:tab/>
        <w:t>217A</w:t>
      </w:r>
    </w:p>
    <w:p>
      <w:pPr>
        <w:pStyle w:val="DefinedTerms"/>
      </w:pPr>
      <w:r>
        <w:t>child pornography</w:t>
      </w:r>
      <w:r>
        <w:tab/>
        <w:t>217A</w:t>
      </w:r>
    </w:p>
    <w:p>
      <w:pPr>
        <w:pStyle w:val="DefinedTerms"/>
      </w:pPr>
      <w:r>
        <w:t>child sex offender</w:t>
      </w:r>
      <w:r>
        <w:tab/>
        <w:t>557K(1)</w:t>
      </w:r>
    </w:p>
    <w:p>
      <w:pPr>
        <w:pStyle w:val="DefinedTerms"/>
      </w:pPr>
      <w:r>
        <w:t>circumstances of aggravation</w:t>
      </w:r>
      <w:r>
        <w:tab/>
        <w:t>221(1), 319(1), 338D(1), 391, 400(1), 444(1A)</w:t>
      </w:r>
    </w:p>
    <w:p>
      <w:pPr>
        <w:pStyle w:val="DefinedTerms"/>
      </w:pPr>
      <w:r>
        <w:t>circumstances of racial aggravation</w:t>
      </w:r>
      <w:r>
        <w:tab/>
        <w:t>1(1), 80I</w:t>
      </w:r>
    </w:p>
    <w:p>
      <w:pPr>
        <w:pStyle w:val="DefinedTerms"/>
      </w:pPr>
      <w:r>
        <w:t>clerk</w:t>
      </w:r>
      <w:r>
        <w:tab/>
        <w:t>1(1)</w:t>
      </w:r>
    </w:p>
    <w:p>
      <w:pPr>
        <w:pStyle w:val="DefinedTerms"/>
      </w:pPr>
      <w:r>
        <w:t>COC Act</w:t>
      </w:r>
      <w:r>
        <w:tab/>
        <w:t>221C(1)</w:t>
      </w:r>
    </w:p>
    <w:p>
      <w:pPr>
        <w:pStyle w:val="DefinedTerms"/>
      </w:pPr>
      <w:r>
        <w:t>commencement</w:t>
      </w:r>
      <w:r>
        <w:tab/>
        <w:t>Sch. 1 cl. 1</w:t>
      </w:r>
    </w:p>
    <w:p>
      <w:pPr>
        <w:pStyle w:val="DefinedTerms"/>
      </w:pPr>
      <w:r>
        <w:t>commencement day</w:t>
      </w:r>
      <w:r>
        <w:tab/>
        <w:t>400(1)</w:t>
      </w:r>
    </w:p>
    <w:p>
      <w:pPr>
        <w:pStyle w:val="DefinedTerms"/>
      </w:pPr>
      <w:r>
        <w:t>Commissioner</w:t>
      </w:r>
      <w:r>
        <w:tab/>
        <w:t>557I(1)</w:t>
      </w:r>
    </w:p>
    <w:p>
      <w:pPr>
        <w:pStyle w:val="DefinedTerms"/>
      </w:pPr>
      <w:r>
        <w:lastRenderedPageBreak/>
        <w:t>company</w:t>
      </w:r>
      <w:r>
        <w:tab/>
        <w:t>1(1)</w:t>
      </w:r>
    </w:p>
    <w:p>
      <w:pPr>
        <w:pStyle w:val="DefinedTerms"/>
      </w:pPr>
      <w:r>
        <w:t>compound</w:t>
      </w:r>
      <w:r>
        <w:tab/>
        <w:t>136(1)</w:t>
      </w:r>
    </w:p>
    <w:p>
      <w:pPr>
        <w:pStyle w:val="DefinedTerms"/>
      </w:pPr>
      <w:r>
        <w:t>computer generated image</w:t>
      </w:r>
      <w:r>
        <w:tab/>
        <w:t>204B(1)</w:t>
      </w:r>
    </w:p>
    <w:p>
      <w:pPr>
        <w:pStyle w:val="DefinedTerms"/>
      </w:pPr>
      <w:r>
        <w:t>computer system</w:t>
      </w:r>
      <w:r>
        <w:tab/>
        <w:t>440A(1)</w:t>
      </w:r>
    </w:p>
    <w:p>
      <w:pPr>
        <w:pStyle w:val="DefinedTerms"/>
      </w:pPr>
      <w:r>
        <w:t>conducting a business</w:t>
      </w:r>
      <w:r>
        <w:tab/>
        <w:t>331C(1)</w:t>
      </w:r>
    </w:p>
    <w:p>
      <w:pPr>
        <w:pStyle w:val="DefinedTerms"/>
      </w:pPr>
      <w:r>
        <w:t>consent</w:t>
      </w:r>
      <w:r>
        <w:tab/>
        <w:t>221BA, 221BB(1), 319(2)</w:t>
      </w:r>
    </w:p>
    <w:p>
      <w:pPr>
        <w:pStyle w:val="DefinedTerms"/>
      </w:pPr>
      <w:r>
        <w:t>consort</w:t>
      </w:r>
      <w:r>
        <w:tab/>
        <w:t>557J(1), 557K(1)</w:t>
      </w:r>
    </w:p>
    <w:p>
      <w:pPr>
        <w:pStyle w:val="DefinedTerms"/>
      </w:pPr>
      <w:r>
        <w:t>contract</w:t>
      </w:r>
      <w:r>
        <w:tab/>
        <w:t>546</w:t>
      </w:r>
    </w:p>
    <w:p>
      <w:pPr>
        <w:pStyle w:val="DefinedTerms"/>
      </w:pPr>
      <w:r>
        <w:t>conveyance</w:t>
      </w:r>
      <w:r>
        <w:tab/>
        <w:t>1(1), 284(1), 390A(1)</w:t>
      </w:r>
    </w:p>
    <w:p>
      <w:pPr>
        <w:pStyle w:val="DefinedTerms"/>
      </w:pPr>
      <w:r>
        <w:t>court</w:t>
      </w:r>
      <w:r>
        <w:tab/>
        <w:t>5(1)</w:t>
      </w:r>
    </w:p>
    <w:p>
      <w:pPr>
        <w:pStyle w:val="DefinedTerms"/>
      </w:pPr>
      <w:r>
        <w:t>court of summary jurisdiction</w:t>
      </w:r>
      <w:r>
        <w:tab/>
        <w:t>1(1)</w:t>
      </w:r>
    </w:p>
    <w:p>
      <w:pPr>
        <w:pStyle w:val="DefinedTerms"/>
      </w:pPr>
      <w:r>
        <w:t>CP Act</w:t>
      </w:r>
      <w:r>
        <w:tab/>
        <w:t>720</w:t>
      </w:r>
    </w:p>
    <w:p>
      <w:pPr>
        <w:pStyle w:val="DefinedTerms"/>
      </w:pPr>
      <w:r>
        <w:t>criminal organisation</w:t>
      </w:r>
      <w:r>
        <w:tab/>
        <w:t>221C(1), 221D(1)</w:t>
      </w:r>
    </w:p>
    <w:p>
      <w:pPr>
        <w:pStyle w:val="DefinedTerms"/>
      </w:pPr>
      <w:r>
        <w:t>criminal responsibility</w:t>
      </w:r>
      <w:r>
        <w:tab/>
        <w:t>1(1)</w:t>
      </w:r>
    </w:p>
    <w:p>
      <w:pPr>
        <w:pStyle w:val="DefinedTerms"/>
      </w:pPr>
      <w:r>
        <w:t>criminally responsible</w:t>
      </w:r>
      <w:r>
        <w:tab/>
        <w:t>1(1)</w:t>
      </w:r>
    </w:p>
    <w:p>
      <w:pPr>
        <w:pStyle w:val="DefinedTerms"/>
      </w:pPr>
      <w:r>
        <w:t>current offence</w:t>
      </w:r>
      <w:r>
        <w:tab/>
        <w:t>401B(1), 401(4)</w:t>
      </w:r>
    </w:p>
    <w:p>
      <w:pPr>
        <w:pStyle w:val="DefinedTerms"/>
      </w:pPr>
      <w:r>
        <w:t>damage</w:t>
      </w:r>
      <w:r>
        <w:tab/>
        <w:t>1(1), 1(1)</w:t>
      </w:r>
    </w:p>
    <w:p>
      <w:pPr>
        <w:pStyle w:val="DefinedTerms"/>
      </w:pPr>
      <w:r>
        <w:t>dangerous goods</w:t>
      </w:r>
      <w:r>
        <w:tab/>
        <w:t>294A(3)</w:t>
      </w:r>
    </w:p>
    <w:p>
      <w:pPr>
        <w:pStyle w:val="DefinedTerms"/>
      </w:pPr>
      <w:r>
        <w:t>dangerous thing</w:t>
      </w:r>
      <w:r>
        <w:tab/>
        <w:t>305(1)</w:t>
      </w:r>
    </w:p>
    <w:p>
      <w:pPr>
        <w:pStyle w:val="DefinedTerms"/>
      </w:pPr>
      <w:r>
        <w:t>de facto child</w:t>
      </w:r>
      <w:r>
        <w:tab/>
        <w:t>329(1)</w:t>
      </w:r>
    </w:p>
    <w:p>
      <w:pPr>
        <w:pStyle w:val="DefinedTerms"/>
      </w:pPr>
      <w:r>
        <w:t>deals with</w:t>
      </w:r>
      <w:r>
        <w:tab/>
        <w:t>319(1), 563B(5)</w:t>
      </w:r>
    </w:p>
    <w:p>
      <w:pPr>
        <w:pStyle w:val="DefinedTerms"/>
      </w:pPr>
      <w:r>
        <w:t>deceptive material</w:t>
      </w:r>
      <w:r>
        <w:tab/>
        <w:t>99(1)</w:t>
      </w:r>
    </w:p>
    <w:p>
      <w:pPr>
        <w:pStyle w:val="DefinedTerms"/>
      </w:pPr>
      <w:r>
        <w:t>declared criminal organisation</w:t>
      </w:r>
      <w:r>
        <w:tab/>
        <w:t>221C(1)</w:t>
      </w:r>
    </w:p>
    <w:p>
      <w:pPr>
        <w:pStyle w:val="DefinedTerms"/>
      </w:pPr>
      <w:r>
        <w:t>declared drug trafficker</w:t>
      </w:r>
      <w:r>
        <w:tab/>
        <w:t>557J(1)</w:t>
      </w:r>
    </w:p>
    <w:p>
      <w:pPr>
        <w:pStyle w:val="DefinedTerms"/>
      </w:pPr>
      <w:r>
        <w:t>defamatory</w:t>
      </w:r>
      <w:r>
        <w:tab/>
        <w:t>345(7)</w:t>
      </w:r>
    </w:p>
    <w:p>
      <w:pPr>
        <w:pStyle w:val="DefinedTerms"/>
      </w:pPr>
      <w:r>
        <w:t>depicted person</w:t>
      </w:r>
      <w:r>
        <w:tab/>
        <w:t>221BD(2)</w:t>
      </w:r>
    </w:p>
    <w:p>
      <w:pPr>
        <w:pStyle w:val="DefinedTerms"/>
      </w:pPr>
      <w:r>
        <w:t>designated family relationship</w:t>
      </w:r>
      <w:r>
        <w:tab/>
        <w:t>299(1)</w:t>
      </w:r>
    </w:p>
    <w:p>
      <w:pPr>
        <w:pStyle w:val="DefinedTerms"/>
      </w:pPr>
      <w:r>
        <w:t>destroy</w:t>
      </w:r>
      <w:r>
        <w:tab/>
        <w:t>1(1)</w:t>
      </w:r>
    </w:p>
    <w:p>
      <w:pPr>
        <w:pStyle w:val="DefinedTerms"/>
      </w:pPr>
      <w:r>
        <w:t>detriment</w:t>
      </w:r>
      <w:r>
        <w:tab/>
        <w:t>97(1)</w:t>
      </w:r>
    </w:p>
    <w:p>
      <w:pPr>
        <w:pStyle w:val="DefinedTerms"/>
      </w:pPr>
      <w:r>
        <w:t>digital signature</w:t>
      </w:r>
      <w:r>
        <w:tab/>
        <w:t>489</w:t>
      </w:r>
    </w:p>
    <w:p>
      <w:pPr>
        <w:pStyle w:val="DefinedTerms"/>
      </w:pPr>
      <w:r>
        <w:t>disclosure</w:t>
      </w:r>
      <w:r>
        <w:tab/>
        <w:t>81(1)</w:t>
      </w:r>
    </w:p>
    <w:p>
      <w:pPr>
        <w:pStyle w:val="DefinedTerms"/>
      </w:pPr>
      <w:r>
        <w:t>display</w:t>
      </w:r>
      <w:r>
        <w:tab/>
        <w:t>76</w:t>
      </w:r>
    </w:p>
    <w:p>
      <w:pPr>
        <w:pStyle w:val="DefinedTerms"/>
      </w:pPr>
      <w:r>
        <w:t>distribute</w:t>
      </w:r>
      <w:r>
        <w:tab/>
        <w:t>76, 219(1)</w:t>
      </w:r>
    </w:p>
    <w:p>
      <w:pPr>
        <w:pStyle w:val="DefinedTerms"/>
      </w:pPr>
      <w:r>
        <w:t>distributes</w:t>
      </w:r>
      <w:r>
        <w:tab/>
        <w:t>221BA, 221BC</w:t>
      </w:r>
    </w:p>
    <w:p>
      <w:pPr>
        <w:pStyle w:val="DefinedTerms"/>
      </w:pPr>
      <w:r>
        <w:t>District Court</w:t>
      </w:r>
      <w:r>
        <w:tab/>
        <w:t>1(1)</w:t>
      </w:r>
    </w:p>
    <w:p>
      <w:pPr>
        <w:pStyle w:val="DefinedTerms"/>
      </w:pPr>
      <w:r>
        <w:t>drive</w:t>
      </w:r>
      <w:r>
        <w:tab/>
        <w:t>74B(1), 284(1)</w:t>
      </w:r>
    </w:p>
    <w:p>
      <w:pPr>
        <w:pStyle w:val="DefinedTerms"/>
      </w:pPr>
      <w:r>
        <w:t>dwelling</w:t>
      </w:r>
      <w:r>
        <w:tab/>
        <w:t>1(1)</w:t>
      </w:r>
    </w:p>
    <w:p>
      <w:pPr>
        <w:pStyle w:val="DefinedTerms"/>
      </w:pPr>
      <w:r>
        <w:t>election</w:t>
      </w:r>
      <w:r>
        <w:tab/>
        <w:t>93</w:t>
      </w:r>
    </w:p>
    <w:p>
      <w:pPr>
        <w:pStyle w:val="DefinedTerms"/>
      </w:pPr>
      <w:r>
        <w:t>elector</w:t>
      </w:r>
      <w:r>
        <w:tab/>
        <w:t>93</w:t>
      </w:r>
    </w:p>
    <w:p>
      <w:pPr>
        <w:pStyle w:val="DefinedTerms"/>
      </w:pPr>
      <w:r>
        <w:t>electoral conduct</w:t>
      </w:r>
      <w:r>
        <w:tab/>
        <w:t>93</w:t>
      </w:r>
    </w:p>
    <w:p>
      <w:pPr>
        <w:pStyle w:val="DefinedTerms"/>
      </w:pPr>
      <w:r>
        <w:t>electoral material</w:t>
      </w:r>
      <w:r>
        <w:tab/>
        <w:t>98(1)</w:t>
      </w:r>
    </w:p>
    <w:p>
      <w:pPr>
        <w:pStyle w:val="DefinedTerms"/>
      </w:pPr>
      <w:r>
        <w:t>electoral officer</w:t>
      </w:r>
      <w:r>
        <w:tab/>
        <w:t>93</w:t>
      </w:r>
    </w:p>
    <w:p>
      <w:pPr>
        <w:pStyle w:val="DefinedTerms"/>
      </w:pPr>
      <w:r>
        <w:t>electronic</w:t>
      </w:r>
      <w:r>
        <w:tab/>
        <w:t>204B(1)</w:t>
      </w:r>
    </w:p>
    <w:p>
      <w:pPr>
        <w:pStyle w:val="DefinedTerms"/>
      </w:pPr>
      <w:r>
        <w:t>electronic communication</w:t>
      </w:r>
      <w:r>
        <w:tab/>
        <w:t>204B(1), 489</w:t>
      </w:r>
    </w:p>
    <w:p>
      <w:pPr>
        <w:pStyle w:val="DefinedTerms"/>
      </w:pPr>
      <w:r>
        <w:t>enclosed land</w:t>
      </w:r>
      <w:r>
        <w:tab/>
        <w:t>70B(1)</w:t>
      </w:r>
    </w:p>
    <w:p>
      <w:pPr>
        <w:pStyle w:val="DefinedTerms"/>
      </w:pPr>
      <w:r>
        <w:lastRenderedPageBreak/>
        <w:t>engaged in a private act</w:t>
      </w:r>
      <w:r>
        <w:tab/>
        <w:t>221BA</w:t>
      </w:r>
    </w:p>
    <w:p>
      <w:pPr>
        <w:pStyle w:val="DefinedTerms"/>
      </w:pPr>
      <w:r>
        <w:t>explosive substance</w:t>
      </w:r>
      <w:r>
        <w:tab/>
        <w:t>1(1), 455, 557(2)</w:t>
      </w:r>
    </w:p>
    <w:p>
      <w:pPr>
        <w:pStyle w:val="DefinedTerms"/>
      </w:pPr>
      <w:r>
        <w:t>family relationship</w:t>
      </w:r>
      <w:r>
        <w:tab/>
        <w:t>221(2)</w:t>
      </w:r>
    </w:p>
    <w:p>
      <w:pPr>
        <w:pStyle w:val="DefinedTerms"/>
      </w:pPr>
      <w:r>
        <w:t>female genital mutilation</w:t>
      </w:r>
      <w:r>
        <w:tab/>
        <w:t>306(1)</w:t>
      </w:r>
    </w:p>
    <w:p>
      <w:pPr>
        <w:pStyle w:val="DefinedTerms"/>
      </w:pPr>
      <w:r>
        <w:t>first relevant conviction</w:t>
      </w:r>
      <w:r>
        <w:tab/>
        <w:t>401A(1)</w:t>
      </w:r>
    </w:p>
    <w:p>
      <w:pPr>
        <w:pStyle w:val="DefinedTerms"/>
      </w:pPr>
      <w:r>
        <w:t>forge</w:t>
      </w:r>
      <w:r>
        <w:tab/>
        <w:t>1(1)</w:t>
      </w:r>
    </w:p>
    <w:p>
      <w:pPr>
        <w:pStyle w:val="DefinedTerms"/>
      </w:pPr>
      <w:r>
        <w:t>government contractor</w:t>
      </w:r>
      <w:r>
        <w:tab/>
        <w:t>81(1)</w:t>
      </w:r>
    </w:p>
    <w:p>
      <w:pPr>
        <w:pStyle w:val="DefinedTerms"/>
      </w:pPr>
      <w:r>
        <w:t>grievous bodily harm</w:t>
      </w:r>
      <w:r>
        <w:tab/>
        <w:t>1(1)</w:t>
      </w:r>
    </w:p>
    <w:p>
      <w:pPr>
        <w:pStyle w:val="DefinedTerms"/>
      </w:pPr>
      <w:r>
        <w:t>harass</w:t>
      </w:r>
      <w:r>
        <w:tab/>
        <w:t>76</w:t>
      </w:r>
    </w:p>
    <w:p>
      <w:pPr>
        <w:pStyle w:val="DefinedTerms"/>
      </w:pPr>
      <w:r>
        <w:t>harm</w:t>
      </w:r>
      <w:r>
        <w:tab/>
        <w:t>305A(1)</w:t>
      </w:r>
    </w:p>
    <w:p>
      <w:pPr>
        <w:pStyle w:val="DefinedTerms"/>
      </w:pPr>
      <w:r>
        <w:t>harmful act</w:t>
      </w:r>
      <w:r>
        <w:tab/>
        <w:t>248(1)</w:t>
      </w:r>
    </w:p>
    <w:p>
      <w:pPr>
        <w:pStyle w:val="DefinedTerms"/>
      </w:pPr>
      <w:r>
        <w:t>holder of a judicial office</w:t>
      </w:r>
      <w:r>
        <w:tab/>
        <w:t>121</w:t>
      </w:r>
    </w:p>
    <w:p>
      <w:pPr>
        <w:pStyle w:val="DefinedTerms"/>
      </w:pPr>
      <w:r>
        <w:t>home burglary</w:t>
      </w:r>
      <w:r>
        <w:tab/>
        <w:t>1(1)</w:t>
      </w:r>
    </w:p>
    <w:p>
      <w:pPr>
        <w:pStyle w:val="DefinedTerms"/>
      </w:pPr>
      <w:r>
        <w:t>home invader</w:t>
      </w:r>
      <w:r>
        <w:tab/>
        <w:t>244(2)</w:t>
      </w:r>
    </w:p>
    <w:p>
      <w:pPr>
        <w:pStyle w:val="DefinedTerms"/>
      </w:pPr>
      <w:r>
        <w:t>identification equipment</w:t>
      </w:r>
      <w:r>
        <w:tab/>
        <w:t>492(1)</w:t>
      </w:r>
    </w:p>
    <w:p>
      <w:pPr>
        <w:pStyle w:val="DefinedTerms"/>
      </w:pPr>
      <w:r>
        <w:t>identification information</w:t>
      </w:r>
      <w:r>
        <w:tab/>
        <w:t>489</w:t>
      </w:r>
    </w:p>
    <w:p>
      <w:pPr>
        <w:pStyle w:val="DefinedTerms"/>
      </w:pPr>
      <w:r>
        <w:t>identification material</w:t>
      </w:r>
      <w:r>
        <w:tab/>
        <w:t>489, 494(1)</w:t>
      </w:r>
    </w:p>
    <w:p>
      <w:pPr>
        <w:pStyle w:val="DefinedTerms"/>
      </w:pPr>
      <w:r>
        <w:t>identity offence</w:t>
      </w:r>
      <w:r>
        <w:tab/>
        <w:t>494(1)</w:t>
      </w:r>
    </w:p>
    <w:p>
      <w:pPr>
        <w:pStyle w:val="DefinedTerms"/>
      </w:pPr>
      <w:r>
        <w:t>impair</w:t>
      </w:r>
      <w:r>
        <w:tab/>
        <w:t>305A(1)</w:t>
      </w:r>
    </w:p>
    <w:p>
      <w:pPr>
        <w:pStyle w:val="DefinedTerms"/>
      </w:pPr>
      <w:r>
        <w:t>in relation to his principal’s affairs or business</w:t>
      </w:r>
      <w:r>
        <w:tab/>
        <w:t>546</w:t>
      </w:r>
    </w:p>
    <w:p>
      <w:pPr>
        <w:pStyle w:val="DefinedTerms"/>
      </w:pPr>
      <w:r>
        <w:t>incapable person</w:t>
      </w:r>
      <w:r>
        <w:tab/>
        <w:t>331A</w:t>
      </w:r>
    </w:p>
    <w:p>
      <w:pPr>
        <w:pStyle w:val="DefinedTerms"/>
      </w:pPr>
      <w:r>
        <w:t>incites</w:t>
      </w:r>
      <w:r>
        <w:tab/>
        <w:t>1(1)</w:t>
      </w:r>
    </w:p>
    <w:p>
      <w:pPr>
        <w:pStyle w:val="DefinedTerms"/>
      </w:pPr>
      <w:r>
        <w:t>indecent act</w:t>
      </w:r>
      <w:r>
        <w:tab/>
        <w:t>319(1)</w:t>
      </w:r>
    </w:p>
    <w:p>
      <w:pPr>
        <w:pStyle w:val="DefinedTerms"/>
      </w:pPr>
      <w:r>
        <w:t>indecent matter</w:t>
      </w:r>
      <w:r>
        <w:tab/>
        <w:t>204B(1)</w:t>
      </w:r>
    </w:p>
    <w:p>
      <w:pPr>
        <w:pStyle w:val="DefinedTerms"/>
      </w:pPr>
      <w:r>
        <w:t>indictable offence</w:t>
      </w:r>
      <w:r>
        <w:tab/>
        <w:t>221C(1)</w:t>
      </w:r>
    </w:p>
    <w:p>
      <w:pPr>
        <w:pStyle w:val="DefinedTerms"/>
      </w:pPr>
      <w:r>
        <w:t>indictment</w:t>
      </w:r>
      <w:r>
        <w:tab/>
        <w:t>1(1)</w:t>
      </w:r>
    </w:p>
    <w:p>
      <w:pPr>
        <w:pStyle w:val="DefinedTerms"/>
      </w:pPr>
      <w:r>
        <w:t>information</w:t>
      </w:r>
      <w:r>
        <w:tab/>
        <w:t>81(1)</w:t>
      </w:r>
    </w:p>
    <w:p>
      <w:pPr>
        <w:pStyle w:val="DefinedTerms"/>
      </w:pPr>
      <w:r>
        <w:t>intimate image</w:t>
      </w:r>
      <w:r>
        <w:tab/>
        <w:t>221BA</w:t>
      </w:r>
    </w:p>
    <w:p>
      <w:pPr>
        <w:pStyle w:val="DefinedTerms"/>
      </w:pPr>
      <w:r>
        <w:t>intimate image offence</w:t>
      </w:r>
      <w:r>
        <w:tab/>
        <w:t>221BE(1)</w:t>
      </w:r>
    </w:p>
    <w:p>
      <w:pPr>
        <w:pStyle w:val="DefinedTerms"/>
      </w:pPr>
      <w:r>
        <w:t>intimate personal relationship</w:t>
      </w:r>
      <w:r>
        <w:tab/>
        <w:t>299(2)</w:t>
      </w:r>
    </w:p>
    <w:p>
      <w:pPr>
        <w:pStyle w:val="DefinedTerms"/>
      </w:pPr>
      <w:r>
        <w:t>intimidate</w:t>
      </w:r>
      <w:r>
        <w:tab/>
        <w:t>338D(1)</w:t>
      </w:r>
    </w:p>
    <w:p>
      <w:pPr>
        <w:pStyle w:val="DefinedTerms"/>
      </w:pPr>
      <w:r>
        <w:t>intoxicant</w:t>
      </w:r>
      <w:r>
        <w:tab/>
        <w:t>206(1)</w:t>
      </w:r>
    </w:p>
    <w:p>
      <w:pPr>
        <w:pStyle w:val="DefinedTerms"/>
      </w:pPr>
      <w:r>
        <w:t>intoxicating substance</w:t>
      </w:r>
      <w:r>
        <w:tab/>
        <w:t>305A(1)</w:t>
      </w:r>
    </w:p>
    <w:p>
      <w:pPr>
        <w:pStyle w:val="DefinedTerms"/>
      </w:pPr>
      <w:r>
        <w:t>judicial proceeding</w:t>
      </w:r>
      <w:r>
        <w:tab/>
        <w:t>120</w:t>
      </w:r>
    </w:p>
    <w:p>
      <w:pPr>
        <w:pStyle w:val="DefinedTerms"/>
      </w:pPr>
      <w:r>
        <w:t>juvenile offender</w:t>
      </w:r>
      <w:r>
        <w:tab/>
        <w:t>1(1)</w:t>
      </w:r>
    </w:p>
    <w:p>
      <w:pPr>
        <w:pStyle w:val="DefinedTerms"/>
      </w:pPr>
      <w:r>
        <w:t>kill</w:t>
      </w:r>
      <w:r>
        <w:tab/>
        <w:t>270</w:t>
      </w:r>
    </w:p>
    <w:p>
      <w:pPr>
        <w:pStyle w:val="DefinedTerms"/>
      </w:pPr>
      <w:r>
        <w:t>law enforcement agency</w:t>
      </w:r>
      <w:r>
        <w:tab/>
        <w:t>221A(4), 221BA</w:t>
      </w:r>
    </w:p>
    <w:p>
      <w:pPr>
        <w:pStyle w:val="DefinedTerms"/>
      </w:pPr>
      <w:r>
        <w:t>lawful excuse</w:t>
      </w:r>
      <w:r>
        <w:tab/>
        <w:t>68B(1), 68C(1), 68D(1)</w:t>
      </w:r>
    </w:p>
    <w:p>
      <w:pPr>
        <w:pStyle w:val="DefinedTerms"/>
      </w:pPr>
      <w:r>
        <w:t>liable</w:t>
      </w:r>
      <w:r>
        <w:tab/>
        <w:t>1(1)</w:t>
      </w:r>
    </w:p>
    <w:p>
      <w:pPr>
        <w:pStyle w:val="DefinedTerms"/>
      </w:pPr>
      <w:r>
        <w:t>licensed premises</w:t>
      </w:r>
      <w:r>
        <w:tab/>
        <w:t>75A(4)</w:t>
      </w:r>
    </w:p>
    <w:p>
      <w:pPr>
        <w:pStyle w:val="DefinedTerms"/>
      </w:pPr>
      <w:r>
        <w:t>lineal relative</w:t>
      </w:r>
      <w:r>
        <w:tab/>
        <w:t>329(1)</w:t>
      </w:r>
    </w:p>
    <w:p>
      <w:pPr>
        <w:pStyle w:val="DefinedTerms"/>
      </w:pPr>
      <w:r>
        <w:t>material</w:t>
      </w:r>
      <w:r>
        <w:tab/>
        <w:t>204A(1), 217A</w:t>
      </w:r>
    </w:p>
    <w:p>
      <w:pPr>
        <w:pStyle w:val="DefinedTerms"/>
      </w:pPr>
      <w:r>
        <w:t>media activity purposes</w:t>
      </w:r>
      <w:r>
        <w:tab/>
        <w:t>221BD(1)</w:t>
      </w:r>
    </w:p>
    <w:p>
      <w:pPr>
        <w:pStyle w:val="DefinedTerms"/>
      </w:pPr>
      <w:r>
        <w:t>medical practitioner</w:t>
      </w:r>
      <w:r>
        <w:tab/>
        <w:t>199(4)</w:t>
      </w:r>
    </w:p>
    <w:p>
      <w:pPr>
        <w:pStyle w:val="DefinedTerms"/>
      </w:pPr>
      <w:r>
        <w:t>member</w:t>
      </w:r>
      <w:r>
        <w:tab/>
        <w:t>76</w:t>
      </w:r>
    </w:p>
    <w:p>
      <w:pPr>
        <w:pStyle w:val="DefinedTerms"/>
      </w:pPr>
      <w:r>
        <w:lastRenderedPageBreak/>
        <w:t>member of the crew</w:t>
      </w:r>
      <w:r>
        <w:tab/>
        <w:t>1(1)</w:t>
      </w:r>
    </w:p>
    <w:p>
      <w:pPr>
        <w:pStyle w:val="DefinedTerms"/>
      </w:pPr>
      <w:r>
        <w:t>mental illness</w:t>
      </w:r>
      <w:r>
        <w:tab/>
        <w:t>1(1)</w:t>
      </w:r>
    </w:p>
    <w:p>
      <w:pPr>
        <w:pStyle w:val="DefinedTerms"/>
      </w:pPr>
      <w:r>
        <w:t>mental impairment</w:t>
      </w:r>
      <w:r>
        <w:tab/>
        <w:t>1(1)</w:t>
      </w:r>
    </w:p>
    <w:p>
      <w:pPr>
        <w:pStyle w:val="DefinedTerms"/>
      </w:pPr>
      <w:r>
        <w:t>money</w:t>
      </w:r>
      <w:r>
        <w:tab/>
        <w:t>1(1)</w:t>
      </w:r>
    </w:p>
    <w:p>
      <w:pPr>
        <w:pStyle w:val="DefinedTerms"/>
      </w:pPr>
      <w:r>
        <w:t>mortgaged goods</w:t>
      </w:r>
      <w:r>
        <w:tab/>
        <w:t>389</w:t>
      </w:r>
    </w:p>
    <w:p>
      <w:pPr>
        <w:pStyle w:val="DefinedTerms"/>
      </w:pPr>
      <w:r>
        <w:t>motor vehicle</w:t>
      </w:r>
      <w:r>
        <w:tab/>
        <w:t>1(1)</w:t>
      </w:r>
    </w:p>
    <w:p>
      <w:pPr>
        <w:pStyle w:val="DefinedTerms"/>
      </w:pPr>
      <w:r>
        <w:t>new conviction</w:t>
      </w:r>
      <w:r>
        <w:tab/>
        <w:t>401A(4)</w:t>
      </w:r>
    </w:p>
    <w:p>
      <w:pPr>
        <w:pStyle w:val="DefinedTerms"/>
      </w:pPr>
      <w:r>
        <w:t>night</w:t>
      </w:r>
      <w:r>
        <w:tab/>
        <w:t>1(1)</w:t>
      </w:r>
    </w:p>
    <w:p>
      <w:pPr>
        <w:pStyle w:val="DefinedTerms"/>
      </w:pPr>
      <w:r>
        <w:t>night</w:t>
      </w:r>
      <w:r>
        <w:noBreakHyphen/>
        <w:t>time</w:t>
      </w:r>
      <w:r>
        <w:tab/>
        <w:t>1(1)</w:t>
      </w:r>
    </w:p>
    <w:p>
      <w:pPr>
        <w:pStyle w:val="DefinedTerms"/>
      </w:pPr>
      <w:r>
        <w:t>obstruct</w:t>
      </w:r>
      <w:r>
        <w:tab/>
        <w:t>172(1)</w:t>
      </w:r>
    </w:p>
    <w:p>
      <w:pPr>
        <w:pStyle w:val="DefinedTerms"/>
      </w:pPr>
      <w:r>
        <w:t>obtains</w:t>
      </w:r>
      <w:r>
        <w:tab/>
        <w:t>1(1)</w:t>
      </w:r>
    </w:p>
    <w:p>
      <w:pPr>
        <w:pStyle w:val="DefinedTerms"/>
      </w:pPr>
      <w:r>
        <w:t>occupant</w:t>
      </w:r>
      <w:r>
        <w:tab/>
        <w:t>244(1), 254(2)</w:t>
      </w:r>
    </w:p>
    <w:p>
      <w:pPr>
        <w:pStyle w:val="DefinedTerms"/>
      </w:pPr>
      <w:r>
        <w:t>offence</w:t>
      </w:r>
      <w:r>
        <w:tab/>
        <w:t>2, 244(6), 563A(3), 563B(5)</w:t>
      </w:r>
    </w:p>
    <w:p>
      <w:pPr>
        <w:pStyle w:val="DefinedTerms"/>
      </w:pPr>
      <w:r>
        <w:t>offence A</w:t>
      </w:r>
      <w:r>
        <w:tab/>
        <w:t>10B(1) and (2)</w:t>
      </w:r>
    </w:p>
    <w:p>
      <w:pPr>
        <w:pStyle w:val="DefinedTerms"/>
      </w:pPr>
      <w:r>
        <w:t>offensive material</w:t>
      </w:r>
      <w:r>
        <w:tab/>
        <w:t>204A(1)</w:t>
      </w:r>
    </w:p>
    <w:p>
      <w:pPr>
        <w:pStyle w:val="DefinedTerms"/>
      </w:pPr>
      <w:r>
        <w:t>official information</w:t>
      </w:r>
      <w:r>
        <w:tab/>
        <w:t>81(1)</w:t>
      </w:r>
    </w:p>
    <w:p>
      <w:pPr>
        <w:pStyle w:val="DefinedTerms"/>
      </w:pPr>
      <w:r>
        <w:t>organise</w:t>
      </w:r>
      <w:r>
        <w:tab/>
        <w:t>75B(1)</w:t>
      </w:r>
    </w:p>
    <w:p>
      <w:pPr>
        <w:pStyle w:val="DefinedTerms"/>
      </w:pPr>
      <w:r>
        <w:t>out</w:t>
      </w:r>
      <w:r>
        <w:noBreakHyphen/>
        <w:t>of</w:t>
      </w:r>
      <w:r>
        <w:noBreakHyphen/>
        <w:t>control gathering</w:t>
      </w:r>
      <w:r>
        <w:tab/>
        <w:t>75A(1)</w:t>
      </w:r>
    </w:p>
    <w:p>
      <w:pPr>
        <w:pStyle w:val="DefinedTerms"/>
      </w:pPr>
      <w:r>
        <w:t>owner</w:t>
      </w:r>
      <w:r>
        <w:tab/>
        <w:t>1(1), 70B(1)</w:t>
      </w:r>
    </w:p>
    <w:p>
      <w:pPr>
        <w:pStyle w:val="DefinedTerms"/>
      </w:pPr>
      <w:r>
        <w:t>password</w:t>
      </w:r>
      <w:r>
        <w:tab/>
        <w:t>440A(1)</w:t>
      </w:r>
    </w:p>
    <w:p>
      <w:pPr>
        <w:pStyle w:val="DefinedTerms"/>
      </w:pPr>
      <w:r>
        <w:t>periodical</w:t>
      </w:r>
      <w:r>
        <w:tab/>
        <w:t>343A(2)</w:t>
      </w:r>
    </w:p>
    <w:p>
      <w:pPr>
        <w:pStyle w:val="DefinedTerms"/>
      </w:pPr>
      <w:r>
        <w:t>persistently engages in family violence</w:t>
      </w:r>
      <w:r>
        <w:tab/>
        <w:t>299(5)</w:t>
      </w:r>
    </w:p>
    <w:p>
      <w:pPr>
        <w:pStyle w:val="DefinedTerms"/>
      </w:pPr>
      <w:r>
        <w:t>person</w:t>
      </w:r>
      <w:r>
        <w:tab/>
        <w:t>1(1)</w:t>
      </w:r>
    </w:p>
    <w:p>
      <w:pPr>
        <w:pStyle w:val="DefinedTerms"/>
      </w:pPr>
      <w:r>
        <w:t>person employed in the Public Service</w:t>
      </w:r>
      <w:r>
        <w:tab/>
        <w:t>1(1)</w:t>
      </w:r>
    </w:p>
    <w:p>
      <w:pPr>
        <w:pStyle w:val="DefinedTerms"/>
      </w:pPr>
      <w:r>
        <w:t>person having business relations with the principal</w:t>
      </w:r>
      <w:r>
        <w:tab/>
        <w:t>546</w:t>
      </w:r>
    </w:p>
    <w:p>
      <w:pPr>
        <w:pStyle w:val="DefinedTerms"/>
      </w:pPr>
      <w:r>
        <w:t>person in authority</w:t>
      </w:r>
      <w:r>
        <w:tab/>
        <w:t>70A(1)</w:t>
      </w:r>
    </w:p>
    <w:p>
      <w:pPr>
        <w:pStyle w:val="DefinedTerms"/>
      </w:pPr>
      <w:r>
        <w:t>picture</w:t>
      </w:r>
      <w:r>
        <w:tab/>
        <w:t>204B(1), 217A</w:t>
      </w:r>
    </w:p>
    <w:p>
      <w:pPr>
        <w:pStyle w:val="DefinedTerms"/>
      </w:pPr>
      <w:r>
        <w:t>place</w:t>
      </w:r>
      <w:r>
        <w:tab/>
        <w:t>244(6), 254(1), 400(1)</w:t>
      </w:r>
    </w:p>
    <w:p>
      <w:pPr>
        <w:pStyle w:val="DefinedTerms"/>
      </w:pPr>
      <w:r>
        <w:t>place of public entertainment</w:t>
      </w:r>
      <w:r>
        <w:tab/>
        <w:t>68B(1)</w:t>
      </w:r>
    </w:p>
    <w:p>
      <w:pPr>
        <w:pStyle w:val="DefinedTerms"/>
      </w:pPr>
      <w:r>
        <w:t>possession</w:t>
      </w:r>
      <w:r>
        <w:tab/>
        <w:t>1(1)</w:t>
      </w:r>
    </w:p>
    <w:p>
      <w:pPr>
        <w:pStyle w:val="DefinedTerms"/>
      </w:pPr>
      <w:r>
        <w:t>prescribed amount</w:t>
      </w:r>
      <w:r>
        <w:tab/>
        <w:t>68D(1)</w:t>
      </w:r>
    </w:p>
    <w:p>
      <w:pPr>
        <w:pStyle w:val="DefinedTerms"/>
      </w:pPr>
      <w:r>
        <w:t>prescribed circumstances</w:t>
      </w:r>
      <w:r>
        <w:tab/>
        <w:t>297(8), 318(5)</w:t>
      </w:r>
    </w:p>
    <w:p>
      <w:pPr>
        <w:pStyle w:val="DefinedTerms"/>
      </w:pPr>
      <w:r>
        <w:t>prescribed offence</w:t>
      </w:r>
      <w:r>
        <w:tab/>
        <w:t>299(1), 321A(1)</w:t>
      </w:r>
    </w:p>
    <w:p>
      <w:pPr>
        <w:pStyle w:val="DefinedTerms"/>
      </w:pPr>
      <w:r>
        <w:t>prescribed place</w:t>
      </w:r>
      <w:r>
        <w:tab/>
        <w:t>68B(1)</w:t>
      </w:r>
    </w:p>
    <w:p>
      <w:pPr>
        <w:pStyle w:val="DefinedTerms"/>
      </w:pPr>
      <w:r>
        <w:t>principal</w:t>
      </w:r>
      <w:r>
        <w:tab/>
        <w:t>546</w:t>
      </w:r>
    </w:p>
    <w:p>
      <w:pPr>
        <w:pStyle w:val="DefinedTerms"/>
      </w:pPr>
      <w:r>
        <w:t>principal offence</w:t>
      </w:r>
      <w:r>
        <w:tab/>
        <w:t>10D, 10E, 10F, 10G(1) and (2), 10H(1) and (2),</w:t>
      </w:r>
    </w:p>
    <w:p>
      <w:pPr>
        <w:pStyle w:val="DefinedTerms"/>
      </w:pPr>
      <w:r>
        <w:tab/>
        <w:t>552(1), 553(1), 558(1), 562(1)</w:t>
      </w:r>
    </w:p>
    <w:p>
      <w:pPr>
        <w:pStyle w:val="DefinedTerms"/>
      </w:pPr>
      <w:r>
        <w:t>print</w:t>
      </w:r>
      <w:r>
        <w:tab/>
        <w:t>98(1), 99(1)</w:t>
      </w:r>
    </w:p>
    <w:p>
      <w:pPr>
        <w:pStyle w:val="DefinedTerms"/>
      </w:pPr>
      <w:r>
        <w:t>prior relevant convictions</w:t>
      </w:r>
      <w:r>
        <w:tab/>
        <w:t>401A(4)</w:t>
      </w:r>
    </w:p>
    <w:p>
      <w:pPr>
        <w:pStyle w:val="DefinedTerms"/>
      </w:pPr>
      <w:r>
        <w:t>prison</w:t>
      </w:r>
      <w:r>
        <w:tab/>
        <w:t>145(1)</w:t>
      </w:r>
    </w:p>
    <w:p>
      <w:pPr>
        <w:pStyle w:val="DefinedTerms"/>
      </w:pPr>
      <w:r>
        <w:t>proceeds</w:t>
      </w:r>
      <w:r>
        <w:tab/>
        <w:t>563A(3)</w:t>
      </w:r>
    </w:p>
    <w:p>
      <w:pPr>
        <w:pStyle w:val="DefinedTerms"/>
      </w:pPr>
      <w:r>
        <w:t>prohibited conduct</w:t>
      </w:r>
      <w:r>
        <w:tab/>
        <w:t>187(1)</w:t>
      </w:r>
    </w:p>
    <w:p>
      <w:pPr>
        <w:pStyle w:val="DefinedTerms"/>
      </w:pPr>
      <w:r>
        <w:t>property</w:t>
      </w:r>
      <w:r>
        <w:tab/>
        <w:t>1(1), 371(7), 414</w:t>
      </w:r>
    </w:p>
    <w:p>
      <w:pPr>
        <w:pStyle w:val="DefinedTerms"/>
      </w:pPr>
      <w:r>
        <w:t>provider</w:t>
      </w:r>
      <w:r>
        <w:tab/>
        <w:t>305A(3)</w:t>
      </w:r>
    </w:p>
    <w:p>
      <w:pPr>
        <w:pStyle w:val="DefinedTerms"/>
      </w:pPr>
      <w:r>
        <w:t>provocation</w:t>
      </w:r>
      <w:r>
        <w:tab/>
        <w:t>245</w:t>
      </w:r>
    </w:p>
    <w:p>
      <w:pPr>
        <w:pStyle w:val="DefinedTerms"/>
      </w:pPr>
      <w:r>
        <w:lastRenderedPageBreak/>
        <w:t>public officer</w:t>
      </w:r>
      <w:r>
        <w:tab/>
        <w:t>1(1), 84</w:t>
      </w:r>
    </w:p>
    <w:p>
      <w:pPr>
        <w:pStyle w:val="DefinedTerms"/>
      </w:pPr>
      <w:r>
        <w:t>public place</w:t>
      </w:r>
      <w:r>
        <w:tab/>
        <w:t>1(1)</w:t>
      </w:r>
    </w:p>
    <w:p>
      <w:pPr>
        <w:pStyle w:val="DefinedTerms"/>
      </w:pPr>
      <w:r>
        <w:t>public servant</w:t>
      </w:r>
      <w:r>
        <w:tab/>
        <w:t>81(1)</w:t>
      </w:r>
    </w:p>
    <w:p>
      <w:pPr>
        <w:pStyle w:val="DefinedTerms"/>
      </w:pPr>
      <w:r>
        <w:t>publish</w:t>
      </w:r>
      <w:r>
        <w:tab/>
        <w:t>76, 98(1), 99(1), 345(7)</w:t>
      </w:r>
    </w:p>
    <w:p>
      <w:pPr>
        <w:pStyle w:val="DefinedTerms"/>
      </w:pPr>
      <w:r>
        <w:t>pursue</w:t>
      </w:r>
      <w:r>
        <w:tab/>
        <w:t>338D(1)</w:t>
      </w:r>
    </w:p>
    <w:p>
      <w:pPr>
        <w:pStyle w:val="DefinedTerms"/>
      </w:pPr>
      <w:r>
        <w:t>racial group</w:t>
      </w:r>
      <w:r>
        <w:tab/>
        <w:t>76</w:t>
      </w:r>
    </w:p>
    <w:p>
      <w:pPr>
        <w:pStyle w:val="DefinedTerms"/>
      </w:pPr>
      <w:r>
        <w:t>railway</w:t>
      </w:r>
      <w:r>
        <w:tab/>
        <w:t>1(1)</w:t>
      </w:r>
    </w:p>
    <w:p>
      <w:pPr>
        <w:pStyle w:val="DefinedTerms"/>
      </w:pPr>
      <w:r>
        <w:t>receives</w:t>
      </w:r>
      <w:r>
        <w:tab/>
        <w:t>1(1)</w:t>
      </w:r>
    </w:p>
    <w:p>
      <w:pPr>
        <w:pStyle w:val="DefinedTerms"/>
      </w:pPr>
      <w:r>
        <w:t>record</w:t>
      </w:r>
      <w:r>
        <w:tab/>
        <w:t>1(1)</w:t>
      </w:r>
    </w:p>
    <w:p>
      <w:pPr>
        <w:pStyle w:val="DefinedTerms"/>
      </w:pPr>
      <w:r>
        <w:t>registered brand</w:t>
      </w:r>
      <w:r>
        <w:tab/>
        <w:t>1(1)</w:t>
      </w:r>
    </w:p>
    <w:p>
      <w:pPr>
        <w:pStyle w:val="DefinedTerms"/>
      </w:pPr>
      <w:r>
        <w:t>registered mark</w:t>
      </w:r>
      <w:r>
        <w:tab/>
        <w:t>1(1)</w:t>
      </w:r>
    </w:p>
    <w:p>
      <w:pPr>
        <w:pStyle w:val="DefinedTerms"/>
      </w:pPr>
      <w:r>
        <w:t>relevant birthday</w:t>
      </w:r>
      <w:r>
        <w:tab/>
        <w:t>10M(1)</w:t>
      </w:r>
    </w:p>
    <w:p>
      <w:pPr>
        <w:pStyle w:val="DefinedTerms"/>
      </w:pPr>
      <w:r>
        <w:t>relevant conviction</w:t>
      </w:r>
      <w:r>
        <w:tab/>
        <w:t>401A(1)</w:t>
      </w:r>
    </w:p>
    <w:p>
      <w:pPr>
        <w:pStyle w:val="DefinedTerms"/>
      </w:pPr>
      <w:r>
        <w:t>relevant law</w:t>
      </w:r>
      <w:r>
        <w:tab/>
        <w:t>10L(1)</w:t>
      </w:r>
    </w:p>
    <w:p>
      <w:pPr>
        <w:pStyle w:val="DefinedTerms"/>
      </w:pPr>
      <w:r>
        <w:t>relevant period</w:t>
      </w:r>
      <w:r>
        <w:tab/>
        <w:t>10L(1), 10M(1), 99(1)</w:t>
      </w:r>
    </w:p>
    <w:p>
      <w:pPr>
        <w:pStyle w:val="DefinedTerms"/>
      </w:pPr>
      <w:r>
        <w:t>repeat offender</w:t>
      </w:r>
      <w:r>
        <w:tab/>
        <w:t>401B(1)</w:t>
      </w:r>
    </w:p>
    <w:p>
      <w:pPr>
        <w:pStyle w:val="DefinedTerms"/>
      </w:pPr>
      <w:r>
        <w:t>responsible adult</w:t>
      </w:r>
      <w:r>
        <w:tab/>
        <w:t>75B(1)</w:t>
      </w:r>
    </w:p>
    <w:p>
      <w:pPr>
        <w:pStyle w:val="DefinedTerms"/>
      </w:pPr>
      <w:r>
        <w:t>restricted</w:t>
      </w:r>
      <w:r>
        <w:noBreakHyphen/>
        <w:t>access computer system</w:t>
      </w:r>
      <w:r>
        <w:tab/>
        <w:t>440A(1)</w:t>
      </w:r>
    </w:p>
    <w:p>
      <w:pPr>
        <w:pStyle w:val="DefinedTerms"/>
      </w:pPr>
      <w:r>
        <w:t>review date</w:t>
      </w:r>
      <w:r>
        <w:tab/>
        <w:t>740B(1)</w:t>
      </w:r>
    </w:p>
    <w:p>
      <w:pPr>
        <w:pStyle w:val="DefinedTerms"/>
      </w:pPr>
      <w:r>
        <w:t>reward</w:t>
      </w:r>
      <w:r>
        <w:tab/>
        <w:t>96(1)</w:t>
      </w:r>
    </w:p>
    <w:p>
      <w:pPr>
        <w:pStyle w:val="DefinedTerms"/>
      </w:pPr>
      <w:r>
        <w:t>riot</w:t>
      </w:r>
      <w:r>
        <w:tab/>
        <w:t>62</w:t>
      </w:r>
    </w:p>
    <w:p>
      <w:pPr>
        <w:pStyle w:val="DefinedTerms"/>
      </w:pPr>
      <w:r>
        <w:t>riotously assembled</w:t>
      </w:r>
      <w:r>
        <w:tab/>
        <w:t>62</w:t>
      </w:r>
    </w:p>
    <w:p>
      <w:pPr>
        <w:pStyle w:val="DefinedTerms"/>
      </w:pPr>
      <w:r>
        <w:t>second relevant conviction</w:t>
      </w:r>
      <w:r>
        <w:tab/>
        <w:t>401A(1)</w:t>
      </w:r>
    </w:p>
    <w:p>
      <w:pPr>
        <w:pStyle w:val="DefinedTerms"/>
      </w:pPr>
      <w:r>
        <w:t>seditious enterprise</w:t>
      </w:r>
      <w:r>
        <w:tab/>
        <w:t>46</w:t>
      </w:r>
    </w:p>
    <w:p>
      <w:pPr>
        <w:pStyle w:val="DefinedTerms"/>
      </w:pPr>
      <w:r>
        <w:t>seditious intention</w:t>
      </w:r>
      <w:r>
        <w:tab/>
        <w:t>44</w:t>
      </w:r>
    </w:p>
    <w:p>
      <w:pPr>
        <w:pStyle w:val="DefinedTerms"/>
      </w:pPr>
      <w:r>
        <w:t>seditious words</w:t>
      </w:r>
      <w:r>
        <w:tab/>
        <w:t>46</w:t>
      </w:r>
    </w:p>
    <w:p>
      <w:pPr>
        <w:pStyle w:val="DefinedTerms"/>
      </w:pPr>
      <w:r>
        <w:t>seditious writing</w:t>
      </w:r>
      <w:r>
        <w:tab/>
        <w:t>46</w:t>
      </w:r>
    </w:p>
    <w:p>
      <w:pPr>
        <w:pStyle w:val="DefinedTerms"/>
      </w:pPr>
      <w:r>
        <w:t>sentence completion date</w:t>
      </w:r>
      <w:r>
        <w:tab/>
        <w:t>401A(5)</w:t>
      </w:r>
    </w:p>
    <w:p>
      <w:pPr>
        <w:pStyle w:val="DefinedTerms"/>
      </w:pPr>
      <w:r>
        <w:t>sentencing court</w:t>
      </w:r>
      <w:r>
        <w:tab/>
        <w:t>401A(4)</w:t>
      </w:r>
    </w:p>
    <w:p>
      <w:pPr>
        <w:pStyle w:val="DefinedTerms"/>
      </w:pPr>
      <w:r>
        <w:t>serious disease</w:t>
      </w:r>
      <w:r>
        <w:tab/>
        <w:t>1(1)</w:t>
      </w:r>
    </w:p>
    <w:p>
      <w:pPr>
        <w:pStyle w:val="DefinedTerms"/>
      </w:pPr>
      <w:r>
        <w:t>servant</w:t>
      </w:r>
      <w:r>
        <w:tab/>
        <w:t>1(1)</w:t>
      </w:r>
    </w:p>
    <w:p>
      <w:pPr>
        <w:pStyle w:val="DefinedTerms"/>
      </w:pPr>
      <w:r>
        <w:t>set</w:t>
      </w:r>
      <w:r>
        <w:tab/>
        <w:t>305(1)</w:t>
      </w:r>
    </w:p>
    <w:p>
      <w:pPr>
        <w:pStyle w:val="DefinedTerms"/>
      </w:pPr>
      <w:r>
        <w:t>sexual act</w:t>
      </w:r>
      <w:r>
        <w:tab/>
        <w:t>321A(1)</w:t>
      </w:r>
    </w:p>
    <w:p>
      <w:pPr>
        <w:pStyle w:val="DefinedTerms"/>
      </w:pPr>
      <w:r>
        <w:t>sexual offence</w:t>
      </w:r>
      <w:r>
        <w:tab/>
        <w:t>10K</w:t>
      </w:r>
    </w:p>
    <w:p>
      <w:pPr>
        <w:pStyle w:val="DefinedTerms"/>
      </w:pPr>
      <w:r>
        <w:t>sexual service</w:t>
      </w:r>
      <w:r>
        <w:tab/>
        <w:t>331A</w:t>
      </w:r>
    </w:p>
    <w:p>
      <w:pPr>
        <w:pStyle w:val="DefinedTerms"/>
      </w:pPr>
      <w:r>
        <w:t>ship</w:t>
      </w:r>
      <w:r>
        <w:tab/>
        <w:t>1(1)</w:t>
      </w:r>
    </w:p>
    <w:p>
      <w:pPr>
        <w:pStyle w:val="DefinedTerms"/>
      </w:pPr>
      <w:r>
        <w:t>solicit any valuable consideration</w:t>
      </w:r>
      <w:r>
        <w:tab/>
        <w:t>546</w:t>
      </w:r>
    </w:p>
    <w:p>
      <w:pPr>
        <w:pStyle w:val="DefinedTerms"/>
      </w:pPr>
      <w:r>
        <w:t>special property</w:t>
      </w:r>
      <w:r>
        <w:tab/>
        <w:t>371(2)</w:t>
      </w:r>
    </w:p>
    <w:p>
      <w:pPr>
        <w:pStyle w:val="DefinedTerms"/>
      </w:pPr>
      <w:r>
        <w:t>steal</w:t>
      </w:r>
      <w:r>
        <w:tab/>
        <w:t>371</w:t>
      </w:r>
    </w:p>
    <w:p>
      <w:pPr>
        <w:pStyle w:val="DefinedTerms"/>
      </w:pPr>
      <w:r>
        <w:t>summarily</w:t>
      </w:r>
      <w:r>
        <w:tab/>
        <w:t>1(1)</w:t>
      </w:r>
    </w:p>
    <w:p>
      <w:pPr>
        <w:pStyle w:val="DefinedTerms"/>
      </w:pPr>
      <w:r>
        <w:t>summary conviction</w:t>
      </w:r>
      <w:r>
        <w:tab/>
        <w:t>1(1)</w:t>
      </w:r>
    </w:p>
    <w:p>
      <w:pPr>
        <w:pStyle w:val="DefinedTerms"/>
      </w:pPr>
      <w:r>
        <w:t>Summary conviction penalty</w:t>
      </w:r>
      <w:r>
        <w:tab/>
        <w:t>5</w:t>
      </w:r>
    </w:p>
    <w:p>
      <w:pPr>
        <w:pStyle w:val="DefinedTerms"/>
      </w:pPr>
      <w:r>
        <w:t>thing sent by post</w:t>
      </w:r>
      <w:r>
        <w:tab/>
        <w:t>1(1)</w:t>
      </w:r>
    </w:p>
    <w:p>
      <w:pPr>
        <w:pStyle w:val="DefinedTerms"/>
      </w:pPr>
      <w:r>
        <w:t>threat</w:t>
      </w:r>
      <w:r>
        <w:tab/>
        <w:t>332(4), 338</w:t>
      </w:r>
    </w:p>
    <w:p>
      <w:pPr>
        <w:pStyle w:val="DefinedTerms"/>
      </w:pPr>
      <w:r>
        <w:t>to indecently record</w:t>
      </w:r>
      <w:r>
        <w:tab/>
        <w:t>319(1)</w:t>
      </w:r>
    </w:p>
    <w:p>
      <w:pPr>
        <w:pStyle w:val="DefinedTerms"/>
      </w:pPr>
      <w:r>
        <w:lastRenderedPageBreak/>
        <w:t>to sexually penetrate</w:t>
      </w:r>
      <w:r>
        <w:tab/>
        <w:t>319(1)</w:t>
      </w:r>
    </w:p>
    <w:p>
      <w:pPr>
        <w:pStyle w:val="DefinedTerms"/>
      </w:pPr>
      <w:r>
        <w:t>transaction</w:t>
      </w:r>
      <w:r>
        <w:tab/>
        <w:t>563A(3)</w:t>
      </w:r>
    </w:p>
    <w:p>
      <w:pPr>
        <w:pStyle w:val="DefinedTerms"/>
      </w:pPr>
      <w:r>
        <w:t>trespass</w:t>
      </w:r>
      <w:r>
        <w:tab/>
        <w:t>70A(1)</w:t>
      </w:r>
    </w:p>
    <w:p>
      <w:pPr>
        <w:pStyle w:val="DefinedTerms"/>
      </w:pPr>
      <w:r>
        <w:t>trustee</w:t>
      </w:r>
      <w:r>
        <w:tab/>
        <w:t>546</w:t>
      </w:r>
    </w:p>
    <w:p>
      <w:pPr>
        <w:pStyle w:val="DefinedTerms"/>
      </w:pPr>
      <w:r>
        <w:t>unamended Code</w:t>
      </w:r>
      <w:r>
        <w:tab/>
        <w:t>Sch. 1 cl. 2(1)</w:t>
      </w:r>
    </w:p>
    <w:p>
      <w:pPr>
        <w:pStyle w:val="DefinedTerms"/>
      </w:pPr>
      <w:r>
        <w:t>unauthorised disclosure</w:t>
      </w:r>
      <w:r>
        <w:tab/>
        <w:t>81(1)</w:t>
      </w:r>
    </w:p>
    <w:p>
      <w:pPr>
        <w:pStyle w:val="DefinedTerms"/>
      </w:pPr>
      <w:r>
        <w:t>unlawful assembly</w:t>
      </w:r>
      <w:r>
        <w:tab/>
        <w:t>62</w:t>
      </w:r>
    </w:p>
    <w:p>
      <w:pPr>
        <w:pStyle w:val="DefinedTerms"/>
      </w:pPr>
      <w:r>
        <w:t>use</w:t>
      </w:r>
      <w:r>
        <w:tab/>
        <w:t>390A(1), 440A(1)</w:t>
      </w:r>
    </w:p>
    <w:p>
      <w:pPr>
        <w:pStyle w:val="DefinedTerms"/>
      </w:pPr>
      <w:r>
        <w:t>used in connection with an offence</w:t>
      </w:r>
      <w:r>
        <w:tab/>
        <w:t>563B(5)</w:t>
      </w:r>
    </w:p>
    <w:p>
      <w:pPr>
        <w:pStyle w:val="DefinedTerms"/>
      </w:pPr>
      <w:r>
        <w:t>utter</w:t>
      </w:r>
      <w:r>
        <w:tab/>
        <w:t>1(1)</w:t>
      </w:r>
    </w:p>
    <w:p>
      <w:pPr>
        <w:pStyle w:val="DefinedTerms"/>
      </w:pPr>
      <w:r>
        <w:t>valuable consideration</w:t>
      </w:r>
      <w:r>
        <w:tab/>
        <w:t>546</w:t>
      </w:r>
    </w:p>
    <w:p>
      <w:pPr>
        <w:pStyle w:val="DefinedTerms"/>
      </w:pPr>
      <w:r>
        <w:t>valuable consideration solicited</w:t>
      </w:r>
      <w:r>
        <w:tab/>
        <w:t>546</w:t>
      </w:r>
    </w:p>
    <w:p>
      <w:pPr>
        <w:pStyle w:val="DefinedTerms"/>
      </w:pPr>
      <w:r>
        <w:t>valuable security</w:t>
      </w:r>
      <w:r>
        <w:tab/>
        <w:t>1(1)</w:t>
      </w:r>
    </w:p>
    <w:p>
      <w:pPr>
        <w:pStyle w:val="DefinedTerms"/>
      </w:pPr>
      <w:r>
        <w:t>vehicle</w:t>
      </w:r>
      <w:r>
        <w:tab/>
        <w:t>1(1), 75A(2)</w:t>
      </w:r>
    </w:p>
    <w:p>
      <w:pPr>
        <w:pStyle w:val="DefinedTerms"/>
      </w:pPr>
      <w:r>
        <w:t>vessel</w:t>
      </w:r>
      <w:r>
        <w:tab/>
        <w:t>1(1)</w:t>
      </w:r>
    </w:p>
    <w:p>
      <w:pPr>
        <w:pStyle w:val="DefinedTerms"/>
      </w:pPr>
      <w:r>
        <w:t>victim</w:t>
      </w:r>
      <w:r>
        <w:tab/>
        <w:t>10M(1), 10N(1), 204B(1), 331D(1) and (2), 345(1), 494(1)</w:t>
      </w:r>
    </w:p>
    <w:p>
      <w:pPr>
        <w:pStyle w:val="DefinedTerms"/>
      </w:pPr>
      <w:r>
        <w:t>voice print</w:t>
      </w:r>
      <w:r>
        <w:tab/>
        <w:t>489</w:t>
      </w:r>
    </w:p>
    <w:p>
      <w:pPr>
        <w:pStyle w:val="DefinedTerms"/>
      </w:pPr>
      <w:r>
        <w:t>volatile substance</w:t>
      </w:r>
      <w:r>
        <w:tab/>
        <w:t>206(1)</w:t>
      </w:r>
    </w:p>
    <w:p>
      <w:pPr>
        <w:pStyle w:val="DefinedTerms"/>
      </w:pPr>
      <w:r>
        <w:t>wilfully destroy or damage</w:t>
      </w:r>
      <w:r>
        <w:tab/>
        <w:t>443</w:t>
      </w:r>
    </w:p>
    <w:p>
      <w:pPr>
        <w:pStyle w:val="DefinedTerms"/>
      </w:pPr>
      <w:r>
        <w:t>writing</w:t>
      </w:r>
      <w:r>
        <w:tab/>
        <w:t>397</w:t>
      </w:r>
    </w:p>
    <w:p>
      <w:pPr>
        <w:pStyle w:val="DefinedTerms"/>
      </w:pPr>
      <w:r>
        <w:t>written or pictorial material</w:t>
      </w:r>
      <w:r>
        <w:tab/>
        <w:t>76</w:t>
      </w:r>
    </w:p>
    <w:p/>
    <w:p>
      <w:pPr>
        <w:sectPr>
          <w:headerReference w:type="even" r:id="rId43"/>
          <w:headerReference w:type="default" r:id="rId44"/>
          <w:pgSz w:w="11907" w:h="16840" w:code="9"/>
          <w:pgMar w:top="2381" w:right="2409" w:bottom="3543" w:left="2409" w:header="720" w:footer="3380" w:gutter="0"/>
          <w:cols w:space="720"/>
          <w:noEndnote/>
          <w:docGrid w:linePitch="326"/>
        </w:sectPr>
      </w:pPr>
    </w:p>
    <w:p>
      <w:pPr>
        <w:rPr>
          <w:snapToGrid w:val="0"/>
        </w:rPr>
      </w:pPr>
    </w:p>
    <w:sectPr>
      <w:headerReference w:type="even" r:id="rId45"/>
      <w:headerReference w:type="default" r:id="rId46"/>
      <w:footerReference w:type="even" r:id="rId47"/>
      <w:footerReference w:type="default" r:id="rId48"/>
      <w:headerReference w:type="first" r:id="rId49"/>
      <w:footerReference w:type="first" r:id="rId50"/>
      <w:type w:val="continuous"/>
      <w:pgSz w:w="11907" w:h="16840"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341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19-p0-00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pStyle w:val="Footer"/>
      </w:pPr>
    </w:p>
    <w:p/>
    <w:p>
      <w:pPr>
        <w:pStyle w:val="Footer"/>
      </w:pPr>
    </w:p>
    <w:p/>
    <w:p>
      <w:pPr>
        <w:pStyle w:val="Header"/>
      </w:pPr>
    </w:p>
    <w:p/>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Page 1)&quot; \* MERGEFORMAT ">
              <w:r>
                <w:rPr>
                  <w:bCs/>
                  <w:noProof/>
                  <w:lang w:val="en-US"/>
                </w:rPr>
                <w:t>Criminal Code Act</w:t>
              </w:r>
              <w:r>
                <w:rPr>
                  <w:noProof/>
                </w:rPr>
                <w:t xml:space="preserve"> Compilation Act 1913</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ind w:right="17"/>
            </w:p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Page 1)&quot; \* MERGEFORMAT ">
              <w:r>
                <w:rPr>
                  <w:bCs/>
                  <w:noProof/>
                  <w:lang w:val="en-US"/>
                </w:rPr>
                <w:t>Criminal Code Act</w:t>
              </w:r>
              <w:r>
                <w:rPr>
                  <w:noProof/>
                </w:rPr>
                <w:t xml:space="preserve"> Compilation Act 1913</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pPr>
          </w:p>
        </w:tc>
      </w:tr>
    </w:tbl>
    <w:p>
      <w:pPr>
        <w:pStyle w:val="Header"/>
        <w:pBdr>
          <w:top w:val="single" w:sz="4" w:space="1" w:color="auto"/>
        </w:pBdr>
      </w:pPr>
    </w:p>
    <w:p>
      <w:pPr>
        <w:pStyle w:val="Header"/>
      </w:pPr>
    </w:p>
    <w:p/>
    <w:p>
      <w:pPr>
        <w:pStyle w:val="Footer"/>
        <w:tabs>
          <w:tab w:val="right" w:pos="7088"/>
        </w:tabs>
      </w:pPr>
    </w:p>
    <w:p>
      <w:pPr>
        <w:tabs>
          <w:tab w:val="right" w:pos="7088"/>
        </w:tabs>
      </w:pPr>
      <w:r>
        <w:t xml:space="preserve">page </w:t>
      </w:r>
      <w:r>
        <w:fldChar w:fldCharType="begin"/>
      </w:r>
      <w:r>
        <w:instrText xml:space="preserve"> PAGE </w:instrText>
      </w:r>
      <w:r>
        <w:fldChar w:fldCharType="separate"/>
      </w:r>
      <w:r>
        <w:rPr>
          <w:noProof/>
        </w:rPr>
        <w:t>366</w:t>
      </w:r>
      <w:r>
        <w:fldChar w:fldCharType="end"/>
      </w:r>
      <w:r>
        <w:tab/>
        <w:t xml:space="preserve">Reprint </w:t>
      </w:r>
      <w:fldSimple w:instr=" DOCPROPERTY &quot;ReprintNo&quot; ">
        <w:r>
          <w:t>19</w:t>
        </w:r>
      </w:fldSimple>
    </w:p>
    <w:p>
      <w:pPr>
        <w:tabs>
          <w:tab w:val="right" w:pos="7088"/>
        </w:tabs>
        <w:rPr>
          <w:sz w:val="16"/>
        </w:rPr>
      </w:pPr>
    </w:p>
    <w:p>
      <w:pPr>
        <w:pStyle w:val="Footer"/>
      </w:pPr>
    </w:p>
    <w:p/>
    <w:p>
      <w:pPr>
        <w:pStyle w:val="Footer"/>
        <w:tabs>
          <w:tab w:val="right" w:pos="7088"/>
        </w:tabs>
      </w:pPr>
    </w:p>
    <w:p>
      <w:pPr>
        <w:pStyle w:val="Footer"/>
        <w:pBdr>
          <w:top w:val="single" w:sz="4" w:space="1" w:color="auto"/>
        </w:pBdr>
        <w:tabs>
          <w:tab w:val="right" w:pos="7088"/>
        </w:tabs>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19</w:t>
      </w:r>
      <w:r>
        <w:rPr>
          <w:sz w:val="20"/>
        </w:rPr>
        <w:fldChar w:fldCharType="end"/>
      </w:r>
      <w:r>
        <w:rPr>
          <w:sz w:val="20"/>
        </w:rPr>
        <w:tab/>
        <w:t xml:space="preserve">page </w:t>
      </w:r>
      <w:r>
        <w:fldChar w:fldCharType="begin"/>
      </w:r>
      <w:r>
        <w:instrText xml:space="preserve"> PAGE </w:instrText>
      </w:r>
      <w:r>
        <w:fldChar w:fldCharType="separate"/>
      </w:r>
      <w:r>
        <w:t>367</w:t>
      </w:r>
      <w:r>
        <w:fldChar w:fldCharType="end"/>
      </w:r>
    </w:p>
    <w:p>
      <w:pPr>
        <w:pStyle w:val="Footer"/>
        <w:pBdr>
          <w:top w:val="single" w:sz="4" w:space="1" w:color="auto"/>
        </w:pBdr>
        <w:tabs>
          <w:tab w:val="right" w:pos="7088"/>
        </w:tabs>
        <w:rPr>
          <w:rFonts w:ascii="Times New Roman" w:hAnsi="Times New Roman"/>
          <w:sz w:val="16"/>
        </w:rPr>
      </w:pPr>
    </w:p>
    <w:p>
      <w:pPr>
        <w:pStyle w:val="Footer"/>
      </w:pPr>
    </w:p>
    <w:p/>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t>Criminal Code Act Compilation Act 1913</w:t>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63" w:type="dxa"/>
          <w:gridSpan w:val="2"/>
        </w:tcPr>
        <w:p>
          <w:pPr>
            <w:pStyle w:val="Header"/>
            <w:spacing w:before="40"/>
            <w:rPr>
              <w:b/>
            </w:rPr>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t>Criminal Code Act Compilation Act 1913</w:t>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752"/>
      <w:gridCol w:w="5511"/>
    </w:tblGrid>
    <w:tr>
      <w:trPr>
        <w:cantSplit/>
        <w:jc w:val="center"/>
      </w:trPr>
      <w:tc>
        <w:tcPr>
          <w:tcW w:w="7263" w:type="dxa"/>
          <w:gridSpan w:val="2"/>
        </w:tcPr>
        <w:p>
          <w:pPr>
            <w:pStyle w:val="Header"/>
          </w:pPr>
          <w:r>
            <w:rPr>
              <w:b/>
              <w:i/>
            </w:rPr>
            <w:t>The Criminal Code</w:t>
          </w:r>
        </w:p>
      </w:tc>
    </w:tr>
    <w:tr>
      <w:trPr>
        <w:jc w:val="center"/>
      </w:trP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Appendix A</w: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rPr>
        <w:jc w:val="center"/>
      </w:trP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t>Criminal Code Act Compilation Act 1913</w:t>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752"/>
      <w:gridCol w:w="5511"/>
    </w:tblGrid>
    <w:tr>
      <w:trPr>
        <w:cantSplit/>
        <w:jc w:val="center"/>
      </w:trPr>
      <w:tc>
        <w:tcPr>
          <w:tcW w:w="7263" w:type="dxa"/>
          <w:gridSpan w:val="2"/>
        </w:tcPr>
        <w:p>
          <w:pPr>
            <w:pStyle w:val="Header"/>
          </w:pPr>
          <w:r>
            <w:rPr>
              <w:b/>
              <w:i/>
            </w:rPr>
            <w:t>The Criminal Code</w:t>
          </w:r>
        </w:p>
      </w:tc>
    </w:tr>
    <w:tr>
      <w:trPr>
        <w:jc w:val="center"/>
      </w:trP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Appendix A</w: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rPr>
        <w:jc w:val="center"/>
      </w:trP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472"/>
      <w:gridCol w:w="1791"/>
    </w:tblGrid>
    <w:tr>
      <w:trPr>
        <w:cantSplit/>
        <w:jc w:val="center"/>
      </w:trPr>
      <w:tc>
        <w:tcPr>
          <w:tcW w:w="7263" w:type="dxa"/>
          <w:gridSpan w:val="2"/>
        </w:tcPr>
        <w:p>
          <w:pPr>
            <w:pStyle w:val="Header"/>
            <w:ind w:right="17"/>
            <w:jc w:val="right"/>
          </w:pPr>
          <w:r>
            <w:rPr>
              <w:b/>
              <w:i/>
            </w:rPr>
            <w:t>The Criminal Code</w:t>
          </w:r>
        </w:p>
      </w:tc>
    </w:tr>
    <w:tr>
      <w:trPr>
        <w:jc w:val="center"/>
      </w:trPr>
      <w:tc>
        <w:tcPr>
          <w:tcW w:w="5472" w:type="dxa"/>
          <w:vAlign w:val="bottom"/>
        </w:tcPr>
        <w:p>
          <w:pPr>
            <w:pStyle w:val="Header"/>
            <w:spacing w:before="40"/>
            <w:jc w:val="right"/>
          </w:pPr>
          <w:r>
            <w:fldChar w:fldCharType="begin"/>
          </w:r>
          <w:r>
            <w:instrText xml:space="preserve"> styleref CharPartText </w:instrTex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Appendix A</w:t>
          </w:r>
          <w:r>
            <w:rPr>
              <w:b/>
            </w:rPr>
            <w:fldChar w:fldCharType="end"/>
          </w:r>
        </w:p>
      </w:tc>
    </w:tr>
    <w:tr>
      <w:trPr>
        <w:jc w:val="center"/>
      </w:trPr>
      <w:tc>
        <w:tcPr>
          <w:tcW w:w="5472" w:type="dxa"/>
          <w:vAlign w:val="bottom"/>
        </w:tcPr>
        <w:p>
          <w:pPr>
            <w:pStyle w:val="Header"/>
            <w:spacing w:before="40"/>
            <w:jc w:val="right"/>
          </w:pPr>
          <w:r>
            <w:fldChar w:fldCharType="begin"/>
          </w:r>
          <w:r>
            <w:instrText xml:space="preserve"> styleref CharDivText </w:instrTex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t>The Criminal Code</w:t>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63" w:type="dxa"/>
          <w:gridSpan w:val="2"/>
        </w:tcPr>
        <w:p>
          <w:pPr>
            <w:pStyle w:val="Header"/>
            <w:spacing w:before="40"/>
          </w:pPr>
          <w:r>
            <w:t>Contents</w:t>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t>The Criminal Code</w:t>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Contents</w:t>
          </w: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752"/>
      <w:gridCol w:w="5511"/>
    </w:tblGrid>
    <w:tr>
      <w:trPr>
        <w:cantSplit/>
        <w:jc w:val="center"/>
      </w:trPr>
      <w:tc>
        <w:tcPr>
          <w:tcW w:w="7263" w:type="dxa"/>
          <w:gridSpan w:val="2"/>
        </w:tcPr>
        <w:p>
          <w:pPr>
            <w:pStyle w:val="Header"/>
          </w:pPr>
          <w:r>
            <w:rPr>
              <w:b/>
              <w:i/>
            </w:rPr>
            <w:t>The Criminal Code</w:t>
          </w:r>
        </w:p>
      </w:tc>
    </w:tr>
    <w:tr>
      <w:trPr>
        <w:jc w:val="center"/>
      </w:trPr>
      <w:tc>
        <w:tcPr>
          <w:tcW w:w="1752" w:type="dxa"/>
        </w:tcPr>
        <w:p>
          <w:pPr>
            <w:pStyle w:val="Header"/>
            <w:spacing w:before="40"/>
          </w:pPr>
          <w:r>
            <w:rPr>
              <w:b/>
            </w:rPr>
            <w:fldChar w:fldCharType="begin"/>
          </w:r>
          <w:r>
            <w:rPr>
              <w:b/>
            </w:rPr>
            <w:instrText xml:space="preserve"> styleref CharPartNo </w:instrTex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rPr>
        <w:jc w:val="center"/>
      </w:trP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7</w:t>
          </w:r>
          <w:r>
            <w:rPr>
              <w:b/>
            </w:rPr>
            <w:fldChar w:fldCharType="end"/>
          </w:r>
        </w:p>
      </w:tc>
    </w:tr>
  </w:tbl>
  <w:p>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472"/>
      <w:gridCol w:w="1791"/>
    </w:tblGrid>
    <w:tr>
      <w:trPr>
        <w:cantSplit/>
        <w:jc w:val="center"/>
      </w:trPr>
      <w:tc>
        <w:tcPr>
          <w:tcW w:w="7263" w:type="dxa"/>
          <w:gridSpan w:val="2"/>
        </w:tcPr>
        <w:p>
          <w:pPr>
            <w:pStyle w:val="Header"/>
            <w:ind w:right="17"/>
            <w:jc w:val="right"/>
          </w:pPr>
          <w:r>
            <w:rPr>
              <w:b/>
              <w:i/>
            </w:rPr>
            <w:t>The Criminal Code</w:t>
          </w:r>
        </w:p>
      </w:tc>
    </w:tr>
    <w:tr>
      <w:trPr>
        <w:jc w:val="center"/>
      </w:trPr>
      <w:tc>
        <w:tcPr>
          <w:tcW w:w="5472" w:type="dxa"/>
          <w:vAlign w:val="bottom"/>
        </w:tcPr>
        <w:p>
          <w:pPr>
            <w:pStyle w:val="Header"/>
            <w:spacing w:before="40"/>
            <w:jc w:val="right"/>
          </w:pPr>
          <w:r>
            <w:fldChar w:fldCharType="begin"/>
          </w:r>
          <w:r>
            <w:instrText xml:space="preserve"> styleref CharPartText </w:instrTex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472" w:type="dxa"/>
          <w:vAlign w:val="bottom"/>
        </w:tcPr>
        <w:p>
          <w:pPr>
            <w:pStyle w:val="Header"/>
            <w:spacing w:before="40"/>
            <w:jc w:val="right"/>
          </w:pPr>
          <w:r>
            <w:fldChar w:fldCharType="begin"/>
          </w:r>
          <w:r>
            <w:instrText xml:space="preserve"> styleref CharDivText </w:instrTex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7</w:t>
          </w:r>
          <w:r>
            <w:rPr>
              <w:b/>
            </w:rPr>
            <w:fldChar w:fldCharType="end"/>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752"/>
      <w:gridCol w:w="5511"/>
    </w:tblGrid>
    <w:tr>
      <w:trPr>
        <w:cantSplit/>
        <w:jc w:val="center"/>
      </w:trPr>
      <w:tc>
        <w:tcPr>
          <w:tcW w:w="7263" w:type="dxa"/>
          <w:gridSpan w:val="2"/>
        </w:tcPr>
        <w:p>
          <w:pPr>
            <w:pStyle w:val="Header"/>
          </w:pPr>
          <w:r>
            <w:rPr>
              <w:b/>
              <w:i/>
            </w:rPr>
            <w:t>The Criminal Code</w:t>
          </w:r>
        </w:p>
      </w:tc>
    </w:tr>
    <w:tr>
      <w:trPr>
        <w:jc w:val="center"/>
      </w:trP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Part VII</w:t>
          </w:r>
          <w:r>
            <w:rPr>
              <w:b/>
            </w:rPr>
            <w:fldChar w:fldCharType="end"/>
          </w:r>
        </w:p>
      </w:tc>
      <w:tc>
        <w:tcPr>
          <w:tcW w:w="5511" w:type="dxa"/>
        </w:tcPr>
        <w:p>
          <w:pPr>
            <w:pStyle w:val="Header"/>
            <w:spacing w:before="40"/>
          </w:pPr>
          <w:r>
            <w:fldChar w:fldCharType="begin"/>
          </w:r>
          <w:r>
            <w:instrText xml:space="preserve"> styleref CharPartText </w:instrText>
          </w:r>
          <w:r>
            <w:fldChar w:fldCharType="separate"/>
          </w:r>
          <w:r>
            <w:t>Preparation to commit offences: Conspiracy: Accessories after the fact</w:t>
          </w:r>
          <w:r>
            <w:fldChar w:fldCharType="end"/>
          </w:r>
        </w:p>
      </w:tc>
    </w:tr>
    <w:tr>
      <w:trPr>
        <w:jc w:val="center"/>
      </w:trPr>
      <w:tc>
        <w:tcPr>
          <w:tcW w:w="1752" w:type="dxa"/>
        </w:tcPr>
        <w:p>
          <w:pPr>
            <w:pStyle w:val="Header"/>
            <w:spacing w:before="40"/>
          </w:pPr>
          <w:r>
            <w:rPr>
              <w:b/>
            </w:rPr>
            <w:fldChar w:fldCharType="begin"/>
          </w:r>
          <w:r>
            <w:rPr>
              <w:b/>
            </w:rPr>
            <w:instrText xml:space="preserve"> styleref CharDivNo </w:instrText>
          </w:r>
          <w:r>
            <w:rPr>
              <w:b/>
            </w:rPr>
            <w:fldChar w:fldCharType="separate"/>
          </w:r>
          <w:r>
            <w:rPr>
              <w:b/>
            </w:rPr>
            <w:t>Chapter LIX</w:t>
          </w:r>
          <w:r>
            <w:rPr>
              <w:b/>
            </w:rPr>
            <w:fldChar w:fldCharType="end"/>
          </w:r>
        </w:p>
      </w:tc>
      <w:tc>
        <w:tcPr>
          <w:tcW w:w="5511" w:type="dxa"/>
        </w:tcPr>
        <w:p>
          <w:pPr>
            <w:pStyle w:val="Header"/>
            <w:spacing w:before="40"/>
          </w:pPr>
          <w:r>
            <w:fldChar w:fldCharType="begin"/>
          </w:r>
          <w:r>
            <w:instrText xml:space="preserve"> styleref CharDivText </w:instrText>
          </w:r>
          <w:r>
            <w:fldChar w:fldCharType="separate"/>
          </w:r>
          <w:r>
            <w:t>Accessories after the fact and property laundering</w: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472"/>
      <w:gridCol w:w="1791"/>
    </w:tblGrid>
    <w:tr>
      <w:trPr>
        <w:cantSplit/>
        <w:jc w:val="center"/>
      </w:trPr>
      <w:tc>
        <w:tcPr>
          <w:tcW w:w="7263" w:type="dxa"/>
          <w:gridSpan w:val="2"/>
        </w:tcPr>
        <w:p>
          <w:pPr>
            <w:pStyle w:val="Header"/>
            <w:ind w:right="17"/>
            <w:jc w:val="right"/>
          </w:pPr>
          <w:r>
            <w:rPr>
              <w:b/>
              <w:i/>
            </w:rPr>
            <w:t>The Criminal Code</w:t>
          </w:r>
        </w:p>
      </w:tc>
    </w:tr>
    <w:tr>
      <w:trPr>
        <w:jc w:val="center"/>
      </w:trPr>
      <w:tc>
        <w:tcPr>
          <w:tcW w:w="5472" w:type="dxa"/>
        </w:tcPr>
        <w:p>
          <w:pPr>
            <w:pStyle w:val="Header"/>
            <w:spacing w:before="40"/>
            <w:jc w:val="right"/>
          </w:pPr>
          <w:r>
            <w:fldChar w:fldCharType="begin"/>
          </w:r>
          <w:r>
            <w:instrText xml:space="preserve"> styleref CharPartText </w:instrText>
          </w:r>
          <w:r>
            <w:fldChar w:fldCharType="separate"/>
          </w:r>
          <w:r>
            <w:t>Preparation to commit offences: Conspiracy: Accessories after the fact</w: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VII</w:t>
          </w:r>
          <w:r>
            <w:rPr>
              <w:b/>
            </w:rPr>
            <w:fldChar w:fldCharType="end"/>
          </w:r>
        </w:p>
      </w:tc>
    </w:tr>
    <w:tr>
      <w:trPr>
        <w:jc w:val="center"/>
      </w:trPr>
      <w:tc>
        <w:tcPr>
          <w:tcW w:w="5472" w:type="dxa"/>
        </w:tcPr>
        <w:p>
          <w:pPr>
            <w:pStyle w:val="Header"/>
            <w:spacing w:before="40"/>
            <w:jc w:val="right"/>
          </w:pPr>
          <w:r>
            <w:fldChar w:fldCharType="begin"/>
          </w:r>
          <w:r>
            <w:instrText xml:space="preserve"> styleref CharDivText </w:instrText>
          </w:r>
          <w:r>
            <w:fldChar w:fldCharType="separate"/>
          </w:r>
          <w:r>
            <w:t>Accessories after the fact and property laundering</w: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separate"/>
          </w:r>
          <w:r>
            <w:rPr>
              <w:b/>
            </w:rPr>
            <w:t>Chapter LIX</w:t>
          </w:r>
          <w:r>
            <w:rPr>
              <w:b/>
            </w:rPr>
            <w:fldChar w:fldCharType="end"/>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752"/>
      <w:gridCol w:w="5511"/>
    </w:tblGrid>
    <w:tr>
      <w:trPr>
        <w:cantSplit/>
        <w:jc w:val="center"/>
      </w:trPr>
      <w:tc>
        <w:tcPr>
          <w:tcW w:w="7263" w:type="dxa"/>
          <w:gridSpan w:val="2"/>
        </w:tcPr>
        <w:p>
          <w:pPr>
            <w:pStyle w:val="Header"/>
          </w:pPr>
          <w:r>
            <w:rPr>
              <w:b/>
              <w:i/>
            </w:rPr>
            <w:t>The Criminal Code</w:t>
          </w:r>
        </w:p>
      </w:tc>
    </w:tr>
    <w:tr>
      <w:trPr>
        <w:jc w:val="center"/>
      </w:trP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Part VIII</w:t>
          </w:r>
          <w:r>
            <w:rPr>
              <w:b/>
            </w:rPr>
            <w:fldChar w:fldCharType="end"/>
          </w:r>
        </w:p>
      </w:tc>
      <w:tc>
        <w:tcPr>
          <w:tcW w:w="5511" w:type="dxa"/>
        </w:tcPr>
        <w:p>
          <w:pPr>
            <w:pStyle w:val="Header"/>
            <w:spacing w:before="40"/>
          </w:pPr>
          <w:r>
            <w:fldChar w:fldCharType="begin"/>
          </w:r>
          <w:r>
            <w:instrText xml:space="preserve"> styleref CharPartText </w:instrText>
          </w:r>
          <w:r>
            <w:fldChar w:fldCharType="separate"/>
          </w:r>
          <w:r>
            <w:t>Miscellaneous</w:t>
          </w:r>
          <w:r>
            <w:fldChar w:fldCharType="end"/>
          </w:r>
        </w:p>
      </w:tc>
    </w:tr>
    <w:tr>
      <w:trPr>
        <w:jc w:val="center"/>
      </w:trP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s.</w:t>
          </w:r>
          <w:r>
            <w:t xml:space="preserve"> </w:t>
          </w:r>
          <w:r>
            <w:rPr>
              <w:b/>
            </w:rPr>
            <w:fldChar w:fldCharType="begin"/>
          </w:r>
          <w:r>
            <w:rPr>
              <w:b/>
            </w:rPr>
            <w:instrText xml:space="preserve"> styleref CharSectno </w:instrText>
          </w:r>
          <w:r>
            <w:rPr>
              <w:b/>
            </w:rPr>
            <w:fldChar w:fldCharType="separate"/>
          </w:r>
          <w:r>
            <w:rPr>
              <w:b/>
            </w:rPr>
            <w:t>563B</w:t>
          </w:r>
          <w:r>
            <w:rPr>
              <w:b/>
            </w:rPr>
            <w:fldChar w:fldCharType="end"/>
          </w:r>
        </w:p>
      </w:tc>
    </w:tr>
  </w:tbl>
  <w:p>
    <w:pPr>
      <w:pStyle w:val="Header"/>
      <w:pBdr>
        <w:top w:val="single" w:sz="4"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472"/>
      <w:gridCol w:w="1791"/>
    </w:tblGrid>
    <w:tr>
      <w:trPr>
        <w:cantSplit/>
        <w:jc w:val="center"/>
      </w:trPr>
      <w:tc>
        <w:tcPr>
          <w:tcW w:w="7263" w:type="dxa"/>
          <w:gridSpan w:val="2"/>
        </w:tcPr>
        <w:p>
          <w:pPr>
            <w:pStyle w:val="Header"/>
            <w:ind w:right="17"/>
            <w:jc w:val="right"/>
          </w:pPr>
          <w:r>
            <w:rPr>
              <w:b/>
              <w:i/>
            </w:rPr>
            <w:t>The Criminal Code</w:t>
          </w:r>
        </w:p>
      </w:tc>
    </w:tr>
    <w:tr>
      <w:trPr>
        <w:jc w:val="center"/>
      </w:trPr>
      <w:tc>
        <w:tcPr>
          <w:tcW w:w="5472" w:type="dxa"/>
        </w:tcPr>
        <w:p>
          <w:pPr>
            <w:pStyle w:val="Header"/>
            <w:spacing w:before="40"/>
            <w:jc w:val="right"/>
          </w:pPr>
          <w:r>
            <w:fldChar w:fldCharType="begin"/>
          </w:r>
          <w:r>
            <w:instrText xml:space="preserve"> styleref CharPartText </w:instrText>
          </w:r>
          <w:r>
            <w:fldChar w:fldCharType="separate"/>
          </w:r>
          <w:r>
            <w:t>Miscellaneous</w: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VIII</w:t>
          </w:r>
          <w:r>
            <w:rPr>
              <w:b/>
            </w:rPr>
            <w:fldChar w:fldCharType="end"/>
          </w:r>
        </w:p>
      </w:tc>
    </w:tr>
    <w:tr>
      <w:trPr>
        <w:jc w:val="center"/>
      </w:trPr>
      <w:tc>
        <w:tcPr>
          <w:tcW w:w="5472" w:type="dxa"/>
        </w:tcPr>
        <w:p>
          <w:pPr>
            <w:pStyle w:val="Header"/>
            <w:spacing w:before="40"/>
            <w:jc w:val="right"/>
          </w:pPr>
          <w:r>
            <w:fldChar w:fldCharType="begin"/>
          </w:r>
          <w:r>
            <w:instrText xml:space="preserve"> styleref CharDivText </w:instrTex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s</w:t>
          </w:r>
          <w:r>
            <w:t xml:space="preserve">. </w:t>
          </w:r>
          <w:r>
            <w:rPr>
              <w:b/>
            </w:rPr>
            <w:fldChar w:fldCharType="begin"/>
          </w:r>
          <w:r>
            <w:rPr>
              <w:b/>
            </w:rPr>
            <w:instrText xml:space="preserve"> styleref CharSectno </w:instrText>
          </w:r>
          <w:r>
            <w:rPr>
              <w:b/>
            </w:rPr>
            <w:fldChar w:fldCharType="separate"/>
          </w:r>
          <w:r>
            <w:rPr>
              <w:b/>
            </w:rPr>
            <w:t>563B</w:t>
          </w:r>
          <w:r>
            <w:rPr>
              <w:b/>
            </w:rPr>
            <w:fldChar w:fldCharType="end"/>
          </w:r>
        </w:p>
      </w:tc>
    </w:tr>
  </w:tbl>
  <w:p>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t>The Criminal Code</w:t>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Transitional provisions</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7263" w:type="dxa"/>
          <w:gridSpan w:val="2"/>
        </w:tcPr>
        <w:p>
          <w:pPr>
            <w:pStyle w:val="Header"/>
            <w:spacing w:before="40"/>
          </w:pPr>
          <w:r>
            <w:rPr>
              <w:b/>
            </w:rPr>
            <w:t xml:space="preserve">cl.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t>The Criminal Code</w:t>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Transitional provisions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7263" w:type="dxa"/>
          <w:gridSpan w:val="2"/>
        </w:tcPr>
        <w:p>
          <w:pPr>
            <w:pStyle w:val="Header"/>
            <w:spacing w:before="40"/>
            <w:ind w:right="17"/>
            <w:jc w:val="right"/>
            <w:rPr>
              <w:bCs/>
            </w:rPr>
          </w:pPr>
          <w:r>
            <w:rPr>
              <w:b/>
            </w:rPr>
            <w:t xml:space="preserve">cl.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bookmarkStart w:id="736" w:name="Schedule"/>
    <w:bookmarkEnd w:id="736"/>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Code</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Code</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744" w:name="Compilation"/>
    <w:bookmarkEnd w:id="744"/>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t>The Criminal Code</w:t>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t>The Criminal Code</w:t>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49" w:name="DefinedTerms"/>
    <w:bookmarkEnd w:id="74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50" w:name="Coversheet"/>
    <w:bookmarkEnd w:id="75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t>Criminal Code Act Compilation Act 1913</w:t>
          </w:r>
        </w:p>
      </w:tc>
    </w:tr>
    <w:tr>
      <w:trPr>
        <w:jc w:val="center"/>
      </w:trPr>
      <w:tc>
        <w:tcPr>
          <w:tcW w:w="1548" w:type="dxa"/>
        </w:tcPr>
        <w:p>
          <w:pPr>
            <w:pStyle w:val="Header"/>
            <w:spacing w:before="40"/>
          </w:pPr>
        </w:p>
      </w:tc>
      <w:tc>
        <w:tcPr>
          <w:tcW w:w="5764" w:type="dxa"/>
        </w:tcPr>
        <w:p>
          <w:pPr>
            <w:pStyle w:val="Header"/>
            <w:spacing w:before="40"/>
          </w:pP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t>Criminal Code Act Compilation Act 1913</w:t>
          </w:r>
        </w:p>
      </w:tc>
    </w:tr>
    <w:tr>
      <w:trPr>
        <w:jc w:val="center"/>
      </w:trPr>
      <w:tc>
        <w:tcPr>
          <w:tcW w:w="5760" w:type="dxa"/>
        </w:tcPr>
        <w:p>
          <w:pPr>
            <w:pStyle w:val="Header"/>
            <w:spacing w:before="40"/>
          </w:pPr>
        </w:p>
      </w:tc>
      <w:tc>
        <w:tcPr>
          <w:tcW w:w="1552" w:type="dxa"/>
        </w:tcPr>
        <w:p>
          <w:pPr>
            <w:pStyle w:val="Header"/>
            <w:spacing w:before="40"/>
            <w:ind w:right="17"/>
            <w:jc w:val="right"/>
          </w:pPr>
        </w:p>
      </w:tc>
    </w:tr>
    <w:tr>
      <w:trPr>
        <w:jc w:val="center"/>
      </w:trPr>
      <w:tc>
        <w:tcPr>
          <w:tcW w:w="5760" w:type="dxa"/>
        </w:tcPr>
        <w:p>
          <w:pPr>
            <w:pStyle w:val="Header"/>
            <w:spacing w:before="40"/>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t>Criminal Code Act Compilation Act 1913</w:t>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63" w:type="dxa"/>
          <w:gridSpan w:val="2"/>
        </w:tcPr>
        <w:p>
          <w:pPr>
            <w:pStyle w:val="Header"/>
            <w:spacing w:before="40"/>
          </w:pPr>
          <w:r>
            <w:t>Preamble</w:t>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t>Criminal Code Act Compilation Act 1913</w:t>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Preamble</w:t>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969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C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F44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4CF8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6BD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EB4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A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7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E68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CE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08A0F38"/>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1123141655"/>
    <w:docVar w:name="WAFER_20131217143110" w:val="RemoveTocBookmarks,RemoveUnusedBookmarks,RemoveLanguageTags,UsedStyles,ResetPageSize,UpdateArrangement"/>
    <w:docVar w:name="WAFER_20131217143110_GUID" w:val="cf488371-e9cb-4822-b161-57a54234b9c7"/>
    <w:docVar w:name="WAFER_20140423152610" w:val="RemoveTocBookmarks,RemoveUnusedBookmarks,RemoveLanguageTags,UsedStyles,ResetPageSize,UpdateArrangement"/>
    <w:docVar w:name="WAFER_20140423152610_GUID" w:val="5d87ae16-88c1-4fa7-a8fd-215102939445"/>
    <w:docVar w:name="WAFER_20140423163825" w:val="RemoveTocBookmarks,RunningHeaders"/>
    <w:docVar w:name="WAFER_20140423163825_GUID" w:val="7933caf0-3c6d-4891-9bb0-c3e9a5de55fc"/>
    <w:docVar w:name="WAFER_20140630154538" w:val="RemoveTocBookmarks,RemoveUnusedBookmarks,RemoveLanguageTags,UsedStyles,ResetPageSize,UpdateArrangement"/>
    <w:docVar w:name="WAFER_20140630154538_GUID" w:val="1854f6b8-234e-4266-b94d-ca1d7d3ad14b"/>
    <w:docVar w:name="WAFER_20140811113516" w:val="RemoveTocBookmarks,RunningHeaders"/>
    <w:docVar w:name="WAFER_20140811113516_GUID" w:val="79dbc8c4-fa75-4f49-8f0e-c08e4ff44eee"/>
    <w:docVar w:name="WAFER_20141104172757" w:val="RemoveTocBookmarks,RemoveUnusedBookmarks,RemoveLanguageTags,UsedStyles,ResetPageSize,UpdateArrangement"/>
    <w:docVar w:name="WAFER_20141104172757_GUID" w:val="066cbd8b-052e-490d-aa59-55318f52ecae"/>
    <w:docVar w:name="WAFER_20150305151658" w:val="ResetPageSize,UpdateArrangement,UpdateNTable"/>
    <w:docVar w:name="WAFER_20150305151658_GUID" w:val="fa043565-3b96-46a5-a4b3-3426c94237f5"/>
    <w:docVar w:name="WAFER_20151102165124" w:val="UpdateStyles"/>
    <w:docVar w:name="WAFER_20151102165124_GUID" w:val="5a53e1c6-3033-40a5-aefc-03ee2fba7808"/>
    <w:docVar w:name="WAFER_20151102165445" w:val="UsedStyles"/>
    <w:docVar w:name="WAFER_20151102165445_GUID" w:val="8466e29c-7511-4a4c-8468-decac63bad58"/>
    <w:docVar w:name="WAFER_20151102165503" w:val="UsedStyles"/>
    <w:docVar w:name="WAFER_20151102165503_GUID" w:val="11f0cecd-8413-4f45-963d-4fd89ee83205"/>
    <w:docVar w:name="WAFER_20161129133829" w:val="RemoveTocBookmarks,RemoveUnusedBookmarks,RemoveLanguageTags,UsedStyles,ResetPageSize"/>
    <w:docVar w:name="WAFER_20161129133829_GUID" w:val="3f90c34a-be46-43c3-9dc4-deb9900b669d"/>
    <w:docVar w:name="WAFER_20161130111745" w:val="RemoveTocBookmarks,RemoveUnusedBookmarks,RemoveLanguageTags,UsedStyles,ResetPageSize"/>
    <w:docVar w:name="WAFER_20161130111745_GUID" w:val="1583a46e-995b-499d-b451-196bfdd5fd31"/>
    <w:docVar w:name="WAFER_20161130112656" w:val="RemoveTocBookmarks,RemoveUnusedBookmarks,RemoveLanguageTags,UsedStyles,ResetPageSize"/>
    <w:docVar w:name="WAFER_20161130112656_GUID" w:val="edaa317a-1dbe-490e-89e1-ae65e6c90da5"/>
    <w:docVar w:name="WAFER_20161130112824" w:val="RemoveTocBookmarks,RemoveUnusedBookmarks,RemoveLanguageTags,UsedStyles,ResetPageSize"/>
    <w:docVar w:name="WAFER_20161130112824_GUID" w:val="64713d6a-3050-40d9-bde4-252cdc972eea"/>
    <w:docVar w:name="WAFER_20170704144517" w:val="RemoveTocBookmarks,RemoveUnusedBookmarks,RemoveLanguageTags,UsedStyles,ResetPageSize,RemoveCustomizations"/>
    <w:docVar w:name="WAFER_20170704144517_GUID" w:val="9feba0e3-b0f1-440d-aa52-71958f62bcb5"/>
    <w:docVar w:name="WAFER_20190227085021" w:val="RemoveTocBookmarks,RemoveUnusedBookmarks,RemoveLanguageTags,UpdateStyles,UsedStyles,ResetPageSize"/>
    <w:docVar w:name="WAFER_20190227085021_GUID" w:val="b3d9b1b7-e30b-4b45-bb1e-2aa01a24905a"/>
    <w:docVar w:name="WAFER_20190227112038" w:val="RemoveTocBookmarks,RemoveUnusedBookmarks,RemoveLanguageTags,UpdateStyles,UsedStyles,ResetPageSize"/>
    <w:docVar w:name="WAFER_20190227112038_GUID" w:val="c9ac1fc4-ebb9-43a1-9953-9e73f5eae412"/>
    <w:docVar w:name="WAFER_20190409092330" w:val="RemoveTocBookmarks,RemoveUnusedBookmarks,RemoveLanguageTags,ResetPageSize,RunningHeaders,UpdateStyles,UsedStyles"/>
    <w:docVar w:name="WAFER_20190409092330_GUID" w:val="b4143a12-0f96-4615-b5ea-aac3e4a471d0"/>
    <w:docVar w:name="WAFER_20200212115637"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15637_GUID" w:val="5e089ba8-ef4c-47bf-9df9-7d7ff0f2711d"/>
    <w:docVar w:name="WAFER_2020071009211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10092113_GUID" w:val="1980ca86-c810-444a-93e5-7dffb4c1560a"/>
    <w:docVar w:name="WAFER_2020071311072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13110725_GUID" w:val="f700ad4f-63ab-400e-9b53-ddf0cf6cfcd4"/>
    <w:docVar w:name="WAFER_2020072814150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28141508_GUID" w:val="53aa537e-2192-4528-b4d4-4bf359fd866d"/>
    <w:docVar w:name="WAFER_2020093008394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30083940_GUID" w:val="472465b1-2daf-4d0b-95c3-ae22a147ba07"/>
    <w:docVar w:name="WAFER_202011181222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18122210_GUID" w:val="5c9bfff8-d09b-48a7-83f1-a9327897a58e"/>
    <w:docVar w:name="WAFER_202011271519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7151921_GUID" w:val="29fa1be9-4b4b-415b-ac0c-5e67715d7882"/>
    <w:docVar w:name="WAFER_2021060310435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03104354_GUID" w:val="7fd2c36d-a4f4-4a0d-902d-027f0d53c243"/>
    <w:docVar w:name="WAFER_2021112314165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123141655_GUID" w:val="e149bd7a-c340-48c1-aa1c-05bcd0f1144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5:docId w15:val="{9C52B289-3D53-4693-95D5-6F471E23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THeading">
    <w:name w:val="THeading"/>
    <w:pPr>
      <w:keepNext/>
      <w:spacing w:before="160" w:after="60" w:line="260" w:lineRule="atLeast"/>
      <w:jc w:val="center"/>
    </w:pPr>
    <w:rPr>
      <w:b/>
      <w:bCs/>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AmNote">
    <w:name w:val="THeadingAmNote"/>
    <w:pPr>
      <w:keepNext/>
      <w:spacing w:before="160" w:after="60"/>
      <w:jc w:val="center"/>
    </w:pPr>
    <w:rPr>
      <w:rFonts w:ascii="Arial" w:hAnsi="Arial"/>
      <w:b/>
      <w:bCs/>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7.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2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image" Target="media/image2.png"/><Relationship Id="rId46"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B936-8E0D-430C-B657-751D0E9C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92498</Words>
  <Characters>423643</Characters>
  <Application>Microsoft Office Word</Application>
  <DocSecurity>0</DocSecurity>
  <Lines>12104</Lines>
  <Paragraphs>7070</Paragraphs>
  <ScaleCrop>false</ScaleCrop>
  <HeadingPairs>
    <vt:vector size="2" baseType="variant">
      <vt:variant>
        <vt:lpstr>Title</vt:lpstr>
      </vt:variant>
      <vt:variant>
        <vt:i4>1</vt:i4>
      </vt:variant>
    </vt:vector>
  </HeadingPairs>
  <TitlesOfParts>
    <vt:vector size="1" baseType="lpstr">
      <vt:lpstr>Criminal Code Act Compilation Act 1913</vt:lpstr>
    </vt:vector>
  </TitlesOfParts>
  <Manager/>
  <Company/>
  <LinksUpToDate>false</LinksUpToDate>
  <CharactersWithSpaces>509071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1913 - 19-p0-00</dc:title>
  <dc:subject/>
  <dc:creator/>
  <cp:keywords/>
  <dc:description/>
  <cp:lastModifiedBy>Master Repository Process</cp:lastModifiedBy>
  <cp:revision>4</cp:revision>
  <cp:lastPrinted>2017-09-28T08:10:00Z</cp:lastPrinted>
  <dcterms:created xsi:type="dcterms:W3CDTF">2021-11-25T00:35:00Z</dcterms:created>
  <dcterms:modified xsi:type="dcterms:W3CDTF">2021-11-25T00:35:00Z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DocumentType">
    <vt:lpwstr>Act</vt:lpwstr>
  </property>
  <property fmtid="{D5CDD505-2E9C-101B-9397-08002B2CF9AE}" pid="4" name="OwlsUID">
    <vt:i4>196</vt:i4>
  </property>
  <property fmtid="{D5CDD505-2E9C-101B-9397-08002B2CF9AE}" pid="5" name="ReprintedAsAt">
    <vt:filetime>2017-09-21T16:00:00Z</vt:filetime>
  </property>
  <property fmtid="{D5CDD505-2E9C-101B-9397-08002B2CF9AE}" pid="6" name="ReprintNo">
    <vt:lpwstr>19</vt:lpwstr>
  </property>
  <property fmtid="{D5CDD505-2E9C-101B-9397-08002B2CF9AE}" pid="7" name="AsAtDate">
    <vt:lpwstr>25 Nov 2021</vt:lpwstr>
  </property>
  <property fmtid="{D5CDD505-2E9C-101B-9397-08002B2CF9AE}" pid="8" name="Suffix">
    <vt:lpwstr>19-p0-00</vt:lpwstr>
  </property>
  <property fmtid="{D5CDD505-2E9C-101B-9397-08002B2CF9AE}" pid="9" name="CommencementDate">
    <vt:lpwstr>20211125</vt:lpwstr>
  </property>
</Properties>
</file>