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8" w:rsidRDefault="00C144C8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AE3E88" w:rsidRDefault="00C144C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8344F">
        <w:rPr>
          <w:noProof/>
        </w:rPr>
        <w:t>Sunday Entertainments Regulations 2006</w:t>
      </w:r>
      <w:r>
        <w:fldChar w:fldCharType="end"/>
      </w:r>
    </w:p>
    <w:p w:rsidR="00AE3E88" w:rsidRDefault="00AE3E88">
      <w:pPr>
        <w:jc w:val="center"/>
        <w:rPr>
          <w:b/>
        </w:rPr>
        <w:sectPr w:rsidR="00AE3E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E3E88" w:rsidRDefault="00C144C8">
      <w:pPr>
        <w:pStyle w:val="WA"/>
      </w:pPr>
      <w:r>
        <w:lastRenderedPageBreak/>
        <w:t>Western Australia</w:t>
      </w:r>
    </w:p>
    <w:p w:rsidR="00AE3E88" w:rsidRDefault="00C144C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8344F">
        <w:rPr>
          <w:noProof/>
        </w:rPr>
        <w:t>Sunday Entertainments Regulations 2006</w:t>
      </w:r>
      <w:r>
        <w:fldChar w:fldCharType="end"/>
      </w:r>
    </w:p>
    <w:p w:rsidR="00AE3E88" w:rsidRDefault="00C144C8">
      <w:pPr>
        <w:pStyle w:val="Arrangement"/>
      </w:pPr>
      <w:r>
        <w:t>CONTENTS</w:t>
      </w:r>
    </w:p>
    <w:p w:rsidR="00AE3E88" w:rsidRDefault="00C144C8">
      <w:pPr>
        <w:pStyle w:val="TOC8"/>
        <w:rPr>
          <w:sz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5,8,yHeading 5,8,nHeading 3,8,zHeading 5,9,zyHeading 5,9"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_Toc146681490 \h </w:instrText>
      </w:r>
      <w:r>
        <w:fldChar w:fldCharType="separate"/>
      </w:r>
      <w:r w:rsidR="0038344F">
        <w:t>1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_Toc146681491 \h </w:instrText>
      </w:r>
      <w:r>
        <w:fldChar w:fldCharType="separate"/>
      </w:r>
      <w:r w:rsidR="0038344F">
        <w:t>1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_Toc146681492 \h </w:instrText>
      </w:r>
      <w:r>
        <w:fldChar w:fldCharType="separate"/>
      </w:r>
      <w:r w:rsidR="0038344F">
        <w:t>1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>4.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_Toc146681493 \h </w:instrText>
      </w:r>
      <w:r>
        <w:fldChar w:fldCharType="separate"/>
      </w:r>
      <w:r w:rsidR="0038344F">
        <w:t>1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>5.</w:t>
      </w:r>
      <w:r>
        <w:tab/>
        <w:t>Authorised officers and approved officers</w:t>
      </w:r>
      <w:r>
        <w:tab/>
      </w:r>
      <w:r>
        <w:fldChar w:fldCharType="begin"/>
      </w:r>
      <w:r>
        <w:instrText xml:space="preserve"> PAGEREF _Toc146681494 \h </w:instrText>
      </w:r>
      <w:r>
        <w:fldChar w:fldCharType="separate"/>
      </w:r>
      <w:r w:rsidR="0038344F">
        <w:t>2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>6.</w:t>
      </w:r>
      <w:r>
        <w:tab/>
        <w:t>Forms</w:t>
      </w:r>
      <w:r>
        <w:tab/>
      </w:r>
      <w:r>
        <w:fldChar w:fldCharType="begin"/>
      </w:r>
      <w:r>
        <w:instrText xml:space="preserve"> PAGEREF _Toc146681495 \h </w:instrText>
      </w:r>
      <w:r>
        <w:fldChar w:fldCharType="separate"/>
      </w:r>
      <w:r w:rsidR="0038344F">
        <w:t>2</w:t>
      </w:r>
      <w:r>
        <w:fldChar w:fldCharType="end"/>
      </w:r>
    </w:p>
    <w:p w:rsidR="00AE3E88" w:rsidRDefault="00C144C8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1</w:t>
      </w:r>
      <w:r>
        <w:rPr>
          <w:sz w:val="24"/>
        </w:rPr>
        <w:t> </w:t>
      </w:r>
      <w:r>
        <w:t>—</w:t>
      </w:r>
      <w:r>
        <w:rPr>
          <w:sz w:val="24"/>
        </w:rPr>
        <w:t> </w:t>
      </w:r>
      <w:r>
        <w:t>Prescribed offences and modified penalties</w:t>
      </w:r>
    </w:p>
    <w:p w:rsidR="00AE3E88" w:rsidRDefault="00C144C8">
      <w:pPr>
        <w:pStyle w:val="TOC2"/>
        <w:tabs>
          <w:tab w:val="right" w:leader="dot" w:pos="7086"/>
        </w:tabs>
        <w:rPr>
          <w:b w:val="0"/>
          <w:sz w:val="24"/>
        </w:rPr>
      </w:pPr>
      <w:r>
        <w:t>Schedule 2 — Forms</w:t>
      </w:r>
    </w:p>
    <w:p w:rsidR="00AE3E88" w:rsidRDefault="00C144C8">
      <w:pPr>
        <w:pStyle w:val="TOC8"/>
        <w:rPr>
          <w:sz w:val="24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_Toc146681498 \h </w:instrText>
      </w:r>
      <w:r>
        <w:fldChar w:fldCharType="separate"/>
      </w:r>
      <w:r w:rsidR="0038344F">
        <w:t>4</w:t>
      </w:r>
      <w:r>
        <w:fldChar w:fldCharType="end"/>
      </w:r>
    </w:p>
    <w:p w:rsidR="00AE3E88" w:rsidRDefault="00C144C8">
      <w:pPr>
        <w:pStyle w:val="TOC8"/>
        <w:rPr>
          <w:sz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_Toc146681499 \h </w:instrText>
      </w:r>
      <w:r>
        <w:fldChar w:fldCharType="separate"/>
      </w:r>
      <w:r w:rsidR="0038344F">
        <w:t>5</w:t>
      </w:r>
      <w:r>
        <w:fldChar w:fldCharType="end"/>
      </w:r>
    </w:p>
    <w:p w:rsidR="00AE3E88" w:rsidRDefault="00C144C8">
      <w:pPr>
        <w:pStyle w:val="TOC2"/>
        <w:tabs>
          <w:tab w:val="right" w:leader="dot" w:pos="7086"/>
        </w:tabs>
        <w:rPr>
          <w:b w:val="0"/>
          <w:sz w:val="24"/>
        </w:rPr>
      </w:pPr>
      <w:r>
        <w:t>Notes</w:t>
      </w:r>
    </w:p>
    <w:p w:rsidR="00AE3E88" w:rsidRDefault="00C144C8">
      <w:pPr>
        <w:pStyle w:val="TOC8"/>
        <w:rPr>
          <w:sz w:val="24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_Toc146681501 \h </w:instrText>
      </w:r>
      <w:r>
        <w:fldChar w:fldCharType="separate"/>
      </w:r>
      <w:r w:rsidR="0038344F">
        <w:t>6</w:t>
      </w:r>
      <w:r>
        <w:fldChar w:fldCharType="end"/>
      </w:r>
    </w:p>
    <w:p w:rsidR="00AE3E88" w:rsidRDefault="00C144C8">
      <w:pPr>
        <w:pStyle w:val="TOC8"/>
      </w:pPr>
      <w:r>
        <w:fldChar w:fldCharType="end"/>
      </w:r>
    </w:p>
    <w:p w:rsidR="00AE3E88" w:rsidRDefault="00C144C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AE3E88" w:rsidRDefault="00AE3E88">
      <w:pPr>
        <w:pStyle w:val="NoteHeading"/>
        <w:sectPr w:rsidR="00AE3E8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AE3E88" w:rsidRDefault="00C144C8">
      <w:pPr>
        <w:pStyle w:val="WA"/>
      </w:pPr>
      <w:r>
        <w:lastRenderedPageBreak/>
        <w:t>Western Australia</w:t>
      </w:r>
    </w:p>
    <w:p w:rsidR="00AE3E88" w:rsidRDefault="00C144C8">
      <w:pPr>
        <w:pStyle w:val="PrincipalActReg"/>
      </w:pPr>
      <w:r>
        <w:t>Sunday Entertainments Act 1979</w:t>
      </w:r>
      <w:r>
        <w:br/>
        <w:t>Criminal Procedure Act 2004</w:t>
      </w:r>
    </w:p>
    <w:p w:rsidR="00AE3E88" w:rsidRDefault="00C144C8">
      <w:pPr>
        <w:pStyle w:val="NameofActReg"/>
      </w:pPr>
      <w:r>
        <w:t>Sunday Entertainments Regulations 2006</w:t>
      </w:r>
    </w:p>
    <w:p w:rsidR="00AE3E88" w:rsidRDefault="00C144C8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4668149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E3E88" w:rsidRDefault="00C144C8"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 w:rsidR="00AE3E88" w:rsidRDefault="00C144C8"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466814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E3E88" w:rsidRDefault="00C144C8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 w:rsidR="00AE3E88" w:rsidRDefault="00C144C8"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 w:rsidR="00AE3E88" w:rsidRDefault="00C144C8"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 w:rsidR="00AE3E88" w:rsidRDefault="00C144C8">
      <w:pPr>
        <w:pStyle w:val="Heading5"/>
      </w:pPr>
      <w:bookmarkStart w:id="19" w:name="_Toc146681492"/>
      <w:r>
        <w:rPr>
          <w:rStyle w:val="CharSectno"/>
        </w:rPr>
        <w:t>3</w:t>
      </w:r>
      <w:r>
        <w:t>.</w:t>
      </w:r>
      <w:r>
        <w:tab/>
        <w:t>Interpretation</w:t>
      </w:r>
      <w:bookmarkEnd w:id="19"/>
    </w:p>
    <w:p w:rsidR="00AE3E88" w:rsidRDefault="00C144C8">
      <w:pPr>
        <w:pStyle w:val="Subsection"/>
      </w:pPr>
      <w:r>
        <w:tab/>
      </w:r>
      <w:r>
        <w:tab/>
        <w:t>In these regulations —</w:t>
      </w:r>
    </w:p>
    <w:p w:rsidR="00AE3E88" w:rsidRDefault="00C144C8"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Consumer Affairs Act 1971</w:t>
      </w:r>
      <w:r>
        <w:t>.</w:t>
      </w:r>
    </w:p>
    <w:p w:rsidR="00AE3E88" w:rsidRDefault="00C144C8">
      <w:pPr>
        <w:pStyle w:val="Heading5"/>
      </w:pPr>
      <w:bookmarkStart w:id="20" w:name="_Toc146681493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20"/>
    </w:p>
    <w:p w:rsidR="00AE3E88" w:rsidRDefault="00C144C8"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AE3E88" w:rsidRDefault="00C144C8"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AE3E88" w:rsidRDefault="00C144C8">
      <w:pPr>
        <w:pStyle w:val="Heading5"/>
      </w:pPr>
      <w:bookmarkStart w:id="21" w:name="_Toc146681494"/>
      <w:r>
        <w:rPr>
          <w:rStyle w:val="CharSectno"/>
        </w:rPr>
        <w:lastRenderedPageBreak/>
        <w:t>5</w:t>
      </w:r>
      <w:r>
        <w:t>.</w:t>
      </w:r>
      <w:r>
        <w:tab/>
        <w:t>Authorised officers and approved officers</w:t>
      </w:r>
      <w:bookmarkEnd w:id="21"/>
    </w:p>
    <w:p w:rsidR="00AE3E88" w:rsidRDefault="00C144C8"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 w:rsidR="00AE3E88" w:rsidRDefault="00C144C8"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AE3E88" w:rsidRDefault="00C144C8">
      <w:pPr>
        <w:pStyle w:val="Heading5"/>
      </w:pPr>
      <w:bookmarkStart w:id="22" w:name="_Toc146681495"/>
      <w:r>
        <w:rPr>
          <w:rStyle w:val="CharSectno"/>
        </w:rPr>
        <w:t>6</w:t>
      </w:r>
      <w:r>
        <w:t>.</w:t>
      </w:r>
      <w:r>
        <w:tab/>
        <w:t>Forms</w:t>
      </w:r>
      <w:bookmarkEnd w:id="22"/>
    </w:p>
    <w:p w:rsidR="00AE3E88" w:rsidRDefault="00C144C8"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 w:rsidR="00AE3E88" w:rsidRDefault="00AE3E88">
      <w:pPr>
        <w:sectPr w:rsidR="00AE3E8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AE3E88" w:rsidRDefault="00C144C8">
      <w:pPr>
        <w:pStyle w:val="yScheduleHeading"/>
      </w:pPr>
      <w:bookmarkStart w:id="23" w:name="_Toc146681496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24" w:name="AutoSch"/>
      <w:bookmarkEnd w:id="24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23"/>
    </w:p>
    <w:p w:rsidR="00AE3E88" w:rsidRDefault="00C144C8"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AE3E88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 w:rsidR="00AE3E88">
        <w:trPr>
          <w:cantSplit/>
          <w:trHeight w:val="21"/>
        </w:trPr>
        <w:tc>
          <w:tcPr>
            <w:tcW w:w="1134" w:type="dxa"/>
          </w:tcPr>
          <w:p w:rsidR="00AE3E88" w:rsidRDefault="00C144C8"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 w:rsidR="00AE3E88" w:rsidRDefault="00C144C8"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 w:rsidR="00AE3E88" w:rsidRDefault="00C144C8">
            <w:pPr>
              <w:pStyle w:val="yTable"/>
              <w:spacing w:before="0"/>
            </w:pPr>
            <w:r>
              <w:br/>
              <w:t>$100</w:t>
            </w:r>
          </w:p>
        </w:tc>
      </w:tr>
      <w:tr w:rsidR="00AE3E88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 w:rsidR="00AE3E88" w:rsidRDefault="00C144C8">
      <w:pPr>
        <w:pStyle w:val="yScheduleHeading"/>
      </w:pPr>
      <w:bookmarkStart w:id="25" w:name="_Toc146681497"/>
      <w:r>
        <w:rPr>
          <w:rStyle w:val="CharSchNo"/>
        </w:rPr>
        <w:lastRenderedPageBreak/>
        <w:t>Schedule 2</w:t>
      </w:r>
      <w:r>
        <w:t> — </w:t>
      </w:r>
      <w:r>
        <w:rPr>
          <w:rStyle w:val="CharSchText"/>
        </w:rPr>
        <w:t>Forms</w:t>
      </w:r>
      <w:bookmarkEnd w:id="25"/>
    </w:p>
    <w:p w:rsidR="00AE3E88" w:rsidRDefault="00C144C8">
      <w:pPr>
        <w:pStyle w:val="yShoulderClause"/>
        <w:spacing w:before="0"/>
      </w:pPr>
      <w:r>
        <w:t>[r. 6]</w:t>
      </w:r>
    </w:p>
    <w:p w:rsidR="00AE3E88" w:rsidRDefault="00C144C8">
      <w:pPr>
        <w:pStyle w:val="yHeading5"/>
        <w:spacing w:before="120" w:after="60"/>
      </w:pPr>
      <w:bookmarkStart w:id="26" w:name="_Toc146681498"/>
      <w:r>
        <w:t>Form 1 — Infringement notice</w:t>
      </w:r>
      <w:bookmarkEnd w:id="26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AE3E88">
        <w:trPr>
          <w:cantSplit/>
          <w:trHeight w:val="282"/>
        </w:trPr>
        <w:tc>
          <w:tcPr>
            <w:tcW w:w="4820" w:type="dxa"/>
            <w:gridSpan w:val="2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 w:rsidR="00AE3E88" w:rsidRDefault="00C144C8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 w:val="restart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AE3E88" w:rsidRDefault="00C144C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AE3E88" w:rsidRDefault="00C144C8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AE3E88">
        <w:trPr>
          <w:cantSplit/>
        </w:trPr>
        <w:tc>
          <w:tcPr>
            <w:tcW w:w="1276" w:type="dxa"/>
            <w:vMerge w:val="restart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AE3E88" w:rsidRDefault="00AE3E88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AE3E88">
        <w:trPr>
          <w:cantSplit/>
        </w:trPr>
        <w:tc>
          <w:tcPr>
            <w:tcW w:w="1276" w:type="dxa"/>
            <w:vMerge w:val="restart"/>
          </w:tcPr>
          <w:p w:rsidR="00AE3E88" w:rsidRDefault="00C144C8"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AE3E88">
        <w:tc>
          <w:tcPr>
            <w:tcW w:w="1276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E3E88" w:rsidRDefault="00C144C8"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AE3E88">
        <w:tc>
          <w:tcPr>
            <w:tcW w:w="1276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AE3E88" w:rsidRDefault="00C144C8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AE3E88" w:rsidRDefault="00C144C8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AE3E88" w:rsidRDefault="00C144C8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AE3E88" w:rsidRDefault="00C144C8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AE3E88" w:rsidRDefault="00C144C8"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 w:rsidR="00AE3E88">
        <w:tc>
          <w:tcPr>
            <w:tcW w:w="1276" w:type="dxa"/>
            <w:tcBorders>
              <w:top w:val="single" w:sz="4" w:space="0" w:color="auto"/>
            </w:tcBorders>
          </w:tcPr>
          <w:p w:rsidR="00AE3E88" w:rsidRDefault="00AE3E88"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 xml:space="preserve">If you want this matter to be dealt with by prosecution in </w:t>
            </w:r>
            <w:r>
              <w:rPr>
                <w:b/>
                <w:sz w:val="20"/>
              </w:rPr>
              <w:lastRenderedPageBreak/>
              <w:t>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AE3E88" w:rsidRDefault="00C144C8">
      <w:pPr>
        <w:pStyle w:val="yHeading5"/>
        <w:spacing w:after="60"/>
      </w:pPr>
      <w:bookmarkStart w:id="27" w:name="_Toc146681499"/>
      <w:r>
        <w:lastRenderedPageBreak/>
        <w:t>Form 2 — Withdrawal of infringement notice</w:t>
      </w:r>
      <w:bookmarkEnd w:id="27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AE3E88">
        <w:trPr>
          <w:cantSplit/>
          <w:trHeight w:val="282"/>
        </w:trPr>
        <w:tc>
          <w:tcPr>
            <w:tcW w:w="4820" w:type="dxa"/>
            <w:gridSpan w:val="2"/>
          </w:tcPr>
          <w:p w:rsidR="00AE3E88" w:rsidRDefault="00C144C8"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 w:rsidR="00AE3E88" w:rsidRDefault="00C144C8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 w:val="restart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AE3E88" w:rsidRDefault="00C144C8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AE3E88">
        <w:trPr>
          <w:cantSplit/>
          <w:trHeight w:val="150"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AE3E88" w:rsidRDefault="00C144C8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AE3E88">
        <w:trPr>
          <w:cantSplit/>
        </w:trPr>
        <w:tc>
          <w:tcPr>
            <w:tcW w:w="1276" w:type="dxa"/>
            <w:vMerge w:val="restart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AE3E88">
        <w:trPr>
          <w:cantSplit/>
        </w:trPr>
        <w:tc>
          <w:tcPr>
            <w:tcW w:w="1276" w:type="dxa"/>
            <w:vMerge w:val="restart"/>
          </w:tcPr>
          <w:p w:rsidR="00AE3E88" w:rsidRDefault="00C144C8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AE3E88" w:rsidRDefault="00AE3E88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AE3E88">
        <w:trPr>
          <w:cantSplit/>
        </w:trPr>
        <w:tc>
          <w:tcPr>
            <w:tcW w:w="1276" w:type="dxa"/>
            <w:vMerge w:val="restart"/>
          </w:tcPr>
          <w:p w:rsidR="00AE3E88" w:rsidRDefault="00C144C8"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AE3E88">
        <w:trPr>
          <w:cantSplit/>
        </w:trPr>
        <w:tc>
          <w:tcPr>
            <w:tcW w:w="1276" w:type="dxa"/>
            <w:vMerge/>
          </w:tcPr>
          <w:p w:rsidR="00AE3E88" w:rsidRDefault="00AE3E88"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AE3E88" w:rsidRDefault="00C144C8"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AE3E88">
        <w:tc>
          <w:tcPr>
            <w:tcW w:w="1276" w:type="dxa"/>
          </w:tcPr>
          <w:p w:rsidR="00AE3E88" w:rsidRDefault="00C144C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E3E88" w:rsidRDefault="00C144C8"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AE3E88">
        <w:tc>
          <w:tcPr>
            <w:tcW w:w="1276" w:type="dxa"/>
          </w:tcPr>
          <w:p w:rsidR="00AE3E88" w:rsidRDefault="00C144C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AE3E88" w:rsidRDefault="00AE3E88"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 w:rsidR="00AE3E88" w:rsidRDefault="00C144C8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AE3E88" w:rsidRDefault="00C144C8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AE3E88" w:rsidRDefault="00C144C8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AE3E88" w:rsidRDefault="00C144C8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AE3E88" w:rsidRDefault="00C144C8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AE3E88" w:rsidRDefault="00C144C8"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 w:rsidR="00AE3E88" w:rsidRDefault="00C144C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AE3E88" w:rsidRDefault="00C144C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AE3E88" w:rsidRDefault="00C144C8"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AE3E88" w:rsidRDefault="00C144C8"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AE3E88" w:rsidRDefault="00AE3E88">
      <w:pPr>
        <w:sectPr w:rsidR="00AE3E88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8" w:name="_Toc113695922"/>
    </w:p>
    <w:p w:rsidR="00AE3E88" w:rsidRDefault="00C144C8">
      <w:pPr>
        <w:pStyle w:val="nHeading2"/>
      </w:pPr>
      <w:bookmarkStart w:id="29" w:name="_Toc146681500"/>
      <w:r>
        <w:lastRenderedPageBreak/>
        <w:t>Notes</w:t>
      </w:r>
      <w:bookmarkEnd w:id="28"/>
      <w:bookmarkEnd w:id="29"/>
    </w:p>
    <w:p w:rsidR="00AE3E88" w:rsidRDefault="00C144C8">
      <w:pPr>
        <w:pStyle w:val="nSubsection"/>
        <w:rPr>
          <w:snapToGrid w:val="0"/>
        </w:rPr>
      </w:pPr>
      <w:bookmarkStart w:id="30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Sunday Entertainments Regulations 2006</w:t>
      </w:r>
      <w:r>
        <w:rPr>
          <w:snapToGrid w:val="0"/>
        </w:rPr>
        <w:t xml:space="preserve">.  The following table contains information about those regulations. </w:t>
      </w:r>
    </w:p>
    <w:p w:rsidR="00AE3E88" w:rsidRDefault="00C144C8">
      <w:pPr>
        <w:pStyle w:val="nHeading3"/>
      </w:pPr>
      <w:bookmarkStart w:id="31" w:name="_Toc146681501"/>
      <w: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AE3E8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AE3E88" w:rsidRDefault="00C144C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AE3E88" w:rsidRDefault="00C144C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E3E88" w:rsidRDefault="00C144C8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E3E88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AE3E88" w:rsidRDefault="00C144C8"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AE3E88" w:rsidRDefault="00C144C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p. 4136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AE3E88" w:rsidRDefault="00C144C8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</w:tbl>
    <w:p w:rsidR="00AE3E88" w:rsidRDefault="00AE3E88"/>
    <w:p w:rsidR="00AE3E88" w:rsidRDefault="00AE3E88">
      <w:pPr>
        <w:sectPr w:rsidR="00AE3E88"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AE3E88" w:rsidRDefault="00AE3E88"/>
    <w:sectPr w:rsidR="00AE3E88"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88" w:rsidRDefault="00C144C8">
      <w:pPr>
        <w:rPr>
          <w:b/>
          <w:sz w:val="28"/>
        </w:rPr>
      </w:pPr>
      <w:r>
        <w:rPr>
          <w:b/>
          <w:sz w:val="28"/>
        </w:rPr>
        <w:t>Endnotes</w:t>
      </w:r>
    </w:p>
    <w:p w:rsidR="00AE3E88" w:rsidRDefault="00C144C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AE3E88" w:rsidRDefault="00AE3E88"/>
  </w:endnote>
  <w:endnote w:type="continuationSeparator" w:id="0">
    <w:p w:rsidR="00AE3E88" w:rsidRDefault="00AE3E88">
      <w:pPr>
        <w:pStyle w:val="Footer"/>
      </w:pPr>
    </w:p>
    <w:p w:rsidR="00AE3E88" w:rsidRDefault="00AE3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8344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8344F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8344F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Footer"/>
      <w:tabs>
        <w:tab w:val="clear" w:pos="4153"/>
        <w:tab w:val="right" w:pos="7088"/>
      </w:tabs>
      <w:rPr>
        <w:rStyle w:val="PageNumber"/>
      </w:rPr>
    </w:pPr>
  </w:p>
  <w:p w:rsidR="00AE3E88" w:rsidRDefault="00C144C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8344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8344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E3E88" w:rsidRDefault="00C144C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88" w:rsidRDefault="00C144C8">
      <w:r>
        <w:separator/>
      </w:r>
    </w:p>
  </w:footnote>
  <w:footnote w:type="continuationSeparator" w:id="0">
    <w:p w:rsidR="00AE3E88" w:rsidRDefault="00C1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C144C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8344F">
      <w:rPr>
        <w:i/>
        <w:noProof/>
      </w:rPr>
      <w:t>Sunday Entertainments Regulations 2006</w:t>
    </w:r>
    <w:r>
      <w:rPr>
        <w:i/>
      </w:rPr>
      <w:fldChar w:fldCharType="end"/>
    </w:r>
  </w:p>
  <w:p w:rsidR="00AE3E88" w:rsidRDefault="00C144C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E3E88" w:rsidRDefault="00C144C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E3E88" w:rsidRDefault="00AE3E88">
    <w:pPr>
      <w:pStyle w:val="headerpart"/>
    </w:pPr>
  </w:p>
  <w:p w:rsidR="00AE3E88" w:rsidRDefault="00AE3E88">
    <w:pPr>
      <w:pBdr>
        <w:bottom w:val="single" w:sz="6" w:space="1" w:color="auto"/>
      </w:pBdr>
      <w:rPr>
        <w:b/>
      </w:rPr>
    </w:pPr>
  </w:p>
  <w:p w:rsidR="00AE3E88" w:rsidRDefault="00AE3E8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Right"/>
            <w:ind w:right="17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5715" w:type="dxa"/>
          <w:vAlign w:val="bottom"/>
        </w:tcPr>
        <w:p w:rsidR="00AE3E88" w:rsidRDefault="00C144C8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AE3E88" w:rsidRDefault="00C144C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AE3E88">
      <w:tc>
        <w:tcPr>
          <w:tcW w:w="5715" w:type="dxa"/>
        </w:tcPr>
        <w:p w:rsidR="00AE3E88" w:rsidRDefault="00C144C8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AE3E88" w:rsidRDefault="00C144C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 w:rsidR="00AE3E88">
      <w:tc>
        <w:tcPr>
          <w:tcW w:w="5715" w:type="dxa"/>
        </w:tcPr>
        <w:p w:rsidR="00AE3E88" w:rsidRDefault="00AE3E88">
          <w:pPr>
            <w:pStyle w:val="HeaderTextRight"/>
          </w:pPr>
        </w:p>
      </w:tc>
      <w:tc>
        <w:tcPr>
          <w:tcW w:w="1548" w:type="dxa"/>
        </w:tcPr>
        <w:p w:rsidR="00AE3E88" w:rsidRDefault="00AE3E88">
          <w:pPr>
            <w:pStyle w:val="HeaderNumberRight"/>
            <w:ind w:right="17"/>
          </w:pP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Left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1548" w:type="dxa"/>
        </w:tcPr>
        <w:p w:rsidR="00AE3E88" w:rsidRDefault="00AE3E88">
          <w:pPr>
            <w:pStyle w:val="HeaderNumberLeft"/>
          </w:pPr>
        </w:p>
      </w:tc>
      <w:tc>
        <w:tcPr>
          <w:tcW w:w="5715" w:type="dxa"/>
        </w:tcPr>
        <w:p w:rsidR="00AE3E88" w:rsidRDefault="00AE3E88">
          <w:pPr>
            <w:pStyle w:val="HeaderTextLeft"/>
          </w:pPr>
        </w:p>
      </w:tc>
    </w:tr>
    <w:tr w:rsidR="00AE3E88">
      <w:tc>
        <w:tcPr>
          <w:tcW w:w="1548" w:type="dxa"/>
        </w:tcPr>
        <w:p w:rsidR="00AE3E88" w:rsidRDefault="00AE3E88">
          <w:pPr>
            <w:pStyle w:val="HeaderNumberLeft"/>
          </w:pPr>
        </w:p>
      </w:tc>
      <w:tc>
        <w:tcPr>
          <w:tcW w:w="5715" w:type="dxa"/>
        </w:tcPr>
        <w:p w:rsidR="00AE3E88" w:rsidRDefault="00AE3E88">
          <w:pPr>
            <w:pStyle w:val="HeaderTextLeft"/>
          </w:pP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AE3E88">
          <w:pPr>
            <w:pStyle w:val="HeaderSectionRight"/>
            <w:ind w:right="17"/>
            <w:jc w:val="left"/>
          </w:pP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Right"/>
            <w:ind w:right="17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5715" w:type="dxa"/>
        </w:tcPr>
        <w:p w:rsidR="00AE3E88" w:rsidRDefault="00AE3E88">
          <w:pPr>
            <w:pStyle w:val="HeaderTextRight"/>
          </w:pPr>
        </w:p>
      </w:tc>
      <w:tc>
        <w:tcPr>
          <w:tcW w:w="1548" w:type="dxa"/>
        </w:tcPr>
        <w:p w:rsidR="00AE3E88" w:rsidRDefault="00AE3E88">
          <w:pPr>
            <w:pStyle w:val="HeaderNumberRight"/>
            <w:ind w:right="17"/>
          </w:pPr>
        </w:p>
      </w:tc>
    </w:tr>
    <w:tr w:rsidR="00AE3E88">
      <w:tc>
        <w:tcPr>
          <w:tcW w:w="5715" w:type="dxa"/>
        </w:tcPr>
        <w:p w:rsidR="00AE3E88" w:rsidRDefault="00AE3E88">
          <w:pPr>
            <w:pStyle w:val="HeaderTextRight"/>
          </w:pPr>
        </w:p>
      </w:tc>
      <w:tc>
        <w:tcPr>
          <w:tcW w:w="1548" w:type="dxa"/>
        </w:tcPr>
        <w:p w:rsidR="00AE3E88" w:rsidRDefault="00AE3E88">
          <w:pPr>
            <w:pStyle w:val="HeaderNumberRight"/>
            <w:ind w:right="17"/>
          </w:pP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AE3E88">
          <w:pPr>
            <w:pStyle w:val="HeaderSectionRight"/>
            <w:ind w:right="17"/>
          </w:pP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4F" w:rsidRDefault="00383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4F" w:rsidRDefault="003834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Left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1548" w:type="dxa"/>
        </w:tcPr>
        <w:p w:rsidR="00AE3E88" w:rsidRDefault="00AE3E88">
          <w:pPr>
            <w:pStyle w:val="HeaderNumberLeft"/>
          </w:pPr>
        </w:p>
      </w:tc>
      <w:tc>
        <w:tcPr>
          <w:tcW w:w="5715" w:type="dxa"/>
        </w:tcPr>
        <w:p w:rsidR="00AE3E88" w:rsidRDefault="00AE3E88">
          <w:pPr>
            <w:pStyle w:val="HeaderTextLeft"/>
          </w:pPr>
        </w:p>
      </w:tc>
    </w:tr>
    <w:tr w:rsidR="00AE3E88">
      <w:tc>
        <w:tcPr>
          <w:tcW w:w="1548" w:type="dxa"/>
        </w:tcPr>
        <w:p w:rsidR="00AE3E88" w:rsidRDefault="00AE3E88">
          <w:pPr>
            <w:pStyle w:val="HeaderNumberLeft"/>
          </w:pPr>
        </w:p>
      </w:tc>
      <w:tc>
        <w:tcPr>
          <w:tcW w:w="5715" w:type="dxa"/>
        </w:tcPr>
        <w:p w:rsidR="00AE3E88" w:rsidRDefault="00AE3E88">
          <w:pPr>
            <w:pStyle w:val="HeaderTextLeft"/>
          </w:pP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Right"/>
            <w:ind w:right="17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5715" w:type="dxa"/>
        </w:tcPr>
        <w:p w:rsidR="00AE3E88" w:rsidRDefault="00AE3E88">
          <w:pPr>
            <w:pStyle w:val="HeaderTextRight"/>
          </w:pPr>
        </w:p>
      </w:tc>
      <w:tc>
        <w:tcPr>
          <w:tcW w:w="1548" w:type="dxa"/>
        </w:tcPr>
        <w:p w:rsidR="00AE3E88" w:rsidRDefault="00AE3E88">
          <w:pPr>
            <w:pStyle w:val="HeaderNumberRight"/>
            <w:ind w:right="17"/>
          </w:pPr>
        </w:p>
      </w:tc>
    </w:tr>
    <w:tr w:rsidR="00AE3E88">
      <w:tc>
        <w:tcPr>
          <w:tcW w:w="5715" w:type="dxa"/>
        </w:tcPr>
        <w:p w:rsidR="00AE3E88" w:rsidRDefault="00AE3E88">
          <w:pPr>
            <w:pStyle w:val="HeaderTextRight"/>
          </w:pPr>
        </w:p>
      </w:tc>
      <w:tc>
        <w:tcPr>
          <w:tcW w:w="1548" w:type="dxa"/>
        </w:tcPr>
        <w:p w:rsidR="00AE3E88" w:rsidRDefault="00AE3E88">
          <w:pPr>
            <w:pStyle w:val="HeaderNumberRight"/>
            <w:ind w:right="17"/>
          </w:pP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Left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1548" w:type="dxa"/>
        </w:tcPr>
        <w:p w:rsidR="00AE3E88" w:rsidRDefault="00C144C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AE3E88" w:rsidRDefault="00C144C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E3E88">
      <w:tc>
        <w:tcPr>
          <w:tcW w:w="1548" w:type="dxa"/>
        </w:tcPr>
        <w:p w:rsidR="00AE3E88" w:rsidRDefault="00C144C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E3E88" w:rsidRDefault="00C144C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SectionLeft"/>
          </w:pPr>
          <w:r>
            <w:t xml:space="preserve">r. </w:t>
          </w:r>
          <w:fldSimple w:instr=" styleref CharSectno ">
            <w:r w:rsidR="0038344F">
              <w:rPr>
                <w:noProof/>
              </w:rPr>
              <w:t>1</w:t>
            </w:r>
          </w:fldSimple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ActNameRight"/>
            <w:ind w:right="17"/>
          </w:pPr>
          <w:fldSimple w:instr=" Styleref &quot;Name of Act/Reg&quot;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5715" w:type="dxa"/>
        </w:tcPr>
        <w:p w:rsidR="00AE3E88" w:rsidRDefault="00C144C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E3E88" w:rsidRDefault="00C144C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E3E88">
      <w:tc>
        <w:tcPr>
          <w:tcW w:w="5715" w:type="dxa"/>
        </w:tcPr>
        <w:p w:rsidR="00AE3E88" w:rsidRDefault="00C144C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E3E88" w:rsidRDefault="00C144C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E3E88">
      <w:trPr>
        <w:cantSplit/>
      </w:trPr>
      <w:tc>
        <w:tcPr>
          <w:tcW w:w="7263" w:type="dxa"/>
          <w:gridSpan w:val="2"/>
        </w:tcPr>
        <w:p w:rsidR="00AE3E88" w:rsidRDefault="00C144C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8344F">
              <w:rPr>
                <w:noProof/>
              </w:rPr>
              <w:t>1</w:t>
            </w:r>
          </w:fldSimple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88" w:rsidRDefault="00AE3E8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E3E88">
      <w:trPr>
        <w:cantSplit/>
      </w:trPr>
      <w:tc>
        <w:tcPr>
          <w:tcW w:w="7258" w:type="dxa"/>
          <w:gridSpan w:val="2"/>
        </w:tcPr>
        <w:p w:rsidR="00AE3E88" w:rsidRDefault="00C144C8">
          <w:pPr>
            <w:pStyle w:val="HeaderActNameLeft"/>
          </w:pPr>
          <w:fldSimple w:instr=" STYLEREF &quot;Name of Act/Reg&quot; \* MERGEFORMAT ">
            <w:r w:rsidR="0038344F">
              <w:rPr>
                <w:noProof/>
              </w:rPr>
              <w:t>Sunday Entertainments Regulations 2006</w:t>
            </w:r>
          </w:fldSimple>
        </w:p>
      </w:tc>
    </w:tr>
    <w:tr w:rsidR="00AE3E88">
      <w:tc>
        <w:tcPr>
          <w:tcW w:w="1548" w:type="dxa"/>
        </w:tcPr>
        <w:p w:rsidR="00AE3E88" w:rsidRDefault="00C144C8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AE3E88" w:rsidRDefault="00C144C8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AE3E88">
      <w:tc>
        <w:tcPr>
          <w:tcW w:w="1548" w:type="dxa"/>
        </w:tcPr>
        <w:p w:rsidR="00AE3E88" w:rsidRDefault="00C144C8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AE3E88" w:rsidRDefault="00C144C8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AE3E88">
      <w:tc>
        <w:tcPr>
          <w:tcW w:w="1548" w:type="dxa"/>
        </w:tcPr>
        <w:p w:rsidR="00AE3E88" w:rsidRDefault="00AE3E88">
          <w:pPr>
            <w:pStyle w:val="HeaderNumberLeft"/>
          </w:pPr>
        </w:p>
      </w:tc>
      <w:tc>
        <w:tcPr>
          <w:tcW w:w="5715" w:type="dxa"/>
        </w:tcPr>
        <w:p w:rsidR="00AE3E88" w:rsidRDefault="00AE3E88">
          <w:pPr>
            <w:pStyle w:val="HeaderTextLeft"/>
          </w:pPr>
        </w:p>
      </w:tc>
    </w:tr>
  </w:tbl>
  <w:p w:rsidR="00AE3E88" w:rsidRDefault="00AE3E8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C8"/>
    <w:rsid w:val="0038344F"/>
    <w:rsid w:val="007F7C68"/>
    <w:rsid w:val="00AE3E88"/>
    <w:rsid w:val="00C144C8"/>
    <w:rsid w:val="00F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934</Words>
  <Characters>5279</Characters>
  <Application>Microsoft Office Word</Application>
  <DocSecurity>0</DocSecurity>
  <Lines>251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Company>Parliamentary Counsel's Office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2006-05-26T03:21:00Z</cp:lastPrinted>
  <dcterms:created xsi:type="dcterms:W3CDTF">2013-02-19T00:48:00Z</dcterms:created>
  <dcterms:modified xsi:type="dcterms:W3CDTF">2013-02-19T00:48:00Z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38507</vt:i4>
  </property>
  <property fmtid="{D5CDD505-2E9C-101B-9397-08002B2CF9AE}" pid="6" name="AsAtDate">
    <vt:lpwstr>22 Sep 2006</vt:lpwstr>
  </property>
  <property fmtid="{D5CDD505-2E9C-101B-9397-08002B2CF9AE}" pid="7" name="Suffix">
    <vt:lpwstr>00-a0-05</vt:lpwstr>
  </property>
</Properties>
</file>