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_Toc97305146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_Toc97305147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_Toc97305148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_Toc97305151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_Toc97305152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_Toc97305153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_Toc97305154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_Toc97305155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_Toc97305156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_Toc97305157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_Toc97305158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_Toc97305160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_Toc97305161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_Toc97305162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_Toc97305163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_Toc97305164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_Toc97305165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_Toc97305167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_Toc97305168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_Toc97305169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_Toc97305170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_Toc97305171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_Toc97305172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_Toc97305173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_Toc97305174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_Toc97305175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_Toc97305176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_Toc97305177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_Toc97305179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_Toc97305180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_Toc97305181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_Toc97305182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_Toc97305183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_Toc97305185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_Toc97305186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_Toc97305187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_Toc97305188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_Toc97305189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_Toc97305190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lastRenderedPageBreak/>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_Toc97305204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_Toc97305205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_Toc97305206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97290750"/>
      <w:bookmarkStart w:id="4" w:name="_Toc97291117"/>
      <w:bookmarkStart w:id="5" w:name="_Toc97305145"/>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9730514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97305147"/>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97305148"/>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97290754"/>
      <w:bookmarkStart w:id="10" w:name="_Toc97291121"/>
      <w:bookmarkStart w:id="11" w:name="_Toc97305149"/>
      <w:r>
        <w:rPr>
          <w:rStyle w:val="CharPartNo"/>
        </w:rPr>
        <w:lastRenderedPageBreak/>
        <w:t>Part I</w:t>
      </w:r>
      <w:r>
        <w:t> — </w:t>
      </w:r>
      <w:r>
        <w:rPr>
          <w:rStyle w:val="CharPartText"/>
        </w:rPr>
        <w:t>Legislature</w:t>
      </w:r>
      <w:bookmarkEnd w:id="9"/>
      <w:bookmarkEnd w:id="10"/>
      <w:bookmarkEnd w:id="11"/>
    </w:p>
    <w:p>
      <w:pPr>
        <w:pStyle w:val="Heading3"/>
      </w:pPr>
      <w:bookmarkStart w:id="12" w:name="_Toc97290755"/>
      <w:bookmarkStart w:id="13" w:name="_Toc97291122"/>
      <w:bookmarkStart w:id="14" w:name="_Toc97305150"/>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pPr>
      <w:bookmarkStart w:id="15" w:name="_Toc97305151"/>
      <w:r>
        <w:rPr>
          <w:rStyle w:val="CharSectno"/>
        </w:rPr>
        <w:t>5</w:t>
      </w:r>
      <w:r>
        <w:t>.</w:t>
      </w:r>
      <w:r>
        <w:tab/>
      </w:r>
      <w:r>
        <w:rPr>
          <w:rStyle w:val="CharSectno"/>
        </w:rPr>
        <w:t>Constitution</w:t>
      </w:r>
      <w:r>
        <w:t xml:space="preserve"> of Legislative Council</w:t>
      </w:r>
      <w:bookmarkEnd w:id="15"/>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97305152"/>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97305153"/>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97305154"/>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97305155"/>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97305156"/>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97305157"/>
      <w:r>
        <w:rPr>
          <w:rStyle w:val="CharSectno"/>
        </w:rPr>
        <w:lastRenderedPageBreak/>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97305158"/>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97290764"/>
      <w:bookmarkStart w:id="24" w:name="_Toc97291131"/>
      <w:bookmarkStart w:id="25" w:name="_Toc97305159"/>
      <w:r>
        <w:rPr>
          <w:rStyle w:val="CharDivNo"/>
        </w:rPr>
        <w:lastRenderedPageBreak/>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rPr>
          <w:rStyle w:val="CharSectno"/>
        </w:rPr>
      </w:pPr>
      <w:bookmarkStart w:id="26" w:name="_Toc97305160"/>
      <w:r>
        <w:rPr>
          <w:rStyle w:val="CharSectno"/>
        </w:rPr>
        <w:t>18.</w:t>
      </w:r>
      <w:r>
        <w:rPr>
          <w:rStyle w:val="CharSectno"/>
        </w:rPr>
        <w:tab/>
        <w:t>Constitution of Legislative Assembly</w:t>
      </w:r>
      <w:bookmarkEnd w:id="26"/>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97305161"/>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97305162"/>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97305163"/>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97305164"/>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97305165"/>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97290771"/>
      <w:bookmarkStart w:id="33" w:name="_Toc97291138"/>
      <w:bookmarkStart w:id="34" w:name="_Toc97305166"/>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97305167"/>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97305168"/>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97305169"/>
      <w:r>
        <w:rPr>
          <w:rStyle w:val="CharSectno"/>
        </w:rPr>
        <w:lastRenderedPageBreak/>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97305170"/>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97305171"/>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97305172"/>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97305173"/>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97305174"/>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97305175"/>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97305176"/>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97305177"/>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97290783"/>
      <w:bookmarkStart w:id="47" w:name="_Toc97291150"/>
      <w:bookmarkStart w:id="48" w:name="_Toc97305178"/>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97305179"/>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97305180"/>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97305181"/>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97305182"/>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97305183"/>
      <w:r>
        <w:rPr>
          <w:rStyle w:val="CharSectno"/>
        </w:rPr>
        <w:lastRenderedPageBreak/>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4" w:name="_Toc97290789"/>
      <w:bookmarkStart w:id="55" w:name="_Toc97291156"/>
      <w:bookmarkStart w:id="56" w:name="_Toc97305184"/>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97305185"/>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97305186"/>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59" w:name="_Toc97305187"/>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97305188"/>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97305189"/>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2" w:name="_Toc97305190"/>
      <w:r>
        <w:rPr>
          <w:rStyle w:val="CharSectno"/>
        </w:rPr>
        <w:lastRenderedPageBreak/>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3" w:name="_Toc97290796"/>
      <w:bookmarkStart w:id="64" w:name="_Toc97291163"/>
      <w:bookmarkStart w:id="65" w:name="_Toc97305191"/>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97290797"/>
      <w:bookmarkStart w:id="67" w:name="_Toc97291164"/>
      <w:bookmarkStart w:id="68" w:name="_Toc97305192"/>
      <w:r>
        <w:rPr>
          <w:rStyle w:val="CharSchNo"/>
        </w:rPr>
        <w:lastRenderedPageBreak/>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97290798"/>
      <w:bookmarkStart w:id="70" w:name="_Toc97291165"/>
      <w:bookmarkStart w:id="71" w:name="_Toc97305193"/>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97290799"/>
      <w:bookmarkStart w:id="73" w:name="_Toc97291166"/>
      <w:bookmarkStart w:id="74" w:name="_Toc97305194"/>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97290800"/>
      <w:bookmarkStart w:id="76" w:name="_Toc97291167"/>
      <w:bookmarkStart w:id="77" w:name="_Toc97305195"/>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97290801"/>
      <w:bookmarkStart w:id="79" w:name="_Toc97291168"/>
      <w:bookmarkStart w:id="80" w:name="_Toc97305196"/>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97290802"/>
      <w:bookmarkStart w:id="82" w:name="_Toc97291169"/>
      <w:bookmarkStart w:id="83" w:name="_Toc97305197"/>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97290803"/>
      <w:bookmarkStart w:id="85" w:name="_Toc97291170"/>
      <w:bookmarkStart w:id="86" w:name="_Toc97305198"/>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97290804"/>
      <w:bookmarkStart w:id="88" w:name="_Toc97291171"/>
      <w:bookmarkStart w:id="89" w:name="_Toc97305199"/>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lastRenderedPageBreak/>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lastRenderedPageBreak/>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lastRenderedPageBreak/>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w:t>
      </w:r>
      <w:r>
        <w:lastRenderedPageBreak/>
        <w:t>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 </w:t>
      </w:r>
      <w:r>
        <w:rPr>
          <w:sz w:val="24"/>
        </w:rPr>
        <w:t>No. 24 of 2021 s. 12</w:t>
      </w:r>
      <w:r>
        <w:t>.]</w:t>
      </w:r>
    </w:p>
    <w:p>
      <w:pPr>
        <w:pStyle w:val="yScheduleHeading"/>
      </w:pPr>
      <w:bookmarkStart w:id="90" w:name="_Toc97290805"/>
      <w:bookmarkStart w:id="91" w:name="_Toc97291172"/>
      <w:bookmarkStart w:id="92" w:name="_Toc97305200"/>
      <w:r>
        <w:rPr>
          <w:rStyle w:val="CharSchNo"/>
        </w:rPr>
        <w:lastRenderedPageBreak/>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97290806"/>
      <w:bookmarkStart w:id="94" w:name="_Toc97291173"/>
      <w:bookmarkStart w:id="95" w:name="_Toc97305201"/>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97290807"/>
      <w:bookmarkStart w:id="97" w:name="_Toc97291174"/>
      <w:bookmarkStart w:id="98" w:name="_Toc97305202"/>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97290808"/>
      <w:bookmarkStart w:id="101" w:name="_Toc97291175"/>
      <w:bookmarkStart w:id="102" w:name="_Toc97305203"/>
      <w:r>
        <w:lastRenderedPageBreak/>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97305204"/>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lastRenderedPageBreak/>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lastRenderedPageBreak/>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lastRenderedPageBreak/>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lastRenderedPageBreak/>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lastRenderedPageBreak/>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lastRenderedPageBreak/>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lastRenderedPageBreak/>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lastRenderedPageBreak/>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lastRenderedPageBreak/>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104" w:name="_Toc97305205"/>
      <w:r>
        <w:lastRenderedPageBreak/>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pPr>
            <w:r>
              <w:rPr>
                <w:i/>
              </w:rPr>
              <w:t>Veterinary Practice Act 2021</w:t>
            </w:r>
            <w:r>
              <w:t xml:space="preserve"> s. 229</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single" w:sz="4" w:space="0" w:color="auto"/>
            </w:tcBorders>
            <w:shd w:val="clear" w:color="auto" w:fill="auto"/>
          </w:tcPr>
          <w:p>
            <w:pPr>
              <w:pStyle w:val="nTable"/>
              <w:spacing w:after="40"/>
            </w:pPr>
            <w:r>
              <w:t>27 of 2021</w:t>
            </w:r>
          </w:p>
        </w:tc>
        <w:tc>
          <w:tcPr>
            <w:tcW w:w="1134" w:type="dxa"/>
            <w:tcBorders>
              <w:top w:val="nil"/>
              <w:bottom w:val="single" w:sz="4" w:space="0" w:color="auto"/>
            </w:tcBorders>
            <w:shd w:val="clear" w:color="auto" w:fill="auto"/>
          </w:tcPr>
          <w:p>
            <w:pPr>
              <w:pStyle w:val="nTable"/>
              <w:spacing w:after="40"/>
            </w:pPr>
            <w:r>
              <w:t>22 Dec 2021</w:t>
            </w:r>
          </w:p>
        </w:tc>
        <w:tc>
          <w:tcPr>
            <w:tcW w:w="2552" w:type="dxa"/>
            <w:tcBorders>
              <w:top w:val="nil"/>
              <w:bottom w:val="single" w:sz="4" w:space="0" w:color="auto"/>
            </w:tcBorders>
            <w:shd w:val="clear" w:color="auto" w:fill="auto"/>
          </w:tcPr>
          <w:p>
            <w:pPr>
              <w:pStyle w:val="nTable"/>
              <w:spacing w:after="40"/>
              <w:rPr>
                <w:snapToGrid w:val="0"/>
              </w:rPr>
            </w:pPr>
            <w:r>
              <w:t>To be proclaimed (see s. 2(e))</w:t>
            </w:r>
          </w:p>
        </w:tc>
      </w:tr>
    </w:tbl>
    <w:p>
      <w:pPr>
        <w:pStyle w:val="nHeading3"/>
      </w:pPr>
      <w:bookmarkStart w:id="105" w:name="_Toc97305206"/>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t>
      </w:r>
      <w:r>
        <w:lastRenderedPageBreak/>
        <w:t>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lastRenderedPageBreak/>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 xml:space="preserve">If in a written law or other document or instrument there is a reference to the former Board, that reference may, where the </w:t>
      </w:r>
      <w:r>
        <w:lastRenderedPageBreak/>
        <w:t>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lastRenderedPageBreak/>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lastRenderedPageBreak/>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7" w:name="_Toc97290812"/>
      <w:bookmarkStart w:id="108" w:name="_Toc97291179"/>
      <w:bookmarkStart w:id="109" w:name="_Toc97305207"/>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21-y0-02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21-y0-02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21-y0-02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21-y0-02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21-y0-02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21-y0-02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2512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12CB-B3C6-4819-8D6C-497E7621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22375</Words>
  <Characters>100017</Characters>
  <Application>Microsoft Office Word</Application>
  <DocSecurity>0</DocSecurity>
  <Lines>3704</Lines>
  <Paragraphs>2353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1899 - 21-y0-02</dc:title>
  <dc:subject/>
  <dc:creator/>
  <cp:keywords/>
  <dc:description/>
  <cp:lastModifiedBy>Master Repository Process</cp:lastModifiedBy>
  <cp:revision>4</cp:revision>
  <cp:lastPrinted>2019-12-20T05:02:00Z</cp:lastPrinted>
  <dcterms:created xsi:type="dcterms:W3CDTF">2022-03-11T07:09:00Z</dcterms:created>
  <dcterms:modified xsi:type="dcterms:W3CDTF">2022-03-11T07:09:00Z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22 Dec 2021</vt:lpwstr>
  </property>
  <property fmtid="{D5CDD505-2E9C-101B-9397-08002B2CF9AE}" pid="9" name="Suffix">
    <vt:lpwstr>21-y0-02</vt:lpwstr>
  </property>
  <property fmtid="{D5CDD505-2E9C-101B-9397-08002B2CF9AE}" pid="10" name="CommencementDate">
    <vt:lpwstr>20211222</vt:lpwstr>
  </property>
</Properties>
</file>