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Infrastructure Western Australia Act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Infrastructure Western Australia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_Toc91065879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_Toc91065880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_Toc91065881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_Toc91065882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Infrastructure WA</w:t>
      </w:r>
    </w:p>
    <w:p>
      <w:pPr>
        <w:pStyle w:val="TOC8"/>
        <w:rPr>
          <w:rFonts w:asciiTheme="minorHAnsi" w:eastAsiaTheme="minorEastAsia" w:hAnsiTheme="minorHAnsi" w:cstheme="minorBidi"/>
          <w:szCs w:val="22"/>
        </w:rPr>
      </w:pPr>
      <w:r>
        <w:t>5.</w:t>
      </w:r>
      <w:r>
        <w:tab/>
        <w:t>Infrastructure WA established</w:t>
      </w:r>
      <w:r>
        <w:tab/>
      </w:r>
      <w:r>
        <w:fldChar w:fldCharType="begin"/>
      </w:r>
      <w:r>
        <w:instrText xml:space="preserve"> PAGEREF _Toc91065884 \h </w:instrText>
      </w:r>
      <w:r>
        <w:fldChar w:fldCharType="separate"/>
      </w:r>
      <w:r>
        <w:t>6</w:t>
      </w:r>
      <w:r>
        <w:fldChar w:fldCharType="end"/>
      </w:r>
    </w:p>
    <w:p>
      <w:pPr>
        <w:pStyle w:val="TOC8"/>
        <w:rPr>
          <w:rFonts w:asciiTheme="minorHAnsi" w:eastAsiaTheme="minorEastAsia" w:hAnsiTheme="minorHAnsi" w:cstheme="minorBidi"/>
          <w:szCs w:val="22"/>
        </w:rPr>
      </w:pPr>
      <w:r>
        <w:t>6.</w:t>
      </w:r>
      <w:r>
        <w:tab/>
        <w:t>Agent of Crown</w:t>
      </w:r>
      <w:r>
        <w:tab/>
      </w:r>
      <w:r>
        <w:fldChar w:fldCharType="begin"/>
      </w:r>
      <w:r>
        <w:instrText xml:space="preserve"> PAGEREF _Toc91065885 \h </w:instrText>
      </w:r>
      <w:r>
        <w:fldChar w:fldCharType="separate"/>
      </w:r>
      <w:r>
        <w:t>6</w:t>
      </w:r>
      <w:r>
        <w:fldChar w:fldCharType="end"/>
      </w:r>
    </w:p>
    <w:p>
      <w:pPr>
        <w:pStyle w:val="TOC8"/>
        <w:rPr>
          <w:rFonts w:asciiTheme="minorHAnsi" w:eastAsiaTheme="minorEastAsia" w:hAnsiTheme="minorHAnsi" w:cstheme="minorBidi"/>
          <w:szCs w:val="22"/>
        </w:rPr>
      </w:pPr>
      <w:r>
        <w:t>7.</w:t>
      </w:r>
      <w:r>
        <w:tab/>
        <w:t>Principal objects</w:t>
      </w:r>
      <w:r>
        <w:tab/>
      </w:r>
      <w:r>
        <w:fldChar w:fldCharType="begin"/>
      </w:r>
      <w:r>
        <w:instrText xml:space="preserve"> PAGEREF _Toc91065886 \h </w:instrText>
      </w:r>
      <w:r>
        <w:fldChar w:fldCharType="separate"/>
      </w:r>
      <w:r>
        <w:t>6</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_Toc91065887 \h </w:instrText>
      </w:r>
      <w:r>
        <w:fldChar w:fldCharType="separate"/>
      </w:r>
      <w:r>
        <w:t>6</w:t>
      </w:r>
      <w:r>
        <w:fldChar w:fldCharType="end"/>
      </w:r>
    </w:p>
    <w:p>
      <w:pPr>
        <w:pStyle w:val="TOC8"/>
        <w:rPr>
          <w:rFonts w:asciiTheme="minorHAnsi" w:eastAsiaTheme="minorEastAsia" w:hAnsiTheme="minorHAnsi" w:cstheme="minorBidi"/>
          <w:szCs w:val="22"/>
        </w:rPr>
      </w:pPr>
      <w:r>
        <w:t>9.</w:t>
      </w:r>
      <w:r>
        <w:tab/>
        <w:t>Advice and reports may be made publicly available</w:t>
      </w:r>
      <w:r>
        <w:tab/>
      </w:r>
      <w:r>
        <w:fldChar w:fldCharType="begin"/>
      </w:r>
      <w:r>
        <w:instrText xml:space="preserve"> PAGEREF _Toc91065888 \h </w:instrText>
      </w:r>
      <w:r>
        <w:fldChar w:fldCharType="separate"/>
      </w:r>
      <w:r>
        <w:t>9</w:t>
      </w:r>
      <w:r>
        <w:fldChar w:fldCharType="end"/>
      </w:r>
    </w:p>
    <w:p>
      <w:pPr>
        <w:pStyle w:val="TOC8"/>
        <w:rPr>
          <w:rFonts w:asciiTheme="minorHAnsi" w:eastAsiaTheme="minorEastAsia" w:hAnsiTheme="minorHAnsi" w:cstheme="minorBidi"/>
          <w:szCs w:val="22"/>
        </w:rPr>
      </w:pPr>
      <w:r>
        <w:t>10.</w:t>
      </w:r>
      <w:r>
        <w:tab/>
        <w:t>Annual work programme</w:t>
      </w:r>
      <w:r>
        <w:tab/>
      </w:r>
      <w:r>
        <w:fldChar w:fldCharType="begin"/>
      </w:r>
      <w:r>
        <w:instrText xml:space="preserve"> PAGEREF _Toc91065889 \h </w:instrText>
      </w:r>
      <w:r>
        <w:fldChar w:fldCharType="separate"/>
      </w:r>
      <w:r>
        <w:t>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_Toc91065890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w:t>
      </w:r>
      <w:r>
        <w:tab/>
      </w:r>
      <w:r>
        <w:fldChar w:fldCharType="begin"/>
      </w:r>
      <w:r>
        <w:instrText xml:space="preserve"> PAGEREF _Toc91065891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Infrastructure strategy and planning</w:t>
      </w:r>
    </w:p>
    <w:p>
      <w:pPr>
        <w:pStyle w:val="TOC4"/>
        <w:tabs>
          <w:tab w:val="right" w:leader="dot" w:pos="7077"/>
        </w:tabs>
        <w:rPr>
          <w:rFonts w:asciiTheme="minorHAnsi" w:eastAsiaTheme="minorEastAsia" w:hAnsiTheme="minorHAnsi" w:cstheme="minorBidi"/>
          <w:b w:val="0"/>
          <w:szCs w:val="22"/>
        </w:rPr>
      </w:pPr>
      <w:r>
        <w:t>Division 1 — State Infrastructure Strategy</w:t>
      </w:r>
    </w:p>
    <w:p>
      <w:pPr>
        <w:pStyle w:val="TOC8"/>
        <w:rPr>
          <w:rFonts w:asciiTheme="minorHAnsi" w:eastAsiaTheme="minorEastAsia" w:hAnsiTheme="minorHAnsi" w:cstheme="minorBidi"/>
          <w:szCs w:val="22"/>
        </w:rPr>
      </w:pPr>
      <w:r>
        <w:t>13.</w:t>
      </w:r>
      <w:r>
        <w:tab/>
        <w:t>Preparation and submission to Premier</w:t>
      </w:r>
      <w:r>
        <w:tab/>
      </w:r>
      <w:r>
        <w:fldChar w:fldCharType="begin"/>
      </w:r>
      <w:r>
        <w:instrText xml:space="preserve"> PAGEREF _Toc91065894 \h </w:instrText>
      </w:r>
      <w:r>
        <w:fldChar w:fldCharType="separate"/>
      </w:r>
      <w:r>
        <w:t>11</w:t>
      </w:r>
      <w:r>
        <w:fldChar w:fldCharType="end"/>
      </w:r>
    </w:p>
    <w:p>
      <w:pPr>
        <w:pStyle w:val="TOC8"/>
        <w:rPr>
          <w:rFonts w:asciiTheme="minorHAnsi" w:eastAsiaTheme="minorEastAsia" w:hAnsiTheme="minorHAnsi" w:cstheme="minorBidi"/>
          <w:szCs w:val="22"/>
        </w:rPr>
      </w:pPr>
      <w:r>
        <w:t>14.</w:t>
      </w:r>
      <w:r>
        <w:tab/>
        <w:t>Content and preparation</w:t>
      </w:r>
      <w:r>
        <w:tab/>
      </w:r>
      <w:r>
        <w:fldChar w:fldCharType="begin"/>
      </w:r>
      <w:r>
        <w:instrText xml:space="preserve"> PAGEREF _Toc91065895 \h </w:instrText>
      </w:r>
      <w:r>
        <w:fldChar w:fldCharType="separate"/>
      </w:r>
      <w:r>
        <w:t>11</w:t>
      </w:r>
      <w:r>
        <w:fldChar w:fldCharType="end"/>
      </w:r>
    </w:p>
    <w:p>
      <w:pPr>
        <w:pStyle w:val="TOC8"/>
        <w:rPr>
          <w:rFonts w:asciiTheme="minorHAnsi" w:eastAsiaTheme="minorEastAsia" w:hAnsiTheme="minorHAnsi" w:cstheme="minorBidi"/>
          <w:szCs w:val="22"/>
        </w:rPr>
      </w:pPr>
      <w:r>
        <w:t>15.</w:t>
      </w:r>
      <w:r>
        <w:tab/>
        <w:t>Acceptance, tabling and publication</w:t>
      </w:r>
      <w:r>
        <w:tab/>
      </w:r>
      <w:r>
        <w:fldChar w:fldCharType="begin"/>
      </w:r>
      <w:r>
        <w:instrText xml:space="preserve"> PAGEREF _Toc91065896 \h </w:instrText>
      </w:r>
      <w:r>
        <w:fldChar w:fldCharType="separate"/>
      </w:r>
      <w:r>
        <w:t>12</w:t>
      </w:r>
      <w:r>
        <w:fldChar w:fldCharType="end"/>
      </w:r>
    </w:p>
    <w:p>
      <w:pPr>
        <w:pStyle w:val="TOC8"/>
        <w:rPr>
          <w:rFonts w:asciiTheme="minorHAnsi" w:eastAsiaTheme="minorEastAsia" w:hAnsiTheme="minorHAnsi" w:cstheme="minorBidi"/>
          <w:szCs w:val="22"/>
        </w:rPr>
      </w:pPr>
      <w:r>
        <w:t>16.</w:t>
      </w:r>
      <w:r>
        <w:tab/>
        <w:t>Government response</w:t>
      </w:r>
      <w:r>
        <w:tab/>
      </w:r>
      <w:r>
        <w:fldChar w:fldCharType="begin"/>
      </w:r>
      <w:r>
        <w:instrText xml:space="preserve"> PAGEREF _Toc91065897 \h </w:instrText>
      </w:r>
      <w:r>
        <w:fldChar w:fldCharType="separate"/>
      </w:r>
      <w:r>
        <w:t>13</w:t>
      </w:r>
      <w:r>
        <w:fldChar w:fldCharType="end"/>
      </w:r>
    </w:p>
    <w:p>
      <w:pPr>
        <w:pStyle w:val="TOC8"/>
        <w:rPr>
          <w:rFonts w:asciiTheme="minorHAnsi" w:eastAsiaTheme="minorEastAsia" w:hAnsiTheme="minorHAnsi" w:cstheme="minorBidi"/>
          <w:szCs w:val="22"/>
        </w:rPr>
      </w:pPr>
      <w:r>
        <w:t>17.</w:t>
      </w:r>
      <w:r>
        <w:tab/>
        <w:t>Amendment</w:t>
      </w:r>
      <w:r>
        <w:tab/>
      </w:r>
      <w:r>
        <w:fldChar w:fldCharType="begin"/>
      </w:r>
      <w:r>
        <w:instrText xml:space="preserve"> PAGEREF _Toc91065898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Major infrastructure proposals</w:t>
      </w:r>
    </w:p>
    <w:p>
      <w:pPr>
        <w:pStyle w:val="TOC8"/>
        <w:rPr>
          <w:rFonts w:asciiTheme="minorHAnsi" w:eastAsiaTheme="minorEastAsia" w:hAnsiTheme="minorHAnsi" w:cstheme="minorBidi"/>
          <w:szCs w:val="22"/>
        </w:rPr>
      </w:pPr>
      <w:r>
        <w:t>19.</w:t>
      </w:r>
      <w:r>
        <w:tab/>
        <w:t>Infrastructure WA to assess major infrastructure proposals prior to investment decision</w:t>
      </w:r>
      <w:r>
        <w:tab/>
      </w:r>
      <w:r>
        <w:fldChar w:fldCharType="begin"/>
      </w:r>
      <w:r>
        <w:instrText xml:space="preserve"> PAGEREF _Toc91065900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20.</w:t>
      </w:r>
      <w:r>
        <w:tab/>
        <w:t>Timing of assessment of major infrastructure proposals</w:t>
      </w:r>
      <w:r>
        <w:tab/>
      </w:r>
      <w:r>
        <w:fldChar w:fldCharType="begin"/>
      </w:r>
      <w:r>
        <w:instrText xml:space="preserve"> PAGEREF _Toc91065901 \h </w:instrText>
      </w:r>
      <w:r>
        <w:fldChar w:fldCharType="separate"/>
      </w:r>
      <w:r>
        <w:t>15</w:t>
      </w:r>
      <w:r>
        <w:fldChar w:fldCharType="end"/>
      </w:r>
    </w:p>
    <w:p>
      <w:pPr>
        <w:pStyle w:val="TOC8"/>
        <w:rPr>
          <w:rFonts w:asciiTheme="minorHAnsi" w:eastAsiaTheme="minorEastAsia" w:hAnsiTheme="minorHAnsi" w:cstheme="minorBidi"/>
          <w:szCs w:val="22"/>
        </w:rPr>
      </w:pPr>
      <w:r>
        <w:t>21.</w:t>
      </w:r>
      <w:r>
        <w:tab/>
        <w:t>Guidelines and summary reports</w:t>
      </w:r>
      <w:r>
        <w:tab/>
      </w:r>
      <w:r>
        <w:fldChar w:fldCharType="begin"/>
      </w:r>
      <w:r>
        <w:instrText xml:space="preserve"> PAGEREF _Toc91065902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Obligations of State agencies</w:t>
      </w:r>
    </w:p>
    <w:p>
      <w:pPr>
        <w:pStyle w:val="TOC8"/>
        <w:rPr>
          <w:rFonts w:asciiTheme="minorHAnsi" w:eastAsiaTheme="minorEastAsia" w:hAnsiTheme="minorHAnsi" w:cstheme="minorBidi"/>
          <w:szCs w:val="22"/>
        </w:rPr>
      </w:pPr>
      <w:r>
        <w:t>22.</w:t>
      </w:r>
      <w:r>
        <w:tab/>
        <w:t>State agencies to provide information to Infrastructure WA</w:t>
      </w:r>
      <w:r>
        <w:tab/>
      </w:r>
      <w:r>
        <w:fldChar w:fldCharType="begin"/>
      </w:r>
      <w:r>
        <w:instrText xml:space="preserve"> PAGEREF _Toc91065904 \h </w:instrText>
      </w:r>
      <w:r>
        <w:fldChar w:fldCharType="separate"/>
      </w:r>
      <w:r>
        <w:t>16</w:t>
      </w:r>
      <w:r>
        <w:fldChar w:fldCharType="end"/>
      </w:r>
    </w:p>
    <w:p>
      <w:pPr>
        <w:pStyle w:val="TOC8"/>
        <w:rPr>
          <w:rFonts w:asciiTheme="minorHAnsi" w:eastAsiaTheme="minorEastAsia" w:hAnsiTheme="minorHAnsi" w:cstheme="minorBidi"/>
          <w:szCs w:val="22"/>
        </w:rPr>
      </w:pPr>
      <w:r>
        <w:t>23.</w:t>
      </w:r>
      <w:r>
        <w:tab/>
        <w:t>Obligations of State agencies</w:t>
      </w:r>
      <w:r>
        <w:tab/>
      </w:r>
      <w:r>
        <w:fldChar w:fldCharType="begin"/>
      </w:r>
      <w:r>
        <w:instrText xml:space="preserve"> PAGEREF _Toc91065905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Implementation of State Infrastructure Strategy</w:t>
      </w:r>
    </w:p>
    <w:p>
      <w:pPr>
        <w:pStyle w:val="TOC8"/>
        <w:rPr>
          <w:rFonts w:asciiTheme="minorHAnsi" w:eastAsiaTheme="minorEastAsia" w:hAnsiTheme="minorHAnsi" w:cstheme="minorBidi"/>
          <w:szCs w:val="22"/>
        </w:rPr>
      </w:pPr>
      <w:r>
        <w:t>24.</w:t>
      </w:r>
      <w:r>
        <w:tab/>
        <w:t>Report on implementation of State Infrastructure Strategy</w:t>
      </w:r>
      <w:r>
        <w:tab/>
      </w:r>
      <w:r>
        <w:fldChar w:fldCharType="begin"/>
      </w:r>
      <w:r>
        <w:instrText xml:space="preserve"> PAGEREF _Toc91065907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Governance and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Board constituted</w:t>
      </w:r>
    </w:p>
    <w:p>
      <w:pPr>
        <w:pStyle w:val="TOC8"/>
        <w:rPr>
          <w:rFonts w:asciiTheme="minorHAnsi" w:eastAsiaTheme="minorEastAsia" w:hAnsiTheme="minorHAnsi" w:cstheme="minorBidi"/>
          <w:szCs w:val="22"/>
        </w:rPr>
      </w:pPr>
      <w:r>
        <w:t>25.</w:t>
      </w:r>
      <w:r>
        <w:tab/>
        <w:t>Board is governing body of Infrastructure WA</w:t>
      </w:r>
      <w:r>
        <w:tab/>
      </w:r>
      <w:r>
        <w:fldChar w:fldCharType="begin"/>
      </w:r>
      <w:r>
        <w:instrText xml:space="preserve"> PAGEREF _Toc91065911 \h </w:instrText>
      </w:r>
      <w:r>
        <w:fldChar w:fldCharType="separate"/>
      </w:r>
      <w:r>
        <w:t>19</w:t>
      </w:r>
      <w:r>
        <w:fldChar w:fldCharType="end"/>
      </w:r>
    </w:p>
    <w:p>
      <w:pPr>
        <w:pStyle w:val="TOC8"/>
        <w:rPr>
          <w:rFonts w:asciiTheme="minorHAnsi" w:eastAsiaTheme="minorEastAsia" w:hAnsiTheme="minorHAnsi" w:cstheme="minorBidi"/>
          <w:szCs w:val="22"/>
        </w:rPr>
      </w:pPr>
      <w:r>
        <w:t>26.</w:t>
      </w:r>
      <w:r>
        <w:tab/>
        <w:t>Board membership</w:t>
      </w:r>
      <w:r>
        <w:tab/>
      </w:r>
      <w:r>
        <w:fldChar w:fldCharType="begin"/>
      </w:r>
      <w:r>
        <w:instrText xml:space="preserve"> PAGEREF _Toc91065912 \h </w:instrText>
      </w:r>
      <w:r>
        <w:fldChar w:fldCharType="separate"/>
      </w:r>
      <w:r>
        <w:t>19</w:t>
      </w:r>
      <w:r>
        <w:fldChar w:fldCharType="end"/>
      </w:r>
    </w:p>
    <w:p>
      <w:pPr>
        <w:pStyle w:val="TOC8"/>
        <w:rPr>
          <w:rFonts w:asciiTheme="minorHAnsi" w:eastAsiaTheme="minorEastAsia" w:hAnsiTheme="minorHAnsi" w:cstheme="minorBidi"/>
          <w:szCs w:val="22"/>
        </w:rPr>
      </w:pPr>
      <w:r>
        <w:t>27.</w:t>
      </w:r>
      <w:r>
        <w:tab/>
        <w:t>Chairperson and deputy chairperson</w:t>
      </w:r>
      <w:r>
        <w:tab/>
      </w:r>
      <w:r>
        <w:fldChar w:fldCharType="begin"/>
      </w:r>
      <w:r>
        <w:instrText xml:space="preserve"> PAGEREF _Toc91065913 \h </w:instrText>
      </w:r>
      <w:r>
        <w:fldChar w:fldCharType="separate"/>
      </w:r>
      <w:r>
        <w:t>20</w:t>
      </w:r>
      <w:r>
        <w:fldChar w:fldCharType="end"/>
      </w:r>
    </w:p>
    <w:p>
      <w:pPr>
        <w:pStyle w:val="TOC8"/>
        <w:rPr>
          <w:rFonts w:asciiTheme="minorHAnsi" w:eastAsiaTheme="minorEastAsia" w:hAnsiTheme="minorHAnsi" w:cstheme="minorBidi"/>
          <w:szCs w:val="22"/>
        </w:rPr>
      </w:pPr>
      <w:r>
        <w:t>28.</w:t>
      </w:r>
      <w:r>
        <w:tab/>
        <w:t>Terms and conditions of appointment</w:t>
      </w:r>
      <w:r>
        <w:tab/>
      </w:r>
      <w:r>
        <w:fldChar w:fldCharType="begin"/>
      </w:r>
      <w:r>
        <w:instrText xml:space="preserve"> PAGEREF _Toc91065914 \h </w:instrText>
      </w:r>
      <w:r>
        <w:fldChar w:fldCharType="separate"/>
      </w:r>
      <w:r>
        <w:t>20</w:t>
      </w:r>
      <w:r>
        <w:fldChar w:fldCharType="end"/>
      </w:r>
    </w:p>
    <w:p>
      <w:pPr>
        <w:pStyle w:val="TOC8"/>
        <w:rPr>
          <w:rFonts w:asciiTheme="minorHAnsi" w:eastAsiaTheme="minorEastAsia" w:hAnsiTheme="minorHAnsi" w:cstheme="minorBidi"/>
          <w:szCs w:val="22"/>
        </w:rPr>
      </w:pPr>
      <w:r>
        <w:t>29.</w:t>
      </w:r>
      <w:r>
        <w:tab/>
        <w:t>Remuneration and expenses</w:t>
      </w:r>
      <w:r>
        <w:tab/>
      </w:r>
      <w:r>
        <w:fldChar w:fldCharType="begin"/>
      </w:r>
      <w:r>
        <w:instrText xml:space="preserve"> PAGEREF _Toc91065915 \h </w:instrText>
      </w:r>
      <w:r>
        <w:fldChar w:fldCharType="separate"/>
      </w:r>
      <w:r>
        <w:t>21</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_Toc91065916 \h </w:instrText>
      </w:r>
      <w:r>
        <w:fldChar w:fldCharType="separate"/>
      </w:r>
      <w:r>
        <w:t>21</w:t>
      </w:r>
      <w:r>
        <w:fldChar w:fldCharType="end"/>
      </w:r>
    </w:p>
    <w:p>
      <w:pPr>
        <w:pStyle w:val="TOC8"/>
        <w:rPr>
          <w:rFonts w:asciiTheme="minorHAnsi" w:eastAsiaTheme="minorEastAsia" w:hAnsiTheme="minorHAnsi" w:cstheme="minorBidi"/>
          <w:szCs w:val="22"/>
        </w:rPr>
      </w:pPr>
      <w:r>
        <w:t>31.</w:t>
      </w:r>
      <w:r>
        <w:tab/>
        <w:t>Extension of term of office</w:t>
      </w:r>
      <w:r>
        <w:tab/>
      </w:r>
      <w:r>
        <w:fldChar w:fldCharType="begin"/>
      </w:r>
      <w:r>
        <w:instrText xml:space="preserve"> PAGEREF _Toc91065917 \h </w:instrText>
      </w:r>
      <w:r>
        <w:fldChar w:fldCharType="separate"/>
      </w:r>
      <w:r>
        <w:t>22</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_Toc91065918 \h </w:instrText>
      </w:r>
      <w:r>
        <w:fldChar w:fldCharType="separate"/>
      </w:r>
      <w:r>
        <w:t>23</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_Toc91065919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procedures</w:t>
      </w:r>
    </w:p>
    <w:p>
      <w:pPr>
        <w:pStyle w:val="TOC8"/>
        <w:rPr>
          <w:rFonts w:asciiTheme="minorHAnsi" w:eastAsiaTheme="minorEastAsia" w:hAnsiTheme="minorHAnsi" w:cstheme="minorBidi"/>
          <w:szCs w:val="22"/>
        </w:rPr>
      </w:pPr>
      <w:r>
        <w:t>34.</w:t>
      </w:r>
      <w:r>
        <w:tab/>
        <w:t>Holding meetings</w:t>
      </w:r>
      <w:r>
        <w:tab/>
      </w:r>
      <w:r>
        <w:fldChar w:fldCharType="begin"/>
      </w:r>
      <w:r>
        <w:instrText xml:space="preserve"> PAGEREF _Toc91065921 \h </w:instrText>
      </w:r>
      <w:r>
        <w:fldChar w:fldCharType="separate"/>
      </w:r>
      <w:r>
        <w:t>24</w:t>
      </w:r>
      <w:r>
        <w:fldChar w:fldCharType="end"/>
      </w:r>
    </w:p>
    <w:p>
      <w:pPr>
        <w:pStyle w:val="TOC8"/>
        <w:rPr>
          <w:rFonts w:asciiTheme="minorHAnsi" w:eastAsiaTheme="minorEastAsia" w:hAnsiTheme="minorHAnsi" w:cstheme="minorBidi"/>
          <w:szCs w:val="22"/>
        </w:rPr>
      </w:pPr>
      <w:r>
        <w:t>35.</w:t>
      </w:r>
      <w:r>
        <w:tab/>
        <w:t>Quorum</w:t>
      </w:r>
      <w:r>
        <w:tab/>
      </w:r>
      <w:r>
        <w:fldChar w:fldCharType="begin"/>
      </w:r>
      <w:r>
        <w:instrText xml:space="preserve"> PAGEREF _Toc91065922 \h </w:instrText>
      </w:r>
      <w:r>
        <w:fldChar w:fldCharType="separate"/>
      </w:r>
      <w:r>
        <w:t>24</w:t>
      </w:r>
      <w:r>
        <w:fldChar w:fldCharType="end"/>
      </w:r>
    </w:p>
    <w:p>
      <w:pPr>
        <w:pStyle w:val="TOC8"/>
        <w:rPr>
          <w:rFonts w:asciiTheme="minorHAnsi" w:eastAsiaTheme="minorEastAsia" w:hAnsiTheme="minorHAnsi" w:cstheme="minorBidi"/>
          <w:szCs w:val="22"/>
        </w:rPr>
      </w:pPr>
      <w:r>
        <w:t>36.</w:t>
      </w:r>
      <w:r>
        <w:tab/>
        <w:t>Balance of members at meetings</w:t>
      </w:r>
      <w:r>
        <w:tab/>
      </w:r>
      <w:r>
        <w:fldChar w:fldCharType="begin"/>
      </w:r>
      <w:r>
        <w:instrText xml:space="preserve"> PAGEREF _Toc91065923 \h </w:instrText>
      </w:r>
      <w:r>
        <w:fldChar w:fldCharType="separate"/>
      </w:r>
      <w:r>
        <w:t>24</w:t>
      </w:r>
      <w:r>
        <w:fldChar w:fldCharType="end"/>
      </w:r>
    </w:p>
    <w:p>
      <w:pPr>
        <w:pStyle w:val="TOC8"/>
        <w:rPr>
          <w:rFonts w:asciiTheme="minorHAnsi" w:eastAsiaTheme="minorEastAsia" w:hAnsiTheme="minorHAnsi" w:cstheme="minorBidi"/>
          <w:szCs w:val="22"/>
        </w:rPr>
      </w:pPr>
      <w:r>
        <w:t>37.</w:t>
      </w:r>
      <w:r>
        <w:tab/>
        <w:t>Presiding members</w:t>
      </w:r>
      <w:r>
        <w:tab/>
      </w:r>
      <w:r>
        <w:fldChar w:fldCharType="begin"/>
      </w:r>
      <w:r>
        <w:instrText xml:space="preserve"> PAGEREF _Toc91065924 \h </w:instrText>
      </w:r>
      <w:r>
        <w:fldChar w:fldCharType="separate"/>
      </w:r>
      <w:r>
        <w:t>24</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_Toc91065925 \h </w:instrText>
      </w:r>
      <w:r>
        <w:fldChar w:fldCharType="separate"/>
      </w:r>
      <w:r>
        <w:t>25</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_Toc91065926 \h </w:instrText>
      </w:r>
      <w:r>
        <w:fldChar w:fldCharType="separate"/>
      </w:r>
      <w:r>
        <w:t>25</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_Toc91065927 \h </w:instrText>
      </w:r>
      <w:r>
        <w:fldChar w:fldCharType="separate"/>
      </w:r>
      <w:r>
        <w:t>25</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_Toc91065928 \h </w:instrText>
      </w:r>
      <w:r>
        <w:fldChar w:fldCharType="separate"/>
      </w:r>
      <w:r>
        <w:t>25</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_Toc91065929 \h </w:instrText>
      </w:r>
      <w:r>
        <w:fldChar w:fldCharType="separate"/>
      </w:r>
      <w:r>
        <w:t>25</w:t>
      </w:r>
      <w:r>
        <w:fldChar w:fldCharType="end"/>
      </w:r>
    </w:p>
    <w:p>
      <w:pPr>
        <w:pStyle w:val="TOC8"/>
        <w:rPr>
          <w:rFonts w:asciiTheme="minorHAnsi" w:eastAsiaTheme="minorEastAsia" w:hAnsiTheme="minorHAnsi" w:cstheme="minorBidi"/>
          <w:szCs w:val="22"/>
        </w:rPr>
      </w:pPr>
      <w:r>
        <w:t>43.</w:t>
      </w:r>
      <w:r>
        <w:tab/>
        <w:t>Committees</w:t>
      </w:r>
      <w:r>
        <w:tab/>
      </w:r>
      <w:r>
        <w:fldChar w:fldCharType="begin"/>
      </w:r>
      <w:r>
        <w:instrText xml:space="preserve"> PAGEREF _Toc91065930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interests</w:t>
      </w:r>
    </w:p>
    <w:p>
      <w:pPr>
        <w:pStyle w:val="TOC8"/>
        <w:rPr>
          <w:rFonts w:asciiTheme="minorHAnsi" w:eastAsiaTheme="minorEastAsia" w:hAnsiTheme="minorHAnsi" w:cstheme="minorBidi"/>
          <w:szCs w:val="22"/>
        </w:rPr>
      </w:pPr>
      <w:r>
        <w:t>44.</w:t>
      </w:r>
      <w:r>
        <w:tab/>
        <w:t>Financial interest in a matter</w:t>
      </w:r>
      <w:r>
        <w:tab/>
      </w:r>
      <w:r>
        <w:fldChar w:fldCharType="begin"/>
      </w:r>
      <w:r>
        <w:instrText xml:space="preserve"> PAGEREF _Toc91065932 \h </w:instrText>
      </w:r>
      <w:r>
        <w:fldChar w:fldCharType="separate"/>
      </w:r>
      <w:r>
        <w:t>26</w:t>
      </w:r>
      <w:r>
        <w:fldChar w:fldCharType="end"/>
      </w:r>
    </w:p>
    <w:p>
      <w:pPr>
        <w:pStyle w:val="TOC8"/>
        <w:rPr>
          <w:rFonts w:asciiTheme="minorHAnsi" w:eastAsiaTheme="minorEastAsia" w:hAnsiTheme="minorHAnsi" w:cstheme="minorBidi"/>
          <w:szCs w:val="22"/>
        </w:rPr>
      </w:pPr>
      <w:r>
        <w:lastRenderedPageBreak/>
        <w:t>45.</w:t>
      </w:r>
      <w:r>
        <w:tab/>
        <w:t>Disclosure of material personal interests</w:t>
      </w:r>
      <w:r>
        <w:tab/>
      </w:r>
      <w:r>
        <w:fldChar w:fldCharType="begin"/>
      </w:r>
      <w:r>
        <w:instrText xml:space="preserve"> PAGEREF _Toc91065933 \h </w:instrText>
      </w:r>
      <w:r>
        <w:fldChar w:fldCharType="separate"/>
      </w:r>
      <w:r>
        <w:t>26</w:t>
      </w:r>
      <w:r>
        <w:fldChar w:fldCharType="end"/>
      </w:r>
    </w:p>
    <w:p>
      <w:pPr>
        <w:pStyle w:val="TOC8"/>
        <w:rPr>
          <w:rFonts w:asciiTheme="minorHAnsi" w:eastAsiaTheme="minorEastAsia" w:hAnsiTheme="minorHAnsi" w:cstheme="minorBidi"/>
          <w:szCs w:val="22"/>
        </w:rPr>
      </w:pPr>
      <w:r>
        <w:t>46.</w:t>
      </w:r>
      <w:r>
        <w:tab/>
        <w:t>Participation by interested members</w:t>
      </w:r>
      <w:r>
        <w:tab/>
      </w:r>
      <w:r>
        <w:fldChar w:fldCharType="begin"/>
      </w:r>
      <w:r>
        <w:instrText xml:space="preserve"> PAGEREF _Toc91065934 \h </w:instrText>
      </w:r>
      <w:r>
        <w:fldChar w:fldCharType="separate"/>
      </w:r>
      <w:r>
        <w:t>27</w:t>
      </w:r>
      <w:r>
        <w:fldChar w:fldCharType="end"/>
      </w:r>
    </w:p>
    <w:p>
      <w:pPr>
        <w:pStyle w:val="TOC8"/>
        <w:rPr>
          <w:rFonts w:asciiTheme="minorHAnsi" w:eastAsiaTheme="minorEastAsia" w:hAnsiTheme="minorHAnsi" w:cstheme="minorBidi"/>
          <w:szCs w:val="22"/>
        </w:rPr>
      </w:pPr>
      <w:r>
        <w:t>47.</w:t>
      </w:r>
      <w:r>
        <w:tab/>
        <w:t>Section 46 may be declared inapplicable</w:t>
      </w:r>
      <w:r>
        <w:tab/>
      </w:r>
      <w:r>
        <w:fldChar w:fldCharType="begin"/>
      </w:r>
      <w:r>
        <w:instrText xml:space="preserve"> PAGEREF _Toc91065935 \h </w:instrText>
      </w:r>
      <w:r>
        <w:fldChar w:fldCharType="separate"/>
      </w:r>
      <w:r>
        <w:t>28</w:t>
      </w:r>
      <w:r>
        <w:fldChar w:fldCharType="end"/>
      </w:r>
    </w:p>
    <w:p>
      <w:pPr>
        <w:pStyle w:val="TOC8"/>
        <w:rPr>
          <w:rFonts w:asciiTheme="minorHAnsi" w:eastAsiaTheme="minorEastAsia" w:hAnsiTheme="minorHAnsi" w:cstheme="minorBidi"/>
          <w:szCs w:val="22"/>
        </w:rPr>
      </w:pPr>
      <w:r>
        <w:t>48.</w:t>
      </w:r>
      <w:r>
        <w:tab/>
        <w:t>Quorum where section 46 applies</w:t>
      </w:r>
      <w:r>
        <w:tab/>
      </w:r>
      <w:r>
        <w:fldChar w:fldCharType="begin"/>
      </w:r>
      <w:r>
        <w:instrText xml:space="preserve"> PAGEREF _Toc91065936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6"/>
        <w:tabs>
          <w:tab w:val="right" w:leader="dot" w:pos="7077"/>
        </w:tabs>
        <w:rPr>
          <w:rFonts w:asciiTheme="minorHAnsi" w:eastAsiaTheme="minorEastAsia" w:hAnsiTheme="minorHAnsi" w:cstheme="minorBidi"/>
          <w:b w:val="0"/>
          <w:sz w:val="22"/>
          <w:szCs w:val="22"/>
        </w:rPr>
      </w:pPr>
      <w:r>
        <w:t>Subdivision 1 — CEO</w:t>
      </w:r>
    </w:p>
    <w:p>
      <w:pPr>
        <w:pStyle w:val="TOC8"/>
        <w:rPr>
          <w:rFonts w:asciiTheme="minorHAnsi" w:eastAsiaTheme="minorEastAsia" w:hAnsiTheme="minorHAnsi" w:cstheme="minorBidi"/>
          <w:szCs w:val="22"/>
        </w:rPr>
      </w:pPr>
      <w:r>
        <w:t>49.</w:t>
      </w:r>
      <w:r>
        <w:tab/>
        <w:t>CEO</w:t>
      </w:r>
      <w:r>
        <w:tab/>
      </w:r>
      <w:r>
        <w:fldChar w:fldCharType="begin"/>
      </w:r>
      <w:r>
        <w:instrText xml:space="preserve"> PAGEREF _Toc91065939 \h </w:instrText>
      </w:r>
      <w:r>
        <w:fldChar w:fldCharType="separate"/>
      </w:r>
      <w:r>
        <w:t>29</w:t>
      </w:r>
      <w:r>
        <w:fldChar w:fldCharType="end"/>
      </w:r>
    </w:p>
    <w:p>
      <w:pPr>
        <w:pStyle w:val="TOC8"/>
        <w:rPr>
          <w:rFonts w:asciiTheme="minorHAnsi" w:eastAsiaTheme="minorEastAsia" w:hAnsiTheme="minorHAnsi" w:cstheme="minorBidi"/>
          <w:szCs w:val="22"/>
        </w:rPr>
      </w:pPr>
      <w:r>
        <w:t>50.</w:t>
      </w:r>
      <w:r>
        <w:tab/>
        <w:t>Appointment of CEO</w:t>
      </w:r>
      <w:r>
        <w:tab/>
      </w:r>
      <w:r>
        <w:fldChar w:fldCharType="begin"/>
      </w:r>
      <w:r>
        <w:instrText xml:space="preserve"> PAGEREF _Toc91065940 \h </w:instrText>
      </w:r>
      <w:r>
        <w:fldChar w:fldCharType="separate"/>
      </w:r>
      <w:r>
        <w:t>29</w:t>
      </w:r>
      <w:r>
        <w:fldChar w:fldCharType="end"/>
      </w:r>
    </w:p>
    <w:p>
      <w:pPr>
        <w:pStyle w:val="TOC8"/>
        <w:rPr>
          <w:rFonts w:asciiTheme="minorHAnsi" w:eastAsiaTheme="minorEastAsia" w:hAnsiTheme="minorHAnsi" w:cstheme="minorBidi"/>
          <w:szCs w:val="22"/>
        </w:rPr>
      </w:pPr>
      <w:r>
        <w:t>51.</w:t>
      </w:r>
      <w:r>
        <w:tab/>
        <w:t>Terms and conditions of appointment</w:t>
      </w:r>
      <w:r>
        <w:tab/>
      </w:r>
      <w:r>
        <w:fldChar w:fldCharType="begin"/>
      </w:r>
      <w:r>
        <w:instrText xml:space="preserve"> PAGEREF _Toc91065941 \h </w:instrText>
      </w:r>
      <w:r>
        <w:fldChar w:fldCharType="separate"/>
      </w:r>
      <w:r>
        <w:t>30</w:t>
      </w:r>
      <w:r>
        <w:fldChar w:fldCharType="end"/>
      </w:r>
    </w:p>
    <w:p>
      <w:pPr>
        <w:pStyle w:val="TOC8"/>
        <w:rPr>
          <w:rFonts w:asciiTheme="minorHAnsi" w:eastAsiaTheme="minorEastAsia" w:hAnsiTheme="minorHAnsi" w:cstheme="minorBidi"/>
          <w:szCs w:val="22"/>
        </w:rPr>
      </w:pPr>
      <w:r>
        <w:t>52.</w:t>
      </w:r>
      <w:r>
        <w:tab/>
        <w:t>Remuneration</w:t>
      </w:r>
      <w:r>
        <w:tab/>
      </w:r>
      <w:r>
        <w:fldChar w:fldCharType="begin"/>
      </w:r>
      <w:r>
        <w:instrText xml:space="preserve"> PAGEREF _Toc91065942 \h </w:instrText>
      </w:r>
      <w:r>
        <w:fldChar w:fldCharType="separate"/>
      </w:r>
      <w:r>
        <w:t>30</w:t>
      </w:r>
      <w:r>
        <w:fldChar w:fldCharType="end"/>
      </w:r>
    </w:p>
    <w:p>
      <w:pPr>
        <w:pStyle w:val="TOC8"/>
        <w:rPr>
          <w:rFonts w:asciiTheme="minorHAnsi" w:eastAsiaTheme="minorEastAsia" w:hAnsiTheme="minorHAnsi" w:cstheme="minorBidi"/>
          <w:szCs w:val="22"/>
        </w:rPr>
      </w:pPr>
      <w:r>
        <w:t>53.</w:t>
      </w:r>
      <w:r>
        <w:tab/>
        <w:t>Casual vacancies</w:t>
      </w:r>
      <w:r>
        <w:tab/>
      </w:r>
      <w:r>
        <w:fldChar w:fldCharType="begin"/>
      </w:r>
      <w:r>
        <w:instrText xml:space="preserve"> PAGEREF _Toc91065943 \h </w:instrText>
      </w:r>
      <w:r>
        <w:fldChar w:fldCharType="separate"/>
      </w:r>
      <w:r>
        <w:t>31</w:t>
      </w:r>
      <w:r>
        <w:fldChar w:fldCharType="end"/>
      </w:r>
    </w:p>
    <w:p>
      <w:pPr>
        <w:pStyle w:val="TOC8"/>
        <w:rPr>
          <w:rFonts w:asciiTheme="minorHAnsi" w:eastAsiaTheme="minorEastAsia" w:hAnsiTheme="minorHAnsi" w:cstheme="minorBidi"/>
          <w:szCs w:val="22"/>
        </w:rPr>
      </w:pPr>
      <w:r>
        <w:t>54.</w:t>
      </w:r>
      <w:r>
        <w:tab/>
        <w:t>Disclosure of material personal interests</w:t>
      </w:r>
      <w:r>
        <w:tab/>
      </w:r>
      <w:r>
        <w:fldChar w:fldCharType="begin"/>
      </w:r>
      <w:r>
        <w:instrText xml:space="preserve"> PAGEREF _Toc91065944 \h </w:instrText>
      </w:r>
      <w:r>
        <w:fldChar w:fldCharType="separate"/>
      </w:r>
      <w:r>
        <w:t>32</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_Toc91065945 \h </w:instrText>
      </w:r>
      <w:r>
        <w:fldChar w:fldCharType="separate"/>
      </w:r>
      <w:r>
        <w:t>32</w:t>
      </w:r>
      <w:r>
        <w:fldChar w:fldCharType="end"/>
      </w:r>
    </w:p>
    <w:p>
      <w:pPr>
        <w:pStyle w:val="TOC8"/>
        <w:rPr>
          <w:rFonts w:asciiTheme="minorHAnsi" w:eastAsiaTheme="minorEastAsia" w:hAnsiTheme="minorHAnsi" w:cstheme="minorBidi"/>
          <w:szCs w:val="22"/>
        </w:rPr>
      </w:pPr>
      <w:r>
        <w:t>56.</w:t>
      </w:r>
      <w:r>
        <w:tab/>
        <w:t>No outside employment</w:t>
      </w:r>
      <w:r>
        <w:tab/>
      </w:r>
      <w:r>
        <w:fldChar w:fldCharType="begin"/>
      </w:r>
      <w:r>
        <w:instrText xml:space="preserve"> PAGEREF _Toc91065946 \h </w:instrText>
      </w:r>
      <w:r>
        <w:fldChar w:fldCharType="separate"/>
      </w:r>
      <w:r>
        <w:t>33</w:t>
      </w:r>
      <w:r>
        <w:fldChar w:fldCharType="end"/>
      </w:r>
    </w:p>
    <w:p>
      <w:pPr>
        <w:pStyle w:val="TOC8"/>
        <w:rPr>
          <w:rFonts w:asciiTheme="minorHAnsi" w:eastAsiaTheme="minorEastAsia" w:hAnsiTheme="minorHAnsi" w:cstheme="minorBidi"/>
          <w:szCs w:val="22"/>
        </w:rPr>
      </w:pPr>
      <w:r>
        <w:t>57.</w:t>
      </w:r>
      <w:r>
        <w:tab/>
        <w:t>Acting CEO</w:t>
      </w:r>
      <w:r>
        <w:tab/>
      </w:r>
      <w:r>
        <w:fldChar w:fldCharType="begin"/>
      </w:r>
      <w:r>
        <w:instrText xml:space="preserve"> PAGEREF _Toc91065947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_Toc91065949 \h </w:instrText>
      </w:r>
      <w:r>
        <w:fldChar w:fldCharType="separate"/>
      </w:r>
      <w:r>
        <w:t>34</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_Toc91065950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Accountability and financial provisions</w:t>
      </w:r>
    </w:p>
    <w:p>
      <w:pPr>
        <w:pStyle w:val="TOC8"/>
        <w:rPr>
          <w:rFonts w:asciiTheme="minorHAnsi" w:eastAsiaTheme="minorEastAsia" w:hAnsiTheme="minorHAnsi" w:cstheme="minorBidi"/>
          <w:szCs w:val="22"/>
        </w:rPr>
      </w:pPr>
      <w:r>
        <w:t>60.</w:t>
      </w:r>
      <w:r>
        <w:tab/>
        <w:t>Premier may give directions</w:t>
      </w:r>
      <w:r>
        <w:tab/>
      </w:r>
      <w:r>
        <w:fldChar w:fldCharType="begin"/>
      </w:r>
      <w:r>
        <w:instrText xml:space="preserve"> PAGEREF _Toc91065952 \h </w:instrText>
      </w:r>
      <w:r>
        <w:fldChar w:fldCharType="separate"/>
      </w:r>
      <w:r>
        <w:t>34</w:t>
      </w:r>
      <w:r>
        <w:fldChar w:fldCharType="end"/>
      </w:r>
    </w:p>
    <w:p>
      <w:pPr>
        <w:pStyle w:val="TOC8"/>
        <w:rPr>
          <w:rFonts w:asciiTheme="minorHAnsi" w:eastAsiaTheme="minorEastAsia" w:hAnsiTheme="minorHAnsi" w:cstheme="minorBidi"/>
          <w:szCs w:val="22"/>
        </w:rPr>
      </w:pPr>
      <w:r>
        <w:t>61.</w:t>
      </w:r>
      <w:r>
        <w:tab/>
        <w:t>Premier to have access to information</w:t>
      </w:r>
      <w:r>
        <w:tab/>
      </w:r>
      <w:r>
        <w:fldChar w:fldCharType="begin"/>
      </w:r>
      <w:r>
        <w:instrText xml:space="preserve"> PAGEREF _Toc91065953 \h </w:instrText>
      </w:r>
      <w:r>
        <w:fldChar w:fldCharType="separate"/>
      </w:r>
      <w:r>
        <w:t>35</w:t>
      </w:r>
      <w:r>
        <w:fldChar w:fldCharType="end"/>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_Toc91065954 \h </w:instrText>
      </w:r>
      <w:r>
        <w:fldChar w:fldCharType="separate"/>
      </w:r>
      <w:r>
        <w:t>36</w:t>
      </w:r>
      <w:r>
        <w:fldChar w:fldCharType="end"/>
      </w:r>
    </w:p>
    <w:p>
      <w:pPr>
        <w:pStyle w:val="TOC8"/>
        <w:rPr>
          <w:rFonts w:asciiTheme="minorHAnsi" w:eastAsiaTheme="minorEastAsia" w:hAnsiTheme="minorHAnsi" w:cstheme="minorBidi"/>
          <w:szCs w:val="22"/>
        </w:rPr>
      </w:pPr>
      <w:r>
        <w:t>63.</w:t>
      </w:r>
      <w:r>
        <w:tab/>
        <w:t>Infrastructure WA’s funds</w:t>
      </w:r>
      <w:r>
        <w:tab/>
      </w:r>
      <w:r>
        <w:fldChar w:fldCharType="begin"/>
      </w:r>
      <w:r>
        <w:instrText xml:space="preserve"> PAGEREF _Toc91065955 \h </w:instrText>
      </w:r>
      <w:r>
        <w:fldChar w:fldCharType="separate"/>
      </w:r>
      <w:r>
        <w:t>36</w:t>
      </w:r>
      <w:r>
        <w:fldChar w:fldCharType="end"/>
      </w:r>
    </w:p>
    <w:p>
      <w:pPr>
        <w:pStyle w:val="TOC8"/>
        <w:rPr>
          <w:rFonts w:asciiTheme="minorHAnsi" w:eastAsiaTheme="minorEastAsia" w:hAnsiTheme="minorHAnsi" w:cstheme="minorBidi"/>
          <w:szCs w:val="22"/>
        </w:rPr>
      </w:pPr>
      <w:r>
        <w:t>64.</w:t>
      </w:r>
      <w:r>
        <w:tab/>
        <w:t>Protection for disclosure or compliance with directions</w:t>
      </w:r>
      <w:r>
        <w:tab/>
      </w:r>
      <w:r>
        <w:fldChar w:fldCharType="begin"/>
      </w:r>
      <w:r>
        <w:instrText xml:space="preserve"> PAGEREF _Toc91065956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Protection of information</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_Toc91065959 \h </w:instrText>
      </w:r>
      <w:r>
        <w:fldChar w:fldCharType="separate"/>
      </w:r>
      <w:r>
        <w:t>37</w:t>
      </w:r>
      <w:r>
        <w:fldChar w:fldCharType="end"/>
      </w:r>
    </w:p>
    <w:p>
      <w:pPr>
        <w:pStyle w:val="TOC8"/>
        <w:rPr>
          <w:rFonts w:asciiTheme="minorHAnsi" w:eastAsiaTheme="minorEastAsia" w:hAnsiTheme="minorHAnsi" w:cstheme="minorBidi"/>
          <w:szCs w:val="22"/>
        </w:rPr>
      </w:pPr>
      <w:r>
        <w:t>66.</w:t>
      </w:r>
      <w:r>
        <w:tab/>
        <w:t>Authorised use or disclosure of information</w:t>
      </w:r>
      <w:r>
        <w:tab/>
      </w:r>
      <w:r>
        <w:fldChar w:fldCharType="begin"/>
      </w:r>
      <w:r>
        <w:instrText xml:space="preserve"> PAGEREF _Toc91065960 \h </w:instrText>
      </w:r>
      <w:r>
        <w:fldChar w:fldCharType="separate"/>
      </w:r>
      <w:r>
        <w:t>37</w:t>
      </w:r>
      <w:r>
        <w:fldChar w:fldCharType="end"/>
      </w:r>
    </w:p>
    <w:p>
      <w:pPr>
        <w:pStyle w:val="TOC8"/>
        <w:rPr>
          <w:rFonts w:asciiTheme="minorHAnsi" w:eastAsiaTheme="minorEastAsia" w:hAnsiTheme="minorHAnsi" w:cstheme="minorBidi"/>
          <w:szCs w:val="22"/>
        </w:rPr>
      </w:pPr>
      <w:r>
        <w:t>67.</w:t>
      </w:r>
      <w:r>
        <w:tab/>
        <w:t>Restrictions on disclosure of sensitive information</w:t>
      </w:r>
      <w:r>
        <w:tab/>
      </w:r>
      <w:r>
        <w:fldChar w:fldCharType="begin"/>
      </w:r>
      <w:r>
        <w:instrText xml:space="preserve"> PAGEREF _Toc91065961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68.</w:t>
      </w:r>
      <w:r>
        <w:tab/>
        <w:t>Execution of documents</w:t>
      </w:r>
      <w:r>
        <w:tab/>
      </w:r>
      <w:r>
        <w:fldChar w:fldCharType="begin"/>
      </w:r>
      <w:r>
        <w:instrText xml:space="preserve"> PAGEREF _Toc91065963 \h </w:instrText>
      </w:r>
      <w:r>
        <w:fldChar w:fldCharType="separate"/>
      </w:r>
      <w:r>
        <w:t>39</w:t>
      </w:r>
      <w:r>
        <w:fldChar w:fldCharType="end"/>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_Toc91065964 \h </w:instrText>
      </w:r>
      <w:r>
        <w:fldChar w:fldCharType="separate"/>
      </w:r>
      <w:r>
        <w:t>40</w:t>
      </w:r>
      <w:r>
        <w:fldChar w:fldCharType="end"/>
      </w:r>
    </w:p>
    <w:p>
      <w:pPr>
        <w:pStyle w:val="TOC8"/>
        <w:rPr>
          <w:rFonts w:asciiTheme="minorHAnsi" w:eastAsiaTheme="minorEastAsia" w:hAnsiTheme="minorHAnsi" w:cstheme="minorBidi"/>
          <w:szCs w:val="22"/>
        </w:rPr>
      </w:pPr>
      <w:r>
        <w:t>70.</w:t>
      </w:r>
      <w:r>
        <w:tab/>
        <w:t>Making certain things publicly available</w:t>
      </w:r>
      <w:r>
        <w:tab/>
      </w:r>
      <w:r>
        <w:fldChar w:fldCharType="begin"/>
      </w:r>
      <w:r>
        <w:instrText xml:space="preserve"> PAGEREF _Toc91065965 \h </w:instrText>
      </w:r>
      <w:r>
        <w:fldChar w:fldCharType="separate"/>
      </w:r>
      <w:r>
        <w:t>40</w:t>
      </w:r>
      <w:r>
        <w:fldChar w:fldCharType="end"/>
      </w:r>
    </w:p>
    <w:p>
      <w:pPr>
        <w:pStyle w:val="TOC8"/>
        <w:rPr>
          <w:rFonts w:asciiTheme="minorHAnsi" w:eastAsiaTheme="minorEastAsia" w:hAnsiTheme="minorHAnsi" w:cstheme="minorBidi"/>
          <w:szCs w:val="22"/>
        </w:rPr>
      </w:pPr>
      <w:r>
        <w:t>71.</w:t>
      </w:r>
      <w:r>
        <w:tab/>
        <w:t>Laying documents before Parliament not sitting</w:t>
      </w:r>
      <w:r>
        <w:tab/>
      </w:r>
      <w:r>
        <w:fldChar w:fldCharType="begin"/>
      </w:r>
      <w:r>
        <w:instrText xml:space="preserve"> PAGEREF _Toc91065966 \h </w:instrText>
      </w:r>
      <w:r>
        <w:fldChar w:fldCharType="separate"/>
      </w:r>
      <w:r>
        <w:t>41</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_Toc91065967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73.</w:t>
      </w:r>
      <w:r>
        <w:tab/>
        <w:t>Review of Act</w:t>
      </w:r>
      <w:r>
        <w:tab/>
      </w:r>
      <w:r>
        <w:fldChar w:fldCharType="begin"/>
      </w:r>
      <w:r>
        <w:instrText xml:space="preserve"> PAGEREF _Toc91065968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amendments to other Acts</w:t>
      </w:r>
    </w:p>
    <w:p>
      <w:pPr>
        <w:pStyle w:val="TOC8"/>
        <w:rPr>
          <w:rFonts w:asciiTheme="minorHAnsi" w:eastAsiaTheme="minorEastAsia" w:hAnsiTheme="minorHAnsi" w:cstheme="minorBidi"/>
          <w:szCs w:val="22"/>
        </w:rPr>
      </w:pPr>
      <w:r>
        <w:t>74.</w:t>
      </w:r>
      <w:r>
        <w:tab/>
      </w:r>
      <w:r>
        <w:rPr>
          <w:i/>
        </w:rPr>
        <w:t>Constitution Acts Amendment Act 1899</w:t>
      </w:r>
      <w:r>
        <w:t xml:space="preserve"> amended</w:t>
      </w:r>
      <w:r>
        <w:tab/>
      </w:r>
      <w:r>
        <w:fldChar w:fldCharType="begin"/>
      </w:r>
      <w:r>
        <w:instrText xml:space="preserve"> PAGEREF _Toc91065970 \h </w:instrText>
      </w:r>
      <w:r>
        <w:fldChar w:fldCharType="separate"/>
      </w:r>
      <w:r>
        <w:t>43</w:t>
      </w:r>
      <w:r>
        <w:fldChar w:fldCharType="end"/>
      </w:r>
    </w:p>
    <w:p>
      <w:pPr>
        <w:pStyle w:val="TOC8"/>
        <w:rPr>
          <w:rFonts w:asciiTheme="minorHAnsi" w:eastAsiaTheme="minorEastAsia" w:hAnsiTheme="minorHAnsi" w:cstheme="minorBidi"/>
          <w:szCs w:val="22"/>
        </w:rPr>
      </w:pPr>
      <w:r>
        <w:t>75.</w:t>
      </w:r>
      <w:r>
        <w:tab/>
      </w:r>
      <w:r>
        <w:rPr>
          <w:i/>
        </w:rPr>
        <w:t>Financial Management Act 2006</w:t>
      </w:r>
      <w:r>
        <w:t xml:space="preserve"> amended</w:t>
      </w:r>
      <w:r>
        <w:tab/>
      </w:r>
      <w:r>
        <w:fldChar w:fldCharType="begin"/>
      </w:r>
      <w:r>
        <w:instrText xml:space="preserve"> PAGEREF _Toc91065971 \h </w:instrText>
      </w:r>
      <w:r>
        <w:fldChar w:fldCharType="separate"/>
      </w:r>
      <w:r>
        <w:t>43</w:t>
      </w:r>
      <w:r>
        <w:fldChar w:fldCharType="end"/>
      </w:r>
    </w:p>
    <w:p>
      <w:pPr>
        <w:pStyle w:val="TOC8"/>
        <w:rPr>
          <w:rFonts w:asciiTheme="minorHAnsi" w:eastAsiaTheme="minorEastAsia" w:hAnsiTheme="minorHAnsi" w:cstheme="minorBidi"/>
          <w:szCs w:val="22"/>
        </w:rPr>
      </w:pPr>
      <w:r>
        <w:t>76.</w:t>
      </w:r>
      <w:r>
        <w:tab/>
      </w:r>
      <w:r>
        <w:rPr>
          <w:i/>
        </w:rPr>
        <w:t>Planning and Development Act 2005</w:t>
      </w:r>
      <w:r>
        <w:t xml:space="preserve"> amended</w:t>
      </w:r>
      <w:r>
        <w:tab/>
      </w:r>
      <w:r>
        <w:fldChar w:fldCharType="begin"/>
      </w:r>
      <w:r>
        <w:instrText xml:space="preserve"> PAGEREF _Toc91065972 \h </w:instrText>
      </w:r>
      <w:r>
        <w:fldChar w:fldCharType="separate"/>
      </w:r>
      <w:r>
        <w:t>43</w:t>
      </w:r>
      <w:r>
        <w:fldChar w:fldCharType="end"/>
      </w:r>
    </w:p>
    <w:p>
      <w:pPr>
        <w:pStyle w:val="TOC8"/>
        <w:rPr>
          <w:rFonts w:asciiTheme="minorHAnsi" w:eastAsiaTheme="minorEastAsia" w:hAnsiTheme="minorHAnsi" w:cstheme="minorBidi"/>
          <w:szCs w:val="22"/>
        </w:rPr>
      </w:pPr>
      <w:r>
        <w:t>77.</w:t>
      </w:r>
      <w:r>
        <w:tab/>
      </w:r>
      <w:r>
        <w:rPr>
          <w:i/>
        </w:rPr>
        <w:t>Public Sector Management Act 1994</w:t>
      </w:r>
      <w:r>
        <w:t xml:space="preserve"> amended</w:t>
      </w:r>
      <w:r>
        <w:tab/>
      </w:r>
      <w:r>
        <w:fldChar w:fldCharType="begin"/>
      </w:r>
      <w:r>
        <w:instrText xml:space="preserve"> PAGEREF _Toc91065973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_Toc91065975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_Toc91065976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Infrastructure Western Australia Act 2019</w:t>
      </w:r>
    </w:p>
    <w:p>
      <w:pPr>
        <w:pStyle w:val="LongTitle"/>
        <w:suppressLineNumbers/>
      </w:pPr>
      <w:bookmarkStart w:id="3" w:name="BillCited"/>
      <w:bookmarkEnd w:id="3"/>
      <w:r>
        <w:t xml:space="preserve">An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993880"/>
      <w:bookmarkStart w:id="5" w:name="_Toc90994353"/>
      <w:bookmarkStart w:id="6" w:name="_Toc90994492"/>
      <w:bookmarkStart w:id="7" w:name="_Toc9106587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91065879"/>
      <w:r>
        <w:rPr>
          <w:rStyle w:val="CharSectno"/>
        </w:rPr>
        <w:t>1</w:t>
      </w:r>
      <w:r>
        <w:t>.</w:t>
      </w:r>
      <w:r>
        <w:tab/>
        <w:t>Short title</w:t>
      </w:r>
      <w:bookmarkEnd w:id="8"/>
    </w:p>
    <w:p>
      <w:pPr>
        <w:pStyle w:val="Subsection"/>
      </w:pPr>
      <w:r>
        <w:tab/>
      </w:r>
      <w:r>
        <w:tab/>
        <w:t>This is the</w:t>
      </w:r>
      <w:r>
        <w:rPr>
          <w:i/>
        </w:rPr>
        <w:t xml:space="preserve"> Infrastructure Western Australia Act 2019</w:t>
      </w:r>
      <w:r>
        <w:t>.</w:t>
      </w:r>
    </w:p>
    <w:p>
      <w:pPr>
        <w:pStyle w:val="Heading5"/>
      </w:pPr>
      <w:bookmarkStart w:id="9" w:name="_Toc91065880"/>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10" w:name="_Toc91065881"/>
      <w:r>
        <w:rPr>
          <w:rStyle w:val="CharSectno"/>
        </w:rPr>
        <w:t>3</w:t>
      </w:r>
      <w:r>
        <w:t>.</w:t>
      </w:r>
      <w:r>
        <w:tab/>
        <w:t>Terms used</w:t>
      </w:r>
      <w:bookmarkEnd w:id="10"/>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lastRenderedPageBreak/>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lastRenderedPageBreak/>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11" w:name="_Toc91065882"/>
      <w:r>
        <w:rPr>
          <w:rStyle w:val="CharSectno"/>
        </w:rPr>
        <w:lastRenderedPageBreak/>
        <w:t>4</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90993885"/>
      <w:bookmarkStart w:id="13" w:name="_Toc90994358"/>
      <w:bookmarkStart w:id="14" w:name="_Toc90994497"/>
      <w:bookmarkStart w:id="15" w:name="_Toc91065883"/>
      <w:r>
        <w:rPr>
          <w:rStyle w:val="CharPartNo"/>
        </w:rPr>
        <w:lastRenderedPageBreak/>
        <w:t>Part 2</w:t>
      </w:r>
      <w:r>
        <w:t> — </w:t>
      </w:r>
      <w:r>
        <w:rPr>
          <w:rStyle w:val="CharPartText"/>
        </w:rPr>
        <w:t>Infrastructure WA</w:t>
      </w:r>
      <w:bookmarkEnd w:id="12"/>
      <w:bookmarkEnd w:id="13"/>
      <w:bookmarkEnd w:id="14"/>
      <w:bookmarkEnd w:id="15"/>
    </w:p>
    <w:p>
      <w:pPr>
        <w:pStyle w:val="Heading5"/>
      </w:pPr>
      <w:bookmarkStart w:id="16" w:name="_Toc91065884"/>
      <w:r>
        <w:rPr>
          <w:rStyle w:val="CharSectno"/>
        </w:rPr>
        <w:t>5</w:t>
      </w:r>
      <w:r>
        <w:t>.</w:t>
      </w:r>
      <w:r>
        <w:tab/>
        <w:t>Infrastructure WA established</w:t>
      </w:r>
      <w:bookmarkEnd w:id="16"/>
    </w:p>
    <w:p>
      <w:pPr>
        <w:pStyle w:val="Subsection"/>
      </w:pPr>
      <w:r>
        <w:tab/>
        <w:t>(1)</w:t>
      </w:r>
      <w:r>
        <w:tab/>
        <w:t>Infrastructure WA is established.</w:t>
      </w:r>
    </w:p>
    <w:p>
      <w:pPr>
        <w:pStyle w:val="Subsection"/>
      </w:pPr>
      <w:r>
        <w:tab/>
        <w:t>(2)</w:t>
      </w:r>
      <w:r>
        <w:tab/>
        <w:t xml:space="preserve">Infrastructure WA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17" w:name="_Toc91065885"/>
      <w:r>
        <w:rPr>
          <w:rStyle w:val="CharSectno"/>
        </w:rPr>
        <w:t>6</w:t>
      </w:r>
      <w:r>
        <w:t>.</w:t>
      </w:r>
      <w:r>
        <w:tab/>
        <w:t>Agent of Crown</w:t>
      </w:r>
      <w:bookmarkEnd w:id="17"/>
    </w:p>
    <w:p>
      <w:pPr>
        <w:pStyle w:val="Subsection"/>
      </w:pPr>
      <w:r>
        <w:tab/>
      </w:r>
      <w:r>
        <w:tab/>
        <w:t>Infrastructure WA is an agent of the Crown and has the status, immunity and privileges of the Crown.</w:t>
      </w:r>
    </w:p>
    <w:p>
      <w:pPr>
        <w:pStyle w:val="Heading5"/>
      </w:pPr>
      <w:bookmarkStart w:id="18" w:name="_Toc91065886"/>
      <w:r>
        <w:rPr>
          <w:rStyle w:val="CharSectno"/>
        </w:rPr>
        <w:t>7</w:t>
      </w:r>
      <w:r>
        <w:t>.</w:t>
      </w:r>
      <w:r>
        <w:tab/>
        <w:t>Principal objects</w:t>
      </w:r>
      <w:bookmarkEnd w:id="18"/>
    </w:p>
    <w:p>
      <w:pPr>
        <w:pStyle w:val="Subsection"/>
      </w:pPr>
      <w:r>
        <w:tab/>
      </w:r>
      <w:r>
        <w:tab/>
        <w:t xml:space="preserve">Infrastructure WA’s principal objects are — </w:t>
      </w:r>
    </w:p>
    <w:p>
      <w:pPr>
        <w:pStyle w:val="Indenta"/>
      </w:pPr>
      <w:r>
        <w:tab/>
        <w:t>(a)</w:t>
      </w:r>
      <w:r>
        <w:tab/>
        <w:t>to provide advice and assistance to the Government on matters relating to infrastructure;</w:t>
      </w:r>
    </w:p>
    <w:p>
      <w:pPr>
        <w:pStyle w:val="Indenta"/>
      </w:pPr>
      <w:r>
        <w:tab/>
        <w:t>(b)</w:t>
      </w:r>
      <w:r>
        <w:tab/>
        <w:t>to assist in enhancing the efficiency and effectiveness of infrastructure planning and coordination;</w:t>
      </w:r>
    </w:p>
    <w:p>
      <w:pPr>
        <w:pStyle w:val="Indenta"/>
      </w:pPr>
      <w:r>
        <w:tab/>
        <w:t>(c)</w:t>
      </w:r>
      <w:r>
        <w:tab/>
        <w:t>to promote the adoption and use of policies, practices, information and analysis to support sound decision</w:t>
      </w:r>
      <w:r>
        <w:noBreakHyphen/>
        <w:t>making in relation to infrastructure.</w:t>
      </w:r>
    </w:p>
    <w:p>
      <w:pPr>
        <w:pStyle w:val="Heading5"/>
      </w:pPr>
      <w:bookmarkStart w:id="19" w:name="_Toc91065887"/>
      <w:r>
        <w:rPr>
          <w:rStyle w:val="CharSectno"/>
        </w:rPr>
        <w:t>8</w:t>
      </w:r>
      <w:r>
        <w:t>.</w:t>
      </w:r>
      <w:r>
        <w:tab/>
        <w:t>Functions</w:t>
      </w:r>
      <w:bookmarkEnd w:id="19"/>
    </w:p>
    <w:p>
      <w:pPr>
        <w:pStyle w:val="Subsection"/>
      </w:pPr>
      <w:r>
        <w:tab/>
        <w:t>(1)</w:t>
      </w:r>
      <w:r>
        <w:tab/>
        <w:t xml:space="preserve">Infrastructure WA’s functions are — </w:t>
      </w:r>
    </w:p>
    <w:p>
      <w:pPr>
        <w:pStyle w:val="Indenta"/>
      </w:pPr>
      <w:r>
        <w:tab/>
        <w:t>(a)</w:t>
      </w:r>
      <w:r>
        <w:tab/>
        <w:t>to prepare and submit to the Premier State Infrastructure Strategies, in accordance with Part 3 Division 1;</w:t>
      </w:r>
    </w:p>
    <w:p>
      <w:pPr>
        <w:pStyle w:val="Indenta"/>
      </w:pPr>
      <w:r>
        <w:tab/>
        <w:t>(b)</w:t>
      </w:r>
      <w:r>
        <w:tab/>
        <w:t>to assess and report to the Premier on major infrastructure proposals, in accordance with Part 3 Division 3;</w:t>
      </w:r>
    </w:p>
    <w:p>
      <w:pPr>
        <w:pStyle w:val="Indenta"/>
      </w:pPr>
      <w:r>
        <w:lastRenderedPageBreak/>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Indenta"/>
      </w:pPr>
      <w:r>
        <w:tab/>
        <w:t>(d)</w:t>
      </w:r>
      <w:r>
        <w:tab/>
        <w:t>to provide advice to State agencies on the preparation of infrastructure proposals;</w:t>
      </w:r>
    </w:p>
    <w:p>
      <w:pPr>
        <w:pStyle w:val="Indenta"/>
      </w:pPr>
      <w:r>
        <w:tab/>
        <w:t>(e)</w:t>
      </w:r>
      <w:r>
        <w:tab/>
        <w:t>to review and report to the Premier on infrastructure proposals prior to their submission to Infrastructure Australia;</w:t>
      </w:r>
    </w:p>
    <w:p>
      <w:pPr>
        <w:pStyle w:val="Indenta"/>
      </w:pPr>
      <w:r>
        <w:tab/>
        <w:t>(f)</w:t>
      </w:r>
      <w:r>
        <w:tab/>
        <w:t>under the direction of the Premier, to coordinate the provision of information and submissions to Infrastructure Australia;</w:t>
      </w:r>
    </w:p>
    <w:p>
      <w:pPr>
        <w:pStyle w:val="Indenta"/>
      </w:pPr>
      <w:r>
        <w:tab/>
        <w:t>(g)</w:t>
      </w:r>
      <w:r>
        <w:tab/>
        <w:t>to monitor and report on progress in implementing the State Infrastructure Strategy, in accordance with Part 3 Division 5;</w:t>
      </w:r>
    </w:p>
    <w:p>
      <w:pPr>
        <w:pStyle w:val="Indenta"/>
      </w:pPr>
      <w:r>
        <w:tab/>
        <w:t>(h)</w:t>
      </w:r>
      <w:r>
        <w:tab/>
        <w:t xml:space="preserve">to provide advice to the Premier on — </w:t>
      </w:r>
    </w:p>
    <w:p>
      <w:pPr>
        <w:pStyle w:val="Indenti"/>
      </w:pPr>
      <w:r>
        <w:tab/>
        <w:t>(i)</w:t>
      </w:r>
      <w:r>
        <w:tab/>
        <w:t>infrastructure priorities;</w:t>
      </w:r>
    </w:p>
    <w:p>
      <w:pPr>
        <w:pStyle w:val="Indenti"/>
      </w:pPr>
      <w:r>
        <w:tab/>
        <w:t>(ii)</w:t>
      </w:r>
      <w:r>
        <w:tab/>
        <w:t>funding and financing of infrastructure;</w:t>
      </w:r>
    </w:p>
    <w:p>
      <w:pPr>
        <w:pStyle w:val="Indenti"/>
      </w:pPr>
      <w:r>
        <w:tab/>
        <w:t>(iii)</w:t>
      </w:r>
      <w:r>
        <w:tab/>
        <w:t>any other matter relating to infrastructure;</w:t>
      </w:r>
    </w:p>
    <w:p>
      <w:pPr>
        <w:pStyle w:val="Indenta"/>
      </w:pPr>
      <w:r>
        <w:tab/>
        <w:t>(i)</w:t>
      </w:r>
      <w:r>
        <w:tab/>
        <w:t>to review and report to the Premier on completed infrastructure projects;</w:t>
      </w:r>
    </w:p>
    <w:p>
      <w:pPr>
        <w:pStyle w:val="Indenta"/>
      </w:pPr>
      <w:r>
        <w:tab/>
        <w:t>(j)</w:t>
      </w:r>
      <w:r>
        <w:tab/>
        <w:t>to promote public awareness of matters relating to infrastructure;</w:t>
      </w:r>
    </w:p>
    <w:p>
      <w:pPr>
        <w:pStyle w:val="Indenta"/>
      </w:pPr>
      <w:r>
        <w:tab/>
        <w:t>(k)</w:t>
      </w:r>
      <w:r>
        <w:tab/>
        <w:t>to perform the other functions conferred on Infrastructure WA under this Act;</w:t>
      </w:r>
    </w:p>
    <w:p>
      <w:pPr>
        <w:pStyle w:val="Indenta"/>
      </w:pPr>
      <w:r>
        <w:tab/>
        <w:t>(l)</w:t>
      </w:r>
      <w:r>
        <w:tab/>
        <w:t>to perform, at the request of the Premier, any other function relating to infrastructure.</w:t>
      </w:r>
    </w:p>
    <w:p>
      <w:pPr>
        <w:pStyle w:val="Subsection"/>
        <w:keepNext/>
      </w:pPr>
      <w:r>
        <w:lastRenderedPageBreak/>
        <w:tab/>
        <w:t>(2)</w:t>
      </w:r>
      <w:r>
        <w:tab/>
        <w:t xml:space="preserve">When performing its functions, Infrastructure WA must consider the following — </w:t>
      </w:r>
    </w:p>
    <w:p>
      <w:pPr>
        <w:pStyle w:val="Indenta"/>
        <w:keepNext/>
      </w:pPr>
      <w:r>
        <w:tab/>
        <w:t>(a)</w:t>
      </w:r>
      <w:r>
        <w:tab/>
        <w:t xml:space="preserve">current relevant Government strategies, plans, policies, priorities and forecasts, including — </w:t>
      </w:r>
    </w:p>
    <w:p>
      <w:pPr>
        <w:pStyle w:val="Indenti"/>
      </w:pPr>
      <w:r>
        <w:tab/>
        <w:t>(i)</w:t>
      </w:r>
      <w:r>
        <w:tab/>
        <w:t>population, economic, financial and environmental forecasts;</w:t>
      </w:r>
    </w:p>
    <w:p>
      <w:pPr>
        <w:pStyle w:val="Indenti"/>
      </w:pPr>
      <w:r>
        <w:tab/>
        <w:t>(ii)</w:t>
      </w:r>
      <w:r>
        <w:tab/>
        <w:t>land use plans;</w:t>
      </w:r>
    </w:p>
    <w:p>
      <w:pPr>
        <w:pStyle w:val="Indenti"/>
      </w:pPr>
      <w:r>
        <w:tab/>
        <w:t>(iii)</w:t>
      </w:r>
      <w:r>
        <w:tab/>
        <w:t>strategies, plans and policies relating to the various infrastructure sectors;</w:t>
      </w:r>
    </w:p>
    <w:p>
      <w:pPr>
        <w:pStyle w:val="Indenti"/>
      </w:pPr>
      <w:r>
        <w:tab/>
        <w:t>(iv)</w:t>
      </w:r>
      <w:r>
        <w:tab/>
        <w:t>any other social, economic or environmental policies;</w:t>
      </w:r>
    </w:p>
    <w:p>
      <w:pPr>
        <w:pStyle w:val="Indenta"/>
      </w:pPr>
      <w:r>
        <w:tab/>
        <w:t>(b)</w:t>
      </w:r>
      <w:r>
        <w:tab/>
        <w:t>the economic, social and environmental value of infrastructure;</w:t>
      </w:r>
    </w:p>
    <w:p>
      <w:pPr>
        <w:pStyle w:val="Indenta"/>
      </w:pPr>
      <w:r>
        <w:tab/>
        <w:t>(c)</w:t>
      </w:r>
      <w:r>
        <w:tab/>
        <w:t>the infrastructure needs of the non-metropolitan regions;</w:t>
      </w:r>
    </w:p>
    <w:p>
      <w:pPr>
        <w:pStyle w:val="Indenta"/>
      </w:pPr>
      <w:r>
        <w:tab/>
        <w:t>(d)</w:t>
      </w:r>
      <w:r>
        <w:tab/>
        <w:t>the needs of a broad range of users of infrastructure;</w:t>
      </w:r>
    </w:p>
    <w:p>
      <w:pPr>
        <w:pStyle w:val="Indenta"/>
      </w:pPr>
      <w:r>
        <w:tab/>
        <w:t>(e)</w:t>
      </w:r>
      <w:r>
        <w:tab/>
        <w:t>the complete lifecycle of infrastructure;</w:t>
      </w:r>
    </w:p>
    <w:p>
      <w:pPr>
        <w:pStyle w:val="Indenta"/>
      </w:pPr>
      <w:r>
        <w:tab/>
        <w:t>(f)</w:t>
      </w:r>
      <w:r>
        <w:tab/>
        <w:t>how existing infrastructure can be used more efficiently and effectively;</w:t>
      </w:r>
    </w:p>
    <w:p>
      <w:pPr>
        <w:pStyle w:val="Indenta"/>
      </w:pPr>
      <w:r>
        <w:tab/>
        <w:t>(g)</w:t>
      </w:r>
      <w:r>
        <w:tab/>
        <w:t>technological advances and trends;</w:t>
      </w:r>
    </w:p>
    <w:p>
      <w:pPr>
        <w:pStyle w:val="Indenta"/>
      </w:pPr>
      <w:r>
        <w:tab/>
        <w:t>(h)</w:t>
      </w:r>
      <w:r>
        <w:tab/>
        <w:t>social and demographic trends;</w:t>
      </w:r>
    </w:p>
    <w:p>
      <w:pPr>
        <w:pStyle w:val="Indenta"/>
      </w:pPr>
      <w:r>
        <w:tab/>
        <w:t>(i)</w:t>
      </w:r>
      <w:r>
        <w:tab/>
        <w:t>the financial implications for the Crown (if any) of its advice and recommendations;</w:t>
      </w:r>
    </w:p>
    <w:p>
      <w:pPr>
        <w:pStyle w:val="Indenta"/>
      </w:pPr>
      <w:r>
        <w:tab/>
        <w:t>(j)</w:t>
      </w:r>
      <w:r>
        <w:tab/>
        <w:t>any other relevant matter.</w:t>
      </w:r>
    </w:p>
    <w:p>
      <w:pPr>
        <w:pStyle w:val="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Heading5"/>
      </w:pPr>
      <w:bookmarkStart w:id="20" w:name="_Toc91065888"/>
      <w:r>
        <w:rPr>
          <w:rStyle w:val="CharSectno"/>
        </w:rPr>
        <w:lastRenderedPageBreak/>
        <w:t>9</w:t>
      </w:r>
      <w:r>
        <w:t>.</w:t>
      </w:r>
      <w:r>
        <w:tab/>
        <w:t>Advice and reports may be made publicly available</w:t>
      </w:r>
      <w:bookmarkEnd w:id="20"/>
    </w:p>
    <w:p>
      <w:pPr>
        <w:pStyle w:val="Subsection"/>
      </w:pPr>
      <w:r>
        <w:tab/>
        <w:t>(1)</w:t>
      </w:r>
      <w:r>
        <w:tab/>
        <w:t>Infrastructure WA may, with the approval of the Premier, make advice or a report prepared in the performance of a function under this Act publicly available.</w:t>
      </w:r>
    </w:p>
    <w:p>
      <w:pPr>
        <w:pStyle w:val="Subsection"/>
      </w:pPr>
      <w:r>
        <w:tab/>
        <w:t>(2)</w:t>
      </w:r>
      <w:r>
        <w:tab/>
        <w:t>This section does not apply to a report or other thing that must or may be made publicly available under another provision of this Act.</w:t>
      </w:r>
    </w:p>
    <w:p>
      <w:pPr>
        <w:pStyle w:val="Heading5"/>
      </w:pPr>
      <w:bookmarkStart w:id="21" w:name="_Toc91065889"/>
      <w:r>
        <w:rPr>
          <w:rStyle w:val="CharSectno"/>
        </w:rPr>
        <w:t>10</w:t>
      </w:r>
      <w:r>
        <w:t>.</w:t>
      </w:r>
      <w:r>
        <w:tab/>
        <w:t>Annual work programme</w:t>
      </w:r>
      <w:bookmarkEnd w:id="21"/>
    </w:p>
    <w:p>
      <w:pPr>
        <w:pStyle w:val="Subsection"/>
      </w:pPr>
      <w:r>
        <w:tab/>
        <w:t>(1)</w:t>
      </w:r>
      <w:r>
        <w:tab/>
        <w:t>Infrastructure WA must, in consultation with the Premier, prepare an annual work programme.</w:t>
      </w:r>
    </w:p>
    <w:p>
      <w:pPr>
        <w:pStyle w:val="Subsection"/>
      </w:pPr>
      <w:r>
        <w:tab/>
        <w:t>(2)</w:t>
      </w:r>
      <w:r>
        <w:tab/>
        <w:t>Each programme must be submitted to the Premier before the beginning of the financial year to which it relates.</w:t>
      </w:r>
    </w:p>
    <w:p>
      <w:pPr>
        <w:pStyle w:val="Subsection"/>
      </w:pPr>
      <w:r>
        <w:tab/>
        <w:t>(3)</w:t>
      </w:r>
      <w:r>
        <w:tab/>
        <w:t>Each programme must cover the key activities that Infrastructure WA proposes to undertake in the year to which it relates.</w:t>
      </w:r>
    </w:p>
    <w:p>
      <w:pPr>
        <w:pStyle w:val="Subsection"/>
      </w:pPr>
      <w:r>
        <w:tab/>
        <w:t>(4)</w:t>
      </w:r>
      <w:r>
        <w:tab/>
        <w:t>Infrastructure WA must inform the Premier, in writing, of any key activity that it proposes to undertake in a year that is not covered by the work programme for the year.</w:t>
      </w:r>
    </w:p>
    <w:p>
      <w:pPr>
        <w:pStyle w:val="Subsection"/>
      </w:pPr>
      <w:r>
        <w:tab/>
        <w:t>(5)</w:t>
      </w:r>
      <w:r>
        <w:tab/>
        <w:t>Infrastructure WA must make its annual work programme publicly available.</w:t>
      </w:r>
    </w:p>
    <w:p>
      <w:pPr>
        <w:pStyle w:val="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Heading5"/>
      </w:pPr>
      <w:bookmarkStart w:id="22" w:name="_Toc91065890"/>
      <w:r>
        <w:rPr>
          <w:rStyle w:val="CharSectno"/>
        </w:rPr>
        <w:t>11</w:t>
      </w:r>
      <w:r>
        <w:t>.</w:t>
      </w:r>
      <w:r>
        <w:tab/>
        <w:t>Powers</w:t>
      </w:r>
      <w:bookmarkEnd w:id="22"/>
    </w:p>
    <w:p>
      <w:pPr>
        <w:pStyle w:val="Subsection"/>
      </w:pPr>
      <w:r>
        <w:tab/>
        <w:t>(1)</w:t>
      </w:r>
      <w:r>
        <w:tab/>
        <w:t>Infrastructure WA has all the powers it needs to perform its functions.</w:t>
      </w:r>
    </w:p>
    <w:p>
      <w:pPr>
        <w:pStyle w:val="Subsection"/>
        <w:keepNext/>
      </w:pPr>
      <w:r>
        <w:lastRenderedPageBreak/>
        <w:tab/>
        <w:t>(2)</w:t>
      </w:r>
      <w:r>
        <w:tab/>
        <w:t xml:space="preserve">Without limiting subsection (1), Infrastructure WA may, for the purpose of performing any of its functions, but subject to any limitation imposed by this Act — </w:t>
      </w:r>
    </w:p>
    <w:p>
      <w:pPr>
        <w:pStyle w:val="Indenta"/>
      </w:pPr>
      <w:r>
        <w:tab/>
        <w:t>(a)</w:t>
      </w:r>
      <w:r>
        <w:tab/>
        <w:t>enter into a contract or other arrangement, including a contract or arrangement for the provision of services to Infrastructure WA;</w:t>
      </w:r>
    </w:p>
    <w:p>
      <w:pPr>
        <w:pStyle w:val="Indenta"/>
      </w:pPr>
      <w:r>
        <w:tab/>
        <w:t>(b)</w:t>
      </w:r>
      <w:r>
        <w:tab/>
        <w:t>develop and turn to account any technology, software or other intellectual property that relates to its functions and, for that purpose, apply for, hold, exploit and dispose of any intellectual property;</w:t>
      </w:r>
    </w:p>
    <w:p>
      <w:pPr>
        <w:pStyle w:val="Indenta"/>
      </w:pPr>
      <w:r>
        <w:tab/>
        <w:t>(c)</w:t>
      </w:r>
      <w:r>
        <w:tab/>
        <w:t>acquire, dispose of and otherwise deal with real or personal property.</w:t>
      </w:r>
    </w:p>
    <w:p>
      <w:pPr>
        <w:pStyle w:val="Heading5"/>
      </w:pPr>
      <w:bookmarkStart w:id="23" w:name="_Toc91065891"/>
      <w:r>
        <w:rPr>
          <w:rStyle w:val="CharSectno"/>
        </w:rPr>
        <w:t>12</w:t>
      </w:r>
      <w:r>
        <w:t>.</w:t>
      </w:r>
      <w:r>
        <w:tab/>
        <w:t>Delegation</w:t>
      </w:r>
      <w:bookmarkEnd w:id="23"/>
    </w:p>
    <w:p>
      <w:pPr>
        <w:pStyle w:val="Subsection"/>
      </w:pPr>
      <w:r>
        <w:tab/>
        <w:t>(1)</w:t>
      </w:r>
      <w:r>
        <w:tab/>
        <w:t>Infrastructure WA may delegate to a Board member, staff member or government employee any power or duty of Infrastructure WA under another provision of this Act.</w:t>
      </w:r>
    </w:p>
    <w:p>
      <w:pPr>
        <w:pStyle w:val="Subsection"/>
      </w:pPr>
      <w:r>
        <w:tab/>
        <w:t>(2)</w:t>
      </w:r>
      <w:r>
        <w:tab/>
        <w:t>The delegation must be in writing executed by Infrastructure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Infrastructure WA’s ability to perform a function through an officer or agent.</w:t>
      </w:r>
    </w:p>
    <w:p>
      <w:pPr>
        <w:pStyle w:val="Subsection"/>
      </w:pPr>
      <w:r>
        <w:tab/>
        <w:t>(6)</w:t>
      </w:r>
      <w:r>
        <w:tab/>
        <w:t>This section does not apply to the execution of documents.</w:t>
      </w:r>
    </w:p>
    <w:p>
      <w:pPr>
        <w:pStyle w:val="PermNoteHeading"/>
      </w:pPr>
      <w:r>
        <w:tab/>
        <w:t>Note for this subsection:</w:t>
      </w:r>
    </w:p>
    <w:p>
      <w:pPr>
        <w:pStyle w:val="PermNoteText"/>
      </w:pPr>
      <w:r>
        <w:tab/>
      </w:r>
      <w:r>
        <w:tab/>
        <w:t>Authority to execute documents on Infrastructure WA’s behalf can be given under section 68.</w:t>
      </w:r>
    </w:p>
    <w:p>
      <w:pPr>
        <w:pStyle w:val="Heading2"/>
      </w:pPr>
      <w:bookmarkStart w:id="24" w:name="_Toc90993894"/>
      <w:bookmarkStart w:id="25" w:name="_Toc90994367"/>
      <w:bookmarkStart w:id="26" w:name="_Toc90994506"/>
      <w:bookmarkStart w:id="27" w:name="_Toc91065892"/>
      <w:r>
        <w:rPr>
          <w:rStyle w:val="CharPartNo"/>
        </w:rPr>
        <w:lastRenderedPageBreak/>
        <w:t>Part 3</w:t>
      </w:r>
      <w:r>
        <w:t> — </w:t>
      </w:r>
      <w:r>
        <w:rPr>
          <w:rStyle w:val="CharPartText"/>
        </w:rPr>
        <w:t>Infrastructure strategy and planning</w:t>
      </w:r>
      <w:bookmarkEnd w:id="24"/>
      <w:bookmarkEnd w:id="25"/>
      <w:bookmarkEnd w:id="26"/>
      <w:bookmarkEnd w:id="27"/>
    </w:p>
    <w:p>
      <w:pPr>
        <w:pStyle w:val="Heading3"/>
      </w:pPr>
      <w:bookmarkStart w:id="28" w:name="_Toc90993895"/>
      <w:bookmarkStart w:id="29" w:name="_Toc90994368"/>
      <w:bookmarkStart w:id="30" w:name="_Toc90994507"/>
      <w:bookmarkStart w:id="31" w:name="_Toc91065893"/>
      <w:r>
        <w:rPr>
          <w:rStyle w:val="CharDivNo"/>
        </w:rPr>
        <w:t>Division 1</w:t>
      </w:r>
      <w:r>
        <w:t> — </w:t>
      </w:r>
      <w:r>
        <w:rPr>
          <w:rStyle w:val="CharDivText"/>
        </w:rPr>
        <w:t>State Infrastructure Strategy</w:t>
      </w:r>
      <w:bookmarkEnd w:id="28"/>
      <w:bookmarkEnd w:id="29"/>
      <w:bookmarkEnd w:id="30"/>
      <w:bookmarkEnd w:id="31"/>
    </w:p>
    <w:p>
      <w:pPr>
        <w:pStyle w:val="Heading5"/>
      </w:pPr>
      <w:bookmarkStart w:id="32" w:name="_Toc91065894"/>
      <w:r>
        <w:rPr>
          <w:rStyle w:val="CharSectno"/>
        </w:rPr>
        <w:t>13</w:t>
      </w:r>
      <w:r>
        <w:t>.</w:t>
      </w:r>
      <w:r>
        <w:tab/>
        <w:t>Preparation and submission to Premier</w:t>
      </w:r>
      <w:bookmarkEnd w:id="32"/>
    </w:p>
    <w:p>
      <w:pPr>
        <w:pStyle w:val="Subsection"/>
      </w:pPr>
      <w:r>
        <w:tab/>
        <w:t>(1)</w:t>
      </w:r>
      <w:r>
        <w:tab/>
        <w:t>Infrastructure WA must, from time to time, prepare and submit to the Premier a State Infrastructure Strategy.</w:t>
      </w:r>
    </w:p>
    <w:p>
      <w:pPr>
        <w:pStyle w:val="Subsection"/>
      </w:pPr>
      <w:r>
        <w:tab/>
        <w:t>(2)</w:t>
      </w:r>
      <w:r>
        <w:tab/>
        <w:t>Each strategy, other than the first, must be prepared and submitted within 5 years of the previous one having been laid before Parliament under section 15.</w:t>
      </w:r>
    </w:p>
    <w:p>
      <w:pPr>
        <w:pStyle w:val="Subsection"/>
      </w:pPr>
      <w:r>
        <w:tab/>
        <w:t>(3)</w:t>
      </w:r>
      <w:r>
        <w:tab/>
        <w:t>The Premier may direct that a strategy be prepared and submitted within a lesser period.</w:t>
      </w:r>
    </w:p>
    <w:p>
      <w:pPr>
        <w:pStyle w:val="Subsection"/>
      </w:pPr>
      <w:r>
        <w:tab/>
        <w:t>(4)</w:t>
      </w:r>
      <w:r>
        <w:tab/>
        <w:t>Prior to submitting a State Infrastructure Strategy to the Premier, Infrastructure WA must make a draft of the proposed strategy publicly available, and undertake public consultation on the proposed strategy.</w:t>
      </w:r>
    </w:p>
    <w:p>
      <w:pPr>
        <w:pStyle w:val="Heading5"/>
      </w:pPr>
      <w:bookmarkStart w:id="33" w:name="_Toc91065895"/>
      <w:r>
        <w:rPr>
          <w:rStyle w:val="CharSectno"/>
        </w:rPr>
        <w:t>14</w:t>
      </w:r>
      <w:r>
        <w:t>.</w:t>
      </w:r>
      <w:r>
        <w:tab/>
        <w:t>Content and preparation</w:t>
      </w:r>
      <w:bookmarkEnd w:id="33"/>
    </w:p>
    <w:p>
      <w:pPr>
        <w:pStyle w:val="Subsection"/>
      </w:pPr>
      <w:r>
        <w:tab/>
        <w:t>(1)</w:t>
      </w:r>
      <w:r>
        <w:tab/>
        <w:t xml:space="preserve">Infrastructure WA must include in the State Infrastructure Strategy — </w:t>
      </w:r>
    </w:p>
    <w:p>
      <w:pPr>
        <w:pStyle w:val="Indenta"/>
      </w:pPr>
      <w:r>
        <w:tab/>
        <w:t>(a)</w:t>
      </w:r>
      <w:r>
        <w:tab/>
        <w:t>the identification of Western Australia’s significant infrastructure needs and priorities over at least the next 20 years; and</w:t>
      </w:r>
    </w:p>
    <w:p>
      <w:pPr>
        <w:pStyle w:val="Indenta"/>
      </w:pPr>
      <w:r>
        <w:tab/>
        <w:t>(b)</w:t>
      </w:r>
      <w:r>
        <w:tab/>
        <w:t>the economic, social and environmental objectives against which Western Australia’s infrastructure needs were assessed; and</w:t>
      </w:r>
    </w:p>
    <w:p>
      <w:pPr>
        <w:pStyle w:val="Indenta"/>
      </w:pPr>
      <w:r>
        <w:tab/>
        <w:t>(c)</w:t>
      </w:r>
      <w:r>
        <w:tab/>
        <w:t xml:space="preserve">recommendations about — </w:t>
      </w:r>
    </w:p>
    <w:p>
      <w:pPr>
        <w:pStyle w:val="Indenti"/>
      </w:pPr>
      <w:r>
        <w:tab/>
        <w:t>(i)</w:t>
      </w:r>
      <w:r>
        <w:tab/>
        <w:t>significant projects or programmes, or other options, intended to meet those infrastructure needs and priorities; and</w:t>
      </w:r>
    </w:p>
    <w:p>
      <w:pPr>
        <w:pStyle w:val="Indenti"/>
        <w:keepNext/>
      </w:pPr>
      <w:r>
        <w:lastRenderedPageBreak/>
        <w:tab/>
        <w:t>(ii)</w:t>
      </w:r>
      <w:r>
        <w:tab/>
        <w:t>funding and financing options, when appropriate, for the projects, programmes and options;</w:t>
      </w:r>
    </w:p>
    <w:p>
      <w:pPr>
        <w:pStyle w:val="Indenta"/>
      </w:pPr>
      <w:r>
        <w:tab/>
      </w:r>
      <w:r>
        <w:tab/>
        <w:t>and</w:t>
      </w:r>
    </w:p>
    <w:p>
      <w:pPr>
        <w:pStyle w:val="Indenta"/>
      </w:pPr>
      <w:r>
        <w:tab/>
        <w:t>(d)</w:t>
      </w:r>
      <w:r>
        <w:tab/>
        <w:t>the relative priority of the recommendations.</w:t>
      </w:r>
    </w:p>
    <w:p>
      <w:pPr>
        <w:pStyle w:val="Subsection"/>
      </w:pPr>
      <w:r>
        <w:tab/>
        <w:t>(2)</w:t>
      </w:r>
      <w:r>
        <w:tab/>
        <w:t xml:space="preserve">When preparing a State Infrastructure Strategy, Infrastructure WA must do the following — </w:t>
      </w:r>
    </w:p>
    <w:p>
      <w:pPr>
        <w:pStyle w:val="Indenta"/>
      </w:pPr>
      <w:r>
        <w:tab/>
        <w:t>(a)</w:t>
      </w:r>
      <w:r>
        <w:tab/>
        <w:t>assess the current state of infrastructure in Western Australia;</w:t>
      </w:r>
    </w:p>
    <w:p>
      <w:pPr>
        <w:pStyle w:val="Indenta"/>
      </w:pPr>
      <w:r>
        <w:tab/>
        <w:t>(b)</w:t>
      </w:r>
      <w:r>
        <w:tab/>
        <w:t>identify significant current, and expected future, deficiencies in Western Australia’s infrastructure;</w:t>
      </w:r>
    </w:p>
    <w:p>
      <w:pPr>
        <w:pStyle w:val="Indenta"/>
      </w:pPr>
      <w:r>
        <w:tab/>
        <w:t>(c)</w:t>
      </w:r>
      <w:r>
        <w:tab/>
        <w:t>identify the areas in which those deficiencies are contributing to, or may contribute to, significant economic, social or environmental costs;</w:t>
      </w:r>
    </w:p>
    <w:p>
      <w:pPr>
        <w:pStyle w:val="Indenta"/>
      </w:pPr>
      <w:r>
        <w:tab/>
        <w:t>(d)</w:t>
      </w:r>
      <w:r>
        <w:tab/>
        <w:t>assess the short, medium and long</w:t>
      </w:r>
      <w:r>
        <w:noBreakHyphen/>
        <w:t>term options available to meet Western Australia’s infrastructure needs and priorities, including reform of policy, pricing, regulation and technology;</w:t>
      </w:r>
    </w:p>
    <w:p>
      <w:pPr>
        <w:pStyle w:val="Indenta"/>
      </w:pPr>
      <w:r>
        <w:tab/>
        <w:t>(e)</w:t>
      </w:r>
      <w:r>
        <w:tab/>
        <w:t>consider both investing in new infrastructure and making better use of existing infrastructure;</w:t>
      </w:r>
    </w:p>
    <w:p>
      <w:pPr>
        <w:pStyle w:val="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Heading5"/>
      </w:pPr>
      <w:bookmarkStart w:id="34" w:name="_Toc91065896"/>
      <w:r>
        <w:rPr>
          <w:rStyle w:val="CharSectno"/>
        </w:rPr>
        <w:t>15</w:t>
      </w:r>
      <w:r>
        <w:t>.</w:t>
      </w:r>
      <w:r>
        <w:tab/>
        <w:t>Acceptance, tabling and publication</w:t>
      </w:r>
      <w:bookmarkEnd w:id="34"/>
    </w:p>
    <w:p>
      <w:pPr>
        <w:pStyle w:val="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Subsection"/>
      </w:pPr>
      <w:r>
        <w:tab/>
        <w:t>(2)</w:t>
      </w:r>
      <w:r>
        <w:tab/>
        <w:t>The Premier cannot return a strategy to Infrastructure WA more than once.</w:t>
      </w:r>
    </w:p>
    <w:p>
      <w:pPr>
        <w:pStyle w:val="Subsection"/>
      </w:pPr>
      <w:r>
        <w:lastRenderedPageBreak/>
        <w:tab/>
        <w:t>(3)</w:t>
      </w:r>
      <w:r>
        <w:tab/>
        <w:t xml:space="preserve">If the Premier returns a strategy to Infrastructure WA — </w:t>
      </w:r>
    </w:p>
    <w:p>
      <w:pPr>
        <w:pStyle w:val="Indenta"/>
      </w:pPr>
      <w:r>
        <w:tab/>
        <w:t>(a)</w:t>
      </w:r>
      <w:r>
        <w:tab/>
        <w:t>the Premier must provide in writing the Premier’s feedback on the strategy; and</w:t>
      </w:r>
    </w:p>
    <w:p>
      <w:pPr>
        <w:pStyle w:val="Indenta"/>
      </w:pPr>
      <w:r>
        <w:tab/>
        <w:t>(b)</w:t>
      </w:r>
      <w:r>
        <w:tab/>
        <w:t>Infrastructure WA must respond to the feedback, either in the re</w:t>
      </w:r>
      <w:r>
        <w:noBreakHyphen/>
        <w:t>submitted strategy or in a separate document.</w:t>
      </w:r>
    </w:p>
    <w:p>
      <w:pPr>
        <w:pStyle w:val="Subsection"/>
        <w:keepNext/>
      </w:pPr>
      <w:r>
        <w:tab/>
        <w:t>(4)</w:t>
      </w:r>
      <w:r>
        <w:tab/>
        <w:t>The Premier must, within 28 days of acceptance or re</w:t>
      </w:r>
      <w:r>
        <w:noBreakHyphen/>
        <w:t xml:space="preserve">submission of a strategy, cause the strategy to be — </w:t>
      </w:r>
    </w:p>
    <w:p>
      <w:pPr>
        <w:pStyle w:val="Indenta"/>
        <w:keepNext/>
      </w:pPr>
      <w:r>
        <w:tab/>
        <w:t>(a)</w:t>
      </w:r>
      <w:r>
        <w:tab/>
        <w:t>laid before each House of Parliament; and</w:t>
      </w:r>
    </w:p>
    <w:p>
      <w:pPr>
        <w:pStyle w:val="Indenta"/>
      </w:pPr>
      <w:r>
        <w:tab/>
        <w:t>(b)</w:t>
      </w:r>
      <w:r>
        <w:tab/>
        <w:t>made publicly available.</w:t>
      </w:r>
    </w:p>
    <w:p>
      <w:pPr>
        <w:pStyle w:val="Heading5"/>
      </w:pPr>
      <w:bookmarkStart w:id="35" w:name="_Toc91065897"/>
      <w:r>
        <w:rPr>
          <w:rStyle w:val="CharSectno"/>
        </w:rPr>
        <w:t>16</w:t>
      </w:r>
      <w:r>
        <w:t>.</w:t>
      </w:r>
      <w:r>
        <w:tab/>
        <w:t>Government response</w:t>
      </w:r>
      <w:bookmarkEnd w:id="35"/>
    </w:p>
    <w:p>
      <w:pPr>
        <w:pStyle w:val="Subsection"/>
      </w:pPr>
      <w:r>
        <w:tab/>
        <w:t>(1)</w:t>
      </w:r>
      <w:r>
        <w:tab/>
        <w:t>The Premier must prepare a response to each State Infrastructure Strategy laid before Parliament.</w:t>
      </w:r>
    </w:p>
    <w:p>
      <w:pPr>
        <w:pStyle w:val="Subsection"/>
      </w:pPr>
      <w:r>
        <w:tab/>
        <w:t>(2)</w:t>
      </w:r>
      <w:r>
        <w:tab/>
        <w:t xml:space="preserve">The response must include — </w:t>
      </w:r>
    </w:p>
    <w:p>
      <w:pPr>
        <w:pStyle w:val="Indenta"/>
      </w:pPr>
      <w:r>
        <w:tab/>
        <w:t>(a)</w:t>
      </w:r>
      <w:r>
        <w:tab/>
        <w:t>an indication of the extent to which each recommendation in the strategy is supported by the Government; and</w:t>
      </w:r>
    </w:p>
    <w:p>
      <w:pPr>
        <w:pStyle w:val="Indenta"/>
      </w:pPr>
      <w:r>
        <w:tab/>
        <w:t>(b)</w:t>
      </w:r>
      <w:r>
        <w:tab/>
        <w:t>for each recommendation that is not fully supported — reasons why it is not fully supported.</w:t>
      </w:r>
    </w:p>
    <w:p>
      <w:pPr>
        <w:pStyle w:val="Subsection"/>
      </w:pPr>
      <w:r>
        <w:tab/>
        <w:t>(3)</w:t>
      </w:r>
      <w:r>
        <w:tab/>
        <w:t xml:space="preserve">The Premier must, within 6 months after the day on which the strategy is laid before Parliament, cause the response to be — </w:t>
      </w:r>
    </w:p>
    <w:p>
      <w:pPr>
        <w:pStyle w:val="Indenta"/>
      </w:pPr>
      <w:r>
        <w:tab/>
        <w:t>(a)</w:t>
      </w:r>
      <w:r>
        <w:tab/>
        <w:t>laid before each House of Parliament; and</w:t>
      </w:r>
    </w:p>
    <w:p>
      <w:pPr>
        <w:pStyle w:val="Indenta"/>
      </w:pPr>
      <w:r>
        <w:tab/>
        <w:t>(b)</w:t>
      </w:r>
      <w:r>
        <w:tab/>
        <w:t>made publicly available.</w:t>
      </w:r>
    </w:p>
    <w:p>
      <w:pPr>
        <w:pStyle w:val="Subsection"/>
      </w:pPr>
      <w:r>
        <w:tab/>
        <w:t>(4)</w:t>
      </w:r>
      <w:r>
        <w:tab/>
        <w:t xml:space="preserve">For the purposes of subsection (3), the day on which the strategy is laid before Parliament is — </w:t>
      </w:r>
    </w:p>
    <w:p>
      <w:pPr>
        <w:pStyle w:val="Indenta"/>
      </w:pPr>
      <w:r>
        <w:tab/>
        <w:t>(a)</w:t>
      </w:r>
      <w:r>
        <w:tab/>
        <w:t>the day on which it is laid before both Houses; or</w:t>
      </w:r>
    </w:p>
    <w:p>
      <w:pPr>
        <w:pStyle w:val="Indenta"/>
      </w:pPr>
      <w:r>
        <w:tab/>
        <w:t>(b)</w:t>
      </w:r>
      <w:r>
        <w:tab/>
        <w:t>if it is laid before the Houses on different days — the 2</w:t>
      </w:r>
      <w:r>
        <w:rPr>
          <w:vertAlign w:val="superscript"/>
        </w:rPr>
        <w:t>nd</w:t>
      </w:r>
      <w:r>
        <w:t xml:space="preserve"> of those days.</w:t>
      </w:r>
    </w:p>
    <w:p>
      <w:pPr>
        <w:pStyle w:val="Subsection"/>
      </w:pPr>
      <w:r>
        <w:tab/>
        <w:t>(5)</w:t>
      </w:r>
      <w:r>
        <w:tab/>
        <w:t>The Premier may amend the response at any time after it is laid before Parliament.</w:t>
      </w:r>
    </w:p>
    <w:p>
      <w:pPr>
        <w:pStyle w:val="Subsection"/>
      </w:pPr>
      <w:r>
        <w:lastRenderedPageBreak/>
        <w:tab/>
        <w:t>(6)</w:t>
      </w:r>
      <w:r>
        <w:tab/>
        <w:t xml:space="preserve">An amendment cannot have effect until the amended response is — </w:t>
      </w:r>
    </w:p>
    <w:p>
      <w:pPr>
        <w:pStyle w:val="Indenta"/>
      </w:pPr>
      <w:r>
        <w:tab/>
        <w:t>(a)</w:t>
      </w:r>
      <w:r>
        <w:tab/>
        <w:t>laid before each House of Parliament; and</w:t>
      </w:r>
    </w:p>
    <w:p>
      <w:pPr>
        <w:pStyle w:val="Indenta"/>
      </w:pPr>
      <w:r>
        <w:tab/>
        <w:t>(b)</w:t>
      </w:r>
      <w:r>
        <w:tab/>
        <w:t>made publicly available.</w:t>
      </w:r>
    </w:p>
    <w:p>
      <w:pPr>
        <w:pStyle w:val="Heading5"/>
      </w:pPr>
      <w:bookmarkStart w:id="36" w:name="_Toc91065898"/>
      <w:r>
        <w:rPr>
          <w:rStyle w:val="CharSectno"/>
        </w:rPr>
        <w:t>17</w:t>
      </w:r>
      <w:r>
        <w:t>.</w:t>
      </w:r>
      <w:r>
        <w:tab/>
        <w:t>Amendment</w:t>
      </w:r>
      <w:bookmarkEnd w:id="36"/>
    </w:p>
    <w:p>
      <w:pPr>
        <w:pStyle w:val="Subsection"/>
      </w:pPr>
      <w:r>
        <w:tab/>
        <w:t>(1)</w:t>
      </w:r>
      <w:r>
        <w:tab/>
        <w:t>Infrastructure WA may, from time to time, prepare and submit to the Premier amendments to the State Infrastructure Strategy.</w:t>
      </w:r>
    </w:p>
    <w:p>
      <w:pPr>
        <w:pStyle w:val="Subsection"/>
      </w:pPr>
      <w:r>
        <w:tab/>
        <w:t>(2)</w:t>
      </w:r>
      <w:r>
        <w:tab/>
        <w:t>Sections 13(4), 15 and 16 apply with the necessary modifications.</w:t>
      </w:r>
    </w:p>
    <w:p>
      <w:pPr>
        <w:pStyle w:val="Ednotedivision"/>
      </w:pPr>
      <w:r>
        <w:t>[Division 2 has not come into operation.]</w:t>
      </w:r>
    </w:p>
    <w:p>
      <w:pPr>
        <w:pStyle w:val="Heading3"/>
      </w:pPr>
      <w:bookmarkStart w:id="37" w:name="_Toc12358145"/>
      <w:bookmarkStart w:id="38" w:name="_Toc12358587"/>
      <w:bookmarkStart w:id="39" w:name="_Toc30754728"/>
      <w:bookmarkStart w:id="40" w:name="_Toc90994374"/>
      <w:bookmarkStart w:id="41" w:name="_Toc90994513"/>
      <w:bookmarkStart w:id="42" w:name="_Toc91065899"/>
      <w:bookmarkStart w:id="43" w:name="_Toc90993901"/>
      <w:r>
        <w:rPr>
          <w:rStyle w:val="CharDivNo"/>
        </w:rPr>
        <w:t>Division 3</w:t>
      </w:r>
      <w:r>
        <w:t> — </w:t>
      </w:r>
      <w:r>
        <w:rPr>
          <w:rStyle w:val="CharDivText"/>
        </w:rPr>
        <w:t>Major infrastructure proposals</w:t>
      </w:r>
      <w:bookmarkEnd w:id="37"/>
      <w:bookmarkEnd w:id="38"/>
      <w:bookmarkEnd w:id="39"/>
      <w:bookmarkEnd w:id="40"/>
      <w:bookmarkEnd w:id="41"/>
      <w:bookmarkEnd w:id="42"/>
    </w:p>
    <w:p>
      <w:pPr>
        <w:pStyle w:val="Heading5"/>
      </w:pPr>
      <w:bookmarkStart w:id="44" w:name="_Toc30754729"/>
      <w:bookmarkStart w:id="45" w:name="_Toc91065900"/>
      <w:r>
        <w:rPr>
          <w:rStyle w:val="CharSectno"/>
        </w:rPr>
        <w:t>19</w:t>
      </w:r>
      <w:r>
        <w:t>.</w:t>
      </w:r>
      <w:r>
        <w:tab/>
        <w:t>Infrastructure WA to assess major infrastructure proposals prior to investment decision</w:t>
      </w:r>
      <w:bookmarkEnd w:id="44"/>
      <w:bookmarkEnd w:id="45"/>
    </w:p>
    <w:p>
      <w:pPr>
        <w:pStyle w:val="Subsection"/>
      </w:pPr>
      <w:r>
        <w:tab/>
        <w:t>(1)</w:t>
      </w:r>
      <w:r>
        <w:tab/>
        <w:t xml:space="preserve">This section applies to a major infrastructure proposal of a State agency, whether or not — </w:t>
      </w:r>
    </w:p>
    <w:p>
      <w:pPr>
        <w:pStyle w:val="Indenta"/>
      </w:pPr>
      <w:r>
        <w:tab/>
        <w:t>(a)</w:t>
      </w:r>
      <w:r>
        <w:tab/>
        <w:t>funding for the proposal is or will be sought from the Crown or is to be provided by a State agency; or</w:t>
      </w:r>
    </w:p>
    <w:p>
      <w:pPr>
        <w:pStyle w:val="Indenta"/>
      </w:pPr>
      <w:r>
        <w:tab/>
        <w:t>(b)</w:t>
      </w:r>
      <w:r>
        <w:tab/>
        <w:t>the proposal is intended to result in the infrastructure being held by the Crown or a State agency; or</w:t>
      </w:r>
    </w:p>
    <w:p>
      <w:pPr>
        <w:pStyle w:val="Indenta"/>
      </w:pPr>
      <w:r>
        <w:tab/>
        <w:t>(c)</w:t>
      </w:r>
      <w:r>
        <w:tab/>
        <w:t>the proposal is a joint proposal.</w:t>
      </w:r>
    </w:p>
    <w:p>
      <w:pPr>
        <w:pStyle w:val="Subsection"/>
      </w:pPr>
      <w:r>
        <w:tab/>
        <w:t>(2)</w:t>
      </w:r>
      <w:r>
        <w:tab/>
        <w:t>The major infrastructure proposal must be submitted to Infrastructure WA, and Infrastructure WA’s report on the proposal must be received by the Premier, prior to the investment decision for the proposal.</w:t>
      </w:r>
    </w:p>
    <w:p>
      <w:pPr>
        <w:pStyle w:val="Subsection"/>
      </w:pPr>
      <w:r>
        <w:tab/>
        <w:t>(3)</w:t>
      </w:r>
      <w:r>
        <w:tab/>
        <w:t xml:space="preserve">In subsection (2) — </w:t>
      </w:r>
    </w:p>
    <w:p>
      <w:pPr>
        <w:pStyle w:val="Defstart"/>
      </w:pPr>
      <w:r>
        <w:tab/>
      </w:r>
      <w:r>
        <w:rPr>
          <w:rStyle w:val="CharDefText"/>
        </w:rPr>
        <w:t>investment decision</w:t>
      </w:r>
      <w:r>
        <w:t>, in relation to a proposal of a State agency, means the decision by the Government or the State agency to implement the proposal.</w:t>
      </w:r>
    </w:p>
    <w:p>
      <w:pPr>
        <w:pStyle w:val="Subsection"/>
      </w:pPr>
      <w:r>
        <w:lastRenderedPageBreak/>
        <w:tab/>
        <w:t>(4)</w:t>
      </w:r>
      <w:r>
        <w:tab/>
        <w:t>Infrastructure WA must assess each proposal submitted to it in accordance with its assessment guidelines, and prepare, and give to the Premier, a report on the proposal and a high</w:t>
      </w:r>
      <w:r>
        <w:noBreakHyphen/>
        <w:t>level summary of the report.</w:t>
      </w:r>
    </w:p>
    <w:p>
      <w:pPr>
        <w:pStyle w:val="Subsection"/>
      </w:pPr>
      <w:r>
        <w:tab/>
        <w:t>(5)</w:t>
      </w:r>
      <w:r>
        <w:tab/>
        <w:t>This section has effect despite any other written law.</w:t>
      </w:r>
    </w:p>
    <w:p>
      <w:pPr>
        <w:pStyle w:val="Subsection"/>
      </w:pPr>
      <w:r>
        <w:tab/>
        <w:t>(6)</w:t>
      </w:r>
      <w:r>
        <w:tab/>
        <w:t>However, a failure to comply with this section does not affect the validity of any decision made or other thing done in relation to a proposal.</w:t>
      </w:r>
    </w:p>
    <w:p>
      <w:pPr>
        <w:pStyle w:val="Subsection"/>
      </w:pPr>
      <w:r>
        <w:tab/>
        <w:t>(7)</w:t>
      </w:r>
      <w:r>
        <w:tab/>
        <w:t>Infrastructure WA may exempt a proposal from the application of this section.</w:t>
      </w:r>
    </w:p>
    <w:p>
      <w:pPr>
        <w:pStyle w:val="Heading5"/>
      </w:pPr>
      <w:bookmarkStart w:id="46" w:name="_Toc30754730"/>
      <w:bookmarkStart w:id="47" w:name="_Toc91065901"/>
      <w:r>
        <w:rPr>
          <w:rStyle w:val="CharSectno"/>
        </w:rPr>
        <w:t>20</w:t>
      </w:r>
      <w:r>
        <w:t>.</w:t>
      </w:r>
      <w:r>
        <w:tab/>
        <w:t>Timing of assessment of major infrastructure proposals</w:t>
      </w:r>
      <w:bookmarkEnd w:id="46"/>
      <w:bookmarkEnd w:id="47"/>
    </w:p>
    <w:p>
      <w:pPr>
        <w:pStyle w:val="Subsection"/>
      </w:pPr>
      <w:r>
        <w:tab/>
        <w:t>(1)</w:t>
      </w:r>
      <w:r>
        <w:tab/>
        <w:t>In relation to a major infrastructure proposal to which section 19 applies, Infrastructure WA and the State agency must negotiate as to the timeframe for reporting on the proposal.</w:t>
      </w:r>
    </w:p>
    <w:p>
      <w:pPr>
        <w:pStyle w:val="Subsection"/>
      </w:pPr>
      <w:r>
        <w:tab/>
        <w:t>(2)</w:t>
      </w:r>
      <w:r>
        <w:tab/>
        <w:t xml:space="preserve">The regulations may deal with timeframes for reporting on major infrastructure proposals under section 19, including by — </w:t>
      </w:r>
    </w:p>
    <w:p>
      <w:pPr>
        <w:pStyle w:val="Indenta"/>
      </w:pPr>
      <w:r>
        <w:tab/>
        <w:t>(a)</w:t>
      </w:r>
      <w:r>
        <w:tab/>
        <w:t>providing for and in relation to negotiated timeframes; and</w:t>
      </w:r>
    </w:p>
    <w:p>
      <w:pPr>
        <w:pStyle w:val="Indenta"/>
      </w:pPr>
      <w:r>
        <w:tab/>
        <w:t>(b)</w:t>
      </w:r>
      <w:r>
        <w:tab/>
        <w:t>setting default timeframes.</w:t>
      </w:r>
    </w:p>
    <w:p>
      <w:pPr>
        <w:pStyle w:val="Heading5"/>
      </w:pPr>
      <w:bookmarkStart w:id="48" w:name="_Toc30754731"/>
      <w:bookmarkStart w:id="49" w:name="_Toc91065902"/>
      <w:r>
        <w:rPr>
          <w:rStyle w:val="CharSectno"/>
        </w:rPr>
        <w:t>21</w:t>
      </w:r>
      <w:r>
        <w:t>.</w:t>
      </w:r>
      <w:r>
        <w:tab/>
        <w:t>Guidelines and summary reports</w:t>
      </w:r>
      <w:bookmarkEnd w:id="48"/>
      <w:bookmarkEnd w:id="49"/>
    </w:p>
    <w:p>
      <w:pPr>
        <w:pStyle w:val="Subsection"/>
      </w:pPr>
      <w:r>
        <w:tab/>
        <w:t>(1)</w:t>
      </w:r>
      <w:r>
        <w:tab/>
        <w:t>Infrastructure WA must, in consultation with the Premier, prepare guidelines indicating how it will assess major infrastructure proposals.</w:t>
      </w:r>
    </w:p>
    <w:p>
      <w:pPr>
        <w:pStyle w:val="Subsection"/>
      </w:pPr>
      <w:r>
        <w:tab/>
        <w:t>(2)</w:t>
      </w:r>
      <w:r>
        <w:tab/>
        <w:t>Infrastructure WA must make the guidelines, as they have effect from time to time, publicly available.</w:t>
      </w:r>
    </w:p>
    <w:p>
      <w:pPr>
        <w:pStyle w:val="Subsection"/>
      </w:pPr>
      <w:r>
        <w:tab/>
        <w:t>(3)</w:t>
      </w:r>
      <w:r>
        <w:tab/>
        <w:t>For each report given to the Premier under section 19, the Premier must make the summary of the report publicly available within 6 months after the day on which the report is given to the Premier.</w:t>
      </w:r>
    </w:p>
    <w:p>
      <w:pPr>
        <w:pStyle w:val="Subsection"/>
      </w:pPr>
      <w:r>
        <w:lastRenderedPageBreak/>
        <w:tab/>
        <w:t>(4)</w:t>
      </w:r>
      <w:r>
        <w:tab/>
        <w:t>If the Premier does not make the summary publicly available within the 6 months, Infrastructure WA must make the summary publicly available.</w:t>
      </w:r>
    </w:p>
    <w:p>
      <w:pPr>
        <w:pStyle w:val="Heading3"/>
      </w:pPr>
      <w:bookmarkStart w:id="50" w:name="_Toc90994378"/>
      <w:bookmarkStart w:id="51" w:name="_Toc90994517"/>
      <w:bookmarkStart w:id="52" w:name="_Toc91065903"/>
      <w:r>
        <w:rPr>
          <w:rStyle w:val="CharDivNo"/>
        </w:rPr>
        <w:t>Division 4</w:t>
      </w:r>
      <w:r>
        <w:t> — </w:t>
      </w:r>
      <w:r>
        <w:rPr>
          <w:rStyle w:val="CharDivText"/>
        </w:rPr>
        <w:t>Obligations of State agencies</w:t>
      </w:r>
      <w:bookmarkEnd w:id="43"/>
      <w:bookmarkEnd w:id="50"/>
      <w:bookmarkEnd w:id="51"/>
      <w:bookmarkEnd w:id="52"/>
    </w:p>
    <w:p>
      <w:pPr>
        <w:pStyle w:val="Heading5"/>
      </w:pPr>
      <w:bookmarkStart w:id="53" w:name="_Toc91065904"/>
      <w:r>
        <w:rPr>
          <w:rStyle w:val="CharSectno"/>
        </w:rPr>
        <w:t>22</w:t>
      </w:r>
      <w:r>
        <w:t>.</w:t>
      </w:r>
      <w:r>
        <w:tab/>
        <w:t>State agencies to provide information to Infrastructure WA</w:t>
      </w:r>
      <w:bookmarkEnd w:id="53"/>
    </w:p>
    <w:p>
      <w:pPr>
        <w:pStyle w:val="Subsection"/>
      </w:pPr>
      <w:r>
        <w:tab/>
        <w:t>(1)</w:t>
      </w:r>
      <w:r>
        <w:tab/>
        <w:t>Infrastructure WA may request a State agency to give it any information it requires for the purposes of performing its functions under this Act.</w:t>
      </w:r>
    </w:p>
    <w:p>
      <w:pPr>
        <w:pStyle w:val="Subsection"/>
      </w:pPr>
      <w:r>
        <w:tab/>
        <w:t>(2)</w:t>
      </w:r>
      <w:r>
        <w:tab/>
        <w:t>A request must be in writing if the agency requests that.</w:t>
      </w:r>
    </w:p>
    <w:p>
      <w:pPr>
        <w:pStyle w:val="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Subsection"/>
      </w:pPr>
      <w:r>
        <w:tab/>
        <w:t>(4)</w:t>
      </w:r>
      <w:r>
        <w:tab/>
        <w:t xml:space="preserve">When identifying information for the purposes of subsection (3), a State agency must — </w:t>
      </w:r>
    </w:p>
    <w:p>
      <w:pPr>
        <w:pStyle w:val="Indenta"/>
      </w:pPr>
      <w:r>
        <w:tab/>
        <w:t>(a)</w:t>
      </w:r>
      <w:r>
        <w:tab/>
        <w:t>do so in writing; and</w:t>
      </w:r>
    </w:p>
    <w:p>
      <w:pPr>
        <w:pStyle w:val="Indenta"/>
      </w:pPr>
      <w:r>
        <w:tab/>
        <w:t>(b)</w:t>
      </w:r>
      <w:r>
        <w:tab/>
        <w:t>be as specific as practicable; and</w:t>
      </w:r>
    </w:p>
    <w:p>
      <w:pPr>
        <w:pStyle w:val="Indenta"/>
      </w:pPr>
      <w:r>
        <w:tab/>
        <w:t>(c)</w:t>
      </w:r>
      <w:r>
        <w:tab/>
        <w:t>give reasons.</w:t>
      </w:r>
    </w:p>
    <w:p>
      <w:pPr>
        <w:pStyle w:val="Subsection"/>
        <w:keepNext/>
      </w:pPr>
      <w:r>
        <w:tab/>
        <w:t>(5)</w:t>
      </w:r>
      <w:r>
        <w:tab/>
        <w:t xml:space="preserve">A State agency is not required to give information if, in the opinion of the agency — </w:t>
      </w:r>
    </w:p>
    <w:p>
      <w:pPr>
        <w:pStyle w:val="Indenta"/>
      </w:pPr>
      <w:r>
        <w:tab/>
        <w:t>(a)</w:t>
      </w:r>
      <w:r>
        <w:tab/>
        <w:t>the information relates to an investigative, law enforcement or complaints handling function of the agency; or</w:t>
      </w:r>
    </w:p>
    <w:p>
      <w:pPr>
        <w:pStyle w:val="Indenta"/>
      </w:pPr>
      <w:r>
        <w:tab/>
        <w:t>(b)</w:t>
      </w:r>
      <w:r>
        <w:tab/>
        <w:t>the information is subject to legal professional privilege; or</w:t>
      </w:r>
    </w:p>
    <w:p>
      <w:pPr>
        <w:pStyle w:val="Indenta"/>
      </w:pPr>
      <w:r>
        <w:tab/>
        <w:t>(c)</w:t>
      </w:r>
      <w:r>
        <w:tab/>
        <w:t>giving the information would be in contempt of court or contravene an order or direction of a person or body acting judicially.</w:t>
      </w:r>
    </w:p>
    <w:p>
      <w:pPr>
        <w:pStyle w:val="Subsection"/>
      </w:pPr>
      <w:r>
        <w:tab/>
        <w:t>(6)</w:t>
      </w:r>
      <w:r>
        <w:tab/>
        <w:t>A State agency that does not give information in reliance on subsection (5), must give written reasons.</w:t>
      </w:r>
    </w:p>
    <w:p>
      <w:pPr>
        <w:pStyle w:val="Subsection"/>
      </w:pPr>
      <w:r>
        <w:lastRenderedPageBreak/>
        <w:tab/>
        <w:t>(7)</w:t>
      </w:r>
      <w:r>
        <w:tab/>
        <w:t>If a State agency that is a department of the Public Service has a function or may form an opinion under this section the chief executive officer of the department has the function or may form the opinion.</w:t>
      </w:r>
    </w:p>
    <w:p>
      <w:pPr>
        <w:pStyle w:val="Heading5"/>
      </w:pPr>
      <w:bookmarkStart w:id="54" w:name="_Toc91065905"/>
      <w:r>
        <w:rPr>
          <w:rStyle w:val="CharSectno"/>
        </w:rPr>
        <w:t>23</w:t>
      </w:r>
      <w:r>
        <w:t>.</w:t>
      </w:r>
      <w:r>
        <w:tab/>
        <w:t>Obligations of State agencies</w:t>
      </w:r>
      <w:bookmarkEnd w:id="54"/>
    </w:p>
    <w:p>
      <w:pPr>
        <w:pStyle w:val="Subsection"/>
      </w:pPr>
      <w:r>
        <w:tab/>
        <w:t>(1)</w:t>
      </w:r>
      <w:r>
        <w:tab/>
        <w:t xml:space="preserve">A State agency has the following obligations — </w:t>
      </w:r>
    </w:p>
    <w:p>
      <w:pPr>
        <w:pStyle w:val="Indenta"/>
      </w:pPr>
      <w:r>
        <w:tab/>
        <w:t>(a)</w:t>
      </w:r>
      <w:r>
        <w:tab/>
        <w:t>to cooperate with Infrastructure WA in the performance of Infrastructure WA’s functions;</w:t>
      </w:r>
    </w:p>
    <w:p>
      <w:pPr>
        <w:pStyle w:val="Indenta"/>
      </w:pPr>
      <w:r>
        <w:tab/>
        <w:t>(b)</w:t>
      </w:r>
      <w:r>
        <w:tab/>
        <w:t xml:space="preserve">to comply in a timely manner with — </w:t>
      </w:r>
    </w:p>
    <w:p>
      <w:pPr>
        <w:pStyle w:val="Indenti"/>
      </w:pPr>
      <w:r>
        <w:tab/>
        <w:t>(i)</w:t>
      </w:r>
      <w:r>
        <w:tab/>
        <w:t>requests for information under section 22, subject to section 22(5); and</w:t>
      </w:r>
    </w:p>
    <w:p>
      <w:pPr>
        <w:pStyle w:val="Indenti"/>
      </w:pPr>
      <w:r>
        <w:tab/>
        <w:t>(ii)</w:t>
      </w:r>
      <w:r>
        <w:tab/>
        <w:t>the requirements of section 22(4) and (6), when relevant;</w:t>
      </w:r>
    </w:p>
    <w:p>
      <w:pPr>
        <w:pStyle w:val="Indenta"/>
      </w:pPr>
      <w:r>
        <w:tab/>
        <w:t>(c)</w:t>
      </w:r>
      <w:r>
        <w:tab/>
        <w:t xml:space="preserve">to align its strategies, plans and policies with, and implement — </w:t>
      </w:r>
    </w:p>
    <w:p>
      <w:pPr>
        <w:pStyle w:val="Indenti"/>
      </w:pPr>
      <w:r>
        <w:tab/>
        <w:t>(i)</w:t>
      </w:r>
      <w:r>
        <w:tab/>
        <w:t>the recommendations in the State Infrastructure Strategy that are relevant to the agency, to the extent to which the recommendations are supported by the current Government response; and</w:t>
      </w:r>
    </w:p>
    <w:p>
      <w:pPr>
        <w:pStyle w:val="Indenti"/>
      </w:pPr>
      <w:r>
        <w:tab/>
        <w:t>(ii)</w:t>
      </w:r>
      <w:r>
        <w:tab/>
        <w:t>the relevant aspects of the State Infrastructure Programme.</w:t>
      </w:r>
    </w:p>
    <w:p>
      <w:pPr>
        <w:pStyle w:val="Subsection"/>
      </w:pPr>
      <w:r>
        <w:tab/>
        <w:t>(2)</w:t>
      </w:r>
      <w:r>
        <w:tab/>
        <w:t>To the extent to which there is inconsistency between the Government response and the State Infrastructure Programme, the more recent prevails for the purposes of subsection (1)(c).</w:t>
      </w:r>
    </w:p>
    <w:p>
      <w:pPr>
        <w:pStyle w:val="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Subsection"/>
      </w:pPr>
      <w:r>
        <w:lastRenderedPageBreak/>
        <w:tab/>
        <w:t>(4)</w:t>
      </w:r>
      <w:r>
        <w:tab/>
        <w:t>If a State agency that is a department of the Public Service has an obligation under this section the chief executive officer of the department has the obligation.</w:t>
      </w:r>
    </w:p>
    <w:p>
      <w:pPr>
        <w:pStyle w:val="Subsection"/>
      </w:pPr>
      <w:r>
        <w:tab/>
        <w:t>(5)</w:t>
      </w:r>
      <w:r>
        <w:tab/>
        <w:t>No civil or criminal liability attaches to a State agency or any other person, and no invalidity arises, only because the agency or person has not complied with an obligation under this section.</w:t>
      </w:r>
    </w:p>
    <w:p>
      <w:pPr>
        <w:pStyle w:val="Heading3"/>
      </w:pPr>
      <w:bookmarkStart w:id="55" w:name="_Toc90993904"/>
      <w:bookmarkStart w:id="56" w:name="_Toc90994381"/>
      <w:bookmarkStart w:id="57" w:name="_Toc90994520"/>
      <w:bookmarkStart w:id="58" w:name="_Toc91065906"/>
      <w:r>
        <w:rPr>
          <w:rStyle w:val="CharDivNo"/>
        </w:rPr>
        <w:t>Division 5</w:t>
      </w:r>
      <w:r>
        <w:t> — </w:t>
      </w:r>
      <w:r>
        <w:rPr>
          <w:rStyle w:val="CharDivText"/>
        </w:rPr>
        <w:t>Implementation of State Infrastructure Strategy</w:t>
      </w:r>
      <w:bookmarkEnd w:id="55"/>
      <w:bookmarkEnd w:id="56"/>
      <w:bookmarkEnd w:id="57"/>
      <w:bookmarkEnd w:id="58"/>
    </w:p>
    <w:p>
      <w:pPr>
        <w:pStyle w:val="Heading5"/>
      </w:pPr>
      <w:bookmarkStart w:id="59" w:name="_Toc91065907"/>
      <w:r>
        <w:rPr>
          <w:rStyle w:val="CharSectno"/>
        </w:rPr>
        <w:t>24</w:t>
      </w:r>
      <w:r>
        <w:t>.</w:t>
      </w:r>
      <w:r>
        <w:tab/>
        <w:t>Report on implementation of State Infrastructure Strategy</w:t>
      </w:r>
      <w:bookmarkEnd w:id="59"/>
    </w:p>
    <w:p>
      <w:pPr>
        <w:pStyle w:val="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Subsection"/>
      </w:pPr>
      <w:r>
        <w:tab/>
        <w:t>(2)</w:t>
      </w:r>
      <w:r>
        <w:tab/>
        <w:t>Infrastructure WA must make the reports publicly available.</w:t>
      </w:r>
    </w:p>
    <w:p>
      <w:pPr>
        <w:pStyle w:val="Heading2"/>
      </w:pPr>
      <w:bookmarkStart w:id="60" w:name="_Toc90993906"/>
      <w:bookmarkStart w:id="61" w:name="_Toc90994383"/>
      <w:bookmarkStart w:id="62" w:name="_Toc90994522"/>
      <w:bookmarkStart w:id="63" w:name="_Toc91065908"/>
      <w:r>
        <w:rPr>
          <w:rStyle w:val="CharPartNo"/>
        </w:rPr>
        <w:lastRenderedPageBreak/>
        <w:t>Part 4</w:t>
      </w:r>
      <w:r>
        <w:t> — </w:t>
      </w:r>
      <w:r>
        <w:rPr>
          <w:rStyle w:val="CharPartText"/>
        </w:rPr>
        <w:t>Governance and administration</w:t>
      </w:r>
      <w:bookmarkEnd w:id="60"/>
      <w:bookmarkEnd w:id="61"/>
      <w:bookmarkEnd w:id="62"/>
      <w:bookmarkEnd w:id="63"/>
    </w:p>
    <w:p>
      <w:pPr>
        <w:pStyle w:val="Heading3"/>
      </w:pPr>
      <w:bookmarkStart w:id="64" w:name="_Toc90993907"/>
      <w:bookmarkStart w:id="65" w:name="_Toc90994384"/>
      <w:bookmarkStart w:id="66" w:name="_Toc90994523"/>
      <w:bookmarkStart w:id="67" w:name="_Toc91065909"/>
      <w:r>
        <w:rPr>
          <w:rStyle w:val="CharDivNo"/>
        </w:rPr>
        <w:t>Division 1</w:t>
      </w:r>
      <w:r>
        <w:t> — </w:t>
      </w:r>
      <w:r>
        <w:rPr>
          <w:rStyle w:val="CharDivText"/>
        </w:rPr>
        <w:t>The Board</w:t>
      </w:r>
      <w:bookmarkEnd w:id="64"/>
      <w:bookmarkEnd w:id="65"/>
      <w:bookmarkEnd w:id="66"/>
      <w:bookmarkEnd w:id="67"/>
    </w:p>
    <w:p>
      <w:pPr>
        <w:pStyle w:val="Heading4"/>
      </w:pPr>
      <w:bookmarkStart w:id="68" w:name="_Toc90993908"/>
      <w:bookmarkStart w:id="69" w:name="_Toc90994385"/>
      <w:bookmarkStart w:id="70" w:name="_Toc90994524"/>
      <w:bookmarkStart w:id="71" w:name="_Toc91065910"/>
      <w:r>
        <w:t>Subdivision 1 — Board constituted</w:t>
      </w:r>
      <w:bookmarkEnd w:id="68"/>
      <w:bookmarkEnd w:id="69"/>
      <w:bookmarkEnd w:id="70"/>
      <w:bookmarkEnd w:id="71"/>
    </w:p>
    <w:p>
      <w:pPr>
        <w:pStyle w:val="Heading5"/>
      </w:pPr>
      <w:bookmarkStart w:id="72" w:name="_Toc91065911"/>
      <w:r>
        <w:rPr>
          <w:rStyle w:val="CharSectno"/>
        </w:rPr>
        <w:t>25</w:t>
      </w:r>
      <w:r>
        <w:t>.</w:t>
      </w:r>
      <w:r>
        <w:tab/>
        <w:t>Board is governing body of Infrastructure WA</w:t>
      </w:r>
      <w:bookmarkEnd w:id="72"/>
    </w:p>
    <w:p>
      <w:pPr>
        <w:pStyle w:val="Subsection"/>
      </w:pPr>
      <w:r>
        <w:tab/>
        <w:t>(1)</w:t>
      </w:r>
      <w:r>
        <w:tab/>
        <w:t>Infrastructure WA is to have a board.</w:t>
      </w:r>
    </w:p>
    <w:p>
      <w:pPr>
        <w:pStyle w:val="Subsection"/>
      </w:pPr>
      <w:r>
        <w:tab/>
        <w:t>(2)</w:t>
      </w:r>
      <w:r>
        <w:tab/>
        <w:t>The Board is Infrastructure WA’s governing body and, in the name of Infrastructure WA, is to perform its functions.</w:t>
      </w:r>
    </w:p>
    <w:p>
      <w:pPr>
        <w:pStyle w:val="Heading5"/>
      </w:pPr>
      <w:bookmarkStart w:id="73" w:name="_Toc91065912"/>
      <w:r>
        <w:rPr>
          <w:rStyle w:val="CharSectno"/>
        </w:rPr>
        <w:t>26</w:t>
      </w:r>
      <w:r>
        <w:t>.</w:t>
      </w:r>
      <w:r>
        <w:tab/>
        <w:t>Board membership</w:t>
      </w:r>
      <w:bookmarkEnd w:id="73"/>
    </w:p>
    <w:p>
      <w:pPr>
        <w:pStyle w:val="Subsection"/>
      </w:pPr>
      <w:r>
        <w:tab/>
        <w:t>(1)</w:t>
      </w:r>
      <w:r>
        <w:tab/>
        <w:t>The Board consists of up to 10 members.</w:t>
      </w:r>
    </w:p>
    <w:p>
      <w:pPr>
        <w:pStyle w:val="Subsection"/>
      </w:pPr>
      <w:r>
        <w:tab/>
        <w:t>(2)</w:t>
      </w:r>
      <w:r>
        <w:tab/>
        <w:t>The Governor may, on the Premier’s recommendation, appoint up to 7 members.</w:t>
      </w:r>
    </w:p>
    <w:p>
      <w:pPr>
        <w:pStyle w:val="Subsection"/>
      </w:pPr>
      <w:r>
        <w:tab/>
        <w:t>(3)</w:t>
      </w:r>
      <w:r>
        <w:tab/>
        <w:t xml:space="preserve">The following are members of the Board — </w:t>
      </w:r>
    </w:p>
    <w:p>
      <w:pPr>
        <w:pStyle w:val="Indenta"/>
      </w:pPr>
      <w:r>
        <w:tab/>
        <w:t>(a)</w:t>
      </w:r>
      <w:r>
        <w:tab/>
        <w:t>the chief executive officer of the Department of the Premier and Cabinet;</w:t>
      </w:r>
    </w:p>
    <w:p>
      <w:pPr>
        <w:pStyle w:val="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Indenta"/>
      </w:pPr>
      <w:r>
        <w:tab/>
        <w:t>(c)</w:t>
      </w:r>
      <w:r>
        <w:tab/>
        <w:t xml:space="preserve">the chief executive officer of the department of the Public Service principally assisting in the administration of the </w:t>
      </w:r>
      <w:r>
        <w:rPr>
          <w:i/>
        </w:rPr>
        <w:t>Planning and Development Act 2005</w:t>
      </w:r>
      <w:r>
        <w:t>.</w:t>
      </w:r>
    </w:p>
    <w:p>
      <w:pPr>
        <w:pStyle w:val="Subsection"/>
      </w:pPr>
      <w:r>
        <w:tab/>
        <w:t>(4)</w:t>
      </w:r>
      <w:r>
        <w:tab/>
        <w:t>The Premier must ensure that the number of Board members who are government employees does not exceed the number of Board members who are not government employees.</w:t>
      </w:r>
    </w:p>
    <w:p>
      <w:pPr>
        <w:pStyle w:val="Subsection"/>
      </w:pPr>
      <w:r>
        <w:tab/>
        <w:t>(5)</w:t>
      </w:r>
      <w:r>
        <w:tab/>
        <w:t>The Premier must ensure that the Board members have, between them, expertise across a broad range of infrastructure sectors.</w:t>
      </w:r>
    </w:p>
    <w:p>
      <w:pPr>
        <w:pStyle w:val="Subsection"/>
      </w:pPr>
      <w:r>
        <w:lastRenderedPageBreak/>
        <w:tab/>
        <w:t>(6)</w:t>
      </w:r>
      <w:r>
        <w:tab/>
        <w:t>Before recommending a person who is not a government employee, the Premier must be satisfied that the person has appropriate expertise in the areas of infrastructure policy, planning, strategy, funding, financing or delivery.</w:t>
      </w:r>
    </w:p>
    <w:p>
      <w:pPr>
        <w:pStyle w:val="Subsection"/>
      </w:pPr>
      <w:r>
        <w:tab/>
        <w:t>(7)</w:t>
      </w:r>
      <w:r>
        <w:tab/>
        <w:t>A person who is a staff member cannot be appointed as a Board member.</w:t>
      </w:r>
    </w:p>
    <w:p>
      <w:pPr>
        <w:pStyle w:val="Subsection"/>
      </w:pPr>
      <w:r>
        <w:tab/>
        <w:t>(8)</w:t>
      </w:r>
      <w:r>
        <w:tab/>
        <w:t>A person who is or has been within the preceding 3 years a member of the Parliament of the Commonwealth or any State or Territory cannot be appointed as a Board member.</w:t>
      </w:r>
    </w:p>
    <w:p>
      <w:pPr>
        <w:pStyle w:val="Heading5"/>
      </w:pPr>
      <w:bookmarkStart w:id="74" w:name="_Toc91065913"/>
      <w:r>
        <w:rPr>
          <w:rStyle w:val="CharSectno"/>
        </w:rPr>
        <w:t>27</w:t>
      </w:r>
      <w:r>
        <w:t>.</w:t>
      </w:r>
      <w:r>
        <w:tab/>
        <w:t>Chairperson and deputy chairperson</w:t>
      </w:r>
      <w:bookmarkEnd w:id="74"/>
    </w:p>
    <w:p>
      <w:pPr>
        <w:pStyle w:val="Subsection"/>
      </w:pPr>
      <w:r>
        <w:tab/>
        <w:t>(1)</w:t>
      </w:r>
      <w:r>
        <w:tab/>
        <w:t>The Governor, on the Premier’s recommendation, must designate a Board member to be the chairperson of the Board and another to be the deputy chairperson of the Board.</w:t>
      </w:r>
    </w:p>
    <w:p>
      <w:pPr>
        <w:pStyle w:val="Subsection"/>
      </w:pPr>
      <w:r>
        <w:tab/>
        <w:t>(2)</w:t>
      </w:r>
      <w:r>
        <w:tab/>
        <w:t>Neither the chairperson nor the deputy chairperson can be a government employee.</w:t>
      </w:r>
    </w:p>
    <w:p>
      <w:pPr>
        <w:pStyle w:val="Subsection"/>
      </w:pPr>
      <w:r>
        <w:tab/>
        <w:t>(3)</w:t>
      </w:r>
      <w:r>
        <w:tab/>
        <w:t>If the chairperson is unable to act or the position of chairperson is vacant, the deputy chairperson is to act in the chairperson’s place.</w:t>
      </w:r>
    </w:p>
    <w:p>
      <w:pPr>
        <w:pStyle w:val="Subsection"/>
      </w:pPr>
      <w:r>
        <w:tab/>
        <w:t>(4)</w:t>
      </w:r>
      <w:r>
        <w:tab/>
        <w:t>An act or omission of the deputy chairperson acting in the chairperson’s place cannot be questioned on the ground that the occasion for acting had not arisen or had ceased.</w:t>
      </w:r>
    </w:p>
    <w:p>
      <w:pPr>
        <w:pStyle w:val="Heading5"/>
      </w:pPr>
      <w:bookmarkStart w:id="75" w:name="_Toc91065914"/>
      <w:r>
        <w:rPr>
          <w:rStyle w:val="CharSectno"/>
        </w:rPr>
        <w:t>28</w:t>
      </w:r>
      <w:r>
        <w:t>.</w:t>
      </w:r>
      <w:r>
        <w:tab/>
        <w:t>Terms and conditions of appointment</w:t>
      </w:r>
      <w:bookmarkEnd w:id="75"/>
    </w:p>
    <w:p>
      <w:pPr>
        <w:pStyle w:val="Subsection"/>
      </w:pPr>
      <w:r>
        <w:tab/>
        <w:t>(1)</w:t>
      </w:r>
      <w:r>
        <w:tab/>
        <w:t>The chairperson may be appointed on a full</w:t>
      </w:r>
      <w:r>
        <w:noBreakHyphen/>
        <w:t>time or part</w:t>
      </w:r>
      <w:r>
        <w:noBreakHyphen/>
        <w:t>time basis.</w:t>
      </w:r>
    </w:p>
    <w:p>
      <w:pPr>
        <w:pStyle w:val="Subsection"/>
      </w:pPr>
      <w:r>
        <w:tab/>
        <w:t>(2)</w:t>
      </w:r>
      <w:r>
        <w:tab/>
        <w:t>An appointed Board member, other than the chairperson, is to be appointed on a part</w:t>
      </w:r>
      <w:r>
        <w:noBreakHyphen/>
        <w:t>time basis.</w:t>
      </w:r>
    </w:p>
    <w:p>
      <w:pPr>
        <w:pStyle w:val="Subsection"/>
      </w:pPr>
      <w:r>
        <w:tab/>
        <w:t>(3)</w:t>
      </w:r>
      <w:r>
        <w:tab/>
        <w:t xml:space="preserve">An appointed Board member — </w:t>
      </w:r>
    </w:p>
    <w:p>
      <w:pPr>
        <w:pStyle w:val="Indenta"/>
      </w:pPr>
      <w:r>
        <w:tab/>
        <w:t>(a)</w:t>
      </w:r>
      <w:r>
        <w:tab/>
        <w:t>holds office for the period, not exceeding 5 years, specified in the instrument of appointment; and</w:t>
      </w:r>
    </w:p>
    <w:p>
      <w:pPr>
        <w:pStyle w:val="Indenta"/>
      </w:pPr>
      <w:r>
        <w:lastRenderedPageBreak/>
        <w:tab/>
        <w:t>(b)</w:t>
      </w:r>
      <w:r>
        <w:tab/>
        <w:t>is eligible for reappointment but cannot hold office for more than 10 consecutive years.</w:t>
      </w:r>
    </w:p>
    <w:p>
      <w:pPr>
        <w:pStyle w:val="Subsection"/>
      </w:pPr>
      <w:r>
        <w:tab/>
        <w:t>(4)</w:t>
      </w:r>
      <w:r>
        <w:tab/>
        <w:t>Subject to this Subdivision, an appointed Board member holds office on the terms and conditions of appointment determined by the Premier.</w:t>
      </w:r>
    </w:p>
    <w:p>
      <w:pPr>
        <w:pStyle w:val="Heading5"/>
        <w:spacing w:before="160"/>
      </w:pPr>
      <w:bookmarkStart w:id="76" w:name="_Toc91065915"/>
      <w:r>
        <w:rPr>
          <w:rStyle w:val="CharSectno"/>
        </w:rPr>
        <w:t>29</w:t>
      </w:r>
      <w:r>
        <w:t>.</w:t>
      </w:r>
      <w:r>
        <w:tab/>
        <w:t>Remuneration and expenses</w:t>
      </w:r>
      <w:bookmarkEnd w:id="76"/>
    </w:p>
    <w:p>
      <w:pPr>
        <w:pStyle w:val="Subsection"/>
        <w:spacing w:before="120"/>
      </w:pPr>
      <w:r>
        <w:tab/>
        <w:t>(1)</w:t>
      </w:r>
      <w:r>
        <w:tab/>
        <w:t>A Board member who is not a government employee is entitled to the remuneration determined by the Premier from time to time on the recommendation of the Public Sector Commissioner.</w:t>
      </w:r>
    </w:p>
    <w:p>
      <w:pPr>
        <w:pStyle w:val="Subsection"/>
        <w:spacing w:before="120"/>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Heading5"/>
        <w:spacing w:before="160"/>
      </w:pPr>
      <w:bookmarkStart w:id="77" w:name="_Toc91065916"/>
      <w:r>
        <w:rPr>
          <w:rStyle w:val="CharSectno"/>
        </w:rPr>
        <w:t>30</w:t>
      </w:r>
      <w:r>
        <w:t>.</w:t>
      </w:r>
      <w:r>
        <w:tab/>
        <w:t>Casual vacancies</w:t>
      </w:r>
      <w:bookmarkEnd w:id="77"/>
    </w:p>
    <w:p>
      <w:pPr>
        <w:pStyle w:val="Subsection"/>
        <w:spacing w:before="120"/>
      </w:pPr>
      <w:r>
        <w:tab/>
        <w:t>(1)</w:t>
      </w:r>
      <w:r>
        <w:tab/>
        <w:t>The office of a Board member becomes vacant if the member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45(1) or (2).</w:t>
      </w:r>
    </w:p>
    <w:p>
      <w:pPr>
        <w:pStyle w:val="Subsection"/>
        <w:spacing w:before="120"/>
      </w:pPr>
      <w:r>
        <w:tab/>
        <w:t>(2)</w:t>
      </w:r>
      <w:r>
        <w:tab/>
        <w:t>An appointed Board member may at any time resign from office by writing signed and given to the Premier.</w:t>
      </w:r>
    </w:p>
    <w:p>
      <w:pPr>
        <w:pStyle w:val="Subsection"/>
      </w:pPr>
      <w:r>
        <w:tab/>
        <w:t>(3)</w:t>
      </w:r>
      <w:r>
        <w:tab/>
        <w:t xml:space="preserve">The resignation takes effect on the later of — </w:t>
      </w:r>
    </w:p>
    <w:p>
      <w:pPr>
        <w:pStyle w:val="Indenta"/>
      </w:pPr>
      <w:r>
        <w:tab/>
        <w:t>(a)</w:t>
      </w:r>
      <w:r>
        <w:tab/>
        <w:t>receipt by the Premier;</w:t>
      </w:r>
    </w:p>
    <w:p>
      <w:pPr>
        <w:pStyle w:val="Indenta"/>
      </w:pPr>
      <w:r>
        <w:tab/>
        <w:t>(b)</w:t>
      </w:r>
      <w:r>
        <w:tab/>
        <w:t>the day specified in the resignation.</w:t>
      </w:r>
    </w:p>
    <w:p>
      <w:pPr>
        <w:pStyle w:val="Subsection"/>
        <w:spacing w:before="120"/>
      </w:pPr>
      <w:r>
        <w:lastRenderedPageBreak/>
        <w:tab/>
        <w:t>(4)</w:t>
      </w:r>
      <w:r>
        <w:tab/>
        <w:t xml:space="preserve">The Governor, on the Premier’s recommendation, may suspend or remove an appointed Board member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member’s duties; or</w:t>
      </w:r>
    </w:p>
    <w:p>
      <w:pPr>
        <w:pStyle w:val="Indenti"/>
      </w:pPr>
      <w:r>
        <w:tab/>
        <w:t>(iv)</w:t>
      </w:r>
      <w:r>
        <w:tab/>
        <w:t>absence, without leave, from 3 consecutive meetings of the Board of which the member has had notice;</w:t>
      </w:r>
    </w:p>
    <w:p>
      <w:pPr>
        <w:pStyle w:val="Indenta"/>
      </w:pPr>
      <w:r>
        <w:tab/>
      </w:r>
      <w:r>
        <w:tab/>
        <w:t>or</w:t>
      </w:r>
    </w:p>
    <w:p>
      <w:pPr>
        <w:pStyle w:val="Indenta"/>
      </w:pPr>
      <w:r>
        <w:tab/>
        <w:t>(b)</w:t>
      </w:r>
      <w:r>
        <w:tab/>
        <w:t>for any other reasonable cause.</w:t>
      </w:r>
    </w:p>
    <w:p>
      <w:pPr>
        <w:pStyle w:val="Subsection"/>
      </w:pPr>
      <w:r>
        <w:tab/>
        <w:t>(5)</w:t>
      </w:r>
      <w:r>
        <w:tab/>
        <w:t xml:space="preserve">The Premier may remove an appointed Board member who is a government employee on the grounds of — </w:t>
      </w:r>
    </w:p>
    <w:p>
      <w:pPr>
        <w:pStyle w:val="Indenta"/>
      </w:pPr>
      <w:r>
        <w:tab/>
        <w:t>(a)</w:t>
      </w:r>
      <w:r>
        <w:tab/>
        <w:t>the member ceasing to be a government employee; or</w:t>
      </w:r>
    </w:p>
    <w:p>
      <w:pPr>
        <w:pStyle w:val="Indenta"/>
      </w:pPr>
      <w:r>
        <w:tab/>
        <w:t>(b)</w:t>
      </w:r>
      <w:r>
        <w:tab/>
        <w:t>the member commencing to perform functions that are not, in the Premier’s opinion, compatible with their functions as a Board member.</w:t>
      </w:r>
    </w:p>
    <w:p>
      <w:pPr>
        <w:pStyle w:val="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Heading5"/>
      </w:pPr>
      <w:bookmarkStart w:id="78" w:name="_Toc91065917"/>
      <w:r>
        <w:rPr>
          <w:rStyle w:val="CharSectno"/>
        </w:rPr>
        <w:t>31</w:t>
      </w:r>
      <w:r>
        <w:t>.</w:t>
      </w:r>
      <w:r>
        <w:tab/>
        <w:t>Extension of term of office</w:t>
      </w:r>
      <w:bookmarkEnd w:id="78"/>
    </w:p>
    <w:p>
      <w:pPr>
        <w:pStyle w:val="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Indenta"/>
      </w:pPr>
      <w:r>
        <w:tab/>
        <w:t>(a)</w:t>
      </w:r>
      <w:r>
        <w:tab/>
        <w:t>the end of the period of 6 months immediately following the expiry of the term of office;</w:t>
      </w:r>
    </w:p>
    <w:p>
      <w:pPr>
        <w:pStyle w:val="Indenta"/>
      </w:pPr>
      <w:r>
        <w:lastRenderedPageBreak/>
        <w:tab/>
        <w:t>(b)</w:t>
      </w:r>
      <w:r>
        <w:tab/>
        <w:t>the vacancy being filled;</w:t>
      </w:r>
    </w:p>
    <w:p>
      <w:pPr>
        <w:pStyle w:val="Indenta"/>
      </w:pPr>
      <w:r>
        <w:tab/>
        <w:t>(c)</w:t>
      </w:r>
      <w:r>
        <w:tab/>
        <w:t>the member resigning;</w:t>
      </w:r>
    </w:p>
    <w:p>
      <w:pPr>
        <w:pStyle w:val="Indenta"/>
      </w:pPr>
      <w:r>
        <w:tab/>
        <w:t>(d)</w:t>
      </w:r>
      <w:r>
        <w:tab/>
        <w:t>the member being removed from office under section 30.</w:t>
      </w:r>
    </w:p>
    <w:p>
      <w:pPr>
        <w:pStyle w:val="Subsection"/>
      </w:pPr>
      <w:r>
        <w:tab/>
        <w:t>(2)</w:t>
      </w:r>
      <w:r>
        <w:tab/>
        <w:t>This section has effect despite the limit in section 28(3)(b).</w:t>
      </w:r>
    </w:p>
    <w:p>
      <w:pPr>
        <w:pStyle w:val="Heading5"/>
      </w:pPr>
      <w:bookmarkStart w:id="79" w:name="_Toc91065918"/>
      <w:r>
        <w:rPr>
          <w:rStyle w:val="CharSectno"/>
        </w:rPr>
        <w:t>32</w:t>
      </w:r>
      <w:r>
        <w:t>.</w:t>
      </w:r>
      <w:r>
        <w:tab/>
        <w:t>Leave of absence</w:t>
      </w:r>
      <w:bookmarkEnd w:id="79"/>
    </w:p>
    <w:p>
      <w:pPr>
        <w:pStyle w:val="Subsection"/>
      </w:pPr>
      <w:r>
        <w:tab/>
        <w:t>(1)</w:t>
      </w:r>
      <w:r>
        <w:tab/>
        <w:t>The Premier may, on any terms and conditions the Premier considers appropriate, grant the chairperson leave to be absent from office.</w:t>
      </w:r>
    </w:p>
    <w:p>
      <w:pPr>
        <w:pStyle w:val="Subsection"/>
      </w:pPr>
      <w:r>
        <w:tab/>
        <w:t>(2)</w:t>
      </w:r>
      <w:r>
        <w:tab/>
        <w:t>The chairperson may, on any terms and conditions the chairperson considers appropriate, grant a Board member leave to be absent from office.</w:t>
      </w:r>
    </w:p>
    <w:p>
      <w:pPr>
        <w:pStyle w:val="Heading5"/>
      </w:pPr>
      <w:bookmarkStart w:id="80" w:name="_Toc91065919"/>
      <w:r>
        <w:rPr>
          <w:rStyle w:val="CharSectno"/>
        </w:rPr>
        <w:t>33</w:t>
      </w:r>
      <w:r>
        <w:t>.</w:t>
      </w:r>
      <w:r>
        <w:tab/>
        <w:t>Alternate members</w:t>
      </w:r>
      <w:bookmarkEnd w:id="80"/>
    </w:p>
    <w:p>
      <w:pPr>
        <w:pStyle w:val="Subsection"/>
      </w:pPr>
      <w:r>
        <w:tab/>
        <w:t>(1)</w:t>
      </w:r>
      <w:r>
        <w:tab/>
        <w:t>If a Board member is unable to act, the Premier may appoint another person as an alternate member to act temporarily in the member’s place.</w:t>
      </w:r>
    </w:p>
    <w:p>
      <w:pPr>
        <w:pStyle w:val="Subsection"/>
      </w:pPr>
      <w:r>
        <w:tab/>
        <w:t>(2)</w:t>
      </w:r>
      <w:r>
        <w:tab/>
        <w:t>Section 26(4) to (8) apply, with the necessary modifications, to the appointment of an alternate member under subsection (1).</w:t>
      </w:r>
    </w:p>
    <w:p>
      <w:pPr>
        <w:pStyle w:val="Subsection"/>
      </w:pPr>
      <w:r>
        <w:tab/>
        <w:t>(3)</w:t>
      </w:r>
      <w:r>
        <w:tab/>
        <w:t>Subsection (1) does not apply in relation to the chairperson or an ex</w:t>
      </w:r>
      <w:r>
        <w:noBreakHyphen/>
        <w:t>officio Board member.</w:t>
      </w:r>
    </w:p>
    <w:p>
      <w:pPr>
        <w:pStyle w:val="Subsection"/>
      </w:pPr>
      <w:r>
        <w:tab/>
        <w:t>(4)</w:t>
      </w:r>
      <w:r>
        <w:tab/>
        <w:t>If the deputy chairperson is acting in the chairperson’s place, the Premier may, under subsection (1), appoint another person as an alternate member to act temporarily in the deputy chairperson’s place.</w:t>
      </w:r>
    </w:p>
    <w:p>
      <w:pPr>
        <w:pStyle w:val="Subsection"/>
      </w:pPr>
      <w:r>
        <w:tab/>
        <w:t>(5)</w:t>
      </w:r>
      <w:r>
        <w:tab/>
        <w:t>While acting in accordance with their appointment, an alternate member is taken to be a Board member and to have the equivalent entitlements (if any) of the Board member in whose place they are acting.</w:t>
      </w:r>
    </w:p>
    <w:p>
      <w:pPr>
        <w:pStyle w:val="Subsection"/>
      </w:pPr>
      <w:r>
        <w:lastRenderedPageBreak/>
        <w:tab/>
        <w:t>(6)</w:t>
      </w:r>
      <w:r>
        <w:tab/>
        <w:t>An act or omission of an alternate member cannot be questioned on the ground that the occasion for the appointment or acting had not arisen or had ceased.</w:t>
      </w:r>
    </w:p>
    <w:p>
      <w:pPr>
        <w:pStyle w:val="Heading4"/>
      </w:pPr>
      <w:bookmarkStart w:id="81" w:name="_Toc90993918"/>
      <w:bookmarkStart w:id="82" w:name="_Toc90994395"/>
      <w:bookmarkStart w:id="83" w:name="_Toc90994534"/>
      <w:bookmarkStart w:id="84" w:name="_Toc91065920"/>
      <w:r>
        <w:t>Subdivision 2 — Board procedures</w:t>
      </w:r>
      <w:bookmarkEnd w:id="81"/>
      <w:bookmarkEnd w:id="82"/>
      <w:bookmarkEnd w:id="83"/>
      <w:bookmarkEnd w:id="84"/>
    </w:p>
    <w:p>
      <w:pPr>
        <w:pStyle w:val="Heading5"/>
      </w:pPr>
      <w:bookmarkStart w:id="85" w:name="_Toc91065921"/>
      <w:r>
        <w:rPr>
          <w:rStyle w:val="CharSectno"/>
        </w:rPr>
        <w:t>34</w:t>
      </w:r>
      <w:r>
        <w:t>.</w:t>
      </w:r>
      <w:r>
        <w:tab/>
        <w:t>Holding meetings</w:t>
      </w:r>
      <w:bookmarkEnd w:id="85"/>
    </w:p>
    <w:p>
      <w:pPr>
        <w:pStyle w:val="Subsection"/>
      </w:pPr>
      <w:r>
        <w:tab/>
        <w:t>(1)</w:t>
      </w:r>
      <w:r>
        <w:tab/>
        <w:t>The first Board meeting is to be convened by the chairperson, and subsequent meetings are to be held at times and places determined by the Board.</w:t>
      </w:r>
    </w:p>
    <w:p>
      <w:pPr>
        <w:pStyle w:val="Subsection"/>
      </w:pPr>
      <w:r>
        <w:tab/>
        <w:t>(2)</w:t>
      </w:r>
      <w:r>
        <w:tab/>
        <w:t>The Board is to meet at least 4 times a year.</w:t>
      </w:r>
    </w:p>
    <w:p>
      <w:pPr>
        <w:pStyle w:val="Subsection"/>
      </w:pPr>
      <w:r>
        <w:tab/>
        <w:t>(3)</w:t>
      </w:r>
      <w:r>
        <w:tab/>
        <w:t xml:space="preserve">A special Board meeting — </w:t>
      </w:r>
    </w:p>
    <w:p>
      <w:pPr>
        <w:pStyle w:val="Indenta"/>
      </w:pPr>
      <w:r>
        <w:tab/>
        <w:t>(a)</w:t>
      </w:r>
      <w:r>
        <w:tab/>
        <w:t>may be convened by the chairperson at any time; and</w:t>
      </w:r>
    </w:p>
    <w:p>
      <w:pPr>
        <w:pStyle w:val="Indenta"/>
      </w:pPr>
      <w:r>
        <w:tab/>
        <w:t>(b)</w:t>
      </w:r>
      <w:r>
        <w:tab/>
        <w:t>must be convened by the chairperson if 3 or more Board members request the chairperson to do so.</w:t>
      </w:r>
    </w:p>
    <w:p>
      <w:pPr>
        <w:pStyle w:val="Heading5"/>
      </w:pPr>
      <w:bookmarkStart w:id="86" w:name="_Toc91065922"/>
      <w:r>
        <w:rPr>
          <w:rStyle w:val="CharSectno"/>
        </w:rPr>
        <w:t>35</w:t>
      </w:r>
      <w:r>
        <w:t>.</w:t>
      </w:r>
      <w:r>
        <w:tab/>
        <w:t>Quorum</w:t>
      </w:r>
      <w:bookmarkEnd w:id="86"/>
    </w:p>
    <w:p>
      <w:pPr>
        <w:pStyle w:val="Subsection"/>
      </w:pPr>
      <w:r>
        <w:tab/>
      </w:r>
      <w:r>
        <w:tab/>
        <w:t>The quorum for a Board meeting is one half of the number of Board members.</w:t>
      </w:r>
    </w:p>
    <w:p>
      <w:pPr>
        <w:pStyle w:val="Heading5"/>
      </w:pPr>
      <w:bookmarkStart w:id="87" w:name="_Toc91065923"/>
      <w:r>
        <w:rPr>
          <w:rStyle w:val="CharSectno"/>
        </w:rPr>
        <w:t>36</w:t>
      </w:r>
      <w:r>
        <w:t>.</w:t>
      </w:r>
      <w:r>
        <w:tab/>
        <w:t>Balance of members at meetings</w:t>
      </w:r>
      <w:bookmarkEnd w:id="87"/>
    </w:p>
    <w:p>
      <w:pPr>
        <w:pStyle w:val="Subsection"/>
      </w:pPr>
      <w:r>
        <w:tab/>
      </w:r>
      <w:r>
        <w:tab/>
        <w:t>A Board meeting cannot proceed if the number of members present who are government employees exceeds the number of members present who are not government employees.</w:t>
      </w:r>
    </w:p>
    <w:p>
      <w:pPr>
        <w:pStyle w:val="Heading5"/>
      </w:pPr>
      <w:bookmarkStart w:id="88" w:name="_Toc91065924"/>
      <w:r>
        <w:rPr>
          <w:rStyle w:val="CharSectno"/>
        </w:rPr>
        <w:t>37</w:t>
      </w:r>
      <w:r>
        <w:t>.</w:t>
      </w:r>
      <w:r>
        <w:tab/>
        <w:t>Presiding members</w:t>
      </w:r>
      <w:bookmarkEnd w:id="88"/>
    </w:p>
    <w:p>
      <w:pPr>
        <w:pStyle w:val="Subsection"/>
      </w:pPr>
      <w:r>
        <w:tab/>
        <w:t>(1)</w:t>
      </w:r>
      <w:r>
        <w:tab/>
        <w:t>The chairperson, if present, must preside at a Board meeting.</w:t>
      </w:r>
    </w:p>
    <w:p>
      <w:pPr>
        <w:pStyle w:val="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Heading5"/>
      </w:pPr>
      <w:bookmarkStart w:id="89" w:name="_Toc91065925"/>
      <w:r>
        <w:rPr>
          <w:rStyle w:val="CharSectno"/>
        </w:rPr>
        <w:lastRenderedPageBreak/>
        <w:t>38</w:t>
      </w:r>
      <w:r>
        <w:t>.</w:t>
      </w:r>
      <w:r>
        <w:tab/>
        <w:t>Procedure at meetings</w:t>
      </w:r>
      <w:bookmarkEnd w:id="89"/>
    </w:p>
    <w:p>
      <w:pPr>
        <w:pStyle w:val="Subsection"/>
      </w:pPr>
      <w:r>
        <w:tab/>
      </w:r>
      <w:r>
        <w:tab/>
        <w:t>The Board is to determine its own meeting procedures to the extent that they are not fixed under this Act.</w:t>
      </w:r>
    </w:p>
    <w:p>
      <w:pPr>
        <w:pStyle w:val="Heading5"/>
      </w:pPr>
      <w:bookmarkStart w:id="90" w:name="_Toc91065926"/>
      <w:r>
        <w:rPr>
          <w:rStyle w:val="CharSectno"/>
        </w:rPr>
        <w:t>39</w:t>
      </w:r>
      <w:r>
        <w:t>.</w:t>
      </w:r>
      <w:r>
        <w:tab/>
        <w:t>Holding meetings remotely</w:t>
      </w:r>
      <w:bookmarkEnd w:id="90"/>
    </w:p>
    <w:p>
      <w:pPr>
        <w:pStyle w:val="Subsection"/>
        <w:spacing w:before="150"/>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91" w:name="_Toc91065927"/>
      <w:r>
        <w:rPr>
          <w:rStyle w:val="CharSectno"/>
        </w:rPr>
        <w:t>40</w:t>
      </w:r>
      <w:r>
        <w:t>.</w:t>
      </w:r>
      <w:r>
        <w:tab/>
        <w:t>Voting</w:t>
      </w:r>
      <w:bookmarkEnd w:id="91"/>
    </w:p>
    <w:p>
      <w:pPr>
        <w:pStyle w:val="Subsection"/>
        <w:spacing w:before="150"/>
      </w:pPr>
      <w:r>
        <w:tab/>
        <w:t>(1)</w:t>
      </w:r>
      <w:r>
        <w:tab/>
        <w:t>Each member present at a Board meeting has a deliberative vote unless section 46 prevents the member from voting.</w:t>
      </w:r>
    </w:p>
    <w:p>
      <w:pPr>
        <w:pStyle w:val="Subsection"/>
        <w:spacing w:before="150"/>
      </w:pPr>
      <w:r>
        <w:tab/>
        <w:t>(2)</w:t>
      </w:r>
      <w:r>
        <w:tab/>
        <w:t>In the case of an equality of votes, the member presiding has a casting vote in addition to a deliberative vote.</w:t>
      </w:r>
    </w:p>
    <w:p>
      <w:pPr>
        <w:pStyle w:val="Subsection"/>
        <w:spacing w:before="150"/>
      </w:pPr>
      <w:r>
        <w:tab/>
        <w:t>(3)</w:t>
      </w:r>
      <w:r>
        <w:tab/>
        <w:t>A question is resolved by a majority of the votes cast.</w:t>
      </w:r>
    </w:p>
    <w:p>
      <w:pPr>
        <w:pStyle w:val="Heading5"/>
      </w:pPr>
      <w:bookmarkStart w:id="92" w:name="_Toc91065928"/>
      <w:r>
        <w:rPr>
          <w:rStyle w:val="CharSectno"/>
        </w:rPr>
        <w:t>41</w:t>
      </w:r>
      <w:r>
        <w:t>.</w:t>
      </w:r>
      <w:r>
        <w:tab/>
        <w:t>Resolution without meeting</w:t>
      </w:r>
      <w:bookmarkEnd w:id="92"/>
    </w:p>
    <w:p>
      <w:pPr>
        <w:pStyle w:val="Subsection"/>
        <w:spacing w:before="150"/>
      </w:pPr>
      <w:r>
        <w:tab/>
      </w:r>
      <w:r>
        <w:tab/>
        <w:t>A resolution in writing signed or otherwise assented to by each Board member has the same effect as if it had been passed at a Board meeting, and must be recorded in the minutes of the Board’s next meeting.</w:t>
      </w:r>
    </w:p>
    <w:p>
      <w:pPr>
        <w:pStyle w:val="Heading5"/>
      </w:pPr>
      <w:bookmarkStart w:id="93" w:name="_Toc91065929"/>
      <w:r>
        <w:rPr>
          <w:rStyle w:val="CharSectno"/>
        </w:rPr>
        <w:t>42</w:t>
      </w:r>
      <w:r>
        <w:t>.</w:t>
      </w:r>
      <w:r>
        <w:tab/>
        <w:t>Minutes to be kept</w:t>
      </w:r>
      <w:bookmarkEnd w:id="93"/>
    </w:p>
    <w:p>
      <w:pPr>
        <w:pStyle w:val="Subsection"/>
        <w:spacing w:before="150"/>
      </w:pPr>
      <w:r>
        <w:tab/>
        <w:t>(1)</w:t>
      </w:r>
      <w:r>
        <w:tab/>
        <w:t>The Board must cause accurate minutes to be kept of the proceedings at each of its meetings.</w:t>
      </w:r>
    </w:p>
    <w:p>
      <w:pPr>
        <w:pStyle w:val="Subsection"/>
        <w:spacing w:before="150"/>
      </w:pPr>
      <w:r>
        <w:tab/>
        <w:t>(2)</w:t>
      </w:r>
      <w:r>
        <w:tab/>
        <w:t xml:space="preserve">Without limiting subsection (1), the minutes are to — </w:t>
      </w:r>
    </w:p>
    <w:p>
      <w:pPr>
        <w:pStyle w:val="Indenta"/>
        <w:spacing w:before="70"/>
      </w:pPr>
      <w:r>
        <w:tab/>
        <w:t>(a)</w:t>
      </w:r>
      <w:r>
        <w:tab/>
        <w:t>record that a member abstained from voting on or voted for or against a resolution if the member so requests; and</w:t>
      </w:r>
    </w:p>
    <w:p>
      <w:pPr>
        <w:pStyle w:val="Indenta"/>
        <w:spacing w:before="70"/>
      </w:pPr>
      <w:r>
        <w:tab/>
        <w:t>(b)</w:t>
      </w:r>
      <w:r>
        <w:tab/>
        <w:t>include a record of attendance.</w:t>
      </w:r>
    </w:p>
    <w:p>
      <w:pPr>
        <w:pStyle w:val="Heading5"/>
      </w:pPr>
      <w:bookmarkStart w:id="94" w:name="_Toc91065930"/>
      <w:r>
        <w:rPr>
          <w:rStyle w:val="CharSectno"/>
        </w:rPr>
        <w:lastRenderedPageBreak/>
        <w:t>43</w:t>
      </w:r>
      <w:r>
        <w:t>.</w:t>
      </w:r>
      <w:r>
        <w:tab/>
        <w:t>Committees</w:t>
      </w:r>
      <w:bookmarkEnd w:id="94"/>
    </w:p>
    <w:p>
      <w:pPr>
        <w:pStyle w:val="Subsection"/>
        <w:spacing w:before="150"/>
      </w:pPr>
      <w:r>
        <w:tab/>
        <w:t>(1)</w:t>
      </w:r>
      <w:r>
        <w:tab/>
        <w:t>The Board may appoint committees to assist it in the performance of its functions, and may alter or discharge any committee so appointed.</w:t>
      </w:r>
    </w:p>
    <w:p>
      <w:pPr>
        <w:pStyle w:val="Subsection"/>
        <w:spacing w:before="150"/>
      </w:pPr>
      <w:r>
        <w:tab/>
        <w:t>(2)</w:t>
      </w:r>
      <w:r>
        <w:tab/>
        <w:t>Subject to the direction of the Board, a committee may determine its own procedures.</w:t>
      </w:r>
    </w:p>
    <w:p>
      <w:pPr>
        <w:pStyle w:val="Subsection"/>
      </w:pPr>
      <w:r>
        <w:tab/>
        <w:t>(3)</w:t>
      </w:r>
      <w:r>
        <w:tab/>
        <w:t>A member of a committee who is not a government employee is entitled to the remuneration determined by the Premier from time to time on the recommendation of the Public Sector Commissioner.</w:t>
      </w:r>
    </w:p>
    <w:p>
      <w:pPr>
        <w:pStyle w:val="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Heading4"/>
      </w:pPr>
      <w:bookmarkStart w:id="95" w:name="_Toc90993929"/>
      <w:bookmarkStart w:id="96" w:name="_Toc90994406"/>
      <w:bookmarkStart w:id="97" w:name="_Toc90994545"/>
      <w:bookmarkStart w:id="98" w:name="_Toc91065931"/>
      <w:r>
        <w:t>Subdivision 3 — Disclosure of interests</w:t>
      </w:r>
      <w:bookmarkEnd w:id="95"/>
      <w:bookmarkEnd w:id="96"/>
      <w:bookmarkEnd w:id="97"/>
      <w:bookmarkEnd w:id="98"/>
    </w:p>
    <w:p>
      <w:pPr>
        <w:pStyle w:val="Heading5"/>
      </w:pPr>
      <w:bookmarkStart w:id="99" w:name="_Toc91065932"/>
      <w:r>
        <w:rPr>
          <w:rStyle w:val="CharSectno"/>
        </w:rPr>
        <w:t>44</w:t>
      </w:r>
      <w:r>
        <w:t>.</w:t>
      </w:r>
      <w:r>
        <w:tab/>
        <w:t>Financial interest in a matter</w:t>
      </w:r>
      <w:bookmarkEnd w:id="99"/>
    </w:p>
    <w:p>
      <w:pPr>
        <w:pStyle w:val="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Heading5"/>
      </w:pPr>
      <w:bookmarkStart w:id="100" w:name="_Toc91065933"/>
      <w:r>
        <w:rPr>
          <w:rStyle w:val="CharSectno"/>
        </w:rPr>
        <w:t>45</w:t>
      </w:r>
      <w:r>
        <w:t>.</w:t>
      </w:r>
      <w:r>
        <w:tab/>
        <w:t>Disclosure of material personal interests</w:t>
      </w:r>
      <w:bookmarkEnd w:id="100"/>
    </w:p>
    <w:p>
      <w:pPr>
        <w:pStyle w:val="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Penstart"/>
      </w:pPr>
      <w:r>
        <w:tab/>
        <w:t>Penalty for this subsection: a fine of $10 000.</w:t>
      </w:r>
    </w:p>
    <w:p>
      <w:pPr>
        <w:pStyle w:val="Subsection"/>
      </w:pPr>
      <w:r>
        <w:lastRenderedPageBreak/>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Penstart"/>
      </w:pPr>
      <w:r>
        <w:tab/>
        <w:t>Penalty for this subsection: a fine of $10 000.</w:t>
      </w:r>
    </w:p>
    <w:p>
      <w:pPr>
        <w:pStyle w:val="Subsection"/>
      </w:pPr>
      <w:r>
        <w:tab/>
        <w:t>(3)</w:t>
      </w:r>
      <w:r>
        <w:tab/>
        <w:t>Both subsections (1) and (2) apply to a person who is a member of a committee and also a Board member.</w:t>
      </w:r>
    </w:p>
    <w:p>
      <w:pPr>
        <w:pStyle w:val="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Subsection"/>
      </w:pPr>
      <w:r>
        <w:tab/>
        <w:t>(5)</w:t>
      </w:r>
      <w:r>
        <w:tab/>
        <w:t>A disclosure under subsection (1) or (2) or a determination under subsection (4) must be recorded in the minutes of the meeting.</w:t>
      </w:r>
    </w:p>
    <w:p>
      <w:pPr>
        <w:pStyle w:val="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Subsection"/>
      </w:pPr>
      <w:r>
        <w:tab/>
        <w:t>(7)</w:t>
      </w:r>
      <w:r>
        <w:tab/>
        <w:t>Without limiting section 72, the regulations may provide for how the record is to be made available.</w:t>
      </w:r>
    </w:p>
    <w:p>
      <w:pPr>
        <w:pStyle w:val="Heading5"/>
      </w:pPr>
      <w:bookmarkStart w:id="101" w:name="_Toc91065934"/>
      <w:r>
        <w:rPr>
          <w:rStyle w:val="CharSectno"/>
        </w:rPr>
        <w:t>46</w:t>
      </w:r>
      <w:r>
        <w:t>.</w:t>
      </w:r>
      <w:r>
        <w:tab/>
        <w:t>Participation by interested members</w:t>
      </w:r>
      <w:bookmarkEnd w:id="101"/>
    </w:p>
    <w:p>
      <w:pPr>
        <w:pStyle w:val="Subsection"/>
      </w:pPr>
      <w:r>
        <w:tab/>
        <w:t>(1)</w:t>
      </w:r>
      <w:r>
        <w:tab/>
        <w:t>A member of the Board or of a committee who has, or has been determined under section 45(4) to have, a material personal interest in a matter that is being considered by the Board or committee —</w:t>
      </w:r>
    </w:p>
    <w:p>
      <w:pPr>
        <w:pStyle w:val="Indenta"/>
      </w:pPr>
      <w:r>
        <w:tab/>
        <w:t>(a)</w:t>
      </w:r>
      <w:r>
        <w:tab/>
        <w:t>must not vote (whether at a meeting or otherwise) on a resolution on the matter; and</w:t>
      </w:r>
    </w:p>
    <w:p>
      <w:pPr>
        <w:pStyle w:val="Indenta"/>
      </w:pPr>
      <w:r>
        <w:lastRenderedPageBreak/>
        <w:tab/>
        <w:t>(b)</w:t>
      </w:r>
      <w:r>
        <w:tab/>
        <w:t>must not be present (whether in person or remotely) while the matter is being considered at a meeting.</w:t>
      </w:r>
    </w:p>
    <w:p>
      <w:pPr>
        <w:pStyle w:val="Subsection"/>
      </w:pPr>
      <w:r>
        <w:tab/>
        <w:t>(2)</w:t>
      </w:r>
      <w:r>
        <w:tab/>
        <w:t>A reference in subsection (1)(a) or (b) to a matter includes a reference to a proposed resolution under section 47(1) in respect of the matter, whether relating to that member or a different member.</w:t>
      </w:r>
    </w:p>
    <w:p>
      <w:pPr>
        <w:pStyle w:val="Heading5"/>
      </w:pPr>
      <w:bookmarkStart w:id="102" w:name="_Toc91065935"/>
      <w:r>
        <w:rPr>
          <w:rStyle w:val="CharSectno"/>
        </w:rPr>
        <w:t>47</w:t>
      </w:r>
      <w:r>
        <w:t>.</w:t>
      </w:r>
      <w:r>
        <w:tab/>
        <w:t>Section 46 may be declared inapplicable</w:t>
      </w:r>
      <w:bookmarkEnd w:id="102"/>
    </w:p>
    <w:p>
      <w:pPr>
        <w:pStyle w:val="Subsection"/>
      </w:pPr>
      <w:r>
        <w:tab/>
        <w:t>(1)</w:t>
      </w:r>
      <w:r>
        <w:tab/>
        <w:t>Section 46 does not apply in relation to a member of the Board or of a committee if —</w:t>
      </w:r>
    </w:p>
    <w:p>
      <w:pPr>
        <w:pStyle w:val="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Indenta"/>
      </w:pPr>
      <w:r>
        <w:tab/>
        <w:t>(b)</w:t>
      </w:r>
      <w:r>
        <w:tab/>
        <w:t>the Board or committee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not significant enough to be likely to unduly influence the member’s conduct in considering or voting on the matter.</w:t>
      </w:r>
    </w:p>
    <w:p>
      <w:pPr>
        <w:pStyle w:val="Subsection"/>
      </w:pPr>
      <w:r>
        <w:tab/>
        <w:t>(2)</w:t>
      </w:r>
      <w:r>
        <w:tab/>
        <w:t>A resolution cannot be passed under subsection (1)(b) in relation to a member if the interest of the member is a direct or indirect financial interest in the matter.</w:t>
      </w:r>
    </w:p>
    <w:p>
      <w:pPr>
        <w:pStyle w:val="Heading5"/>
      </w:pPr>
      <w:bookmarkStart w:id="103" w:name="_Toc91065936"/>
      <w:r>
        <w:rPr>
          <w:rStyle w:val="CharSectno"/>
        </w:rPr>
        <w:t>48</w:t>
      </w:r>
      <w:r>
        <w:t>.</w:t>
      </w:r>
      <w:r>
        <w:tab/>
        <w:t>Quorum where section 46 applies</w:t>
      </w:r>
      <w:bookmarkEnd w:id="103"/>
    </w:p>
    <w:p>
      <w:pPr>
        <w:pStyle w:val="Subsection"/>
        <w:keepNext/>
      </w:pPr>
      <w:r>
        <w:tab/>
      </w:r>
      <w:r>
        <w:tab/>
        <w:t xml:space="preserve">Despite section 35, if a Board member is unable to act in relation to a matter under section 46, a quorum is present during the consideration of the matter if the number of members </w:t>
      </w:r>
      <w:r>
        <w:lastRenderedPageBreak/>
        <w:t xml:space="preserve">present, who are entitled to vote on any motion that may be moved at the meeting in relation to the matter, is — </w:t>
      </w:r>
    </w:p>
    <w:p>
      <w:pPr>
        <w:pStyle w:val="Indenta"/>
      </w:pPr>
      <w:r>
        <w:tab/>
        <w:t>(a)</w:t>
      </w:r>
      <w:r>
        <w:tab/>
        <w:t>at least the quorum under section 35, less 1; and</w:t>
      </w:r>
    </w:p>
    <w:p>
      <w:pPr>
        <w:pStyle w:val="Indenta"/>
      </w:pPr>
      <w:r>
        <w:tab/>
        <w:t>(b)</w:t>
      </w:r>
      <w:r>
        <w:tab/>
        <w:t>not less than 3.</w:t>
      </w:r>
    </w:p>
    <w:p>
      <w:pPr>
        <w:pStyle w:val="Heading3"/>
      </w:pPr>
      <w:bookmarkStart w:id="104" w:name="_Toc90993935"/>
      <w:bookmarkStart w:id="105" w:name="_Toc90994412"/>
      <w:bookmarkStart w:id="106" w:name="_Toc90994551"/>
      <w:bookmarkStart w:id="107" w:name="_Toc91065937"/>
      <w:r>
        <w:rPr>
          <w:rStyle w:val="CharDivNo"/>
        </w:rPr>
        <w:t>Division 2</w:t>
      </w:r>
      <w:r>
        <w:t> — </w:t>
      </w:r>
      <w:r>
        <w:rPr>
          <w:rStyle w:val="CharDivText"/>
        </w:rPr>
        <w:t>Staff</w:t>
      </w:r>
      <w:bookmarkEnd w:id="104"/>
      <w:bookmarkEnd w:id="105"/>
      <w:bookmarkEnd w:id="106"/>
      <w:bookmarkEnd w:id="107"/>
    </w:p>
    <w:p>
      <w:pPr>
        <w:pStyle w:val="Heading4"/>
      </w:pPr>
      <w:bookmarkStart w:id="108" w:name="_Toc90993936"/>
      <w:bookmarkStart w:id="109" w:name="_Toc90994413"/>
      <w:bookmarkStart w:id="110" w:name="_Toc90994552"/>
      <w:bookmarkStart w:id="111" w:name="_Toc91065938"/>
      <w:r>
        <w:t>Subdivision 1 — CEO</w:t>
      </w:r>
      <w:bookmarkEnd w:id="108"/>
      <w:bookmarkEnd w:id="109"/>
      <w:bookmarkEnd w:id="110"/>
      <w:bookmarkEnd w:id="111"/>
    </w:p>
    <w:p>
      <w:pPr>
        <w:pStyle w:val="Heading5"/>
      </w:pPr>
      <w:bookmarkStart w:id="112" w:name="_Toc91065939"/>
      <w:r>
        <w:rPr>
          <w:rStyle w:val="CharSectno"/>
        </w:rPr>
        <w:t>49</w:t>
      </w:r>
      <w:r>
        <w:t>.</w:t>
      </w:r>
      <w:r>
        <w:tab/>
        <w:t>CEO</w:t>
      </w:r>
      <w:bookmarkEnd w:id="112"/>
    </w:p>
    <w:p>
      <w:pPr>
        <w:pStyle w:val="Subsection"/>
      </w:pPr>
      <w:r>
        <w:tab/>
        <w:t>(1)</w:t>
      </w:r>
      <w:r>
        <w:tab/>
        <w:t xml:space="preserve">Infrastructure WA is to have a chief executive officer (the </w:t>
      </w:r>
      <w:r>
        <w:rPr>
          <w:b/>
          <w:i/>
        </w:rPr>
        <w:t>CEO</w:t>
      </w:r>
      <w:r>
        <w:t>).</w:t>
      </w:r>
    </w:p>
    <w:p>
      <w:pPr>
        <w:pStyle w:val="Subsection"/>
      </w:pPr>
      <w:r>
        <w:tab/>
        <w:t>(2)</w:t>
      </w:r>
      <w:r>
        <w:tab/>
        <w:t>The CEO is to administer Infrastructure WA’s day</w:t>
      </w:r>
      <w:r>
        <w:noBreakHyphen/>
        <w:t>to</w:t>
      </w:r>
      <w:r>
        <w:noBreakHyphen/>
        <w:t>day operations, subject to the control of the Board.</w:t>
      </w:r>
    </w:p>
    <w:p>
      <w:pPr>
        <w:pStyle w:val="Subsection"/>
      </w:pPr>
      <w:r>
        <w:tab/>
        <w:t>(3)</w:t>
      </w:r>
      <w:r>
        <w:tab/>
        <w:t xml:space="preserve">The CEO is Infrastructure WA’s chief employee for the purposes of the </w:t>
      </w:r>
      <w:r>
        <w:rPr>
          <w:i/>
        </w:rPr>
        <w:t>Public Sector Management Act 1994</w:t>
      </w:r>
      <w:r>
        <w:t>.</w:t>
      </w:r>
    </w:p>
    <w:p>
      <w:pPr>
        <w:pStyle w:val="Subsection"/>
      </w:pPr>
      <w:r>
        <w:tab/>
        <w:t>(4)</w:t>
      </w:r>
      <w:r>
        <w:tab/>
        <w:t xml:space="preserve">Subsection (3) has effect despite the </w:t>
      </w:r>
      <w:r>
        <w:rPr>
          <w:i/>
        </w:rPr>
        <w:t xml:space="preserve">Public Sector Management Act 1994 </w:t>
      </w:r>
      <w:r>
        <w:t>section 44(1).</w:t>
      </w:r>
    </w:p>
    <w:p>
      <w:pPr>
        <w:pStyle w:val="Subsection"/>
      </w:pPr>
      <w:r>
        <w:tab/>
        <w:t>(5)</w:t>
      </w:r>
      <w:r>
        <w:tab/>
        <w:t xml:space="preserve">The CEO is not, and is not to become, a member of the Senior Executive Service within the meaning of the </w:t>
      </w:r>
      <w:r>
        <w:rPr>
          <w:i/>
        </w:rPr>
        <w:t>Public Sector Management Act 1994</w:t>
      </w:r>
      <w:r>
        <w:t>.</w:t>
      </w:r>
    </w:p>
    <w:p>
      <w:pPr>
        <w:pStyle w:val="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Heading5"/>
      </w:pPr>
      <w:bookmarkStart w:id="113" w:name="_Toc91065940"/>
      <w:r>
        <w:rPr>
          <w:rStyle w:val="CharSectno"/>
        </w:rPr>
        <w:t>50</w:t>
      </w:r>
      <w:r>
        <w:t>.</w:t>
      </w:r>
      <w:r>
        <w:tab/>
        <w:t>Appointment of CEO</w:t>
      </w:r>
      <w:bookmarkEnd w:id="113"/>
    </w:p>
    <w:p>
      <w:pPr>
        <w:pStyle w:val="Subsection"/>
      </w:pPr>
      <w:r>
        <w:tab/>
        <w:t>(1)</w:t>
      </w:r>
      <w:r>
        <w:tab/>
        <w:t>The CEO is to be appointed by the Governor on the Premier’s recommendation.</w:t>
      </w:r>
    </w:p>
    <w:p>
      <w:pPr>
        <w:pStyle w:val="Subsection"/>
      </w:pPr>
      <w:r>
        <w:tab/>
        <w:t>(2)</w:t>
      </w:r>
      <w:r>
        <w:tab/>
        <w:t>Before making a recommendation for the purposes of subsection (1), the Premier must —</w:t>
      </w:r>
    </w:p>
    <w:p>
      <w:pPr>
        <w:pStyle w:val="Indenta"/>
      </w:pPr>
      <w:r>
        <w:tab/>
        <w:t>(a)</w:t>
      </w:r>
      <w:r>
        <w:tab/>
        <w:t xml:space="preserve">consult with the Board; and </w:t>
      </w:r>
    </w:p>
    <w:p>
      <w:pPr>
        <w:pStyle w:val="Indenta"/>
      </w:pPr>
      <w:r>
        <w:lastRenderedPageBreak/>
        <w:tab/>
        <w:t>(b)</w:t>
      </w:r>
      <w:r>
        <w:tab/>
        <w:t>request the Board to nominate one or more persons for the position of CEO.</w:t>
      </w:r>
    </w:p>
    <w:p>
      <w:pPr>
        <w:pStyle w:val="Subsection"/>
      </w:pPr>
      <w:r>
        <w:tab/>
        <w:t>(3)</w:t>
      </w:r>
      <w:r>
        <w:tab/>
        <w:t>Nominations are to be given to the Premier for consideration by Cabinet.</w:t>
      </w:r>
    </w:p>
    <w:p>
      <w:pPr>
        <w:pStyle w:val="Subsection"/>
      </w:pPr>
      <w:r>
        <w:tab/>
        <w:t>(4)</w:t>
      </w:r>
      <w:r>
        <w:tab/>
        <w:t xml:space="preserve">The Premier may make a recommendation for the purposes of subsection (1) whether or not the Board has made a nomination, or a satisfactory nomination, but not before the earlier of — </w:t>
      </w:r>
    </w:p>
    <w:p>
      <w:pPr>
        <w:pStyle w:val="Indenta"/>
      </w:pPr>
      <w:r>
        <w:tab/>
        <w:t>(a)</w:t>
      </w:r>
      <w:r>
        <w:tab/>
        <w:t>the Board making a nomination;</w:t>
      </w:r>
    </w:p>
    <w:p>
      <w:pPr>
        <w:pStyle w:val="Indenta"/>
      </w:pPr>
      <w:r>
        <w:tab/>
        <w:t>(b)</w:t>
      </w:r>
      <w:r>
        <w:tab/>
        <w:t>the end of the period of 3 months beginning on the day on which the Premier made the request under subsection (2).</w:t>
      </w:r>
    </w:p>
    <w:p>
      <w:pPr>
        <w:pStyle w:val="Subsection"/>
      </w:pPr>
      <w:r>
        <w:tab/>
        <w:t>(5)</w:t>
      </w:r>
      <w:r>
        <w:tab/>
        <w:t xml:space="preserve">The </w:t>
      </w:r>
      <w:r>
        <w:rPr>
          <w:i/>
        </w:rPr>
        <w:t>Public Sector Management Act 1994</w:t>
      </w:r>
      <w:r>
        <w:t xml:space="preserve"> section 105 does not prevent the Premier and the Board consulting under subsection (2).</w:t>
      </w:r>
    </w:p>
    <w:p>
      <w:pPr>
        <w:pStyle w:val="Heading5"/>
      </w:pPr>
      <w:bookmarkStart w:id="114" w:name="_Toc91065941"/>
      <w:r>
        <w:rPr>
          <w:rStyle w:val="CharSectno"/>
        </w:rPr>
        <w:t>51</w:t>
      </w:r>
      <w:r>
        <w:t>.</w:t>
      </w:r>
      <w:r>
        <w:tab/>
        <w:t>Terms and conditions of appointment</w:t>
      </w:r>
      <w:bookmarkEnd w:id="114"/>
    </w:p>
    <w:p>
      <w:pPr>
        <w:pStyle w:val="Subsection"/>
      </w:pPr>
      <w:r>
        <w:tab/>
        <w:t>(1)</w:t>
      </w:r>
      <w:r>
        <w:tab/>
        <w:t>The CEO is to be appointed on a full</w:t>
      </w:r>
      <w:r>
        <w:noBreakHyphen/>
        <w:t>time basis.</w:t>
      </w:r>
    </w:p>
    <w:p>
      <w:pPr>
        <w:pStyle w:val="Subsection"/>
      </w:pPr>
      <w:r>
        <w:tab/>
        <w:t>(2)</w:t>
      </w:r>
      <w:r>
        <w:tab/>
        <w:t xml:space="preserve">The CEO —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(3)</w:t>
      </w:r>
      <w:r>
        <w:tab/>
        <w:t>Subject to this Subdivision, the CEO holds office on the terms and conditions of appointment determined by the Board.</w:t>
      </w:r>
    </w:p>
    <w:p>
      <w:pPr>
        <w:pStyle w:val="Heading5"/>
      </w:pPr>
      <w:bookmarkStart w:id="115" w:name="_Toc91065942"/>
      <w:r>
        <w:rPr>
          <w:rStyle w:val="CharSectno"/>
        </w:rPr>
        <w:t>52</w:t>
      </w:r>
      <w:r>
        <w:t>.</w:t>
      </w:r>
      <w:r>
        <w:tab/>
        <w:t>Remuneration</w:t>
      </w:r>
      <w:bookmarkEnd w:id="115"/>
    </w:p>
    <w:p>
      <w:pPr>
        <w:pStyle w:val="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Heading5"/>
      </w:pPr>
      <w:bookmarkStart w:id="116" w:name="_Toc91065943"/>
      <w:r>
        <w:rPr>
          <w:rStyle w:val="CharSectno"/>
        </w:rPr>
        <w:lastRenderedPageBreak/>
        <w:t>53</w:t>
      </w:r>
      <w:r>
        <w:t>.</w:t>
      </w:r>
      <w:r>
        <w:tab/>
        <w:t>Casual vacancies</w:t>
      </w:r>
      <w:bookmarkEnd w:id="116"/>
    </w:p>
    <w:p>
      <w:pPr>
        <w:pStyle w:val="Subsection"/>
        <w:keepNext/>
      </w:pPr>
      <w:r>
        <w:tab/>
        <w:t>(1)</w:t>
      </w:r>
      <w:r>
        <w:tab/>
        <w:t>The office of CEO becomes vacant if the CEO —</w:t>
      </w:r>
    </w:p>
    <w:p>
      <w:pPr>
        <w:pStyle w:val="Indenta"/>
      </w:pPr>
      <w:r>
        <w:tab/>
        <w:t>(a)</w:t>
      </w:r>
      <w:r>
        <w:tab/>
        <w:t>dies, resigns under this section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54(1).</w:t>
      </w:r>
    </w:p>
    <w:p>
      <w:pPr>
        <w:pStyle w:val="Subsection"/>
      </w:pPr>
      <w:r>
        <w:tab/>
        <w:t>(2)</w:t>
      </w:r>
      <w:r>
        <w:tab/>
        <w:t>The CEO may at any time resign from office by writing signed and given to the chairperson of the Board.</w:t>
      </w:r>
    </w:p>
    <w:p>
      <w:pPr>
        <w:pStyle w:val="Subsection"/>
      </w:pPr>
      <w:r>
        <w:tab/>
        <w:t>(3)</w:t>
      </w:r>
      <w:r>
        <w:tab/>
        <w:t xml:space="preserve">The resignation takes effect on the later of — </w:t>
      </w:r>
    </w:p>
    <w:p>
      <w:pPr>
        <w:pStyle w:val="Indenta"/>
      </w:pPr>
      <w:r>
        <w:tab/>
        <w:t>(a)</w:t>
      </w:r>
      <w:r>
        <w:tab/>
        <w:t>receipt by the chairperson;</w:t>
      </w:r>
    </w:p>
    <w:p>
      <w:pPr>
        <w:pStyle w:val="Indenta"/>
      </w:pPr>
      <w:r>
        <w:tab/>
        <w:t>(b)</w:t>
      </w:r>
      <w:r>
        <w:tab/>
        <w:t>the day specified in the resignation.</w:t>
      </w:r>
    </w:p>
    <w:p>
      <w:pPr>
        <w:pStyle w:val="Subsection"/>
        <w:keepNext/>
      </w:pPr>
      <w:r>
        <w:tab/>
        <w:t>(4)</w:t>
      </w:r>
      <w:r>
        <w:tab/>
        <w:t xml:space="preserve">The Governor, on the Premier’s recommendation, may suspend or remove the CEO from office — </w:t>
      </w:r>
    </w:p>
    <w:p>
      <w:pPr>
        <w:pStyle w:val="Indenta"/>
      </w:pPr>
      <w:r>
        <w:tab/>
        <w:t>(a)</w:t>
      </w:r>
      <w:r>
        <w:tab/>
        <w:t>on the grounds of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for any other reasonable cause.</w:t>
      </w:r>
    </w:p>
    <w:p>
      <w:pPr>
        <w:pStyle w:val="Subsection"/>
      </w:pPr>
      <w:r>
        <w:tab/>
        <w:t>(5)</w:t>
      </w:r>
      <w:r>
        <w:tab/>
        <w:t>Before making a recommendation for the purposes of subsection (4), the Premier must consult with the chairperson of the Board.</w:t>
      </w:r>
    </w:p>
    <w:p>
      <w:pPr>
        <w:pStyle w:val="Subsection"/>
      </w:pPr>
      <w:r>
        <w:tab/>
        <w:t>(6)</w:t>
      </w:r>
      <w:r>
        <w:tab/>
        <w:t xml:space="preserve">If the CEO is suspended or removed from office under subsection (4), the Premier must cause a statement of the </w:t>
      </w:r>
      <w:r>
        <w:lastRenderedPageBreak/>
        <w:t>grounds for suspension or removal to be laid before each House of Parliament within 14 days after the day on which the CEO was suspended or removed.</w:t>
      </w:r>
    </w:p>
    <w:p>
      <w:pPr>
        <w:pStyle w:val="Subsection"/>
      </w:pPr>
      <w:r>
        <w:tab/>
        <w:t>(7)</w:t>
      </w:r>
      <w:r>
        <w:tab/>
        <w:t>The statement in subsection (6) must also include whether the suspension or removal was supported by the chairperson of the Board.</w:t>
      </w:r>
    </w:p>
    <w:p>
      <w:pPr>
        <w:pStyle w:val="Heading5"/>
      </w:pPr>
      <w:bookmarkStart w:id="117" w:name="_Toc91065944"/>
      <w:r>
        <w:rPr>
          <w:rStyle w:val="CharSectno"/>
        </w:rPr>
        <w:t>54</w:t>
      </w:r>
      <w:r>
        <w:t>.</w:t>
      </w:r>
      <w:r>
        <w:tab/>
        <w:t>Disclosure of material personal interests</w:t>
      </w:r>
      <w:bookmarkEnd w:id="117"/>
    </w:p>
    <w:p>
      <w:pPr>
        <w:pStyle w:val="Subsection"/>
      </w:pPr>
      <w:r>
        <w:tab/>
        <w:t>(1)</w:t>
      </w:r>
      <w:r>
        <w:tab/>
        <w:t xml:space="preserve">If the CEO has a material personal interest in a matter that relates to Infrastructure WA’s affairs, the CEO must, as soon as possible after the relevant facts have come to the CEO’s knowledge — </w:t>
      </w:r>
    </w:p>
    <w:p>
      <w:pPr>
        <w:pStyle w:val="Indenta"/>
      </w:pPr>
      <w:r>
        <w:tab/>
        <w:t>(a)</w:t>
      </w:r>
      <w:r>
        <w:tab/>
        <w:t>disclose the nature and extent of the interest to the Board; and</w:t>
      </w:r>
    </w:p>
    <w:p>
      <w:pPr>
        <w:pStyle w:val="Indenta"/>
        <w:keepNext/>
      </w:pPr>
      <w:r>
        <w:tab/>
        <w:t>(b)</w:t>
      </w:r>
      <w:r>
        <w:tab/>
        <w:t>not take action or further action in relation to the matter unless authorised to do so by the Board.</w:t>
      </w:r>
    </w:p>
    <w:p>
      <w:pPr>
        <w:pStyle w:val="Penstart"/>
        <w:keepNext/>
      </w:pPr>
      <w:r>
        <w:tab/>
        <w:t>Penalty for this subsection: a fine of $10 000.</w:t>
      </w:r>
    </w:p>
    <w:p>
      <w:pPr>
        <w:pStyle w:val="Subsection"/>
      </w:pPr>
      <w:r>
        <w:tab/>
        <w:t>(2)</w:t>
      </w:r>
      <w:r>
        <w:tab/>
        <w:t>The Board’s authorisation may be subject to conditions and restrictions.</w:t>
      </w:r>
    </w:p>
    <w:p>
      <w:pPr>
        <w:pStyle w:val="Subsection"/>
      </w:pPr>
      <w:r>
        <w:tab/>
        <w:t>(3)</w:t>
      </w:r>
      <w:r>
        <w:tab/>
        <w:t>If the CEO is unable to act in relation to a matter, the Board may appoint another staff member to act in relation to the matter.</w:t>
      </w:r>
    </w:p>
    <w:p>
      <w:pPr>
        <w:pStyle w:val="Heading5"/>
        <w:rPr>
          <w:szCs w:val="24"/>
        </w:rPr>
      </w:pPr>
      <w:bookmarkStart w:id="118" w:name="_Toc91065945"/>
      <w:r>
        <w:rPr>
          <w:rStyle w:val="CharSectno"/>
          <w:szCs w:val="24"/>
        </w:rPr>
        <w:t>55</w:t>
      </w:r>
      <w:r>
        <w:rPr>
          <w:szCs w:val="24"/>
        </w:rPr>
        <w:t>.</w:t>
      </w:r>
      <w:r>
        <w:rPr>
          <w:szCs w:val="24"/>
        </w:rPr>
        <w:tab/>
        <w:t>Entitlements of public service officer as CEO</w:t>
      </w:r>
      <w:bookmarkEnd w:id="118"/>
    </w:p>
    <w:p>
      <w:pPr>
        <w:pStyle w:val="Subsection"/>
        <w:rPr>
          <w:szCs w:val="24"/>
        </w:rPr>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Subsection"/>
        <w:rPr>
          <w:szCs w:val="24"/>
        </w:rPr>
      </w:pPr>
      <w:r>
        <w:rPr>
          <w:szCs w:val="24"/>
        </w:rPr>
        <w:tab/>
        <w:t>(2)</w:t>
      </w:r>
      <w:r>
        <w:rPr>
          <w:szCs w:val="24"/>
        </w:rP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Heading5"/>
      </w:pPr>
      <w:bookmarkStart w:id="119" w:name="_Toc91065946"/>
      <w:r>
        <w:rPr>
          <w:rStyle w:val="CharSectno"/>
        </w:rPr>
        <w:lastRenderedPageBreak/>
        <w:t>56</w:t>
      </w:r>
      <w:r>
        <w:t>.</w:t>
      </w:r>
      <w:r>
        <w:tab/>
        <w:t>No outside employment</w:t>
      </w:r>
      <w:bookmarkEnd w:id="119"/>
    </w:p>
    <w:p>
      <w:pPr>
        <w:pStyle w:val="Subsection"/>
        <w:keepNext/>
      </w:pPr>
      <w:r>
        <w:tab/>
      </w:r>
      <w:r>
        <w:tab/>
        <w:t xml:space="preserve">The CEO must not, without the Board’s written approval — </w:t>
      </w:r>
    </w:p>
    <w:p>
      <w:pPr>
        <w:pStyle w:val="Indenta"/>
      </w:pPr>
      <w:r>
        <w:tab/>
        <w:t>(a)</w:t>
      </w:r>
      <w:r>
        <w:tab/>
        <w:t>engage in paid employment outside the duties of the office of CEO; or</w:t>
      </w:r>
    </w:p>
    <w:p>
      <w:pPr>
        <w:pStyle w:val="Indenta"/>
      </w:pPr>
      <w:r>
        <w:tab/>
        <w:t>(b)</w:t>
      </w:r>
      <w:r>
        <w:tab/>
        <w:t xml:space="preserve">actively take part in — </w:t>
      </w:r>
    </w:p>
    <w:p>
      <w:pPr>
        <w:pStyle w:val="Indenti"/>
      </w:pPr>
      <w:r>
        <w:tab/>
        <w:t>(i)</w:t>
      </w:r>
      <w:r>
        <w:tab/>
        <w:t>the activities of a business; or</w:t>
      </w:r>
    </w:p>
    <w:p>
      <w:pPr>
        <w:pStyle w:val="Indenti"/>
      </w:pPr>
      <w:r>
        <w:tab/>
        <w:t>(ii)</w:t>
      </w:r>
      <w:r>
        <w:tab/>
        <w:t>the management of a body corporate carrying on business.</w:t>
      </w:r>
    </w:p>
    <w:p>
      <w:pPr>
        <w:pStyle w:val="Heading5"/>
      </w:pPr>
      <w:bookmarkStart w:id="120" w:name="_Toc91065947"/>
      <w:r>
        <w:rPr>
          <w:rStyle w:val="CharSectno"/>
        </w:rPr>
        <w:t>57</w:t>
      </w:r>
      <w:r>
        <w:t>.</w:t>
      </w:r>
      <w:r>
        <w:tab/>
        <w:t>Acting CEO</w:t>
      </w:r>
      <w:bookmarkEnd w:id="120"/>
    </w:p>
    <w:p>
      <w:pPr>
        <w:pStyle w:val="Subsection"/>
      </w:pPr>
      <w:r>
        <w:tab/>
        <w:t>(1)</w:t>
      </w:r>
      <w:r>
        <w:tab/>
        <w:t>If the CEO is unable to act or the position of CEO is vacant, the Board may appoint a person to act as the CEO.</w:t>
      </w:r>
    </w:p>
    <w:p>
      <w:pPr>
        <w:pStyle w:val="Subsection"/>
      </w:pPr>
      <w:r>
        <w:tab/>
        <w:t>(2)</w:t>
      </w:r>
      <w:r>
        <w:tab/>
        <w:t>A person cannot act in the office of CEO for a continuous period of more than 12 months.</w:t>
      </w:r>
    </w:p>
    <w:p>
      <w:pPr>
        <w:pStyle w:val="Subsection"/>
      </w:pPr>
      <w:r>
        <w:tab/>
        <w:t>(3)</w:t>
      </w:r>
      <w:r>
        <w:tab/>
        <w:t>Section 49(5) does not limit who may be appointed to act as the CEO.</w:t>
      </w:r>
    </w:p>
    <w:p>
      <w:pPr>
        <w:pStyle w:val="Subsection"/>
      </w:pPr>
      <w:r>
        <w:tab/>
        <w:t>(4)</w:t>
      </w:r>
      <w:r>
        <w:tab/>
        <w:t>A person acting as the CEO holds office on the terms and conditions of appointment, including as to remuneration, determined by the Board.</w:t>
      </w:r>
    </w:p>
    <w:p>
      <w:pPr>
        <w:pStyle w:val="Subsection"/>
      </w:pPr>
      <w:r>
        <w:tab/>
        <w:t>(5)</w:t>
      </w:r>
      <w:r>
        <w:tab/>
        <w:t>The remuneration of a person acting as the CEO cannot exceed that of the holder of the office or, if the position is vacant, the most recent holder of the office.</w:t>
      </w:r>
    </w:p>
    <w:p>
      <w:pPr>
        <w:pStyle w:val="Subsection"/>
      </w:pPr>
      <w:r>
        <w:tab/>
        <w:t>(6)</w:t>
      </w:r>
      <w:r>
        <w:tab/>
        <w:t>An act or omission of a person acting as the CEO cannot be questioned on the ground that the occasion for the appointment or acting had not arisen or had ceased.</w:t>
      </w:r>
    </w:p>
    <w:p>
      <w:pPr>
        <w:pStyle w:val="Heading4"/>
      </w:pPr>
      <w:bookmarkStart w:id="121" w:name="_Toc90993946"/>
      <w:bookmarkStart w:id="122" w:name="_Toc90994423"/>
      <w:bookmarkStart w:id="123" w:name="_Toc90994562"/>
      <w:bookmarkStart w:id="124" w:name="_Toc91065948"/>
      <w:r>
        <w:lastRenderedPageBreak/>
        <w:t>Subdivision 2 — Other staff</w:t>
      </w:r>
      <w:bookmarkEnd w:id="121"/>
      <w:bookmarkEnd w:id="122"/>
      <w:bookmarkEnd w:id="123"/>
      <w:bookmarkEnd w:id="124"/>
    </w:p>
    <w:p>
      <w:pPr>
        <w:pStyle w:val="Heading5"/>
      </w:pPr>
      <w:bookmarkStart w:id="125" w:name="_Toc91065949"/>
      <w:r>
        <w:rPr>
          <w:rStyle w:val="CharSectno"/>
        </w:rPr>
        <w:t>58</w:t>
      </w:r>
      <w:r>
        <w:t>.</w:t>
      </w:r>
      <w:r>
        <w:tab/>
        <w:t>Other staff</w:t>
      </w:r>
      <w:bookmarkEnd w:id="125"/>
    </w:p>
    <w:p>
      <w:pPr>
        <w:pStyle w:val="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Heading5"/>
      </w:pPr>
      <w:bookmarkStart w:id="126" w:name="_Toc91065950"/>
      <w:r>
        <w:rPr>
          <w:rStyle w:val="CharSectno"/>
        </w:rPr>
        <w:t>59</w:t>
      </w:r>
      <w:r>
        <w:t>.</w:t>
      </w:r>
      <w:r>
        <w:tab/>
        <w:t>Use of government staff and facilities</w:t>
      </w:r>
      <w:bookmarkEnd w:id="126"/>
    </w:p>
    <w:p>
      <w:pPr>
        <w:pStyle w:val="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a State agency; or</w:t>
      </w:r>
    </w:p>
    <w:p>
      <w:pPr>
        <w:pStyle w:val="Indenta"/>
      </w:pPr>
      <w:r>
        <w:tab/>
        <w:t>(b)</w:t>
      </w:r>
      <w:r>
        <w:tab/>
        <w:t>otherwise in the service of the Crown.</w:t>
      </w:r>
    </w:p>
    <w:p>
      <w:pPr>
        <w:pStyle w:val="Subsection"/>
      </w:pPr>
      <w:r>
        <w:tab/>
        <w:t>(2)</w:t>
      </w:r>
      <w:r>
        <w:tab/>
        <w:t>Infrastructure WA may by arrangement make use of a State agency’s facilities.</w:t>
      </w:r>
    </w:p>
    <w:p>
      <w:pPr>
        <w:pStyle w:val="Subsection"/>
      </w:pPr>
      <w:r>
        <w:tab/>
        <w:t>(3)</w:t>
      </w:r>
      <w:r>
        <w:tab/>
        <w:t>An arrangement under subsection (1) or (2) is to be made on terms agreed to by the parties.</w:t>
      </w:r>
    </w:p>
    <w:p>
      <w:pPr>
        <w:pStyle w:val="Heading3"/>
      </w:pPr>
      <w:bookmarkStart w:id="127" w:name="_Toc90993949"/>
      <w:bookmarkStart w:id="128" w:name="_Toc90994426"/>
      <w:bookmarkStart w:id="129" w:name="_Toc90994565"/>
      <w:bookmarkStart w:id="130" w:name="_Toc91065951"/>
      <w:r>
        <w:rPr>
          <w:rStyle w:val="CharDivNo"/>
        </w:rPr>
        <w:t>Division 3</w:t>
      </w:r>
      <w:r>
        <w:t> — </w:t>
      </w:r>
      <w:r>
        <w:rPr>
          <w:rStyle w:val="CharDivText"/>
        </w:rPr>
        <w:t>Accountability and financial provisions</w:t>
      </w:r>
      <w:bookmarkEnd w:id="127"/>
      <w:bookmarkEnd w:id="128"/>
      <w:bookmarkEnd w:id="129"/>
      <w:bookmarkEnd w:id="130"/>
    </w:p>
    <w:p>
      <w:pPr>
        <w:pStyle w:val="Heading5"/>
      </w:pPr>
      <w:bookmarkStart w:id="131" w:name="_Toc91065952"/>
      <w:r>
        <w:rPr>
          <w:rStyle w:val="CharSectno"/>
        </w:rPr>
        <w:t>60</w:t>
      </w:r>
      <w:r>
        <w:t>.</w:t>
      </w:r>
      <w:r>
        <w:tab/>
        <w:t>Premier may give directions</w:t>
      </w:r>
      <w:bookmarkEnd w:id="131"/>
    </w:p>
    <w:p>
      <w:pPr>
        <w:pStyle w:val="Subsection"/>
      </w:pPr>
      <w:r>
        <w:tab/>
        <w:t>(1)</w:t>
      </w:r>
      <w:r>
        <w:tab/>
        <w:t>The Premier may give written directions to Infrastructure WA about the performance of its functions, and Infrastructure WA must give effect to the directions.</w:t>
      </w:r>
    </w:p>
    <w:p>
      <w:pPr>
        <w:pStyle w:val="Subsection"/>
      </w:pPr>
      <w:r>
        <w:lastRenderedPageBreak/>
        <w:tab/>
        <w:t>(2)</w:t>
      </w:r>
      <w:r>
        <w:tab/>
        <w:t>A direction under this section cannot be about the particular performance of a function or relate to the content of any strategy, advice, report, guideline or other document prepared by Infrastructure WA.</w:t>
      </w:r>
    </w:p>
    <w:p>
      <w:pPr>
        <w:pStyle w:val="Subsection"/>
      </w:pPr>
      <w:r>
        <w:tab/>
        <w:t>(3)</w:t>
      </w:r>
      <w:r>
        <w:tab/>
        <w:t>The Premier must cause a direction under this section to be laid before each House of Parliament within 14 days after the day on which the direction is given.</w:t>
      </w:r>
    </w:p>
    <w:p>
      <w:pPr>
        <w:pStyle w:val="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Heading5"/>
      </w:pPr>
      <w:bookmarkStart w:id="132" w:name="_Toc91065953"/>
      <w:r>
        <w:rPr>
          <w:rStyle w:val="CharSectno"/>
        </w:rPr>
        <w:t>61</w:t>
      </w:r>
      <w:r>
        <w:t>.</w:t>
      </w:r>
      <w:r>
        <w:tab/>
        <w:t>Premier to have access to information</w:t>
      </w:r>
      <w:bookmarkEnd w:id="132"/>
    </w:p>
    <w:p>
      <w:pPr>
        <w:pStyle w:val="Subsection"/>
        <w:keepNext/>
      </w:pPr>
      <w:r>
        <w:tab/>
        <w:t>(1)</w:t>
      </w:r>
      <w:r>
        <w:tab/>
        <w:t xml:space="preserve">In this section — </w:t>
      </w:r>
    </w:p>
    <w:p>
      <w:pPr>
        <w:pStyle w:val="Defstart"/>
        <w:keepNex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Premier that relates to Infrastructure WA’s functions.</w:t>
      </w:r>
    </w:p>
    <w:p>
      <w:pPr>
        <w:pStyle w:val="Subsection"/>
      </w:pPr>
      <w:r>
        <w:tab/>
        <w:t>(2)</w:t>
      </w:r>
      <w:r>
        <w:tab/>
        <w:t xml:space="preserve">The Premier is entitled — </w:t>
      </w:r>
    </w:p>
    <w:p>
      <w:pPr>
        <w:pStyle w:val="Indenta"/>
      </w:pPr>
      <w:r>
        <w:tab/>
        <w:t>(a)</w:t>
      </w:r>
      <w:r>
        <w:tab/>
        <w:t>to have information in Infrastructure WA’s possession;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Premier may — </w:t>
      </w:r>
    </w:p>
    <w:p>
      <w:pPr>
        <w:pStyle w:val="Indenta"/>
      </w:pPr>
      <w:r>
        <w:tab/>
        <w:t>(a)</w:t>
      </w:r>
      <w:r>
        <w:tab/>
        <w:t>request Infrastructure WA to give information to the Premier; and</w:t>
      </w:r>
    </w:p>
    <w:p>
      <w:pPr>
        <w:pStyle w:val="Indenta"/>
      </w:pPr>
      <w:r>
        <w:tab/>
        <w:t>(b)</w:t>
      </w:r>
      <w:r>
        <w:tab/>
        <w:t>request Infrastructure WA to give the Premier access to information; and</w:t>
      </w:r>
    </w:p>
    <w:p>
      <w:pPr>
        <w:pStyle w:val="Indenta"/>
      </w:pPr>
      <w:r>
        <w:tab/>
        <w:t>(c)</w:t>
      </w:r>
      <w:r>
        <w:tab/>
        <w:t>for the purposes of paragraph (b), make use of Infrastructure WA’s staff to obtain the information and give it to the Premier.</w:t>
      </w:r>
    </w:p>
    <w:p>
      <w:pPr>
        <w:pStyle w:val="Subsection"/>
      </w:pPr>
      <w:r>
        <w:lastRenderedPageBreak/>
        <w:tab/>
        <w:t>(4)</w:t>
      </w:r>
      <w:r>
        <w:tab/>
        <w:t>Infrastructure WA must comply with a request under subsection (3) and make staff and facilities available to the Premier for obtaining information under subsection (3)(c).</w:t>
      </w:r>
    </w:p>
    <w:p>
      <w:pPr>
        <w:pStyle w:val="Heading5"/>
      </w:pPr>
      <w:bookmarkStart w:id="133" w:name="_Toc91065954"/>
      <w:r>
        <w:rPr>
          <w:rStyle w:val="CharSectno"/>
        </w:rPr>
        <w:t>62</w:t>
      </w:r>
      <w:r>
        <w:t>.</w:t>
      </w:r>
      <w:r>
        <w:tab/>
        <w:t xml:space="preserve">Application of </w:t>
      </w:r>
      <w:r>
        <w:rPr>
          <w:i/>
        </w:rPr>
        <w:t>Financial Management Act 2006</w:t>
      </w:r>
      <w:r>
        <w:t xml:space="preserve"> and </w:t>
      </w:r>
      <w:r>
        <w:rPr>
          <w:i/>
        </w:rPr>
        <w:t>Auditor General Act 2006</w:t>
      </w:r>
      <w:bookmarkEnd w:id="133"/>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Heading5"/>
      </w:pPr>
      <w:bookmarkStart w:id="134" w:name="_Toc91065955"/>
      <w:r>
        <w:rPr>
          <w:rStyle w:val="CharSectno"/>
        </w:rPr>
        <w:t>63</w:t>
      </w:r>
      <w:r>
        <w:t>.</w:t>
      </w:r>
      <w:r>
        <w:tab/>
        <w:t>Infrastructure WA’s funds</w:t>
      </w:r>
      <w:bookmarkEnd w:id="134"/>
    </w:p>
    <w:p>
      <w:pPr>
        <w:pStyle w:val="Subsection"/>
      </w:pPr>
      <w:r>
        <w:tab/>
        <w:t>(1)</w:t>
      </w:r>
      <w:r>
        <w:tab/>
        <w:t>An account called the Infrastructure WA Account is established for Infrastructure WA.</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Infrastructure WA must be credited to, and money paid by Infrastructure WA must be debited to, the account.</w:t>
      </w:r>
    </w:p>
    <w:p>
      <w:pPr>
        <w:pStyle w:val="Subsection"/>
      </w:pPr>
      <w:r>
        <w:tab/>
        <w:t>(4)</w:t>
      </w:r>
      <w:r>
        <w:tab/>
        <w:t>The funds available for the purpose of enabling Infrastructure WA to perform its functions consist of money that is lawfully received by, or made available to, Infrastructure WA.</w:t>
      </w:r>
    </w:p>
    <w:p>
      <w:pPr>
        <w:pStyle w:val="Heading5"/>
      </w:pPr>
      <w:bookmarkStart w:id="135" w:name="_Toc91065956"/>
      <w:r>
        <w:rPr>
          <w:rStyle w:val="CharSectno"/>
        </w:rPr>
        <w:t>64</w:t>
      </w:r>
      <w:r>
        <w:t>.</w:t>
      </w:r>
      <w:r>
        <w:tab/>
        <w:t>Protection for disclosure or compliance with directions</w:t>
      </w:r>
      <w:bookmarkEnd w:id="135"/>
    </w:p>
    <w:p>
      <w:pPr>
        <w:pStyle w:val="Subsection"/>
      </w:pPr>
      <w:r>
        <w:tab/>
      </w:r>
      <w:r>
        <w:tab/>
        <w:t xml:space="preserve">Infrastructure WA or another person performing a function under this Act is not liable — </w:t>
      </w:r>
    </w:p>
    <w:p>
      <w:pPr>
        <w:pStyle w:val="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136" w:name="_Toc90993955"/>
      <w:bookmarkStart w:id="137" w:name="_Toc90994432"/>
      <w:bookmarkStart w:id="138" w:name="_Toc90994571"/>
      <w:bookmarkStart w:id="139" w:name="_Toc91065957"/>
      <w:r>
        <w:rPr>
          <w:rStyle w:val="CharPartNo"/>
        </w:rPr>
        <w:lastRenderedPageBreak/>
        <w:t>Part 5</w:t>
      </w:r>
      <w:r>
        <w:t> — </w:t>
      </w:r>
      <w:r>
        <w:rPr>
          <w:rStyle w:val="CharPartText"/>
        </w:rPr>
        <w:t>General</w:t>
      </w:r>
      <w:bookmarkEnd w:id="136"/>
      <w:bookmarkEnd w:id="137"/>
      <w:bookmarkEnd w:id="138"/>
      <w:bookmarkEnd w:id="139"/>
    </w:p>
    <w:p>
      <w:pPr>
        <w:pStyle w:val="Heading3"/>
      </w:pPr>
      <w:bookmarkStart w:id="140" w:name="_Toc90993956"/>
      <w:bookmarkStart w:id="141" w:name="_Toc90994433"/>
      <w:bookmarkStart w:id="142" w:name="_Toc90994572"/>
      <w:bookmarkStart w:id="143" w:name="_Toc91065958"/>
      <w:r>
        <w:rPr>
          <w:rStyle w:val="CharDivNo"/>
        </w:rPr>
        <w:t>Division 1</w:t>
      </w:r>
      <w:r>
        <w:t> — </w:t>
      </w:r>
      <w:r>
        <w:rPr>
          <w:rStyle w:val="CharDivText"/>
        </w:rPr>
        <w:t>Protection of information</w:t>
      </w:r>
      <w:bookmarkEnd w:id="140"/>
      <w:bookmarkEnd w:id="141"/>
      <w:bookmarkEnd w:id="142"/>
      <w:bookmarkEnd w:id="143"/>
    </w:p>
    <w:p>
      <w:pPr>
        <w:pStyle w:val="Heading5"/>
      </w:pPr>
      <w:bookmarkStart w:id="144" w:name="_Toc91065959"/>
      <w:r>
        <w:rPr>
          <w:rStyle w:val="CharSectno"/>
        </w:rPr>
        <w:t>65</w:t>
      </w:r>
      <w:r>
        <w:t>.</w:t>
      </w:r>
      <w:r>
        <w:tab/>
        <w:t>Confidentiality</w:t>
      </w:r>
      <w:bookmarkEnd w:id="144"/>
    </w:p>
    <w:p>
      <w:pPr>
        <w:pStyle w:val="Subsection"/>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Subsection (1) does not apply in relation to the use or disclosure of information that is already in the public domain.</w:t>
      </w:r>
    </w:p>
    <w:p>
      <w:pPr>
        <w:pStyle w:val="Subsection"/>
      </w:pPr>
      <w:r>
        <w:tab/>
        <w:t>(3)</w:t>
      </w:r>
      <w:r>
        <w:tab/>
        <w:t>A person does not commit an offence under subsection (1) if the use or disclosure of the information is authorised under section 66(1).</w:t>
      </w:r>
    </w:p>
    <w:p>
      <w:pPr>
        <w:pStyle w:val="Heading5"/>
      </w:pPr>
      <w:bookmarkStart w:id="145" w:name="_Toc91065960"/>
      <w:r>
        <w:rPr>
          <w:rStyle w:val="CharSectno"/>
        </w:rPr>
        <w:t>66</w:t>
      </w:r>
      <w:r>
        <w:t>.</w:t>
      </w:r>
      <w:r>
        <w:tab/>
        <w:t>Authorised use or disclosure of information</w:t>
      </w:r>
      <w:bookmarkEnd w:id="145"/>
    </w:p>
    <w:p>
      <w:pPr>
        <w:pStyle w:val="Subsection"/>
      </w:pPr>
      <w:r>
        <w:tab/>
        <w:t>(1)</w:t>
      </w:r>
      <w:r>
        <w:tab/>
        <w:t xml:space="preserve">For the purposes of this Act, the use or disclosure of information is authorised if the information is used or disclosed in good faith in any of the following circumstances — </w:t>
      </w:r>
    </w:p>
    <w:p>
      <w:pPr>
        <w:pStyle w:val="Indenta"/>
      </w:pPr>
      <w:r>
        <w:tab/>
        <w:t>(a)</w:t>
      </w:r>
      <w:r>
        <w:tab/>
        <w:t>for the purpose of, or in connection with, performing a function under this or any other Act;</w:t>
      </w:r>
    </w:p>
    <w:p>
      <w:pPr>
        <w:pStyle w:val="Indenta"/>
      </w:pPr>
      <w:r>
        <w:tab/>
        <w:t>(b)</w:t>
      </w:r>
      <w:r>
        <w:tab/>
        <w:t>as otherwise authorised or required under or for the purposes of this Act;</w:t>
      </w:r>
    </w:p>
    <w:p>
      <w:pPr>
        <w:pStyle w:val="Indenta"/>
      </w:pPr>
      <w:r>
        <w:tab/>
        <w:t>(c)</w:t>
      </w:r>
      <w:r>
        <w:tab/>
        <w:t>under another law;</w:t>
      </w:r>
    </w:p>
    <w:p>
      <w:pPr>
        <w:pStyle w:val="Indenta"/>
      </w:pPr>
      <w:r>
        <w:tab/>
        <w:t>(d)</w:t>
      </w:r>
      <w:r>
        <w:tab/>
        <w:t>to a court or other person or body acting judicially in the course of proceedings before the court, person or body;</w:t>
      </w:r>
    </w:p>
    <w:p>
      <w:pPr>
        <w:pStyle w:val="Indenta"/>
      </w:pPr>
      <w:r>
        <w:tab/>
        <w:t>(e)</w:t>
      </w:r>
      <w:r>
        <w:tab/>
        <w:t>under an order of a court or other person or body acting judicially;</w:t>
      </w:r>
    </w:p>
    <w:p>
      <w:pPr>
        <w:pStyle w:val="Indenta"/>
      </w:pPr>
      <w:r>
        <w:lastRenderedPageBreak/>
        <w:tab/>
        <w:t>(f)</w:t>
      </w:r>
      <w:r>
        <w:tab/>
        <w:t>any other circumstances prescribed for the purposes of this subsection.</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 xml:space="preserve">the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46" w:name="_Toc91065961"/>
      <w:r>
        <w:rPr>
          <w:rStyle w:val="CharSectno"/>
        </w:rPr>
        <w:t>67</w:t>
      </w:r>
      <w:r>
        <w:t>.</w:t>
      </w:r>
      <w:r>
        <w:tab/>
        <w:t>Restrictions on disclosure of sensitive information</w:t>
      </w:r>
      <w:bookmarkEnd w:id="146"/>
    </w:p>
    <w:p>
      <w:pPr>
        <w:pStyle w:val="Subsection"/>
      </w:pPr>
      <w:r>
        <w:tab/>
        <w:t>(1)</w:t>
      </w:r>
      <w:r>
        <w:tab/>
        <w:t xml:space="preserve">In this section — </w:t>
      </w:r>
    </w:p>
    <w:p>
      <w:pPr>
        <w:pStyle w:val="Defstart"/>
      </w:pPr>
      <w:r>
        <w:tab/>
      </w:r>
      <w:r>
        <w:rPr>
          <w:rStyle w:val="CharDefText"/>
        </w:rPr>
        <w:t>private sensitive information</w:t>
      </w:r>
      <w:r>
        <w:t xml:space="preserve"> means sensitive information relating to a person who or that is not a State agency or public authority;</w:t>
      </w:r>
    </w:p>
    <w:p>
      <w:pPr>
        <w:pStyle w:val="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Subsection"/>
      </w:pPr>
      <w:r>
        <w:tab/>
        <w:t>(2)</w:t>
      </w:r>
      <w:r>
        <w:tab/>
        <w:t>This section qualifies section 66(1)(a) and (b).</w:t>
      </w:r>
    </w:p>
    <w:p>
      <w:pPr>
        <w:pStyle w:val="Subsection"/>
      </w:pPr>
      <w:r>
        <w:tab/>
        <w:t>(3)</w:t>
      </w:r>
      <w:r>
        <w:tab/>
        <w:t xml:space="preserve">Infrastructure WA must not make sensitive information publicly available and, without limitation, must not include sensitive information in the following — </w:t>
      </w:r>
    </w:p>
    <w:p>
      <w:pPr>
        <w:pStyle w:val="Indenta"/>
      </w:pPr>
      <w:r>
        <w:tab/>
        <w:t>(a)</w:t>
      </w:r>
      <w:r>
        <w:tab/>
        <w:t>a State Infrastructure Strategy;</w:t>
      </w:r>
    </w:p>
    <w:p>
      <w:pPr>
        <w:pStyle w:val="Indenta"/>
      </w:pPr>
      <w:r>
        <w:tab/>
        <w:t>(b)</w:t>
      </w:r>
      <w:r>
        <w:tab/>
        <w:t>a summary of a report given to the Premier under section 19;</w:t>
      </w:r>
    </w:p>
    <w:p>
      <w:pPr>
        <w:pStyle w:val="Indenta"/>
      </w:pPr>
      <w:r>
        <w:tab/>
        <w:t>(c)</w:t>
      </w:r>
      <w:r>
        <w:tab/>
        <w:t>a report under section 24;</w:t>
      </w:r>
    </w:p>
    <w:p>
      <w:pPr>
        <w:pStyle w:val="Indenta"/>
      </w:pPr>
      <w:r>
        <w:lastRenderedPageBreak/>
        <w:tab/>
        <w:t>(d)</w:t>
      </w:r>
      <w:r>
        <w:tab/>
        <w:t>advice or other reports or documents that are to be made publicly available.</w:t>
      </w:r>
    </w:p>
    <w:p>
      <w:pPr>
        <w:pStyle w:val="Subsection"/>
      </w:pPr>
      <w:r>
        <w:tab/>
        <w:t>(4)</w:t>
      </w:r>
      <w:r>
        <w:tab/>
        <w:t>The Premier must not make private sensitive information publicly available.</w:t>
      </w:r>
    </w:p>
    <w:p>
      <w:pPr>
        <w:pStyle w:val="Subsection"/>
      </w:pPr>
      <w:r>
        <w:tab/>
        <w:t>(5)</w:t>
      </w:r>
      <w:r>
        <w:tab/>
        <w:t>This section does not prevent Infrastructure WA or the Premier from making a document from which sensitive information or private sensitive information has been removed publicly available.</w:t>
      </w:r>
    </w:p>
    <w:p>
      <w:pPr>
        <w:pStyle w:val="Subsection"/>
      </w:pPr>
      <w:r>
        <w:tab/>
        <w:t>(6)</w:t>
      </w:r>
      <w:r>
        <w:tab/>
        <w:t xml:space="preserve">This section does not apply to the extent to which — </w:t>
      </w:r>
    </w:p>
    <w:p>
      <w:pPr>
        <w:pStyle w:val="Indenta"/>
      </w:pPr>
      <w:r>
        <w:tab/>
        <w:t>(a)</w:t>
      </w:r>
      <w:r>
        <w:tab/>
        <w:t>the information is already in the public domain; or</w:t>
      </w:r>
    </w:p>
    <w:p>
      <w:pPr>
        <w:pStyle w:val="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Indenta"/>
      </w:pPr>
      <w:r>
        <w:tab/>
        <w:t>(c)</w:t>
      </w:r>
      <w:r>
        <w:tab/>
        <w:t>the disclosure of the information is with the consent of each person to whom or which it relates.</w:t>
      </w:r>
    </w:p>
    <w:p>
      <w:pPr>
        <w:pStyle w:val="Heading3"/>
      </w:pPr>
      <w:bookmarkStart w:id="147" w:name="_Toc90993960"/>
      <w:bookmarkStart w:id="148" w:name="_Toc90994437"/>
      <w:bookmarkStart w:id="149" w:name="_Toc90994576"/>
      <w:bookmarkStart w:id="150" w:name="_Toc91065962"/>
      <w:r>
        <w:rPr>
          <w:rStyle w:val="CharDivNo"/>
        </w:rPr>
        <w:t>Division 2</w:t>
      </w:r>
      <w:r>
        <w:t> — </w:t>
      </w:r>
      <w:r>
        <w:rPr>
          <w:rStyle w:val="CharDivText"/>
        </w:rPr>
        <w:t>Miscellaneous</w:t>
      </w:r>
      <w:bookmarkEnd w:id="147"/>
      <w:bookmarkEnd w:id="148"/>
      <w:bookmarkEnd w:id="149"/>
      <w:bookmarkEnd w:id="150"/>
    </w:p>
    <w:p>
      <w:pPr>
        <w:pStyle w:val="Heading5"/>
      </w:pPr>
      <w:bookmarkStart w:id="151" w:name="_Toc91065963"/>
      <w:r>
        <w:rPr>
          <w:rStyle w:val="CharSectno"/>
        </w:rPr>
        <w:t>68</w:t>
      </w:r>
      <w:r>
        <w:t>.</w:t>
      </w:r>
      <w:r>
        <w:tab/>
        <w:t>Execution of documents</w:t>
      </w:r>
      <w:bookmarkEnd w:id="151"/>
    </w:p>
    <w:p>
      <w:pPr>
        <w:pStyle w:val="Subsection"/>
      </w:pPr>
      <w:r>
        <w:tab/>
        <w:t>(1)</w:t>
      </w:r>
      <w:r>
        <w:tab/>
        <w:t xml:space="preserve">A document is duly executed by Infrastructure WA if — </w:t>
      </w:r>
    </w:p>
    <w:p>
      <w:pPr>
        <w:pStyle w:val="Indenta"/>
      </w:pPr>
      <w:r>
        <w:tab/>
        <w:t>(a)</w:t>
      </w:r>
      <w:r>
        <w:tab/>
        <w:t>Infrastructure WA’s common seal is affixed to it in accordance with subsections (2) and (3); or</w:t>
      </w:r>
    </w:p>
    <w:p>
      <w:pPr>
        <w:pStyle w:val="Indenta"/>
      </w:pPr>
      <w:r>
        <w:tab/>
        <w:t>(b)</w:t>
      </w:r>
      <w:r>
        <w:tab/>
        <w:t>it is signed on Infrastructure WA’s behalf by a person or persons authorised to do so under subsection (4).</w:t>
      </w:r>
    </w:p>
    <w:p>
      <w:pPr>
        <w:pStyle w:val="Subsection"/>
      </w:pPr>
      <w:r>
        <w:tab/>
        <w:t>(2)</w:t>
      </w:r>
      <w:r>
        <w:tab/>
        <w:t>Infrastructure WA’s common seal is not to be affixed to any document except as authorised by Infrastructure WA.</w:t>
      </w:r>
    </w:p>
    <w:p>
      <w:pPr>
        <w:pStyle w:val="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Subsection"/>
        <w:rPr>
          <w:snapToGrid w:val="0"/>
        </w:rPr>
      </w:pPr>
      <w:r>
        <w:rPr>
          <w:snapToGrid w:val="0"/>
        </w:rPr>
        <w:lastRenderedPageBreak/>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Subsection"/>
      </w:pPr>
      <w:r>
        <w:tab/>
        <w:t>(5)</w:t>
      </w:r>
      <w:r>
        <w:tab/>
        <w:t>A document purporting to be executed in accordance with this section must be presumed to be duly executed unless the contrary is shown.</w:t>
      </w:r>
    </w:p>
    <w:p>
      <w:pPr>
        <w:pStyle w:val="Subsection"/>
      </w:pPr>
      <w:r>
        <w:tab/>
        <w:t>(6)</w:t>
      </w:r>
      <w:r>
        <w:tab/>
        <w:t>When a document is produced bearing a seal purporting to be Infrastructure WA’s common seal, it must be presumed that the seal is Infrastructure WA’s common seal unless the contrary is shown.</w:t>
      </w:r>
    </w:p>
    <w:p>
      <w:pPr>
        <w:pStyle w:val="Heading5"/>
      </w:pPr>
      <w:bookmarkStart w:id="152" w:name="_Toc91065964"/>
      <w:r>
        <w:rPr>
          <w:rStyle w:val="CharSectno"/>
        </w:rPr>
        <w:t>69</w:t>
      </w:r>
      <w:r>
        <w:t>.</w:t>
      </w:r>
      <w:r>
        <w:tab/>
        <w:t>Protection from liability for wrongdoing</w:t>
      </w:r>
      <w:bookmarkEnd w:id="152"/>
    </w:p>
    <w:p>
      <w:pPr>
        <w:pStyle w:val="Subsection"/>
      </w:pPr>
      <w:r>
        <w:tab/>
        <w:t>(1)</w:t>
      </w:r>
      <w:r>
        <w:tab/>
        <w:t>No action or claim for damages lies against a person other than Infrastructure WA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Infrastructure WA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53" w:name="_Toc91065965"/>
      <w:r>
        <w:rPr>
          <w:rStyle w:val="CharSectno"/>
        </w:rPr>
        <w:t>70</w:t>
      </w:r>
      <w:r>
        <w:t>.</w:t>
      </w:r>
      <w:r>
        <w:tab/>
        <w:t>Making certain things publicly available</w:t>
      </w:r>
      <w:bookmarkEnd w:id="153"/>
    </w:p>
    <w:p>
      <w:pPr>
        <w:pStyle w:val="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Heading5"/>
      </w:pPr>
      <w:bookmarkStart w:id="154" w:name="_Toc91065966"/>
      <w:r>
        <w:rPr>
          <w:rStyle w:val="CharSectno"/>
        </w:rPr>
        <w:lastRenderedPageBreak/>
        <w:t>71</w:t>
      </w:r>
      <w:r>
        <w:t>.</w:t>
      </w:r>
      <w:r>
        <w:tab/>
        <w:t>Laying documents before Parliament not sitting</w:t>
      </w:r>
      <w:bookmarkEnd w:id="154"/>
    </w:p>
    <w:p>
      <w:pPr>
        <w:pStyle w:val="Subsection"/>
      </w:pPr>
      <w:r>
        <w:tab/>
        <w:t>(1)</w:t>
      </w:r>
      <w:r>
        <w:tab/>
        <w:t>If a provision of this Act requires the Premier to cause a document to be laid before a House of Parliament and the House is not sitting, the Premier may give the document to the Clerk of the House.</w:t>
      </w:r>
    </w:p>
    <w:p>
      <w:pPr>
        <w:pStyle w:val="Subsection"/>
      </w:pPr>
      <w:r>
        <w:tab/>
        <w:t>(2)</w:t>
      </w:r>
      <w:r>
        <w:tab/>
        <w:t>A document given to the Clerk of a House under subsection (1) is taken to have been laid before the House.</w:t>
      </w:r>
    </w:p>
    <w:p>
      <w:pPr>
        <w:pStyle w:val="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Heading5"/>
      </w:pPr>
      <w:bookmarkStart w:id="155" w:name="_Toc91065967"/>
      <w:r>
        <w:rPr>
          <w:rStyle w:val="CharSectno"/>
        </w:rPr>
        <w:t>72</w:t>
      </w:r>
      <w:r>
        <w:t>.</w:t>
      </w:r>
      <w:r>
        <w:tab/>
        <w:t>Regulations</w:t>
      </w:r>
      <w:bookmarkEnd w:id="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the following — </w:t>
      </w:r>
    </w:p>
    <w:p>
      <w:pPr>
        <w:pStyle w:val="Indenta"/>
      </w:pPr>
      <w:r>
        <w:tab/>
        <w:t>(a)</w:t>
      </w:r>
      <w:r>
        <w:tab/>
        <w:t xml:space="preserve">Infrastructure WA recovering from a State agency — </w:t>
      </w:r>
    </w:p>
    <w:p>
      <w:pPr>
        <w:pStyle w:val="Indenti"/>
      </w:pPr>
      <w:r>
        <w:tab/>
        <w:t>(i)</w:t>
      </w:r>
      <w:r>
        <w:tab/>
        <w:t>the costs of it assessing and reporting on a major infrastructure proposal of a State agency;</w:t>
      </w:r>
    </w:p>
    <w:p>
      <w:pPr>
        <w:pStyle w:val="Indenti"/>
      </w:pPr>
      <w:r>
        <w:tab/>
        <w:t>(ii)</w:t>
      </w:r>
      <w:r>
        <w:tab/>
        <w:t>the costs of it preparing, at the request of the Premier, a strategy, plan or policy on behalf of a State agency;</w:t>
      </w:r>
    </w:p>
    <w:p>
      <w:pPr>
        <w:pStyle w:val="Indenti"/>
      </w:pPr>
      <w:r>
        <w:tab/>
        <w:t>(iii)</w:t>
      </w:r>
      <w:r>
        <w:tab/>
        <w:t>the costs of it providing advice to a State agency on the preparation of an infrastructure proposal;</w:t>
      </w:r>
    </w:p>
    <w:p>
      <w:pPr>
        <w:pStyle w:val="Indenta"/>
        <w:tabs>
          <w:tab w:val="left" w:pos="2188"/>
        </w:tabs>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Indenta"/>
      </w:pPr>
      <w:r>
        <w:lastRenderedPageBreak/>
        <w:tab/>
        <w:t>(c)</w:t>
      </w:r>
      <w:r>
        <w:tab/>
        <w:t>matters relating to consultation to be undertaken by Infrastructure WA, including the extent of consultation;</w:t>
      </w:r>
    </w:p>
    <w:p>
      <w:pPr>
        <w:pStyle w:val="Indenta"/>
      </w:pPr>
      <w:r>
        <w:tab/>
        <w:t>(d)</w:t>
      </w:r>
      <w:r>
        <w:tab/>
        <w:t xml:space="preserve">the disclosure of material personal interests for the purposes of Part 4 Division 1 Subdivision 3 or section 54, including by providing for — </w:t>
      </w:r>
    </w:p>
    <w:p>
      <w:pPr>
        <w:pStyle w:val="Indenti"/>
      </w:pPr>
      <w:r>
        <w:tab/>
        <w:t>(i)</w:t>
      </w:r>
      <w:r>
        <w:tab/>
        <w:t>what is or is not a material personal interest;</w:t>
      </w:r>
    </w:p>
    <w:p>
      <w:pPr>
        <w:pStyle w:val="Indenti"/>
      </w:pPr>
      <w:r>
        <w:tab/>
        <w:t>(ii)</w:t>
      </w:r>
      <w:r>
        <w:tab/>
        <w:t>who is or is not a person closely associated with a member;</w:t>
      </w:r>
    </w:p>
    <w:p>
      <w:pPr>
        <w:pStyle w:val="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Subsection"/>
      </w:pPr>
      <w:r>
        <w:tab/>
        <w:t>(3)</w:t>
      </w:r>
      <w:r>
        <w:tab/>
        <w:t>Regulations made for the purposes of subsection (2)(a) have effect despite anything in the written law under which the agency is established or continued or governed.</w:t>
      </w:r>
    </w:p>
    <w:p>
      <w:pPr>
        <w:pStyle w:val="Heading5"/>
      </w:pPr>
      <w:bookmarkStart w:id="156" w:name="_Toc91065968"/>
      <w:r>
        <w:rPr>
          <w:rStyle w:val="CharSectno"/>
        </w:rPr>
        <w:t>73</w:t>
      </w:r>
      <w:r>
        <w:t>.</w:t>
      </w:r>
      <w:r>
        <w:tab/>
        <w:t>Review of Act</w:t>
      </w:r>
      <w:bookmarkEnd w:id="156"/>
    </w:p>
    <w:p>
      <w:pPr>
        <w:pStyle w:val="Subsection"/>
      </w:pPr>
      <w:r>
        <w:tab/>
        <w:t>(1)</w:t>
      </w:r>
      <w:r>
        <w:tab/>
        <w:t xml:space="preserve">The Premier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obligation under subsection (1) is limited to 3 occasions.</w:t>
      </w:r>
    </w:p>
    <w:p>
      <w:pPr>
        <w:pStyle w:val="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Heading2"/>
      </w:pPr>
      <w:bookmarkStart w:id="157" w:name="_Toc90993967"/>
      <w:bookmarkStart w:id="158" w:name="_Toc90994444"/>
      <w:bookmarkStart w:id="159" w:name="_Toc90994583"/>
      <w:bookmarkStart w:id="160" w:name="_Toc91065969"/>
      <w:r>
        <w:rPr>
          <w:rStyle w:val="CharPartNo"/>
        </w:rPr>
        <w:lastRenderedPageBreak/>
        <w:t>Part 6</w:t>
      </w:r>
      <w:r>
        <w:rPr>
          <w:rStyle w:val="CharDivNo"/>
        </w:rPr>
        <w:t> </w:t>
      </w:r>
      <w:r>
        <w:t>—</w:t>
      </w:r>
      <w:r>
        <w:rPr>
          <w:rStyle w:val="CharDivText"/>
        </w:rPr>
        <w:t> </w:t>
      </w:r>
      <w:r>
        <w:rPr>
          <w:rStyle w:val="CharPartText"/>
        </w:rPr>
        <w:t>Consequential amendments to other Acts</w:t>
      </w:r>
      <w:bookmarkEnd w:id="157"/>
      <w:bookmarkEnd w:id="158"/>
      <w:bookmarkEnd w:id="159"/>
      <w:bookmarkEnd w:id="160"/>
    </w:p>
    <w:p>
      <w:pPr>
        <w:pStyle w:val="Heading5"/>
      </w:pPr>
      <w:bookmarkStart w:id="161" w:name="_Toc91065970"/>
      <w:r>
        <w:rPr>
          <w:rStyle w:val="CharSectno"/>
        </w:rPr>
        <w:t>74</w:t>
      </w:r>
      <w:r>
        <w:t>.</w:t>
      </w:r>
      <w:r>
        <w:tab/>
      </w:r>
      <w:r>
        <w:rPr>
          <w:i/>
        </w:rPr>
        <w:t>Constitution Acts Amendment Act 1899</w:t>
      </w:r>
      <w:r>
        <w:t xml:space="preserve"> amended</w:t>
      </w:r>
      <w:bookmarkEnd w:id="161"/>
    </w:p>
    <w:p>
      <w:pPr>
        <w:pStyle w:val="Subsection"/>
      </w:pPr>
      <w:r>
        <w:tab/>
        <w:t>(1)</w:t>
      </w:r>
      <w:r>
        <w:tab/>
        <w:t xml:space="preserve">This section amends the </w:t>
      </w:r>
      <w:r>
        <w:rPr>
          <w:i/>
        </w:rPr>
        <w:t>Constitution Acts Amendment Act 1899</w:t>
      </w:r>
      <w:r>
        <w:t>.</w:t>
      </w:r>
    </w:p>
    <w:p>
      <w:pPr>
        <w:pStyle w:val="Subsection"/>
      </w:pPr>
      <w:r>
        <w:tab/>
        <w:t>(2)</w:t>
      </w:r>
      <w:r>
        <w:tab/>
        <w:t>In Schedule V Part 3 before the item for the board of the Minerals Research Institute of Western Australia insert:</w:t>
      </w:r>
    </w:p>
    <w:p>
      <w:pPr>
        <w:pStyle w:val="BlankOpen"/>
      </w:pPr>
    </w:p>
    <w:p>
      <w:pPr>
        <w:pStyle w:val="zyNumberedItem"/>
      </w:pPr>
      <w:r>
        <w:t xml:space="preserve">The board of Infrastructure WA established under the </w:t>
      </w:r>
      <w:r>
        <w:rPr>
          <w:i/>
        </w:rPr>
        <w:t>Infrastructure Western Australia Act 2019</w:t>
      </w:r>
      <w:r>
        <w:t>.</w:t>
      </w:r>
    </w:p>
    <w:p>
      <w:pPr>
        <w:pStyle w:val="BlankClose"/>
      </w:pPr>
    </w:p>
    <w:p>
      <w:pPr>
        <w:pStyle w:val="Heading5"/>
      </w:pPr>
      <w:bookmarkStart w:id="162" w:name="_Toc91065971"/>
      <w:r>
        <w:rPr>
          <w:rStyle w:val="CharSectno"/>
        </w:rPr>
        <w:t>75</w:t>
      </w:r>
      <w:r>
        <w:t>.</w:t>
      </w:r>
      <w:r>
        <w:tab/>
      </w:r>
      <w:r>
        <w:rPr>
          <w:i/>
        </w:rPr>
        <w:t>Financial Management Act 2006</w:t>
      </w:r>
      <w:r>
        <w:t xml:space="preserve"> amended</w:t>
      </w:r>
      <w:bookmarkEnd w:id="162"/>
    </w:p>
    <w:p>
      <w:pPr>
        <w:pStyle w:val="Subsection"/>
      </w:pPr>
      <w:r>
        <w:tab/>
        <w:t>(1)</w:t>
      </w:r>
      <w:r>
        <w:tab/>
        <w:t xml:space="preserve">This section amends the </w:t>
      </w:r>
      <w:r>
        <w:rPr>
          <w:i/>
        </w:rPr>
        <w:t>Financial Management Act 2006</w:t>
      </w:r>
      <w:r>
        <w:t>.</w:t>
      </w:r>
    </w:p>
    <w:p>
      <w:pPr>
        <w:pStyle w:val="Subsection"/>
      </w:pPr>
      <w:r>
        <w:tab/>
        <w:t>(2)</w:t>
      </w:r>
      <w:r>
        <w:tab/>
        <w:t>In Schedule 1 after the item for the Housing Authority insert:</w:t>
      </w:r>
    </w:p>
    <w:p>
      <w:pPr>
        <w:pStyle w:val="BlankOpen"/>
      </w:pPr>
    </w:p>
    <w:p>
      <w:pPr>
        <w:pStyle w:val="zyMiscellaneousBody"/>
      </w:pPr>
      <w:r>
        <w:t>Infrastructure WA</w:t>
      </w:r>
    </w:p>
    <w:p>
      <w:pPr>
        <w:pStyle w:val="BlankClose"/>
      </w:pPr>
    </w:p>
    <w:p>
      <w:pPr>
        <w:pStyle w:val="Heading5"/>
      </w:pPr>
      <w:bookmarkStart w:id="163" w:name="_Toc91065972"/>
      <w:r>
        <w:rPr>
          <w:rStyle w:val="CharSectno"/>
        </w:rPr>
        <w:t>76</w:t>
      </w:r>
      <w:r>
        <w:t>.</w:t>
      </w:r>
      <w:r>
        <w:tab/>
      </w:r>
      <w:r>
        <w:rPr>
          <w:i/>
        </w:rPr>
        <w:t>Planning and Development Act 2005</w:t>
      </w:r>
      <w:r>
        <w:t xml:space="preserve"> amended</w:t>
      </w:r>
      <w:bookmarkEnd w:id="163"/>
    </w:p>
    <w:p>
      <w:pPr>
        <w:pStyle w:val="Subsection"/>
      </w:pPr>
      <w:r>
        <w:tab/>
        <w:t>(1)</w:t>
      </w:r>
      <w:r>
        <w:tab/>
        <w:t xml:space="preserve">This section amends the </w:t>
      </w:r>
      <w:r>
        <w:rPr>
          <w:i/>
        </w:rPr>
        <w:t>Planning and Development Act 2005</w:t>
      </w:r>
      <w:r>
        <w:t>.</w:t>
      </w:r>
    </w:p>
    <w:p>
      <w:pPr>
        <w:pStyle w:val="Subsection"/>
      </w:pPr>
      <w:r>
        <w:tab/>
        <w:t>(2)</w:t>
      </w:r>
      <w:r>
        <w:tab/>
        <w:t>Delete Schedule 2 clause 6.</w:t>
      </w:r>
    </w:p>
    <w:p>
      <w:pPr>
        <w:pStyle w:val="Heading5"/>
      </w:pPr>
      <w:bookmarkStart w:id="164" w:name="_Toc91065973"/>
      <w:r>
        <w:rPr>
          <w:rStyle w:val="CharSectno"/>
        </w:rPr>
        <w:t>77</w:t>
      </w:r>
      <w:r>
        <w:t>.</w:t>
      </w:r>
      <w:r>
        <w:tab/>
      </w:r>
      <w:r>
        <w:rPr>
          <w:i/>
        </w:rPr>
        <w:t>Public Sector Management Act 1994</w:t>
      </w:r>
      <w:r>
        <w:t xml:space="preserve"> amended</w:t>
      </w:r>
      <w:bookmarkEnd w:id="164"/>
    </w:p>
    <w:p>
      <w:pPr>
        <w:pStyle w:val="Subsection"/>
      </w:pPr>
      <w:r>
        <w:tab/>
        <w:t>(1)</w:t>
      </w:r>
      <w:r>
        <w:tab/>
        <w:t xml:space="preserve">This section amends the </w:t>
      </w:r>
      <w:r>
        <w:rPr>
          <w:i/>
        </w:rPr>
        <w:t>Public Sector Management Act 1994</w:t>
      </w:r>
      <w:r>
        <w:t>.</w:t>
      </w:r>
    </w:p>
    <w:p>
      <w:pPr>
        <w:pStyle w:val="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zyTableNAm"/>
            </w:pPr>
            <w:r>
              <w:t>19</w:t>
            </w:r>
          </w:p>
        </w:tc>
        <w:tc>
          <w:tcPr>
            <w:tcW w:w="6008" w:type="dxa"/>
          </w:tcPr>
          <w:p>
            <w:pPr>
              <w:pStyle w:val="zyTableNAm"/>
            </w:pPr>
            <w:r>
              <w:t xml:space="preserve">Infrastructure WA, established under the </w:t>
            </w:r>
            <w:r>
              <w:rPr>
                <w:i/>
              </w:rPr>
              <w:t>Infrastructure Western Australia Act 2019</w:t>
            </w:r>
          </w:p>
        </w:tc>
      </w:tr>
    </w:tbl>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6632" cy="231648"/>
                    </a:xfrm>
                    <a:prstGeom prst="rect">
                      <a:avLst/>
                    </a:prstGeom>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65" w:name="_Toc90993972"/>
      <w:bookmarkStart w:id="166" w:name="_Toc90994449"/>
      <w:bookmarkStart w:id="167" w:name="_Toc90994588"/>
      <w:bookmarkStart w:id="168" w:name="_Toc91065974"/>
      <w:r>
        <w:lastRenderedPageBreak/>
        <w:t>Notes</w:t>
      </w:r>
      <w:bookmarkEnd w:id="165"/>
      <w:bookmarkEnd w:id="166"/>
      <w:bookmarkEnd w:id="167"/>
      <w:bookmarkEnd w:id="168"/>
    </w:p>
    <w:p>
      <w:pPr>
        <w:pStyle w:val="nStatement"/>
      </w:pPr>
      <w:r>
        <w:t xml:space="preserve">This is a compilation of the </w:t>
      </w:r>
      <w:r>
        <w:rPr>
          <w:i/>
          <w:noProof/>
        </w:rPr>
        <w:t>Infrastructure Western Australia Act 2019</w:t>
      </w:r>
      <w:r>
        <w:t>. For provisions that have come into operation see the compilation table. For provisions that have not yet come into operation see the uncommenced provisions table.</w:t>
      </w:r>
    </w:p>
    <w:p>
      <w:pPr>
        <w:pStyle w:val="nHeading3"/>
      </w:pPr>
      <w:bookmarkStart w:id="169" w:name="_Toc91065975"/>
      <w:r>
        <w:t>Compilation table</w:t>
      </w:r>
      <w:bookmarkEnd w:id="1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Infrastructure Western Australia Act 2019</w:t>
            </w:r>
            <w:r>
              <w:rPr>
                <w:noProof/>
              </w:rPr>
              <w:t xml:space="preserve"> (other than Pt. 3 Div. 2)</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Pt. 1: 24 Jun 2019 (see s. 2(a));</w:t>
            </w:r>
            <w:r>
              <w:br/>
              <w:t>Act other than Pt. 1, s. 8(1)(b) and Pt. 3 Div. 2 and 3: 24 Jul 2019 (see s. 2(c));</w:t>
            </w:r>
            <w:r>
              <w:br/>
              <w:t>s. 8(1)(b) and Pt. 3 Div. 3: 1 Jan 2022 (see s. 2(b) and SL 2021/145 cl. 2(a);</w:t>
            </w:r>
          </w:p>
        </w:tc>
      </w:tr>
    </w:tbl>
    <w:p>
      <w:pPr>
        <w:pStyle w:val="nHeading3"/>
      </w:pPr>
      <w:bookmarkStart w:id="170" w:name="_Toc91065976"/>
      <w:r>
        <w:t>Uncommenced provisions table</w:t>
      </w:r>
      <w:bookmarkEnd w:id="17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Infrastructure Western Australia Act 2019</w:t>
            </w:r>
            <w:r>
              <w:rPr>
                <w:noProof/>
              </w:rPr>
              <w:t xml:space="preserve"> </w:t>
            </w:r>
            <w:r>
              <w:t>Pt. 3 Div. 2</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1 Jan 2023 (see s. 2(b) and SL 2021/145 cl.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72" w:name="_Toc90994591"/>
      <w:bookmarkStart w:id="173" w:name="_Toc91065977"/>
      <w:r>
        <w:rPr>
          <w:sz w:val="28"/>
        </w:rPr>
        <w:lastRenderedPageBreak/>
        <w:t>Defined terms</w:t>
      </w:r>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Board member</w:t>
      </w:r>
      <w:r>
        <w:tab/>
        <w:t>3</w:t>
      </w:r>
    </w:p>
    <w:p>
      <w:pPr>
        <w:pStyle w:val="DefinedTerms"/>
      </w:pPr>
      <w:r>
        <w:t>assent day</w:t>
      </w:r>
      <w:r>
        <w:tab/>
        <w:t>2</w:t>
      </w:r>
    </w:p>
    <w:p>
      <w:pPr>
        <w:pStyle w:val="DefinedTerms"/>
      </w:pPr>
      <w:r>
        <w:t>Board</w:t>
      </w:r>
      <w:r>
        <w:tab/>
        <w:t>3</w:t>
      </w:r>
    </w:p>
    <w:p>
      <w:pPr>
        <w:pStyle w:val="DefinedTerms"/>
      </w:pPr>
      <w:r>
        <w:t>Board member</w:t>
      </w:r>
      <w:r>
        <w:tab/>
        <w:t>3</w:t>
      </w:r>
    </w:p>
    <w:p>
      <w:pPr>
        <w:pStyle w:val="DefinedTerms"/>
      </w:pPr>
      <w:r>
        <w:t>CEO</w:t>
      </w:r>
      <w:r>
        <w:tab/>
        <w:t>3</w:t>
      </w:r>
    </w:p>
    <w:p>
      <w:pPr>
        <w:pStyle w:val="DefinedTerms"/>
      </w:pPr>
      <w:r>
        <w:t>committee</w:t>
      </w:r>
      <w:r>
        <w:tab/>
        <w:t>3</w:t>
      </w:r>
    </w:p>
    <w:p>
      <w:pPr>
        <w:pStyle w:val="DefinedTerms"/>
      </w:pPr>
      <w:r>
        <w:t>Department of the Premier and Cabinet</w:t>
      </w:r>
      <w:r>
        <w:tab/>
        <w:t>3</w:t>
      </w:r>
    </w:p>
    <w:p>
      <w:pPr>
        <w:pStyle w:val="DefinedTerms"/>
      </w:pPr>
      <w:r>
        <w:t>document</w:t>
      </w:r>
      <w:r>
        <w:tab/>
        <w:t>61(1)</w:t>
      </w:r>
    </w:p>
    <w:p>
      <w:pPr>
        <w:pStyle w:val="DefinedTerms"/>
      </w:pPr>
      <w:r>
        <w:t>employing authority</w:t>
      </w:r>
      <w:r>
        <w:tab/>
        <w:t>3</w:t>
      </w:r>
    </w:p>
    <w:p>
      <w:pPr>
        <w:pStyle w:val="DefinedTerms"/>
      </w:pPr>
      <w:r>
        <w:t>ex-officio Board member</w:t>
      </w:r>
      <w:r>
        <w:tab/>
        <w:t>3</w:t>
      </w:r>
    </w:p>
    <w:p>
      <w:pPr>
        <w:pStyle w:val="DefinedTerms"/>
      </w:pPr>
      <w:r>
        <w:t>government employee</w:t>
      </w:r>
      <w:r>
        <w:tab/>
        <w:t>3</w:t>
      </w:r>
    </w:p>
    <w:p>
      <w:pPr>
        <w:pStyle w:val="DefinedTerms"/>
      </w:pPr>
      <w:r>
        <w:t>Government response</w:t>
      </w:r>
      <w:r>
        <w:tab/>
        <w:t>3</w:t>
      </w:r>
    </w:p>
    <w:p>
      <w:pPr>
        <w:pStyle w:val="DefinedTerms"/>
      </w:pPr>
      <w:r>
        <w:t>government trading enterprise</w:t>
      </w:r>
      <w:r>
        <w:tab/>
        <w:t>3</w:t>
      </w:r>
    </w:p>
    <w:p>
      <w:pPr>
        <w:pStyle w:val="DefinedTerms"/>
      </w:pPr>
      <w:r>
        <w:t>information</w:t>
      </w:r>
      <w:r>
        <w:tab/>
        <w:t>61(1)</w:t>
      </w:r>
    </w:p>
    <w:p>
      <w:pPr>
        <w:pStyle w:val="DefinedTerms"/>
      </w:pPr>
      <w:r>
        <w:t>infrastructure</w:t>
      </w:r>
      <w:r>
        <w:tab/>
        <w:t>3</w:t>
      </w:r>
    </w:p>
    <w:p>
      <w:pPr>
        <w:pStyle w:val="DefinedTerms"/>
      </w:pPr>
      <w:r>
        <w:t>Infrastructure Australia</w:t>
      </w:r>
      <w:r>
        <w:tab/>
        <w:t>3</w:t>
      </w:r>
    </w:p>
    <w:p>
      <w:pPr>
        <w:pStyle w:val="DefinedTerms"/>
      </w:pPr>
      <w:r>
        <w:t>investment decision</w:t>
      </w:r>
      <w:r>
        <w:tab/>
        <w:t>19(3)</w:t>
      </w:r>
    </w:p>
    <w:p>
      <w:pPr>
        <w:pStyle w:val="DefinedTerms"/>
      </w:pPr>
      <w:r>
        <w:t>major infrastructure proposal</w:t>
      </w:r>
      <w:r>
        <w:tab/>
        <w:t>3</w:t>
      </w:r>
    </w:p>
    <w:p>
      <w:pPr>
        <w:pStyle w:val="DefinedTerms"/>
      </w:pPr>
      <w:r>
        <w:t>misconduct</w:t>
      </w:r>
      <w:r>
        <w:tab/>
        <w:t>3</w:t>
      </w:r>
    </w:p>
    <w:p>
      <w:pPr>
        <w:pStyle w:val="DefinedTerms"/>
      </w:pPr>
      <w:r>
        <w:t>private sensitive information</w:t>
      </w:r>
      <w:r>
        <w:tab/>
        <w:t>67(1)</w:t>
      </w:r>
    </w:p>
    <w:p>
      <w:pPr>
        <w:pStyle w:val="DefinedTerms"/>
      </w:pPr>
      <w:r>
        <w:t>public authority</w:t>
      </w:r>
      <w:r>
        <w:tab/>
        <w:t>3</w:t>
      </w:r>
    </w:p>
    <w:p>
      <w:pPr>
        <w:pStyle w:val="DefinedTerms"/>
      </w:pPr>
      <w:r>
        <w:t>Public Sector</w:t>
      </w:r>
      <w:r>
        <w:tab/>
        <w:t>3</w:t>
      </w:r>
    </w:p>
    <w:p>
      <w:pPr>
        <w:pStyle w:val="DefinedTerms"/>
      </w:pPr>
      <w:r>
        <w:t>remuneration</w:t>
      </w:r>
      <w:r>
        <w:tab/>
        <w:t>3</w:t>
      </w:r>
    </w:p>
    <w:p>
      <w:pPr>
        <w:pStyle w:val="DefinedTerms"/>
      </w:pPr>
      <w:r>
        <w:t>sensitive information</w:t>
      </w:r>
      <w:r>
        <w:tab/>
        <w:t>67(1)</w:t>
      </w:r>
    </w:p>
    <w:p>
      <w:pPr>
        <w:pStyle w:val="DefinedTerms"/>
      </w:pPr>
      <w:r>
        <w:t>staff member</w:t>
      </w:r>
      <w:r>
        <w:tab/>
        <w:t>3</w:t>
      </w:r>
    </w:p>
    <w:p>
      <w:pPr>
        <w:pStyle w:val="DefinedTerms"/>
      </w:pPr>
      <w:r>
        <w:t>State agency</w:t>
      </w:r>
      <w:r>
        <w:tab/>
        <w:t>3</w:t>
      </w:r>
    </w:p>
    <w:p>
      <w:pPr>
        <w:pStyle w:val="DefinedTerms"/>
      </w:pPr>
      <w:r>
        <w:t>State Infrastructure Programme</w:t>
      </w:r>
      <w:r>
        <w:tab/>
        <w:t>3</w:t>
      </w:r>
    </w:p>
    <w:p>
      <w:pPr>
        <w:pStyle w:val="DefinedTerms"/>
      </w:pPr>
      <w:r>
        <w:t>State Infrastructure Strategy</w:t>
      </w:r>
      <w:r>
        <w:tab/>
        <w:t>3</w:t>
      </w:r>
    </w:p>
    <w:p>
      <w:pPr>
        <w:pStyle w:val="DefinedTerms"/>
      </w:pPr>
      <w:r>
        <w:t>unable to act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5431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 w:name="WAFER_202002131444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423_GUID" w:val="6e99dcad-56b0-4314-b952-ff94f2a23dc1"/>
    <w:docVar w:name="WAFER_2021081013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31652_GUID" w:val="34b4c926-b358-4851-a0d9-dd69a629b6c6"/>
    <w:docVar w:name="WAFER_2021122115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4318_GUID" w:val="00412d95-c2ca-4a8d-b90e-63f6f695ce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76208-566F-43D0-9F32-E55BBE4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D8AD-D3A0-427E-B2CB-0FC2A7E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10519</Words>
  <Characters>53017</Characters>
  <Application>Microsoft Office Word</Application>
  <DocSecurity>0</DocSecurity>
  <Lines>1472</Lines>
  <Paragraphs>920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62616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2019 - 00-c0-00</dc:title>
  <dc:subject/>
  <dc:creator/>
  <cp:keywords/>
  <dc:description/>
  <cp:lastModifiedBy>Master Repository Process</cp:lastModifiedBy>
  <cp:revision>4</cp:revision>
  <cp:lastPrinted>2019-07-22T01:18:00Z</cp:lastPrinted>
  <dcterms:created xsi:type="dcterms:W3CDTF">2021-12-31T01:55:00Z</dcterms:created>
  <dcterms:modified xsi:type="dcterms:W3CDTF">2021-12-31T01:55:00Z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AsAtDate">
    <vt:lpwstr>01 Jan 2022</vt:lpwstr>
  </property>
  <property fmtid="{D5CDD505-2E9C-101B-9397-08002B2CF9AE}" pid="6" name="Suffix">
    <vt:lpwstr>00-c0-00</vt:lpwstr>
  </property>
  <property fmtid="{D5CDD505-2E9C-101B-9397-08002B2CF9AE}" pid="7" name="CommencementDate">
    <vt:lpwstr>20220101</vt:lpwstr>
  </property>
</Properties>
</file>