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_Toc91664886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_Toc91664887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_Toc91664888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_Toc91664889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_Toc91664890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_Toc91664891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_Toc91664892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_Toc91664893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_Toc91664894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_Toc91664895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 work</w:t>
      </w:r>
    </w:p>
    <w:p>
      <w:pPr>
        <w:pStyle w:val="TOC4"/>
        <w:keepNext w:val="0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 1 — Awards under the </w:t>
      </w:r>
      <w:r>
        <w:rPr>
          <w:i/>
        </w:rPr>
        <w:t>Fair Work Act 2009</w:t>
      </w:r>
      <w:r>
        <w:t xml:space="preserve"> (Commonwealth) and 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keepNext w:val="0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 2 — Awards under the </w:t>
      </w:r>
      <w:r>
        <w:rPr>
          <w:i/>
        </w:rPr>
        <w:t>Industrial Relations Act 1979</w:t>
      </w:r>
    </w:p>
    <w:p>
      <w:pPr>
        <w:pStyle w:val="TOC2"/>
        <w:keepNext w:val="0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Notes</w:t>
      </w:r>
    </w:p>
    <w:p>
      <w:pPr>
        <w:pStyle w:val="TOC8"/>
        <w:keepNext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_Toc91664901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9166488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916648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awards mentioned in </w:t>
      </w:r>
      <w:r>
        <w:t xml:space="preserve">Schedule 1, whether or not in force, </w:t>
      </w:r>
      <w:r>
        <w:rPr>
          <w:snapToGrid w:val="0"/>
        </w:rPr>
        <w:t>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3057; SL 2021/191 r. 4.]</w:t>
      </w:r>
    </w:p>
    <w:p>
      <w:pPr>
        <w:pStyle w:val="Heading5"/>
        <w:rPr>
          <w:snapToGrid w:val="0"/>
        </w:rPr>
      </w:pPr>
      <w:bookmarkStart w:id="5" w:name="_Toc916648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subregulation (2), all classifications of work referred to in an award mentioned in </w:t>
      </w:r>
      <w:r>
        <w:t xml:space="preserve">Schedule 1, whether or not the award is in force, </w:t>
      </w:r>
      <w:r>
        <w:rPr>
          <w:snapToGrid w:val="0"/>
        </w:rPr>
        <w:t>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3057; SL 2021/191 r. 5.]</w:t>
      </w:r>
    </w:p>
    <w:p>
      <w:pPr>
        <w:pStyle w:val="Heading5"/>
        <w:rPr>
          <w:snapToGrid w:val="0"/>
        </w:rPr>
      </w:pPr>
      <w:bookmarkStart w:id="6" w:name="_Toc91664889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6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7" w:name="_Toc9166489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8" w:name="_Toc91664891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8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lastRenderedPageBreak/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9" w:name="_Toc9166489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0" w:name="_Toc9166489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1" w:name="_Toc91664894"/>
      <w:r>
        <w:rPr>
          <w:rStyle w:val="CharSectno"/>
        </w:rPr>
        <w:lastRenderedPageBreak/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0.1%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4; SL 2020/227 r. 4; SL 2021/191 r. 6.] </w:t>
      </w:r>
    </w:p>
    <w:p>
      <w:pPr>
        <w:pStyle w:val="Heading5"/>
        <w:spacing w:before="240"/>
        <w:rPr>
          <w:snapToGrid w:val="0"/>
        </w:rPr>
      </w:pPr>
      <w:bookmarkStart w:id="12" w:name="_Toc91664895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91664421"/>
      <w:bookmarkStart w:id="14" w:name="_Toc91664564"/>
      <w:bookmarkStart w:id="15" w:name="_Toc91664896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13"/>
      <w:bookmarkEnd w:id="14"/>
      <w:bookmarkEnd w:id="15"/>
    </w:p>
    <w:p>
      <w:pPr>
        <w:pStyle w:val="yShoulderClause"/>
      </w:pPr>
      <w:r>
        <w:t>[r. 2 and 3]</w:t>
      </w:r>
    </w:p>
    <w:p>
      <w:pPr>
        <w:pStyle w:val="yFootnoteheading"/>
      </w:pPr>
      <w:r>
        <w:tab/>
        <w:t>[Heading inserted: SL 2021/191 r. 7.]</w:t>
      </w:r>
    </w:p>
    <w:p>
      <w:pPr>
        <w:pStyle w:val="yHeading3"/>
      </w:pPr>
      <w:bookmarkStart w:id="16" w:name="_Toc91664422"/>
      <w:bookmarkStart w:id="17" w:name="_Toc91664565"/>
      <w:bookmarkStart w:id="18" w:name="_Toc91664897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6"/>
      <w:bookmarkEnd w:id="17"/>
      <w:bookmarkEnd w:id="18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Aluminium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Asphalt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(Consolidated) Award 1987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Australian Workers’ Union Construction, Maintenance and Services (W.A. Government) Award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AWU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and Construction General On</w:t>
            </w:r>
            <w:r>
              <w:noBreakHyphen/>
              <w:t>site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Dredging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Electrical, Electronic and Communications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Gardening and Landscaping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Joinery and Building Trades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Manufacturing and Associated Industries and Occupations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Mining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and Fire Sprinklers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Industry (Qld and W.A.)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Diving Industry (Industrial)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Telecommunications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employees in the classification structure A.1.3 Technical Stream in Schedule A of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Western Australian Civil Contracting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</w:tbl>
    <w:p>
      <w:pPr>
        <w:pStyle w:val="yFootnotesection"/>
      </w:pPr>
      <w:r>
        <w:tab/>
        <w:t>[Division 1 inserted: SL 2021/191 r. 7.]</w:t>
      </w:r>
    </w:p>
    <w:p>
      <w:pPr>
        <w:pStyle w:val="yHeading3"/>
        <w:rPr>
          <w:i/>
        </w:rPr>
      </w:pPr>
      <w:bookmarkStart w:id="19" w:name="_Toc91664423"/>
      <w:bookmarkStart w:id="20" w:name="_Toc91664566"/>
      <w:bookmarkStart w:id="21" w:name="_Toc91664898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9"/>
      <w:bookmarkEnd w:id="20"/>
      <w:bookmarkEnd w:id="21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cantSplit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Air Conditioning and Refrigeration Industry (Construction and Servicing) Award No. 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Building Trades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(Construction) Award 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(Government)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Contracting Industry Award R 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Engineering Trades (Government) Award, 1967 Award Nos. 29, 30 and 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Limited to temporary employees in receipt of an allowance for construction work under the award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Industrial Spraypainting and Sandblasting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Mechanical and Electrical Contractors (North West Shelf Project Platform) Award 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Sheet Metal Workers’ Award No. 10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 2 inserted: SL 2021/191 r. 7.]</w:t>
      </w:r>
    </w:p>
    <w:p>
      <w:pPr>
        <w:pStyle w:val="yFootnotesection"/>
      </w:pP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23" w:name="_Toc91664424"/>
      <w:bookmarkStart w:id="24" w:name="_Toc91664567"/>
      <w:bookmarkStart w:id="25" w:name="_Toc91664899"/>
      <w:r>
        <w:rPr>
          <w:rStyle w:val="CharSchNo"/>
        </w:rPr>
        <w:lastRenderedPageBreak/>
        <w:t>Schedule 2</w:t>
      </w:r>
      <w:bookmarkEnd w:id="23"/>
      <w:bookmarkEnd w:id="24"/>
      <w:bookmarkEnd w:id="25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6" w:name="_Toc91664425"/>
      <w:bookmarkStart w:id="27" w:name="_Toc91664568"/>
      <w:bookmarkStart w:id="28" w:name="_Toc91664900"/>
      <w:r>
        <w:lastRenderedPageBreak/>
        <w:t>Notes</w:t>
      </w:r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9" w:name="_Toc91664901"/>
      <w:r>
        <w:t>Compilation table</w:t>
      </w:r>
      <w:bookmarkEnd w:id="29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lastRenderedPageBreak/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20 Nov 2020 (see r. 2(a));</w:t>
            </w:r>
            <w:r>
              <w:br/>
              <w:t>Regulations other than r. 1 and 2: 1 Jan 2021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Construction Industry Portable Paid Long Service Leave Amendment Regulations 2021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2021/191 19 Nov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19 Nov 2021 (see r. 2(a));</w:t>
            </w:r>
            <w:r>
              <w:br/>
              <w:t>Regulations other than r. 1, 2 and 6: 20 Nov 2021 (see r. 2(c));</w:t>
            </w:r>
            <w:r>
              <w:br/>
              <w:t>r. 6: 1 Jan 2022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1" w:name="_Toc91664428"/>
      <w:bookmarkStart w:id="32" w:name="_Toc91664570"/>
      <w:bookmarkStart w:id="33" w:name="_Toc91664902"/>
      <w:r>
        <w:rPr>
          <w:sz w:val="28"/>
        </w:rPr>
        <w:lastRenderedPageBreak/>
        <w:t>Defined terms</w:t>
      </w:r>
      <w:bookmarkEnd w:id="31"/>
      <w:bookmarkEnd w:id="32"/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5" w:name="Coversheet"/>
    <w:bookmarkEnd w:id="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229095825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  <w:docVar w:name="WAFER_20211116122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16122257_GUID" w:val="4e0107ad-19f0-489c-80e8-a1c1a00fefe9"/>
    <w:docVar w:name="WAFER_202112290958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29095825_GUID" w:val="4f7773d2-aff4-4fbf-a494-7c3240d9e08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5:docId w15:val="{C74E0C92-79DD-44BA-B619-76EC50D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0ED9-2C3C-4DFE-AD2B-54A9550B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2913</Words>
  <Characters>14802</Characters>
  <Application>Microsoft Office Word</Application>
  <DocSecurity>0</DocSecurity>
  <Lines>779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1986 - 04-q0-00</dc:title>
  <dc:subject/>
  <dc:creator/>
  <cp:keywords/>
  <dc:description/>
  <cp:lastModifiedBy>Master Repository Process</cp:lastModifiedBy>
  <cp:revision>4</cp:revision>
  <cp:lastPrinted>2019-12-17T01:16:00Z</cp:lastPrinted>
  <dcterms:created xsi:type="dcterms:W3CDTF">2021-12-31T02:05:00Z</dcterms:created>
  <dcterms:modified xsi:type="dcterms:W3CDTF">2021-12-31T02:05:00Z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AsAtDate">
    <vt:lpwstr>01 Jan 2022</vt:lpwstr>
  </property>
  <property fmtid="{D5CDD505-2E9C-101B-9397-08002B2CF9AE}" pid="8" name="Suffix">
    <vt:lpwstr>04-q0-00</vt:lpwstr>
  </property>
  <property fmtid="{D5CDD505-2E9C-101B-9397-08002B2CF9AE}" pid="9" name="CommencementDate">
    <vt:lpwstr>20220101</vt:lpwstr>
  </property>
</Properties>
</file>