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_Toc91067986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_Toc91067987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Forms</w:t>
      </w:r>
    </w:p>
    <w:p>
      <w:pPr>
        <w:pStyle w:val="TOC8"/>
        <w:rPr>
          <w:rFonts w:asciiTheme="minorHAnsi" w:eastAsiaTheme="minorEastAsia" w:hAnsiTheme="minorHAnsi" w:cstheme="minorBidi"/>
          <w:szCs w:val="22"/>
        </w:rPr>
      </w:pPr>
      <w:r>
        <w:t>3.</w:t>
      </w:r>
      <w:r>
        <w:tab/>
        <w:t>Form of register of transactions</w:t>
      </w:r>
      <w:r>
        <w:tab/>
      </w:r>
      <w:r>
        <w:fldChar w:fldCharType="begin"/>
      </w:r>
      <w:r>
        <w:instrText xml:space="preserve"> PAGEREF _Toc91067989 \h </w:instrText>
      </w:r>
      <w:r>
        <w:fldChar w:fldCharType="separate"/>
      </w:r>
      <w:r>
        <w:t>2</w:t>
      </w:r>
      <w:r>
        <w:fldChar w:fldCharType="end"/>
      </w:r>
    </w:p>
    <w:p>
      <w:pPr>
        <w:pStyle w:val="TOC8"/>
        <w:rPr>
          <w:rFonts w:asciiTheme="minorHAnsi" w:eastAsiaTheme="minorEastAsia" w:hAnsiTheme="minorHAnsi" w:cstheme="minorBidi"/>
          <w:szCs w:val="22"/>
        </w:rPr>
      </w:pPr>
      <w:r>
        <w:t>4.</w:t>
      </w:r>
      <w:r>
        <w:tab/>
        <w:t>Registers kept in writing</w:t>
      </w:r>
      <w:r>
        <w:tab/>
      </w:r>
      <w:r>
        <w:fldChar w:fldCharType="begin"/>
      </w:r>
      <w:r>
        <w:instrText xml:space="preserve"> PAGEREF _Toc91067990 \h </w:instrText>
      </w:r>
      <w:r>
        <w:fldChar w:fldCharType="separate"/>
      </w:r>
      <w:r>
        <w:t>2</w:t>
      </w:r>
      <w:r>
        <w:fldChar w:fldCharType="end"/>
      </w:r>
    </w:p>
    <w:p>
      <w:pPr>
        <w:pStyle w:val="TOC8"/>
        <w:rPr>
          <w:rFonts w:asciiTheme="minorHAnsi" w:eastAsiaTheme="minorEastAsia" w:hAnsiTheme="minorHAnsi" w:cstheme="minorBidi"/>
          <w:szCs w:val="22"/>
        </w:rPr>
      </w:pPr>
      <w:r>
        <w:t>4A.</w:t>
      </w:r>
      <w:r>
        <w:tab/>
        <w:t>Registers kept in electronic form</w:t>
      </w:r>
      <w:r>
        <w:tab/>
      </w:r>
      <w:r>
        <w:fldChar w:fldCharType="begin"/>
      </w:r>
      <w:r>
        <w:instrText xml:space="preserve"> PAGEREF _Toc91067991 \h </w:instrText>
      </w:r>
      <w:r>
        <w:fldChar w:fldCharType="separate"/>
      </w:r>
      <w:r>
        <w:t>3</w:t>
      </w:r>
      <w:r>
        <w:fldChar w:fldCharType="end"/>
      </w:r>
    </w:p>
    <w:p>
      <w:pPr>
        <w:pStyle w:val="TOC8"/>
        <w:rPr>
          <w:rFonts w:asciiTheme="minorHAnsi" w:eastAsiaTheme="minorEastAsia" w:hAnsiTheme="minorHAnsi" w:cstheme="minorBidi"/>
          <w:szCs w:val="22"/>
        </w:rPr>
      </w:pPr>
      <w:r>
        <w:t>5.</w:t>
      </w:r>
      <w:r>
        <w:tab/>
        <w:t>Notice of required particulars (section 33)</w:t>
      </w:r>
      <w:r>
        <w:tab/>
      </w:r>
      <w:r>
        <w:fldChar w:fldCharType="begin"/>
      </w:r>
      <w:r>
        <w:instrText xml:space="preserve"> PAGEREF _Toc91067992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excluded defects (Form 5)</w:t>
      </w:r>
      <w:r>
        <w:tab/>
      </w:r>
      <w:r>
        <w:fldChar w:fldCharType="begin"/>
      </w:r>
      <w:r>
        <w:instrText xml:space="preserve"> PAGEREF _Toc91067993 \h </w:instrText>
      </w:r>
      <w:r>
        <w:fldChar w:fldCharType="separate"/>
      </w:r>
      <w:r>
        <w:t>6</w:t>
      </w:r>
      <w:r>
        <w:fldChar w:fldCharType="end"/>
      </w:r>
    </w:p>
    <w:p>
      <w:pPr>
        <w:pStyle w:val="TOC8"/>
        <w:rPr>
          <w:rFonts w:asciiTheme="minorHAnsi" w:eastAsiaTheme="minorEastAsia" w:hAnsiTheme="minorHAnsi" w:cstheme="minorBidi"/>
          <w:szCs w:val="22"/>
        </w:rPr>
      </w:pPr>
      <w:r>
        <w:t>7.</w:t>
      </w:r>
      <w:r>
        <w:tab/>
        <w:t>Copies of notice at time of sale (section 33(7))</w:t>
      </w:r>
      <w:r>
        <w:tab/>
      </w:r>
      <w:r>
        <w:fldChar w:fldCharType="begin"/>
      </w:r>
      <w:r>
        <w:instrText xml:space="preserve"> PAGEREF _Toc91067994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Trust accounts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10A.</w:t>
      </w:r>
      <w:r>
        <w:tab/>
      </w:r>
      <w:r>
        <w:rPr>
          <w:snapToGrid w:val="0"/>
        </w:rPr>
        <w:t>Application</w:t>
      </w:r>
      <w:r>
        <w:tab/>
      </w:r>
      <w:r>
        <w:fldChar w:fldCharType="begin"/>
      </w:r>
      <w:r>
        <w:instrText xml:space="preserve"> PAGEREF _Toc91067997 \h </w:instrText>
      </w:r>
      <w:r>
        <w:fldChar w:fldCharType="separate"/>
      </w:r>
      <w:r>
        <w:t>7</w:t>
      </w:r>
      <w:r>
        <w:fldChar w:fldCharType="end"/>
      </w:r>
    </w:p>
    <w:p>
      <w:pPr>
        <w:pStyle w:val="TOC8"/>
        <w:rPr>
          <w:rFonts w:asciiTheme="minorHAnsi" w:eastAsiaTheme="minorEastAsia" w:hAnsiTheme="minorHAnsi" w:cstheme="minorBidi"/>
          <w:szCs w:val="22"/>
        </w:rPr>
      </w:pPr>
      <w:r>
        <w:t>10B.</w:t>
      </w:r>
      <w:r>
        <w:tab/>
        <w:t>Prescribed financial institutions (section 32C)</w:t>
      </w:r>
      <w:r>
        <w:tab/>
      </w:r>
      <w:r>
        <w:fldChar w:fldCharType="begin"/>
      </w:r>
      <w:r>
        <w:instrText xml:space="preserve"> PAGEREF _Toc91067998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Keeping and management of trust accounts</w:t>
      </w:r>
    </w:p>
    <w:p>
      <w:pPr>
        <w:pStyle w:val="TOC8"/>
        <w:rPr>
          <w:rFonts w:asciiTheme="minorHAnsi" w:eastAsiaTheme="minorEastAsia" w:hAnsiTheme="minorHAnsi" w:cstheme="minorBidi"/>
          <w:szCs w:val="22"/>
        </w:rPr>
      </w:pPr>
      <w:r>
        <w:t>10C.</w:t>
      </w:r>
      <w:r>
        <w:tab/>
        <w:t>Information to be given by the dealer to the Commissioner</w:t>
      </w:r>
      <w:r>
        <w:tab/>
      </w:r>
      <w:r>
        <w:fldChar w:fldCharType="begin"/>
      </w:r>
      <w:r>
        <w:instrText xml:space="preserve"> PAGEREF _Toc91068000 \h </w:instrText>
      </w:r>
      <w:r>
        <w:fldChar w:fldCharType="separate"/>
      </w:r>
      <w:r>
        <w:t>7</w:t>
      </w:r>
      <w:r>
        <w:fldChar w:fldCharType="end"/>
      </w:r>
    </w:p>
    <w:p>
      <w:pPr>
        <w:pStyle w:val="TOC8"/>
        <w:rPr>
          <w:rFonts w:asciiTheme="minorHAnsi" w:eastAsiaTheme="minorEastAsia" w:hAnsiTheme="minorHAnsi" w:cstheme="minorBidi"/>
          <w:szCs w:val="22"/>
        </w:rPr>
      </w:pPr>
      <w:r>
        <w:t>10D.</w:t>
      </w:r>
      <w:r>
        <w:tab/>
        <w:t>Trust accounts records</w:t>
      </w:r>
      <w:r>
        <w:tab/>
      </w:r>
      <w:r>
        <w:fldChar w:fldCharType="begin"/>
      </w:r>
      <w:r>
        <w:instrText xml:space="preserve"> PAGEREF _Toc91068001 \h </w:instrText>
      </w:r>
      <w:r>
        <w:fldChar w:fldCharType="separate"/>
      </w:r>
      <w:r>
        <w:t>8</w:t>
      </w:r>
      <w:r>
        <w:fldChar w:fldCharType="end"/>
      </w:r>
    </w:p>
    <w:p>
      <w:pPr>
        <w:pStyle w:val="TOC8"/>
        <w:rPr>
          <w:rFonts w:asciiTheme="minorHAnsi" w:eastAsiaTheme="minorEastAsia" w:hAnsiTheme="minorHAnsi" w:cstheme="minorBidi"/>
          <w:szCs w:val="22"/>
        </w:rPr>
      </w:pPr>
      <w:r>
        <w:t>10E.</w:t>
      </w:r>
      <w:r>
        <w:tab/>
        <w:t>Manner of accounting for moneys received</w:t>
      </w:r>
      <w:r>
        <w:tab/>
      </w:r>
      <w:r>
        <w:fldChar w:fldCharType="begin"/>
      </w:r>
      <w:r>
        <w:instrText xml:space="preserve"> PAGEREF _Toc91068002 \h </w:instrText>
      </w:r>
      <w:r>
        <w:fldChar w:fldCharType="separate"/>
      </w:r>
      <w:r>
        <w:t>8</w:t>
      </w:r>
      <w:r>
        <w:fldChar w:fldCharType="end"/>
      </w:r>
    </w:p>
    <w:p>
      <w:pPr>
        <w:pStyle w:val="TOC8"/>
        <w:rPr>
          <w:rFonts w:asciiTheme="minorHAnsi" w:eastAsiaTheme="minorEastAsia" w:hAnsiTheme="minorHAnsi" w:cstheme="minorBidi"/>
          <w:szCs w:val="22"/>
        </w:rPr>
      </w:pPr>
      <w:r>
        <w:t>10F.</w:t>
      </w:r>
      <w:r>
        <w:tab/>
        <w:t>Prescribed period for giving of statutory declaration</w:t>
      </w:r>
      <w:r>
        <w:tab/>
      </w:r>
      <w:r>
        <w:fldChar w:fldCharType="begin"/>
      </w:r>
      <w:r>
        <w:instrText xml:space="preserve"> PAGEREF _Toc91068003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Duties of financial institutions</w:t>
      </w:r>
    </w:p>
    <w:p>
      <w:pPr>
        <w:pStyle w:val="TOC8"/>
        <w:rPr>
          <w:rFonts w:asciiTheme="minorHAnsi" w:eastAsiaTheme="minorEastAsia" w:hAnsiTheme="minorHAnsi" w:cstheme="minorBidi"/>
          <w:szCs w:val="22"/>
        </w:rPr>
      </w:pPr>
      <w:r>
        <w:t>10G.</w:t>
      </w:r>
      <w:r>
        <w:tab/>
        <w:t>Reporting overdrawn accounts</w:t>
      </w:r>
      <w:r>
        <w:tab/>
      </w:r>
      <w:r>
        <w:fldChar w:fldCharType="begin"/>
      </w:r>
      <w:r>
        <w:instrText xml:space="preserve"> PAGEREF _Toc91068005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Auditing of trust accounts</w:t>
      </w:r>
    </w:p>
    <w:p>
      <w:pPr>
        <w:pStyle w:val="TOC8"/>
        <w:rPr>
          <w:rFonts w:asciiTheme="minorHAnsi" w:eastAsiaTheme="minorEastAsia" w:hAnsiTheme="minorHAnsi" w:cstheme="minorBidi"/>
          <w:szCs w:val="22"/>
        </w:rPr>
      </w:pPr>
      <w:r>
        <w:t>10H.</w:t>
      </w:r>
      <w:r>
        <w:tab/>
        <w:t>Appointment of auditors</w:t>
      </w:r>
      <w:r>
        <w:tab/>
      </w:r>
      <w:r>
        <w:fldChar w:fldCharType="begin"/>
      </w:r>
      <w:r>
        <w:instrText xml:space="preserve"> PAGEREF _Toc91068007 \h </w:instrText>
      </w:r>
      <w:r>
        <w:fldChar w:fldCharType="separate"/>
      </w:r>
      <w:r>
        <w:t>9</w:t>
      </w:r>
      <w:r>
        <w:fldChar w:fldCharType="end"/>
      </w:r>
    </w:p>
    <w:p>
      <w:pPr>
        <w:pStyle w:val="TOC8"/>
        <w:rPr>
          <w:rFonts w:asciiTheme="minorHAnsi" w:eastAsiaTheme="minorEastAsia" w:hAnsiTheme="minorHAnsi" w:cstheme="minorBidi"/>
          <w:szCs w:val="22"/>
        </w:rPr>
      </w:pPr>
      <w:r>
        <w:t>10I.</w:t>
      </w:r>
      <w:r>
        <w:tab/>
        <w:t>Production of records to auditors</w:t>
      </w:r>
      <w:r>
        <w:tab/>
      </w:r>
      <w:r>
        <w:fldChar w:fldCharType="begin"/>
      </w:r>
      <w:r>
        <w:instrText xml:space="preserve"> PAGEREF _Toc91068008 \h </w:instrText>
      </w:r>
      <w:r>
        <w:fldChar w:fldCharType="separate"/>
      </w:r>
      <w:r>
        <w:t>10</w:t>
      </w:r>
      <w:r>
        <w:fldChar w:fldCharType="end"/>
      </w:r>
    </w:p>
    <w:p>
      <w:pPr>
        <w:pStyle w:val="TOC8"/>
        <w:rPr>
          <w:rFonts w:asciiTheme="minorHAnsi" w:eastAsiaTheme="minorEastAsia" w:hAnsiTheme="minorHAnsi" w:cstheme="minorBidi"/>
          <w:szCs w:val="22"/>
        </w:rPr>
      </w:pPr>
      <w:r>
        <w:t>10J.</w:t>
      </w:r>
      <w:r>
        <w:tab/>
        <w:t>Conduct of audits</w:t>
      </w:r>
      <w:r>
        <w:tab/>
      </w:r>
      <w:r>
        <w:fldChar w:fldCharType="begin"/>
      </w:r>
      <w:r>
        <w:instrText xml:space="preserve"> PAGEREF _Toc91068009 \h </w:instrText>
      </w:r>
      <w:r>
        <w:fldChar w:fldCharType="separate"/>
      </w:r>
      <w:r>
        <w:t>10</w:t>
      </w:r>
      <w:r>
        <w:fldChar w:fldCharType="end"/>
      </w:r>
    </w:p>
    <w:p>
      <w:pPr>
        <w:pStyle w:val="TOC8"/>
        <w:rPr>
          <w:rFonts w:asciiTheme="minorHAnsi" w:eastAsiaTheme="minorEastAsia" w:hAnsiTheme="minorHAnsi" w:cstheme="minorBidi"/>
          <w:szCs w:val="22"/>
        </w:rPr>
      </w:pPr>
      <w:r>
        <w:t>10K.</w:t>
      </w:r>
      <w:r>
        <w:tab/>
        <w:t>Auditors’ reports, contents of</w:t>
      </w:r>
      <w:r>
        <w:tab/>
      </w:r>
      <w:r>
        <w:fldChar w:fldCharType="begin"/>
      </w:r>
      <w:r>
        <w:instrText xml:space="preserve"> PAGEREF _Toc91068010 \h </w:instrText>
      </w:r>
      <w:r>
        <w:fldChar w:fldCharType="separate"/>
      </w:r>
      <w:r>
        <w:t>10</w:t>
      </w:r>
      <w:r>
        <w:fldChar w:fldCharType="end"/>
      </w:r>
    </w:p>
    <w:p>
      <w:pPr>
        <w:pStyle w:val="TOC8"/>
        <w:rPr>
          <w:rFonts w:asciiTheme="minorHAnsi" w:eastAsiaTheme="minorEastAsia" w:hAnsiTheme="minorHAnsi" w:cstheme="minorBidi"/>
          <w:szCs w:val="22"/>
        </w:rPr>
      </w:pPr>
      <w:r>
        <w:t>10L.</w:t>
      </w:r>
      <w:r>
        <w:tab/>
        <w:t>Obligation of auditor to disclose certain information</w:t>
      </w:r>
      <w:r>
        <w:tab/>
      </w:r>
      <w:r>
        <w:fldChar w:fldCharType="begin"/>
      </w:r>
      <w:r>
        <w:instrText xml:space="preserve"> PAGEREF _Toc91068011 \h </w:instrText>
      </w:r>
      <w:r>
        <w:fldChar w:fldCharType="separate"/>
      </w:r>
      <w:r>
        <w:t>11</w:t>
      </w:r>
      <w:r>
        <w:fldChar w:fldCharType="end"/>
      </w:r>
    </w:p>
    <w:p>
      <w:pPr>
        <w:pStyle w:val="TOC8"/>
        <w:rPr>
          <w:rFonts w:asciiTheme="minorHAnsi" w:eastAsiaTheme="minorEastAsia" w:hAnsiTheme="minorHAnsi" w:cstheme="minorBidi"/>
          <w:szCs w:val="22"/>
        </w:rPr>
      </w:pPr>
      <w:r>
        <w:t>10M.</w:t>
      </w:r>
      <w:r>
        <w:tab/>
        <w:t>Costs of auditing</w:t>
      </w:r>
      <w:r>
        <w:tab/>
      </w:r>
      <w:r>
        <w:fldChar w:fldCharType="begin"/>
      </w:r>
      <w:r>
        <w:instrText xml:space="preserve"> PAGEREF _Toc91068012 \h </w:instrText>
      </w:r>
      <w:r>
        <w:fldChar w:fldCharType="separate"/>
      </w:r>
      <w:r>
        <w:t>11</w:t>
      </w:r>
      <w:r>
        <w:fldChar w:fldCharType="end"/>
      </w:r>
    </w:p>
    <w:p>
      <w:pPr>
        <w:pStyle w:val="TOC8"/>
        <w:rPr>
          <w:rFonts w:asciiTheme="minorHAnsi" w:eastAsiaTheme="minorEastAsia" w:hAnsiTheme="minorHAnsi" w:cstheme="minorBidi"/>
          <w:szCs w:val="22"/>
        </w:rPr>
      </w:pPr>
      <w:r>
        <w:t>10N.</w:t>
      </w:r>
      <w:r>
        <w:tab/>
        <w:t>When and to whom the auditor must report</w:t>
      </w:r>
      <w:r>
        <w:tab/>
      </w:r>
      <w:r>
        <w:fldChar w:fldCharType="begin"/>
      </w:r>
      <w:r>
        <w:instrText xml:space="preserve"> PAGEREF _Toc91068013 \h </w:instrText>
      </w:r>
      <w:r>
        <w:fldChar w:fldCharType="separate"/>
      </w:r>
      <w:r>
        <w:t>11</w:t>
      </w:r>
      <w:r>
        <w:fldChar w:fldCharType="end"/>
      </w:r>
    </w:p>
    <w:p>
      <w:pPr>
        <w:pStyle w:val="TOC8"/>
        <w:rPr>
          <w:rFonts w:asciiTheme="minorHAnsi" w:eastAsiaTheme="minorEastAsia" w:hAnsiTheme="minorHAnsi" w:cstheme="minorBidi"/>
          <w:szCs w:val="22"/>
        </w:rPr>
      </w:pPr>
      <w:r>
        <w:t>10NA.</w:t>
      </w:r>
      <w:r>
        <w:tab/>
        <w:t>Transitional audit arrangements</w:t>
      </w:r>
      <w:r>
        <w:tab/>
      </w:r>
      <w:r>
        <w:fldChar w:fldCharType="begin"/>
      </w:r>
      <w:r>
        <w:instrText xml:space="preserve"> PAGEREF _Toc91068014 \h </w:instrText>
      </w:r>
      <w:r>
        <w:fldChar w:fldCharType="separate"/>
      </w:r>
      <w:r>
        <w:t>12</w:t>
      </w:r>
      <w:r>
        <w:fldChar w:fldCharType="end"/>
      </w:r>
    </w:p>
    <w:p>
      <w:pPr>
        <w:pStyle w:val="TOC8"/>
        <w:rPr>
          <w:rFonts w:asciiTheme="minorHAnsi" w:eastAsiaTheme="minorEastAsia" w:hAnsiTheme="minorHAnsi" w:cstheme="minorBidi"/>
          <w:szCs w:val="22"/>
        </w:rPr>
      </w:pPr>
      <w:r>
        <w:t>10O.</w:t>
      </w:r>
      <w:r>
        <w:tab/>
        <w:t>Confidentiality of audit information</w:t>
      </w:r>
      <w:r>
        <w:tab/>
      </w:r>
      <w:r>
        <w:fldChar w:fldCharType="begin"/>
      </w:r>
      <w:r>
        <w:instrText xml:space="preserve"> PAGEREF _Toc91068015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Advertising</w:t>
      </w:r>
      <w:r>
        <w:tab/>
      </w:r>
      <w:r>
        <w:fldChar w:fldCharType="begin"/>
      </w:r>
      <w:r>
        <w:instrText xml:space="preserve"> PAGEREF _Toc91068017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requirements</w:t>
      </w:r>
      <w:r>
        <w:rPr>
          <w:snapToGrid w:val="0"/>
        </w:rPr>
        <w:t xml:space="preserve"> for vehicle consignment agreements (Schedule 4)</w:t>
      </w:r>
      <w:r>
        <w:tab/>
      </w:r>
      <w:r>
        <w:fldChar w:fldCharType="begin"/>
      </w:r>
      <w:r>
        <w:instrText xml:space="preserve"> PAGEREF _Toc91068018 \h </w:instrText>
      </w:r>
      <w:r>
        <w:fldChar w:fldCharType="separate"/>
      </w:r>
      <w:r>
        <w:t>14</w:t>
      </w:r>
      <w:r>
        <w:fldChar w:fldCharType="end"/>
      </w:r>
    </w:p>
    <w:p>
      <w:pPr>
        <w:pStyle w:val="TOC8"/>
        <w:rPr>
          <w:rFonts w:asciiTheme="minorHAnsi" w:eastAsiaTheme="minorEastAsia" w:hAnsiTheme="minorHAnsi" w:cstheme="minorBidi"/>
          <w:szCs w:val="22"/>
        </w:rPr>
      </w:pPr>
      <w:r>
        <w:t>13B.</w:t>
      </w:r>
      <w:r>
        <w:tab/>
        <w:t>Prescribed requirements for vehicle sale agreements (Schedule 5)</w:t>
      </w:r>
      <w:r>
        <w:tab/>
      </w:r>
      <w:r>
        <w:fldChar w:fldCharType="begin"/>
      </w:r>
      <w:r>
        <w:instrText xml:space="preserve"> PAGEREF _Toc91068019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_Toc91068020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 — Register of transactions</w:t>
      </w:r>
    </w:p>
    <w:p>
      <w:pPr>
        <w:pStyle w:val="TOC4"/>
        <w:tabs>
          <w:tab w:val="right" w:leader="dot" w:pos="7077"/>
        </w:tabs>
        <w:rPr>
          <w:rFonts w:asciiTheme="minorHAnsi" w:eastAsiaTheme="minorEastAsia" w:hAnsiTheme="minorHAnsi" w:cstheme="minorBidi"/>
          <w:b w:val="0"/>
          <w:szCs w:val="22"/>
        </w:rPr>
      </w:pPr>
      <w:r>
        <w:t>Form 4</w:t>
      </w:r>
      <w:r>
        <w:rPr>
          <w:b w:val="0"/>
        </w:rPr>
        <w:t> — </w:t>
      </w:r>
      <w:r>
        <w:t>Vehicle particulars and warranty</w:t>
      </w:r>
    </w:p>
    <w:p>
      <w:pPr>
        <w:pStyle w:val="TOC4"/>
        <w:tabs>
          <w:tab w:val="right" w:leader="dot" w:pos="7077"/>
        </w:tabs>
        <w:rPr>
          <w:rFonts w:asciiTheme="minorHAnsi" w:eastAsiaTheme="minorEastAsia" w:hAnsiTheme="minorHAnsi" w:cstheme="minorBidi"/>
          <w:b w:val="0"/>
          <w:szCs w:val="22"/>
        </w:rPr>
      </w:pPr>
      <w:r>
        <w:t>Form 5</w:t>
      </w:r>
      <w:r>
        <w:rPr>
          <w:b w:val="0"/>
        </w:rPr>
        <w:t> — </w:t>
      </w:r>
      <w:r>
        <w:t>Notice of defects excluded from warranty</w:t>
      </w:r>
    </w:p>
    <w:p>
      <w:pPr>
        <w:pStyle w:val="TOC4"/>
        <w:tabs>
          <w:tab w:val="right" w:leader="dot" w:pos="7077"/>
        </w:tabs>
        <w:rPr>
          <w:rFonts w:asciiTheme="minorHAnsi" w:eastAsiaTheme="minorEastAsia" w:hAnsiTheme="minorHAnsi" w:cstheme="minorBidi"/>
          <w:b w:val="0"/>
          <w:szCs w:val="22"/>
        </w:rPr>
      </w:pPr>
      <w:r>
        <w:t>Form 6</w:t>
      </w:r>
      <w:r>
        <w:rPr>
          <w:b w:val="0"/>
        </w:rPr>
        <w:t> — </w:t>
      </w:r>
      <w:r>
        <w:t>Vehicle particulars — no warranty</w:t>
      </w:r>
    </w:p>
    <w:p>
      <w:pPr>
        <w:pStyle w:val="TOC2"/>
        <w:tabs>
          <w:tab w:val="right" w:leader="dot" w:pos="7077"/>
        </w:tabs>
        <w:rPr>
          <w:rFonts w:asciiTheme="minorHAnsi" w:eastAsiaTheme="minorEastAsia" w:hAnsiTheme="minorHAnsi" w:cstheme="minorBidi"/>
          <w:b w:val="0"/>
          <w:sz w:val="22"/>
          <w:szCs w:val="22"/>
        </w:rPr>
      </w:pPr>
      <w:r>
        <w:t>Schedule 4 — Vehicle consignment contract</w:t>
      </w:r>
    </w:p>
    <w:p>
      <w:pPr>
        <w:pStyle w:val="TOC2"/>
        <w:tabs>
          <w:tab w:val="right" w:leader="dot" w:pos="7077"/>
        </w:tabs>
        <w:rPr>
          <w:rFonts w:asciiTheme="minorHAnsi" w:eastAsiaTheme="minorEastAsia" w:hAnsiTheme="minorHAnsi" w:cstheme="minorBidi"/>
          <w:b w:val="0"/>
          <w:sz w:val="22"/>
          <w:szCs w:val="22"/>
        </w:rPr>
      </w:pPr>
      <w:r>
        <w:t>Schedule 5 — Vehicle sale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_Toc91068029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Motor Vehicle Dealers Act 1973</w:t>
      </w:r>
    </w:p>
    <w:p>
      <w:pPr>
        <w:pStyle w:val="NameofActReg"/>
        <w:spacing w:before="400" w:after="480"/>
      </w:pPr>
      <w:r>
        <w:t>Motor Vehicle Dealers (Sales) Regulations 1974</w:t>
      </w:r>
    </w:p>
    <w:p>
      <w:pPr>
        <w:pStyle w:val="Heading2"/>
        <w:pageBreakBefore w:val="0"/>
      </w:pPr>
      <w:bookmarkStart w:id="3" w:name="_Toc91056950"/>
      <w:bookmarkStart w:id="4" w:name="_Toc91057162"/>
      <w:bookmarkStart w:id="5" w:name="_Toc91067985"/>
      <w:r>
        <w:rPr>
          <w:rStyle w:val="CharPartNo"/>
        </w:rPr>
        <w:t>Part 1</w:t>
      </w:r>
      <w:r>
        <w:t xml:space="preserve"> — </w:t>
      </w:r>
      <w:r>
        <w:rPr>
          <w:rStyle w:val="CharPartText"/>
        </w:rPr>
        <w:t>Preliminary</w:t>
      </w:r>
      <w:bookmarkEnd w:id="3"/>
      <w:bookmarkEnd w:id="4"/>
      <w:bookmarkEnd w:id="5"/>
    </w:p>
    <w:p>
      <w:pPr>
        <w:pStyle w:val="Footnoteheading"/>
        <w:tabs>
          <w:tab w:val="left" w:pos="851"/>
        </w:tabs>
      </w:pPr>
      <w:r>
        <w:tab/>
        <w:t>[Heading inserted: Gazette 13 Aug 2002 p. 4159.]</w:t>
      </w:r>
    </w:p>
    <w:p>
      <w:pPr>
        <w:pStyle w:val="Heading5"/>
        <w:spacing w:before="180"/>
        <w:rPr>
          <w:snapToGrid w:val="0"/>
        </w:rPr>
      </w:pPr>
      <w:bookmarkStart w:id="6" w:name="_Toc91067986"/>
      <w:r>
        <w:rPr>
          <w:rStyle w:val="CharSectno"/>
        </w:rPr>
        <w:t>1</w:t>
      </w:r>
      <w:r>
        <w:rPr>
          <w:snapToGrid w:val="0"/>
        </w:rPr>
        <w:t>.</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w:t>
      </w:r>
    </w:p>
    <w:p>
      <w:pPr>
        <w:pStyle w:val="Heading5"/>
        <w:spacing w:before="180"/>
        <w:rPr>
          <w:rStyle w:val="CharSectno"/>
        </w:rPr>
      </w:pPr>
      <w:bookmarkStart w:id="7" w:name="_Toc91067987"/>
      <w:r>
        <w:rPr>
          <w:rStyle w:val="CharSectno"/>
        </w:rPr>
        <w:t>2.</w:t>
      </w:r>
      <w:r>
        <w:rPr>
          <w:rStyle w:val="CharSectno"/>
        </w:rPr>
        <w:tab/>
        <w:t>Interpretation</w:t>
      </w:r>
      <w:bookmarkEnd w:id="7"/>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Gazette 13 Aug 2002 p. 4159; 17 Nov 2006 p. 4750.]</w:t>
      </w:r>
    </w:p>
    <w:p>
      <w:pPr>
        <w:pStyle w:val="Heading2"/>
      </w:pPr>
      <w:bookmarkStart w:id="8" w:name="_Toc91056953"/>
      <w:bookmarkStart w:id="9" w:name="_Toc91057165"/>
      <w:bookmarkStart w:id="10" w:name="_Toc91067988"/>
      <w:r>
        <w:rPr>
          <w:rStyle w:val="CharPartNo"/>
        </w:rPr>
        <w:lastRenderedPageBreak/>
        <w:t>Part 2</w:t>
      </w:r>
      <w:r>
        <w:t xml:space="preserve"> — </w:t>
      </w:r>
      <w:r>
        <w:rPr>
          <w:rStyle w:val="CharPartText"/>
        </w:rPr>
        <w:t>Forms</w:t>
      </w:r>
      <w:bookmarkEnd w:id="8"/>
      <w:bookmarkEnd w:id="9"/>
      <w:bookmarkEnd w:id="10"/>
    </w:p>
    <w:p>
      <w:pPr>
        <w:pStyle w:val="Footnoteheading"/>
        <w:tabs>
          <w:tab w:val="left" w:pos="851"/>
        </w:tabs>
      </w:pPr>
      <w:r>
        <w:tab/>
        <w:t>[Heading inserted: Gazette 13 Aug 2002 p. 4159.]</w:t>
      </w:r>
    </w:p>
    <w:p>
      <w:pPr>
        <w:pStyle w:val="Heading5"/>
      </w:pPr>
      <w:bookmarkStart w:id="11" w:name="_Toc91067989"/>
      <w:r>
        <w:rPr>
          <w:rStyle w:val="CharSectno"/>
        </w:rPr>
        <w:t>3</w:t>
      </w:r>
      <w:r>
        <w:t>.</w:t>
      </w:r>
      <w:r>
        <w:tab/>
        <w:t>Form of register of transactions</w:t>
      </w:r>
      <w:bookmarkEnd w:id="11"/>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Gazette 17 Nov 2006 p. 4750.]</w:t>
      </w:r>
    </w:p>
    <w:p>
      <w:pPr>
        <w:pStyle w:val="Heading5"/>
      </w:pPr>
      <w:bookmarkStart w:id="12" w:name="_Toc91067990"/>
      <w:r>
        <w:rPr>
          <w:rStyle w:val="CharSectno"/>
        </w:rPr>
        <w:t>4</w:t>
      </w:r>
      <w:r>
        <w:t>.</w:t>
      </w:r>
      <w:r>
        <w:tab/>
        <w:t>Registers kept in writing</w:t>
      </w:r>
      <w:bookmarkEnd w:id="12"/>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the person’s name in the Entered by column and the date of the entry in the Date entered column (see Form 1).</w:t>
      </w:r>
    </w:p>
    <w:p>
      <w:pPr>
        <w:pStyle w:val="Subsection"/>
      </w:pPr>
      <w:r>
        <w:tab/>
        <w:t>(5)</w:t>
      </w:r>
      <w:r>
        <w:tab/>
      </w:r>
      <w:r>
        <w:rPr>
          <w:snapToGrid w:val="0"/>
        </w:rPr>
        <w:t>The</w:t>
      </w:r>
      <w:r>
        <w:t xml:space="preserve"> register is to be clearly legible.</w:t>
      </w:r>
    </w:p>
    <w:p>
      <w:pPr>
        <w:pStyle w:val="Subsection"/>
      </w:pPr>
      <w:r>
        <w:lastRenderedPageBreak/>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Gazette 17 Nov 2006 p. 4751; amended: SL 2021/164 r. 12.]</w:t>
      </w:r>
    </w:p>
    <w:p>
      <w:pPr>
        <w:pStyle w:val="Heading5"/>
      </w:pPr>
      <w:bookmarkStart w:id="13" w:name="_Toc91067991"/>
      <w:r>
        <w:rPr>
          <w:rStyle w:val="CharSectno"/>
        </w:rPr>
        <w:t>4A</w:t>
      </w:r>
      <w:r>
        <w:t>.</w:t>
      </w:r>
      <w:r>
        <w:tab/>
        <w:t>Registers kept in electronic form</w:t>
      </w:r>
      <w:bookmarkEnd w:id="13"/>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Gazette 17 Nov 2006 p. 4751</w:t>
      </w:r>
      <w:r>
        <w:noBreakHyphen/>
        <w:t>2.]</w:t>
      </w:r>
    </w:p>
    <w:p>
      <w:pPr>
        <w:pStyle w:val="Heading5"/>
      </w:pPr>
      <w:bookmarkStart w:id="14" w:name="_Toc91067992"/>
      <w:r>
        <w:rPr>
          <w:rStyle w:val="CharSectno"/>
        </w:rPr>
        <w:lastRenderedPageBreak/>
        <w:t>5</w:t>
      </w:r>
      <w:r>
        <w:t>.</w:t>
      </w:r>
      <w:r>
        <w:tab/>
        <w:t>Notice of required particulars (section 33)</w:t>
      </w:r>
      <w:bookmarkEnd w:id="14"/>
    </w:p>
    <w:p>
      <w:pPr>
        <w:pStyle w:val="Subsection"/>
        <w:keepNext/>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lastRenderedPageBreak/>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Gazette 26 Jun 1998 p. 3375</w:t>
      </w:r>
      <w:r>
        <w:noBreakHyphen/>
        <w:t>6; amended: Gazette 18 Sep 1998 p. 5158; 30 Jun 2015 p. 2331.]</w:t>
      </w:r>
    </w:p>
    <w:p>
      <w:pPr>
        <w:pStyle w:val="Ednotesection"/>
        <w:rPr>
          <w:b/>
        </w:rPr>
      </w:pPr>
      <w:r>
        <w:t>[</w:t>
      </w:r>
      <w:r>
        <w:rPr>
          <w:b/>
        </w:rPr>
        <w:t>5A.</w:t>
      </w:r>
      <w:r>
        <w:rPr>
          <w:b/>
        </w:rPr>
        <w:tab/>
      </w:r>
      <w:r>
        <w:t>Deleted: Gazette 13 Aug 2002 p. 4160.]</w:t>
      </w:r>
    </w:p>
    <w:p>
      <w:pPr>
        <w:pStyle w:val="Heading5"/>
        <w:rPr>
          <w:snapToGrid w:val="0"/>
        </w:rPr>
      </w:pPr>
      <w:bookmarkStart w:id="15" w:name="_Toc91067993"/>
      <w:r>
        <w:rPr>
          <w:rStyle w:val="CharSectno"/>
        </w:rPr>
        <w:lastRenderedPageBreak/>
        <w:t>6</w:t>
      </w:r>
      <w:r>
        <w:rPr>
          <w:snapToGrid w:val="0"/>
        </w:rPr>
        <w:t>.</w:t>
      </w:r>
      <w:r>
        <w:rPr>
          <w:snapToGrid w:val="0"/>
        </w:rPr>
        <w:tab/>
        <w:t>Notice of excluded defects (Form 5)</w:t>
      </w:r>
      <w:bookmarkEnd w:id="15"/>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Gazette 11 Oct 1974 p. 3885; 17 Nov 2006 p. 4752.]</w:t>
      </w:r>
    </w:p>
    <w:p>
      <w:pPr>
        <w:pStyle w:val="Heading5"/>
      </w:pPr>
      <w:bookmarkStart w:id="16" w:name="_Toc91067994"/>
      <w:r>
        <w:rPr>
          <w:rStyle w:val="CharSectno"/>
        </w:rPr>
        <w:t>7</w:t>
      </w:r>
      <w:r>
        <w:t>.</w:t>
      </w:r>
      <w:r>
        <w:tab/>
        <w:t>Copies of notice at time of sale (section 33(7))</w:t>
      </w:r>
      <w:bookmarkEnd w:id="16"/>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Gazette 26 Jun 1998 p. 3376; amended: Gazette 17 Nov 2006 p. 4752.]</w:t>
      </w:r>
    </w:p>
    <w:p>
      <w:pPr>
        <w:pStyle w:val="Ednotesection"/>
      </w:pPr>
      <w:r>
        <w:t>[</w:t>
      </w:r>
      <w:r>
        <w:rPr>
          <w:b/>
          <w:bCs/>
        </w:rPr>
        <w:t>8</w:t>
      </w:r>
      <w:r>
        <w:rPr>
          <w:b/>
          <w:bCs/>
        </w:rPr>
        <w:noBreakHyphen/>
        <w:t>10.</w:t>
      </w:r>
      <w:r>
        <w:rPr>
          <w:b/>
          <w:bCs/>
        </w:rPr>
        <w:tab/>
      </w:r>
      <w:r>
        <w:t>Deleted: Gazette 17 Nov 2006 p. 4752.]</w:t>
      </w:r>
    </w:p>
    <w:p>
      <w:pPr>
        <w:pStyle w:val="Heading2"/>
      </w:pPr>
      <w:bookmarkStart w:id="17" w:name="_Toc91056960"/>
      <w:bookmarkStart w:id="18" w:name="_Toc91057172"/>
      <w:bookmarkStart w:id="19" w:name="_Toc91067995"/>
      <w:r>
        <w:rPr>
          <w:rStyle w:val="CharPartNo"/>
        </w:rPr>
        <w:lastRenderedPageBreak/>
        <w:t>Part 3</w:t>
      </w:r>
      <w:r>
        <w:t xml:space="preserve"> — </w:t>
      </w:r>
      <w:r>
        <w:rPr>
          <w:rStyle w:val="CharPartText"/>
        </w:rPr>
        <w:t>Trust accounts</w:t>
      </w:r>
      <w:bookmarkEnd w:id="17"/>
      <w:bookmarkEnd w:id="18"/>
      <w:bookmarkEnd w:id="19"/>
    </w:p>
    <w:p>
      <w:pPr>
        <w:pStyle w:val="Footnoteheading"/>
        <w:tabs>
          <w:tab w:val="left" w:pos="851"/>
        </w:tabs>
      </w:pPr>
      <w:r>
        <w:tab/>
        <w:t>[Heading inserted: Gazette 13 Aug 2002 p. 4160.]</w:t>
      </w:r>
    </w:p>
    <w:p>
      <w:pPr>
        <w:pStyle w:val="Heading3"/>
      </w:pPr>
      <w:bookmarkStart w:id="20" w:name="_Toc91056961"/>
      <w:bookmarkStart w:id="21" w:name="_Toc91057173"/>
      <w:bookmarkStart w:id="22" w:name="_Toc91067996"/>
      <w:r>
        <w:rPr>
          <w:rStyle w:val="CharDivNo"/>
        </w:rPr>
        <w:t>Division 1</w:t>
      </w:r>
      <w:r>
        <w:t xml:space="preserve"> — </w:t>
      </w:r>
      <w:r>
        <w:rPr>
          <w:rStyle w:val="CharDivText"/>
        </w:rPr>
        <w:t>General</w:t>
      </w:r>
      <w:bookmarkEnd w:id="20"/>
      <w:bookmarkEnd w:id="21"/>
      <w:bookmarkEnd w:id="22"/>
    </w:p>
    <w:p>
      <w:pPr>
        <w:pStyle w:val="Footnoteheading"/>
        <w:tabs>
          <w:tab w:val="left" w:pos="851"/>
        </w:tabs>
      </w:pPr>
      <w:r>
        <w:tab/>
        <w:t>[Heading inserted: Gazette 13 Aug 2002 p. 4160.]</w:t>
      </w:r>
    </w:p>
    <w:p>
      <w:pPr>
        <w:pStyle w:val="Heading5"/>
      </w:pPr>
      <w:bookmarkStart w:id="23" w:name="_Toc91067997"/>
      <w:r>
        <w:rPr>
          <w:rStyle w:val="CharSectno"/>
        </w:rPr>
        <w:t>10A</w:t>
      </w:r>
      <w:r>
        <w:t>.</w:t>
      </w:r>
      <w:r>
        <w:tab/>
      </w:r>
      <w:r>
        <w:rPr>
          <w:snapToGrid w:val="0"/>
        </w:rPr>
        <w:t>Application</w:t>
      </w:r>
      <w:bookmarkEnd w:id="23"/>
    </w:p>
    <w:p>
      <w:pPr>
        <w:pStyle w:val="Subsection"/>
      </w:pPr>
      <w:r>
        <w:tab/>
      </w:r>
      <w:r>
        <w:tab/>
        <w:t>This Part applies to trust accounts required to be maintained by a dealer under section 32C.</w:t>
      </w:r>
    </w:p>
    <w:p>
      <w:pPr>
        <w:pStyle w:val="Footnotesection"/>
      </w:pPr>
      <w:r>
        <w:tab/>
        <w:t>[Regulation 10A inserted: Gazette 13 Aug 2002 p. 4160.]</w:t>
      </w:r>
    </w:p>
    <w:p>
      <w:pPr>
        <w:pStyle w:val="Heading5"/>
      </w:pPr>
      <w:bookmarkStart w:id="24" w:name="_Toc91067998"/>
      <w:r>
        <w:rPr>
          <w:rStyle w:val="CharSectno"/>
        </w:rPr>
        <w:t>10B</w:t>
      </w:r>
      <w:r>
        <w:t>.</w:t>
      </w:r>
      <w:r>
        <w:tab/>
        <w:t>Prescribed financial institutions (section 32C)</w:t>
      </w:r>
      <w:bookmarkEnd w:id="24"/>
    </w:p>
    <w:p>
      <w:pPr>
        <w:pStyle w:val="Subsection"/>
      </w:pPr>
      <w:r>
        <w:tab/>
      </w:r>
      <w:r>
        <w:tab/>
        <w:t>For the purposes of section 32C all banks, building societies and credit societies are prescribed financial institutions.</w:t>
      </w:r>
    </w:p>
    <w:p>
      <w:pPr>
        <w:pStyle w:val="Footnotesection"/>
      </w:pPr>
      <w:r>
        <w:tab/>
        <w:t>[Regulation 10B inserted: Gazette 13 Aug 2002 p. 4160.]</w:t>
      </w:r>
    </w:p>
    <w:p>
      <w:pPr>
        <w:pStyle w:val="Heading3"/>
      </w:pPr>
      <w:bookmarkStart w:id="25" w:name="_Toc91056964"/>
      <w:bookmarkStart w:id="26" w:name="_Toc91057176"/>
      <w:bookmarkStart w:id="27" w:name="_Toc91067999"/>
      <w:r>
        <w:rPr>
          <w:rStyle w:val="CharDivNo"/>
        </w:rPr>
        <w:t>Division 2</w:t>
      </w:r>
      <w:r>
        <w:t xml:space="preserve"> — </w:t>
      </w:r>
      <w:r>
        <w:rPr>
          <w:rStyle w:val="CharDivText"/>
        </w:rPr>
        <w:t>Keeping and management of trust accounts</w:t>
      </w:r>
      <w:bookmarkEnd w:id="25"/>
      <w:bookmarkEnd w:id="26"/>
      <w:bookmarkEnd w:id="27"/>
    </w:p>
    <w:p>
      <w:pPr>
        <w:pStyle w:val="Footnoteheading"/>
        <w:tabs>
          <w:tab w:val="left" w:pos="851"/>
        </w:tabs>
      </w:pPr>
      <w:r>
        <w:tab/>
        <w:t>[Heading inserted: Gazette 13 Aug 2002 p. 4160.]</w:t>
      </w:r>
    </w:p>
    <w:p>
      <w:pPr>
        <w:pStyle w:val="Heading5"/>
      </w:pPr>
      <w:bookmarkStart w:id="28" w:name="_Toc91068000"/>
      <w:r>
        <w:rPr>
          <w:rStyle w:val="CharSectno"/>
        </w:rPr>
        <w:t>10C</w:t>
      </w:r>
      <w:r>
        <w:t>.</w:t>
      </w:r>
      <w:r>
        <w:tab/>
        <w:t>Information to be given by the dealer to the Commissioner</w:t>
      </w:r>
      <w:bookmarkEnd w:id="28"/>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lastRenderedPageBreak/>
        <w:tab/>
        <w:t>(b)</w:t>
      </w:r>
      <w:r>
        <w:tab/>
        <w:t>the name and address of the financial institution with which the trust account is or was maintained.</w:t>
      </w:r>
    </w:p>
    <w:p>
      <w:pPr>
        <w:pStyle w:val="Footnotesection"/>
      </w:pPr>
      <w:r>
        <w:tab/>
        <w:t>[Regulation 10C inserted: Gazette 13 Aug 2002 p. 4160; amended: Gazette 30 Jun 2011 p. 2660.]</w:t>
      </w:r>
    </w:p>
    <w:p>
      <w:pPr>
        <w:pStyle w:val="Heading5"/>
      </w:pPr>
      <w:bookmarkStart w:id="29" w:name="_Toc91068001"/>
      <w:r>
        <w:rPr>
          <w:rStyle w:val="CharSectno"/>
        </w:rPr>
        <w:t>10D</w:t>
      </w:r>
      <w:r>
        <w:t>.</w:t>
      </w:r>
      <w:r>
        <w:tab/>
        <w:t>Trust accounts records</w:t>
      </w:r>
      <w:bookmarkEnd w:id="29"/>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Gazette 13 Aug 2002 p. 4160</w:t>
      </w:r>
      <w:r>
        <w:noBreakHyphen/>
        <w:t>1.]</w:t>
      </w:r>
    </w:p>
    <w:p>
      <w:pPr>
        <w:pStyle w:val="Heading5"/>
      </w:pPr>
      <w:bookmarkStart w:id="30" w:name="_Toc91068002"/>
      <w:r>
        <w:rPr>
          <w:rStyle w:val="CharSectno"/>
        </w:rPr>
        <w:t>10E</w:t>
      </w:r>
      <w:r>
        <w:t>.</w:t>
      </w:r>
      <w:r>
        <w:tab/>
        <w:t>Manner of accounting for moneys received</w:t>
      </w:r>
      <w:bookmarkEnd w:id="30"/>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lastRenderedPageBreak/>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Gazette 13 Aug 2002 p. 4161.]</w:t>
      </w:r>
    </w:p>
    <w:p>
      <w:pPr>
        <w:pStyle w:val="Heading5"/>
      </w:pPr>
      <w:bookmarkStart w:id="31" w:name="_Toc91068003"/>
      <w:r>
        <w:rPr>
          <w:rStyle w:val="CharSectno"/>
        </w:rPr>
        <w:t>10F</w:t>
      </w:r>
      <w:r>
        <w:t>.</w:t>
      </w:r>
      <w:r>
        <w:tab/>
        <w:t>Prescribed period for giving of statutory declaration</w:t>
      </w:r>
      <w:bookmarkEnd w:id="31"/>
    </w:p>
    <w:p>
      <w:pPr>
        <w:pStyle w:val="Subsection"/>
      </w:pPr>
      <w:r>
        <w:tab/>
      </w:r>
      <w:r>
        <w:tab/>
        <w:t>For the purposes of section 32I(2)(c) of the Act, the period for giving a statutory declaration in respect of a year is the period of 3 months commencing at the end of the year.</w:t>
      </w:r>
    </w:p>
    <w:p>
      <w:pPr>
        <w:pStyle w:val="Footnotesection"/>
      </w:pPr>
      <w:r>
        <w:tab/>
        <w:t>[Regulation 10F inserted: Gazette 27 Jun 2017 p. 3415.]</w:t>
      </w:r>
    </w:p>
    <w:p>
      <w:pPr>
        <w:pStyle w:val="Heading3"/>
      </w:pPr>
      <w:bookmarkStart w:id="32" w:name="_Toc91056969"/>
      <w:bookmarkStart w:id="33" w:name="_Toc91057181"/>
      <w:bookmarkStart w:id="34" w:name="_Toc91068004"/>
      <w:r>
        <w:rPr>
          <w:rStyle w:val="CharDivNo"/>
        </w:rPr>
        <w:t>Division 3</w:t>
      </w:r>
      <w:r>
        <w:t xml:space="preserve"> — </w:t>
      </w:r>
      <w:r>
        <w:rPr>
          <w:rStyle w:val="CharDivText"/>
        </w:rPr>
        <w:t>Duties of financial institutions</w:t>
      </w:r>
      <w:bookmarkEnd w:id="32"/>
      <w:bookmarkEnd w:id="33"/>
      <w:bookmarkEnd w:id="34"/>
    </w:p>
    <w:p>
      <w:pPr>
        <w:pStyle w:val="Footnoteheading"/>
        <w:tabs>
          <w:tab w:val="left" w:pos="851"/>
        </w:tabs>
      </w:pPr>
      <w:r>
        <w:tab/>
        <w:t>[Heading inserted: Gazette 13 Aug 2002 p. 4161.]</w:t>
      </w:r>
    </w:p>
    <w:p>
      <w:pPr>
        <w:pStyle w:val="Heading5"/>
      </w:pPr>
      <w:bookmarkStart w:id="35" w:name="_Toc91068005"/>
      <w:r>
        <w:rPr>
          <w:rStyle w:val="CharSectno"/>
        </w:rPr>
        <w:t>10G</w:t>
      </w:r>
      <w:r>
        <w:t>.</w:t>
      </w:r>
      <w:r>
        <w:tab/>
        <w:t>Reporting overdrawn accounts</w:t>
      </w:r>
      <w:bookmarkEnd w:id="35"/>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Gazette 13 Aug 2002 p. 4161; amended: Gazette 30 Jun 2011 p. 2660.]</w:t>
      </w:r>
    </w:p>
    <w:p>
      <w:pPr>
        <w:pStyle w:val="Heading3"/>
      </w:pPr>
      <w:bookmarkStart w:id="36" w:name="_Toc91056971"/>
      <w:bookmarkStart w:id="37" w:name="_Toc91057183"/>
      <w:bookmarkStart w:id="38" w:name="_Toc91068006"/>
      <w:r>
        <w:rPr>
          <w:rStyle w:val="CharDivNo"/>
        </w:rPr>
        <w:t>Division 4</w:t>
      </w:r>
      <w:r>
        <w:t xml:space="preserve"> — </w:t>
      </w:r>
      <w:r>
        <w:rPr>
          <w:rStyle w:val="CharDivText"/>
        </w:rPr>
        <w:t>Auditing of trust accounts</w:t>
      </w:r>
      <w:bookmarkEnd w:id="36"/>
      <w:bookmarkEnd w:id="37"/>
      <w:bookmarkEnd w:id="38"/>
    </w:p>
    <w:p>
      <w:pPr>
        <w:pStyle w:val="Footnoteheading"/>
        <w:tabs>
          <w:tab w:val="left" w:pos="851"/>
        </w:tabs>
      </w:pPr>
      <w:r>
        <w:tab/>
        <w:t>[Heading inserted: Gazette 13 Aug 2002 p. 4161.]</w:t>
      </w:r>
    </w:p>
    <w:p>
      <w:pPr>
        <w:pStyle w:val="Heading5"/>
      </w:pPr>
      <w:bookmarkStart w:id="39" w:name="_Toc91068007"/>
      <w:r>
        <w:rPr>
          <w:rStyle w:val="CharSectno"/>
        </w:rPr>
        <w:t>10H</w:t>
      </w:r>
      <w:r>
        <w:t>.</w:t>
      </w:r>
      <w:r>
        <w:tab/>
        <w:t>Appointment of auditors</w:t>
      </w:r>
      <w:bookmarkEnd w:id="39"/>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lastRenderedPageBreak/>
        <w:tab/>
        <w:t>[Regulation 10H inserted: Gazette 13 Aug 2002 p. 4161</w:t>
      </w:r>
      <w:r>
        <w:noBreakHyphen/>
        <w:t>2; amended: Gazette 30 Jun 2011 p. 2660.]</w:t>
      </w:r>
    </w:p>
    <w:p>
      <w:pPr>
        <w:pStyle w:val="Heading5"/>
      </w:pPr>
      <w:bookmarkStart w:id="40" w:name="_Toc91068008"/>
      <w:r>
        <w:rPr>
          <w:rStyle w:val="CharSectno"/>
        </w:rPr>
        <w:t>10I</w:t>
      </w:r>
      <w:r>
        <w:t>.</w:t>
      </w:r>
      <w:r>
        <w:tab/>
        <w:t>Production of records to auditors</w:t>
      </w:r>
      <w:bookmarkEnd w:id="40"/>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Gazette 13 Aug 2002 p. 4162.]</w:t>
      </w:r>
    </w:p>
    <w:p>
      <w:pPr>
        <w:pStyle w:val="Heading5"/>
      </w:pPr>
      <w:bookmarkStart w:id="41" w:name="_Toc91068009"/>
      <w:r>
        <w:rPr>
          <w:rStyle w:val="CharSectno"/>
        </w:rPr>
        <w:t>10J</w:t>
      </w:r>
      <w:r>
        <w:t>.</w:t>
      </w:r>
      <w:r>
        <w:tab/>
        <w:t>Conduct of audits</w:t>
      </w:r>
      <w:bookmarkEnd w:id="41"/>
    </w:p>
    <w:p>
      <w:pPr>
        <w:pStyle w:val="Subsection"/>
      </w:pPr>
      <w:r>
        <w:tab/>
      </w:r>
      <w:r>
        <w:tab/>
        <w:t xml:space="preserve">The auditor must conduct the audit in accordance with — </w:t>
      </w:r>
    </w:p>
    <w:p>
      <w:pPr>
        <w:pStyle w:val="Indenta"/>
      </w:pPr>
      <w:r>
        <w:tab/>
        <w:t>(a)</w:t>
      </w:r>
      <w:r>
        <w:tab/>
        <w:t>accepted auditing practice, including selective testing when the auditor considers it appropriate; and</w:t>
      </w:r>
    </w:p>
    <w:p>
      <w:pPr>
        <w:pStyle w:val="Indenta"/>
      </w:pPr>
      <w:r>
        <w:tab/>
        <w:t>(b)</w:t>
      </w:r>
      <w:r>
        <w:tab/>
        <w:t>any requirements specified by the Commissioner.</w:t>
      </w:r>
    </w:p>
    <w:p>
      <w:pPr>
        <w:pStyle w:val="Footnotesection"/>
      </w:pPr>
      <w:r>
        <w:tab/>
        <w:t>[Regulation 10J inserted: SL 2021/164 r. 13.]</w:t>
      </w:r>
    </w:p>
    <w:p>
      <w:pPr>
        <w:pStyle w:val="Heading5"/>
      </w:pPr>
      <w:bookmarkStart w:id="42" w:name="_Toc91068010"/>
      <w:r>
        <w:rPr>
          <w:rStyle w:val="CharSectno"/>
        </w:rPr>
        <w:t>10K</w:t>
      </w:r>
      <w:r>
        <w:t>.</w:t>
      </w:r>
      <w:r>
        <w:tab/>
        <w:t>Auditors’ reports, contents of</w:t>
      </w:r>
      <w:bookmarkEnd w:id="42"/>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lastRenderedPageBreak/>
        <w:tab/>
        <w:t>(f)</w:t>
      </w:r>
      <w:r>
        <w:tab/>
        <w:t>any matter or thing in relation to the trust account that should in the opinion of the auditor be communicated to the Commissioner.</w:t>
      </w:r>
    </w:p>
    <w:p>
      <w:pPr>
        <w:pStyle w:val="Footnotesection"/>
      </w:pPr>
      <w:r>
        <w:tab/>
        <w:t>[Regulation 10K inserted: Gazette 13 Aug 2002 p. 4162; amended: Gazette 30 Jun 2011 p. 2660.]</w:t>
      </w:r>
    </w:p>
    <w:p>
      <w:pPr>
        <w:pStyle w:val="Heading5"/>
      </w:pPr>
      <w:bookmarkStart w:id="43" w:name="_Toc91068011"/>
      <w:r>
        <w:rPr>
          <w:rStyle w:val="CharSectno"/>
        </w:rPr>
        <w:t>10L</w:t>
      </w:r>
      <w:r>
        <w:t>.</w:t>
      </w:r>
      <w:r>
        <w:tab/>
        <w:t>Obligation of auditor to disclose certain information</w:t>
      </w:r>
      <w:bookmarkEnd w:id="43"/>
    </w:p>
    <w:p>
      <w:pPr>
        <w:pStyle w:val="Subsection"/>
      </w:pPr>
      <w:r>
        <w:tab/>
      </w:r>
      <w:r>
        <w:tab/>
        <w:t>An auditor must disclose to the Commissioner —</w:t>
      </w:r>
    </w:p>
    <w:p>
      <w:pPr>
        <w:pStyle w:val="Indenta"/>
      </w:pPr>
      <w:r>
        <w:tab/>
        <w:t>(a)</w:t>
      </w:r>
      <w:r>
        <w:tab/>
        <w:t>any de facto relationship or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Gazette 13 Aug 2002 p. 4162; amended: Gazette 30 Jun 2011 p. 2659 and 2660; SL 2021/164 r. 14.]</w:t>
      </w:r>
    </w:p>
    <w:p>
      <w:pPr>
        <w:pStyle w:val="Heading5"/>
      </w:pPr>
      <w:bookmarkStart w:id="44" w:name="_Toc91068012"/>
      <w:r>
        <w:rPr>
          <w:rStyle w:val="CharSectno"/>
        </w:rPr>
        <w:t>10M</w:t>
      </w:r>
      <w:r>
        <w:t>.</w:t>
      </w:r>
      <w:r>
        <w:tab/>
        <w:t>Costs of auditing</w:t>
      </w:r>
      <w:bookmarkEnd w:id="44"/>
    </w:p>
    <w:p>
      <w:pPr>
        <w:pStyle w:val="Subsection"/>
      </w:pPr>
      <w:r>
        <w:tab/>
      </w:r>
      <w:r>
        <w:tab/>
        <w:t>The reasonable fees and expenses of an auditor for an audit under section 32I are payable by the dealer.</w:t>
      </w:r>
    </w:p>
    <w:p>
      <w:pPr>
        <w:pStyle w:val="Footnotesection"/>
      </w:pPr>
      <w:r>
        <w:tab/>
        <w:t>[Regulation 10M inserted: Gazette 13 Aug 2002 p. 4163.]</w:t>
      </w:r>
    </w:p>
    <w:p>
      <w:pPr>
        <w:pStyle w:val="Heading5"/>
      </w:pPr>
      <w:bookmarkStart w:id="45" w:name="_Toc91068013"/>
      <w:r>
        <w:rPr>
          <w:rStyle w:val="CharSectno"/>
        </w:rPr>
        <w:t>10N</w:t>
      </w:r>
      <w:r>
        <w:t>.</w:t>
      </w:r>
      <w:r>
        <w:tab/>
        <w:t>When and to whom the auditor must report</w:t>
      </w:r>
      <w:bookmarkEnd w:id="45"/>
    </w:p>
    <w:p>
      <w:pPr>
        <w:pStyle w:val="Ednotesubsection"/>
      </w:pPr>
      <w:r>
        <w:tab/>
        <w:t>[(1)</w:t>
      </w:r>
      <w:r>
        <w:tab/>
        <w:t>deleted]</w:t>
      </w:r>
    </w:p>
    <w:p>
      <w:pPr>
        <w:pStyle w:val="Subsection"/>
      </w:pPr>
      <w:r>
        <w:tab/>
        <w:t>(2)</w:t>
      </w:r>
      <w:r>
        <w:tab/>
        <w:t>The auditor must within 3 months after the end of each year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lastRenderedPageBreak/>
        <w:tab/>
        <w:t>(3)</w:t>
      </w:r>
      <w:r>
        <w:tab/>
        <w:t>The dealer must retain the copy of the report and produce it on demand to the auditor making the next succeeding audit of the dealer’s trust account.</w:t>
      </w:r>
    </w:p>
    <w:p>
      <w:pPr>
        <w:pStyle w:val="Footnotesection"/>
      </w:pPr>
      <w:r>
        <w:tab/>
        <w:t>[Regulation 10N inserted: Gazette 13 Aug 2002 p. 4163; amended: Gazette 30 Jun 2011 p. 2660; 27 Jun 2017 p. 3415.]</w:t>
      </w:r>
    </w:p>
    <w:p>
      <w:pPr>
        <w:pStyle w:val="Heading5"/>
      </w:pPr>
      <w:bookmarkStart w:id="46" w:name="_Toc91068014"/>
      <w:r>
        <w:rPr>
          <w:rStyle w:val="CharSectno"/>
        </w:rPr>
        <w:t>10NA</w:t>
      </w:r>
      <w:r>
        <w:t>.</w:t>
      </w:r>
      <w:r>
        <w:tab/>
        <w:t>Transitional audit arrangements</w:t>
      </w:r>
      <w:bookmarkEnd w:id="46"/>
    </w:p>
    <w:p>
      <w:pPr>
        <w:pStyle w:val="Subsection"/>
      </w:pPr>
      <w:r>
        <w:tab/>
        <w:t>(1)</w:t>
      </w:r>
      <w:r>
        <w:tab/>
        <w:t xml:space="preserve">In this regulation — </w:t>
      </w:r>
    </w:p>
    <w:p>
      <w:pPr>
        <w:pStyle w:val="Defstart"/>
      </w:pPr>
      <w:r>
        <w:tab/>
      </w:r>
      <w:r>
        <w:rPr>
          <w:rStyle w:val="CharDefText"/>
        </w:rPr>
        <w:t>existing trust account</w:t>
      </w:r>
      <w:r>
        <w:t xml:space="preserve"> means a trust account that was open immediately before the day on which the </w:t>
      </w:r>
      <w:r>
        <w:rPr>
          <w:i/>
        </w:rPr>
        <w:t xml:space="preserve">Licensing Provisions Regulations Amendment Regulations 2017 </w:t>
      </w:r>
      <w:r>
        <w:t>regulation 23 comes into operation;</w:t>
      </w:r>
    </w:p>
    <w:p>
      <w:pPr>
        <w:pStyle w:val="Defstart"/>
      </w:pPr>
      <w:r>
        <w:tab/>
      </w:r>
      <w:r>
        <w:rPr>
          <w:rStyle w:val="CharDefText"/>
        </w:rPr>
        <w:t>previous audit period</w:t>
      </w:r>
      <w:r>
        <w:t>, in relation to an existing trust account, means the audit period for the trust account that ends on a day in the period between 1 July 2016 and 30 June 2017.</w:t>
      </w:r>
    </w:p>
    <w:p>
      <w:pPr>
        <w:pStyle w:val="Subsection"/>
      </w:pPr>
      <w:r>
        <w:tab/>
        <w:t>(2)</w:t>
      </w:r>
      <w:r>
        <w:tab/>
        <w:t xml:space="preserve">This regulation applies to a report of the result of an audit of an existing trust account if — </w:t>
      </w:r>
    </w:p>
    <w:p>
      <w:pPr>
        <w:pStyle w:val="Indenta"/>
      </w:pPr>
      <w:r>
        <w:tab/>
        <w:t>(a)</w:t>
      </w:r>
      <w:r>
        <w:tab/>
        <w:t>an audit of the account was conducted for the previous audit period for the account; and</w:t>
      </w:r>
    </w:p>
    <w:p>
      <w:pPr>
        <w:pStyle w:val="Indenta"/>
      </w:pPr>
      <w:r>
        <w:tab/>
        <w:t>(b)</w:t>
      </w:r>
      <w:r>
        <w:tab/>
        <w:t>a report of the result of the audit, verified by a statutory declaration of the auditor, has been delivered to the Commissioner.</w:t>
      </w:r>
    </w:p>
    <w:p>
      <w:pPr>
        <w:pStyle w:val="Subsection"/>
      </w:pPr>
      <w:r>
        <w:tab/>
        <w:t>(3)</w:t>
      </w:r>
      <w:r>
        <w:tab/>
        <w:t xml:space="preserve">If this regulation applies — </w:t>
      </w:r>
    </w:p>
    <w:p>
      <w:pPr>
        <w:pStyle w:val="Indenta"/>
      </w:pPr>
      <w:r>
        <w:tab/>
        <w:t>(a)</w:t>
      </w:r>
      <w:r>
        <w:tab/>
        <w:t xml:space="preserve">an auditor is not required to deliver a report of the result of the audit of the existing trust account for the part of the year between the end of the previous audit period and 30 June 2017 until 3 months after the end of the year ending 30 June 2018; and </w:t>
      </w:r>
    </w:p>
    <w:p>
      <w:pPr>
        <w:pStyle w:val="Indenta"/>
      </w:pPr>
      <w:r>
        <w:tab/>
        <w:t>(b)</w:t>
      </w:r>
      <w:r>
        <w:tab/>
        <w:t>the report on the result of the audit for the period between the end of the previous audit period and 30 June 2017 may be included as part of the report for the year ending 30 June 2018.</w:t>
      </w:r>
    </w:p>
    <w:p>
      <w:pPr>
        <w:pStyle w:val="Footnotesection"/>
      </w:pPr>
      <w:r>
        <w:tab/>
        <w:t>[Regulation 10NA inserted: Gazette 27 Jun 2017 p. 3415</w:t>
      </w:r>
      <w:r>
        <w:noBreakHyphen/>
        <w:t>16.]</w:t>
      </w:r>
    </w:p>
    <w:p>
      <w:pPr>
        <w:pStyle w:val="Heading5"/>
      </w:pPr>
      <w:bookmarkStart w:id="47" w:name="_Toc91068015"/>
      <w:r>
        <w:rPr>
          <w:rStyle w:val="CharSectno"/>
        </w:rPr>
        <w:lastRenderedPageBreak/>
        <w:t>10O</w:t>
      </w:r>
      <w:r>
        <w:t>.</w:t>
      </w:r>
      <w:r>
        <w:tab/>
        <w:t>Confidentiality of audit information</w:t>
      </w:r>
      <w:bookmarkEnd w:id="47"/>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Gazette 13 Aug 2002 p. 4163; amended: Gazette 30 Jun 2011 p. 2660.]</w:t>
      </w:r>
    </w:p>
    <w:p>
      <w:pPr>
        <w:pStyle w:val="Heading2"/>
      </w:pPr>
      <w:bookmarkStart w:id="48" w:name="_Toc91056981"/>
      <w:bookmarkStart w:id="49" w:name="_Toc91057193"/>
      <w:bookmarkStart w:id="50" w:name="_Toc91068016"/>
      <w:r>
        <w:rPr>
          <w:rStyle w:val="CharPartNo"/>
        </w:rPr>
        <w:lastRenderedPageBreak/>
        <w:t>Part 4</w:t>
      </w:r>
      <w:r>
        <w:rPr>
          <w:rStyle w:val="CharDivText"/>
        </w:rPr>
        <w:t xml:space="preserve"> </w:t>
      </w:r>
      <w:r>
        <w:t>—</w:t>
      </w:r>
      <w:r>
        <w:rPr>
          <w:rStyle w:val="CharDivNo"/>
        </w:rPr>
        <w:t xml:space="preserve"> </w:t>
      </w:r>
      <w:r>
        <w:rPr>
          <w:rStyle w:val="CharPartText"/>
        </w:rPr>
        <w:t>Miscellaneous</w:t>
      </w:r>
      <w:bookmarkEnd w:id="48"/>
      <w:bookmarkEnd w:id="49"/>
      <w:bookmarkEnd w:id="50"/>
    </w:p>
    <w:p>
      <w:pPr>
        <w:pStyle w:val="Footnoteheading"/>
        <w:tabs>
          <w:tab w:val="left" w:pos="851"/>
        </w:tabs>
      </w:pPr>
      <w:r>
        <w:tab/>
        <w:t>[Heading inserted: Gazette 13 Aug 2002 p. 4163.]</w:t>
      </w:r>
    </w:p>
    <w:p>
      <w:pPr>
        <w:pStyle w:val="Heading5"/>
        <w:spacing w:before="180"/>
        <w:rPr>
          <w:snapToGrid w:val="0"/>
        </w:rPr>
      </w:pPr>
      <w:bookmarkStart w:id="51" w:name="_Toc91068017"/>
      <w:r>
        <w:rPr>
          <w:rStyle w:val="CharSectno"/>
        </w:rPr>
        <w:t>11</w:t>
      </w:r>
      <w:r>
        <w:rPr>
          <w:snapToGrid w:val="0"/>
        </w:rPr>
        <w:t>.</w:t>
      </w:r>
      <w:r>
        <w:rPr>
          <w:snapToGrid w:val="0"/>
        </w:rPr>
        <w:tab/>
        <w:t>Advertising</w:t>
      </w:r>
      <w:bookmarkEnd w:id="51"/>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Ednotesection"/>
      </w:pPr>
      <w:r>
        <w:t>[</w:t>
      </w:r>
      <w:r>
        <w:rPr>
          <w:b/>
        </w:rPr>
        <w:t>12, 13.</w:t>
      </w:r>
      <w:r>
        <w:tab/>
        <w:t>Deleted: SL 2021/164 r. 15.]</w:t>
      </w:r>
    </w:p>
    <w:p>
      <w:pPr>
        <w:pStyle w:val="Heading5"/>
      </w:pPr>
      <w:bookmarkStart w:id="52" w:name="_Toc91068018"/>
      <w:r>
        <w:rPr>
          <w:rStyle w:val="CharSectno"/>
        </w:rPr>
        <w:t>13A</w:t>
      </w:r>
      <w:r>
        <w:t>.</w:t>
      </w:r>
      <w:r>
        <w:tab/>
        <w:t>Prescribed requirements</w:t>
      </w:r>
      <w:r>
        <w:rPr>
          <w:snapToGrid w:val="0"/>
        </w:rPr>
        <w:t xml:space="preserve"> for vehicle consignment agreements (Schedule 4)</w:t>
      </w:r>
      <w:bookmarkEnd w:id="52"/>
    </w:p>
    <w:p>
      <w:pPr>
        <w:pStyle w:val="Subsection"/>
      </w:pPr>
      <w:r>
        <w:tab/>
      </w:r>
      <w:r>
        <w:tab/>
        <w:t>For the purposes of section 32B the prescribed particulars, terms and conditions are those set out in Schedule 4.</w:t>
      </w:r>
    </w:p>
    <w:p>
      <w:pPr>
        <w:pStyle w:val="Footnotesection"/>
      </w:pPr>
      <w:r>
        <w:tab/>
        <w:t>[Regulation 13A inserted: Gazette 13 Aug 2002 p. 4163; amended: Gazette 17 Nov 2006 p. 4753.]</w:t>
      </w:r>
    </w:p>
    <w:p>
      <w:pPr>
        <w:pStyle w:val="Heading5"/>
        <w:rPr>
          <w:snapToGrid w:val="0"/>
        </w:rPr>
      </w:pPr>
      <w:bookmarkStart w:id="53" w:name="_Toc91068019"/>
      <w:r>
        <w:rPr>
          <w:rStyle w:val="CharSectno"/>
        </w:rPr>
        <w:t>13B</w:t>
      </w:r>
      <w:r>
        <w:t>.</w:t>
      </w:r>
      <w:r>
        <w:tab/>
        <w:t>Prescribed requirements for vehicle sale agreements (Schedule 5)</w:t>
      </w:r>
      <w:bookmarkEnd w:id="53"/>
    </w:p>
    <w:p>
      <w:pPr>
        <w:pStyle w:val="Subsection"/>
      </w:pPr>
      <w:r>
        <w:tab/>
      </w:r>
      <w:r>
        <w:tab/>
        <w:t>For the purposes of section 42A the prescribed particulars, terms and conditions are those set out in Schedule 5.</w:t>
      </w:r>
    </w:p>
    <w:p>
      <w:pPr>
        <w:pStyle w:val="Footnotesection"/>
      </w:pPr>
      <w:r>
        <w:tab/>
        <w:t>[Regulation 13B inserted: Gazette 13 Aug 2002 p. 4164; amended: Gazette 17 Nov 2006 p. 4753.]</w:t>
      </w:r>
    </w:p>
    <w:p>
      <w:pPr>
        <w:pStyle w:val="Heading5"/>
        <w:spacing w:before="180"/>
        <w:rPr>
          <w:snapToGrid w:val="0"/>
        </w:rPr>
      </w:pPr>
      <w:bookmarkStart w:id="54" w:name="_Toc91068020"/>
      <w:r>
        <w:rPr>
          <w:rStyle w:val="CharSectno"/>
        </w:rPr>
        <w:lastRenderedPageBreak/>
        <w:t>14</w:t>
      </w:r>
      <w:r>
        <w:rPr>
          <w:snapToGrid w:val="0"/>
        </w:rPr>
        <w:t>.</w:t>
      </w:r>
      <w:r>
        <w:rPr>
          <w:snapToGrid w:val="0"/>
        </w:rPr>
        <w:tab/>
        <w:t>Penalties</w:t>
      </w:r>
      <w:bookmarkEnd w:id="54"/>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Gazette 13 Aug 2002 p. 4164.]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5" w:name="_Toc91056986"/>
      <w:bookmarkStart w:id="56" w:name="_Toc91057198"/>
      <w:bookmarkStart w:id="57" w:name="_Toc91068021"/>
      <w:r>
        <w:rPr>
          <w:rStyle w:val="CharSchNo"/>
        </w:rPr>
        <w:lastRenderedPageBreak/>
        <w:t>Schedule 1</w:t>
      </w:r>
      <w:r>
        <w:t> — </w:t>
      </w:r>
      <w:r>
        <w:rPr>
          <w:rStyle w:val="CharSchText"/>
        </w:rPr>
        <w:t>Forms</w:t>
      </w:r>
      <w:bookmarkEnd w:id="55"/>
      <w:bookmarkEnd w:id="56"/>
      <w:bookmarkEnd w:id="57"/>
    </w:p>
    <w:p>
      <w:pPr>
        <w:pStyle w:val="yFootnoteheading"/>
        <w:spacing w:before="40"/>
      </w:pPr>
      <w:r>
        <w:tab/>
        <w:t>[Heading inserted: Gazette 17 Nov 2006 p. 4753.]</w:t>
      </w:r>
    </w:p>
    <w:p>
      <w:pPr>
        <w:pStyle w:val="yHeading3"/>
        <w:spacing w:before="120"/>
      </w:pPr>
      <w:bookmarkStart w:id="58" w:name="_Toc91056987"/>
      <w:bookmarkStart w:id="59" w:name="_Toc91057199"/>
      <w:bookmarkStart w:id="60" w:name="_Toc91068022"/>
      <w:r>
        <w:t>Form 1 — Register of transactions</w:t>
      </w:r>
      <w:bookmarkEnd w:id="58"/>
      <w:bookmarkEnd w:id="59"/>
      <w:bookmarkEnd w:id="60"/>
    </w:p>
    <w:p>
      <w:pPr>
        <w:pStyle w:val="yShoulderClause"/>
      </w:pPr>
      <w:r>
        <w:t>[r. 3]</w:t>
      </w:r>
    </w:p>
    <w:tbl>
      <w:tblPr>
        <w:tblW w:w="6455" w:type="dxa"/>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1210"/>
        <w:gridCol w:w="2410"/>
      </w:tblGrid>
      <w:tr>
        <w:trPr>
          <w:cantSplit/>
          <w:trHeight w:val="579"/>
        </w:trPr>
        <w:tc>
          <w:tcPr>
            <w:tcW w:w="1985" w:type="dxa"/>
            <w:vMerge w:val="restart"/>
            <w:noWrap/>
            <w:textDirection w:val="btLr"/>
          </w:tcPr>
          <w:p>
            <w:pPr>
              <w:pStyle w:val="yTableNAm"/>
              <w:ind w:left="113" w:right="113"/>
              <w:jc w:val="center"/>
              <w:rPr>
                <w:snapToGrid w:val="0"/>
                <w:sz w:val="16"/>
                <w:szCs w:val="16"/>
              </w:rPr>
            </w:pPr>
            <w:r>
              <w:rPr>
                <w:snapToGrid w:val="0"/>
                <w:sz w:val="16"/>
                <w:szCs w:val="16"/>
              </w:rPr>
              <w:t>Western Australia</w:t>
            </w:r>
          </w:p>
          <w:p>
            <w:pPr>
              <w:pStyle w:val="yTableNAm"/>
              <w:ind w:left="113" w:right="113"/>
              <w:jc w:val="center"/>
              <w:rPr>
                <w:snapToGrid w:val="0"/>
                <w:sz w:val="16"/>
                <w:szCs w:val="16"/>
              </w:rPr>
            </w:pPr>
            <w:r>
              <w:rPr>
                <w:i/>
                <w:snapToGrid w:val="0"/>
                <w:sz w:val="16"/>
                <w:szCs w:val="16"/>
              </w:rPr>
              <w:t xml:space="preserve">Motor Vehicle Dealers Act 1973 </w:t>
            </w:r>
            <w:r>
              <w:rPr>
                <w:iCs/>
                <w:snapToGrid w:val="0"/>
                <w:sz w:val="16"/>
                <w:szCs w:val="16"/>
              </w:rPr>
              <w:t>section 25</w:t>
            </w:r>
          </w:p>
          <w:p>
            <w:pPr>
              <w:pStyle w:val="yTableNAm"/>
              <w:ind w:left="113" w:right="113"/>
              <w:jc w:val="center"/>
              <w:rPr>
                <w:snapToGrid w:val="0"/>
                <w:sz w:val="16"/>
                <w:szCs w:val="16"/>
              </w:rPr>
            </w:pPr>
            <w:r>
              <w:rPr>
                <w:i/>
                <w:snapToGrid w:val="0"/>
                <w:sz w:val="16"/>
                <w:szCs w:val="16"/>
              </w:rPr>
              <w:t>Motor Vehicle Dealers (Sales) Regulations 1974</w:t>
            </w:r>
            <w:r>
              <w:rPr>
                <w:snapToGrid w:val="0"/>
                <w:sz w:val="16"/>
                <w:szCs w:val="16"/>
              </w:rPr>
              <w:t xml:space="preserve"> regulation 3</w:t>
            </w:r>
          </w:p>
          <w:p>
            <w:pPr>
              <w:pStyle w:val="yTableNAm"/>
              <w:ind w:left="113" w:right="113"/>
              <w:jc w:val="center"/>
              <w:rPr>
                <w:b/>
                <w:bCs/>
                <w:snapToGrid w:val="0"/>
                <w:sz w:val="16"/>
                <w:szCs w:val="16"/>
              </w:rPr>
            </w:pPr>
            <w:r>
              <w:rPr>
                <w:b/>
                <w:bCs/>
                <w:snapToGrid w:val="0"/>
                <w:sz w:val="16"/>
                <w:szCs w:val="16"/>
              </w:rPr>
              <w:t>Dealers register of transactions for registered premises situated at:</w:t>
            </w:r>
          </w:p>
          <w:p>
            <w:pPr>
              <w:pStyle w:val="yTableNAm"/>
              <w:ind w:left="113" w:right="113"/>
              <w:jc w:val="center"/>
              <w:rPr>
                <w:snapToGrid w:val="0"/>
                <w:sz w:val="16"/>
                <w:szCs w:val="16"/>
              </w:rPr>
            </w:pPr>
            <w:r>
              <w:rPr>
                <w:snapToGrid w:val="0"/>
                <w:sz w:val="16"/>
                <w:szCs w:val="16"/>
              </w:rPr>
              <w:t>............................................................................................................................</w:t>
            </w:r>
            <w:r>
              <w:rPr>
                <w:snapToGrid w:val="0"/>
                <w:sz w:val="16"/>
                <w:szCs w:val="16"/>
              </w:rPr>
              <w:br/>
              <w:t xml:space="preserve">(This register is to be produced on demand by any person mentioned in the </w:t>
            </w:r>
            <w:r>
              <w:rPr>
                <w:i/>
                <w:iCs/>
                <w:snapToGrid w:val="0"/>
                <w:sz w:val="16"/>
                <w:szCs w:val="16"/>
              </w:rPr>
              <w:t>Motor Vehicle Dealers Act 1973</w:t>
            </w:r>
            <w:r>
              <w:rPr>
                <w:snapToGrid w:val="0"/>
                <w:sz w:val="16"/>
                <w:szCs w:val="16"/>
              </w:rPr>
              <w:t xml:space="preserve"> section 25(2).)</w:t>
            </w:r>
          </w:p>
        </w:tc>
        <w:tc>
          <w:tcPr>
            <w:tcW w:w="2060" w:type="dxa"/>
            <w:gridSpan w:val="2"/>
            <w:noWrap/>
            <w:textDirection w:val="btLr"/>
          </w:tcPr>
          <w:p>
            <w:pPr>
              <w:pStyle w:val="yTableNAm"/>
              <w:jc w:val="center"/>
              <w:rPr>
                <w:b/>
                <w:bCs/>
                <w:snapToGrid w:val="0"/>
                <w:sz w:val="16"/>
                <w:szCs w:val="16"/>
              </w:rPr>
            </w:pPr>
            <w:r>
              <w:rPr>
                <w:b/>
                <w:bCs/>
                <w:snapToGrid w:val="0"/>
                <w:sz w:val="16"/>
                <w:szCs w:val="16"/>
              </w:rPr>
              <w:t>Entered by</w:t>
            </w:r>
          </w:p>
        </w:tc>
        <w:tc>
          <w:tcPr>
            <w:tcW w:w="2410" w:type="dxa"/>
            <w:noWrap/>
            <w:textDirection w:val="btLr"/>
          </w:tcPr>
          <w:p>
            <w:pPr>
              <w:pStyle w:val="yTableNAm"/>
              <w:rPr>
                <w:snapToGrid w:val="0"/>
                <w:sz w:val="16"/>
                <w:szCs w:val="16"/>
              </w:rPr>
            </w:pPr>
          </w:p>
        </w:tc>
      </w:tr>
      <w:tr>
        <w:trPr>
          <w:cantSplit/>
          <w:trHeight w:val="560"/>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entered</w:t>
            </w:r>
          </w:p>
        </w:tc>
        <w:tc>
          <w:tcPr>
            <w:tcW w:w="2410" w:type="dxa"/>
            <w:noWrap/>
            <w:textDirection w:val="btLr"/>
          </w:tcPr>
          <w:p>
            <w:pPr>
              <w:pStyle w:val="yTableNAm"/>
              <w:rPr>
                <w:snapToGrid w:val="0"/>
                <w:sz w:val="16"/>
                <w:szCs w:val="16"/>
              </w:rPr>
            </w:pPr>
          </w:p>
        </w:tc>
      </w:tr>
      <w:tr>
        <w:trPr>
          <w:cantSplit/>
          <w:trHeight w:val="619"/>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Purchaser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49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675"/>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sold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purchased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Person in whose name vehicle is registered (if different from seller)</w:t>
            </w:r>
          </w:p>
        </w:tc>
        <w:tc>
          <w:tcPr>
            <w:tcW w:w="2410" w:type="dxa"/>
            <w:noWrap/>
            <w:textDirection w:val="btLr"/>
          </w:tcPr>
          <w:p>
            <w:pPr>
              <w:pStyle w:val="yTableNAm"/>
              <w:rPr>
                <w:snapToGrid w:val="0"/>
                <w:sz w:val="16"/>
                <w:szCs w:val="16"/>
              </w:rPr>
            </w:pPr>
          </w:p>
        </w:tc>
      </w:tr>
      <w:tr>
        <w:trPr>
          <w:cantSplit/>
          <w:trHeight w:val="647"/>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Seller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51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535"/>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Vehicle</w:t>
            </w:r>
          </w:p>
        </w:tc>
        <w:tc>
          <w:tcPr>
            <w:tcW w:w="1210" w:type="dxa"/>
            <w:noWrap/>
            <w:textDirection w:val="btLr"/>
          </w:tcPr>
          <w:p>
            <w:pPr>
              <w:pStyle w:val="yTableNAm"/>
              <w:jc w:val="center"/>
              <w:rPr>
                <w:snapToGrid w:val="0"/>
                <w:sz w:val="16"/>
                <w:szCs w:val="16"/>
              </w:rPr>
            </w:pPr>
            <w:r>
              <w:rPr>
                <w:snapToGrid w:val="0"/>
                <w:sz w:val="16"/>
                <w:szCs w:val="16"/>
              </w:rPr>
              <w:t>Model</w:t>
            </w:r>
          </w:p>
        </w:tc>
        <w:tc>
          <w:tcPr>
            <w:tcW w:w="2410" w:type="dxa"/>
            <w:noWrap/>
            <w:textDirection w:val="btLr"/>
          </w:tcPr>
          <w:p>
            <w:pPr>
              <w:pStyle w:val="yTableNAm"/>
              <w:rPr>
                <w:snapToGrid w:val="0"/>
                <w:sz w:val="16"/>
                <w:szCs w:val="16"/>
              </w:rPr>
            </w:pPr>
          </w:p>
        </w:tc>
      </w:tr>
      <w:tr>
        <w:trPr>
          <w:cantSplit/>
          <w:trHeight w:val="44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Make</w:t>
            </w:r>
          </w:p>
        </w:tc>
        <w:tc>
          <w:tcPr>
            <w:tcW w:w="2410" w:type="dxa"/>
            <w:noWrap/>
            <w:textDirection w:val="btLr"/>
          </w:tcPr>
          <w:p>
            <w:pPr>
              <w:pStyle w:val="yTableNAm"/>
              <w:rPr>
                <w:snapToGrid w:val="0"/>
                <w:sz w:val="16"/>
                <w:szCs w:val="16"/>
              </w:rPr>
            </w:pPr>
          </w:p>
        </w:tc>
      </w:tr>
      <w:tr>
        <w:trPr>
          <w:cantSplit/>
          <w:trHeight w:val="55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Engine No.</w:t>
            </w:r>
          </w:p>
        </w:tc>
        <w:tc>
          <w:tcPr>
            <w:tcW w:w="2410" w:type="dxa"/>
            <w:noWrap/>
          </w:tcPr>
          <w:p>
            <w:pPr>
              <w:pStyle w:val="yTableNAm"/>
              <w:rPr>
                <w:snapToGrid w:val="0"/>
                <w:sz w:val="16"/>
                <w:szCs w:val="16"/>
              </w:rPr>
            </w:pPr>
          </w:p>
        </w:tc>
      </w:tr>
      <w:tr>
        <w:trPr>
          <w:cantSplit/>
          <w:trHeight w:val="589"/>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VIN/ Chassis No.</w:t>
            </w:r>
          </w:p>
        </w:tc>
        <w:tc>
          <w:tcPr>
            <w:tcW w:w="2410" w:type="dxa"/>
            <w:noWrap/>
            <w:textDirection w:val="btLr"/>
          </w:tcPr>
          <w:p>
            <w:pPr>
              <w:pStyle w:val="yTableNAm"/>
              <w:rPr>
                <w:snapToGrid w:val="0"/>
                <w:sz w:val="16"/>
                <w:szCs w:val="16"/>
              </w:rPr>
            </w:pPr>
          </w:p>
        </w:tc>
      </w:tr>
      <w:tr>
        <w:trPr>
          <w:cantSplit/>
          <w:trHeight w:val="56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Licence Plate No.</w:t>
            </w:r>
          </w:p>
        </w:tc>
        <w:tc>
          <w:tcPr>
            <w:tcW w:w="2410" w:type="dxa"/>
            <w:noWrap/>
            <w:textDirection w:val="btLr"/>
          </w:tcPr>
          <w:p>
            <w:pPr>
              <w:pStyle w:val="yTableNAm"/>
              <w:rPr>
                <w:snapToGrid w:val="0"/>
                <w:sz w:val="16"/>
                <w:szCs w:val="16"/>
              </w:rPr>
            </w:pPr>
          </w:p>
        </w:tc>
      </w:tr>
      <w:tr>
        <w:trPr>
          <w:cantSplit/>
          <w:trHeight w:val="572"/>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Register No.</w:t>
            </w:r>
          </w:p>
        </w:tc>
        <w:tc>
          <w:tcPr>
            <w:tcW w:w="2410" w:type="dxa"/>
            <w:noWrap/>
            <w:textDirection w:val="btLr"/>
          </w:tcPr>
          <w:p>
            <w:pPr>
              <w:pStyle w:val="yTableNAm"/>
              <w:rPr>
                <w:snapToGrid w:val="0"/>
                <w:sz w:val="16"/>
                <w:szCs w:val="16"/>
              </w:rPr>
            </w:pPr>
          </w:p>
        </w:tc>
      </w:tr>
    </w:tbl>
    <w:p>
      <w:pPr>
        <w:pStyle w:val="yFootnotesection"/>
        <w:spacing w:before="60"/>
      </w:pPr>
      <w:r>
        <w:lastRenderedPageBreak/>
        <w:tab/>
        <w:t>[Form 1 inserted: SL 2021/164 r. 16.]</w:t>
      </w:r>
    </w:p>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61" w:name="_Toc91056988"/>
      <w:bookmarkStart w:id="62" w:name="_Toc91057200"/>
      <w:bookmarkStart w:id="63" w:name="_Toc91068023"/>
      <w:r>
        <w:t>Form 4</w:t>
      </w:r>
      <w:r>
        <w:rPr>
          <w:b w:val="0"/>
        </w:rPr>
        <w:t> — </w:t>
      </w:r>
      <w:r>
        <w:t>Vehicle particulars and warranty</w:t>
      </w:r>
      <w:bookmarkEnd w:id="61"/>
      <w:bookmarkEnd w:id="62"/>
      <w:bookmarkEnd w:id="63"/>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trHeight w:val="189"/>
        </w:trPr>
        <w:tc>
          <w:tcPr>
            <w:tcW w:w="6521" w:type="dxa"/>
            <w:gridSpan w:val="3"/>
          </w:tcPr>
          <w:p>
            <w:pPr>
              <w:pStyle w:val="MiscellaneousHeading"/>
              <w:keepNext w:val="0"/>
              <w:rPr>
                <w:snapToGrid w:val="0"/>
              </w:rPr>
            </w:pPr>
            <w:r>
              <w:rPr>
                <w:b/>
                <w:snapToGrid w:val="0"/>
                <w:sz w:val="18"/>
              </w:rPr>
              <w:t>STATUTORY WARRANTY</w:t>
            </w:r>
          </w:p>
          <w:p>
            <w:pPr>
              <w:pStyle w:val="yMiscellaneousBody"/>
              <w:rPr>
                <w:snapToGrid w:val="0"/>
                <w:sz w:val="18"/>
              </w:rPr>
            </w:pPr>
            <w:r>
              <w:rPr>
                <w:snapToGrid w:val="0"/>
                <w:sz w:val="18"/>
              </w:rPr>
              <w:t>A motor vehicle is covered by the terms of a statutory warranty under the Motor Vehicle Dealers Act 1973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lastRenderedPageBreak/>
              <w:t xml:space="preserve">A motorcycle is </w:t>
            </w:r>
            <w:r>
              <w:rPr>
                <w:bCs/>
                <w:sz w:val="18"/>
                <w:szCs w:val="18"/>
              </w:rPr>
              <w:t>covered</w:t>
            </w:r>
            <w:r>
              <w:rPr>
                <w:sz w:val="18"/>
                <w:szCs w:val="18"/>
              </w:rPr>
              <w:t xml:space="preserve">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t xml:space="preserve">The warranty means that the </w:t>
            </w:r>
            <w:r>
              <w:rPr>
                <w:bCs/>
                <w:sz w:val="18"/>
                <w:szCs w:val="18"/>
              </w:rPr>
              <w:t>selling</w:t>
            </w:r>
            <w:r>
              <w:rPr>
                <w:sz w:val="18"/>
                <w:szCs w:val="18"/>
              </w:rPr>
              <w:t xml:space="preserve">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after="60"/>
              <w:rPr>
                <w:b/>
                <w:bCs/>
                <w:sz w:val="18"/>
                <w:szCs w:val="18"/>
              </w:rPr>
            </w:pPr>
            <w:r>
              <w:rPr>
                <w:b/>
                <w:bCs/>
                <w:sz w:val="18"/>
                <w:szCs w:val="18"/>
              </w:rPr>
              <w:t>WARRANTY AGAINST DEFECTS UNDER AUSTRALIAN CONSUMER LAW</w:t>
            </w:r>
          </w:p>
          <w:p>
            <w:pPr>
              <w:pStyle w:val="yMiscellaneousHeading"/>
              <w:spacing w:after="60"/>
              <w:jc w:val="left"/>
              <w:rPr>
                <w:b/>
                <w:bCs/>
                <w:sz w:val="18"/>
                <w:szCs w:val="18"/>
              </w:rPr>
            </w:pPr>
            <w:r>
              <w:rPr>
                <w:bCs/>
                <w:sz w:val="18"/>
                <w:szCs w:val="18"/>
              </w:rPr>
              <w:t>A motor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r>
        <w:trPr>
          <w:cantSplit/>
          <w:trHeight w:val="189"/>
        </w:trPr>
        <w:tc>
          <w:tcPr>
            <w:tcW w:w="6521" w:type="dxa"/>
            <w:gridSpan w:val="3"/>
          </w:tcPr>
          <w:p>
            <w:pPr>
              <w:pStyle w:val="yMiscellaneousHeading"/>
              <w:spacing w:after="60"/>
              <w:rPr>
                <w:b/>
                <w:bCs/>
                <w:sz w:val="18"/>
                <w:szCs w:val="18"/>
              </w:rPr>
            </w:pPr>
            <w:r>
              <w:rPr>
                <w:b/>
                <w:bCs/>
                <w:sz w:val="18"/>
                <w:szCs w:val="18"/>
              </w:rPr>
              <w:t>MORE INFORMATION</w:t>
            </w:r>
          </w:p>
          <w:p>
            <w:pPr>
              <w:pStyle w:val="yMiscellaneousBody"/>
              <w:rPr>
                <w:snapToGrid w:val="0"/>
                <w:sz w:val="18"/>
                <w:szCs w:val="18"/>
              </w:rPr>
            </w:pPr>
            <w:r>
              <w:rPr>
                <w:snapToGrid w:val="0"/>
                <w:sz w:val="18"/>
                <w:szCs w:val="18"/>
              </w:rPr>
              <w:t>If you have any questions or require further information about warranties, contact the Consumer Protection Call Centre on 1300 304 054 (Mon to Fri). TTY 13 36 77 (hearing impaired). 13 14 50 (interpreter service).</w:t>
            </w:r>
          </w:p>
          <w:p>
            <w:pPr>
              <w:pStyle w:val="yMiscellaneousHeading"/>
              <w:keepNext w:val="0"/>
              <w:spacing w:after="60"/>
              <w:rPr>
                <w:b/>
                <w:bCs/>
                <w:sz w:val="18"/>
                <w:szCs w:val="18"/>
              </w:rPr>
            </w:pPr>
            <w:r>
              <w:rPr>
                <w:i/>
                <w:sz w:val="18"/>
                <w:szCs w:val="18"/>
              </w:rPr>
              <w:t>Internet:      www.dmirs.wa.gov.au</w:t>
            </w:r>
          </w:p>
        </w:tc>
      </w:tr>
      <w:tr>
        <w:trPr>
          <w:cantSplit/>
          <w:trHeight w:val="189"/>
        </w:trPr>
        <w:tc>
          <w:tcPr>
            <w:tcW w:w="6521" w:type="dxa"/>
            <w:gridSpan w:val="3"/>
          </w:tcPr>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keepNext w:val="0"/>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lastRenderedPageBreak/>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Gazette 17 Nov 2006 p. 4754</w:t>
      </w:r>
      <w:r>
        <w:noBreakHyphen/>
        <w:t>5; amended: Gazette 8 Jan 2015 p. 89; SL 2021/164 r. 17.]</w:t>
      </w:r>
    </w:p>
    <w:p>
      <w:pPr>
        <w:pStyle w:val="yHeading3"/>
      </w:pPr>
      <w:bookmarkStart w:id="64" w:name="_Toc91056989"/>
      <w:bookmarkStart w:id="65" w:name="_Toc91057201"/>
      <w:bookmarkStart w:id="66" w:name="_Toc91068024"/>
      <w:r>
        <w:lastRenderedPageBreak/>
        <w:t>Form 5</w:t>
      </w:r>
      <w:r>
        <w:rPr>
          <w:b w:val="0"/>
        </w:rPr>
        <w:t> — </w:t>
      </w:r>
      <w:r>
        <w:t>Notice of defects excluded from warranty</w:t>
      </w:r>
      <w:bookmarkEnd w:id="64"/>
      <w:bookmarkEnd w:id="65"/>
      <w:bookmarkEnd w:id="66"/>
    </w:p>
    <w:p>
      <w:pPr>
        <w:pStyle w:val="yShoulderClause"/>
      </w:pPr>
      <w:r>
        <w:t>[r. 6]</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lastRenderedPageBreak/>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bCs/>
                <w:snapToGrid w:val="0"/>
                <w:sz w:val="20"/>
              </w:rPr>
            </w:pPr>
            <w:r>
              <w:rPr>
                <w:bCs/>
                <w:snapToGrid w:val="0"/>
                <w:sz w:val="20"/>
              </w:rPr>
              <w:t>This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lastRenderedPageBreak/>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Heading"/>
              <w:ind w:left="30"/>
            </w:pPr>
            <w:r>
              <w:t>MORE INFORMATION</w:t>
            </w:r>
          </w:p>
          <w:p>
            <w:pPr>
              <w:pStyle w:val="yMiscellaneousBody"/>
              <w:spacing w:before="60"/>
              <w:ind w:left="28"/>
              <w:rPr>
                <w:snapToGrid w:val="0"/>
                <w:szCs w:val="22"/>
              </w:rPr>
            </w:pPr>
            <w:r>
              <w:rPr>
                <w:snapToGrid w:val="0"/>
                <w:szCs w:val="22"/>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pPr>
            <w:r>
              <w:rPr>
                <w:i/>
                <w:snapToGrid w:val="0"/>
                <w:sz w:val="18"/>
                <w:szCs w:val="18"/>
              </w:rPr>
              <w:t>Internet:      www.dmirs.wa.gov.au</w:t>
            </w:r>
          </w:p>
        </w:tc>
      </w:tr>
    </w:tbl>
    <w:p>
      <w:pPr>
        <w:pStyle w:val="yFootnotesection"/>
      </w:pPr>
      <w:r>
        <w:tab/>
        <w:t>[Form 5 inserted: Gazette 17 Nov 2006 p. 4755</w:t>
      </w:r>
      <w:r>
        <w:noBreakHyphen/>
        <w:t>7; amended: SL 2021/164 r. 18.]</w:t>
      </w:r>
    </w:p>
    <w:p>
      <w:pPr>
        <w:pStyle w:val="yHeading3"/>
        <w:pageBreakBefore/>
      </w:pPr>
      <w:bookmarkStart w:id="67" w:name="_Toc91056990"/>
      <w:bookmarkStart w:id="68" w:name="_Toc91057202"/>
      <w:bookmarkStart w:id="69" w:name="_Toc91068025"/>
      <w:r>
        <w:lastRenderedPageBreak/>
        <w:t>Form 6</w:t>
      </w:r>
      <w:r>
        <w:rPr>
          <w:b w:val="0"/>
        </w:rPr>
        <w:t> — </w:t>
      </w:r>
      <w:r>
        <w:t>Vehicle particulars — no warranty</w:t>
      </w:r>
      <w:bookmarkEnd w:id="67"/>
      <w:bookmarkEnd w:id="68"/>
      <w:bookmarkEnd w:id="69"/>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lastRenderedPageBreak/>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lastRenderedPageBreak/>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bCs/>
                <w:sz w:val="18"/>
              </w:rPr>
              <w:t>WARRANTIES UNDER FAIR TRADING AND COMPETITION AND CONSUMER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z w:val="18"/>
              </w:rPr>
              <w:t>Competition and Consumer Act 2010</w:t>
            </w:r>
            <w:r>
              <w:rPr>
                <w:sz w:val="18"/>
              </w:rPr>
              <w:t xml:space="preserve"> (Cwlth) </w:t>
            </w:r>
            <w:r>
              <w:rPr>
                <w:snapToGrid w:val="0"/>
                <w:sz w:val="18"/>
              </w:rPr>
              <w:t>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snapToGrid w:val="0"/>
                <w:sz w:val="18"/>
              </w:rPr>
              <w:t>The Australian Consumer Law also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Heading"/>
              <w:spacing w:after="60"/>
              <w:jc w:val="left"/>
              <w:rPr>
                <w:b/>
                <w:bCs/>
                <w:sz w:val="18"/>
                <w:szCs w:val="18"/>
              </w:rPr>
            </w:pPr>
            <w:r>
              <w:rPr>
                <w:b/>
                <w:bCs/>
                <w:sz w:val="18"/>
                <w:szCs w:val="18"/>
              </w:rPr>
              <w:lastRenderedPageBreak/>
              <w:t>MORE INFORMATION</w:t>
            </w:r>
          </w:p>
          <w:p>
            <w:pPr>
              <w:pStyle w:val="yMiscellaneousBody"/>
              <w:spacing w:before="60"/>
              <w:ind w:left="28"/>
              <w:rPr>
                <w:snapToGrid w:val="0"/>
                <w:sz w:val="18"/>
                <w:szCs w:val="18"/>
              </w:rPr>
            </w:pPr>
            <w:r>
              <w:rPr>
                <w:snapToGrid w:val="0"/>
                <w:sz w:val="18"/>
                <w:szCs w:val="18"/>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rPr>
                <w:b/>
                <w:snapToGrid w:val="0"/>
              </w:rPr>
            </w:pPr>
            <w:r>
              <w:rPr>
                <w:i/>
                <w:snapToGrid w:val="0"/>
                <w:sz w:val="18"/>
                <w:szCs w:val="18"/>
              </w:rPr>
              <w:t xml:space="preserve">Internet:      </w:t>
            </w:r>
            <w:hyperlink r:id="rId25" w:history="1">
              <w:r>
                <w:rPr>
                  <w:rStyle w:val="Hyperlink"/>
                  <w:i/>
                  <w:snapToGrid w:val="0"/>
                  <w:color w:val="auto"/>
                  <w:sz w:val="18"/>
                  <w:szCs w:val="18"/>
                </w:rPr>
                <w:t>www.dmirs.wa.gov.au</w:t>
              </w:r>
            </w:hyperlink>
          </w:p>
        </w:tc>
      </w:tr>
    </w:tbl>
    <w:p>
      <w:pPr>
        <w:pStyle w:val="yFootnotesection"/>
      </w:pPr>
      <w:r>
        <w:lastRenderedPageBreak/>
        <w:tab/>
        <w:t>[Form 6 inserted: Gazette 17 Nov 2006 p. 4757</w:t>
      </w:r>
      <w:r>
        <w:noBreakHyphen/>
        <w:t>8; amended: Gazette 30 Jun 2011 p. 2660; 8 Jan 2015 p. 89; SL 2021/164 r. 19.]</w:t>
      </w:r>
    </w:p>
    <w:p>
      <w:pPr>
        <w:pStyle w:val="yEdnoteschedule"/>
      </w:pPr>
      <w:r>
        <w:t>[Schedules 2 and 3 deleted: SL 2021/164 r. 20.]</w:t>
      </w:r>
    </w:p>
    <w:p>
      <w:pPr>
        <w:pStyle w:val="yEdnoteschedule"/>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rPr>
          <w:snapToGrid/>
        </w:rPr>
      </w:pPr>
      <w:bookmarkStart w:id="71" w:name="_Toc91056991"/>
      <w:bookmarkStart w:id="72" w:name="_Toc91057203"/>
      <w:bookmarkStart w:id="73" w:name="_Toc91068026"/>
      <w:r>
        <w:rPr>
          <w:rStyle w:val="CharSchNo"/>
        </w:rPr>
        <w:lastRenderedPageBreak/>
        <w:t>Schedule 4</w:t>
      </w:r>
      <w:r>
        <w:t> — </w:t>
      </w:r>
      <w:r>
        <w:rPr>
          <w:rStyle w:val="CharSchText"/>
        </w:rPr>
        <w:t>Vehicle consignment contract</w:t>
      </w:r>
      <w:bookmarkEnd w:id="71"/>
      <w:bookmarkEnd w:id="72"/>
      <w:bookmarkEnd w:id="73"/>
    </w:p>
    <w:p>
      <w:pPr>
        <w:pStyle w:val="yShoulderClause"/>
      </w:pPr>
      <w:r>
        <w:t>[r. 13A]</w:t>
      </w:r>
    </w:p>
    <w:p>
      <w:pPr>
        <w:pStyle w:val="yFootnoteheading"/>
      </w:pPr>
      <w:r>
        <w:rPr>
          <w:snapToGrid w:val="0"/>
        </w:rPr>
        <w:tab/>
        <w:t>[Heading inserted: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SALE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Subject to Clause 8.1, the Owner will be responsible for the cost of repairing any defects or faults identified prior to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VEHICLE DECLARED UNFIT FOR SALE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Dealer will give Notice to the Owner if the Vehicle is declared unfit for Sale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sz w:val="20"/>
        </w:rPr>
        <w:t>Competition and Consumer Act 2010</w:t>
      </w:r>
      <w:r>
        <w:rPr>
          <w:rFonts w:ascii="Arial" w:hAnsi="Arial" w:cs="Arial"/>
          <w:sz w:val="20"/>
        </w:rPr>
        <w:t xml:space="preserve"> (Cwlth),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sz w:val="20"/>
        </w:rPr>
        <w:t>Competition and Consumer Act 2010</w:t>
      </w:r>
      <w:r>
        <w:rPr>
          <w:rFonts w:ascii="Arial" w:hAnsi="Arial" w:cs="Arial"/>
          <w:sz w:val="20"/>
        </w:rPr>
        <w:t xml:space="preserve"> (Cwlth).</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 xml:space="preserve">The Owner declares that the Owner has the right to sell the Vehicle.  The Owner will provide the Dealer with a certificate from the </w:t>
      </w:r>
      <w:r>
        <w:rPr>
          <w:rFonts w:ascii="Arial" w:hAnsi="Arial"/>
          <w:i/>
          <w:sz w:val="20"/>
        </w:rPr>
        <w:t>Personal Property Securities Register</w:t>
      </w:r>
      <w:r>
        <w:rPr>
          <w:rFonts w:ascii="Arial" w:hAnsi="Arial" w:cs="Arial"/>
          <w:sz w:val="20"/>
        </w:rPr>
        <w:t xml:space="preserve">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i/>
          <w:sz w:val="20"/>
        </w:rPr>
        <w:t>Personal Property Securities Act 2009</w:t>
      </w:r>
      <w:r>
        <w:rPr>
          <w:rFonts w:ascii="Arial" w:hAnsi="Arial"/>
          <w:sz w:val="20"/>
        </w:rPr>
        <w:t xml:space="preserve"> (Cwlth) </w:t>
      </w:r>
      <w:r>
        <w:rPr>
          <w:rFonts w:ascii="Arial" w:hAnsi="Arial" w:cs="Arial"/>
          <w:sz w:val="20"/>
        </w:rPr>
        <w:t>on the Vehicle, the interest must be discharged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keepNext/>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Gazette 13 Aug 2002 p. 4167</w:t>
      </w:r>
      <w:r>
        <w:noBreakHyphen/>
        <w:t>9; amended: Gazette 30 Jun 2011 p. 2660; SL 2021/164 r. 21.]</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rPr>
          <w:snapToGrid/>
        </w:rPr>
      </w:pPr>
      <w:bookmarkStart w:id="74" w:name="_Toc91056992"/>
      <w:bookmarkStart w:id="75" w:name="_Toc91057204"/>
      <w:bookmarkStart w:id="76" w:name="_Toc91068027"/>
      <w:r>
        <w:rPr>
          <w:rStyle w:val="CharSchNo"/>
        </w:rPr>
        <w:lastRenderedPageBreak/>
        <w:t>Schedule 5</w:t>
      </w:r>
      <w:r>
        <w:t> — </w:t>
      </w:r>
      <w:r>
        <w:rPr>
          <w:rStyle w:val="CharSchText"/>
        </w:rPr>
        <w:t>Vehicle sale contract</w:t>
      </w:r>
      <w:bookmarkEnd w:id="74"/>
      <w:bookmarkEnd w:id="75"/>
      <w:bookmarkEnd w:id="76"/>
    </w:p>
    <w:p>
      <w:pPr>
        <w:pStyle w:val="yShoulderClause"/>
      </w:pPr>
      <w:r>
        <w:t>[r. 13B]</w:t>
      </w:r>
    </w:p>
    <w:p>
      <w:pPr>
        <w:pStyle w:val="yFootnoteheading"/>
      </w:pPr>
      <w:r>
        <w:rPr>
          <w:snapToGrid w:val="0"/>
        </w:rPr>
        <w:tab/>
        <w:t>[Heading inserted: Gazette 17 Nov 2006 p. 4759.]</w:t>
      </w:r>
    </w:p>
    <w:p>
      <w:pPr>
        <w:pStyle w:val="yMiscellaneousHeading"/>
        <w:rPr>
          <w:rFonts w:ascii="Arial" w:hAnsi="Arial" w:cs="Arial"/>
          <w:b/>
        </w:rPr>
      </w:pPr>
      <w:r>
        <w:rPr>
          <w:rFonts w:ascii="Arial" w:hAnsi="Arial" w:cs="Arial"/>
          <w:b/>
        </w:rPr>
        <w:t>VEHICLE SALE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lastRenderedPageBreak/>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lastRenderedPageBreak/>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lastRenderedPageBreak/>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Gazette 13 Aug 2002 p. 4169</w:t>
      </w:r>
      <w:r>
        <w:noBreakHyphen/>
        <w:t>71; amended: SL 2021/164 r. 22.]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77" w:name="_Toc91056993"/>
      <w:bookmarkStart w:id="78" w:name="_Toc91057205"/>
      <w:bookmarkStart w:id="79" w:name="_Toc91068028"/>
      <w:r>
        <w:lastRenderedPageBreak/>
        <w:t>Notes</w:t>
      </w:r>
      <w:bookmarkEnd w:id="77"/>
      <w:bookmarkEnd w:id="78"/>
      <w:bookmarkEnd w:id="79"/>
    </w:p>
    <w:p>
      <w:pPr>
        <w:pStyle w:val="nStatement"/>
      </w:pPr>
      <w:r>
        <w:t xml:space="preserve">This is a compilation of the </w:t>
      </w:r>
      <w:r>
        <w:rPr>
          <w:i/>
          <w:noProof/>
        </w:rPr>
        <w:t>Motor Vehicle Dealers (Sales) Regulations 1974</w:t>
      </w:r>
      <w:r>
        <w:t xml:space="preserve"> and includes amendments made by other written laws. For provisions that have come into operation, and for information about any reprints, see the compilation table. </w:t>
      </w:r>
    </w:p>
    <w:p>
      <w:pPr>
        <w:pStyle w:val="nHeading3"/>
      </w:pPr>
      <w:bookmarkStart w:id="80" w:name="_Toc91068029"/>
      <w:r>
        <w:t>Compilation table</w:t>
      </w:r>
      <w:bookmarkEnd w:id="8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2015</w:t>
            </w:r>
          </w:p>
        </w:tc>
        <w:tc>
          <w:tcPr>
            <w:tcW w:w="1276" w:type="dxa"/>
          </w:tcPr>
          <w:p>
            <w:pPr>
              <w:pStyle w:val="nTable"/>
              <w:spacing w:after="40"/>
            </w:pPr>
            <w:r>
              <w:t>30 Jun 2015 p. 2330</w:t>
            </w:r>
            <w:r>
              <w:noBreakHyphen/>
              <w:t>1</w:t>
            </w:r>
          </w:p>
        </w:tc>
        <w:tc>
          <w:tcPr>
            <w:tcW w:w="2693" w:type="dxa"/>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r>
        <w:trPr>
          <w:cantSplit/>
        </w:trPr>
        <w:tc>
          <w:tcPr>
            <w:tcW w:w="3119" w:type="dxa"/>
            <w:tcBorders>
              <w:top w:val="nil"/>
              <w:bottom w:val="nil"/>
            </w:tcBorders>
          </w:tcPr>
          <w:p>
            <w:pPr>
              <w:pStyle w:val="nTable"/>
              <w:spacing w:after="40"/>
              <w:ind w:right="170"/>
            </w:pPr>
            <w:r>
              <w:rPr>
                <w:i/>
              </w:rPr>
              <w:t>Licensing Provisions Regulations Amendment Regulations 2017</w:t>
            </w:r>
            <w:r>
              <w:t xml:space="preserve"> Pt. 5</w:t>
            </w:r>
          </w:p>
        </w:tc>
        <w:tc>
          <w:tcPr>
            <w:tcW w:w="1276" w:type="dxa"/>
            <w:tcBorders>
              <w:top w:val="nil"/>
              <w:bottom w:val="nil"/>
            </w:tcBorders>
          </w:tcPr>
          <w:p>
            <w:pPr>
              <w:pStyle w:val="nTable"/>
              <w:spacing w:after="40"/>
            </w:pPr>
            <w:r>
              <w:t>27 Jun 2017 p. 3408</w:t>
            </w:r>
            <w:r>
              <w:noBreakHyphen/>
              <w:t>16</w:t>
            </w:r>
          </w:p>
        </w:tc>
        <w:tc>
          <w:tcPr>
            <w:tcW w:w="2693" w:type="dxa"/>
            <w:tcBorders>
              <w:top w:val="nil"/>
              <w:bottom w:val="nil"/>
            </w:tcBorders>
          </w:tcPr>
          <w:p>
            <w:pPr>
              <w:pStyle w:val="nTable"/>
              <w:spacing w:after="40"/>
              <w:rPr>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pPr>
            <w:r>
              <w:rPr>
                <w:i/>
              </w:rPr>
              <w:t>Commerce Regulations Amendment (Motor Vehicle Dealers and Repairers) Regulations 2021</w:t>
            </w:r>
            <w:r>
              <w:t xml:space="preserve"> Pt. 4</w:t>
            </w:r>
          </w:p>
        </w:tc>
        <w:tc>
          <w:tcPr>
            <w:tcW w:w="1276" w:type="dxa"/>
            <w:tcBorders>
              <w:bottom w:val="single" w:sz="4" w:space="0" w:color="auto"/>
            </w:tcBorders>
          </w:tcPr>
          <w:p>
            <w:pPr>
              <w:pStyle w:val="nTable"/>
              <w:spacing w:after="40"/>
            </w:pPr>
            <w:r>
              <w:t>SL 2021/164 24 Sep 2021</w:t>
            </w:r>
          </w:p>
        </w:tc>
        <w:tc>
          <w:tcPr>
            <w:tcW w:w="2693" w:type="dxa"/>
            <w:tcBorders>
              <w:bottom w:val="single" w:sz="4" w:space="0" w:color="auto"/>
            </w:tcBorders>
          </w:tcPr>
          <w:p>
            <w:pPr>
              <w:pStyle w:val="nTable"/>
              <w:spacing w:after="40"/>
            </w:pPr>
            <w:r>
              <w:t>Pt. 4 (other than r. 22): 25 Sep 2021 (see r. 2(c));</w:t>
            </w:r>
            <w:r>
              <w:br/>
              <w:t>r. 22: 1 Jan 2022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82" w:name="_Toc91056996"/>
      <w:bookmarkStart w:id="83" w:name="_Toc91057207"/>
      <w:bookmarkStart w:id="84" w:name="_Toc91068030"/>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existing trust account</w:t>
      </w:r>
      <w:r>
        <w:tab/>
        <w:t>10NA(1)</w:t>
      </w:r>
    </w:p>
    <w:p>
      <w:pPr>
        <w:pStyle w:val="DefinedTerms"/>
      </w:pPr>
      <w:r>
        <w:t>Form</w:t>
      </w:r>
      <w:r>
        <w:tab/>
        <w:t>2</w:t>
      </w:r>
    </w:p>
    <w:p>
      <w:pPr>
        <w:pStyle w:val="DefinedTerms"/>
      </w:pPr>
      <w:r>
        <w:t>previous audit period</w:t>
      </w:r>
      <w:r>
        <w:tab/>
        <w:t>10NA(1)</w:t>
      </w:r>
    </w:p>
    <w:p>
      <w:pPr>
        <w:pStyle w:val="DefinedTerms"/>
      </w:pPr>
      <w:r>
        <w:t>section</w:t>
      </w:r>
      <w:r>
        <w:tab/>
        <w:t>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Vehicle consignment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5" w:name="DefinedTerms"/>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2091436"/>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 w:name="WAFER_2021092209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092327_GUID" w:val="70276279-44ba-4add-8c86-ea0dbef489d8"/>
    <w:docVar w:name="WAFER_20211222091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335_GUID" w:val="29b27a70-a216-4f40-b734-0585b4e3e693"/>
    <w:docVar w:name="WAFER_20211222091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436_GUID" w:val="e7468952-59bb-4276-8b2f-2cbe549bab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3E4A7-70AE-4621-9106-EBFDC4E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dmirs.wa.gov.au" TargetMode="Externa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7977</Words>
  <Characters>41801</Characters>
  <Application>Microsoft Office Word</Application>
  <DocSecurity>0</DocSecurity>
  <Lines>1393</Lines>
  <Paragraphs>790</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1974 - 03-h0-00</dc:title>
  <dc:subject/>
  <dc:creator/>
  <cp:keywords/>
  <dc:description/>
  <cp:lastModifiedBy>Master Repository Process</cp:lastModifiedBy>
  <cp:revision>4</cp:revision>
  <cp:lastPrinted>2007-02-26T03:09:00Z</cp:lastPrinted>
  <dcterms:created xsi:type="dcterms:W3CDTF">2021-12-31T02:09:00Z</dcterms:created>
  <dcterms:modified xsi:type="dcterms:W3CDTF">2021-12-31T02:09:00Z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AsAtDate">
    <vt:lpwstr>01 Jan 2022</vt:lpwstr>
  </property>
  <property fmtid="{D5CDD505-2E9C-101B-9397-08002B2CF9AE}" pid="7" name="Suffix">
    <vt:lpwstr>03-h0-00</vt:lpwstr>
  </property>
  <property fmtid="{D5CDD505-2E9C-101B-9397-08002B2CF9AE}" pid="8" name="CommencementDate">
    <vt:lpwstr>20220101</vt:lpwstr>
  </property>
</Properties>
</file>