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843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_Toc92809140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_Toc92809141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_Toc92809143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_Toc92809144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_Toc92809146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_Toc92809147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_Toc92809148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_Toc92809149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_Toc92809150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_Toc92809151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_Toc92809152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_Toc92809153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_Toc92809154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_Toc92809155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_Toc92809156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_Toc92809157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_Toc92809158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_Toc92809159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_Toc92809160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_Toc92809161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_Toc92809163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_Toc92809164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_Toc92809165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_Toc92809166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_Toc92809167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_Toc92809168 \h </w:instrText>
      </w:r>
      <w:r>
        <w:fldChar w:fldCharType="separate"/>
      </w:r>
      <w:r>
        <w:t>15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_Toc92809169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_Toc92809172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_Toc92809173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_Toc92809174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_Toc92809175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_Toc92809176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_Toc92809177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_Toc92809178 \h </w:instrText>
      </w:r>
      <w:r>
        <w:fldChar w:fldCharType="separate"/>
      </w:r>
      <w:r>
        <w:t>19</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_Toc92809179 \h </w:instrText>
      </w:r>
      <w:r>
        <w:fldChar w:fldCharType="separate"/>
      </w:r>
      <w:r>
        <w:t>20</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_Toc92809180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_Toc92809181 \h </w:instrText>
      </w:r>
      <w:r>
        <w:fldChar w:fldCharType="separate"/>
      </w:r>
      <w:r>
        <w:t>22</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_Toc92809182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_Toc92809184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_Toc92809185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_Toc92809186 \h </w:instrText>
      </w:r>
      <w:r>
        <w:fldChar w:fldCharType="separate"/>
      </w:r>
      <w:r>
        <w:t>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_Toc92809187 \h </w:instrText>
      </w:r>
      <w:r>
        <w:fldChar w:fldCharType="separate"/>
      </w:r>
      <w:r>
        <w:t>23</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_Toc92809188 \h </w:instrText>
      </w:r>
      <w:r>
        <w:fldChar w:fldCharType="separate"/>
      </w:r>
      <w:r>
        <w:t>26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_Toc92809189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_Toc92809190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_Toc92809191 \h </w:instrText>
      </w:r>
      <w:r>
        <w:fldChar w:fldCharType="separate"/>
      </w:r>
      <w:r>
        <w:t>28</w:t>
      </w:r>
      <w:r>
        <w:fldChar w:fldCharType="end"/>
      </w:r>
    </w:p>
    <w:p>
      <w:pPr>
        <w:pStyle w:val="TOC8"/>
        <w:rPr>
          <w:rFonts w:asciiTheme="minorHAnsi" w:eastAsiaTheme="minorEastAsia" w:hAnsiTheme="minorHAnsi" w:cstheme="minorBidi"/>
          <w:szCs w:val="22"/>
        </w:rPr>
      </w:pPr>
      <w:r>
        <w:lastRenderedPageBreak/>
        <w:t>23AB</w:t>
      </w:r>
      <w:r>
        <w:rPr>
          <w:snapToGrid w:val="0"/>
        </w:rPr>
        <w:t>.</w:t>
      </w:r>
      <w:r>
        <w:rPr>
          <w:snapToGrid w:val="0"/>
        </w:rPr>
        <w:tab/>
        <w:t>Grounds for extension (Act s. 61(2))</w:t>
      </w:r>
      <w:r>
        <w:tab/>
      </w:r>
      <w:r>
        <w:fldChar w:fldCharType="begin"/>
      </w:r>
      <w:r>
        <w:instrText xml:space="preserve"> PAGEREF _Toc92809192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_Toc92809193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_Toc92809194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_Toc92809195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_Toc92809197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_Toc92809198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_Toc92809199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_Toc92809200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_Toc92809201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_Toc92809202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_Toc92809203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_Toc92809205 \h </w:instrText>
      </w:r>
      <w:r>
        <w:fldChar w:fldCharType="separate"/>
      </w:r>
      <w:r>
        <w:t>35</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_Toc92809206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_Toc92809207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_Toc92809208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_Toc92809209 \h </w:instrText>
      </w:r>
      <w:r>
        <w:fldChar w:fldCharType="separate"/>
      </w:r>
      <w:r>
        <w:t>36</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_Toc92809210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_Toc92809211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_Toc92809212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_Toc92809213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_Toc92809214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_Toc92809215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_Toc92809216 \h </w:instrText>
      </w:r>
      <w:r>
        <w:fldChar w:fldCharType="separate"/>
      </w:r>
      <w:r>
        <w:t>39</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_Toc92809217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_Toc92809218 \h </w:instrText>
      </w:r>
      <w:r>
        <w:fldChar w:fldCharType="separate"/>
      </w:r>
      <w:r>
        <w:t>40</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_Toc92809219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_Toc92809220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_Toc92809222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_Toc92809223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_Toc92809224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_Toc92809225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_Toc92809227 \h </w:instrText>
      </w:r>
      <w:r>
        <w:fldChar w:fldCharType="separate"/>
      </w:r>
      <w:r>
        <w:t>44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_Toc92809228 \h </w:instrText>
      </w:r>
      <w:r>
        <w:fldChar w:fldCharType="separate"/>
      </w:r>
      <w:r>
        <w:t>44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Covenants and conditions</w:t>
      </w:r>
      <w:r>
        <w:tab/>
      </w:r>
      <w:r>
        <w:fldChar w:fldCharType="begin"/>
      </w:r>
      <w:r>
        <w:instrText xml:space="preserve"> PAGEREF _Toc92809229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_Toc92809230 \h </w:instrText>
      </w:r>
      <w:r>
        <w:fldChar w:fldCharType="separate"/>
      </w:r>
      <w:r>
        <w:t>45</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_Toc92809231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_Toc92809232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_Toc92809234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_Toc92809235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_Toc92809236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_Toc92809237 \h </w:instrText>
      </w:r>
      <w:r>
        <w:fldChar w:fldCharType="separate"/>
      </w:r>
      <w:r>
        <w:t>50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_Toc92809238 \h </w:instrText>
      </w:r>
      <w:r>
        <w:fldChar w:fldCharType="separate"/>
      </w:r>
      <w:r>
        <w:t>50</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_Toc92809239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_Toc92809240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_Toc92809241 \h </w:instrText>
      </w:r>
      <w:r>
        <w:fldChar w:fldCharType="separate"/>
      </w:r>
      <w:r>
        <w:t>52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_Toc92809242 \h </w:instrText>
      </w:r>
      <w:r>
        <w:fldChar w:fldCharType="separate"/>
      </w:r>
      <w:r>
        <w:t>53</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_Toc92809243 \h </w:instrText>
      </w:r>
      <w:r>
        <w:fldChar w:fldCharType="separate"/>
      </w:r>
      <w:r>
        <w:t>53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_Toc92809244 \h </w:instrText>
      </w:r>
      <w:r>
        <w:fldChar w:fldCharType="separate"/>
      </w:r>
      <w:r>
        <w:t>53</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_Toc92809245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_Toc92809247 \h </w:instrText>
      </w:r>
      <w:r>
        <w:fldChar w:fldCharType="separate"/>
      </w:r>
      <w:r>
        <w:t>54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_Toc92809248 \h </w:instrText>
      </w:r>
      <w:r>
        <w:fldChar w:fldCharType="separate"/>
      </w:r>
      <w:r>
        <w:t>55</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_Toc92809249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_Toc92809252 \h </w:instrText>
      </w:r>
      <w:r>
        <w:fldChar w:fldCharType="separate"/>
      </w:r>
      <w:r>
        <w:t>56</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_Toc92809253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_Toc92809255 \h </w:instrText>
      </w:r>
      <w:r>
        <w:fldChar w:fldCharType="separate"/>
      </w:r>
      <w:r>
        <w:t>57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_Toc92809256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_Toc92809257 \h </w:instrText>
      </w:r>
      <w:r>
        <w:fldChar w:fldCharType="separate"/>
      </w:r>
      <w:r>
        <w:t>58</w:t>
      </w:r>
      <w:r>
        <w:fldChar w:fldCharType="end"/>
      </w:r>
    </w:p>
    <w:p>
      <w:pPr>
        <w:pStyle w:val="TOC8"/>
        <w:rPr>
          <w:rFonts w:asciiTheme="minorHAnsi" w:eastAsiaTheme="minorEastAsia" w:hAnsiTheme="minorHAnsi" w:cstheme="minorBidi"/>
          <w:szCs w:val="22"/>
        </w:rPr>
      </w:pPr>
      <w:r>
        <w:lastRenderedPageBreak/>
        <w:t>62</w:t>
      </w:r>
      <w:r>
        <w:rPr>
          <w:snapToGrid w:val="0"/>
        </w:rPr>
        <w:t>.</w:t>
      </w:r>
      <w:r>
        <w:rPr>
          <w:snapToGrid w:val="0"/>
        </w:rPr>
        <w:tab/>
        <w:t>Surplus land may be applied for by others</w:t>
      </w:r>
      <w:r>
        <w:tab/>
      </w:r>
      <w:r>
        <w:fldChar w:fldCharType="begin"/>
      </w:r>
      <w:r>
        <w:instrText xml:space="preserve"> PAGEREF _Toc92809258 \h </w:instrText>
      </w:r>
      <w:r>
        <w:fldChar w:fldCharType="separate"/>
      </w:r>
      <w:r>
        <w:t>58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_Toc92809259 \h </w:instrText>
      </w:r>
      <w:r>
        <w:fldChar w:fldCharType="separate"/>
      </w:r>
      <w:r>
        <w:t>59</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_Toc92809260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_Toc92809262 \h </w:instrText>
      </w:r>
      <w:r>
        <w:fldChar w:fldCharType="separate"/>
      </w:r>
      <w:r>
        <w:t>60</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_Toc92809263 \h </w:instrText>
      </w:r>
      <w:r>
        <w:fldChar w:fldCharType="separate"/>
      </w:r>
      <w:r>
        <w:t>62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_Toc92809264 \h </w:instrText>
      </w:r>
      <w:r>
        <w:fldChar w:fldCharType="separate"/>
      </w:r>
      <w:r>
        <w:t>62</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_Toc92809265 \h </w:instrText>
      </w:r>
      <w:r>
        <w:fldChar w:fldCharType="separate"/>
      </w:r>
      <w:r>
        <w:t>63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_Toc92809266 \h </w:instrText>
      </w:r>
      <w:r>
        <w:fldChar w:fldCharType="separate"/>
      </w:r>
      <w:r>
        <w:t>63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_Toc92809267 \h </w:instrText>
      </w:r>
      <w:r>
        <w:fldChar w:fldCharType="separate"/>
      </w:r>
      <w:r>
        <w:t>63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_Toc92809268 \h </w:instrText>
      </w:r>
      <w:r>
        <w:fldChar w:fldCharType="separate"/>
      </w:r>
      <w:r>
        <w:t>63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_Toc92809269 \h </w:instrText>
      </w:r>
      <w:r>
        <w:fldChar w:fldCharType="separate"/>
      </w:r>
      <w:r>
        <w:t>64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_Toc92809270 \h </w:instrText>
      </w:r>
      <w:r>
        <w:fldChar w:fldCharType="separate"/>
      </w:r>
      <w:r>
        <w:t>64</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_Toc92809271 \h </w:instrText>
      </w:r>
      <w:r>
        <w:fldChar w:fldCharType="separate"/>
      </w:r>
      <w:r>
        <w:t>64</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_Toc92809272 \h </w:instrText>
      </w:r>
      <w:r>
        <w:fldChar w:fldCharType="separate"/>
      </w:r>
      <w:r>
        <w:t>65</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_Toc92809273 \h </w:instrText>
      </w:r>
      <w:r>
        <w:fldChar w:fldCharType="separate"/>
      </w:r>
      <w:r>
        <w:t>65</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_Toc92809274 \h </w:instrText>
      </w:r>
      <w:r>
        <w:fldChar w:fldCharType="separate"/>
      </w:r>
      <w:r>
        <w:t>66</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_Toc92809275 \h </w:instrText>
      </w:r>
      <w:r>
        <w:fldChar w:fldCharType="separate"/>
      </w:r>
      <w:r>
        <w:t>66</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_Toc92809276 \h </w:instrText>
      </w:r>
      <w:r>
        <w:fldChar w:fldCharType="separate"/>
      </w:r>
      <w:r>
        <w:t>67</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_Toc92809277 \h </w:instrText>
      </w:r>
      <w:r>
        <w:fldChar w:fldCharType="separate"/>
      </w:r>
      <w:r>
        <w:t>67</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_Toc92809278 \h </w:instrText>
      </w:r>
      <w:r>
        <w:fldChar w:fldCharType="separate"/>
      </w:r>
      <w:r>
        <w:t>67</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_Toc92809279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_Toc92809281 \h </w:instrText>
      </w:r>
      <w:r>
        <w:fldChar w:fldCharType="separate"/>
      </w:r>
      <w:r>
        <w:t>69</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No liability for mining if boundary marks not maintained</w:t>
      </w:r>
      <w:r>
        <w:tab/>
      </w:r>
      <w:r>
        <w:fldChar w:fldCharType="begin"/>
      </w:r>
      <w:r>
        <w:instrText xml:space="preserve"> PAGEREF _Toc92809282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_Toc92809283 \h </w:instrText>
      </w:r>
      <w:r>
        <w:fldChar w:fldCharType="separate"/>
      </w:r>
      <w:r>
        <w:t>69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_Toc92809284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_Toc92809286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_Toc92809288 \h </w:instrText>
      </w:r>
      <w:r>
        <w:fldChar w:fldCharType="separate"/>
      </w:r>
      <w:r>
        <w:t>70</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_Toc92809289 \h </w:instrText>
      </w:r>
      <w:r>
        <w:fldChar w:fldCharType="separate"/>
      </w:r>
      <w:r>
        <w:t>71</w:t>
      </w:r>
      <w:r>
        <w:fldChar w:fldCharType="end"/>
      </w:r>
    </w:p>
    <w:p>
      <w:pPr>
        <w:pStyle w:val="TOC8"/>
        <w:rPr>
          <w:rFonts w:asciiTheme="minorHAnsi" w:eastAsiaTheme="minorEastAsia" w:hAnsiTheme="minorHAnsi" w:cstheme="minorBidi"/>
          <w:szCs w:val="22"/>
        </w:rPr>
      </w:pPr>
      <w:r>
        <w:t>76A.</w:t>
      </w:r>
      <w:r>
        <w:tab/>
        <w:t>Withdrawal of caveats</w:t>
      </w:r>
      <w:r>
        <w:tab/>
      </w:r>
      <w:r>
        <w:fldChar w:fldCharType="begin"/>
      </w:r>
      <w:r>
        <w:instrText xml:space="preserve"> PAGEREF _Toc92809290 \h </w:instrText>
      </w:r>
      <w:r>
        <w:fldChar w:fldCharType="separate"/>
      </w:r>
      <w:r>
        <w:t>71</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_Toc92809291 \h </w:instrText>
      </w:r>
      <w:r>
        <w:fldChar w:fldCharType="separate"/>
      </w:r>
      <w:r>
        <w:t>72</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_Toc92809292 \h </w:instrText>
      </w:r>
      <w:r>
        <w:fldChar w:fldCharType="separate"/>
      </w:r>
      <w:r>
        <w:t>72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_Toc92809293 \h </w:instrText>
      </w:r>
      <w:r>
        <w:fldChar w:fldCharType="separate"/>
      </w:r>
      <w:r>
        <w:t>72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_Toc92809294 \h </w:instrText>
      </w:r>
      <w:r>
        <w:fldChar w:fldCharType="separate"/>
      </w:r>
      <w:r>
        <w:t>74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_Toc92809295 \h </w:instrText>
      </w:r>
      <w:r>
        <w:fldChar w:fldCharType="separate"/>
      </w:r>
      <w:r>
        <w:t>74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_Toc92809296 \h </w:instrText>
      </w:r>
      <w:r>
        <w:fldChar w:fldCharType="separate"/>
      </w:r>
      <w:r>
        <w:t>74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_Toc92809297 \h </w:instrText>
      </w:r>
      <w:r>
        <w:fldChar w:fldCharType="separate"/>
      </w:r>
      <w:r>
        <w:t>74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_Toc92809298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_Toc92809300 \h </w:instrText>
      </w:r>
      <w:r>
        <w:fldChar w:fldCharType="separate"/>
      </w:r>
      <w:r>
        <w:t>75</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_Toc92809301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_Toc92809303 \h </w:instrText>
      </w:r>
      <w:r>
        <w:fldChar w:fldCharType="separate"/>
      </w:r>
      <w:r>
        <w:t>75</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_Toc92809304 \h </w:instrText>
      </w:r>
      <w:r>
        <w:fldChar w:fldCharType="separate"/>
      </w:r>
      <w:r>
        <w:t>77</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_Toc92809305 \h </w:instrText>
      </w:r>
      <w:r>
        <w:fldChar w:fldCharType="separate"/>
      </w:r>
      <w:r>
        <w:t>78</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_Toc92809306 \h </w:instrText>
      </w:r>
      <w:r>
        <w:fldChar w:fldCharType="separate"/>
      </w:r>
      <w:r>
        <w:t>78</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_Toc92809307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_Toc92809309 \h </w:instrText>
      </w:r>
      <w:r>
        <w:fldChar w:fldCharType="separate"/>
      </w:r>
      <w:r>
        <w:t>79</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_Toc92809310 \h </w:instrText>
      </w:r>
      <w:r>
        <w:fldChar w:fldCharType="separate"/>
      </w:r>
      <w:r>
        <w:t>81</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_Toc92809311 \h </w:instrText>
      </w:r>
      <w:r>
        <w:fldChar w:fldCharType="separate"/>
      </w:r>
      <w:r>
        <w:t>82</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_Toc92809312 \h </w:instrText>
      </w:r>
      <w:r>
        <w:fldChar w:fldCharType="separate"/>
      </w:r>
      <w:r>
        <w:t>83</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_Toc92809313 \h </w:instrText>
      </w:r>
      <w:r>
        <w:fldChar w:fldCharType="separate"/>
      </w:r>
      <w:r>
        <w:t>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_Toc92809314 \h </w:instrText>
      </w:r>
      <w:r>
        <w:fldChar w:fldCharType="separate"/>
      </w:r>
      <w:r>
        <w:t>85</w:t>
      </w:r>
      <w:r>
        <w:fldChar w:fldCharType="end"/>
      </w:r>
    </w:p>
    <w:p>
      <w:pPr>
        <w:pStyle w:val="TOC8"/>
        <w:rPr>
          <w:rFonts w:asciiTheme="minorHAnsi" w:eastAsiaTheme="minorEastAsia" w:hAnsiTheme="minorHAnsi" w:cstheme="minorBidi"/>
          <w:szCs w:val="22"/>
        </w:rPr>
      </w:pPr>
      <w:r>
        <w:lastRenderedPageBreak/>
        <w:t>86AA</w:t>
      </w:r>
      <w:r>
        <w:rPr>
          <w:snapToGrid w:val="0"/>
        </w:rPr>
        <w:t>.</w:t>
      </w:r>
      <w:r>
        <w:rPr>
          <w:snapToGrid w:val="0"/>
        </w:rPr>
        <w:tab/>
        <w:t>Rates of royalty in respect of gold</w:t>
      </w:r>
      <w:r>
        <w:tab/>
      </w:r>
      <w:r>
        <w:fldChar w:fldCharType="begin"/>
      </w:r>
      <w:r>
        <w:instrText xml:space="preserve"> PAGEREF _Toc92809315 \h </w:instrText>
      </w:r>
      <w:r>
        <w:fldChar w:fldCharType="separate"/>
      </w:r>
      <w:r>
        <w:t>93</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_Toc92809316 \h </w:instrText>
      </w:r>
      <w:r>
        <w:fldChar w:fldCharType="separate"/>
      </w:r>
      <w:r>
        <w:t>99</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_Toc92809317 \h </w:instrText>
      </w:r>
      <w:r>
        <w:fldChar w:fldCharType="separate"/>
      </w:r>
      <w:r>
        <w:t>100</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_Toc92809318 \h </w:instrText>
      </w:r>
      <w:r>
        <w:fldChar w:fldCharType="separate"/>
      </w:r>
      <w:r>
        <w:t>101</w:t>
      </w:r>
      <w:r>
        <w:fldChar w:fldCharType="end"/>
      </w:r>
    </w:p>
    <w:p>
      <w:pPr>
        <w:pStyle w:val="TOC8"/>
        <w:rPr>
          <w:rFonts w:asciiTheme="minorHAnsi" w:eastAsiaTheme="minorEastAsia" w:hAnsiTheme="minorHAnsi" w:cstheme="minorBidi"/>
          <w:szCs w:val="22"/>
        </w:rPr>
      </w:pPr>
      <w:r>
        <w:t>86AE.</w:t>
      </w:r>
      <w:r>
        <w:tab/>
        <w:t>Rates of royalty for lithium: feedstock and sales to related parties</w:t>
      </w:r>
      <w:r>
        <w:tab/>
      </w:r>
      <w:r>
        <w:fldChar w:fldCharType="begin"/>
      </w:r>
      <w:r>
        <w:instrText xml:space="preserve"> PAGEREF _Toc92809319 \h </w:instrText>
      </w:r>
      <w:r>
        <w:fldChar w:fldCharType="separate"/>
      </w:r>
      <w:r>
        <w:t>105</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_Toc92809320 \h </w:instrText>
      </w:r>
      <w:r>
        <w:fldChar w:fldCharType="separate"/>
      </w:r>
      <w:r>
        <w:t>105</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_Toc92809321 \h </w:instrText>
      </w:r>
      <w:r>
        <w:fldChar w:fldCharType="separate"/>
      </w:r>
      <w:r>
        <w:t>108</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_Toc92809322 \h </w:instrText>
      </w:r>
      <w:r>
        <w:fldChar w:fldCharType="separate"/>
      </w:r>
      <w:r>
        <w:t>108</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_Toc92809323 \h </w:instrText>
      </w:r>
      <w:r>
        <w:fldChar w:fldCharType="separate"/>
      </w:r>
      <w:r>
        <w:t>108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_Toc92809324 \h </w:instrText>
      </w:r>
      <w:r>
        <w:fldChar w:fldCharType="separate"/>
      </w:r>
      <w:r>
        <w:t>109</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_Toc92809325 \h </w:instrText>
      </w:r>
      <w:r>
        <w:fldChar w:fldCharType="separate"/>
      </w:r>
      <w:r>
        <w:t>110</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_Toc92809326 \h </w:instrText>
      </w:r>
      <w:r>
        <w:fldChar w:fldCharType="separate"/>
      </w:r>
      <w:r>
        <w:t>110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_Toc92809327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_Toc92809329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_Toc92809331 \h </w:instrText>
      </w:r>
      <w:r>
        <w:fldChar w:fldCharType="separate"/>
      </w:r>
      <w:r>
        <w:t>112</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_Toc92809332 \h </w:instrText>
      </w:r>
      <w:r>
        <w:fldChar w:fldCharType="separate"/>
      </w:r>
      <w:r>
        <w:t>112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_Toc92809333 \h </w:instrText>
      </w:r>
      <w:r>
        <w:fldChar w:fldCharType="separate"/>
      </w:r>
      <w:r>
        <w:t>113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_Toc92809334 \h </w:instrText>
      </w:r>
      <w:r>
        <w:fldChar w:fldCharType="separate"/>
      </w:r>
      <w:r>
        <w:t>113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_Toc92809335 \h </w:instrText>
      </w:r>
      <w:r>
        <w:fldChar w:fldCharType="separate"/>
      </w:r>
      <w:r>
        <w:t>113</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_Toc92809336 \h </w:instrText>
      </w:r>
      <w:r>
        <w:fldChar w:fldCharType="separate"/>
      </w:r>
      <w:r>
        <w:t>114</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_Toc92809337 \h </w:instrText>
      </w:r>
      <w:r>
        <w:fldChar w:fldCharType="separate"/>
      </w:r>
      <w:r>
        <w:t>114</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_Toc92809338 \h </w:instrText>
      </w:r>
      <w:r>
        <w:fldChar w:fldCharType="separate"/>
      </w:r>
      <w:r>
        <w:t>115</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_Toc92809339 \h </w:instrText>
      </w:r>
      <w:r>
        <w:fldChar w:fldCharType="separate"/>
      </w:r>
      <w:r>
        <w:t>117</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_Toc92809340 \h </w:instrText>
      </w:r>
      <w:r>
        <w:fldChar w:fldCharType="separate"/>
      </w:r>
      <w:r>
        <w:t>118</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_Toc92809341 \h </w:instrText>
      </w:r>
      <w:r>
        <w:fldChar w:fldCharType="separate"/>
      </w:r>
      <w:r>
        <w:t>118</w:t>
      </w:r>
      <w:r>
        <w:fldChar w:fldCharType="end"/>
      </w:r>
    </w:p>
    <w:p>
      <w:pPr>
        <w:pStyle w:val="TOC8"/>
        <w:rPr>
          <w:rFonts w:asciiTheme="minorHAnsi" w:eastAsiaTheme="minorEastAsia" w:hAnsiTheme="minorHAnsi" w:cstheme="minorBidi"/>
          <w:szCs w:val="22"/>
        </w:rPr>
      </w:pPr>
      <w:r>
        <w:t>96CB.</w:t>
      </w:r>
      <w:r>
        <w:tab/>
        <w:t>Release of information to Director General of Finance for royalties activities</w:t>
      </w:r>
      <w:r>
        <w:tab/>
      </w:r>
      <w:r>
        <w:fldChar w:fldCharType="begin"/>
      </w:r>
      <w:r>
        <w:instrText xml:space="preserve"> PAGEREF _Toc92809342 \h </w:instrText>
      </w:r>
      <w:r>
        <w:fldChar w:fldCharType="separate"/>
      </w:r>
      <w:r>
        <w:t>120</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_Toc92809343 \h </w:instrText>
      </w:r>
      <w:r>
        <w:fldChar w:fldCharType="separate"/>
      </w:r>
      <w:r>
        <w:t>122</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_Toc92809344 \h </w:instrText>
      </w:r>
      <w:r>
        <w:fldChar w:fldCharType="separate"/>
      </w:r>
      <w:r>
        <w:t>124</w:t>
      </w:r>
      <w:r>
        <w:fldChar w:fldCharType="end"/>
      </w:r>
    </w:p>
    <w:p>
      <w:pPr>
        <w:pStyle w:val="TOC8"/>
        <w:rPr>
          <w:rFonts w:asciiTheme="minorHAnsi" w:eastAsiaTheme="minorEastAsia" w:hAnsiTheme="minorHAnsi" w:cstheme="minorBidi"/>
          <w:szCs w:val="22"/>
        </w:rPr>
      </w:pPr>
      <w:r>
        <w:lastRenderedPageBreak/>
        <w:t>97</w:t>
      </w:r>
      <w:r>
        <w:rPr>
          <w:snapToGrid w:val="0"/>
        </w:rPr>
        <w:t>.</w:t>
      </w:r>
      <w:r>
        <w:rPr>
          <w:snapToGrid w:val="0"/>
        </w:rPr>
        <w:tab/>
        <w:t>No mining that obstructs public thoroughfares etc.</w:t>
      </w:r>
      <w:r>
        <w:tab/>
      </w:r>
      <w:r>
        <w:fldChar w:fldCharType="begin"/>
      </w:r>
      <w:r>
        <w:instrText xml:space="preserve"> PAGEREF _Toc92809345 \h </w:instrText>
      </w:r>
      <w:r>
        <w:fldChar w:fldCharType="separate"/>
      </w:r>
      <w:r>
        <w:t>124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_Toc92809346 \h </w:instrText>
      </w:r>
      <w:r>
        <w:fldChar w:fldCharType="separate"/>
      </w:r>
      <w:r>
        <w:t>125</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_Toc92809347 \h </w:instrText>
      </w:r>
      <w:r>
        <w:fldChar w:fldCharType="separate"/>
      </w:r>
      <w:r>
        <w:t>125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_Toc92809348 \h </w:instrText>
      </w:r>
      <w:r>
        <w:fldChar w:fldCharType="separate"/>
      </w:r>
      <w:r>
        <w:t>125</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_Toc92809349 \h </w:instrText>
      </w:r>
      <w:r>
        <w:fldChar w:fldCharType="separate"/>
      </w:r>
      <w:r>
        <w:t>125</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_Toc92809350 \h </w:instrText>
      </w:r>
      <w:r>
        <w:fldChar w:fldCharType="separate"/>
      </w:r>
      <w:r>
        <w:t>126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_Toc92809351 \h </w:instrText>
      </w:r>
      <w:r>
        <w:fldChar w:fldCharType="separate"/>
      </w:r>
      <w:r>
        <w:t>126</w:t>
      </w:r>
      <w:r>
        <w:fldChar w:fldCharType="end"/>
      </w:r>
    </w:p>
    <w:p>
      <w:pPr>
        <w:pStyle w:val="TOC8"/>
        <w:rPr>
          <w:rFonts w:asciiTheme="minorHAnsi" w:eastAsiaTheme="minorEastAsia" w:hAnsiTheme="minorHAnsi" w:cstheme="minorBidi"/>
          <w:szCs w:val="22"/>
        </w:rPr>
      </w:pPr>
      <w:r>
        <w:t>105.</w:t>
      </w:r>
      <w:r>
        <w:tab/>
        <w:t>Application for copy document</w:t>
      </w:r>
      <w:r>
        <w:tab/>
      </w:r>
      <w:r>
        <w:fldChar w:fldCharType="begin"/>
      </w:r>
      <w:r>
        <w:instrText xml:space="preserve"> PAGEREF _Toc92809352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_Toc92809353 \h </w:instrText>
      </w:r>
      <w:r>
        <w:fldChar w:fldCharType="separate"/>
      </w:r>
      <w:r>
        <w:t>128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_Toc92809354 \h </w:instrText>
      </w:r>
      <w:r>
        <w:fldChar w:fldCharType="separate"/>
      </w:r>
      <w:r>
        <w:t>128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_Toc92809355 \h </w:instrText>
      </w:r>
      <w:r>
        <w:fldChar w:fldCharType="separate"/>
      </w:r>
      <w:r>
        <w:t>129</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_Toc92809356 \h </w:instrText>
      </w:r>
      <w:r>
        <w:fldChar w:fldCharType="separate"/>
      </w:r>
      <w:r>
        <w:t>130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_Toc92809357 \h </w:instrText>
      </w:r>
      <w:r>
        <w:fldChar w:fldCharType="separate"/>
      </w:r>
      <w:r>
        <w:t>130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_Toc92809358 \h </w:instrText>
      </w:r>
      <w:r>
        <w:fldChar w:fldCharType="separate"/>
      </w:r>
      <w:r>
        <w:t>130</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_Toc92809359 \h </w:instrText>
      </w:r>
      <w:r>
        <w:fldChar w:fldCharType="separate"/>
      </w:r>
      <w:r>
        <w:t>131</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_Toc92809360 \h </w:instrText>
      </w:r>
      <w:r>
        <w:fldChar w:fldCharType="separate"/>
      </w:r>
      <w:r>
        <w:t>131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_Toc92809361 \h </w:instrText>
      </w:r>
      <w:r>
        <w:fldChar w:fldCharType="separate"/>
      </w:r>
      <w:r>
        <w:t>131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_Toc92809362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_Toc92809364 \h </w:instrText>
      </w:r>
      <w:r>
        <w:fldChar w:fldCharType="separate"/>
      </w:r>
      <w:r>
        <w:t>133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_Toc92809365 \h </w:instrText>
      </w:r>
      <w:r>
        <w:fldChar w:fldCharType="separate"/>
      </w:r>
      <w:r>
        <w:t>133</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_Toc92809366 \h </w:instrText>
      </w:r>
      <w:r>
        <w:fldChar w:fldCharType="separate"/>
      </w:r>
      <w:r>
        <w:t>134</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_Toc92809367 \h </w:instrText>
      </w:r>
      <w:r>
        <w:fldChar w:fldCharType="separate"/>
      </w:r>
      <w:r>
        <w:t>135</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_Toc92809368 \h </w:instrText>
      </w:r>
      <w:r>
        <w:fldChar w:fldCharType="separate"/>
      </w:r>
      <w:r>
        <w:t>135</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_Toc92809369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_Toc92809370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_Toc92809371 \h </w:instrText>
      </w:r>
      <w:r>
        <w:fldChar w:fldCharType="separate"/>
      </w:r>
      <w:r>
        <w:t>137</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_Toc92809372 \h </w:instrText>
      </w:r>
      <w:r>
        <w:fldChar w:fldCharType="separate"/>
      </w:r>
      <w:r>
        <w:t>138</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_Toc92809373 \h </w:instrText>
      </w:r>
      <w:r>
        <w:fldChar w:fldCharType="separate"/>
      </w:r>
      <w:r>
        <w:t>139</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_Toc92809374 \h </w:instrText>
      </w:r>
      <w:r>
        <w:fldChar w:fldCharType="separate"/>
      </w:r>
      <w:r>
        <w:t>139</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_Toc92809375 \h </w:instrText>
      </w:r>
      <w:r>
        <w:fldChar w:fldCharType="separate"/>
      </w:r>
      <w:r>
        <w:t>140</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_Toc92809376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_Toc92809379 \h </w:instrText>
      </w:r>
      <w:r>
        <w:fldChar w:fldCharType="separate"/>
      </w:r>
      <w:r>
        <w:t>141</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_Toc92809380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_Toc92809382 \h </w:instrText>
      </w:r>
      <w:r>
        <w:fldChar w:fldCharType="separate"/>
      </w:r>
      <w:r>
        <w:t>142</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_Toc92809383 \h </w:instrText>
      </w:r>
      <w:r>
        <w:fldChar w:fldCharType="separate"/>
      </w:r>
      <w:r>
        <w:t>143</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_Toc92809384 \h </w:instrText>
      </w:r>
      <w:r>
        <w:fldChar w:fldCharType="separate"/>
      </w:r>
      <w:r>
        <w:t>143</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_Toc92809385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_Toc92809387 \h </w:instrText>
      </w:r>
      <w:r>
        <w:fldChar w:fldCharType="separate"/>
      </w:r>
      <w:r>
        <w:t>145</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_Toc92809388 \h </w:instrText>
      </w:r>
      <w:r>
        <w:fldChar w:fldCharType="separate"/>
      </w:r>
      <w:r>
        <w:t>146</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_Toc92809389 \h </w:instrText>
      </w:r>
      <w:r>
        <w:fldChar w:fldCharType="separate"/>
      </w:r>
      <w:r>
        <w:t>146</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_Toc92809390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_Toc92809392 \h </w:instrText>
      </w:r>
      <w:r>
        <w:fldChar w:fldCharType="separate"/>
      </w:r>
      <w:r>
        <w:t>149</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_Toc92809393 \h </w:instrText>
      </w:r>
      <w:r>
        <w:fldChar w:fldCharType="separate"/>
      </w:r>
      <w:r>
        <w:t>149</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_Toc92809394 \h </w:instrText>
      </w:r>
      <w:r>
        <w:fldChar w:fldCharType="separate"/>
      </w:r>
      <w:r>
        <w:t>150</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_Toc92809395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_Toc92809397 \h </w:instrText>
      </w:r>
      <w:r>
        <w:fldChar w:fldCharType="separate"/>
      </w:r>
      <w:r>
        <w:t>151</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_Toc92809398 \h </w:instrText>
      </w:r>
      <w:r>
        <w:fldChar w:fldCharType="separate"/>
      </w:r>
      <w:r>
        <w:t>151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_Toc92809399 \h </w:instrText>
      </w:r>
      <w:r>
        <w:fldChar w:fldCharType="separate"/>
      </w:r>
      <w:r>
        <w:t>153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_Toc92809400 \h </w:instrText>
      </w:r>
      <w:r>
        <w:fldChar w:fldCharType="separate"/>
      </w:r>
      <w:r>
        <w:t>153</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_Toc92809401 \h </w:instrText>
      </w:r>
      <w:r>
        <w:fldChar w:fldCharType="separate"/>
      </w:r>
      <w:r>
        <w:t>154</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_Toc92809402 \h </w:instrText>
      </w:r>
      <w:r>
        <w:fldChar w:fldCharType="separate"/>
      </w:r>
      <w:r>
        <w:t>154</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_Toc92809403 \h </w:instrText>
      </w:r>
      <w:r>
        <w:fldChar w:fldCharType="separate"/>
      </w:r>
      <w:r>
        <w:t>154</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_Toc92809404 \h </w:instrText>
      </w:r>
      <w:r>
        <w:fldChar w:fldCharType="separate"/>
      </w:r>
      <w:r>
        <w:t>155</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_Toc92809405 \h </w:instrText>
      </w:r>
      <w:r>
        <w:fldChar w:fldCharType="separate"/>
      </w:r>
      <w:r>
        <w:t>155</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_Toc92809406 \h </w:instrText>
      </w:r>
      <w:r>
        <w:fldChar w:fldCharType="separate"/>
      </w:r>
      <w:r>
        <w:t>156</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_Toc92809407 \h </w:instrText>
      </w:r>
      <w:r>
        <w:fldChar w:fldCharType="separate"/>
      </w:r>
      <w:r>
        <w:t>157</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_Toc92809408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127CC.</w:t>
      </w:r>
      <w:r>
        <w:tab/>
        <w:t>Service electronically</w:t>
      </w:r>
      <w:r>
        <w:tab/>
      </w:r>
      <w:r>
        <w:fldChar w:fldCharType="begin"/>
      </w:r>
      <w:r>
        <w:instrText xml:space="preserve"> PAGEREF _Toc92809409 \h </w:instrText>
      </w:r>
      <w:r>
        <w:fldChar w:fldCharType="separate"/>
      </w:r>
      <w:r>
        <w:t>158</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_Toc92809410 \h </w:instrText>
      </w:r>
      <w:r>
        <w:fldChar w:fldCharType="separate"/>
      </w:r>
      <w:r>
        <w:t>159</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_Toc92809411 \h </w:instrText>
      </w:r>
      <w:r>
        <w:fldChar w:fldCharType="separate"/>
      </w:r>
      <w:r>
        <w:t>160</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_Toc92809412 \h </w:instrText>
      </w:r>
      <w:r>
        <w:fldChar w:fldCharType="separate"/>
      </w:r>
      <w:r>
        <w:t>160</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_Toc92809413 \h </w:instrText>
      </w:r>
      <w:r>
        <w:fldChar w:fldCharType="separate"/>
      </w:r>
      <w:r>
        <w:t>160</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_Toc92809414 \h </w:instrText>
      </w:r>
      <w:r>
        <w:fldChar w:fldCharType="separate"/>
      </w:r>
      <w:r>
        <w:t>161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_Toc92809415 \h </w:instrText>
      </w:r>
      <w:r>
        <w:fldChar w:fldCharType="separate"/>
      </w:r>
      <w:r>
        <w:t>161</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_Toc92809416 \h </w:instrText>
      </w:r>
      <w:r>
        <w:fldChar w:fldCharType="separate"/>
      </w:r>
      <w:r>
        <w:t>162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_Toc92809417 \h </w:instrText>
      </w:r>
      <w:r>
        <w:fldChar w:fldCharType="separate"/>
      </w:r>
      <w:r>
        <w:t>162</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_Toc92809418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_Toc92809421 \h </w:instrText>
      </w:r>
      <w:r>
        <w:fldChar w:fldCharType="separate"/>
      </w:r>
      <w:r>
        <w:t>163</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_Toc92809422 \h </w:instrText>
      </w:r>
      <w:r>
        <w:fldChar w:fldCharType="separate"/>
      </w:r>
      <w:r>
        <w:t>164</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_Toc92809423 \h </w:instrText>
      </w:r>
      <w:r>
        <w:fldChar w:fldCharType="separate"/>
      </w:r>
      <w:r>
        <w:t>166</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_Toc92809424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_Toc92809426 \h </w:instrText>
      </w:r>
      <w:r>
        <w:fldChar w:fldCharType="separate"/>
      </w:r>
      <w:r>
        <w:t>167</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_Toc92809427 \h </w:instrText>
      </w:r>
      <w:r>
        <w:fldChar w:fldCharType="separate"/>
      </w:r>
      <w:r>
        <w:t>167</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_Toc92809428 \h </w:instrText>
      </w:r>
      <w:r>
        <w:fldChar w:fldCharType="separate"/>
      </w:r>
      <w:r>
        <w:t>168</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_Toc92809429 \h </w:instrText>
      </w:r>
      <w:r>
        <w:fldChar w:fldCharType="separate"/>
      </w:r>
      <w:r>
        <w:t>169</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_Toc92809430 \h </w:instrText>
      </w:r>
      <w:r>
        <w:fldChar w:fldCharType="separate"/>
      </w:r>
      <w:r>
        <w:t>169</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_Toc92809431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_Toc92809433 \h </w:instrText>
      </w:r>
      <w:r>
        <w:fldChar w:fldCharType="separate"/>
      </w:r>
      <w:r>
        <w:t>170</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_Toc92809434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_Toc92809436 \h </w:instrText>
      </w:r>
      <w:r>
        <w:fldChar w:fldCharType="separate"/>
      </w:r>
      <w:r>
        <w:t>171</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_Toc92809437 \h </w:instrText>
      </w:r>
      <w:r>
        <w:fldChar w:fldCharType="separate"/>
      </w:r>
      <w:r>
        <w:t>172</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_Toc92809438 \h </w:instrText>
      </w:r>
      <w:r>
        <w:fldChar w:fldCharType="separate"/>
      </w:r>
      <w:r>
        <w:t>173</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_Toc92809439 \h </w:instrText>
      </w:r>
      <w:r>
        <w:fldChar w:fldCharType="separate"/>
      </w:r>
      <w:r>
        <w:t>173</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_Toc92809440 \h </w:instrText>
      </w:r>
      <w:r>
        <w:fldChar w:fldCharType="separate"/>
      </w:r>
      <w:r>
        <w:t>174</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_Toc92809441 \h </w:instrText>
      </w:r>
      <w:r>
        <w:fldChar w:fldCharType="separate"/>
      </w:r>
      <w:r>
        <w:t>175</w:t>
      </w:r>
      <w:r>
        <w:fldChar w:fldCharType="end"/>
      </w:r>
    </w:p>
    <w:p>
      <w:pPr>
        <w:pStyle w:val="TOC8"/>
        <w:rPr>
          <w:rFonts w:asciiTheme="minorHAnsi" w:eastAsiaTheme="minorEastAsia" w:hAnsiTheme="minorHAnsi" w:cstheme="minorBidi"/>
          <w:szCs w:val="22"/>
        </w:rPr>
      </w:pPr>
      <w:r>
        <w:lastRenderedPageBreak/>
        <w:t>150B.</w:t>
      </w:r>
      <w:r>
        <w:tab/>
        <w:t>Service electronically</w:t>
      </w:r>
      <w:r>
        <w:tab/>
      </w:r>
      <w:r>
        <w:fldChar w:fldCharType="begin"/>
      </w:r>
      <w:r>
        <w:instrText xml:space="preserve"> PAGEREF _Toc92809442 \h </w:instrText>
      </w:r>
      <w:r>
        <w:fldChar w:fldCharType="separate"/>
      </w:r>
      <w:r>
        <w:t>175</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_Toc92809443 \h </w:instrText>
      </w:r>
      <w:r>
        <w:fldChar w:fldCharType="separate"/>
      </w:r>
      <w:r>
        <w:t>177</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_Toc92809444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_Toc92809446 \h </w:instrText>
      </w:r>
      <w:r>
        <w:fldChar w:fldCharType="separate"/>
      </w:r>
      <w:r>
        <w:t>178</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_Toc92809447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_Toc92809449 \h </w:instrText>
      </w:r>
      <w:r>
        <w:fldChar w:fldCharType="separate"/>
      </w:r>
      <w:r>
        <w:t>180</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_Toc92809450 \h </w:instrText>
      </w:r>
      <w:r>
        <w:fldChar w:fldCharType="separate"/>
      </w:r>
      <w:r>
        <w:t>181</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_Toc92809451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_Toc92809453 \h </w:instrText>
      </w:r>
      <w:r>
        <w:fldChar w:fldCharType="separate"/>
      </w:r>
      <w:r>
        <w:t>182</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_Toc92809454 \h </w:instrText>
      </w:r>
      <w:r>
        <w:fldChar w:fldCharType="separate"/>
      </w:r>
      <w:r>
        <w:t>183</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_Toc92809455 \h </w:instrText>
      </w:r>
      <w:r>
        <w:fldChar w:fldCharType="separate"/>
      </w:r>
      <w:r>
        <w:t>184</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_Toc92809456 \h </w:instrText>
      </w:r>
      <w:r>
        <w:fldChar w:fldCharType="separate"/>
      </w:r>
      <w:r>
        <w:t>184</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_Toc92809457 \h </w:instrText>
      </w:r>
      <w:r>
        <w:fldChar w:fldCharType="separate"/>
      </w:r>
      <w:r>
        <w:t>185</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_Toc92809458 \h </w:instrText>
      </w:r>
      <w:r>
        <w:fldChar w:fldCharType="separate"/>
      </w:r>
      <w:r>
        <w:t>185</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_Toc92809459 \h </w:instrText>
      </w:r>
      <w:r>
        <w:fldChar w:fldCharType="separate"/>
      </w:r>
      <w:r>
        <w:t>186</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_Toc92809460 \h </w:instrText>
      </w:r>
      <w:r>
        <w:fldChar w:fldCharType="separate"/>
      </w:r>
      <w:r>
        <w:t>186</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_Toc92809462 \h </w:instrText>
      </w:r>
      <w:r>
        <w:fldChar w:fldCharType="separate"/>
      </w:r>
      <w:r>
        <w:t>187</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_Toc92809463 \h </w:instrText>
      </w:r>
      <w:r>
        <w:fldChar w:fldCharType="separate"/>
      </w:r>
      <w:r>
        <w:t>189</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_Toc92809464 \h </w:instrText>
      </w:r>
      <w:r>
        <w:fldChar w:fldCharType="separate"/>
      </w:r>
      <w:r>
        <w:t>189</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_Toc92809465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8A — Representation of parties</w:t>
      </w:r>
    </w:p>
    <w:p>
      <w:pPr>
        <w:pStyle w:val="TOC8"/>
        <w:rPr>
          <w:rFonts w:asciiTheme="minorHAnsi" w:eastAsiaTheme="minorEastAsia" w:hAnsiTheme="minorHAnsi" w:cstheme="minorBidi"/>
          <w:szCs w:val="22"/>
        </w:rPr>
      </w:pPr>
      <w:r>
        <w:t>168A.</w:t>
      </w:r>
      <w:r>
        <w:tab/>
        <w:t>Representation</w:t>
      </w:r>
      <w:r>
        <w:tab/>
      </w:r>
      <w:r>
        <w:fldChar w:fldCharType="begin"/>
      </w:r>
      <w:r>
        <w:instrText xml:space="preserve"> PAGEREF _Toc92809467 \h </w:instrText>
      </w:r>
      <w:r>
        <w:fldChar w:fldCharType="separate"/>
      </w:r>
      <w:r>
        <w:t>190</w:t>
      </w:r>
      <w:r>
        <w:fldChar w:fldCharType="end"/>
      </w:r>
    </w:p>
    <w:p>
      <w:pPr>
        <w:pStyle w:val="TOC8"/>
        <w:rPr>
          <w:rFonts w:asciiTheme="minorHAnsi" w:eastAsiaTheme="minorEastAsia" w:hAnsiTheme="minorHAnsi" w:cstheme="minorBidi"/>
          <w:szCs w:val="22"/>
        </w:rPr>
      </w:pPr>
      <w:r>
        <w:t>168B.</w:t>
      </w:r>
      <w:r>
        <w:tab/>
        <w:t>Notice of representation</w:t>
      </w:r>
      <w:r>
        <w:tab/>
      </w:r>
      <w:r>
        <w:fldChar w:fldCharType="begin"/>
      </w:r>
      <w:r>
        <w:instrText xml:space="preserve"> PAGEREF _Toc92809468 \h </w:instrText>
      </w:r>
      <w:r>
        <w:fldChar w:fldCharType="separate"/>
      </w:r>
      <w:r>
        <w:t>191</w:t>
      </w:r>
      <w:r>
        <w:fldChar w:fldCharType="end"/>
      </w:r>
    </w:p>
    <w:p>
      <w:pPr>
        <w:pStyle w:val="TOC8"/>
        <w:rPr>
          <w:rFonts w:asciiTheme="minorHAnsi" w:eastAsiaTheme="minorEastAsia" w:hAnsiTheme="minorHAnsi" w:cstheme="minorBidi"/>
          <w:szCs w:val="22"/>
        </w:rPr>
      </w:pPr>
      <w:r>
        <w:t>168C.</w:t>
      </w:r>
      <w:r>
        <w:tab/>
        <w:t>Leave to be represented by agent</w:t>
      </w:r>
      <w:r>
        <w:tab/>
      </w:r>
      <w:r>
        <w:fldChar w:fldCharType="begin"/>
      </w:r>
      <w:r>
        <w:instrText xml:space="preserve"> PAGEREF _Toc92809469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_Toc92809471 \h </w:instrText>
      </w:r>
      <w:r>
        <w:fldChar w:fldCharType="separate"/>
      </w:r>
      <w:r>
        <w:t>192</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_Toc92809472 \h </w:instrText>
      </w:r>
      <w:r>
        <w:fldChar w:fldCharType="separate"/>
      </w:r>
      <w:r>
        <w:t>193</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_Toc92809473 \h </w:instrText>
      </w:r>
      <w:r>
        <w:fldChar w:fldCharType="separate"/>
      </w:r>
      <w:r>
        <w:t>193</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_Toc92809474 \h </w:instrText>
      </w:r>
      <w:r>
        <w:fldChar w:fldCharType="separate"/>
      </w:r>
      <w:r>
        <w:t>194</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_Toc92809475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8"/>
        <w:rPr>
          <w:rFonts w:asciiTheme="minorHAnsi" w:eastAsiaTheme="minorEastAsia" w:hAnsiTheme="minorHAnsi" w:cstheme="minorBidi"/>
          <w:szCs w:val="22"/>
        </w:rPr>
      </w:pPr>
      <w:r>
        <w:t>Form 1</w:t>
      </w:r>
      <w:r>
        <w:tab/>
        <w:t>Miner’s right</w:t>
      </w:r>
      <w:r>
        <w:tab/>
      </w:r>
      <w:r>
        <w:fldChar w:fldCharType="begin"/>
      </w:r>
      <w:r>
        <w:instrText xml:space="preserve"> PAGEREF _Toc92809477 \h </w:instrText>
      </w:r>
      <w:r>
        <w:fldChar w:fldCharType="separate"/>
      </w:r>
      <w:r>
        <w:t>196</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_Toc92809478 \h </w:instrText>
      </w:r>
      <w:r>
        <w:fldChar w:fldCharType="separate"/>
      </w:r>
      <w:r>
        <w:t>197</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_Toc92809479 \h </w:instrText>
      </w:r>
      <w:r>
        <w:fldChar w:fldCharType="separate"/>
      </w:r>
      <w:r>
        <w:t>199</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_Toc92809480 \h </w:instrText>
      </w:r>
      <w:r>
        <w:fldChar w:fldCharType="separate"/>
      </w:r>
      <w:r>
        <w:t>200</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_Toc92809481 \h </w:instrText>
      </w:r>
      <w:r>
        <w:fldChar w:fldCharType="separate"/>
      </w:r>
      <w:r>
        <w:t>201</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_Toc92809482 \h </w:instrText>
      </w:r>
      <w:r>
        <w:fldChar w:fldCharType="separate"/>
      </w:r>
      <w:r>
        <w:t>202</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_Toc92809483 \h </w:instrText>
      </w:r>
      <w:r>
        <w:fldChar w:fldCharType="separate"/>
      </w:r>
      <w:r>
        <w:t>203</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_Toc92809484 \h </w:instrText>
      </w:r>
      <w:r>
        <w:fldChar w:fldCharType="separate"/>
      </w:r>
      <w:r>
        <w:t>209</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_Toc92809485 \h </w:instrText>
      </w:r>
      <w:r>
        <w:fldChar w:fldCharType="separate"/>
      </w:r>
      <w:r>
        <w:t>210</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_Toc92809486 \h </w:instrText>
      </w:r>
      <w:r>
        <w:fldChar w:fldCharType="separate"/>
      </w:r>
      <w:r>
        <w:t>211</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_Toc92809487 \h </w:instrText>
      </w:r>
      <w:r>
        <w:fldChar w:fldCharType="separate"/>
      </w:r>
      <w:r>
        <w:t>213</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_Toc92809488 \h </w:instrText>
      </w:r>
      <w:r>
        <w:fldChar w:fldCharType="separate"/>
      </w:r>
      <w:r>
        <w:t>215</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_Toc92809489 \h </w:instrText>
      </w:r>
      <w:r>
        <w:fldChar w:fldCharType="separate"/>
      </w:r>
      <w:r>
        <w:t>217</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_Toc92809490 \h </w:instrText>
      </w:r>
      <w:r>
        <w:fldChar w:fldCharType="separate"/>
      </w:r>
      <w:r>
        <w:t>218</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_Toc92809491 \h </w:instrText>
      </w:r>
      <w:r>
        <w:fldChar w:fldCharType="separate"/>
      </w:r>
      <w:r>
        <w:t>219</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_Toc92809492 \h </w:instrText>
      </w:r>
      <w:r>
        <w:fldChar w:fldCharType="separate"/>
      </w:r>
      <w:r>
        <w:t>220</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_Toc92809493 \h </w:instrText>
      </w:r>
      <w:r>
        <w:fldChar w:fldCharType="separate"/>
      </w:r>
      <w:r>
        <w:t>222</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_Toc92809494 \h </w:instrText>
      </w:r>
      <w:r>
        <w:fldChar w:fldCharType="separate"/>
      </w:r>
      <w:r>
        <w:t>223</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_Toc92809495 \h </w:instrText>
      </w:r>
      <w:r>
        <w:fldChar w:fldCharType="separate"/>
      </w:r>
      <w:r>
        <w:t>225</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_Toc92809496 \h </w:instrText>
      </w:r>
      <w:r>
        <w:fldChar w:fldCharType="separate"/>
      </w:r>
      <w:r>
        <w:t>227</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_Toc92809497 \h </w:instrText>
      </w:r>
      <w:r>
        <w:fldChar w:fldCharType="separate"/>
      </w:r>
      <w:r>
        <w:t>229</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_Toc92809498 \h </w:instrText>
      </w:r>
      <w:r>
        <w:fldChar w:fldCharType="separate"/>
      </w:r>
      <w:r>
        <w:t>230</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_Toc92809499 \h </w:instrText>
      </w:r>
      <w:r>
        <w:fldChar w:fldCharType="separate"/>
      </w:r>
      <w:r>
        <w:t>231</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_Toc92809500 \h </w:instrText>
      </w:r>
      <w:r>
        <w:fldChar w:fldCharType="separate"/>
      </w:r>
      <w:r>
        <w:t>236</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_Toc92809501 \h </w:instrText>
      </w:r>
      <w:r>
        <w:fldChar w:fldCharType="separate"/>
      </w:r>
      <w:r>
        <w:t>237</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_Toc92809502 \h </w:instrText>
      </w:r>
      <w:r>
        <w:fldChar w:fldCharType="separate"/>
      </w:r>
      <w:r>
        <w:t>239</w:t>
      </w:r>
      <w:r>
        <w:fldChar w:fldCharType="end"/>
      </w:r>
    </w:p>
    <w:p>
      <w:pPr>
        <w:pStyle w:val="TOC8"/>
        <w:rPr>
          <w:rFonts w:asciiTheme="minorHAnsi" w:eastAsiaTheme="minorEastAsia" w:hAnsiTheme="minorHAnsi" w:cstheme="minorBidi"/>
          <w:szCs w:val="22"/>
        </w:rPr>
      </w:pPr>
      <w:r>
        <w:t>Form 24A Withdrawal of caveat</w:t>
      </w:r>
      <w:r>
        <w:tab/>
      </w:r>
      <w:r>
        <w:fldChar w:fldCharType="begin"/>
      </w:r>
      <w:r>
        <w:instrText xml:space="preserve"> PAGEREF _Toc92809503 \h </w:instrText>
      </w:r>
      <w:r>
        <w:fldChar w:fldCharType="separate"/>
      </w:r>
      <w:r>
        <w:t>241</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_Toc92809504 \h </w:instrText>
      </w:r>
      <w:r>
        <w:fldChar w:fldCharType="separate"/>
      </w:r>
      <w:r>
        <w:t>242</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_Toc92809505 \h </w:instrText>
      </w:r>
      <w:r>
        <w:fldChar w:fldCharType="separate"/>
      </w:r>
      <w:r>
        <w:t>244</w:t>
      </w:r>
      <w:r>
        <w:fldChar w:fldCharType="end"/>
      </w:r>
    </w:p>
    <w:p>
      <w:pPr>
        <w:pStyle w:val="TOC8"/>
        <w:rPr>
          <w:rFonts w:asciiTheme="minorHAnsi" w:eastAsiaTheme="minorEastAsia" w:hAnsiTheme="minorHAnsi" w:cstheme="minorBidi"/>
          <w:szCs w:val="22"/>
        </w:rPr>
      </w:pPr>
      <w:r>
        <w:t>Form 26A Partial discharge of mortgage</w:t>
      </w:r>
      <w:r>
        <w:tab/>
      </w:r>
      <w:r>
        <w:fldChar w:fldCharType="begin"/>
      </w:r>
      <w:r>
        <w:instrText xml:space="preserve"> PAGEREF _Toc92809506 \h </w:instrText>
      </w:r>
      <w:r>
        <w:fldChar w:fldCharType="separate"/>
      </w:r>
      <w:r>
        <w:t>246</w:t>
      </w:r>
      <w:r>
        <w:fldChar w:fldCharType="end"/>
      </w:r>
    </w:p>
    <w:p>
      <w:pPr>
        <w:pStyle w:val="TOC8"/>
        <w:rPr>
          <w:rFonts w:asciiTheme="minorHAnsi" w:eastAsiaTheme="minorEastAsia" w:hAnsiTheme="minorHAnsi" w:cstheme="minorBidi"/>
          <w:szCs w:val="22"/>
        </w:rPr>
      </w:pPr>
      <w:r>
        <w:t>Form 26B Tax memorial</w:t>
      </w:r>
      <w:r>
        <w:tab/>
      </w:r>
      <w:r>
        <w:fldChar w:fldCharType="begin"/>
      </w:r>
      <w:r>
        <w:instrText xml:space="preserve"> PAGEREF _Toc92809507 \h </w:instrText>
      </w:r>
      <w:r>
        <w:fldChar w:fldCharType="separate"/>
      </w:r>
      <w:r>
        <w:t>248</w:t>
      </w:r>
      <w:r>
        <w:fldChar w:fldCharType="end"/>
      </w:r>
    </w:p>
    <w:p>
      <w:pPr>
        <w:pStyle w:val="TOC8"/>
        <w:rPr>
          <w:rFonts w:asciiTheme="minorHAnsi" w:eastAsiaTheme="minorEastAsia" w:hAnsiTheme="minorHAnsi" w:cstheme="minorBidi"/>
          <w:szCs w:val="22"/>
        </w:rPr>
      </w:pPr>
      <w:r>
        <w:t>Form 26C Withdrawal of memorial</w:t>
      </w:r>
      <w:r>
        <w:tab/>
      </w:r>
      <w:r>
        <w:fldChar w:fldCharType="begin"/>
      </w:r>
      <w:r>
        <w:instrText xml:space="preserve"> PAGEREF _Toc92809508 \h </w:instrText>
      </w:r>
      <w:r>
        <w:fldChar w:fldCharType="separate"/>
      </w:r>
      <w:r>
        <w:t>250</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_Toc92809509 \h </w:instrText>
      </w:r>
      <w:r>
        <w:fldChar w:fldCharType="separate"/>
      </w:r>
      <w:r>
        <w:t>252</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_Toc92809510 \h </w:instrText>
      </w:r>
      <w:r>
        <w:fldChar w:fldCharType="separate"/>
      </w:r>
      <w:r>
        <w:t>253</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_Toc92809511 \h </w:instrText>
      </w:r>
      <w:r>
        <w:fldChar w:fldCharType="separate"/>
      </w:r>
      <w:r>
        <w:t>254</w:t>
      </w:r>
      <w:r>
        <w:fldChar w:fldCharType="end"/>
      </w:r>
    </w:p>
    <w:p>
      <w:pPr>
        <w:pStyle w:val="TOC8"/>
        <w:rPr>
          <w:rFonts w:asciiTheme="minorHAnsi" w:eastAsiaTheme="minorEastAsia" w:hAnsiTheme="minorHAnsi" w:cstheme="minorBidi"/>
          <w:szCs w:val="22"/>
        </w:rPr>
      </w:pPr>
      <w:r>
        <w:lastRenderedPageBreak/>
        <w:t>Form 31</w:t>
      </w:r>
      <w:r>
        <w:tab/>
        <w:t>Power of attorney</w:t>
      </w:r>
      <w:r>
        <w:tab/>
      </w:r>
      <w:r>
        <w:fldChar w:fldCharType="begin"/>
      </w:r>
      <w:r>
        <w:instrText xml:space="preserve"> PAGEREF _Toc92809512 \h </w:instrText>
      </w:r>
      <w:r>
        <w:fldChar w:fldCharType="separate"/>
      </w:r>
      <w:r>
        <w:t>256</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_Toc92809513 \h </w:instrText>
      </w:r>
      <w:r>
        <w:fldChar w:fldCharType="separate"/>
      </w:r>
      <w:r>
        <w:t>258</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_Toc92809514 \h </w:instrText>
      </w:r>
      <w:r>
        <w:fldChar w:fldCharType="separate"/>
      </w:r>
      <w:r>
        <w:t>260</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_Toc92809515 \h </w:instrText>
      </w:r>
      <w:r>
        <w:fldChar w:fldCharType="separate"/>
      </w:r>
      <w:r>
        <w:t>262</w:t>
      </w:r>
      <w:r>
        <w:fldChar w:fldCharType="end"/>
      </w:r>
    </w:p>
    <w:p>
      <w:pPr>
        <w:pStyle w:val="TOC8"/>
        <w:rPr>
          <w:rFonts w:asciiTheme="minorHAnsi" w:eastAsiaTheme="minorEastAsia" w:hAnsiTheme="minorHAnsi" w:cstheme="minorBidi"/>
          <w:szCs w:val="22"/>
        </w:rPr>
      </w:pPr>
      <w:r>
        <w:t>Form 35A Application for forfeiture under section 96(1)(b) or 98</w:t>
      </w:r>
      <w:r>
        <w:tab/>
      </w:r>
      <w:r>
        <w:fldChar w:fldCharType="begin"/>
      </w:r>
      <w:r>
        <w:instrText xml:space="preserve"> PAGEREF _Toc92809516 \h </w:instrText>
      </w:r>
      <w:r>
        <w:fldChar w:fldCharType="separate"/>
      </w:r>
      <w:r>
        <w:t>264</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_Toc92809517 \h </w:instrText>
      </w:r>
      <w:r>
        <w:fldChar w:fldCharType="separate"/>
      </w:r>
      <w:r>
        <w:t>266</w:t>
      </w:r>
      <w:r>
        <w:fldChar w:fldCharType="end"/>
      </w:r>
    </w:p>
    <w:p>
      <w:pPr>
        <w:pStyle w:val="TOC8"/>
        <w:rPr>
          <w:rFonts w:asciiTheme="minorHAnsi" w:eastAsiaTheme="minorEastAsia" w:hAnsiTheme="minorHAnsi" w:cstheme="minorBidi"/>
          <w:szCs w:val="22"/>
        </w:rPr>
      </w:pPr>
      <w:r>
        <w:t>Form 36A Interlocutory application</w:t>
      </w:r>
      <w:r>
        <w:tab/>
      </w:r>
      <w:r>
        <w:fldChar w:fldCharType="begin"/>
      </w:r>
      <w:r>
        <w:instrText xml:space="preserve"> PAGEREF _Toc92809518 \h </w:instrText>
      </w:r>
      <w:r>
        <w:fldChar w:fldCharType="separate"/>
      </w:r>
      <w:r>
        <w:t>268</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_Toc92809519 \h </w:instrText>
      </w:r>
      <w:r>
        <w:fldChar w:fldCharType="separate"/>
      </w:r>
      <w:r>
        <w:t>270</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_Toc92809520 \h </w:instrText>
      </w:r>
      <w:r>
        <w:fldChar w:fldCharType="separate"/>
      </w:r>
      <w:r>
        <w:t>272</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_Toc92809521 \h </w:instrText>
      </w:r>
      <w:r>
        <w:fldChar w:fldCharType="separate"/>
      </w:r>
      <w:r>
        <w:t>273</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_Toc92809522 \h </w:instrText>
      </w:r>
      <w:r>
        <w:fldChar w:fldCharType="separate"/>
      </w:r>
      <w:r>
        <w:t>274</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_Toc92809523 \h </w:instrText>
      </w:r>
      <w:r>
        <w:fldChar w:fldCharType="separate"/>
      </w:r>
      <w:r>
        <w:t>275</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_Toc92809526 \h </w:instrText>
      </w:r>
      <w:r>
        <w:fldChar w:fldCharType="separate"/>
      </w:r>
      <w:r>
        <w:t>281</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_Toc92809527 \h </w:instrText>
      </w:r>
      <w:r>
        <w:fldChar w:fldCharType="separate"/>
      </w:r>
      <w:r>
        <w:t>281</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_Toc92809528 \h </w:instrText>
      </w:r>
      <w:r>
        <w:fldChar w:fldCharType="separate"/>
      </w:r>
      <w:r>
        <w:t>282</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_Toc92809529 \h </w:instrText>
      </w:r>
      <w:r>
        <w:fldChar w:fldCharType="separate"/>
      </w:r>
      <w:r>
        <w:t>282</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_Toc92809530 \h </w:instrText>
      </w:r>
      <w:r>
        <w:fldChar w:fldCharType="separate"/>
      </w:r>
      <w:r>
        <w:t>284</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_Toc92809531 \h </w:instrText>
      </w:r>
      <w:r>
        <w:fldChar w:fldCharType="separate"/>
      </w:r>
      <w:r>
        <w:t>284</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_Toc92809532 \h </w:instrText>
      </w:r>
      <w:r>
        <w:fldChar w:fldCharType="separate"/>
      </w:r>
      <w:r>
        <w:t>285</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_Toc92809533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_Toc92809535 \h </w:instrText>
      </w:r>
      <w:r>
        <w:fldChar w:fldCharType="separate"/>
      </w:r>
      <w:r>
        <w:t>287</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_Toc92809536 \h </w:instrText>
      </w:r>
      <w:r>
        <w:fldChar w:fldCharType="separate"/>
      </w:r>
      <w:r>
        <w:t>287</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_Toc92809537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_Toc92809539 \h </w:instrText>
      </w:r>
      <w:r>
        <w:fldChar w:fldCharType="separate"/>
      </w:r>
      <w:r>
        <w:t>293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_Toc92809540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Mining Act 1978</w:t>
      </w:r>
    </w:p>
    <w:p>
      <w:pPr>
        <w:pStyle w:val="NameofActReg"/>
        <w:spacing w:before="1080"/>
      </w:pPr>
      <w:r>
        <w:t>Mining Regulations 1981</w:t>
      </w:r>
    </w:p>
    <w:p>
      <w:pPr>
        <w:pStyle w:val="Heading2"/>
        <w:pageBreakBefore w:val="0"/>
        <w:spacing w:before="360" w:after="240"/>
      </w:pPr>
      <w:bookmarkStart w:id="3" w:name="_Toc92799257"/>
      <w:bookmarkStart w:id="4" w:name="_Toc92799671"/>
      <w:bookmarkStart w:id="5" w:name="_Toc92809139"/>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2809140"/>
      <w:r>
        <w:rPr>
          <w:rStyle w:val="CharSectno"/>
        </w:rPr>
        <w:t>1</w:t>
      </w:r>
      <w:r>
        <w:rPr>
          <w:snapToGrid w:val="0"/>
        </w:rPr>
        <w:t>.</w:t>
      </w:r>
      <w:r>
        <w:rPr>
          <w:snapToGrid w:val="0"/>
        </w:rPr>
        <w:tab/>
        <w:t>Citation and commencement</w:t>
      </w:r>
      <w:bookmarkEnd w:id="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p>
    <w:p>
      <w:pPr>
        <w:pStyle w:val="Heading5"/>
        <w:rPr>
          <w:snapToGrid w:val="0"/>
        </w:rPr>
      </w:pPr>
      <w:bookmarkStart w:id="7" w:name="_Toc92809141"/>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w:t>
      </w:r>
      <w:r>
        <w:lastRenderedPageBreak/>
        <w:t>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rPr>
          <w:vertAlign w:val="superscript"/>
        </w:rPr>
        <w:t xml:space="preserve"> 1</w:t>
      </w:r>
      <w:r>
        <w:t>; or</w:t>
      </w:r>
    </w:p>
    <w:p>
      <w:pPr>
        <w:pStyle w:val="Defpara"/>
      </w:pPr>
      <w:r>
        <w:tab/>
        <w:t>(b)</w:t>
      </w:r>
      <w:r>
        <w:tab/>
        <w:t xml:space="preserve">for which an application was made before the commencement of section 16 of the </w:t>
      </w:r>
      <w:r>
        <w:rPr>
          <w:i/>
        </w:rPr>
        <w:t>Mining Amendment Act 1990</w:t>
      </w:r>
      <w:r>
        <w:rPr>
          <w:vertAlign w:val="superscript"/>
        </w:rPr>
        <w:t xml:space="preserve"> 1</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rPr>
          <w:vertAlign w:val="superscript"/>
        </w:rPr>
        <w:t xml:space="preserve"> 1</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term</w:t>
      </w:r>
      <w:r>
        <w:t xml:space="preserve"> of a mining tenement means the period for which the tenement remains in force whether as originally granted or as renewed, extended or otherwise continued;</w:t>
      </w:r>
    </w:p>
    <w:p>
      <w:pPr>
        <w:pStyle w:val="Defstart"/>
        <w:keepNext/>
      </w:pPr>
      <w:r>
        <w:lastRenderedPageBreak/>
        <w:tab/>
      </w:r>
      <w:r>
        <w:rPr>
          <w:rStyle w:val="CharDefText"/>
        </w:rPr>
        <w:t>working day</w:t>
      </w:r>
      <w:r>
        <w:t xml:space="preserve"> means a day on which any mining registrar’s office is open for business.</w:t>
      </w:r>
    </w:p>
    <w:p>
      <w:pPr>
        <w:pStyle w:val="Footnotesection"/>
      </w:pPr>
      <w:r>
        <w:tab/>
        <w:t>[Regulation 2 amended: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 13 Dec 2019 p. 4232.]</w:t>
      </w:r>
    </w:p>
    <w:p>
      <w:pPr>
        <w:pStyle w:val="Heading2"/>
      </w:pPr>
      <w:bookmarkStart w:id="8" w:name="_Toc92799260"/>
      <w:bookmarkStart w:id="9" w:name="_Toc92799674"/>
      <w:bookmarkStart w:id="10" w:name="_Toc92809142"/>
      <w:r>
        <w:rPr>
          <w:rStyle w:val="CharPartNo"/>
        </w:rPr>
        <w:lastRenderedPageBreak/>
        <w:t>Part II</w:t>
      </w:r>
      <w:r>
        <w:rPr>
          <w:rStyle w:val="CharDivNo"/>
        </w:rPr>
        <w:t> </w:t>
      </w:r>
      <w:r>
        <w:t>—</w:t>
      </w:r>
      <w:r>
        <w:rPr>
          <w:rStyle w:val="CharDivText"/>
        </w:rPr>
        <w:t> </w:t>
      </w:r>
      <w:r>
        <w:rPr>
          <w:rStyle w:val="CharPartText"/>
        </w:rPr>
        <w:t>Miner’s rights</w:t>
      </w:r>
      <w:bookmarkEnd w:id="8"/>
      <w:bookmarkEnd w:id="9"/>
      <w:bookmarkEnd w:id="10"/>
    </w:p>
    <w:p>
      <w:pPr>
        <w:pStyle w:val="Heading5"/>
        <w:rPr>
          <w:snapToGrid w:val="0"/>
        </w:rPr>
      </w:pPr>
      <w:bookmarkStart w:id="11" w:name="_Toc92809143"/>
      <w:r>
        <w:rPr>
          <w:rStyle w:val="CharSectno"/>
        </w:rPr>
        <w:t>3</w:t>
      </w:r>
      <w:r>
        <w:rPr>
          <w:snapToGrid w:val="0"/>
        </w:rPr>
        <w:t>.</w:t>
      </w:r>
      <w:r>
        <w:rPr>
          <w:snapToGrid w:val="0"/>
        </w:rPr>
        <w:tab/>
        <w:t>Miner’s rights, form</w:t>
      </w:r>
      <w:bookmarkEnd w:id="11"/>
    </w:p>
    <w:p>
      <w:pPr>
        <w:pStyle w:val="Subsection"/>
      </w:pPr>
      <w:r>
        <w:rPr>
          <w:snapToGrid w:val="0"/>
        </w:rPr>
        <w:tab/>
      </w:r>
      <w:r>
        <w:rPr>
          <w:snapToGrid w:val="0"/>
        </w:rPr>
        <w:tab/>
        <w:t xml:space="preserve">A miner’s right shall be in the form </w:t>
      </w:r>
      <w:r>
        <w:t>of Form 1.</w:t>
      </w:r>
    </w:p>
    <w:p>
      <w:pPr>
        <w:pStyle w:val="Footnotesection"/>
      </w:pPr>
      <w:r>
        <w:tab/>
        <w:t>[Regulation 3 amended: Gazette 15 Jan 2010 p. 98.]</w:t>
      </w:r>
    </w:p>
    <w:p>
      <w:pPr>
        <w:pStyle w:val="Heading5"/>
        <w:rPr>
          <w:snapToGrid w:val="0"/>
        </w:rPr>
      </w:pPr>
      <w:bookmarkStart w:id="12" w:name="_Toc92809144"/>
      <w:r>
        <w:rPr>
          <w:rStyle w:val="CharSectno"/>
        </w:rPr>
        <w:t>4</w:t>
      </w:r>
      <w:r>
        <w:rPr>
          <w:snapToGrid w:val="0"/>
        </w:rPr>
        <w:t>.</w:t>
      </w:r>
      <w:r>
        <w:rPr>
          <w:snapToGrid w:val="0"/>
        </w:rPr>
        <w:tab/>
        <w:t>Quantity of samples or specimens</w:t>
      </w:r>
      <w:bookmarkEnd w:id="1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Gazette 20 Oct 1987 p. 3813; amended: Gazette 31 May 1991 p. 2696; 1 Feb 2013 p. 450.]</w:t>
      </w:r>
    </w:p>
    <w:p>
      <w:pPr>
        <w:pStyle w:val="Heading2"/>
      </w:pPr>
      <w:bookmarkStart w:id="13" w:name="_Toc92799263"/>
      <w:bookmarkStart w:id="14" w:name="_Toc92799677"/>
      <w:bookmarkStart w:id="15" w:name="_Toc92809145"/>
      <w:r>
        <w:rPr>
          <w:rStyle w:val="CharPartNo"/>
        </w:rPr>
        <w:lastRenderedPageBreak/>
        <w:t>Part IIA</w:t>
      </w:r>
      <w:r>
        <w:t> — </w:t>
      </w:r>
      <w:r>
        <w:rPr>
          <w:rStyle w:val="CharPartText"/>
        </w:rPr>
        <w:t>Permits under section 40E</w:t>
      </w:r>
      <w:bookmarkEnd w:id="13"/>
      <w:bookmarkEnd w:id="14"/>
      <w:bookmarkEnd w:id="15"/>
    </w:p>
    <w:p>
      <w:pPr>
        <w:pStyle w:val="Footnoteheading"/>
        <w:ind w:left="890"/>
      </w:pPr>
      <w:r>
        <w:tab/>
        <w:t>[Heading inserted: Gazette 2 Feb 2001 p. 705; amended: Gazette 1 Feb 2013 p. 450.]</w:t>
      </w:r>
    </w:p>
    <w:p>
      <w:pPr>
        <w:pStyle w:val="Heading5"/>
        <w:spacing w:before="240"/>
      </w:pPr>
      <w:bookmarkStart w:id="16" w:name="_Toc92809146"/>
      <w:r>
        <w:rPr>
          <w:rStyle w:val="CharSectno"/>
        </w:rPr>
        <w:t>4A</w:t>
      </w:r>
      <w:r>
        <w:t>.</w:t>
      </w:r>
      <w:r>
        <w:tab/>
        <w:t>Terms used</w:t>
      </w:r>
      <w:bookmarkEnd w:id="16"/>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Gazette 2 Feb 2001 p. 705; amended: Gazette 1 Feb 2013 p. 450.]</w:t>
      </w:r>
    </w:p>
    <w:p>
      <w:pPr>
        <w:pStyle w:val="Heading5"/>
        <w:spacing w:before="240"/>
      </w:pPr>
      <w:bookmarkStart w:id="17" w:name="_Toc92809147"/>
      <w:r>
        <w:rPr>
          <w:rStyle w:val="CharSectno"/>
        </w:rPr>
        <w:t>4B</w:t>
      </w:r>
      <w:r>
        <w:t>.</w:t>
      </w:r>
      <w:r>
        <w:tab/>
        <w:t>Prescribed office (Act s. 40E(1))</w:t>
      </w:r>
      <w:bookmarkEnd w:id="17"/>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Gazette 2 Feb 2001 p. 705; amended: Gazette 18 Mar 2011 p. 912; 1 Feb 2013 p. 451; 22 Dec 2017 p. 5990.]</w:t>
      </w:r>
    </w:p>
    <w:p>
      <w:pPr>
        <w:pStyle w:val="Heading5"/>
      </w:pPr>
      <w:bookmarkStart w:id="18" w:name="_Toc92809148"/>
      <w:r>
        <w:rPr>
          <w:rStyle w:val="CharSectno"/>
        </w:rPr>
        <w:lastRenderedPageBreak/>
        <w:t>4C</w:t>
      </w:r>
      <w:r>
        <w:t>.</w:t>
      </w:r>
      <w:r>
        <w:tab/>
        <w:t>Prescribed depth (Act s. 40E(6)(b))</w:t>
      </w:r>
      <w:bookmarkEnd w:id="18"/>
    </w:p>
    <w:p>
      <w:pPr>
        <w:pStyle w:val="Subsection"/>
        <w:keepNext/>
        <w:keepLines/>
      </w:pPr>
      <w:r>
        <w:tab/>
      </w:r>
      <w:r>
        <w:tab/>
        <w:t>For the purposes of section 40E(6)(b) the prescribed depth is 2 m below the natural surface of the land.</w:t>
      </w:r>
    </w:p>
    <w:p>
      <w:pPr>
        <w:pStyle w:val="Footnotesection"/>
      </w:pPr>
      <w:r>
        <w:tab/>
        <w:t>[Regulation 4C inserted: Gazette 2 Feb 2001 p. 705; amended: Gazette 1 Feb 2013 p. 451.]</w:t>
      </w:r>
    </w:p>
    <w:p>
      <w:pPr>
        <w:pStyle w:val="Heading5"/>
      </w:pPr>
      <w:bookmarkStart w:id="19" w:name="_Toc92809149"/>
      <w:r>
        <w:rPr>
          <w:rStyle w:val="CharSectno"/>
        </w:rPr>
        <w:t>4D</w:t>
      </w:r>
      <w:r>
        <w:t>.</w:t>
      </w:r>
      <w:r>
        <w:tab/>
        <w:t>Application for permit</w:t>
      </w:r>
      <w:bookmarkEnd w:id="19"/>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10.</w:t>
      </w:r>
    </w:p>
    <w:p>
      <w:pPr>
        <w:pStyle w:val="Subsection"/>
      </w:pPr>
      <w:r>
        <w:tab/>
        <w:t>(3)</w:t>
      </w:r>
      <w:r>
        <w:tab/>
        <w:t>The application may be accompanied by a licensee statement.</w:t>
      </w:r>
    </w:p>
    <w:p>
      <w:pPr>
        <w:pStyle w:val="Footnotesection"/>
      </w:pPr>
      <w:r>
        <w:tab/>
        <w:t>[Regulation 4D inserted: Gazette 2 Feb 2001 p. 705</w:t>
      </w:r>
      <w:r>
        <w:noBreakHyphen/>
        <w:t>6; amended: Gazette 15 Jan 2010 p. 98 and 136; 24 Jun 2011 p. 2510; 18 Jun 2019 p. 2048.]</w:t>
      </w:r>
    </w:p>
    <w:p>
      <w:pPr>
        <w:pStyle w:val="Heading5"/>
      </w:pPr>
      <w:bookmarkStart w:id="20" w:name="_Toc92809150"/>
      <w:r>
        <w:rPr>
          <w:rStyle w:val="CharSectno"/>
        </w:rPr>
        <w:t>4E</w:t>
      </w:r>
      <w:r>
        <w:t>.</w:t>
      </w:r>
      <w:r>
        <w:tab/>
        <w:t>Area of land to which permit applies</w:t>
      </w:r>
      <w:bookmarkEnd w:id="20"/>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Gazette 2 Feb 2001 p. 706.]</w:t>
      </w:r>
    </w:p>
    <w:p>
      <w:pPr>
        <w:pStyle w:val="Heading5"/>
      </w:pPr>
      <w:bookmarkStart w:id="21" w:name="_Toc92809151"/>
      <w:r>
        <w:rPr>
          <w:rStyle w:val="CharSectno"/>
        </w:rPr>
        <w:lastRenderedPageBreak/>
        <w:t>4F</w:t>
      </w:r>
      <w:r>
        <w:t>.</w:t>
      </w:r>
      <w:r>
        <w:tab/>
        <w:t>Permit conditions</w:t>
      </w:r>
      <w:bookmarkEnd w:id="21"/>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Gazette 2 Feb 2001 p. 706.]</w:t>
      </w:r>
    </w:p>
    <w:p>
      <w:pPr>
        <w:pStyle w:val="Heading5"/>
      </w:pPr>
      <w:bookmarkStart w:id="22" w:name="_Toc92809152"/>
      <w:r>
        <w:rPr>
          <w:rStyle w:val="CharSectno"/>
        </w:rPr>
        <w:t>4G</w:t>
      </w:r>
      <w:r>
        <w:t>.</w:t>
      </w:r>
      <w:r>
        <w:tab/>
        <w:t>Notice of issue of permit</w:t>
      </w:r>
      <w:bookmarkEnd w:id="2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Gazette 2 Feb 2001 p. 706.]</w:t>
      </w:r>
    </w:p>
    <w:p>
      <w:pPr>
        <w:pStyle w:val="Heading5"/>
      </w:pPr>
      <w:bookmarkStart w:id="23" w:name="_Toc92809153"/>
      <w:r>
        <w:rPr>
          <w:rStyle w:val="CharSectno"/>
        </w:rPr>
        <w:t>4H</w:t>
      </w:r>
      <w:r>
        <w:t>.</w:t>
      </w:r>
      <w:r>
        <w:tab/>
        <w:t>Statement by holder of exploration licence</w:t>
      </w:r>
      <w:bookmarkEnd w:id="2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lastRenderedPageBreak/>
        <w:tab/>
        <w:t>(2)</w:t>
      </w:r>
      <w:r>
        <w:tab/>
        <w:t>A licensee statement may be given to a person who proposes to apply, or has applied, for a permit, or to whom a permit has been issued, in respect of the land.</w:t>
      </w:r>
    </w:p>
    <w:p>
      <w:pPr>
        <w:pStyle w:val="Footnotesection"/>
      </w:pPr>
      <w:r>
        <w:tab/>
        <w:t>[Regulation 4H inserted: Gazette 2 Feb 2001 p. 707.]</w:t>
      </w:r>
    </w:p>
    <w:p>
      <w:pPr>
        <w:pStyle w:val="Heading5"/>
      </w:pPr>
      <w:bookmarkStart w:id="24" w:name="_Toc92809154"/>
      <w:r>
        <w:rPr>
          <w:rStyle w:val="CharSectno"/>
        </w:rPr>
        <w:t>4I</w:t>
      </w:r>
      <w:r>
        <w:t>.</w:t>
      </w:r>
      <w:r>
        <w:tab/>
        <w:t>Commencement of operation of permit</w:t>
      </w:r>
      <w:bookmarkEnd w:id="24"/>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Gazette 2 Feb 2001 p. 707.]</w:t>
      </w:r>
    </w:p>
    <w:p>
      <w:pPr>
        <w:pStyle w:val="Heading5"/>
      </w:pPr>
      <w:bookmarkStart w:id="25" w:name="_Toc92809155"/>
      <w:r>
        <w:rPr>
          <w:rStyle w:val="CharSectno"/>
        </w:rPr>
        <w:t>4J</w:t>
      </w:r>
      <w:r>
        <w:t>.</w:t>
      </w:r>
      <w:r>
        <w:tab/>
        <w:t>Expiry of permit</w:t>
      </w:r>
      <w:bookmarkEnd w:id="25"/>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 xml:space="preserve">Subregulation (1)(c) does not apply if the relevant exploration licence stops being in force because a prospecting licence or an </w:t>
      </w:r>
      <w:r>
        <w:lastRenderedPageBreak/>
        <w:t>exploration licence is granted in respect of the land as a result of a reversion licence application.</w:t>
      </w:r>
    </w:p>
    <w:p>
      <w:pPr>
        <w:pStyle w:val="Footnotesection"/>
      </w:pPr>
      <w:r>
        <w:tab/>
        <w:t>[Regulation 4J inserted: Gazette 2 Feb 2001 p. 707; amended: Gazette 3 Feb 2006 p. 576.]</w:t>
      </w:r>
    </w:p>
    <w:p>
      <w:pPr>
        <w:pStyle w:val="Heading5"/>
      </w:pPr>
      <w:bookmarkStart w:id="26" w:name="_Toc92809156"/>
      <w:r>
        <w:rPr>
          <w:rStyle w:val="CharSectno"/>
        </w:rPr>
        <w:t>4K</w:t>
      </w:r>
      <w:r>
        <w:t>.</w:t>
      </w:r>
      <w:r>
        <w:tab/>
        <w:t>Surrender of permit</w:t>
      </w:r>
      <w:bookmarkEnd w:id="26"/>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Gazette 2 Feb 2001 p. 707; amended: Gazette 18 Mar 2011 p. 912.]</w:t>
      </w:r>
    </w:p>
    <w:p>
      <w:pPr>
        <w:pStyle w:val="Heading5"/>
      </w:pPr>
      <w:bookmarkStart w:id="27" w:name="_Toc92809157"/>
      <w:r>
        <w:rPr>
          <w:rStyle w:val="CharSectno"/>
        </w:rPr>
        <w:t>4L</w:t>
      </w:r>
      <w:r>
        <w:t>.</w:t>
      </w:r>
      <w:r>
        <w:tab/>
        <w:t>Powers available to Minister where breach of condition etc.</w:t>
      </w:r>
      <w:bookmarkEnd w:id="27"/>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lastRenderedPageBreak/>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Gazette 2 Feb 2001 p. 708; amended: Gazette 1 Feb 2013 p. 451.]</w:t>
      </w:r>
    </w:p>
    <w:p>
      <w:pPr>
        <w:pStyle w:val="Heading5"/>
      </w:pPr>
      <w:bookmarkStart w:id="28" w:name="_Toc92809158"/>
      <w:r>
        <w:rPr>
          <w:rStyle w:val="CharSectno"/>
        </w:rPr>
        <w:t>4M</w:t>
      </w:r>
      <w:r>
        <w:t>.</w:t>
      </w:r>
      <w:r>
        <w:tab/>
        <w:t>Right of permit holder to make submissions</w:t>
      </w:r>
      <w:bookmarkEnd w:id="28"/>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Gazette 2 Feb 2001 p. 708.]</w:t>
      </w:r>
    </w:p>
    <w:p>
      <w:pPr>
        <w:pStyle w:val="Heading5"/>
      </w:pPr>
      <w:bookmarkStart w:id="29" w:name="_Toc92809159"/>
      <w:r>
        <w:rPr>
          <w:rStyle w:val="CharSectno"/>
        </w:rPr>
        <w:t>4N</w:t>
      </w:r>
      <w:r>
        <w:t>.</w:t>
      </w:r>
      <w:r>
        <w:tab/>
        <w:t>Prospecting report on recovered minerals</w:t>
      </w:r>
      <w:bookmarkEnd w:id="29"/>
    </w:p>
    <w:p>
      <w:pPr>
        <w:pStyle w:val="Subsection"/>
      </w:pPr>
      <w:r>
        <w:tab/>
        <w:t>(1)</w:t>
      </w:r>
      <w:r>
        <w:tab/>
        <w:t xml:space="preserve">If a permit holder recovers any minerals from land in the course of prospecting in accordance with the permit, the permit holder </w:t>
      </w:r>
      <w:r>
        <w:lastRenderedPageBreak/>
        <w:t>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Gazette 2 Feb 2001 p. 709; amended: Gazette 18 Mar 2011 p. 912.]</w:t>
      </w:r>
    </w:p>
    <w:p>
      <w:pPr>
        <w:pStyle w:val="Heading5"/>
      </w:pPr>
      <w:bookmarkStart w:id="30" w:name="_Toc92809160"/>
      <w:r>
        <w:rPr>
          <w:rStyle w:val="CharSectno"/>
        </w:rPr>
        <w:t>4O</w:t>
      </w:r>
      <w:r>
        <w:t>.</w:t>
      </w:r>
      <w:r>
        <w:tab/>
        <w:t>Prohibition of use of certain hand tools</w:t>
      </w:r>
      <w:bookmarkEnd w:id="30"/>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Gazette 2 Feb 2001 p. 709.]</w:t>
      </w:r>
    </w:p>
    <w:p>
      <w:pPr>
        <w:pStyle w:val="Heading5"/>
      </w:pPr>
      <w:bookmarkStart w:id="31" w:name="_Toc92809161"/>
      <w:r>
        <w:rPr>
          <w:rStyle w:val="CharSectno"/>
        </w:rPr>
        <w:lastRenderedPageBreak/>
        <w:t>4P</w:t>
      </w:r>
      <w:r>
        <w:t>.</w:t>
      </w:r>
      <w:r>
        <w:tab/>
        <w:t>Application of r. 98 and 99</w:t>
      </w:r>
      <w:bookmarkEnd w:id="31"/>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Gazette 2 Feb 2001 p. 709.]</w:t>
      </w:r>
    </w:p>
    <w:p>
      <w:pPr>
        <w:pStyle w:val="Heading2"/>
      </w:pPr>
      <w:bookmarkStart w:id="32" w:name="_Toc92799280"/>
      <w:bookmarkStart w:id="33" w:name="_Toc92799694"/>
      <w:bookmarkStart w:id="34" w:name="_Toc92809162"/>
      <w:r>
        <w:rPr>
          <w:rStyle w:val="CharPartNo"/>
        </w:rPr>
        <w:lastRenderedPageBreak/>
        <w:t>Part III</w:t>
      </w:r>
      <w:r>
        <w:rPr>
          <w:rStyle w:val="CharDivNo"/>
        </w:rPr>
        <w:t> </w:t>
      </w:r>
      <w:r>
        <w:t>—</w:t>
      </w:r>
      <w:r>
        <w:rPr>
          <w:rStyle w:val="CharDivText"/>
        </w:rPr>
        <w:t> </w:t>
      </w:r>
      <w:r>
        <w:rPr>
          <w:rStyle w:val="CharPartText"/>
        </w:rPr>
        <w:t>Mining on private land</w:t>
      </w:r>
      <w:bookmarkEnd w:id="32"/>
      <w:bookmarkEnd w:id="33"/>
      <w:bookmarkEnd w:id="34"/>
    </w:p>
    <w:p>
      <w:pPr>
        <w:pStyle w:val="Heading5"/>
        <w:spacing w:before="180"/>
        <w:rPr>
          <w:snapToGrid w:val="0"/>
        </w:rPr>
      </w:pPr>
      <w:bookmarkStart w:id="35" w:name="_Toc92809163"/>
      <w:r>
        <w:rPr>
          <w:rStyle w:val="CharSectno"/>
        </w:rPr>
        <w:t>5</w:t>
      </w:r>
      <w:r>
        <w:rPr>
          <w:snapToGrid w:val="0"/>
        </w:rPr>
        <w:t>.</w:t>
      </w:r>
      <w:r>
        <w:rPr>
          <w:snapToGrid w:val="0"/>
        </w:rPr>
        <w:tab/>
        <w:t>Application for permit to enter private land (Act s. 30)</w:t>
      </w:r>
      <w:bookmarkEnd w:id="35"/>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Gazette 31 Jul 1992 p. 3775; 9 Mar 2007 p. 868; 15 Jan 2010 p. 98; 18 Mar 2011 p. 912; 22 Dec 2017 p. 5990.]</w:t>
      </w:r>
    </w:p>
    <w:p>
      <w:pPr>
        <w:pStyle w:val="Heading5"/>
        <w:spacing w:before="180"/>
        <w:rPr>
          <w:snapToGrid w:val="0"/>
        </w:rPr>
      </w:pPr>
      <w:bookmarkStart w:id="36" w:name="_Toc92809164"/>
      <w:r>
        <w:rPr>
          <w:rStyle w:val="CharSectno"/>
        </w:rPr>
        <w:t>6</w:t>
      </w:r>
      <w:r>
        <w:rPr>
          <w:snapToGrid w:val="0"/>
        </w:rPr>
        <w:t>.</w:t>
      </w:r>
      <w:r>
        <w:rPr>
          <w:snapToGrid w:val="0"/>
        </w:rPr>
        <w:tab/>
        <w:t>Form of permit to enter</w:t>
      </w:r>
      <w:bookmarkEnd w:id="36"/>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Gazette 15 Jan 2010 p. 98.]</w:t>
      </w:r>
    </w:p>
    <w:p>
      <w:pPr>
        <w:pStyle w:val="Heading5"/>
        <w:spacing w:before="180"/>
        <w:rPr>
          <w:snapToGrid w:val="0"/>
        </w:rPr>
      </w:pPr>
      <w:bookmarkStart w:id="37" w:name="_Toc92809165"/>
      <w:r>
        <w:rPr>
          <w:rStyle w:val="CharSectno"/>
        </w:rPr>
        <w:t>7</w:t>
      </w:r>
      <w:r>
        <w:rPr>
          <w:snapToGrid w:val="0"/>
        </w:rPr>
        <w:t>.</w:t>
      </w:r>
      <w:r>
        <w:rPr>
          <w:snapToGrid w:val="0"/>
        </w:rPr>
        <w:tab/>
        <w:t>Notice of application relating to private land (Act s. 33)</w:t>
      </w:r>
      <w:bookmarkEnd w:id="37"/>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lastRenderedPageBreak/>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Gazette 16 Nov 1990 p. 5728; 31 May 1991 p. 2696; 15 Jan 2010 p. 98-9; 1 Feb 2013 p. 451.]</w:t>
      </w:r>
    </w:p>
    <w:p>
      <w:pPr>
        <w:pStyle w:val="Heading5"/>
        <w:rPr>
          <w:snapToGrid w:val="0"/>
        </w:rPr>
      </w:pPr>
      <w:bookmarkStart w:id="38" w:name="_Toc92809166"/>
      <w:r>
        <w:rPr>
          <w:rStyle w:val="CharSectno"/>
        </w:rPr>
        <w:t>8</w:t>
      </w:r>
      <w:r>
        <w:rPr>
          <w:snapToGrid w:val="0"/>
        </w:rPr>
        <w:t>.</w:t>
      </w:r>
      <w:r>
        <w:rPr>
          <w:snapToGrid w:val="0"/>
        </w:rPr>
        <w:tab/>
        <w:t>Application as to private land (Act s. 37)</w:t>
      </w:r>
      <w:bookmarkEnd w:id="3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Gazette 18 Mar 2011 p. 912.]</w:t>
      </w:r>
    </w:p>
    <w:p>
      <w:pPr>
        <w:pStyle w:val="Heading5"/>
        <w:rPr>
          <w:snapToGrid w:val="0"/>
        </w:rPr>
      </w:pPr>
      <w:bookmarkStart w:id="39" w:name="_Toc92809167"/>
      <w:r>
        <w:rPr>
          <w:rStyle w:val="CharSectno"/>
        </w:rPr>
        <w:t>9</w:t>
      </w:r>
      <w:r>
        <w:rPr>
          <w:snapToGrid w:val="0"/>
        </w:rPr>
        <w:t>.</w:t>
      </w:r>
      <w:r>
        <w:rPr>
          <w:snapToGrid w:val="0"/>
        </w:rPr>
        <w:tab/>
        <w:t>Right of way on private land (Act s. 29(7))</w:t>
      </w:r>
      <w:bookmarkEnd w:id="39"/>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Gazette 18 Mar 2011 p. 913.]</w:t>
      </w:r>
    </w:p>
    <w:p>
      <w:pPr>
        <w:pStyle w:val="Heading5"/>
        <w:rPr>
          <w:snapToGrid w:val="0"/>
        </w:rPr>
      </w:pPr>
      <w:bookmarkStart w:id="40" w:name="_Toc92809168"/>
      <w:r>
        <w:rPr>
          <w:rStyle w:val="CharSectno"/>
        </w:rPr>
        <w:lastRenderedPageBreak/>
        <w:t>10</w:t>
      </w:r>
      <w:r>
        <w:rPr>
          <w:snapToGrid w:val="0"/>
        </w:rPr>
        <w:t>.</w:t>
      </w:r>
      <w:r>
        <w:rPr>
          <w:snapToGrid w:val="0"/>
        </w:rPr>
        <w:tab/>
        <w:t>Consents under Act s. 29</w:t>
      </w:r>
      <w:bookmarkEnd w:id="4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Gazette 2 Oct 1987 p. 3814; amended: Gazette 4 Apr 1997 p. 1778; 18 Mar 2011 p. 913.]</w:t>
      </w:r>
    </w:p>
    <w:p>
      <w:pPr>
        <w:pStyle w:val="Heading5"/>
        <w:rPr>
          <w:snapToGrid w:val="0"/>
        </w:rPr>
      </w:pPr>
      <w:bookmarkStart w:id="41" w:name="_Toc92809169"/>
      <w:r>
        <w:rPr>
          <w:rStyle w:val="CharSectno"/>
        </w:rPr>
        <w:t>10A</w:t>
      </w:r>
      <w:r>
        <w:rPr>
          <w:snapToGrid w:val="0"/>
        </w:rPr>
        <w:t>.</w:t>
      </w:r>
      <w:r>
        <w:rPr>
          <w:snapToGrid w:val="0"/>
        </w:rPr>
        <w:tab/>
        <w:t>Compensation (Act s. 123)</w:t>
      </w:r>
      <w:bookmarkEnd w:id="41"/>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Gazette 2 Oct 1987 p. 3814; amended: Gazette 9 Mar 2007 p. 868; 15 Jan 2010 p. 99; 18 Mar 2011 p. 913.]</w:t>
      </w:r>
    </w:p>
    <w:p>
      <w:pPr>
        <w:pStyle w:val="Heading2"/>
      </w:pPr>
      <w:bookmarkStart w:id="42" w:name="_Toc92799288"/>
      <w:bookmarkStart w:id="43" w:name="_Toc92799702"/>
      <w:bookmarkStart w:id="44" w:name="_Toc92809170"/>
      <w:r>
        <w:rPr>
          <w:rStyle w:val="CharPartNo"/>
        </w:rPr>
        <w:lastRenderedPageBreak/>
        <w:t>Part IV</w:t>
      </w:r>
      <w:r>
        <w:t> — </w:t>
      </w:r>
      <w:r>
        <w:rPr>
          <w:rStyle w:val="CharPartText"/>
        </w:rPr>
        <w:t>Mining tenements</w:t>
      </w:r>
      <w:bookmarkEnd w:id="42"/>
      <w:bookmarkEnd w:id="43"/>
      <w:bookmarkEnd w:id="44"/>
    </w:p>
    <w:p>
      <w:pPr>
        <w:pStyle w:val="Heading3"/>
      </w:pPr>
      <w:bookmarkStart w:id="45" w:name="_Toc92799289"/>
      <w:bookmarkStart w:id="46" w:name="_Toc92799703"/>
      <w:bookmarkStart w:id="47" w:name="_Toc92809171"/>
      <w:r>
        <w:rPr>
          <w:rStyle w:val="CharDivNo"/>
        </w:rPr>
        <w:t>Division 1</w:t>
      </w:r>
      <w:r>
        <w:rPr>
          <w:snapToGrid w:val="0"/>
        </w:rPr>
        <w:t> — </w:t>
      </w:r>
      <w:r>
        <w:rPr>
          <w:rStyle w:val="CharDivText"/>
        </w:rPr>
        <w:t>Prospecting licences</w:t>
      </w:r>
      <w:bookmarkEnd w:id="45"/>
      <w:bookmarkEnd w:id="46"/>
      <w:bookmarkEnd w:id="47"/>
    </w:p>
    <w:p>
      <w:pPr>
        <w:pStyle w:val="Heading5"/>
        <w:rPr>
          <w:snapToGrid w:val="0"/>
        </w:rPr>
      </w:pPr>
      <w:bookmarkStart w:id="48" w:name="_Toc92809172"/>
      <w:r>
        <w:rPr>
          <w:rStyle w:val="CharSectno"/>
        </w:rPr>
        <w:t>11</w:t>
      </w:r>
      <w:r>
        <w:rPr>
          <w:snapToGrid w:val="0"/>
        </w:rPr>
        <w:t>.</w:t>
      </w:r>
      <w:r>
        <w:rPr>
          <w:snapToGrid w:val="0"/>
        </w:rPr>
        <w:tab/>
        <w:t>Marking out and application</w:t>
      </w:r>
      <w:bookmarkEnd w:id="48"/>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ind w:left="890" w:hanging="890"/>
        <w:rPr>
          <w:b/>
        </w:rPr>
      </w:pPr>
      <w:r>
        <w:t>[</w:t>
      </w:r>
      <w:r>
        <w:rPr>
          <w:b/>
        </w:rPr>
        <w:t>12.</w:t>
      </w:r>
      <w:r>
        <w:rPr>
          <w:b/>
        </w:rPr>
        <w:tab/>
      </w:r>
      <w:r>
        <w:t>Deleted: Gazette 2 Feb 2001 p. 712.]</w:t>
      </w:r>
    </w:p>
    <w:p>
      <w:pPr>
        <w:pStyle w:val="Heading5"/>
        <w:rPr>
          <w:snapToGrid w:val="0"/>
        </w:rPr>
      </w:pPr>
      <w:bookmarkStart w:id="49" w:name="_Toc92809173"/>
      <w:r>
        <w:rPr>
          <w:rStyle w:val="CharSectno"/>
        </w:rPr>
        <w:t>13</w:t>
      </w:r>
      <w:r>
        <w:rPr>
          <w:snapToGrid w:val="0"/>
        </w:rPr>
        <w:t>.</w:t>
      </w:r>
      <w:r>
        <w:rPr>
          <w:snapToGrid w:val="0"/>
        </w:rPr>
        <w:tab/>
        <w:t>Instrument of licence</w:t>
      </w:r>
      <w:bookmarkEnd w:id="49"/>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Gazette 15 Jan 2010 p. 99.]</w:t>
      </w:r>
    </w:p>
    <w:p>
      <w:pPr>
        <w:pStyle w:val="Heading5"/>
      </w:pPr>
      <w:bookmarkStart w:id="50" w:name="_Toc92809174"/>
      <w:r>
        <w:rPr>
          <w:rStyle w:val="CharSectno"/>
        </w:rPr>
        <w:t>13A</w:t>
      </w:r>
      <w:r>
        <w:t>.</w:t>
      </w:r>
      <w:r>
        <w:tab/>
      </w:r>
      <w:r>
        <w:rPr>
          <w:snapToGrid w:val="0"/>
        </w:rPr>
        <w:t>Prescribed official</w:t>
      </w:r>
      <w:r>
        <w:t xml:space="preserve"> (Act s. 46(aa)(ii))</w:t>
      </w:r>
      <w:bookmarkEnd w:id="5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Gazette 3 Feb 2006 p. 576; amended: Gazette 18 Mar 2011 p. 913; 22 Dec 2017 p. 5992</w:t>
      </w:r>
      <w:r>
        <w:noBreakHyphen/>
        <w:t>3.]</w:t>
      </w:r>
    </w:p>
    <w:p>
      <w:pPr>
        <w:pStyle w:val="Heading5"/>
        <w:rPr>
          <w:snapToGrid w:val="0"/>
        </w:rPr>
      </w:pPr>
      <w:bookmarkStart w:id="51" w:name="_Toc92809175"/>
      <w:r>
        <w:rPr>
          <w:rStyle w:val="CharSectno"/>
        </w:rPr>
        <w:t>14</w:t>
      </w:r>
      <w:r>
        <w:rPr>
          <w:snapToGrid w:val="0"/>
        </w:rPr>
        <w:t>.</w:t>
      </w:r>
      <w:r>
        <w:rPr>
          <w:snapToGrid w:val="0"/>
        </w:rPr>
        <w:tab/>
        <w:t>Limit on amount of earth etc. that may be removed (Act s. 48(c))</w:t>
      </w:r>
      <w:bookmarkEnd w:id="51"/>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lastRenderedPageBreak/>
        <w:tab/>
        <w:t>[Regulation 14 inserted: Gazette 31 May 1991 p. 2696.]</w:t>
      </w:r>
    </w:p>
    <w:p>
      <w:pPr>
        <w:pStyle w:val="Heading5"/>
        <w:spacing w:before="200"/>
        <w:rPr>
          <w:snapToGrid w:val="0"/>
        </w:rPr>
      </w:pPr>
      <w:bookmarkStart w:id="52" w:name="_Toc92809176"/>
      <w:r>
        <w:rPr>
          <w:rStyle w:val="CharSectno"/>
        </w:rPr>
        <w:t>15</w:t>
      </w:r>
      <w:r>
        <w:rPr>
          <w:snapToGrid w:val="0"/>
        </w:rPr>
        <w:t>.</w:t>
      </w:r>
      <w:r>
        <w:rPr>
          <w:snapToGrid w:val="0"/>
        </w:rPr>
        <w:tab/>
        <w:t>Expenditure condition</w:t>
      </w:r>
      <w:bookmarkEnd w:id="52"/>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 xml:space="preserve">If a prospecting licence is surrendered then a pro rata reduction of the amount to be expended will apply in respect of each </w:t>
      </w:r>
      <w:r>
        <w:rPr>
          <w:snapToGrid w:val="0"/>
        </w:rPr>
        <w:lastRenderedPageBreak/>
        <w:t>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Gazette 16 Nov 1990 p. 5728; 31 Jul 1992 p. 3776; 11 Jun 1999 p. 2543; 18 Jun 1999 p. 2642; 17 Jan 2003 p. 110; 3 Feb 2006 p. 577.]</w:t>
      </w:r>
    </w:p>
    <w:p>
      <w:pPr>
        <w:pStyle w:val="Heading5"/>
        <w:spacing w:before="180"/>
        <w:rPr>
          <w:snapToGrid w:val="0"/>
        </w:rPr>
      </w:pPr>
      <w:bookmarkStart w:id="53" w:name="_Toc92809177"/>
      <w:r>
        <w:rPr>
          <w:rStyle w:val="CharSectno"/>
        </w:rPr>
        <w:t>16</w:t>
      </w:r>
      <w:r>
        <w:rPr>
          <w:snapToGrid w:val="0"/>
        </w:rPr>
        <w:t>.</w:t>
      </w:r>
      <w:r>
        <w:rPr>
          <w:snapToGrid w:val="0"/>
        </w:rPr>
        <w:tab/>
        <w:t>Reports to be filed (Act s. 51)</w:t>
      </w:r>
      <w:bookmarkEnd w:id="53"/>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Gazette 2 Jul 1993 p. 3270; 17 Jan 2003 p. 110; 15 Jan 2010 p. 99; 1 Feb 2013 p. 451.]</w:t>
      </w:r>
    </w:p>
    <w:p>
      <w:pPr>
        <w:pStyle w:val="Heading5"/>
        <w:spacing w:before="180"/>
      </w:pPr>
      <w:bookmarkStart w:id="54" w:name="_Toc92809178"/>
      <w:r>
        <w:rPr>
          <w:rStyle w:val="CharSectno"/>
        </w:rPr>
        <w:lastRenderedPageBreak/>
        <w:t>16A</w:t>
      </w:r>
      <w:r>
        <w:t>.</w:t>
      </w:r>
      <w:r>
        <w:tab/>
        <w:t>Grounds for extension (Act s. 45(1a))</w:t>
      </w:r>
      <w:bookmarkEnd w:id="54"/>
    </w:p>
    <w:p>
      <w:pPr>
        <w:pStyle w:val="Subsection"/>
        <w:keepNext/>
        <w:spacing w:before="120"/>
      </w:pPr>
      <w:r>
        <w:tab/>
      </w:r>
      <w:r>
        <w:tab/>
        <w:t>Each of the following is a ground for extension for the purposes of section 45(1a) —</w:t>
      </w:r>
    </w:p>
    <w:p>
      <w:pPr>
        <w:pStyle w:val="Indenta"/>
        <w:keepNext/>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Gazette 3 Feb 2006 p. 577-8.]</w:t>
      </w:r>
    </w:p>
    <w:p>
      <w:pPr>
        <w:pStyle w:val="Heading5"/>
      </w:pPr>
      <w:bookmarkStart w:id="55" w:name="_Toc92809179"/>
      <w:r>
        <w:rPr>
          <w:rStyle w:val="CharSectno"/>
        </w:rPr>
        <w:lastRenderedPageBreak/>
        <w:t>16B</w:t>
      </w:r>
      <w:r>
        <w:t>.</w:t>
      </w:r>
      <w:r>
        <w:tab/>
        <w:t>Application for extension of prospecting licence (Act s. 45(1a))</w:t>
      </w:r>
      <w:bookmarkEnd w:id="55"/>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w:t>
      </w:r>
    </w:p>
    <w:p>
      <w:pPr>
        <w:pStyle w:val="Ednotepara"/>
      </w:pPr>
      <w:r>
        <w:tab/>
        <w:t>[(c)</w:t>
      </w:r>
      <w:r>
        <w:tab/>
        <w:t>deleted]</w:t>
      </w:r>
    </w:p>
    <w:p>
      <w:pPr>
        <w:pStyle w:val="Subsection"/>
      </w:pPr>
      <w:r>
        <w:tab/>
        <w:t>(2)</w:t>
      </w:r>
      <w:r>
        <w:tab/>
        <w:t>Before the end of the period of 14 days from the day on which the application is lodged, the applicant must lodge information in support of the proposed ground for extension.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16B inserted: Gazette 3 Feb 2006 p. 578-9; amended: Gazette 15 Jan 2010 p. 100; 18 Mar 2011 p. 913; 1 Feb 2013 p. 452; 13 Dec 2019 p. 4232.]</w:t>
      </w:r>
    </w:p>
    <w:p>
      <w:pPr>
        <w:pStyle w:val="Heading5"/>
      </w:pPr>
      <w:bookmarkStart w:id="56" w:name="_Toc92809180"/>
      <w:r>
        <w:rPr>
          <w:rStyle w:val="CharSectno"/>
        </w:rPr>
        <w:t>16C</w:t>
      </w:r>
      <w:r>
        <w:t>.</w:t>
      </w:r>
      <w:r>
        <w:tab/>
        <w:t>Application for retention status (Act s. 53)</w:t>
      </w:r>
      <w:bookmarkEnd w:id="56"/>
    </w:p>
    <w:p>
      <w:pPr>
        <w:pStyle w:val="Subsection"/>
      </w:pPr>
      <w:r>
        <w:tab/>
        <w:t>(1)</w:t>
      </w:r>
      <w:r>
        <w:tab/>
        <w:t>An application under section 53(2) shall —</w:t>
      </w:r>
    </w:p>
    <w:p>
      <w:pPr>
        <w:pStyle w:val="Indenta"/>
      </w:pPr>
      <w:r>
        <w:tab/>
        <w:t>(a)</w:t>
      </w:r>
      <w:r>
        <w:tab/>
        <w:t>be lodged; and</w:t>
      </w:r>
    </w:p>
    <w:p>
      <w:pPr>
        <w:pStyle w:val="Indenta"/>
      </w:pPr>
      <w:r>
        <w:lastRenderedPageBreak/>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11.</w:t>
      </w:r>
    </w:p>
    <w:p>
      <w:pPr>
        <w:pStyle w:val="Footnotesection"/>
        <w:ind w:left="890" w:hanging="890"/>
      </w:pPr>
      <w:r>
        <w:tab/>
        <w:t>[Regulation 16C inserted: Gazette 3 Feb 2006 p. 579-80; amended: Gazette 15 Jan 2010 p. 136; 18 Mar 2011 p. 913; 24 Jun 2011 p. 2510; 18 Jun 2019 p. 2048.]</w:t>
      </w:r>
    </w:p>
    <w:p>
      <w:pPr>
        <w:pStyle w:val="Heading5"/>
        <w:spacing w:before="180"/>
      </w:pPr>
      <w:bookmarkStart w:id="57" w:name="_Toc92809181"/>
      <w:r>
        <w:rPr>
          <w:rStyle w:val="CharSectno"/>
        </w:rPr>
        <w:lastRenderedPageBreak/>
        <w:t>16D</w:t>
      </w:r>
      <w:r>
        <w:t>.</w:t>
      </w:r>
      <w:r>
        <w:tab/>
        <w:t>Marking out of land that has retention status (Act s. 54(6))</w:t>
      </w:r>
      <w:bookmarkEnd w:id="57"/>
    </w:p>
    <w:p>
      <w:pPr>
        <w:pStyle w:val="Subsection"/>
        <w:keepNext/>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Gazette 3 Feb 2006 p. 580.]</w:t>
      </w:r>
    </w:p>
    <w:p>
      <w:pPr>
        <w:pStyle w:val="Heading5"/>
        <w:spacing w:before="180"/>
      </w:pPr>
      <w:bookmarkStart w:id="58" w:name="_Toc92809182"/>
      <w:r>
        <w:rPr>
          <w:rStyle w:val="CharSectno"/>
        </w:rPr>
        <w:t>16E</w:t>
      </w:r>
      <w:r>
        <w:t>.</w:t>
      </w:r>
      <w:r>
        <w:tab/>
        <w:t>Application for special prospecting licence (Act s. 56A)</w:t>
      </w:r>
      <w:bookmarkEnd w:id="58"/>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Gazette 3 Feb 2006 p. 580.]</w:t>
      </w:r>
    </w:p>
    <w:p>
      <w:pPr>
        <w:pStyle w:val="Heading3"/>
        <w:keepNext w:val="0"/>
        <w:spacing w:before="200"/>
      </w:pPr>
      <w:bookmarkStart w:id="59" w:name="_Toc92799301"/>
      <w:bookmarkStart w:id="60" w:name="_Toc92799715"/>
      <w:bookmarkStart w:id="61" w:name="_Toc92809183"/>
      <w:r>
        <w:rPr>
          <w:rStyle w:val="CharDivNo"/>
        </w:rPr>
        <w:t>Division 2</w:t>
      </w:r>
      <w:r>
        <w:rPr>
          <w:snapToGrid w:val="0"/>
        </w:rPr>
        <w:t> — </w:t>
      </w:r>
      <w:r>
        <w:rPr>
          <w:rStyle w:val="CharDivText"/>
        </w:rPr>
        <w:t>Exploration licences</w:t>
      </w:r>
      <w:bookmarkEnd w:id="59"/>
      <w:bookmarkEnd w:id="60"/>
      <w:bookmarkEnd w:id="61"/>
    </w:p>
    <w:p>
      <w:pPr>
        <w:pStyle w:val="Heading5"/>
        <w:spacing w:before="180"/>
        <w:rPr>
          <w:snapToGrid w:val="0"/>
        </w:rPr>
      </w:pPr>
      <w:bookmarkStart w:id="62" w:name="_Toc92809184"/>
      <w:r>
        <w:rPr>
          <w:rStyle w:val="CharSectno"/>
        </w:rPr>
        <w:t>17</w:t>
      </w:r>
      <w:r>
        <w:rPr>
          <w:snapToGrid w:val="0"/>
        </w:rPr>
        <w:t>.</w:t>
      </w:r>
      <w:r>
        <w:rPr>
          <w:snapToGrid w:val="0"/>
        </w:rPr>
        <w:tab/>
        <w:t>Application</w:t>
      </w:r>
      <w:bookmarkEnd w:id="62"/>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Gazette 2 Feb 2001 p. 712.]</w:t>
      </w:r>
    </w:p>
    <w:p>
      <w:pPr>
        <w:pStyle w:val="Ednotesection"/>
        <w:spacing w:before="180"/>
        <w:ind w:left="890" w:hanging="890"/>
        <w:rPr>
          <w:b/>
        </w:rPr>
      </w:pPr>
      <w:r>
        <w:t>[</w:t>
      </w:r>
      <w:r>
        <w:rPr>
          <w:b/>
        </w:rPr>
        <w:t>18A.</w:t>
      </w:r>
      <w:r>
        <w:rPr>
          <w:b/>
        </w:rPr>
        <w:tab/>
      </w:r>
      <w:r>
        <w:t>Deleted: Gazette 3 Feb 2006 p. 580.]</w:t>
      </w:r>
    </w:p>
    <w:p>
      <w:pPr>
        <w:pStyle w:val="Heading5"/>
        <w:spacing w:before="180"/>
        <w:rPr>
          <w:snapToGrid w:val="0"/>
        </w:rPr>
      </w:pPr>
      <w:bookmarkStart w:id="63" w:name="_Toc92809185"/>
      <w:r>
        <w:rPr>
          <w:rStyle w:val="CharSectno"/>
        </w:rPr>
        <w:t>19</w:t>
      </w:r>
      <w:r>
        <w:rPr>
          <w:snapToGrid w:val="0"/>
        </w:rPr>
        <w:t>.</w:t>
      </w:r>
      <w:r>
        <w:rPr>
          <w:snapToGrid w:val="0"/>
        </w:rPr>
        <w:tab/>
        <w:t>Instrument of licence</w:t>
      </w:r>
      <w:bookmarkEnd w:id="63"/>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Gazette 15 Jan 2010 p. 100.]</w:t>
      </w:r>
    </w:p>
    <w:p>
      <w:pPr>
        <w:pStyle w:val="Heading5"/>
        <w:spacing w:before="180"/>
        <w:rPr>
          <w:snapToGrid w:val="0"/>
        </w:rPr>
      </w:pPr>
      <w:bookmarkStart w:id="64" w:name="_Toc92809186"/>
      <w:r>
        <w:rPr>
          <w:rStyle w:val="CharSectno"/>
        </w:rPr>
        <w:lastRenderedPageBreak/>
        <w:t>20</w:t>
      </w:r>
      <w:r>
        <w:rPr>
          <w:snapToGrid w:val="0"/>
        </w:rPr>
        <w:t>.</w:t>
      </w:r>
      <w:r>
        <w:rPr>
          <w:snapToGrid w:val="0"/>
        </w:rPr>
        <w:tab/>
        <w:t>Limit on amount of earth etc. that may be removed (Act s. 66(c))</w:t>
      </w:r>
      <w:bookmarkEnd w:id="6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Gazette 31 May 1991 p. 2697.]</w:t>
      </w:r>
    </w:p>
    <w:p>
      <w:pPr>
        <w:pStyle w:val="Heading5"/>
        <w:spacing w:before="180"/>
        <w:rPr>
          <w:snapToGrid w:val="0"/>
        </w:rPr>
      </w:pPr>
      <w:bookmarkStart w:id="65" w:name="_Toc92809187"/>
      <w:r>
        <w:rPr>
          <w:rStyle w:val="CharSectno"/>
        </w:rPr>
        <w:t>21</w:t>
      </w:r>
      <w:r>
        <w:rPr>
          <w:snapToGrid w:val="0"/>
        </w:rPr>
        <w:t>.</w:t>
      </w:r>
      <w:r>
        <w:rPr>
          <w:snapToGrid w:val="0"/>
        </w:rPr>
        <w:tab/>
        <w:t>Expenditure condition</w:t>
      </w:r>
      <w:bookmarkEnd w:id="65"/>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 xml:space="preserve">Where a part of a block comprises or is included in the land in respect of which an exploration licence is granted, the whole of </w:t>
      </w:r>
      <w:r>
        <w:rPr>
          <w:snapToGrid w:val="0"/>
        </w:rPr>
        <w:lastRenderedPageBreak/>
        <w:t>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 —</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keepNext/>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lastRenderedPageBreak/>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keepNext/>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lastRenderedPageBreak/>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Gazette 16 Nov 1990 p. 5728; 31 May 1991 p. 2697; 31 Jul 1992 p. 3776; 13 Oct 1995 p. 4814</w:t>
      </w:r>
      <w:r>
        <w:noBreakHyphen/>
        <w:t>15; 11 Jun 1999 p. 2543; 18 Jun 1999 p. 2642</w:t>
      </w:r>
      <w:r>
        <w:noBreakHyphen/>
        <w:t>3; 17 Jan 2003 p. 110; 3 Feb 2006 p. 581-3.]</w:t>
      </w:r>
    </w:p>
    <w:p>
      <w:pPr>
        <w:pStyle w:val="Heading5"/>
        <w:keepNext w:val="0"/>
        <w:spacing w:before="180"/>
      </w:pPr>
      <w:bookmarkStart w:id="66" w:name="_Toc92809188"/>
      <w:r>
        <w:rPr>
          <w:rStyle w:val="CharSectno"/>
        </w:rPr>
        <w:t>21A</w:t>
      </w:r>
      <w:r>
        <w:t>.</w:t>
      </w:r>
      <w:r>
        <w:tab/>
        <w:t>Prescribed official (Act s. 63(aa)(ii))</w:t>
      </w:r>
      <w:bookmarkEnd w:id="66"/>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Gazette 3 Feb 2006 p. 584; amended: Gazette 18 Mar 2011 p. 914; 22 Dec 2017 p. 5992</w:t>
      </w:r>
      <w:r>
        <w:noBreakHyphen/>
        <w:t>3.]</w:t>
      </w:r>
    </w:p>
    <w:p>
      <w:pPr>
        <w:pStyle w:val="Heading5"/>
        <w:spacing w:before="180"/>
        <w:rPr>
          <w:snapToGrid w:val="0"/>
        </w:rPr>
      </w:pPr>
      <w:bookmarkStart w:id="67" w:name="_Toc92809189"/>
      <w:r>
        <w:rPr>
          <w:rStyle w:val="CharSectno"/>
        </w:rPr>
        <w:lastRenderedPageBreak/>
        <w:t>22</w:t>
      </w:r>
      <w:r>
        <w:rPr>
          <w:snapToGrid w:val="0"/>
        </w:rPr>
        <w:t>.</w:t>
      </w:r>
      <w:r>
        <w:rPr>
          <w:snapToGrid w:val="0"/>
        </w:rPr>
        <w:tab/>
        <w:t>Reports to be filed (Act s. 68(3))</w:t>
      </w:r>
      <w:bookmarkEnd w:id="67"/>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Gazette 1 Feb 2013 p. 452.]</w:t>
      </w:r>
    </w:p>
    <w:p>
      <w:pPr>
        <w:pStyle w:val="Heading5"/>
        <w:spacing w:before="180"/>
        <w:rPr>
          <w:snapToGrid w:val="0"/>
        </w:rPr>
      </w:pPr>
      <w:bookmarkStart w:id="68" w:name="_Toc92809190"/>
      <w:r>
        <w:rPr>
          <w:rStyle w:val="CharSectno"/>
        </w:rPr>
        <w:t>23</w:t>
      </w:r>
      <w:r>
        <w:rPr>
          <w:snapToGrid w:val="0"/>
        </w:rPr>
        <w:t>.</w:t>
      </w:r>
      <w:r>
        <w:rPr>
          <w:snapToGrid w:val="0"/>
        </w:rPr>
        <w:tab/>
        <w:t>Endorsement of plans upon surrender (Act s. 65)</w:t>
      </w:r>
      <w:bookmarkEnd w:id="68"/>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keepNext/>
      </w:pPr>
      <w:r>
        <w:tab/>
        <w:t>(2)</w:t>
      </w:r>
      <w:r>
        <w:tab/>
        <w:t xml:space="preserve">Notification for the purposes of section 65(6)(a) shall be given by endorsing the date (the </w:t>
      </w:r>
      <w:r>
        <w:rPr>
          <w:rStyle w:val="CharDefText"/>
        </w:rPr>
        <w:t>release date</w:t>
      </w:r>
      <w:r>
        <w:t xml:space="preserve">) and time chosen under </w:t>
      </w:r>
      <w:r>
        <w:lastRenderedPageBreak/>
        <w:t>subregulation (1)(c) on the plans referred to in section 65(5) at least 14 days before the release date.</w:t>
      </w:r>
    </w:p>
    <w:p>
      <w:pPr>
        <w:pStyle w:val="Footnotesection"/>
        <w:ind w:left="890" w:hanging="890"/>
      </w:pPr>
      <w:r>
        <w:tab/>
        <w:t>[Regulation 23 inserted: Gazette 31 May 1991 p. 2697; amended: Gazette 3 Feb 2006 p. 586; 9 Nov 2012 p. 5399.]</w:t>
      </w:r>
    </w:p>
    <w:p>
      <w:pPr>
        <w:pStyle w:val="Heading5"/>
        <w:spacing w:before="180"/>
        <w:rPr>
          <w:snapToGrid w:val="0"/>
        </w:rPr>
      </w:pPr>
      <w:bookmarkStart w:id="69" w:name="_Toc92809191"/>
      <w:r>
        <w:rPr>
          <w:rStyle w:val="CharSectno"/>
        </w:rPr>
        <w:t>23AA</w:t>
      </w:r>
      <w:r>
        <w:rPr>
          <w:snapToGrid w:val="0"/>
        </w:rPr>
        <w:t>.</w:t>
      </w:r>
      <w:r>
        <w:rPr>
          <w:snapToGrid w:val="0"/>
        </w:rPr>
        <w:tab/>
        <w:t>Refund of rent following unsuccessful application under Act s. 65(1a)</w:t>
      </w:r>
      <w:bookmarkEnd w:id="69"/>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Gazette 13 Oct 1995 p. 4815.]</w:t>
      </w:r>
    </w:p>
    <w:p>
      <w:pPr>
        <w:pStyle w:val="Heading5"/>
        <w:spacing w:before="180"/>
        <w:rPr>
          <w:snapToGrid w:val="0"/>
        </w:rPr>
      </w:pPr>
      <w:bookmarkStart w:id="70" w:name="_Toc92809192"/>
      <w:r>
        <w:rPr>
          <w:rStyle w:val="CharSectno"/>
        </w:rPr>
        <w:t>23AB</w:t>
      </w:r>
      <w:r>
        <w:rPr>
          <w:snapToGrid w:val="0"/>
        </w:rPr>
        <w:t>.</w:t>
      </w:r>
      <w:r>
        <w:rPr>
          <w:snapToGrid w:val="0"/>
        </w:rPr>
        <w:tab/>
        <w:t>Grounds for extension (Act s. 61(2))</w:t>
      </w:r>
      <w:bookmarkEnd w:id="70"/>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lastRenderedPageBreak/>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Gazette 13 Oct 1995 p. 4816; amended: Gazette 3 Feb 2006 p. 586-7; 5 Mar 2010 p. 850.]</w:t>
      </w:r>
    </w:p>
    <w:p>
      <w:pPr>
        <w:pStyle w:val="Heading5"/>
        <w:spacing w:before="180"/>
        <w:rPr>
          <w:snapToGrid w:val="0"/>
        </w:rPr>
      </w:pPr>
      <w:bookmarkStart w:id="71" w:name="_Toc92809193"/>
      <w:r>
        <w:rPr>
          <w:rStyle w:val="CharSectno"/>
        </w:rPr>
        <w:t>23A</w:t>
      </w:r>
      <w:r>
        <w:rPr>
          <w:snapToGrid w:val="0"/>
        </w:rPr>
        <w:t>.</w:t>
      </w:r>
      <w:r>
        <w:rPr>
          <w:snapToGrid w:val="0"/>
        </w:rPr>
        <w:tab/>
        <w:t>Extension of exploration licence (Act s. 61)</w:t>
      </w:r>
      <w:bookmarkEnd w:id="71"/>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w:t>
      </w:r>
    </w:p>
    <w:p>
      <w:pPr>
        <w:pStyle w:val="Ednotepara"/>
      </w:pPr>
      <w:r>
        <w:tab/>
        <w:t>[(c)</w:t>
      </w:r>
      <w:r>
        <w:tab/>
        <w:t>deleted]</w:t>
      </w:r>
    </w:p>
    <w:p>
      <w:pPr>
        <w:pStyle w:val="Subsection"/>
      </w:pPr>
      <w:r>
        <w:tab/>
        <w:t>(2)</w:t>
      </w:r>
      <w:r>
        <w:tab/>
        <w:t xml:space="preserve">Before the end of the period of 14 days from the day on which the application is lodged, the applicant must lodge — </w:t>
      </w:r>
    </w:p>
    <w:p>
      <w:pPr>
        <w:pStyle w:val="Indenta"/>
      </w:pPr>
      <w:r>
        <w:tab/>
        <w:t>(a)</w:t>
      </w:r>
      <w:r>
        <w:tab/>
        <w:t>information in support of the proposed ground for extension; and</w:t>
      </w:r>
    </w:p>
    <w:p>
      <w:pPr>
        <w:pStyle w:val="Indenta"/>
      </w:pPr>
      <w:r>
        <w:tab/>
        <w:t>(b)</w:t>
      </w:r>
      <w:r>
        <w:tab/>
        <w:t>a summary of work already carried out under the licence; and</w:t>
      </w:r>
    </w:p>
    <w:p>
      <w:pPr>
        <w:pStyle w:val="Indenta"/>
      </w:pPr>
      <w:r>
        <w:tab/>
        <w:t>(c)</w:t>
      </w:r>
      <w:r>
        <w:tab/>
        <w:t>a detailed programme of work proposed to be carried out under the licence.</w:t>
      </w:r>
    </w:p>
    <w:p>
      <w:pPr>
        <w:pStyle w:val="Subsection"/>
      </w:pPr>
      <w:r>
        <w:lastRenderedPageBreak/>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pPr>
      <w:r>
        <w:tab/>
        <w:t>[Regulation 23A inserted: Gazette 2 Oct 1987 p. 3815; amended: Gazette 13 Oct 1995 p. 4816; 2 Feb 2001 p. 712; 3 Feb 2006 p. 587-8; 15 Jan 2010 p. 100; 18 Mar 2011 p. 914; 1 Feb 2013 p. 452; 13 Dec 2019 p. 4232</w:t>
      </w:r>
      <w:r>
        <w:noBreakHyphen/>
        <w:t>3.]</w:t>
      </w:r>
    </w:p>
    <w:p>
      <w:pPr>
        <w:pStyle w:val="Heading5"/>
        <w:spacing w:before="180"/>
      </w:pPr>
      <w:bookmarkStart w:id="72" w:name="_Toc92809194"/>
      <w:r>
        <w:rPr>
          <w:rStyle w:val="CharSectno"/>
        </w:rPr>
        <w:t>23BA</w:t>
      </w:r>
      <w:r>
        <w:t>.</w:t>
      </w:r>
      <w:r>
        <w:tab/>
        <w:t>Application for retention status (Act s. 69A)</w:t>
      </w:r>
      <w:bookmarkEnd w:id="72"/>
    </w:p>
    <w:p>
      <w:pPr>
        <w:pStyle w:val="Subsection"/>
        <w:keepNext/>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lastRenderedPageBreak/>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11.</w:t>
      </w:r>
    </w:p>
    <w:p>
      <w:pPr>
        <w:pStyle w:val="Footnotesection"/>
      </w:pPr>
      <w:r>
        <w:tab/>
        <w:t>[Regulation 23BA inserted: Gazette 3 Feb 2006 p. 588-9; amended: Gazette 15 Jan 2010 p. 100 and 136; 18 Mar 2011 p. 914; 24 Jun 2011 p. 2510; 18 Jun 2019 p. 2048.]</w:t>
      </w:r>
    </w:p>
    <w:p>
      <w:pPr>
        <w:pStyle w:val="Heading5"/>
        <w:spacing w:before="180"/>
      </w:pPr>
      <w:bookmarkStart w:id="73" w:name="_Toc92809195"/>
      <w:r>
        <w:rPr>
          <w:rStyle w:val="CharSectno"/>
        </w:rPr>
        <w:t>23BB</w:t>
      </w:r>
      <w:r>
        <w:t>.</w:t>
      </w:r>
      <w:r>
        <w:tab/>
        <w:t>Application for special prospecting licence (Act s. 70)</w:t>
      </w:r>
      <w:bookmarkEnd w:id="7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Gazette 3 Feb 2006 p. 589.]</w:t>
      </w:r>
    </w:p>
    <w:p>
      <w:pPr>
        <w:pStyle w:val="Heading3"/>
      </w:pPr>
      <w:bookmarkStart w:id="74" w:name="_Toc92799314"/>
      <w:bookmarkStart w:id="75" w:name="_Toc92799728"/>
      <w:bookmarkStart w:id="76" w:name="_Toc92809196"/>
      <w:r>
        <w:rPr>
          <w:rStyle w:val="CharDivNo"/>
        </w:rPr>
        <w:lastRenderedPageBreak/>
        <w:t>Division 2A</w:t>
      </w:r>
      <w:r>
        <w:rPr>
          <w:snapToGrid w:val="0"/>
        </w:rPr>
        <w:t> — </w:t>
      </w:r>
      <w:r>
        <w:rPr>
          <w:rStyle w:val="CharDivText"/>
        </w:rPr>
        <w:t>Retention licences</w:t>
      </w:r>
      <w:bookmarkEnd w:id="74"/>
      <w:bookmarkEnd w:id="75"/>
      <w:bookmarkEnd w:id="76"/>
    </w:p>
    <w:p>
      <w:pPr>
        <w:pStyle w:val="Footnoteheading"/>
        <w:keepNext/>
        <w:keepLines/>
        <w:ind w:left="890"/>
        <w:rPr>
          <w:snapToGrid w:val="0"/>
        </w:rPr>
      </w:pPr>
      <w:r>
        <w:rPr>
          <w:snapToGrid w:val="0"/>
        </w:rPr>
        <w:tab/>
        <w:t>[Heading inserted: Gazette 24 Jun 1994 p. 2928.]</w:t>
      </w:r>
    </w:p>
    <w:p>
      <w:pPr>
        <w:pStyle w:val="Heading5"/>
        <w:rPr>
          <w:snapToGrid w:val="0"/>
        </w:rPr>
      </w:pPr>
      <w:bookmarkStart w:id="77" w:name="_Toc92809197"/>
      <w:r>
        <w:rPr>
          <w:rStyle w:val="CharSectno"/>
        </w:rPr>
        <w:t>23B</w:t>
      </w:r>
      <w:r>
        <w:rPr>
          <w:snapToGrid w:val="0"/>
        </w:rPr>
        <w:t>.</w:t>
      </w:r>
      <w:r>
        <w:rPr>
          <w:snapToGrid w:val="0"/>
        </w:rPr>
        <w:tab/>
        <w:t>Application and marking out</w:t>
      </w:r>
      <w:bookmarkEnd w:id="7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Gazette 24 Jun 1994 p. 2928; amended: Gazette 4 Apr 1997 p. 1778.]</w:t>
      </w:r>
    </w:p>
    <w:p>
      <w:pPr>
        <w:pStyle w:val="Heading5"/>
      </w:pPr>
      <w:bookmarkStart w:id="78" w:name="_Toc92809198"/>
      <w:r>
        <w:rPr>
          <w:rStyle w:val="CharSectno"/>
        </w:rPr>
        <w:t>23C</w:t>
      </w:r>
      <w:r>
        <w:t>.</w:t>
      </w:r>
      <w:r>
        <w:tab/>
        <w:t>Time for lodging statutory declaration</w:t>
      </w:r>
      <w:bookmarkEnd w:id="7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Gazette 18 Mar 2011 p. 914.]</w:t>
      </w:r>
    </w:p>
    <w:p>
      <w:pPr>
        <w:pStyle w:val="Heading5"/>
        <w:rPr>
          <w:snapToGrid w:val="0"/>
        </w:rPr>
      </w:pPr>
      <w:bookmarkStart w:id="79" w:name="_Toc92809199"/>
      <w:r>
        <w:rPr>
          <w:rStyle w:val="CharSectno"/>
        </w:rPr>
        <w:t>23D</w:t>
      </w:r>
      <w:r>
        <w:rPr>
          <w:snapToGrid w:val="0"/>
        </w:rPr>
        <w:t>.</w:t>
      </w:r>
      <w:r>
        <w:rPr>
          <w:snapToGrid w:val="0"/>
        </w:rPr>
        <w:tab/>
        <w:t>Instrument of licence</w:t>
      </w:r>
      <w:bookmarkEnd w:id="79"/>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Gazette 24 Jun 1994 p. 2928; amended: Gazette 15 Jan 2010 p. 101.]</w:t>
      </w:r>
    </w:p>
    <w:p>
      <w:pPr>
        <w:pStyle w:val="Heading5"/>
      </w:pPr>
      <w:bookmarkStart w:id="80" w:name="_Toc92809200"/>
      <w:r>
        <w:rPr>
          <w:rStyle w:val="CharSectno"/>
        </w:rPr>
        <w:t>23DA</w:t>
      </w:r>
      <w:r>
        <w:t>.</w:t>
      </w:r>
      <w:r>
        <w:tab/>
        <w:t>Prescribed official (Act s. 70H(1))</w:t>
      </w:r>
      <w:bookmarkEnd w:id="80"/>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w:t>
      </w:r>
      <w:r>
        <w:lastRenderedPageBreak/>
        <w:t xml:space="preserve">prescribed for the purposes of the interpretation of the term </w:t>
      </w:r>
      <w:r>
        <w:rPr>
          <w:b/>
          <w:bCs/>
          <w:i/>
          <w:iCs/>
        </w:rPr>
        <w:t>prescribed official</w:t>
      </w:r>
      <w:r>
        <w:t xml:space="preserve"> in section 70H(1)(aa)(ii).</w:t>
      </w:r>
    </w:p>
    <w:p>
      <w:pPr>
        <w:pStyle w:val="Footnotesection"/>
      </w:pPr>
      <w:r>
        <w:tab/>
        <w:t>[Regulation 23DA inserted: Gazette 3 Feb 2006 p. 589-90; amended: Gazette 18 Mar 2011 p. 914; 22 Dec 2017 p. 5992</w:t>
      </w:r>
      <w:r>
        <w:noBreakHyphen/>
        <w:t>3.]</w:t>
      </w:r>
    </w:p>
    <w:p>
      <w:pPr>
        <w:pStyle w:val="Heading5"/>
        <w:rPr>
          <w:snapToGrid w:val="0"/>
        </w:rPr>
      </w:pPr>
      <w:bookmarkStart w:id="81" w:name="_Toc92809201"/>
      <w:r>
        <w:rPr>
          <w:rStyle w:val="CharSectno"/>
        </w:rPr>
        <w:t>23E</w:t>
      </w:r>
      <w:r>
        <w:rPr>
          <w:snapToGrid w:val="0"/>
        </w:rPr>
        <w:t>.</w:t>
      </w:r>
      <w:r>
        <w:rPr>
          <w:snapToGrid w:val="0"/>
        </w:rPr>
        <w:tab/>
        <w:t>Reports to be lodged (Act s. 70H(1))</w:t>
      </w:r>
      <w:bookmarkEnd w:id="8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Gazette 24 Jun 1994 p. 2928</w:t>
      </w:r>
      <w:r>
        <w:noBreakHyphen/>
        <w:t>9; amended: Gazette 17 Jan 2003 p. 111; 15 Jan 2010 p. 101; 1 Feb 2013 p. 452.]</w:t>
      </w:r>
    </w:p>
    <w:p>
      <w:pPr>
        <w:pStyle w:val="Heading5"/>
        <w:spacing w:before="180"/>
        <w:rPr>
          <w:snapToGrid w:val="0"/>
        </w:rPr>
      </w:pPr>
      <w:bookmarkStart w:id="82" w:name="_Toc92809202"/>
      <w:r>
        <w:rPr>
          <w:rStyle w:val="CharSectno"/>
        </w:rPr>
        <w:t>23F</w:t>
      </w:r>
      <w:r>
        <w:rPr>
          <w:snapToGrid w:val="0"/>
        </w:rPr>
        <w:t>.</w:t>
      </w:r>
      <w:r>
        <w:rPr>
          <w:snapToGrid w:val="0"/>
        </w:rPr>
        <w:tab/>
        <w:t>Application for renewal (Act s. 70E(2))</w:t>
      </w:r>
      <w:bookmarkEnd w:id="82"/>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pPr>
      <w:r>
        <w:tab/>
        <w:t>(2)</w:t>
      </w:r>
      <w:r>
        <w:tab/>
        <w:t xml:space="preserve">Before the end of the period of 14 days from the day on which the application is lodged, the applicant must lodge — </w:t>
      </w:r>
    </w:p>
    <w:p>
      <w:pPr>
        <w:pStyle w:val="Indenta"/>
      </w:pPr>
      <w:r>
        <w:tab/>
        <w:t>(a)</w:t>
      </w:r>
      <w:r>
        <w:tab/>
        <w:t>a report setting out a summary of any work and any investigations carried out under the licence; and</w:t>
      </w:r>
    </w:p>
    <w:p>
      <w:pPr>
        <w:pStyle w:val="Indenta"/>
      </w:pPr>
      <w:r>
        <w:lastRenderedPageBreak/>
        <w:tab/>
        <w:t>(b)</w:t>
      </w:r>
      <w:r>
        <w:tab/>
        <w:t>a detailed programme of any work and any investigations proposed to be carried out under the licence; and</w:t>
      </w:r>
    </w:p>
    <w:p>
      <w:pPr>
        <w:pStyle w:val="Indenta"/>
      </w:pPr>
      <w:r>
        <w:tab/>
        <w:t>(c)</w:t>
      </w:r>
      <w:r>
        <w:tab/>
        <w:t>a statutory declaration stating that mining of the identified mineral resource remains impracticable for one or more of the reasons referred to in section 70C(2) (and setting out that reason or those reasons in the statutory declaration).</w:t>
      </w:r>
    </w:p>
    <w:p>
      <w:pPr>
        <w:pStyle w:val="Subsection"/>
      </w:pPr>
      <w:r>
        <w:tab/>
        <w:t>(3)</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spacing w:before="100"/>
        <w:ind w:left="890" w:hanging="890"/>
      </w:pPr>
      <w:r>
        <w:tab/>
        <w:t>[Regulation 23F inserted: Gazette 24 Jun 1994 p. 2929; amended: Gazette 2 Feb 2001 p. 712; 15 Jan 2010 p. 101; 18 Mar 2011 p. 925; 1 Feb 2013 p. 452; 13 Dec 2019 p. 4233</w:t>
      </w:r>
      <w:r>
        <w:noBreakHyphen/>
        <w:t>4.]</w:t>
      </w:r>
    </w:p>
    <w:p>
      <w:pPr>
        <w:pStyle w:val="Heading5"/>
        <w:rPr>
          <w:snapToGrid w:val="0"/>
        </w:rPr>
      </w:pPr>
      <w:bookmarkStart w:id="83" w:name="_Toc92809203"/>
      <w:r>
        <w:rPr>
          <w:rStyle w:val="CharSectno"/>
        </w:rPr>
        <w:t>23G</w:t>
      </w:r>
      <w:r>
        <w:rPr>
          <w:snapToGrid w:val="0"/>
        </w:rPr>
        <w:t>.</w:t>
      </w:r>
      <w:r>
        <w:rPr>
          <w:snapToGrid w:val="0"/>
        </w:rPr>
        <w:tab/>
        <w:t>Limit on amount of earth etc. that may be removed (Act s. 70J(c))</w:t>
      </w:r>
      <w:bookmarkEnd w:id="83"/>
    </w:p>
    <w:p>
      <w:pPr>
        <w:pStyle w:val="Subsection"/>
        <w:rPr>
          <w:snapToGrid w:val="0"/>
        </w:rPr>
      </w:pPr>
      <w:r>
        <w:rPr>
          <w:snapToGrid w:val="0"/>
        </w:rPr>
        <w:tab/>
      </w:r>
      <w:r>
        <w:rPr>
          <w:snapToGrid w:val="0"/>
        </w:rPr>
        <w:tab/>
        <w:t xml:space="preserve">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w:t>
      </w:r>
      <w:r>
        <w:rPr>
          <w:snapToGrid w:val="0"/>
        </w:rPr>
        <w:lastRenderedPageBreak/>
        <w:t>of a larger tonnage, without the Minister’s written approval, renders the licence liable to forfeiture.</w:t>
      </w:r>
    </w:p>
    <w:p>
      <w:pPr>
        <w:pStyle w:val="Footnotesection"/>
        <w:spacing w:before="100"/>
        <w:ind w:left="890" w:hanging="890"/>
      </w:pPr>
      <w:r>
        <w:tab/>
        <w:t>[Regulation 23G inserted: Gazette 24 Jun 1994 p. 2929.]</w:t>
      </w:r>
    </w:p>
    <w:p>
      <w:pPr>
        <w:pStyle w:val="Ednotesection"/>
        <w:spacing w:before="180"/>
        <w:ind w:left="890" w:hanging="890"/>
        <w:rPr>
          <w:b/>
        </w:rPr>
      </w:pPr>
      <w:r>
        <w:t>[</w:t>
      </w:r>
      <w:r>
        <w:rPr>
          <w:b/>
        </w:rPr>
        <w:t>23H.</w:t>
      </w:r>
      <w:r>
        <w:rPr>
          <w:b/>
        </w:rPr>
        <w:tab/>
      </w:r>
      <w:r>
        <w:t>Deleted: Gazette 3 Feb 2006 p. 590.]</w:t>
      </w:r>
    </w:p>
    <w:p>
      <w:pPr>
        <w:pStyle w:val="Heading3"/>
        <w:keepNext w:val="0"/>
        <w:spacing w:before="180"/>
      </w:pPr>
      <w:bookmarkStart w:id="84" w:name="_Toc92799322"/>
      <w:bookmarkStart w:id="85" w:name="_Toc92799736"/>
      <w:bookmarkStart w:id="86" w:name="_Toc92809204"/>
      <w:r>
        <w:rPr>
          <w:rStyle w:val="CharDivNo"/>
        </w:rPr>
        <w:t>Division 3</w:t>
      </w:r>
      <w:r>
        <w:rPr>
          <w:snapToGrid w:val="0"/>
        </w:rPr>
        <w:t> — </w:t>
      </w:r>
      <w:r>
        <w:rPr>
          <w:rStyle w:val="CharDivText"/>
        </w:rPr>
        <w:t>Mining leases</w:t>
      </w:r>
      <w:bookmarkEnd w:id="84"/>
      <w:bookmarkEnd w:id="85"/>
      <w:bookmarkEnd w:id="86"/>
    </w:p>
    <w:p>
      <w:pPr>
        <w:pStyle w:val="Heading5"/>
        <w:keepNext w:val="0"/>
        <w:spacing w:before="180"/>
        <w:rPr>
          <w:snapToGrid w:val="0"/>
        </w:rPr>
      </w:pPr>
      <w:bookmarkStart w:id="87" w:name="_Toc92809205"/>
      <w:r>
        <w:rPr>
          <w:rStyle w:val="CharSectno"/>
        </w:rPr>
        <w:t>24</w:t>
      </w:r>
      <w:r>
        <w:rPr>
          <w:snapToGrid w:val="0"/>
        </w:rPr>
        <w:t>.</w:t>
      </w:r>
      <w:r>
        <w:rPr>
          <w:snapToGrid w:val="0"/>
        </w:rPr>
        <w:tab/>
        <w:t>Marking out and application</w:t>
      </w:r>
      <w:bookmarkEnd w:id="87"/>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88" w:name="_Toc92809206"/>
      <w:r>
        <w:rPr>
          <w:rStyle w:val="CharSectno"/>
        </w:rPr>
        <w:t>25AA</w:t>
      </w:r>
      <w:r>
        <w:t>.</w:t>
      </w:r>
      <w:r>
        <w:tab/>
        <w:t>Time for lodging mining proposal</w:t>
      </w:r>
      <w:bookmarkEnd w:id="88"/>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Gazette 18 Mar 2011 p. 915.]</w:t>
      </w:r>
    </w:p>
    <w:p>
      <w:pPr>
        <w:pStyle w:val="Heading5"/>
        <w:keepNext w:val="0"/>
        <w:keepLines w:val="0"/>
        <w:spacing w:before="160"/>
      </w:pPr>
      <w:bookmarkStart w:id="89" w:name="_Toc92809207"/>
      <w:r>
        <w:rPr>
          <w:rStyle w:val="CharSectno"/>
        </w:rPr>
        <w:t>25</w:t>
      </w:r>
      <w:r>
        <w:t>.</w:t>
      </w:r>
      <w:r>
        <w:tab/>
        <w:t xml:space="preserve">Guidelines, </w:t>
      </w:r>
      <w:r>
        <w:rPr>
          <w:snapToGrid w:val="0"/>
        </w:rPr>
        <w:t>publication</w:t>
      </w:r>
      <w:r>
        <w:t xml:space="preserve"> of (Act s. 70P)</w:t>
      </w:r>
      <w:bookmarkEnd w:id="89"/>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Gazette 3 Feb 2006 p. 590.]</w:t>
      </w:r>
    </w:p>
    <w:p>
      <w:pPr>
        <w:pStyle w:val="Heading5"/>
      </w:pPr>
      <w:bookmarkStart w:id="90" w:name="_Toc92809208"/>
      <w:r>
        <w:rPr>
          <w:rStyle w:val="CharSectno"/>
        </w:rPr>
        <w:t>25A</w:t>
      </w:r>
      <w:r>
        <w:t>.</w:t>
      </w:r>
      <w:r>
        <w:tab/>
        <w:t>Marking out after grant of lease (Act s. 73(2))</w:t>
      </w:r>
      <w:bookmarkEnd w:id="9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Gazette 3 Feb 2006 p. 590.]</w:t>
      </w:r>
    </w:p>
    <w:p>
      <w:pPr>
        <w:pStyle w:val="Heading5"/>
      </w:pPr>
      <w:bookmarkStart w:id="91" w:name="_Toc92809209"/>
      <w:r>
        <w:rPr>
          <w:rStyle w:val="CharSectno"/>
        </w:rPr>
        <w:lastRenderedPageBreak/>
        <w:t>25B</w:t>
      </w:r>
      <w:r>
        <w:t>.</w:t>
      </w:r>
      <w:r>
        <w:tab/>
        <w:t xml:space="preserve">Fees for copies of </w:t>
      </w:r>
      <w:r>
        <w:rPr>
          <w:snapToGrid w:val="0"/>
        </w:rPr>
        <w:t>certain</w:t>
      </w:r>
      <w:r>
        <w:t xml:space="preserve"> documents</w:t>
      </w:r>
      <w:bookmarkEnd w:id="91"/>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12.</w:t>
      </w:r>
    </w:p>
    <w:p>
      <w:pPr>
        <w:pStyle w:val="Footnotesection"/>
      </w:pPr>
      <w:r>
        <w:tab/>
        <w:t>[Regulation 25B inserted: Gazette 3 Feb 2006 p. 590; amended: Gazette 15 Jan 2010 p. 136; 24 Jun 2011 p. 2511; 18 Jun 2019 p. 2048.]</w:t>
      </w:r>
    </w:p>
    <w:p>
      <w:pPr>
        <w:pStyle w:val="Heading5"/>
      </w:pPr>
      <w:bookmarkStart w:id="92" w:name="_Toc92809210"/>
      <w:r>
        <w:rPr>
          <w:rStyle w:val="CharSectno"/>
        </w:rPr>
        <w:t>25C</w:t>
      </w:r>
      <w:r>
        <w:t>.</w:t>
      </w:r>
      <w:r>
        <w:tab/>
        <w:t>Qualified persons (Act s. 74(7))</w:t>
      </w:r>
      <w:bookmarkEnd w:id="92"/>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the Australasian Institute of Mining and Metallurgy;</w:t>
      </w:r>
    </w:p>
    <w:p>
      <w:pPr>
        <w:pStyle w:val="Indenta"/>
      </w:pPr>
      <w:r>
        <w:tab/>
        <w:t>(b)</w:t>
      </w:r>
      <w:r>
        <w:tab/>
        <w:t>the Australian Institute of Geoscientists.</w:t>
      </w:r>
    </w:p>
    <w:p>
      <w:pPr>
        <w:pStyle w:val="Footnotesection"/>
        <w:spacing w:before="100"/>
        <w:ind w:left="890" w:hanging="890"/>
      </w:pPr>
      <w:r>
        <w:tab/>
        <w:t>[Regulation 25C inserted: Gazette 3 Feb 2006 p. 591.]</w:t>
      </w:r>
    </w:p>
    <w:p>
      <w:pPr>
        <w:pStyle w:val="Heading5"/>
        <w:rPr>
          <w:snapToGrid w:val="0"/>
        </w:rPr>
      </w:pPr>
      <w:bookmarkStart w:id="93" w:name="_Toc92809211"/>
      <w:r>
        <w:rPr>
          <w:rStyle w:val="CharSectno"/>
        </w:rPr>
        <w:t>26</w:t>
      </w:r>
      <w:r>
        <w:rPr>
          <w:snapToGrid w:val="0"/>
        </w:rPr>
        <w:t>.</w:t>
      </w:r>
      <w:r>
        <w:rPr>
          <w:snapToGrid w:val="0"/>
        </w:rPr>
        <w:tab/>
        <w:t>Instrument of lease</w:t>
      </w:r>
      <w:bookmarkEnd w:id="93"/>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Gazette 15 Jan 2010 p. 101.]</w:t>
      </w:r>
    </w:p>
    <w:p>
      <w:pPr>
        <w:pStyle w:val="Ednotesection"/>
        <w:spacing w:before="180"/>
      </w:pPr>
      <w:r>
        <w:t>[</w:t>
      </w:r>
      <w:r>
        <w:rPr>
          <w:b/>
        </w:rPr>
        <w:t>27.</w:t>
      </w:r>
      <w:r>
        <w:rPr>
          <w:b/>
        </w:rPr>
        <w:tab/>
      </w:r>
      <w:r>
        <w:t>Deleted: Gazette 18 Mar 2011 p. 915.]</w:t>
      </w:r>
    </w:p>
    <w:p>
      <w:pPr>
        <w:pStyle w:val="Heading5"/>
        <w:spacing w:before="180"/>
        <w:rPr>
          <w:snapToGrid w:val="0"/>
        </w:rPr>
      </w:pPr>
      <w:bookmarkStart w:id="94" w:name="_Toc92809212"/>
      <w:r>
        <w:rPr>
          <w:rStyle w:val="CharSectno"/>
        </w:rPr>
        <w:t>28</w:t>
      </w:r>
      <w:r>
        <w:rPr>
          <w:snapToGrid w:val="0"/>
        </w:rPr>
        <w:t>.</w:t>
      </w:r>
      <w:r>
        <w:rPr>
          <w:snapToGrid w:val="0"/>
        </w:rPr>
        <w:tab/>
        <w:t>Additional condition</w:t>
      </w:r>
      <w:bookmarkEnd w:id="94"/>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lastRenderedPageBreak/>
        <w:tab/>
        <w:t>[Regulation 28 amended: Gazette 3 Feb 2006 p. 591; 18 Mar 2011 p. 915.]</w:t>
      </w:r>
    </w:p>
    <w:p>
      <w:pPr>
        <w:pStyle w:val="Heading5"/>
        <w:keepNext w:val="0"/>
        <w:keepLines w:val="0"/>
        <w:spacing w:before="180"/>
        <w:rPr>
          <w:snapToGrid w:val="0"/>
        </w:rPr>
      </w:pPr>
      <w:bookmarkStart w:id="95" w:name="_Toc92809213"/>
      <w:r>
        <w:rPr>
          <w:rStyle w:val="CharSectno"/>
        </w:rPr>
        <w:t>28A</w:t>
      </w:r>
      <w:r>
        <w:rPr>
          <w:snapToGrid w:val="0"/>
        </w:rPr>
        <w:t>.</w:t>
      </w:r>
      <w:r>
        <w:rPr>
          <w:snapToGrid w:val="0"/>
        </w:rPr>
        <w:tab/>
        <w:t>Additional rent for mining lease producing iron ore</w:t>
      </w:r>
      <w:bookmarkEnd w:id="95"/>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keepNext/>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Gazette 13 Sep 1996 p. 4598; amended: Gazette 15 Jan 2010 p. 102 and 136; 18 Mar 2011 p. 915.]</w:t>
      </w:r>
    </w:p>
    <w:p>
      <w:pPr>
        <w:pStyle w:val="Heading5"/>
        <w:spacing w:before="240"/>
        <w:rPr>
          <w:snapToGrid w:val="0"/>
        </w:rPr>
      </w:pPr>
      <w:bookmarkStart w:id="96" w:name="_Toc92809214"/>
      <w:r>
        <w:rPr>
          <w:rStyle w:val="CharSectno"/>
        </w:rPr>
        <w:t>29</w:t>
      </w:r>
      <w:r>
        <w:rPr>
          <w:snapToGrid w:val="0"/>
        </w:rPr>
        <w:t>.</w:t>
      </w:r>
      <w:r>
        <w:rPr>
          <w:snapToGrid w:val="0"/>
        </w:rPr>
        <w:tab/>
        <w:t>Application for renewal (Act s. 78)</w:t>
      </w:r>
      <w:bookmarkEnd w:id="96"/>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lastRenderedPageBreak/>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pPr>
      <w:r>
        <w:tab/>
        <w:t>[Regulation 29 inserted: Gazette 2 Oct 1987 p. 3816; amended: Gazette 2 Feb 2001 p. 712; 15 Jan 2010 p. 102; 18 Mar 2011 p. 925; 13 Dec 2019 p. 4234.]</w:t>
      </w:r>
    </w:p>
    <w:p>
      <w:pPr>
        <w:pStyle w:val="Heading5"/>
        <w:rPr>
          <w:snapToGrid w:val="0"/>
        </w:rPr>
      </w:pPr>
      <w:bookmarkStart w:id="97" w:name="_Toc92809215"/>
      <w:r>
        <w:rPr>
          <w:rStyle w:val="CharSectno"/>
        </w:rPr>
        <w:t>30</w:t>
      </w:r>
      <w:r>
        <w:rPr>
          <w:snapToGrid w:val="0"/>
        </w:rPr>
        <w:t>.</w:t>
      </w:r>
      <w:r>
        <w:rPr>
          <w:snapToGrid w:val="0"/>
        </w:rPr>
        <w:tab/>
        <w:t>Notice required (Act s. 56A(8), 70(6) or 85B(3))</w:t>
      </w:r>
      <w:bookmarkEnd w:id="97"/>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lastRenderedPageBreak/>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Gazette 24 Jun 1994 p. 2930; amended: Gazette 15 Jan 2010 p. 102.]</w:t>
      </w:r>
    </w:p>
    <w:p>
      <w:pPr>
        <w:pStyle w:val="Heading5"/>
        <w:spacing w:before="180"/>
        <w:rPr>
          <w:snapToGrid w:val="0"/>
        </w:rPr>
      </w:pPr>
      <w:bookmarkStart w:id="98" w:name="_Toc92809216"/>
      <w:r>
        <w:rPr>
          <w:rStyle w:val="CharSectno"/>
        </w:rPr>
        <w:t>31</w:t>
      </w:r>
      <w:r>
        <w:rPr>
          <w:snapToGrid w:val="0"/>
        </w:rPr>
        <w:t>.</w:t>
      </w:r>
      <w:r>
        <w:rPr>
          <w:snapToGrid w:val="0"/>
        </w:rPr>
        <w:tab/>
        <w:t>Expenditure condition</w:t>
      </w:r>
      <w:bookmarkEnd w:id="98"/>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lastRenderedPageBreak/>
        <w:tab/>
        <w:t>[Regulation 31 amended: Gazette 16 Nov 1990 p. 5728; 31 Jul 1992 p. 3776; 11 Jun 1999 p. 2544; 18 Jun 1999 p. 2643; 17 Jan 2003 p. 111.]</w:t>
      </w:r>
    </w:p>
    <w:p>
      <w:pPr>
        <w:pStyle w:val="Heading5"/>
        <w:spacing w:before="180"/>
      </w:pPr>
      <w:bookmarkStart w:id="99" w:name="_Toc92809217"/>
      <w:r>
        <w:rPr>
          <w:rStyle w:val="CharSectno"/>
        </w:rPr>
        <w:t>31A</w:t>
      </w:r>
      <w:r>
        <w:t>.</w:t>
      </w:r>
      <w:r>
        <w:tab/>
        <w:t>Prescribed official (Act s. 82(1)(ca))</w:t>
      </w:r>
      <w:bookmarkEnd w:id="99"/>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Gazette 3 Feb 2006 p. 591; amended: Gazette 18 Mar 2011 p. 915; 22 Dec 2017 p. 5992</w:t>
      </w:r>
      <w:r>
        <w:noBreakHyphen/>
        <w:t>3.]</w:t>
      </w:r>
    </w:p>
    <w:p>
      <w:pPr>
        <w:pStyle w:val="Heading5"/>
        <w:rPr>
          <w:snapToGrid w:val="0"/>
        </w:rPr>
      </w:pPr>
      <w:bookmarkStart w:id="100" w:name="_Toc92809218"/>
      <w:r>
        <w:rPr>
          <w:rStyle w:val="CharSectno"/>
        </w:rPr>
        <w:t>32</w:t>
      </w:r>
      <w:r>
        <w:rPr>
          <w:snapToGrid w:val="0"/>
        </w:rPr>
        <w:t>.</w:t>
      </w:r>
      <w:r>
        <w:rPr>
          <w:snapToGrid w:val="0"/>
        </w:rPr>
        <w:tab/>
        <w:t>Reports to be filed (Act s. 82(1))</w:t>
      </w:r>
      <w:bookmarkEnd w:id="10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Gazette 2 Oct 1987 p. 3816; 2 Jul 1993 p. 3270; 17 Jan 2003 p. 112; 15 Jan 2010 p. 102; 1 Feb 2013 p. 453.]</w:t>
      </w:r>
    </w:p>
    <w:p>
      <w:pPr>
        <w:pStyle w:val="Heading5"/>
      </w:pPr>
      <w:bookmarkStart w:id="101" w:name="_Toc92809219"/>
      <w:r>
        <w:rPr>
          <w:rStyle w:val="CharSectno"/>
        </w:rPr>
        <w:t>32A</w:t>
      </w:r>
      <w:r>
        <w:t>.</w:t>
      </w:r>
      <w:r>
        <w:tab/>
        <w:t>Act s. 82A, prescribed matters for</w:t>
      </w:r>
      <w:bookmarkEnd w:id="101"/>
    </w:p>
    <w:p>
      <w:pPr>
        <w:pStyle w:val="Subsection"/>
        <w:keepNext/>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keepNext/>
        <w:spacing w:before="60"/>
      </w:pPr>
      <w:r>
        <w:lastRenderedPageBreak/>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Gazette 3 Feb 2006 p. 592; amended: Gazette 18 Mar 2011 p. 915; 22 Dec 2017 p. 5990.]</w:t>
      </w:r>
    </w:p>
    <w:p>
      <w:pPr>
        <w:pStyle w:val="Heading5"/>
        <w:spacing w:before="180"/>
      </w:pPr>
      <w:bookmarkStart w:id="102" w:name="_Toc92809220"/>
      <w:r>
        <w:rPr>
          <w:rStyle w:val="CharSectno"/>
        </w:rPr>
        <w:t>33A</w:t>
      </w:r>
      <w:r>
        <w:t>.</w:t>
      </w:r>
      <w:r>
        <w:tab/>
        <w:t>Act s. 84AA, prescribed matters for</w:t>
      </w:r>
      <w:bookmarkEnd w:id="102"/>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lastRenderedPageBreak/>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Gazette 18 Mar 2011 p. 915; amended: Gazette 22 Dec 2017 p. 5990</w:t>
      </w:r>
      <w:r>
        <w:noBreakHyphen/>
        <w:t>1.]</w:t>
      </w:r>
    </w:p>
    <w:p>
      <w:pPr>
        <w:pStyle w:val="Heading3"/>
        <w:spacing w:before="180"/>
      </w:pPr>
      <w:bookmarkStart w:id="103" w:name="_Toc92799339"/>
      <w:bookmarkStart w:id="104" w:name="_Toc92799753"/>
      <w:bookmarkStart w:id="105" w:name="_Toc92809221"/>
      <w:r>
        <w:rPr>
          <w:rStyle w:val="CharDivNo"/>
        </w:rPr>
        <w:t>Division 4</w:t>
      </w:r>
      <w:r>
        <w:rPr>
          <w:snapToGrid w:val="0"/>
        </w:rPr>
        <w:t> — </w:t>
      </w:r>
      <w:r>
        <w:rPr>
          <w:rStyle w:val="CharDivText"/>
        </w:rPr>
        <w:t>General purpose leases</w:t>
      </w:r>
      <w:bookmarkEnd w:id="103"/>
      <w:bookmarkEnd w:id="104"/>
      <w:bookmarkEnd w:id="105"/>
    </w:p>
    <w:p>
      <w:pPr>
        <w:pStyle w:val="Heading5"/>
        <w:keepNext w:val="0"/>
        <w:keepLines w:val="0"/>
        <w:spacing w:before="180"/>
        <w:rPr>
          <w:snapToGrid w:val="0"/>
        </w:rPr>
      </w:pPr>
      <w:bookmarkStart w:id="106" w:name="_Toc92809222"/>
      <w:r>
        <w:rPr>
          <w:rStyle w:val="CharSectno"/>
        </w:rPr>
        <w:t>33</w:t>
      </w:r>
      <w:r>
        <w:rPr>
          <w:snapToGrid w:val="0"/>
        </w:rPr>
        <w:t>.</w:t>
      </w:r>
      <w:r>
        <w:rPr>
          <w:snapToGrid w:val="0"/>
        </w:rPr>
        <w:tab/>
        <w:t>Marking out and applying for lease</w:t>
      </w:r>
      <w:bookmarkEnd w:id="10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Gazette 2 Feb 2001 p. 712.]</w:t>
      </w:r>
    </w:p>
    <w:p>
      <w:pPr>
        <w:pStyle w:val="Heading5"/>
        <w:spacing w:before="180"/>
        <w:rPr>
          <w:snapToGrid w:val="0"/>
        </w:rPr>
      </w:pPr>
      <w:bookmarkStart w:id="107" w:name="_Toc92809223"/>
      <w:r>
        <w:rPr>
          <w:rStyle w:val="CharSectno"/>
        </w:rPr>
        <w:t>35</w:t>
      </w:r>
      <w:r>
        <w:rPr>
          <w:snapToGrid w:val="0"/>
        </w:rPr>
        <w:t>.</w:t>
      </w:r>
      <w:r>
        <w:rPr>
          <w:snapToGrid w:val="0"/>
        </w:rPr>
        <w:tab/>
        <w:t>Instrument of lease</w:t>
      </w:r>
      <w:bookmarkEnd w:id="10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Gazette 15 Jan 2010 p. 102.]</w:t>
      </w:r>
    </w:p>
    <w:p>
      <w:pPr>
        <w:pStyle w:val="Heading5"/>
        <w:rPr>
          <w:snapToGrid w:val="0"/>
        </w:rPr>
      </w:pPr>
      <w:bookmarkStart w:id="108" w:name="_Toc92809224"/>
      <w:r>
        <w:rPr>
          <w:rStyle w:val="CharSectno"/>
        </w:rPr>
        <w:t>36</w:t>
      </w:r>
      <w:r>
        <w:rPr>
          <w:snapToGrid w:val="0"/>
        </w:rPr>
        <w:t>.</w:t>
      </w:r>
      <w:r>
        <w:rPr>
          <w:snapToGrid w:val="0"/>
        </w:rPr>
        <w:tab/>
        <w:t>Covenants and conditions</w:t>
      </w:r>
      <w:bookmarkEnd w:id="10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lastRenderedPageBreak/>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Gazette 2 Oct 1987 p. 3837; 3 Feb 2006 p. 519; 18 Mar 2011 p. 916.]</w:t>
      </w:r>
    </w:p>
    <w:p>
      <w:pPr>
        <w:pStyle w:val="Heading5"/>
        <w:rPr>
          <w:snapToGrid w:val="0"/>
        </w:rPr>
      </w:pPr>
      <w:bookmarkStart w:id="109" w:name="_Toc92809225"/>
      <w:r>
        <w:rPr>
          <w:rStyle w:val="CharSectno"/>
        </w:rPr>
        <w:t>36A</w:t>
      </w:r>
      <w:r>
        <w:rPr>
          <w:snapToGrid w:val="0"/>
        </w:rPr>
        <w:t>.</w:t>
      </w:r>
      <w:r>
        <w:rPr>
          <w:snapToGrid w:val="0"/>
        </w:rPr>
        <w:tab/>
        <w:t>Application for renewal (Act s. 88)</w:t>
      </w:r>
      <w:bookmarkEnd w:id="10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lease.</w:t>
      </w:r>
    </w:p>
    <w:p>
      <w:pPr>
        <w:pStyle w:val="Subsection"/>
      </w:pPr>
      <w:r>
        <w:tab/>
        <w:t>(2)</w:t>
      </w:r>
      <w:r>
        <w:tab/>
        <w:t xml:space="preserve">If the lease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lease until and including the month during which the application is refused.</w:t>
      </w:r>
    </w:p>
    <w:p>
      <w:pPr>
        <w:pStyle w:val="Footnotesection"/>
        <w:ind w:left="890" w:hanging="890"/>
      </w:pPr>
      <w:r>
        <w:tab/>
        <w:t>[Regulation 36A inserted: Gazette 2 Oct 1987 p. 3817; amended: Gazette 2 Feb 2001 p. 712; 15 Jan 2010 p. 103; 18 Mar 2011 p. 925; 13 Dec 2019 p. 4234</w:t>
      </w:r>
      <w:r>
        <w:noBreakHyphen/>
        <w:t>5.]</w:t>
      </w:r>
    </w:p>
    <w:p>
      <w:pPr>
        <w:pStyle w:val="Heading3"/>
        <w:keepLines/>
      </w:pPr>
      <w:bookmarkStart w:id="110" w:name="_Toc92799344"/>
      <w:bookmarkStart w:id="111" w:name="_Toc92799758"/>
      <w:bookmarkStart w:id="112" w:name="_Toc92809226"/>
      <w:r>
        <w:rPr>
          <w:rStyle w:val="CharDivNo"/>
        </w:rPr>
        <w:lastRenderedPageBreak/>
        <w:t>Division 5</w:t>
      </w:r>
      <w:r>
        <w:rPr>
          <w:snapToGrid w:val="0"/>
        </w:rPr>
        <w:t> — </w:t>
      </w:r>
      <w:r>
        <w:rPr>
          <w:rStyle w:val="CharDivText"/>
        </w:rPr>
        <w:t>Miscellaneous licences</w:t>
      </w:r>
      <w:bookmarkEnd w:id="110"/>
      <w:bookmarkEnd w:id="111"/>
      <w:bookmarkEnd w:id="112"/>
    </w:p>
    <w:p>
      <w:pPr>
        <w:pStyle w:val="Heading5"/>
        <w:rPr>
          <w:snapToGrid w:val="0"/>
        </w:rPr>
      </w:pPr>
      <w:bookmarkStart w:id="113" w:name="_Toc92809227"/>
      <w:r>
        <w:rPr>
          <w:rStyle w:val="CharSectno"/>
        </w:rPr>
        <w:t>37</w:t>
      </w:r>
      <w:r>
        <w:rPr>
          <w:snapToGrid w:val="0"/>
        </w:rPr>
        <w:t>.</w:t>
      </w:r>
      <w:r>
        <w:rPr>
          <w:snapToGrid w:val="0"/>
        </w:rPr>
        <w:tab/>
        <w:t>Application</w:t>
      </w:r>
      <w:bookmarkEnd w:id="113"/>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Gazette 16 Nov 1990 p. 5728; 13 Oct 1995 p. 4816; 17 Jan 2003 p. 112; 15 Aug 2003 p. 3693; 15 Jan 2010 p. 103; 18 Mar 2011 p. 925; 1 Feb 2013 p. 453.]</w:t>
      </w:r>
    </w:p>
    <w:p>
      <w:pPr>
        <w:pStyle w:val="Heading5"/>
        <w:rPr>
          <w:snapToGrid w:val="0"/>
        </w:rPr>
      </w:pPr>
      <w:bookmarkStart w:id="114" w:name="_Toc92809228"/>
      <w:r>
        <w:rPr>
          <w:rStyle w:val="CharSectno"/>
        </w:rPr>
        <w:t>38</w:t>
      </w:r>
      <w:r>
        <w:rPr>
          <w:snapToGrid w:val="0"/>
        </w:rPr>
        <w:t>.</w:t>
      </w:r>
      <w:r>
        <w:rPr>
          <w:snapToGrid w:val="0"/>
        </w:rPr>
        <w:tab/>
        <w:t>Shape of licence</w:t>
      </w:r>
      <w:bookmarkEnd w:id="114"/>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Gazette 2 Feb 2001 p. 712.]</w:t>
      </w:r>
    </w:p>
    <w:p>
      <w:pPr>
        <w:pStyle w:val="Ednotesection"/>
        <w:spacing w:before="180"/>
        <w:ind w:left="890" w:hanging="890"/>
      </w:pPr>
      <w:r>
        <w:t>[</w:t>
      </w:r>
      <w:r>
        <w:rPr>
          <w:b/>
        </w:rPr>
        <w:t>40.</w:t>
      </w:r>
      <w:r>
        <w:tab/>
        <w:t>Deleted: Gazette 13 Oct 1995 p. 4816.]</w:t>
      </w:r>
    </w:p>
    <w:p>
      <w:pPr>
        <w:pStyle w:val="Heading5"/>
        <w:spacing w:before="180"/>
        <w:rPr>
          <w:snapToGrid w:val="0"/>
        </w:rPr>
      </w:pPr>
      <w:bookmarkStart w:id="115" w:name="_Toc92809229"/>
      <w:r>
        <w:rPr>
          <w:rStyle w:val="CharSectno"/>
        </w:rPr>
        <w:t>41</w:t>
      </w:r>
      <w:r>
        <w:rPr>
          <w:snapToGrid w:val="0"/>
        </w:rPr>
        <w:t>.</w:t>
      </w:r>
      <w:r>
        <w:rPr>
          <w:snapToGrid w:val="0"/>
        </w:rPr>
        <w:tab/>
        <w:t>Covenants and conditions</w:t>
      </w:r>
      <w:bookmarkEnd w:id="115"/>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lastRenderedPageBreak/>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Gazette 2 Oct 1987 p. 3837; 3 Feb 2006 p. 519; 18 Mar 2011 p. 916.]</w:t>
      </w:r>
    </w:p>
    <w:p>
      <w:pPr>
        <w:pStyle w:val="Heading5"/>
        <w:spacing w:before="180"/>
        <w:rPr>
          <w:snapToGrid w:val="0"/>
        </w:rPr>
      </w:pPr>
      <w:bookmarkStart w:id="116" w:name="_Toc92809230"/>
      <w:r>
        <w:rPr>
          <w:rStyle w:val="CharSectno"/>
        </w:rPr>
        <w:t>42</w:t>
      </w:r>
      <w:r>
        <w:rPr>
          <w:snapToGrid w:val="0"/>
        </w:rPr>
        <w:t>.</w:t>
      </w:r>
      <w:r>
        <w:rPr>
          <w:snapToGrid w:val="0"/>
        </w:rPr>
        <w:tab/>
        <w:t>Instrument of licence</w:t>
      </w:r>
      <w:bookmarkEnd w:id="116"/>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Gazette 15 Jan 2010 p. 103.]</w:t>
      </w:r>
    </w:p>
    <w:p>
      <w:pPr>
        <w:pStyle w:val="Heading5"/>
        <w:spacing w:before="180"/>
        <w:rPr>
          <w:snapToGrid w:val="0"/>
        </w:rPr>
      </w:pPr>
      <w:bookmarkStart w:id="117" w:name="_Toc92809231"/>
      <w:r>
        <w:rPr>
          <w:rStyle w:val="CharSectno"/>
        </w:rPr>
        <w:t>42A</w:t>
      </w:r>
      <w:r>
        <w:rPr>
          <w:snapToGrid w:val="0"/>
        </w:rPr>
        <w:t>.</w:t>
      </w:r>
      <w:r>
        <w:rPr>
          <w:snapToGrid w:val="0"/>
        </w:rPr>
        <w:tab/>
        <w:t>Application for renewal (Act s. 91A or 91B)</w:t>
      </w:r>
      <w:bookmarkEnd w:id="117"/>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Ednotepara"/>
      </w:pPr>
      <w:r>
        <w:tab/>
        <w:t>[(b)</w:t>
      </w:r>
      <w:r>
        <w:tab/>
        <w:t>deleted]</w:t>
      </w:r>
    </w:p>
    <w:p>
      <w:pPr>
        <w:pStyle w:val="Indenta"/>
        <w:rPr>
          <w:snapToGrid w:val="0"/>
        </w:rPr>
      </w:pPr>
      <w:r>
        <w:rPr>
          <w:snapToGrid w:val="0"/>
        </w:rPr>
        <w:tab/>
        <w:t>(c)</w:t>
      </w:r>
      <w:r>
        <w:rPr>
          <w:snapToGrid w:val="0"/>
        </w:rPr>
        <w:tab/>
        <w:t>lodged at any time during the final year of the term of that licence.</w:t>
      </w:r>
    </w:p>
    <w:p>
      <w:pPr>
        <w:pStyle w:val="Subsection"/>
        <w:keepNext/>
      </w:pPr>
      <w:r>
        <w:lastRenderedPageBreak/>
        <w:tab/>
        <w:t>(2)</w:t>
      </w:r>
      <w:r>
        <w:tab/>
        <w:t xml:space="preserve">If the licence is continued in force under the Act pending the determination of the application and the application is refused — </w:t>
      </w:r>
    </w:p>
    <w:p>
      <w:pPr>
        <w:pStyle w:val="Indenta"/>
      </w:pPr>
      <w:r>
        <w:tab/>
        <w:t>(a)</w:t>
      </w:r>
      <w:r>
        <w:tab/>
        <w:t>if the prescribed rent has been paid under regulation 109(4) — a pro rata refund of rent is to be paid to the applicant in respect of each whole month of the remaining period for which rent has been paid commencing on the day on which the application is refused;</w:t>
      </w:r>
    </w:p>
    <w:p>
      <w:pPr>
        <w:pStyle w:val="Indenta"/>
      </w:pPr>
      <w:r>
        <w:tab/>
        <w:t>(b)</w:t>
      </w:r>
      <w:r>
        <w:tab/>
        <w:t>if the prescribed rent has not been paid under regulation 109(4) — rent is to be paid by the applicant in respect of each whole month from the last anniversary date of the commencement of the term of the licence until and including the month during which the application is refused.</w:t>
      </w:r>
    </w:p>
    <w:p>
      <w:pPr>
        <w:pStyle w:val="Footnotesection"/>
        <w:ind w:left="890" w:hanging="890"/>
      </w:pPr>
      <w:r>
        <w:tab/>
        <w:t>[Regulation 42A inserted: Gazette 2 Oct 1987 p. 3817; amended: Gazette 11 Jun 1999 p. 2544; 2 Feb 2001 p. 712; 15 Jan 2010 p. 104; 18 Mar 2011 p. 925; 1 Feb 2013 p. 453; 13 Dec 2019 p. 4235.]</w:t>
      </w:r>
    </w:p>
    <w:p>
      <w:pPr>
        <w:pStyle w:val="Heading5"/>
        <w:keepLines w:val="0"/>
        <w:spacing w:before="240"/>
        <w:rPr>
          <w:snapToGrid w:val="0"/>
        </w:rPr>
      </w:pPr>
      <w:bookmarkStart w:id="118" w:name="_Toc92809232"/>
      <w:r>
        <w:rPr>
          <w:rStyle w:val="CharSectno"/>
        </w:rPr>
        <w:t>42B</w:t>
      </w:r>
      <w:r>
        <w:rPr>
          <w:snapToGrid w:val="0"/>
        </w:rPr>
        <w:t>.</w:t>
      </w:r>
      <w:r>
        <w:rPr>
          <w:snapToGrid w:val="0"/>
        </w:rPr>
        <w:tab/>
        <w:t>Prescribed purposes (Act s. 91(1))</w:t>
      </w:r>
      <w:bookmarkEnd w:id="118"/>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keepNext/>
        <w:rPr>
          <w:snapToGrid w:val="0"/>
        </w:rPr>
      </w:pPr>
      <w:r>
        <w:rPr>
          <w:snapToGrid w:val="0"/>
        </w:rPr>
        <w:lastRenderedPageBreak/>
        <w:tab/>
        <w:t>(h)</w:t>
      </w:r>
      <w:r>
        <w:rPr>
          <w:snapToGrid w:val="0"/>
        </w:rPr>
        <w:tab/>
        <w:t>a bridge;</w:t>
      </w:r>
    </w:p>
    <w:p>
      <w:pPr>
        <w:pStyle w:val="Indenta"/>
        <w:keepNext/>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Gazette 13 Oct 1995 p. 4817; amended: Gazette 4 Apr 1997 p. 1778; 1 Aug 2008 p. 3456.]</w:t>
      </w:r>
    </w:p>
    <w:p>
      <w:pPr>
        <w:pStyle w:val="Heading3"/>
        <w:keepNext w:val="0"/>
        <w:spacing w:before="280"/>
      </w:pPr>
      <w:bookmarkStart w:id="119" w:name="_Toc92799351"/>
      <w:bookmarkStart w:id="120" w:name="_Toc92799765"/>
      <w:bookmarkStart w:id="121" w:name="_Toc92809233"/>
      <w:r>
        <w:rPr>
          <w:rStyle w:val="CharDivNo"/>
        </w:rPr>
        <w:t>Division 6</w:t>
      </w:r>
      <w:r>
        <w:rPr>
          <w:snapToGrid w:val="0"/>
        </w:rPr>
        <w:t> — </w:t>
      </w:r>
      <w:r>
        <w:rPr>
          <w:rStyle w:val="CharDivText"/>
        </w:rPr>
        <w:t>Surrenders and forfeitures</w:t>
      </w:r>
      <w:bookmarkEnd w:id="119"/>
      <w:bookmarkEnd w:id="120"/>
      <w:bookmarkEnd w:id="121"/>
    </w:p>
    <w:p>
      <w:pPr>
        <w:pStyle w:val="Heading5"/>
        <w:spacing w:before="240"/>
        <w:rPr>
          <w:snapToGrid w:val="0"/>
        </w:rPr>
      </w:pPr>
      <w:bookmarkStart w:id="122" w:name="_Toc92809234"/>
      <w:r>
        <w:rPr>
          <w:rStyle w:val="CharSectno"/>
        </w:rPr>
        <w:t>43</w:t>
      </w:r>
      <w:r>
        <w:rPr>
          <w:snapToGrid w:val="0"/>
        </w:rPr>
        <w:t>.</w:t>
      </w:r>
      <w:r>
        <w:rPr>
          <w:snapToGrid w:val="0"/>
        </w:rPr>
        <w:tab/>
        <w:t>Surrender of tenement (Act s. 95)</w:t>
      </w:r>
      <w:bookmarkEnd w:id="122"/>
    </w:p>
    <w:p>
      <w:pPr>
        <w:pStyle w:val="Subsection"/>
        <w:rPr>
          <w:snapToGrid w:val="0"/>
        </w:rPr>
      </w:pPr>
      <w:r>
        <w:rPr>
          <w:snapToGrid w:val="0"/>
        </w:rPr>
        <w:tab/>
        <w:t>(1)</w:t>
      </w:r>
      <w:r>
        <w:rPr>
          <w:snapToGrid w:val="0"/>
        </w:rPr>
        <w:tab/>
        <w:t xml:space="preserve">The holder of a mining tenement wishing to surrender in whole such tenement </w:t>
      </w:r>
      <w:r>
        <w:t xml:space="preserve">must execute and lodge a </w:t>
      </w:r>
      <w:r>
        <w:rPr>
          <w:snapToGrid w:val="0"/>
        </w:rPr>
        <w:t xml:space="preserve">surrender in the form </w:t>
      </w:r>
      <w:r>
        <w:t>of Form 12.</w:t>
      </w:r>
    </w:p>
    <w:p>
      <w:pPr>
        <w:pStyle w:val="Subsection"/>
        <w:rPr>
          <w:snapToGrid w:val="0"/>
        </w:rPr>
      </w:pPr>
      <w:r>
        <w:rPr>
          <w:snapToGrid w:val="0"/>
        </w:rPr>
        <w:lastRenderedPageBreak/>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Gazette 12 Nov 1982 p. 4490; 15 Jan 2010 p. 104; 13 Dec 2019 p. 4235.]</w:t>
      </w:r>
    </w:p>
    <w:p>
      <w:pPr>
        <w:pStyle w:val="Heading5"/>
        <w:rPr>
          <w:snapToGrid w:val="0"/>
        </w:rPr>
      </w:pPr>
      <w:bookmarkStart w:id="123" w:name="_Toc92809235"/>
      <w:r>
        <w:rPr>
          <w:rStyle w:val="CharSectno"/>
        </w:rPr>
        <w:t>44</w:t>
      </w:r>
      <w:r>
        <w:rPr>
          <w:snapToGrid w:val="0"/>
        </w:rPr>
        <w:t>.</w:t>
      </w:r>
      <w:r>
        <w:rPr>
          <w:snapToGrid w:val="0"/>
        </w:rPr>
        <w:tab/>
        <w:t>Shape of tenement after partial surrender (Act s. 95)</w:t>
      </w:r>
      <w:bookmarkEnd w:id="123"/>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Gazette 12 Nov 1982 p. 4490; 31 May 1991 p. 2697</w:t>
      </w:r>
      <w:r>
        <w:noBreakHyphen/>
        <w:t>8; 9 Nov 2012 p. 5400.]</w:t>
      </w:r>
    </w:p>
    <w:p>
      <w:pPr>
        <w:pStyle w:val="Heading5"/>
        <w:spacing w:before="240"/>
        <w:rPr>
          <w:snapToGrid w:val="0"/>
        </w:rPr>
      </w:pPr>
      <w:bookmarkStart w:id="124" w:name="_Toc92809236"/>
      <w:r>
        <w:rPr>
          <w:rStyle w:val="CharSectno"/>
        </w:rPr>
        <w:lastRenderedPageBreak/>
        <w:t>45</w:t>
      </w:r>
      <w:r>
        <w:rPr>
          <w:snapToGrid w:val="0"/>
        </w:rPr>
        <w:t>.</w:t>
      </w:r>
      <w:r>
        <w:rPr>
          <w:snapToGrid w:val="0"/>
        </w:rPr>
        <w:tab/>
        <w:t>Marking out etc. required for partial surrender</w:t>
      </w:r>
      <w:bookmarkEnd w:id="124"/>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 xml:space="preserve">shall be executed and lodged with </w:t>
      </w:r>
      <w:r>
        <w:t>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ind w:left="890" w:hanging="890"/>
      </w:pPr>
      <w:r>
        <w:lastRenderedPageBreak/>
        <w:tab/>
        <w:t>[Regulation 45 amended: Gazette 15 Jun 1984 p. 1655; 20 Jun 1986 p. 2084; 26 Jun 1987 p. 2526; 2 Oct 1987 p. 3817; 16 Nov 1990 p. 5728; 31 May 1991 p. 2698 (corrigendum: Gazette 7 Jun 1991 p. 2836); 21 Jun 1991 p. 3055; 24 Jun 1994 p. 2931; 17 Jan 2003 p. 106; 15 Jan 2010 p. 104; 13 Dec 2019 p. 4236.]</w:t>
      </w:r>
    </w:p>
    <w:p>
      <w:pPr>
        <w:pStyle w:val="Heading5"/>
        <w:rPr>
          <w:snapToGrid w:val="0"/>
        </w:rPr>
      </w:pPr>
      <w:bookmarkStart w:id="125" w:name="_Toc92809237"/>
      <w:r>
        <w:rPr>
          <w:rStyle w:val="CharSectno"/>
        </w:rPr>
        <w:t>46</w:t>
      </w:r>
      <w:r>
        <w:rPr>
          <w:snapToGrid w:val="0"/>
        </w:rPr>
        <w:t>.</w:t>
      </w:r>
      <w:r>
        <w:rPr>
          <w:snapToGrid w:val="0"/>
        </w:rPr>
        <w:tab/>
        <w:t>Partial surrender to be endorsed on instrument of lease or licence</w:t>
      </w:r>
      <w:bookmarkEnd w:id="125"/>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6" w:name="_Toc92809238"/>
      <w:r>
        <w:rPr>
          <w:rStyle w:val="CharSectno"/>
        </w:rPr>
        <w:t>47</w:t>
      </w:r>
      <w:r>
        <w:rPr>
          <w:snapToGrid w:val="0"/>
        </w:rPr>
        <w:t>.</w:t>
      </w:r>
      <w:r>
        <w:rPr>
          <w:snapToGrid w:val="0"/>
        </w:rPr>
        <w:tab/>
        <w:t>Consent of mortgagee to surrender</w:t>
      </w:r>
      <w:bookmarkEnd w:id="126"/>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Gazette 31 May 1991 p. 2698.]</w:t>
      </w:r>
    </w:p>
    <w:p>
      <w:pPr>
        <w:pStyle w:val="Heading5"/>
        <w:rPr>
          <w:snapToGrid w:val="0"/>
        </w:rPr>
      </w:pPr>
      <w:bookmarkStart w:id="127" w:name="_Toc92809239"/>
      <w:r>
        <w:rPr>
          <w:rStyle w:val="CharSectno"/>
        </w:rPr>
        <w:t>47A</w:t>
      </w:r>
      <w:r>
        <w:rPr>
          <w:snapToGrid w:val="0"/>
        </w:rPr>
        <w:t>.</w:t>
      </w:r>
      <w:r>
        <w:rPr>
          <w:snapToGrid w:val="0"/>
        </w:rPr>
        <w:tab/>
        <w:t>Refund where conditional surrender of mining lease or general purpose lease</w:t>
      </w:r>
      <w:bookmarkEnd w:id="127"/>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lastRenderedPageBreak/>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Gazette 13 Oct 1995 p. 4817.]</w:t>
      </w:r>
    </w:p>
    <w:p>
      <w:pPr>
        <w:pStyle w:val="Ednotesection"/>
        <w:spacing w:before="180"/>
      </w:pPr>
      <w:r>
        <w:t>[</w:t>
      </w:r>
      <w:r>
        <w:rPr>
          <w:b/>
          <w:bCs/>
        </w:rPr>
        <w:t>48.</w:t>
      </w:r>
      <w:r>
        <w:tab/>
        <w:t>Deleted: Gazette 9 Mar 2007 p. 868.]</w:t>
      </w:r>
    </w:p>
    <w:p>
      <w:pPr>
        <w:pStyle w:val="Heading5"/>
        <w:spacing w:before="180"/>
        <w:rPr>
          <w:snapToGrid w:val="0"/>
        </w:rPr>
      </w:pPr>
      <w:bookmarkStart w:id="128" w:name="_Toc92809240"/>
      <w:r>
        <w:rPr>
          <w:rStyle w:val="CharSectno"/>
        </w:rPr>
        <w:t>49</w:t>
      </w:r>
      <w:r>
        <w:rPr>
          <w:snapToGrid w:val="0"/>
        </w:rPr>
        <w:t>.</w:t>
      </w:r>
      <w:r>
        <w:rPr>
          <w:snapToGrid w:val="0"/>
        </w:rPr>
        <w:tab/>
        <w:t>Forfeiture for non</w:t>
      </w:r>
      <w:r>
        <w:rPr>
          <w:snapToGrid w:val="0"/>
        </w:rPr>
        <w:noBreakHyphen/>
        <w:t>payment of rent etc. (Act s. 96(1))</w:t>
      </w:r>
      <w:bookmarkEnd w:id="128"/>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lastRenderedPageBreak/>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Gazette 24 Dec 1993 p. 6828; 9 Mar 2007 p. 868</w:t>
      </w:r>
      <w:r>
        <w:noBreakHyphen/>
        <w:t>9; 15 Jan 2010 p. 105; 18 Mar 2011 p. 925.]</w:t>
      </w:r>
    </w:p>
    <w:p>
      <w:pPr>
        <w:pStyle w:val="Heading5"/>
        <w:rPr>
          <w:snapToGrid w:val="0"/>
        </w:rPr>
      </w:pPr>
      <w:bookmarkStart w:id="129" w:name="_Toc92809241"/>
      <w:r>
        <w:rPr>
          <w:rStyle w:val="CharSectno"/>
        </w:rPr>
        <w:t>50</w:t>
      </w:r>
      <w:r>
        <w:rPr>
          <w:snapToGrid w:val="0"/>
        </w:rPr>
        <w:t>.</w:t>
      </w:r>
      <w:r>
        <w:rPr>
          <w:snapToGrid w:val="0"/>
        </w:rPr>
        <w:tab/>
        <w:t>Notice to holder of mining tenement of intended forfeiture</w:t>
      </w:r>
      <w:bookmarkEnd w:id="12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Gazette 24 Jun 1994 p. 2931; 9 Mar 2007 p. 869.]</w:t>
      </w:r>
    </w:p>
    <w:p>
      <w:pPr>
        <w:pStyle w:val="Heading5"/>
        <w:rPr>
          <w:snapToGrid w:val="0"/>
        </w:rPr>
      </w:pPr>
      <w:bookmarkStart w:id="130" w:name="_Toc92809242"/>
      <w:r>
        <w:rPr>
          <w:rStyle w:val="CharSectno"/>
        </w:rPr>
        <w:lastRenderedPageBreak/>
        <w:t>51</w:t>
      </w:r>
      <w:r>
        <w:rPr>
          <w:snapToGrid w:val="0"/>
        </w:rPr>
        <w:t>.</w:t>
      </w:r>
      <w:r>
        <w:rPr>
          <w:snapToGrid w:val="0"/>
        </w:rPr>
        <w:tab/>
        <w:t>Application for restoration of tenement (Act s. 97A)</w:t>
      </w:r>
      <w:bookmarkEnd w:id="130"/>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keepNext/>
      </w:pPr>
      <w:r>
        <w:tab/>
        <w:t>(d)</w:t>
      </w:r>
      <w:r>
        <w:tab/>
        <w:t>made within 30 days of the forfeiture of the mining tenement.</w:t>
      </w:r>
    </w:p>
    <w:p>
      <w:pPr>
        <w:pStyle w:val="Footnotesection"/>
      </w:pPr>
      <w:r>
        <w:tab/>
        <w:t>[Regulation 51 inserted: Gazette 2 Oct 1987 p. 3818; amended: Gazette 24 Jun 1994 p. 2931; 15 Jan 2010 p. 105; 18 Mar 2011 p. 916; 1 Feb 2013 p. 453.]</w:t>
      </w:r>
    </w:p>
    <w:p>
      <w:pPr>
        <w:pStyle w:val="Heading5"/>
        <w:spacing w:before="120"/>
        <w:rPr>
          <w:snapToGrid w:val="0"/>
        </w:rPr>
      </w:pPr>
      <w:bookmarkStart w:id="131" w:name="_Toc92809243"/>
      <w:r>
        <w:rPr>
          <w:rStyle w:val="CharSectno"/>
        </w:rPr>
        <w:t>51A</w:t>
      </w:r>
      <w:r>
        <w:rPr>
          <w:snapToGrid w:val="0"/>
        </w:rPr>
        <w:t>.</w:t>
      </w:r>
      <w:r>
        <w:rPr>
          <w:snapToGrid w:val="0"/>
        </w:rPr>
        <w:tab/>
        <w:t>Notice of application for restoration (Act s. 97A)</w:t>
      </w:r>
      <w:bookmarkEnd w:id="131"/>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Gazette 2 Oct 1987 p. 3818; amended: Gazette 15 Jan 2010 p. 105.]</w:t>
      </w:r>
    </w:p>
    <w:p>
      <w:pPr>
        <w:pStyle w:val="Ednotesection"/>
        <w:ind w:left="890" w:hanging="890"/>
      </w:pPr>
      <w:r>
        <w:t>[</w:t>
      </w:r>
      <w:r>
        <w:rPr>
          <w:b/>
          <w:bCs/>
        </w:rPr>
        <w:t>51B.</w:t>
      </w:r>
      <w:r>
        <w:tab/>
        <w:t>Deleted: Gazette 9 Mar 2007 p. 869.]</w:t>
      </w:r>
    </w:p>
    <w:p>
      <w:pPr>
        <w:pStyle w:val="Heading5"/>
        <w:spacing w:before="120"/>
        <w:rPr>
          <w:snapToGrid w:val="0"/>
        </w:rPr>
      </w:pPr>
      <w:bookmarkStart w:id="132" w:name="_Toc92809244"/>
      <w:r>
        <w:rPr>
          <w:rStyle w:val="CharSectno"/>
        </w:rPr>
        <w:t>52</w:t>
      </w:r>
      <w:r>
        <w:rPr>
          <w:snapToGrid w:val="0"/>
        </w:rPr>
        <w:t>.</w:t>
      </w:r>
      <w:r>
        <w:rPr>
          <w:snapToGrid w:val="0"/>
        </w:rPr>
        <w:tab/>
        <w:t>Reduced expenditure where forfeiture plaint lodged</w:t>
      </w:r>
      <w:bookmarkEnd w:id="132"/>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Gazette 16 Nov 1990 p. 5728; amended: Gazette 3 Feb 2006 p. 592; 9 Mar 2007 p. 870; 15 Jan 2010 p. 105.]</w:t>
      </w:r>
    </w:p>
    <w:p>
      <w:pPr>
        <w:pStyle w:val="Heading5"/>
        <w:spacing w:before="120"/>
      </w:pPr>
      <w:bookmarkStart w:id="133" w:name="_Toc92809245"/>
      <w:r>
        <w:rPr>
          <w:rStyle w:val="CharSectno"/>
        </w:rPr>
        <w:lastRenderedPageBreak/>
        <w:t>53</w:t>
      </w:r>
      <w:r>
        <w:t>.</w:t>
      </w:r>
      <w:r>
        <w:tab/>
        <w:t>Reduced expenditure where forfeiture cancelled</w:t>
      </w:r>
      <w:bookmarkEnd w:id="133"/>
    </w:p>
    <w:p>
      <w:pPr>
        <w:pStyle w:val="Subsection"/>
        <w:keepNext/>
        <w:spacing w:before="100"/>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Gazette 9 Mar 2007 p. 870.]</w:t>
      </w:r>
    </w:p>
    <w:p>
      <w:pPr>
        <w:pStyle w:val="Heading3"/>
      </w:pPr>
      <w:bookmarkStart w:id="134" w:name="_Toc92799364"/>
      <w:bookmarkStart w:id="135" w:name="_Toc92799778"/>
      <w:bookmarkStart w:id="136" w:name="_Toc92809246"/>
      <w:r>
        <w:rPr>
          <w:rStyle w:val="CharDivNo"/>
        </w:rPr>
        <w:t>Division 7</w:t>
      </w:r>
      <w:r>
        <w:rPr>
          <w:snapToGrid w:val="0"/>
        </w:rPr>
        <w:t> — </w:t>
      </w:r>
      <w:r>
        <w:rPr>
          <w:rStyle w:val="CharDivText"/>
        </w:rPr>
        <w:t>Exemptions</w:t>
      </w:r>
      <w:bookmarkEnd w:id="134"/>
      <w:bookmarkEnd w:id="135"/>
      <w:bookmarkEnd w:id="136"/>
    </w:p>
    <w:p>
      <w:pPr>
        <w:pStyle w:val="Heading5"/>
        <w:rPr>
          <w:snapToGrid w:val="0"/>
        </w:rPr>
      </w:pPr>
      <w:bookmarkStart w:id="137" w:name="_Toc92809247"/>
      <w:r>
        <w:rPr>
          <w:rStyle w:val="CharSectno"/>
        </w:rPr>
        <w:t>54</w:t>
      </w:r>
      <w:r>
        <w:rPr>
          <w:snapToGrid w:val="0"/>
        </w:rPr>
        <w:t>.</w:t>
      </w:r>
      <w:r>
        <w:rPr>
          <w:snapToGrid w:val="0"/>
        </w:rPr>
        <w:tab/>
        <w:t>Application for certificate of exemption (Act s. 102)</w:t>
      </w:r>
      <w:bookmarkEnd w:id="137"/>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rStyle w:val="DraftersNotes"/>
          <w:b w:val="0"/>
          <w:i w:val="0"/>
        </w:rPr>
      </w:pPr>
      <w:r>
        <w:tab/>
        <w:t>(1B)</w:t>
      </w:r>
      <w:r>
        <w:tab/>
        <w:t>A copy of a Form 18 lodged under section 102 must be published on the Department’s website.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Ednotesubsection"/>
      </w:pPr>
      <w:r>
        <w:tab/>
        <w:t>[(4)</w:t>
      </w:r>
      <w:r>
        <w:tab/>
        <w:t>deleted]</w:t>
      </w:r>
    </w:p>
    <w:p>
      <w:pPr>
        <w:pStyle w:val="Footnotesection"/>
        <w:ind w:left="890" w:hanging="890"/>
      </w:pPr>
      <w:r>
        <w:lastRenderedPageBreak/>
        <w:tab/>
        <w:t>[Regulation 54 inserted: Gazette 2 Oct 1987 p. 3818; amended: Gazette 31 May 1991 p. 2698; 13 Oct 1995 p. 4818; 4 Apr 1997 p. 1778; 17 Jan 2003 p. 113; 15 Jan 2010 p. 106; 18 Mar 2011 p. 916; 1 Feb 2013 p. 453; SL 2020/108 r. 4.]</w:t>
      </w:r>
    </w:p>
    <w:p>
      <w:pPr>
        <w:pStyle w:val="Ednotesection"/>
      </w:pPr>
      <w:r>
        <w:t>[</w:t>
      </w:r>
      <w:r>
        <w:rPr>
          <w:b/>
          <w:bCs/>
        </w:rPr>
        <w:t>55.</w:t>
      </w:r>
      <w:r>
        <w:tab/>
        <w:t>Deleted: SL 2020/108 r. 6.]</w:t>
      </w:r>
    </w:p>
    <w:p>
      <w:pPr>
        <w:pStyle w:val="Ednotesection"/>
      </w:pPr>
      <w:r>
        <w:t>[</w:t>
      </w:r>
      <w:r>
        <w:rPr>
          <w:b/>
          <w:bCs/>
        </w:rPr>
        <w:t>56.</w:t>
      </w:r>
      <w:r>
        <w:tab/>
        <w:t>Deleted: Gazette 9 Mar 2007 p. 870.]</w:t>
      </w:r>
    </w:p>
    <w:p>
      <w:pPr>
        <w:pStyle w:val="Ednotesection"/>
      </w:pPr>
      <w:r>
        <w:t>[</w:t>
      </w:r>
      <w:r>
        <w:rPr>
          <w:b/>
        </w:rPr>
        <w:t>57.</w:t>
      </w:r>
      <w:r>
        <w:tab/>
        <w:t>Deleted: Gazette 2 Oct 1987 p. 3818.]</w:t>
      </w:r>
    </w:p>
    <w:p>
      <w:pPr>
        <w:pStyle w:val="Heading5"/>
        <w:rPr>
          <w:snapToGrid w:val="0"/>
        </w:rPr>
      </w:pPr>
      <w:bookmarkStart w:id="138" w:name="_Toc92809248"/>
      <w:r>
        <w:rPr>
          <w:rStyle w:val="CharSectno"/>
        </w:rPr>
        <w:t>58</w:t>
      </w:r>
      <w:r>
        <w:rPr>
          <w:snapToGrid w:val="0"/>
        </w:rPr>
        <w:t>.</w:t>
      </w:r>
      <w:r>
        <w:rPr>
          <w:snapToGrid w:val="0"/>
        </w:rPr>
        <w:tab/>
        <w:t>Certificate of exemption (Act s. 102 or 102A)</w:t>
      </w:r>
      <w:bookmarkEnd w:id="13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Gazette 2 Oct 1987 p. 3819; 15 Jan 2010 p. 106.]</w:t>
      </w:r>
    </w:p>
    <w:p>
      <w:pPr>
        <w:pStyle w:val="Heading5"/>
      </w:pPr>
      <w:bookmarkStart w:id="139" w:name="_Toc92809249"/>
      <w:r>
        <w:rPr>
          <w:rStyle w:val="CharSectno"/>
        </w:rPr>
        <w:t>58A</w:t>
      </w:r>
      <w:r>
        <w:t>.</w:t>
      </w:r>
      <w:r>
        <w:tab/>
        <w:t>Aggregate exploration expenditure (Act s. 102(2a))</w:t>
      </w:r>
      <w:bookmarkEnd w:id="139"/>
    </w:p>
    <w:p>
      <w:pPr>
        <w:pStyle w:val="Subsection"/>
        <w:keepNext/>
      </w:pPr>
      <w:r>
        <w:tab/>
        <w:t>(1)</w:t>
      </w:r>
      <w:r>
        <w:tab/>
        <w:t>In this regulation —</w:t>
      </w:r>
    </w:p>
    <w:p>
      <w:pPr>
        <w:pStyle w:val="Defstart"/>
        <w:keepNex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Gazette 3 Feb 2006 p. 593.]</w:t>
      </w:r>
    </w:p>
    <w:p>
      <w:pPr>
        <w:pStyle w:val="Heading2"/>
      </w:pPr>
      <w:bookmarkStart w:id="140" w:name="_Toc92799368"/>
      <w:bookmarkStart w:id="141" w:name="_Toc92799782"/>
      <w:bookmarkStart w:id="142" w:name="_Toc92809250"/>
      <w:r>
        <w:rPr>
          <w:rStyle w:val="CharPartNo"/>
        </w:rPr>
        <w:lastRenderedPageBreak/>
        <w:t>Part V</w:t>
      </w:r>
      <w:r>
        <w:t> — </w:t>
      </w:r>
      <w:r>
        <w:rPr>
          <w:rStyle w:val="CharPartText"/>
        </w:rPr>
        <w:t>General regulations</w:t>
      </w:r>
      <w:bookmarkEnd w:id="140"/>
      <w:bookmarkEnd w:id="141"/>
      <w:bookmarkEnd w:id="142"/>
    </w:p>
    <w:p>
      <w:pPr>
        <w:pStyle w:val="Heading3"/>
      </w:pPr>
      <w:bookmarkStart w:id="143" w:name="_Toc92799369"/>
      <w:bookmarkStart w:id="144" w:name="_Toc92799783"/>
      <w:bookmarkStart w:id="145" w:name="_Toc92809251"/>
      <w:r>
        <w:rPr>
          <w:rStyle w:val="CharDivNo"/>
        </w:rPr>
        <w:t>Division 1A</w:t>
      </w:r>
      <w:r>
        <w:t> — </w:t>
      </w:r>
      <w:r>
        <w:rPr>
          <w:rStyle w:val="CharDivText"/>
        </w:rPr>
        <w:t>Lodging, filing documents</w:t>
      </w:r>
      <w:bookmarkEnd w:id="143"/>
      <w:bookmarkEnd w:id="144"/>
      <w:bookmarkEnd w:id="145"/>
    </w:p>
    <w:p>
      <w:pPr>
        <w:pStyle w:val="Footnoteheading"/>
      </w:pPr>
      <w:r>
        <w:tab/>
        <w:t xml:space="preserve">[Heading inserted: Gazette 18 Mar 2011 p. 916.] </w:t>
      </w:r>
    </w:p>
    <w:p>
      <w:pPr>
        <w:pStyle w:val="Heading5"/>
      </w:pPr>
      <w:bookmarkStart w:id="146" w:name="_Toc92809252"/>
      <w:r>
        <w:rPr>
          <w:rStyle w:val="CharSectno"/>
        </w:rPr>
        <w:t>59A</w:t>
      </w:r>
      <w:r>
        <w:t>.</w:t>
      </w:r>
      <w:r>
        <w:tab/>
        <w:t>Prescribed manner of lodging, filing documents</w:t>
      </w:r>
      <w:bookmarkEnd w:id="14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Gazette 18 Mar 2011 p. 916</w:t>
      </w:r>
      <w:r>
        <w:noBreakHyphen/>
        <w:t>17.]</w:t>
      </w:r>
    </w:p>
    <w:p>
      <w:pPr>
        <w:pStyle w:val="Heading5"/>
      </w:pPr>
      <w:bookmarkStart w:id="147" w:name="_Toc92809253"/>
      <w:r>
        <w:rPr>
          <w:rStyle w:val="CharSectno"/>
        </w:rPr>
        <w:t>59B</w:t>
      </w:r>
      <w:r>
        <w:t>.</w:t>
      </w:r>
      <w:r>
        <w:tab/>
        <w:t>Lodging mining tenement documents through Department’s website</w:t>
      </w:r>
      <w:bookmarkEnd w:id="14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lastRenderedPageBreak/>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Gazette 18 Mar 2011 p. 917.]</w:t>
      </w:r>
    </w:p>
    <w:p>
      <w:pPr>
        <w:pStyle w:val="Heading3"/>
      </w:pPr>
      <w:bookmarkStart w:id="148" w:name="_Toc92799372"/>
      <w:bookmarkStart w:id="149" w:name="_Toc92799786"/>
      <w:bookmarkStart w:id="150" w:name="_Toc92809254"/>
      <w:r>
        <w:rPr>
          <w:rStyle w:val="CharDivNo"/>
        </w:rPr>
        <w:t>Division 1</w:t>
      </w:r>
      <w:r>
        <w:rPr>
          <w:snapToGrid w:val="0"/>
        </w:rPr>
        <w:t> — </w:t>
      </w:r>
      <w:r>
        <w:rPr>
          <w:rStyle w:val="CharDivText"/>
        </w:rPr>
        <w:t>Marking out mining tenements</w:t>
      </w:r>
      <w:bookmarkEnd w:id="148"/>
      <w:bookmarkEnd w:id="149"/>
      <w:bookmarkEnd w:id="150"/>
    </w:p>
    <w:p>
      <w:pPr>
        <w:pStyle w:val="Heading5"/>
        <w:spacing w:before="240"/>
        <w:rPr>
          <w:snapToGrid w:val="0"/>
        </w:rPr>
      </w:pPr>
      <w:bookmarkStart w:id="151" w:name="_Toc92809255"/>
      <w:r>
        <w:rPr>
          <w:rStyle w:val="CharSectno"/>
        </w:rPr>
        <w:t>59</w:t>
      </w:r>
      <w:r>
        <w:rPr>
          <w:snapToGrid w:val="0"/>
        </w:rPr>
        <w:t>.</w:t>
      </w:r>
      <w:r>
        <w:rPr>
          <w:snapToGrid w:val="0"/>
        </w:rPr>
        <w:tab/>
        <w:t>Manner of marking out tenement (Act s. 105)</w:t>
      </w:r>
      <w:bookmarkEnd w:id="1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 xml:space="preserve">Where the land adjoins other land in respect of which the same person is seeking or holds a mining tenement, common posts </w:t>
      </w:r>
      <w:r>
        <w:rPr>
          <w:snapToGrid w:val="0"/>
        </w:rPr>
        <w:lastRenderedPageBreak/>
        <w:t>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Gazette 16 Nov 1990 p. 5728; amended: Gazette 2 Jul 1993 p. 3271; 15 Aug 2003 p. 3693; 15 Jan 2010 p. 106; 1 Feb 2013 p. 453.]</w:t>
      </w:r>
    </w:p>
    <w:p>
      <w:pPr>
        <w:pStyle w:val="Heading5"/>
        <w:rPr>
          <w:snapToGrid w:val="0"/>
        </w:rPr>
      </w:pPr>
      <w:bookmarkStart w:id="152" w:name="_Toc92809256"/>
      <w:r>
        <w:rPr>
          <w:rStyle w:val="CharSectno"/>
        </w:rPr>
        <w:t>60</w:t>
      </w:r>
      <w:r>
        <w:rPr>
          <w:snapToGrid w:val="0"/>
        </w:rPr>
        <w:t>.</w:t>
      </w:r>
      <w:r>
        <w:rPr>
          <w:snapToGrid w:val="0"/>
        </w:rPr>
        <w:tab/>
        <w:t>Stones used to support posts</w:t>
      </w:r>
      <w:bookmarkEnd w:id="152"/>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Gazette 2 Jul 1993 p. 3271.]</w:t>
      </w:r>
    </w:p>
    <w:p>
      <w:pPr>
        <w:pStyle w:val="Heading5"/>
        <w:rPr>
          <w:snapToGrid w:val="0"/>
        </w:rPr>
      </w:pPr>
      <w:bookmarkStart w:id="153" w:name="_Toc92809257"/>
      <w:r>
        <w:rPr>
          <w:rStyle w:val="CharSectno"/>
        </w:rPr>
        <w:t>61</w:t>
      </w:r>
      <w:r>
        <w:rPr>
          <w:snapToGrid w:val="0"/>
        </w:rPr>
        <w:t>.</w:t>
      </w:r>
      <w:r>
        <w:rPr>
          <w:snapToGrid w:val="0"/>
        </w:rPr>
        <w:tab/>
        <w:t>Marking out surveyed land</w:t>
      </w:r>
      <w:bookmarkEnd w:id="153"/>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Gazette 2 Oct 1987 p. 3819; 2 Jul 1993 p. 3271; 15 Jan 2010 p. 106.]</w:t>
      </w:r>
    </w:p>
    <w:p>
      <w:pPr>
        <w:pStyle w:val="Heading5"/>
        <w:keepLines w:val="0"/>
        <w:rPr>
          <w:snapToGrid w:val="0"/>
        </w:rPr>
      </w:pPr>
      <w:bookmarkStart w:id="154" w:name="_Toc92809258"/>
      <w:r>
        <w:rPr>
          <w:rStyle w:val="CharSectno"/>
        </w:rPr>
        <w:t>62</w:t>
      </w:r>
      <w:r>
        <w:rPr>
          <w:snapToGrid w:val="0"/>
        </w:rPr>
        <w:t>.</w:t>
      </w:r>
      <w:r>
        <w:rPr>
          <w:snapToGrid w:val="0"/>
        </w:rPr>
        <w:tab/>
        <w:t>Surplus land may be applied for by others</w:t>
      </w:r>
      <w:bookmarkEnd w:id="154"/>
    </w:p>
    <w:p>
      <w:pPr>
        <w:pStyle w:val="Subsection"/>
        <w:rPr>
          <w:snapToGrid w:val="0"/>
        </w:rPr>
      </w:pPr>
      <w:r>
        <w:rPr>
          <w:snapToGrid w:val="0"/>
        </w:rPr>
        <w:tab/>
        <w:t>(1)</w:t>
      </w:r>
      <w:r>
        <w:rPr>
          <w:snapToGrid w:val="0"/>
        </w:rPr>
        <w:tab/>
        <w:t xml:space="preserve">A person who makes an application for a mining tenement which is marked out to comprise an area in excess of the maximum area provided in the Act for such tenement is, before </w:t>
      </w:r>
      <w:r>
        <w:rPr>
          <w:snapToGrid w:val="0"/>
        </w:rPr>
        <w:lastRenderedPageBreak/>
        <w:t>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Gazette 11 Jun 1999 p. 2544.]</w:t>
      </w:r>
    </w:p>
    <w:p>
      <w:pPr>
        <w:pStyle w:val="Heading5"/>
        <w:spacing w:before="240"/>
        <w:rPr>
          <w:snapToGrid w:val="0"/>
        </w:rPr>
      </w:pPr>
      <w:bookmarkStart w:id="155" w:name="_Toc92809259"/>
      <w:r>
        <w:rPr>
          <w:rStyle w:val="CharSectno"/>
        </w:rPr>
        <w:t>63</w:t>
      </w:r>
      <w:r>
        <w:rPr>
          <w:snapToGrid w:val="0"/>
        </w:rPr>
        <w:t>.</w:t>
      </w:r>
      <w:r>
        <w:rPr>
          <w:snapToGrid w:val="0"/>
        </w:rPr>
        <w:tab/>
        <w:t>Land marked out but not applied for</w:t>
      </w:r>
      <w:bookmarkEnd w:id="155"/>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56" w:name="_Toc92809260"/>
      <w:r>
        <w:rPr>
          <w:rStyle w:val="CharSectno"/>
        </w:rPr>
        <w:t>63A</w:t>
      </w:r>
      <w:r>
        <w:t>.</w:t>
      </w:r>
      <w:r>
        <w:tab/>
        <w:t>Requirement for marking out following grant of reversion licence</w:t>
      </w:r>
      <w:bookmarkEnd w:id="156"/>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Gazette 3 Feb 2006 p. 593-4.]</w:t>
      </w:r>
    </w:p>
    <w:p>
      <w:pPr>
        <w:pStyle w:val="Heading3"/>
      </w:pPr>
      <w:bookmarkStart w:id="157" w:name="_Toc92799379"/>
      <w:bookmarkStart w:id="158" w:name="_Toc92799793"/>
      <w:bookmarkStart w:id="159" w:name="_Toc92809261"/>
      <w:r>
        <w:rPr>
          <w:rStyle w:val="CharDivNo"/>
        </w:rPr>
        <w:lastRenderedPageBreak/>
        <w:t>Division 2</w:t>
      </w:r>
      <w:r>
        <w:rPr>
          <w:snapToGrid w:val="0"/>
        </w:rPr>
        <w:t> — </w:t>
      </w:r>
      <w:r>
        <w:rPr>
          <w:rStyle w:val="CharDivText"/>
        </w:rPr>
        <w:t>Applications</w:t>
      </w:r>
      <w:bookmarkEnd w:id="157"/>
      <w:bookmarkEnd w:id="158"/>
      <w:bookmarkEnd w:id="159"/>
      <w:r>
        <w:rPr>
          <w:rStyle w:val="CharDivText"/>
        </w:rPr>
        <w:t xml:space="preserve"> </w:t>
      </w:r>
    </w:p>
    <w:p>
      <w:pPr>
        <w:pStyle w:val="Footnoteheading"/>
      </w:pPr>
      <w:r>
        <w:tab/>
        <w:t xml:space="preserve">[Heading amended: Gazette 18 Mar 2011 p. 917.] </w:t>
      </w:r>
    </w:p>
    <w:p>
      <w:pPr>
        <w:pStyle w:val="Heading5"/>
        <w:rPr>
          <w:snapToGrid w:val="0"/>
        </w:rPr>
      </w:pPr>
      <w:bookmarkStart w:id="160" w:name="_Toc92809262"/>
      <w:r>
        <w:rPr>
          <w:rStyle w:val="CharSectno"/>
        </w:rPr>
        <w:t>64</w:t>
      </w:r>
      <w:r>
        <w:rPr>
          <w:snapToGrid w:val="0"/>
        </w:rPr>
        <w:t>.</w:t>
      </w:r>
      <w:r>
        <w:rPr>
          <w:snapToGrid w:val="0"/>
        </w:rPr>
        <w:tab/>
        <w:t>Application for mining tenement</w:t>
      </w:r>
      <w:bookmarkEnd w:id="160"/>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w:t>
      </w:r>
    </w:p>
    <w:p>
      <w:pPr>
        <w:pStyle w:val="Subsection"/>
      </w:pPr>
      <w:r>
        <w:tab/>
        <w:t>(1b)</w:t>
      </w:r>
      <w:r>
        <w:tab/>
        <w:t xml:space="preserve">The prescribed </w:t>
      </w:r>
      <w:r>
        <w:rPr>
          <w:snapToGrid w:val="0"/>
        </w:rPr>
        <w:t>application</w:t>
      </w:r>
      <w:r>
        <w:t xml:space="preserve"> fee for a mining tenement is set out in Schedule 2 item 10.</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lastRenderedPageBreak/>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In relation to an application for a mining lease, regulation 109(3A) is to be disregarded for the purposes of subregulation (1C).</w:t>
      </w:r>
    </w:p>
    <w:p>
      <w:pPr>
        <w:pStyle w:val="Subsection"/>
      </w:pPr>
      <w:r>
        <w:tab/>
        <w:t>(8)</w:t>
      </w:r>
      <w:r>
        <w:tab/>
        <w:t xml:space="preserve">If, on an application for a mining lease, a mining lease is granted with a restriction of the kind referred to in regulation 109(3A), the applicant is entitled to a refund of rent for the first year of the initial term of the mining lease based on the difference between — </w:t>
      </w:r>
    </w:p>
    <w:p>
      <w:pPr>
        <w:pStyle w:val="Indenta"/>
      </w:pPr>
      <w:r>
        <w:tab/>
        <w:t>(a)</w:t>
      </w:r>
      <w:r>
        <w:tab/>
        <w:t>the annual rent that accompanied the application under subregulation (1C); and</w:t>
      </w:r>
    </w:p>
    <w:p>
      <w:pPr>
        <w:pStyle w:val="Indenta"/>
      </w:pPr>
      <w:r>
        <w:tab/>
        <w:t>(b)</w:t>
      </w:r>
      <w:r>
        <w:tab/>
        <w:t>the annual rent set out in Schedule 2 item 9 paragraph (a) as at the time the initial term commences.</w:t>
      </w:r>
    </w:p>
    <w:p>
      <w:pPr>
        <w:pStyle w:val="Subsection"/>
      </w:pPr>
      <w:r>
        <w:tab/>
        <w:t>(9)</w:t>
      </w:r>
      <w:r>
        <w:tab/>
        <w:t xml:space="preserve">Subregulation (8) applies to a mining lease that is granted on an application made before the coming into operation of the </w:t>
      </w:r>
      <w:r>
        <w:rPr>
          <w:i/>
        </w:rPr>
        <w:t>Mining Amendment Regulations (No. 3) 2019</w:t>
      </w:r>
      <w:r>
        <w:t xml:space="preserve"> regulation 3 if the initial term of the mining lease commences on or after the coming into operation of that regulation.</w:t>
      </w:r>
    </w:p>
    <w:p>
      <w:pPr>
        <w:pStyle w:val="Footnotesection"/>
        <w:ind w:left="890" w:hanging="890"/>
      </w:pPr>
      <w:r>
        <w:lastRenderedPageBreak/>
        <w:tab/>
        <w:t>[Regulation 64 amended: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 18 Sep 2018 p. 3517; 24 May 2019 p. 1493</w:t>
      </w:r>
      <w:r>
        <w:noBreakHyphen/>
        <w:t>4; 18 Jun 2019 p. 2048.]</w:t>
      </w:r>
    </w:p>
    <w:p>
      <w:pPr>
        <w:pStyle w:val="Heading5"/>
        <w:rPr>
          <w:snapToGrid w:val="0"/>
        </w:rPr>
      </w:pPr>
      <w:bookmarkStart w:id="161" w:name="_Toc92809263"/>
      <w:r>
        <w:rPr>
          <w:rStyle w:val="CharSectno"/>
        </w:rPr>
        <w:t>64A</w:t>
      </w:r>
      <w:r>
        <w:rPr>
          <w:snapToGrid w:val="0"/>
        </w:rPr>
        <w:t>.</w:t>
      </w:r>
      <w:r>
        <w:rPr>
          <w:snapToGrid w:val="0"/>
        </w:rPr>
        <w:tab/>
        <w:t>Notice of application for prospecting licence, exploration licence, retention licence or mining lease</w:t>
      </w:r>
      <w:bookmarkEnd w:id="161"/>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Gazette 13 Oct 1995 p. 4818; amended: Gazette 15 Jan 2010 p. 108-9; 1 Feb 2013 p. 454.]</w:t>
      </w:r>
    </w:p>
    <w:p>
      <w:pPr>
        <w:pStyle w:val="Heading5"/>
        <w:spacing w:before="180"/>
        <w:rPr>
          <w:snapToGrid w:val="0"/>
        </w:rPr>
      </w:pPr>
      <w:bookmarkStart w:id="162" w:name="_Toc92809264"/>
      <w:r>
        <w:rPr>
          <w:rStyle w:val="CharSectno"/>
        </w:rPr>
        <w:t>64B</w:t>
      </w:r>
      <w:r>
        <w:rPr>
          <w:snapToGrid w:val="0"/>
        </w:rPr>
        <w:t>.</w:t>
      </w:r>
      <w:r>
        <w:rPr>
          <w:snapToGrid w:val="0"/>
        </w:rPr>
        <w:tab/>
        <w:t>Notice of application for mining tenement to pastoral lessee etc. (Act s. 118)</w:t>
      </w:r>
      <w:bookmarkEnd w:id="162"/>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Gazette 24 Jun 1994 p. 2931.]</w:t>
      </w:r>
    </w:p>
    <w:p>
      <w:pPr>
        <w:pStyle w:val="Heading5"/>
        <w:spacing w:before="180"/>
      </w:pPr>
      <w:bookmarkStart w:id="163" w:name="_Toc92809265"/>
      <w:r>
        <w:rPr>
          <w:rStyle w:val="CharSectno"/>
        </w:rPr>
        <w:lastRenderedPageBreak/>
        <w:t>64C</w:t>
      </w:r>
      <w:r>
        <w:t>.</w:t>
      </w:r>
      <w:r>
        <w:tab/>
        <w:t>Copy of application for miscellaneous licence (Act s. 91(9))</w:t>
      </w:r>
      <w:bookmarkEnd w:id="163"/>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Gazette 17 Jan 2003 p. 106.]</w:t>
      </w:r>
    </w:p>
    <w:p>
      <w:pPr>
        <w:pStyle w:val="Heading5"/>
        <w:spacing w:before="180"/>
        <w:rPr>
          <w:snapToGrid w:val="0"/>
        </w:rPr>
      </w:pPr>
      <w:bookmarkStart w:id="164" w:name="_Toc92809266"/>
      <w:r>
        <w:rPr>
          <w:rStyle w:val="CharSectno"/>
        </w:rPr>
        <w:t>65</w:t>
      </w:r>
      <w:r>
        <w:rPr>
          <w:snapToGrid w:val="0"/>
        </w:rPr>
        <w:t>.</w:t>
      </w:r>
      <w:r>
        <w:rPr>
          <w:snapToGrid w:val="0"/>
        </w:rPr>
        <w:tab/>
        <w:t>Number of shares to be stated on application</w:t>
      </w:r>
      <w:bookmarkEnd w:id="16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65" w:name="_Toc92809267"/>
      <w:r>
        <w:rPr>
          <w:rStyle w:val="CharSectno"/>
        </w:rPr>
        <w:t>66</w:t>
      </w:r>
      <w:r>
        <w:rPr>
          <w:snapToGrid w:val="0"/>
        </w:rPr>
        <w:t>.</w:t>
      </w:r>
      <w:r>
        <w:rPr>
          <w:snapToGrid w:val="0"/>
        </w:rPr>
        <w:tab/>
        <w:t>Description of boundaries</w:t>
      </w:r>
      <w:bookmarkEnd w:id="165"/>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Map Grid of Australia 1994 coordinates.</w:t>
      </w:r>
    </w:p>
    <w:p>
      <w:pPr>
        <w:pStyle w:val="Footnotesection"/>
        <w:spacing w:before="80"/>
        <w:ind w:left="890" w:hanging="890"/>
      </w:pPr>
      <w:r>
        <w:tab/>
        <w:t>[Regulation 66 inserted: Gazette 2 Jul 1993 p. 3271; amended: Gazette 15 Dec 2000 p. 7219.]</w:t>
      </w:r>
    </w:p>
    <w:p>
      <w:pPr>
        <w:pStyle w:val="Ednotesection"/>
        <w:spacing w:before="180"/>
      </w:pPr>
      <w:r>
        <w:t>[</w:t>
      </w:r>
      <w:r>
        <w:rPr>
          <w:b/>
        </w:rPr>
        <w:t>66A.</w:t>
      </w:r>
      <w:r>
        <w:rPr>
          <w:b/>
        </w:rPr>
        <w:tab/>
      </w:r>
      <w:r>
        <w:t>Deleted: Gazette 4 Apr 1997 p. 1778.]</w:t>
      </w:r>
    </w:p>
    <w:p>
      <w:pPr>
        <w:pStyle w:val="Ednotesection"/>
        <w:spacing w:before="180"/>
      </w:pPr>
      <w:r>
        <w:t>[</w:t>
      </w:r>
      <w:r>
        <w:rPr>
          <w:b/>
          <w:bCs/>
        </w:rPr>
        <w:t>67.</w:t>
      </w:r>
      <w:r>
        <w:tab/>
        <w:t>Deleted: Gazette 9 Mar 2007 p. 870.]</w:t>
      </w:r>
    </w:p>
    <w:p>
      <w:pPr>
        <w:pStyle w:val="Ednotesection"/>
        <w:spacing w:before="180"/>
        <w:ind w:left="890" w:hanging="890"/>
      </w:pPr>
      <w:r>
        <w:t>[</w:t>
      </w:r>
      <w:r>
        <w:rPr>
          <w:b/>
        </w:rPr>
        <w:t>67A.</w:t>
      </w:r>
      <w:r>
        <w:tab/>
        <w:t>Deleted: Gazette 4 Apr 1997 p. 1778.]</w:t>
      </w:r>
    </w:p>
    <w:p>
      <w:pPr>
        <w:pStyle w:val="Heading5"/>
        <w:spacing w:before="180"/>
        <w:rPr>
          <w:snapToGrid w:val="0"/>
        </w:rPr>
      </w:pPr>
      <w:bookmarkStart w:id="166" w:name="_Toc92809268"/>
      <w:r>
        <w:rPr>
          <w:rStyle w:val="CharSectno"/>
        </w:rPr>
        <w:t>68</w:t>
      </w:r>
      <w:r>
        <w:rPr>
          <w:snapToGrid w:val="0"/>
        </w:rPr>
        <w:t>.</w:t>
      </w:r>
      <w:r>
        <w:rPr>
          <w:snapToGrid w:val="0"/>
        </w:rPr>
        <w:tab/>
        <w:t>Warden may obtain report</w:t>
      </w:r>
      <w:bookmarkEnd w:id="16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Gazette 3 Feb 2006 p. 594.]</w:t>
      </w:r>
    </w:p>
    <w:p>
      <w:pPr>
        <w:pStyle w:val="Heading5"/>
        <w:spacing w:before="180"/>
        <w:rPr>
          <w:snapToGrid w:val="0"/>
        </w:rPr>
      </w:pPr>
      <w:bookmarkStart w:id="167" w:name="_Toc92809269"/>
      <w:r>
        <w:rPr>
          <w:rStyle w:val="CharSectno"/>
        </w:rPr>
        <w:lastRenderedPageBreak/>
        <w:t>69</w:t>
      </w:r>
      <w:r>
        <w:rPr>
          <w:snapToGrid w:val="0"/>
        </w:rPr>
        <w:t>.</w:t>
      </w:r>
      <w:r>
        <w:rPr>
          <w:snapToGrid w:val="0"/>
        </w:rPr>
        <w:tab/>
        <w:t>Withdrawal of applications</w:t>
      </w:r>
      <w:bookmarkEnd w:id="167"/>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Gazette 3 Feb 2006 p. 520; 15 Jan 2010 p. 109.]</w:t>
      </w:r>
    </w:p>
    <w:p>
      <w:pPr>
        <w:pStyle w:val="Ednotesection"/>
        <w:spacing w:before="180"/>
        <w:ind w:left="890" w:hanging="890"/>
      </w:pPr>
      <w:r>
        <w:t>[</w:t>
      </w:r>
      <w:r>
        <w:rPr>
          <w:b/>
        </w:rPr>
        <w:t>69A.</w:t>
      </w:r>
      <w:r>
        <w:tab/>
        <w:t>Deleted: Gazette 24 Jun 2011 p. 2511.]</w:t>
      </w:r>
    </w:p>
    <w:p>
      <w:pPr>
        <w:pStyle w:val="Heading5"/>
        <w:keepNext w:val="0"/>
        <w:keepLines w:val="0"/>
        <w:spacing w:before="180"/>
        <w:rPr>
          <w:snapToGrid w:val="0"/>
        </w:rPr>
      </w:pPr>
      <w:bookmarkStart w:id="168" w:name="_Toc92809270"/>
      <w:r>
        <w:rPr>
          <w:rStyle w:val="CharSectno"/>
        </w:rPr>
        <w:t>70</w:t>
      </w:r>
      <w:r>
        <w:rPr>
          <w:snapToGrid w:val="0"/>
        </w:rPr>
        <w:t>.</w:t>
      </w:r>
      <w:r>
        <w:rPr>
          <w:snapToGrid w:val="0"/>
        </w:rPr>
        <w:tab/>
        <w:t>Refund of rent on withdrawal or refusal of application</w:t>
      </w:r>
      <w:bookmarkEnd w:id="168"/>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Gazette 2 Oct 1987 p. 3819.]</w:t>
      </w:r>
    </w:p>
    <w:p>
      <w:pPr>
        <w:pStyle w:val="Heading5"/>
        <w:rPr>
          <w:snapToGrid w:val="0"/>
        </w:rPr>
      </w:pPr>
      <w:bookmarkStart w:id="169" w:name="_Toc92809271"/>
      <w:r>
        <w:rPr>
          <w:rStyle w:val="CharSectno"/>
        </w:rPr>
        <w:t>70A</w:t>
      </w:r>
      <w:r>
        <w:rPr>
          <w:snapToGrid w:val="0"/>
        </w:rPr>
        <w:t>.</w:t>
      </w:r>
      <w:r>
        <w:rPr>
          <w:snapToGrid w:val="0"/>
        </w:rPr>
        <w:tab/>
        <w:t>Amalgamation of secondary tenement (Act s. 67A)</w:t>
      </w:r>
      <w:bookmarkEnd w:id="169"/>
    </w:p>
    <w:p>
      <w:pPr>
        <w:pStyle w:val="Subsection"/>
      </w:pPr>
      <w:r>
        <w:tab/>
        <w:t>(1)</w:t>
      </w:r>
      <w:r>
        <w:tab/>
        <w:t xml:space="preserve">In this regulation — </w:t>
      </w:r>
    </w:p>
    <w:p>
      <w:pPr>
        <w:pStyle w:val="Defstart"/>
      </w:pPr>
      <w:r>
        <w:tab/>
      </w:r>
      <w:r>
        <w:rPr>
          <w:rStyle w:val="CharDefText"/>
        </w:rPr>
        <w:t>application</w:t>
      </w:r>
      <w:r>
        <w:t xml:space="preserve"> means an application to amalgamate a secondary tenement under section 67A.</w:t>
      </w:r>
    </w:p>
    <w:p>
      <w:pPr>
        <w:pStyle w:val="Subsection"/>
      </w:pPr>
      <w:r>
        <w:tab/>
        <w:t>(1A)</w:t>
      </w:r>
      <w:r>
        <w:tab/>
        <w:t>An application must be lodged together with a map of the secondary tenement.</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 xml:space="preserve">If </w:t>
      </w:r>
      <w:r>
        <w:t>the application is under section 67A(1) and</w:t>
      </w:r>
      <w:r>
        <w:rPr>
          <w:snapToGrid w:val="0"/>
        </w:rPr>
        <w:t xml:space="preserve">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lastRenderedPageBreak/>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Gazette 2 Oct 1987 p. 3819</w:t>
      </w:r>
      <w:r>
        <w:noBreakHyphen/>
        <w:t>20; amended: Gazette 24 Jun 1994 p. 2932; 13 Oct 1995 p. 4818</w:t>
      </w:r>
      <w:r>
        <w:noBreakHyphen/>
        <w:t>19; 18 Mar 2011 p. 917; 1 Feb 2013 p. 454; 13 Dec 2019 p. 4236.]</w:t>
      </w:r>
    </w:p>
    <w:p>
      <w:pPr>
        <w:pStyle w:val="Heading5"/>
        <w:spacing w:before="160"/>
      </w:pPr>
      <w:bookmarkStart w:id="170" w:name="_Toc92809272"/>
      <w:r>
        <w:rPr>
          <w:rStyle w:val="CharSectno"/>
        </w:rPr>
        <w:t>70BA</w:t>
      </w:r>
      <w:r>
        <w:t>.</w:t>
      </w:r>
      <w:r>
        <w:tab/>
        <w:t>Prescribed period for lodging certain applications for areas compulsorily surrendered (Act s. 105A(3))</w:t>
      </w:r>
      <w:bookmarkEnd w:id="170"/>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Gazette 18 Mar 2011 p. 918.]</w:t>
      </w:r>
    </w:p>
    <w:p>
      <w:pPr>
        <w:pStyle w:val="Heading5"/>
        <w:spacing w:before="240"/>
      </w:pPr>
      <w:bookmarkStart w:id="171" w:name="_Toc92809273"/>
      <w:r>
        <w:rPr>
          <w:rStyle w:val="CharSectno"/>
        </w:rPr>
        <w:t>70BB</w:t>
      </w:r>
      <w:r>
        <w:t>.</w:t>
      </w:r>
      <w:r>
        <w:tab/>
        <w:t>Prescribed period for lodging certain applications or marking out land after forfeiture of exploration licence, mining lease or general purpose lease (Act s. 105A(3))</w:t>
      </w:r>
      <w:bookmarkEnd w:id="171"/>
    </w:p>
    <w:p>
      <w:pPr>
        <w:pStyle w:val="Subsection"/>
        <w:keepNext/>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lastRenderedPageBreak/>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Gazette 18 Mar 2011 p. 918.]</w:t>
      </w:r>
    </w:p>
    <w:p>
      <w:pPr>
        <w:pStyle w:val="Heading5"/>
        <w:spacing w:before="240"/>
      </w:pPr>
      <w:bookmarkStart w:id="172" w:name="_Toc92809274"/>
      <w:r>
        <w:rPr>
          <w:rStyle w:val="CharSectno"/>
        </w:rPr>
        <w:t>70BC</w:t>
      </w:r>
      <w:r>
        <w:t>.</w:t>
      </w:r>
      <w:r>
        <w:tab/>
        <w:t>Prescribed period for lodging certain applications after expiry of mining tenement (Act s. 105A(3))</w:t>
      </w:r>
      <w:bookmarkEnd w:id="172"/>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Gazette 18 Mar 2011 p. 918</w:t>
      </w:r>
      <w:r>
        <w:noBreakHyphen/>
        <w:t>19.]</w:t>
      </w:r>
    </w:p>
    <w:p>
      <w:pPr>
        <w:pStyle w:val="Heading5"/>
      </w:pPr>
      <w:bookmarkStart w:id="173" w:name="_Toc92809275"/>
      <w:r>
        <w:rPr>
          <w:rStyle w:val="CharSectno"/>
        </w:rPr>
        <w:t>70BD</w:t>
      </w:r>
      <w:r>
        <w:t>.</w:t>
      </w:r>
      <w:r>
        <w:tab/>
        <w:t>Prescribed period for lodging other applications for exploration licences (Act s. 105A(3))</w:t>
      </w:r>
      <w:bookmarkEnd w:id="17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lastRenderedPageBreak/>
        <w:tab/>
        <w:t>(2)</w:t>
      </w:r>
      <w:r>
        <w:tab/>
        <w:t>For the purposes of section 105A(3), the prescribed period for an application is the period starting at 4.30 p.m. on a working day and ending at 8.45 a.m. on the next working day.</w:t>
      </w:r>
    </w:p>
    <w:p>
      <w:pPr>
        <w:pStyle w:val="Footnotesection"/>
      </w:pPr>
      <w:r>
        <w:tab/>
        <w:t>[Regulation 70BD inserted: Gazette 18 Mar 2011 p. 919.]</w:t>
      </w:r>
    </w:p>
    <w:p>
      <w:pPr>
        <w:pStyle w:val="Heading5"/>
        <w:rPr>
          <w:snapToGrid w:val="0"/>
        </w:rPr>
      </w:pPr>
      <w:bookmarkStart w:id="174" w:name="_Toc92809276"/>
      <w:r>
        <w:rPr>
          <w:rStyle w:val="CharSectno"/>
        </w:rPr>
        <w:t>70B</w:t>
      </w:r>
      <w:r>
        <w:rPr>
          <w:snapToGrid w:val="0"/>
        </w:rPr>
        <w:t>.</w:t>
      </w:r>
      <w:r>
        <w:rPr>
          <w:snapToGrid w:val="0"/>
        </w:rPr>
        <w:tab/>
        <w:t>Agreement as to priority (Act s. 105A(3))</w:t>
      </w:r>
      <w:bookmarkEnd w:id="17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Gazette 31 May 1991 p. 2699.]</w:t>
      </w:r>
    </w:p>
    <w:p>
      <w:pPr>
        <w:pStyle w:val="Heading5"/>
        <w:rPr>
          <w:snapToGrid w:val="0"/>
        </w:rPr>
      </w:pPr>
      <w:bookmarkStart w:id="175" w:name="_Toc92809277"/>
      <w:r>
        <w:rPr>
          <w:rStyle w:val="CharSectno"/>
        </w:rPr>
        <w:t>70C</w:t>
      </w:r>
      <w:r>
        <w:rPr>
          <w:snapToGrid w:val="0"/>
        </w:rPr>
        <w:t>.</w:t>
      </w:r>
      <w:r>
        <w:rPr>
          <w:snapToGrid w:val="0"/>
        </w:rPr>
        <w:tab/>
        <w:t>Refund where licence substituted or lease refused</w:t>
      </w:r>
      <w:bookmarkEnd w:id="175"/>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Gazette 31 May 1991 p. 2699; amended: Gazette 24 Jun 1994 p. 2932.]</w:t>
      </w:r>
    </w:p>
    <w:p>
      <w:pPr>
        <w:pStyle w:val="Heading5"/>
        <w:spacing w:before="180"/>
        <w:rPr>
          <w:snapToGrid w:val="0"/>
        </w:rPr>
      </w:pPr>
      <w:bookmarkStart w:id="176" w:name="_Toc92809278"/>
      <w:r>
        <w:rPr>
          <w:rStyle w:val="CharSectno"/>
        </w:rPr>
        <w:t>70D</w:t>
      </w:r>
      <w:r>
        <w:rPr>
          <w:snapToGrid w:val="0"/>
        </w:rPr>
        <w:t>.</w:t>
      </w:r>
      <w:r>
        <w:rPr>
          <w:snapToGrid w:val="0"/>
        </w:rPr>
        <w:tab/>
        <w:t>Refund when retention licence granted or refused</w:t>
      </w:r>
      <w:bookmarkEnd w:id="176"/>
    </w:p>
    <w:p>
      <w:pPr>
        <w:pStyle w:val="Subsection"/>
        <w:rPr>
          <w:snapToGrid w:val="0"/>
        </w:rPr>
      </w:pPr>
      <w:r>
        <w:rPr>
          <w:snapToGrid w:val="0"/>
        </w:rPr>
        <w:tab/>
        <w:t>(1)</w:t>
      </w:r>
      <w:r>
        <w:rPr>
          <w:snapToGrid w:val="0"/>
        </w:rPr>
        <w:tab/>
        <w:t xml:space="preserve">Where an application for a retention licence is made by the holder of a primary tenement under section 70C of the Act and the licence is granted, the applicant is entitled to a pro rata </w:t>
      </w:r>
      <w:r>
        <w:rPr>
          <w:snapToGrid w:val="0"/>
        </w:rPr>
        <w:lastRenderedPageBreak/>
        <w:t>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Gazette 24 Jun 1994 p. 2932.]</w:t>
      </w:r>
    </w:p>
    <w:p>
      <w:pPr>
        <w:pStyle w:val="Heading5"/>
      </w:pPr>
      <w:bookmarkStart w:id="177" w:name="_Toc92809279"/>
      <w:r>
        <w:rPr>
          <w:rStyle w:val="CharSectno"/>
        </w:rPr>
        <w:t>70E</w:t>
      </w:r>
      <w:r>
        <w:t>.</w:t>
      </w:r>
      <w:r>
        <w:tab/>
        <w:t>Partial refund of application fee in certain circumstances</w:t>
      </w:r>
      <w:bookmarkEnd w:id="177"/>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Gazette 15 Aug 2003 p. 3694.]</w:t>
      </w:r>
    </w:p>
    <w:p>
      <w:pPr>
        <w:pStyle w:val="Heading3"/>
      </w:pPr>
      <w:bookmarkStart w:id="178" w:name="_Toc92799398"/>
      <w:bookmarkStart w:id="179" w:name="_Toc92799812"/>
      <w:bookmarkStart w:id="180" w:name="_Toc92809280"/>
      <w:r>
        <w:rPr>
          <w:rStyle w:val="CharDivNo"/>
        </w:rPr>
        <w:lastRenderedPageBreak/>
        <w:t>Division 3</w:t>
      </w:r>
      <w:r>
        <w:rPr>
          <w:snapToGrid w:val="0"/>
        </w:rPr>
        <w:t> — </w:t>
      </w:r>
      <w:r>
        <w:rPr>
          <w:rStyle w:val="CharDivText"/>
        </w:rPr>
        <w:t>Boundary marks</w:t>
      </w:r>
      <w:bookmarkEnd w:id="178"/>
      <w:bookmarkEnd w:id="179"/>
      <w:bookmarkEnd w:id="180"/>
    </w:p>
    <w:p>
      <w:pPr>
        <w:pStyle w:val="Heading5"/>
        <w:rPr>
          <w:snapToGrid w:val="0"/>
        </w:rPr>
      </w:pPr>
      <w:bookmarkStart w:id="181" w:name="_Toc92809281"/>
      <w:r>
        <w:rPr>
          <w:rStyle w:val="CharSectno"/>
        </w:rPr>
        <w:t>71</w:t>
      </w:r>
      <w:r>
        <w:rPr>
          <w:snapToGrid w:val="0"/>
        </w:rPr>
        <w:t>.</w:t>
      </w:r>
      <w:r>
        <w:rPr>
          <w:snapToGrid w:val="0"/>
        </w:rPr>
        <w:tab/>
        <w:t>Boundary marks to be maintained</w:t>
      </w:r>
      <w:bookmarkEnd w:id="181"/>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Gazette 16 Nov 1990 p. 5729.]</w:t>
      </w:r>
    </w:p>
    <w:p>
      <w:pPr>
        <w:pStyle w:val="Heading5"/>
        <w:rPr>
          <w:snapToGrid w:val="0"/>
        </w:rPr>
      </w:pPr>
      <w:bookmarkStart w:id="182" w:name="_Toc92809282"/>
      <w:r>
        <w:rPr>
          <w:rStyle w:val="CharSectno"/>
        </w:rPr>
        <w:t>72</w:t>
      </w:r>
      <w:r>
        <w:rPr>
          <w:snapToGrid w:val="0"/>
        </w:rPr>
        <w:t>.</w:t>
      </w:r>
      <w:r>
        <w:rPr>
          <w:snapToGrid w:val="0"/>
        </w:rPr>
        <w:tab/>
        <w:t>No liability for mining if boundary marks not maintained</w:t>
      </w:r>
      <w:bookmarkEnd w:id="182"/>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Gazette 16 Nov 1990 p. 5729.]</w:t>
      </w:r>
    </w:p>
    <w:p>
      <w:pPr>
        <w:pStyle w:val="Heading5"/>
        <w:rPr>
          <w:snapToGrid w:val="0"/>
        </w:rPr>
      </w:pPr>
      <w:bookmarkStart w:id="183" w:name="_Toc92809283"/>
      <w:r>
        <w:rPr>
          <w:rStyle w:val="CharSectno"/>
        </w:rPr>
        <w:t>73</w:t>
      </w:r>
      <w:r>
        <w:rPr>
          <w:snapToGrid w:val="0"/>
        </w:rPr>
        <w:t>.</w:t>
      </w:r>
      <w:r>
        <w:rPr>
          <w:snapToGrid w:val="0"/>
        </w:rPr>
        <w:tab/>
        <w:t>Holder to identify boundaries</w:t>
      </w:r>
      <w:bookmarkEnd w:id="183"/>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Gazette 16 Nov 1990 p. 5729.]</w:t>
      </w:r>
    </w:p>
    <w:p>
      <w:pPr>
        <w:pStyle w:val="Heading5"/>
        <w:rPr>
          <w:snapToGrid w:val="0"/>
        </w:rPr>
      </w:pPr>
      <w:bookmarkStart w:id="184" w:name="_Toc92809284"/>
      <w:r>
        <w:rPr>
          <w:rStyle w:val="CharSectno"/>
        </w:rPr>
        <w:t>74</w:t>
      </w:r>
      <w:r>
        <w:rPr>
          <w:snapToGrid w:val="0"/>
        </w:rPr>
        <w:t>.</w:t>
      </w:r>
      <w:r>
        <w:rPr>
          <w:snapToGrid w:val="0"/>
        </w:rPr>
        <w:tab/>
        <w:t>False documents or notices not to be posted up</w:t>
      </w:r>
      <w:bookmarkEnd w:id="184"/>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185" w:name="_Toc92799403"/>
      <w:bookmarkStart w:id="186" w:name="_Toc92799817"/>
      <w:bookmarkStart w:id="187" w:name="_Toc92809285"/>
      <w:r>
        <w:rPr>
          <w:rStyle w:val="CharDivNo"/>
        </w:rPr>
        <w:lastRenderedPageBreak/>
        <w:t>Division 3A</w:t>
      </w:r>
      <w:r>
        <w:rPr>
          <w:snapToGrid w:val="0"/>
        </w:rPr>
        <w:t> — </w:t>
      </w:r>
      <w:r>
        <w:rPr>
          <w:rStyle w:val="CharDivText"/>
        </w:rPr>
        <w:t>Fossicking</w:t>
      </w:r>
      <w:bookmarkEnd w:id="185"/>
      <w:bookmarkEnd w:id="186"/>
      <w:bookmarkEnd w:id="187"/>
    </w:p>
    <w:p>
      <w:pPr>
        <w:pStyle w:val="Footnoteheading"/>
        <w:keepNext/>
        <w:spacing w:before="100"/>
        <w:ind w:left="890"/>
        <w:rPr>
          <w:snapToGrid w:val="0"/>
        </w:rPr>
      </w:pPr>
      <w:r>
        <w:rPr>
          <w:snapToGrid w:val="0"/>
        </w:rPr>
        <w:tab/>
        <w:t>[Heading inserted: Gazette 2 Oct 1987 p. 3820.]</w:t>
      </w:r>
    </w:p>
    <w:p>
      <w:pPr>
        <w:pStyle w:val="Heading5"/>
        <w:rPr>
          <w:snapToGrid w:val="0"/>
        </w:rPr>
      </w:pPr>
      <w:bookmarkStart w:id="188" w:name="_Toc92809286"/>
      <w:r>
        <w:rPr>
          <w:rStyle w:val="CharSectno"/>
        </w:rPr>
        <w:t>74A</w:t>
      </w:r>
      <w:r>
        <w:rPr>
          <w:snapToGrid w:val="0"/>
        </w:rPr>
        <w:t>.</w:t>
      </w:r>
      <w:r>
        <w:rPr>
          <w:snapToGrid w:val="0"/>
        </w:rPr>
        <w:tab/>
        <w:t>Means of fossicking</w:t>
      </w:r>
      <w:bookmarkEnd w:id="188"/>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Gazette 20 Oct 1987 p. 3820.]</w:t>
      </w:r>
    </w:p>
    <w:p>
      <w:pPr>
        <w:pStyle w:val="Heading3"/>
        <w:spacing w:before="220"/>
      </w:pPr>
      <w:bookmarkStart w:id="189" w:name="_Toc92799405"/>
      <w:bookmarkStart w:id="190" w:name="_Toc92799819"/>
      <w:bookmarkStart w:id="191" w:name="_Toc92809287"/>
      <w:r>
        <w:rPr>
          <w:rStyle w:val="CharDivNo"/>
        </w:rPr>
        <w:t>Division 4</w:t>
      </w:r>
      <w:r>
        <w:rPr>
          <w:snapToGrid w:val="0"/>
        </w:rPr>
        <w:t> — </w:t>
      </w:r>
      <w:r>
        <w:rPr>
          <w:rStyle w:val="CharDivText"/>
        </w:rPr>
        <w:t>Transfers, caveats, mortgages</w:t>
      </w:r>
      <w:bookmarkEnd w:id="189"/>
      <w:bookmarkEnd w:id="190"/>
      <w:bookmarkEnd w:id="191"/>
    </w:p>
    <w:p>
      <w:pPr>
        <w:pStyle w:val="Heading5"/>
        <w:rPr>
          <w:snapToGrid w:val="0"/>
        </w:rPr>
      </w:pPr>
      <w:bookmarkStart w:id="192" w:name="_Toc92809288"/>
      <w:r>
        <w:rPr>
          <w:rStyle w:val="CharSectno"/>
        </w:rPr>
        <w:t>75</w:t>
      </w:r>
      <w:r>
        <w:rPr>
          <w:snapToGrid w:val="0"/>
        </w:rPr>
        <w:t>.</w:t>
      </w:r>
      <w:r>
        <w:rPr>
          <w:snapToGrid w:val="0"/>
        </w:rPr>
        <w:tab/>
        <w:t>Transfer of tenement</w:t>
      </w:r>
      <w:bookmarkEnd w:id="19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lastRenderedPageBreak/>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Gazette 31 May 1991 p. 2699; 24 Jun 1994 p. 2933; 15 Jan 2010 p. 109-10; 13 Dec 2019 p. 4236.]</w:t>
      </w:r>
    </w:p>
    <w:p>
      <w:pPr>
        <w:pStyle w:val="Heading5"/>
      </w:pPr>
      <w:bookmarkStart w:id="193" w:name="_Toc92809289"/>
      <w:r>
        <w:rPr>
          <w:rStyle w:val="CharSectno"/>
        </w:rPr>
        <w:t>76</w:t>
      </w:r>
      <w:r>
        <w:t>.</w:t>
      </w:r>
      <w:r>
        <w:tab/>
        <w:t>Lodgment of caveats (Act s. 122A)</w:t>
      </w:r>
      <w:bookmarkEnd w:id="19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Gazette 3 Feb 2006 p. 520; amended: Gazette 15 Jan 2010 p. 110.]</w:t>
      </w:r>
    </w:p>
    <w:p>
      <w:pPr>
        <w:pStyle w:val="Heading5"/>
        <w:rPr>
          <w:rStyle w:val="CharSectno"/>
        </w:rPr>
      </w:pPr>
      <w:bookmarkStart w:id="194" w:name="_Toc92809290"/>
      <w:r>
        <w:rPr>
          <w:rStyle w:val="CharSectno"/>
        </w:rPr>
        <w:t>76A.</w:t>
      </w:r>
      <w:r>
        <w:rPr>
          <w:rStyle w:val="CharSectno"/>
        </w:rPr>
        <w:tab/>
        <w:t>Withdrawal of caveats</w:t>
      </w:r>
      <w:bookmarkEnd w:id="19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Gazette 31 Jul 1992 p. 3776; amended: Gazette 15 Jan 2010 p. 110.]</w:t>
      </w:r>
    </w:p>
    <w:p>
      <w:pPr>
        <w:pStyle w:val="Heading5"/>
        <w:spacing w:before="180"/>
        <w:rPr>
          <w:snapToGrid w:val="0"/>
        </w:rPr>
      </w:pPr>
      <w:bookmarkStart w:id="195" w:name="_Toc92809291"/>
      <w:r>
        <w:rPr>
          <w:rStyle w:val="CharSectno"/>
        </w:rPr>
        <w:lastRenderedPageBreak/>
        <w:t>76B</w:t>
      </w:r>
      <w:r>
        <w:rPr>
          <w:snapToGrid w:val="0"/>
        </w:rPr>
        <w:t>.</w:t>
      </w:r>
      <w:r>
        <w:rPr>
          <w:snapToGrid w:val="0"/>
        </w:rPr>
        <w:tab/>
        <w:t>Notification of registration of surrender (Act s. 122(2))</w:t>
      </w:r>
      <w:bookmarkEnd w:id="19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Gazette 24 Jun 1994 p. 2933; amended: Gazette 3 Feb 2006 p. 520-1.]</w:t>
      </w:r>
    </w:p>
    <w:p>
      <w:pPr>
        <w:pStyle w:val="Heading5"/>
        <w:spacing w:before="180"/>
      </w:pPr>
      <w:bookmarkStart w:id="196" w:name="_Toc92809292"/>
      <w:r>
        <w:rPr>
          <w:rStyle w:val="CharSectno"/>
        </w:rPr>
        <w:t>77</w:t>
      </w:r>
      <w:r>
        <w:t>.</w:t>
      </w:r>
      <w:r>
        <w:tab/>
        <w:t>Mortgage</w:t>
      </w:r>
      <w:bookmarkEnd w:id="19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Gazette 3 Feb 2006 p. 521; amended: Gazette 15 Jan 2010 p. 110.]</w:t>
      </w:r>
    </w:p>
    <w:p>
      <w:pPr>
        <w:pStyle w:val="Ednotesection"/>
        <w:spacing w:before="180"/>
      </w:pPr>
      <w:r>
        <w:t>[</w:t>
      </w:r>
      <w:r>
        <w:rPr>
          <w:b/>
        </w:rPr>
        <w:t>78.</w:t>
      </w:r>
      <w:r>
        <w:tab/>
        <w:t>Deleted: Gazette 3 Feb 2006 p. 521.]</w:t>
      </w:r>
    </w:p>
    <w:p>
      <w:pPr>
        <w:pStyle w:val="Heading5"/>
        <w:spacing w:before="180"/>
        <w:rPr>
          <w:snapToGrid w:val="0"/>
        </w:rPr>
      </w:pPr>
      <w:bookmarkStart w:id="197" w:name="_Toc92809293"/>
      <w:r>
        <w:rPr>
          <w:rStyle w:val="CharSectno"/>
        </w:rPr>
        <w:t>79</w:t>
      </w:r>
      <w:r>
        <w:rPr>
          <w:snapToGrid w:val="0"/>
        </w:rPr>
        <w:t>.</w:t>
      </w:r>
      <w:r>
        <w:rPr>
          <w:snapToGrid w:val="0"/>
        </w:rPr>
        <w:tab/>
        <w:t>Covenants included in mortgage</w:t>
      </w:r>
      <w:bookmarkEnd w:id="19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 xml:space="preserve">That if default is made by the mortgagor in repayment or discharge of the moneys secured by the mortgage for a period of one month after demand, or if the mortgagor </w:t>
      </w:r>
      <w:r>
        <w:rPr>
          <w:snapToGrid w:val="0"/>
        </w:rPr>
        <w:lastRenderedPageBreak/>
        <w:t>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 xml:space="preserve">if, after sale, there remains a balance over and above the amount due to the mortgagee, he shall lodge a statement of account together with such balance for payment to any other mortgagees </w:t>
      </w:r>
      <w:r>
        <w:rPr>
          <w:snapToGrid w:val="0"/>
        </w:rPr>
        <w:lastRenderedPageBreak/>
        <w:t>according to their respective priorities, and to the mortgagor.</w:t>
      </w:r>
    </w:p>
    <w:p>
      <w:pPr>
        <w:pStyle w:val="Footnotesection"/>
        <w:ind w:left="890" w:hanging="890"/>
      </w:pPr>
      <w:r>
        <w:tab/>
        <w:t>[Regulation 79 amended: Gazette 18 Mar 2011 p. 925.]</w:t>
      </w:r>
    </w:p>
    <w:p>
      <w:pPr>
        <w:pStyle w:val="Heading5"/>
        <w:spacing w:before="180"/>
        <w:rPr>
          <w:snapToGrid w:val="0"/>
        </w:rPr>
      </w:pPr>
      <w:bookmarkStart w:id="198" w:name="_Toc92809294"/>
      <w:r>
        <w:rPr>
          <w:rStyle w:val="CharSectno"/>
        </w:rPr>
        <w:t>80</w:t>
      </w:r>
      <w:r>
        <w:rPr>
          <w:snapToGrid w:val="0"/>
        </w:rPr>
        <w:t>.</w:t>
      </w:r>
      <w:r>
        <w:rPr>
          <w:snapToGrid w:val="0"/>
        </w:rPr>
        <w:tab/>
        <w:t>Mortgagee’s expenses may be added to security</w:t>
      </w:r>
      <w:bookmarkEnd w:id="19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199" w:name="_Toc92809295"/>
      <w:r>
        <w:rPr>
          <w:rStyle w:val="CharSectno"/>
        </w:rPr>
        <w:t>81</w:t>
      </w:r>
      <w:r>
        <w:rPr>
          <w:snapToGrid w:val="0"/>
        </w:rPr>
        <w:t>.</w:t>
      </w:r>
      <w:r>
        <w:rPr>
          <w:snapToGrid w:val="0"/>
        </w:rPr>
        <w:tab/>
        <w:t>Transfer under powers contained in mortgage</w:t>
      </w:r>
      <w:bookmarkEnd w:id="19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Gazette 15 Jan 2010 p. 110.]</w:t>
      </w:r>
    </w:p>
    <w:p>
      <w:pPr>
        <w:pStyle w:val="Heading5"/>
        <w:spacing w:before="180"/>
        <w:rPr>
          <w:snapToGrid w:val="0"/>
        </w:rPr>
      </w:pPr>
      <w:bookmarkStart w:id="200" w:name="_Toc92809296"/>
      <w:r>
        <w:rPr>
          <w:rStyle w:val="CharSectno"/>
        </w:rPr>
        <w:t>82</w:t>
      </w:r>
      <w:r>
        <w:rPr>
          <w:snapToGrid w:val="0"/>
        </w:rPr>
        <w:t>.</w:t>
      </w:r>
      <w:r>
        <w:rPr>
          <w:snapToGrid w:val="0"/>
        </w:rPr>
        <w:tab/>
        <w:t>Redemption of mortgage</w:t>
      </w:r>
      <w:bookmarkEnd w:id="20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01" w:name="_Toc92809297"/>
      <w:r>
        <w:rPr>
          <w:rStyle w:val="CharSectno"/>
        </w:rPr>
        <w:t>83</w:t>
      </w:r>
      <w:r>
        <w:rPr>
          <w:snapToGrid w:val="0"/>
        </w:rPr>
        <w:t>.</w:t>
      </w:r>
      <w:r>
        <w:rPr>
          <w:snapToGrid w:val="0"/>
        </w:rPr>
        <w:tab/>
        <w:t>Discharge of mortgage</w:t>
      </w:r>
      <w:bookmarkEnd w:id="20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 xml:space="preserve">with the prescribed </w:t>
      </w:r>
      <w:r>
        <w:t>fee.</w:t>
      </w:r>
    </w:p>
    <w:p>
      <w:pPr>
        <w:pStyle w:val="Footnotesection"/>
        <w:ind w:left="890" w:hanging="890"/>
      </w:pPr>
      <w:r>
        <w:tab/>
        <w:t>[Regulation 83 amended: Gazette 31 Jul 1992 p. 3776; 15 Jan 2010 p. 111; 13 Dec 2019 p. 4236.]</w:t>
      </w:r>
    </w:p>
    <w:p>
      <w:pPr>
        <w:pStyle w:val="Heading5"/>
        <w:rPr>
          <w:snapToGrid w:val="0"/>
        </w:rPr>
      </w:pPr>
      <w:bookmarkStart w:id="202" w:name="_Toc92809298"/>
      <w:r>
        <w:rPr>
          <w:rStyle w:val="CharSectno"/>
        </w:rPr>
        <w:lastRenderedPageBreak/>
        <w:t>84</w:t>
      </w:r>
      <w:r>
        <w:rPr>
          <w:snapToGrid w:val="0"/>
        </w:rPr>
        <w:t>.</w:t>
      </w:r>
      <w:r>
        <w:rPr>
          <w:snapToGrid w:val="0"/>
        </w:rPr>
        <w:tab/>
        <w:t>Transfer of mortgage</w:t>
      </w:r>
      <w:bookmarkEnd w:id="202"/>
    </w:p>
    <w:p>
      <w:pPr>
        <w:pStyle w:val="Subsection"/>
        <w:rPr>
          <w:snapToGrid w:val="0"/>
        </w:rPr>
      </w:pPr>
      <w:r>
        <w:rPr>
          <w:snapToGrid w:val="0"/>
        </w:rPr>
        <w:tab/>
      </w:r>
      <w:r>
        <w:rPr>
          <w:snapToGrid w:val="0"/>
        </w:rPr>
        <w:tab/>
        <w:t xml:space="preserve">A mortgage may be transferred and the transfer shall be lodged with the prescribed </w:t>
      </w:r>
      <w:r>
        <w:t>fee.</w:t>
      </w:r>
    </w:p>
    <w:p>
      <w:pPr>
        <w:pStyle w:val="Footnotesection"/>
        <w:ind w:left="890" w:hanging="890"/>
      </w:pPr>
      <w:r>
        <w:tab/>
        <w:t>[Regulation 84 amended: Gazette 13 Dec 2019 p. 4236.]</w:t>
      </w:r>
    </w:p>
    <w:p>
      <w:pPr>
        <w:pStyle w:val="Heading3"/>
      </w:pPr>
      <w:bookmarkStart w:id="203" w:name="_Toc92799417"/>
      <w:bookmarkStart w:id="204" w:name="_Toc92799831"/>
      <w:bookmarkStart w:id="205" w:name="_Toc92809299"/>
      <w:r>
        <w:rPr>
          <w:rStyle w:val="CharDivNo"/>
        </w:rPr>
        <w:t>Division 4AA</w:t>
      </w:r>
      <w:r>
        <w:t> — </w:t>
      </w:r>
      <w:r>
        <w:rPr>
          <w:rStyle w:val="CharDivText"/>
        </w:rPr>
        <w:t>Memorials for unpaid tax</w:t>
      </w:r>
      <w:bookmarkEnd w:id="203"/>
      <w:bookmarkEnd w:id="204"/>
      <w:bookmarkEnd w:id="205"/>
    </w:p>
    <w:p>
      <w:pPr>
        <w:pStyle w:val="Footnoteheading"/>
      </w:pPr>
      <w:r>
        <w:tab/>
        <w:t>[Heading inserted: Gazette 15 Jan 2010 p. 111.]</w:t>
      </w:r>
    </w:p>
    <w:p>
      <w:pPr>
        <w:pStyle w:val="Heading5"/>
      </w:pPr>
      <w:bookmarkStart w:id="206" w:name="_Toc92809300"/>
      <w:r>
        <w:rPr>
          <w:rStyle w:val="CharSectno"/>
        </w:rPr>
        <w:t>84AA</w:t>
      </w:r>
      <w:r>
        <w:t>.</w:t>
      </w:r>
      <w:r>
        <w:tab/>
        <w:t>Tax memorial</w:t>
      </w:r>
      <w:bookmarkEnd w:id="206"/>
    </w:p>
    <w:p>
      <w:pPr>
        <w:pStyle w:val="Subsection"/>
      </w:pPr>
      <w:r>
        <w:tab/>
      </w:r>
      <w:r>
        <w:tab/>
        <w:t>A tax memorial (as defined in section 103A) is to be in the form of Form 26B.</w:t>
      </w:r>
    </w:p>
    <w:p>
      <w:pPr>
        <w:pStyle w:val="Footnotesection"/>
        <w:ind w:left="890" w:hanging="890"/>
      </w:pPr>
      <w:r>
        <w:tab/>
        <w:t>[Regulation 84AA inserted: Gazette 15 Jan 2010 p. 111.]</w:t>
      </w:r>
    </w:p>
    <w:p>
      <w:pPr>
        <w:pStyle w:val="Heading5"/>
        <w:keepLines w:val="0"/>
      </w:pPr>
      <w:bookmarkStart w:id="207" w:name="_Toc92809301"/>
      <w:r>
        <w:rPr>
          <w:rStyle w:val="CharSectno"/>
        </w:rPr>
        <w:t>84AB</w:t>
      </w:r>
      <w:r>
        <w:t>.</w:t>
      </w:r>
      <w:r>
        <w:tab/>
        <w:t>Withdrawal of memorial</w:t>
      </w:r>
      <w:bookmarkEnd w:id="207"/>
    </w:p>
    <w:p>
      <w:pPr>
        <w:pStyle w:val="Subsection"/>
      </w:pPr>
      <w:r>
        <w:tab/>
      </w:r>
      <w:r>
        <w:tab/>
        <w:t>A withdrawal of memorial (as defined in section 103A) is to be in the form of Form 26C.</w:t>
      </w:r>
    </w:p>
    <w:p>
      <w:pPr>
        <w:pStyle w:val="Footnotesection"/>
      </w:pPr>
      <w:r>
        <w:tab/>
        <w:t>[Regulation 84AB inserted: Gazette 15 Jan 2010 p. 111.]</w:t>
      </w:r>
    </w:p>
    <w:p>
      <w:pPr>
        <w:pStyle w:val="Heading3"/>
      </w:pPr>
      <w:bookmarkStart w:id="208" w:name="_Toc92799420"/>
      <w:bookmarkStart w:id="209" w:name="_Toc92799834"/>
      <w:bookmarkStart w:id="210" w:name="_Toc92809302"/>
      <w:r>
        <w:rPr>
          <w:rStyle w:val="CharDivNo"/>
        </w:rPr>
        <w:t>Division 4A</w:t>
      </w:r>
      <w:r>
        <w:t> — </w:t>
      </w:r>
      <w:r>
        <w:rPr>
          <w:rStyle w:val="CharDivText"/>
        </w:rPr>
        <w:t>Lodgment of instruments and the register</w:t>
      </w:r>
      <w:bookmarkEnd w:id="208"/>
      <w:bookmarkEnd w:id="209"/>
      <w:bookmarkEnd w:id="210"/>
    </w:p>
    <w:p>
      <w:pPr>
        <w:pStyle w:val="Footnoteheading"/>
      </w:pPr>
      <w:r>
        <w:tab/>
        <w:t>[Heading inserted: Gazette 3 Feb 2006 p. 521.]</w:t>
      </w:r>
    </w:p>
    <w:p>
      <w:pPr>
        <w:pStyle w:val="Ednotesection"/>
        <w:spacing w:before="180"/>
      </w:pPr>
      <w:r>
        <w:t>[</w:t>
      </w:r>
      <w:r>
        <w:rPr>
          <w:b/>
        </w:rPr>
        <w:t>84A.</w:t>
      </w:r>
      <w:r>
        <w:tab/>
        <w:t xml:space="preserve">Deleted: Gazette 18 Mar 2011 p. 919.] </w:t>
      </w:r>
    </w:p>
    <w:p>
      <w:pPr>
        <w:pStyle w:val="Heading5"/>
        <w:spacing w:before="180"/>
      </w:pPr>
      <w:bookmarkStart w:id="211" w:name="_Toc92809303"/>
      <w:r>
        <w:rPr>
          <w:rStyle w:val="CharSectno"/>
        </w:rPr>
        <w:t>84B</w:t>
      </w:r>
      <w:r>
        <w:t>.</w:t>
      </w:r>
      <w:r>
        <w:tab/>
        <w:t>Provisional lodgment</w:t>
      </w:r>
      <w:bookmarkEnd w:id="211"/>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lastRenderedPageBreak/>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lastRenderedPageBreak/>
        <w:tab/>
        <w:t>(b)</w:t>
      </w:r>
      <w:r>
        <w:tab/>
        <w:t>shall, by notice in writing to the person who requested the extension, advise whether an extension has been granted.</w:t>
      </w:r>
    </w:p>
    <w:p>
      <w:pPr>
        <w:pStyle w:val="Footnotesection"/>
      </w:pPr>
      <w:r>
        <w:tab/>
        <w:t>[Regulation 84B inserted: Gazette 3 Feb 2006 p. 521-2.]</w:t>
      </w:r>
    </w:p>
    <w:p>
      <w:pPr>
        <w:pStyle w:val="Heading5"/>
      </w:pPr>
      <w:bookmarkStart w:id="212" w:name="_Toc92809304"/>
      <w:r>
        <w:rPr>
          <w:rStyle w:val="CharSectno"/>
        </w:rPr>
        <w:t>84C</w:t>
      </w:r>
      <w:r>
        <w:t>.</w:t>
      </w:r>
      <w:r>
        <w:tab/>
        <w:t>Content of register</w:t>
      </w:r>
      <w:bookmarkEnd w:id="212"/>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(ia)</w:t>
      </w:r>
      <w:r>
        <w:tab/>
        <w:t>objections under Part IV of the Act; and</w:t>
      </w:r>
    </w:p>
    <w:p>
      <w:pPr>
        <w:pStyle w:val="Indenti"/>
      </w:pPr>
      <w:r>
        <w:tab/>
        <w:t>(ib)</w:t>
      </w:r>
      <w:r>
        <w:tab/>
        <w:t>any devolution under regulation 102; and</w:t>
      </w:r>
    </w:p>
    <w:p>
      <w:pPr>
        <w:pStyle w:val="Indenti"/>
      </w:pPr>
      <w:r>
        <w:tab/>
        <w:t>(ic)</w:t>
      </w:r>
      <w:r>
        <w:tab/>
        <w:t>any application to amend particulars in the register under regulation 84E; and</w:t>
      </w:r>
    </w:p>
    <w:p>
      <w:pPr>
        <w:pStyle w:val="Indenti"/>
      </w:pPr>
      <w:r>
        <w:tab/>
        <w:t>(id)</w:t>
      </w:r>
      <w:r>
        <w:tab/>
        <w:t>any agreement or determination under section 105A(3) as to the priority of the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lastRenderedPageBreak/>
        <w:tab/>
        <w:t>(vi)</w:t>
      </w:r>
      <w:r>
        <w:tab/>
        <w:t>the surrender, forfeiture or other cancellation of the tenement; and</w:t>
      </w:r>
    </w:p>
    <w:p>
      <w:pPr>
        <w:pStyle w:val="Indenti"/>
      </w:pPr>
      <w:r>
        <w:tab/>
        <w:t>(vii)</w:t>
      </w:r>
      <w:r>
        <w:tab/>
        <w:t>objections under regulation 120A; and</w:t>
      </w:r>
    </w:p>
    <w:p>
      <w:pPr>
        <w:pStyle w:val="Indenti"/>
      </w:pPr>
      <w:r>
        <w:tab/>
        <w:t>(viii)</w:t>
      </w:r>
      <w:r>
        <w:tab/>
        <w:t>applications relating to the tenement and the outcome of those applications; and</w:t>
      </w:r>
    </w:p>
    <w:p>
      <w:pPr>
        <w:pStyle w:val="Indenti"/>
      </w:pPr>
      <w:r>
        <w:tab/>
        <w:t>(ix)</w:t>
      </w:r>
      <w:r>
        <w:tab/>
        <w:t>particulars of penalties imposed on the registered holder in lieu of forfeiture; and</w:t>
      </w:r>
    </w:p>
    <w:p>
      <w:pPr>
        <w:pStyle w:val="Indenti"/>
      </w:pPr>
      <w:r>
        <w:tab/>
        <w:t>(x)</w:t>
      </w:r>
      <w:r>
        <w:tab/>
        <w:t>any additional conditions imposed in relation to the tenement after it is granted; and</w:t>
      </w:r>
    </w:p>
    <w:p>
      <w:pPr>
        <w:pStyle w:val="Indenti"/>
      </w:pPr>
      <w:r>
        <w:tab/>
        <w:t>(xi)</w:t>
      </w:r>
      <w:r>
        <w:tab/>
        <w:t>particulars of securities referred to in section 26, 52(1a), 60(1a), 70F(2) or 84A(2) relating to the tenement; and</w:t>
      </w:r>
    </w:p>
    <w:p>
      <w:pPr>
        <w:pStyle w:val="Indenti"/>
      </w:pPr>
      <w:r>
        <w:tab/>
        <w:t>(xii)</w:t>
      </w:r>
      <w:r>
        <w:tab/>
        <w:t>any devolution under regulation 102; and</w:t>
      </w:r>
    </w:p>
    <w:p>
      <w:pPr>
        <w:pStyle w:val="Indenti"/>
      </w:pPr>
      <w:r>
        <w:tab/>
        <w:t>(xiii)</w:t>
      </w:r>
      <w:r>
        <w:tab/>
        <w:t>any application to amend particulars in the register under regulation 84E; and</w:t>
      </w:r>
    </w:p>
    <w:p>
      <w:pPr>
        <w:pStyle w:val="Indenti"/>
      </w:pPr>
      <w:r>
        <w:tab/>
        <w:t>(xiv)</w:t>
      </w:r>
      <w:r>
        <w:tab/>
        <w:t>particulars received under section 143 of an injunction granted with respect to the tenement.</w:t>
      </w:r>
    </w:p>
    <w:p>
      <w:pPr>
        <w:pStyle w:val="Footnotesection"/>
        <w:ind w:left="890" w:hanging="890"/>
      </w:pPr>
      <w:r>
        <w:tab/>
      </w:r>
      <w:r>
        <w:tab/>
        <w:t>[Regulation 84C inserted: Gazette 3 Feb 2006 p. 522-3; amended: Gazette 9 Nov 2012 p. 5401; 13 Dec 2019 p. 4236</w:t>
      </w:r>
      <w:r>
        <w:noBreakHyphen/>
        <w:t>7.]</w:t>
      </w:r>
    </w:p>
    <w:p>
      <w:pPr>
        <w:pStyle w:val="Heading5"/>
        <w:spacing w:before="180"/>
      </w:pPr>
      <w:bookmarkStart w:id="213" w:name="_Toc92809305"/>
      <w:r>
        <w:rPr>
          <w:rStyle w:val="CharSectno"/>
        </w:rPr>
        <w:t>84D</w:t>
      </w:r>
      <w:r>
        <w:t>.</w:t>
      </w:r>
      <w:r>
        <w:tab/>
        <w:t>Fees for copies of entries, dealings etc. (Act s. 103F(4))</w:t>
      </w:r>
      <w:bookmarkEnd w:id="213"/>
    </w:p>
    <w:p>
      <w:pPr>
        <w:pStyle w:val="Subsection"/>
      </w:pPr>
      <w:r>
        <w:tab/>
      </w:r>
      <w:r>
        <w:tab/>
        <w:t>For the purposes of section 103F(4) the fees set out in Schedule 2 item 13 are prescribed.</w:t>
      </w:r>
    </w:p>
    <w:p>
      <w:pPr>
        <w:pStyle w:val="Footnotesection"/>
        <w:ind w:left="890" w:hanging="890"/>
      </w:pPr>
      <w:r>
        <w:tab/>
        <w:t>[Regulation 84D inserted: Gazette 3 Feb 2006 p. 523; amended: Gazette 15 Jan 2010 p. 136; 24 Jun 2011 p. 2511; 18 Jun 2019 p. 2048.]</w:t>
      </w:r>
    </w:p>
    <w:p>
      <w:pPr>
        <w:pStyle w:val="Heading5"/>
        <w:spacing w:before="180"/>
      </w:pPr>
      <w:bookmarkStart w:id="214" w:name="_Toc92809306"/>
      <w:r>
        <w:rPr>
          <w:rStyle w:val="CharSectno"/>
        </w:rPr>
        <w:t>84E</w:t>
      </w:r>
      <w:r>
        <w:t>.</w:t>
      </w:r>
      <w:r>
        <w:tab/>
        <w:t>Amendment of register</w:t>
      </w:r>
      <w:bookmarkEnd w:id="214"/>
    </w:p>
    <w:p>
      <w:pPr>
        <w:pStyle w:val="Subsection"/>
      </w:pPr>
      <w:r>
        <w:tab/>
      </w:r>
      <w:r>
        <w:tab/>
        <w:t xml:space="preserve">An application to amend particulars in the register must be — </w:t>
      </w:r>
    </w:p>
    <w:p>
      <w:pPr>
        <w:pStyle w:val="Indenta"/>
      </w:pPr>
      <w:r>
        <w:tab/>
        <w:t>(a)</w:t>
      </w:r>
      <w:r>
        <w:tab/>
        <w:t>lodged in the form of Form 30; and</w:t>
      </w:r>
    </w:p>
    <w:p>
      <w:pPr>
        <w:pStyle w:val="Indenta"/>
        <w:keepNext/>
      </w:pPr>
      <w:r>
        <w:lastRenderedPageBreak/>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Gazette 9 Nov 2012 p. 5401.]</w:t>
      </w:r>
    </w:p>
    <w:p>
      <w:pPr>
        <w:pStyle w:val="Heading5"/>
        <w:keepNext w:val="0"/>
        <w:keepLines w:val="0"/>
      </w:pPr>
      <w:bookmarkStart w:id="215" w:name="_Toc92809307"/>
      <w:r>
        <w:rPr>
          <w:rStyle w:val="CharSectno"/>
        </w:rPr>
        <w:t>84F</w:t>
      </w:r>
      <w:r>
        <w:t>.</w:t>
      </w:r>
      <w:r>
        <w:tab/>
        <w:t>Inclusion of information in register despite late lodgment of report</w:t>
      </w:r>
      <w:bookmarkEnd w:id="215"/>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Gazette 3 Feb 2006 p. 523.]</w:t>
      </w:r>
    </w:p>
    <w:p>
      <w:pPr>
        <w:pStyle w:val="Heading3"/>
      </w:pPr>
      <w:bookmarkStart w:id="216" w:name="_Toc92799426"/>
      <w:bookmarkStart w:id="217" w:name="_Toc92799840"/>
      <w:bookmarkStart w:id="218" w:name="_Toc92809308"/>
      <w:r>
        <w:rPr>
          <w:rStyle w:val="CharDivNo"/>
        </w:rPr>
        <w:t>Division 5</w:t>
      </w:r>
      <w:r>
        <w:rPr>
          <w:snapToGrid w:val="0"/>
        </w:rPr>
        <w:t> — </w:t>
      </w:r>
      <w:r>
        <w:rPr>
          <w:rStyle w:val="CharDivText"/>
        </w:rPr>
        <w:t>Production and royalties</w:t>
      </w:r>
      <w:bookmarkEnd w:id="216"/>
      <w:bookmarkEnd w:id="217"/>
      <w:bookmarkEnd w:id="218"/>
    </w:p>
    <w:p>
      <w:pPr>
        <w:pStyle w:val="Heading5"/>
      </w:pPr>
      <w:bookmarkStart w:id="219" w:name="_Toc92809309"/>
      <w:r>
        <w:rPr>
          <w:rStyle w:val="CharSectno"/>
        </w:rPr>
        <w:t>85</w:t>
      </w:r>
      <w:r>
        <w:t>.</w:t>
      </w:r>
      <w:r>
        <w:tab/>
        <w:t>Terms used</w:t>
      </w:r>
      <w:bookmarkEnd w:id="219"/>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lastRenderedPageBreak/>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lastRenderedPageBreak/>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if the mineral is exported from Australia, the day on which the aircraft or ship transporting the mineral first leaves port in this State; or</w:t>
      </w:r>
    </w:p>
    <w:p>
      <w:pPr>
        <w:pStyle w:val="Defpara"/>
      </w:pPr>
      <w:r>
        <w:tab/>
        <w:t>(b)</w:t>
      </w:r>
      <w:r>
        <w:tab/>
        <w:t>if the mineral is not exported from Australia,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keepNext/>
        <w:keepLines/>
        <w:spacing w:before="180"/>
      </w:pPr>
      <w:r>
        <w:tab/>
        <w:t>(2)</w:t>
      </w:r>
      <w:r>
        <w:tab/>
        <w:t>In this Division a reference to a mineral includes a reference to a material containing that mineral.</w:t>
      </w:r>
    </w:p>
    <w:p>
      <w:pPr>
        <w:pStyle w:val="Footnotesection"/>
        <w:keepNext/>
        <w:ind w:left="890" w:hanging="890"/>
      </w:pPr>
      <w:r>
        <w:tab/>
        <w:t>[Regulation 85 inserted: Gazette 16 Jun 2000 p. 2953; amended: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20" w:name="_Toc92809310"/>
      <w:r>
        <w:rPr>
          <w:rStyle w:val="CharSectno"/>
        </w:rPr>
        <w:t>85AA</w:t>
      </w:r>
      <w:r>
        <w:t>.</w:t>
      </w:r>
      <w:r>
        <w:tab/>
        <w:t>Effect of GST etc. on royalties</w:t>
      </w:r>
      <w:bookmarkEnd w:id="220"/>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xml:space="preserve">) that relates </w:t>
      </w:r>
      <w:r>
        <w:lastRenderedPageBreak/>
        <w:t>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keepNext/>
      </w:pPr>
      <w:r>
        <w:tab/>
        <w:t>(c)</w:t>
      </w:r>
      <w:r>
        <w:tab/>
        <w:t>the sum of any increasing adjustments in relation to that expense.</w:t>
      </w:r>
    </w:p>
    <w:p>
      <w:pPr>
        <w:pStyle w:val="Subsection"/>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Gazette 16 Jun 2000 p. 2953</w:t>
      </w:r>
      <w:r>
        <w:noBreakHyphen/>
        <w:t>4; amended: Gazette 14 Dec 2001 p. 6404.]</w:t>
      </w:r>
    </w:p>
    <w:p>
      <w:pPr>
        <w:pStyle w:val="Heading5"/>
        <w:keepNext w:val="0"/>
        <w:keepLines w:val="0"/>
      </w:pPr>
      <w:bookmarkStart w:id="221" w:name="_Toc92809311"/>
      <w:r>
        <w:rPr>
          <w:rStyle w:val="CharSectno"/>
        </w:rPr>
        <w:t>85AB</w:t>
      </w:r>
      <w:r>
        <w:t>.</w:t>
      </w:r>
      <w:r>
        <w:tab/>
        <w:t>Conversion to Australian currency</w:t>
      </w:r>
      <w:bookmarkEnd w:id="221"/>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lastRenderedPageBreak/>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Gazette 14 Dec 2001 p. 6404</w:t>
      </w:r>
      <w:r>
        <w:noBreakHyphen/>
        <w:t>5; amended: Gazette 13 Dec 2002 p. 5803</w:t>
      </w:r>
      <w:r>
        <w:noBreakHyphen/>
        <w:t>4.]</w:t>
      </w:r>
    </w:p>
    <w:p>
      <w:pPr>
        <w:pStyle w:val="Heading5"/>
      </w:pPr>
      <w:bookmarkStart w:id="222" w:name="_Toc92809312"/>
      <w:r>
        <w:rPr>
          <w:rStyle w:val="CharSectno"/>
        </w:rPr>
        <w:t>85A</w:t>
      </w:r>
      <w:r>
        <w:t>.</w:t>
      </w:r>
      <w:r>
        <w:tab/>
        <w:t>Quarterly production reports</w:t>
      </w:r>
      <w:bookmarkEnd w:id="222"/>
    </w:p>
    <w:p>
      <w:pPr>
        <w:pStyle w:val="Subsection"/>
        <w:keepNext/>
        <w:keepLines/>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 xml:space="preserve">within 30 days after the expiry of the first quarter after 31 December 2002 during which gold metal is to be regarded because of regulation 86AA as having been </w:t>
      </w:r>
      <w:r>
        <w:lastRenderedPageBreak/>
        <w:t>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keepNext/>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Gazette 13 Dec 2002 p. 5804; amended: Gazette 15 Jan 2010 p. 112; 19 Jun 2012 p. 2650</w:t>
      </w:r>
      <w:r>
        <w:noBreakHyphen/>
        <w:t>1.]</w:t>
      </w:r>
    </w:p>
    <w:p>
      <w:pPr>
        <w:pStyle w:val="Heading5"/>
        <w:rPr>
          <w:snapToGrid w:val="0"/>
        </w:rPr>
      </w:pPr>
      <w:bookmarkStart w:id="223" w:name="_Toc92809313"/>
      <w:r>
        <w:rPr>
          <w:rStyle w:val="CharSectno"/>
        </w:rPr>
        <w:t>85B</w:t>
      </w:r>
      <w:r>
        <w:rPr>
          <w:snapToGrid w:val="0"/>
        </w:rPr>
        <w:t>.</w:t>
      </w:r>
      <w:r>
        <w:rPr>
          <w:snapToGrid w:val="0"/>
        </w:rPr>
        <w:tab/>
        <w:t>Royalty return</w:t>
      </w:r>
      <w:bookmarkEnd w:id="223"/>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lastRenderedPageBreak/>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Ednotesubsection"/>
      </w:pPr>
      <w:r>
        <w:tab/>
        <w:t>[(3)</w:t>
      </w:r>
      <w:r>
        <w:tab/>
        <w:t>deleted]</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Gazette 20 May 1988 p. 1705; amended: Gazette 3 Oct 1997 p. 5530; 14 Dec 2001 p. 6405; 8 Feb 2002 p. 607; 19 Jun 2012 p. 2651; 28 Nov 2014 p. 4416; 6 Oct 2015 p. 3968; SL 2021/43 r. 4.]</w:t>
      </w:r>
    </w:p>
    <w:p>
      <w:pPr>
        <w:pStyle w:val="Heading5"/>
        <w:keepNext w:val="0"/>
        <w:keepLines w:val="0"/>
        <w:rPr>
          <w:snapToGrid w:val="0"/>
        </w:rPr>
      </w:pPr>
      <w:bookmarkStart w:id="224" w:name="_Toc92809314"/>
      <w:r>
        <w:rPr>
          <w:rStyle w:val="CharSectno"/>
        </w:rPr>
        <w:t>86</w:t>
      </w:r>
      <w:r>
        <w:rPr>
          <w:snapToGrid w:val="0"/>
        </w:rPr>
        <w:t>.</w:t>
      </w:r>
      <w:r>
        <w:rPr>
          <w:snapToGrid w:val="0"/>
        </w:rPr>
        <w:tab/>
        <w:t>Rates of royalty</w:t>
      </w:r>
      <w:bookmarkEnd w:id="224"/>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keepNext/>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lastRenderedPageBreak/>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rPr>
          <w:rFonts w:ascii="Cambria" w:hAnsi="Cambria"/>
          <w:oMath/>
        </w:rPr>
      </w:pPr>
      <m:oMathPara>
        <m:oMathParaPr>
          <m:jc m:val="left"/>
        </m:oMathParaPr>
        <m:oMath>
          <m:r>
            <m:rPr>
              <m:nor/>
            </m:rPr>
            <w:rPr>
              <w:rFonts w:ascii="Cambria Math" w:hAnsi="Cambria Math"/>
              <w:iCs/>
            </w:rPr>
            <m:t xml:space="preserve">R </m:t>
          </m:r>
          <m:r>
            <m:rPr>
              <m:nor/>
            </m:rPr>
            <w:rPr>
              <w:rFonts w:ascii="Cambria Math" w:hAnsi="Cambria Math"/>
            </w:rPr>
            <m:t xml:space="preserve">= </m:t>
          </m:r>
          <m:r>
            <m:rPr>
              <m:nor/>
            </m:rPr>
            <w:rPr>
              <w:rFonts w:ascii="Cambria Math" w:hAnsi="Cambria Math"/>
              <w:iCs/>
            </w:rPr>
            <m:t>C</m:t>
          </m:r>
          <m:r>
            <m:rPr>
              <m:nor/>
            </m:rPr>
            <w:rPr>
              <w:rFonts w:ascii="Cambria Math" w:hAnsi="Cambria Math"/>
            </w:rPr>
            <m:t xml:space="preserve">  × </m:t>
          </m:r>
          <m:f>
            <m:fPr>
              <m:ctrlPr>
                <w:rPr>
                  <w:rFonts w:ascii="Cambria Math" w:hAnsi="Cambria Math"/>
                </w:rPr>
              </m:ctrlPr>
            </m:fPr>
            <m:num>
              <m:r>
                <m:rPr>
                  <m:nor/>
                </m:rPr>
                <w:rPr>
                  <w:rFonts w:ascii="Cambria Math" w:hAnsi="Cambria Math"/>
                  <w:iCs/>
                </w:rPr>
                <m:t>PPI</m:t>
              </m:r>
            </m:num>
            <m:den>
              <m:r>
                <m:rPr>
                  <m:nor/>
                </m:rPr>
                <w:rPr>
                  <w:rFonts w:ascii="Cambria Math" w:hAnsi="Cambria Math"/>
                  <w:iCs/>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 xml:space="preserve">Metallic Mineral Products Price Index number, for the quarter ending on the last 31 March </w:t>
      </w:r>
      <w:r>
        <w:lastRenderedPageBreak/>
        <w:t>before the beginning of the relevant period, published by the Australian Bureau of Statistics in Catalogue 6427.0 Producer Price Indexes, Australia;</w:t>
      </w:r>
    </w:p>
    <w:p>
      <w:pPr>
        <w:pStyle w:val="Indenta"/>
      </w:pPr>
      <w:r>
        <w:tab/>
        <w:t>X</w:t>
      </w:r>
      <w:r>
        <w:tab/>
        <w:t>is the latest Non</w:t>
      </w:r>
      <w:r>
        <w:noBreakHyphen/>
        <w:t>Metallic Mineral Products Price Index number, for the quarter ending on 31 December 2003,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Ednotesubsection"/>
      </w:pPr>
      <w:r>
        <w:tab/>
        <w:t>[(3)</w:t>
      </w:r>
      <w:r>
        <w:tab/>
        <w:t>deleted]</w:t>
      </w:r>
    </w:p>
    <w:p>
      <w:pPr>
        <w:pStyle w:val="THeadingNAm"/>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lastRenderedPageBreak/>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szCs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lastRenderedPageBreak/>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Ilmenite (concentrate) other than ilmenite feedstock as defined in regulation 86AC</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Iron Ore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iron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 (concentrate)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r>
            <w:r>
              <w:rPr>
                <w:sz w:val="16"/>
              </w:rPr>
              <w:lastRenderedPageBreak/>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keepNext/>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A</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keepNext/>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 xml:space="preserve">Lithium </w:t>
            </w:r>
            <w:r>
              <w:rPr>
                <w:sz w:val="16"/>
                <w:szCs w:val="16"/>
              </w:rPr>
              <w:t>(concentrate)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 (crushed or screened)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 (metallic form)</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rPr>
          <w:cantSplit/>
        </w:trPr>
        <w:tc>
          <w:tcPr>
            <w:tcW w:w="1440" w:type="dxa"/>
          </w:tcPr>
          <w:p>
            <w:pPr>
              <w:pStyle w:val="yTableNAm"/>
              <w:keepNext/>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 xml:space="preserve">Where P = a representative market value of rare earth oxides (REO), as </w:t>
            </w:r>
            <w:r>
              <w:rPr>
                <w:sz w:val="16"/>
              </w:rPr>
              <w:lastRenderedPageBreak/>
              <w:t>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 (concentrate)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 (used for construction purposes)</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 (used for metallurgical purposes)</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 (if sold as a by-product or in metallic form)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keepNext/>
              <w:rPr>
                <w:sz w:val="16"/>
              </w:rPr>
            </w:pPr>
            <w:r>
              <w:rPr>
                <w:sz w:val="16"/>
              </w:rPr>
              <w:t>Tin</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Next/>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keepLines/>
              <w:rPr>
                <w:sz w:val="16"/>
              </w:rPr>
            </w:pPr>
            <w:r>
              <w:rPr>
                <w:sz w:val="16"/>
              </w:rPr>
              <w:t>The rate is —</w:t>
            </w:r>
          </w:p>
          <w:p>
            <w:pPr>
              <w:pStyle w:val="yTableNAm"/>
              <w:keepLines/>
              <w:tabs>
                <w:tab w:val="left" w:pos="285"/>
              </w:tabs>
              <w:ind w:left="581" w:hanging="581"/>
              <w:rPr>
                <w:sz w:val="16"/>
              </w:rPr>
            </w:pPr>
            <w:r>
              <w:rPr>
                <w:sz w:val="16"/>
              </w:rPr>
              <w:tab/>
              <w:t>(a)</w:t>
            </w:r>
            <w:r>
              <w:rPr>
                <w:sz w:val="16"/>
              </w:rPr>
              <w:tab/>
              <w:t>if sold as a concentrate (vanadium oxide), 5% of the vanadium pentoxide price; or</w:t>
            </w:r>
          </w:p>
          <w:p>
            <w:pPr>
              <w:pStyle w:val="yTableNAm"/>
              <w:keepLines/>
              <w:tabs>
                <w:tab w:val="left" w:pos="285"/>
              </w:tabs>
              <w:ind w:left="581" w:hanging="581"/>
              <w:rPr>
                <w:sz w:val="16"/>
              </w:rPr>
            </w:pPr>
            <w:r>
              <w:rPr>
                <w:sz w:val="16"/>
              </w:rPr>
              <w:tab/>
              <w:t>(b)</w:t>
            </w:r>
            <w:r>
              <w:rPr>
                <w:sz w:val="16"/>
              </w:rPr>
              <w:tab/>
              <w:t>if sold in metallic form (ferrovanadium), 2½% of the ferrovanadium price; or</w:t>
            </w:r>
          </w:p>
          <w:p>
            <w:pPr>
              <w:pStyle w:val="yTableNAm"/>
              <w:keepLines/>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lastRenderedPageBreak/>
              <w:tab/>
              <w:t>(b)</w:t>
            </w:r>
            <w:r>
              <w:rPr>
                <w:sz w:val="16"/>
              </w:rPr>
              <w:tab/>
              <w:t>if sold in metallic form, 2½% of the royalty value.</w:t>
            </w:r>
          </w:p>
        </w:tc>
      </w:tr>
      <w:tr>
        <w:tc>
          <w:tcPr>
            <w:tcW w:w="1440" w:type="dxa"/>
          </w:tcPr>
          <w:p>
            <w:pPr>
              <w:pStyle w:val="yTableNAm"/>
              <w:rPr>
                <w:sz w:val="16"/>
              </w:rPr>
            </w:pPr>
            <w:r>
              <w:rPr>
                <w:sz w:val="16"/>
              </w:rPr>
              <w:lastRenderedPageBreak/>
              <w:t>Zircon (concentrate)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keepNext/>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keepNext/>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keepNext/>
              <w:rPr>
                <w:sz w:val="16"/>
              </w:rPr>
            </w:pPr>
            <w:r>
              <w:rPr>
                <w:sz w:val="16"/>
              </w:rPr>
              <w:t>The rate is —</w:t>
            </w:r>
          </w:p>
          <w:p>
            <w:pPr>
              <w:pStyle w:val="yTableNAm"/>
              <w:keepNext/>
              <w:tabs>
                <w:tab w:val="left" w:pos="285"/>
              </w:tabs>
              <w:ind w:left="581" w:hanging="581"/>
              <w:rPr>
                <w:sz w:val="16"/>
              </w:rPr>
            </w:pPr>
            <w:r>
              <w:rPr>
                <w:sz w:val="16"/>
              </w:rPr>
              <w:tab/>
              <w:t>(a)</w:t>
            </w:r>
            <w:r>
              <w:rPr>
                <w:sz w:val="16"/>
              </w:rPr>
              <w:tab/>
              <w:t>if sold as crushed or screened material, 7.5% of the royalty value; or</w:t>
            </w:r>
          </w:p>
          <w:p>
            <w:pPr>
              <w:pStyle w:val="yTableNAm"/>
              <w:keepNext/>
              <w:tabs>
                <w:tab w:val="left" w:pos="285"/>
              </w:tabs>
              <w:ind w:left="581" w:hanging="581"/>
              <w:rPr>
                <w:sz w:val="16"/>
              </w:rPr>
            </w:pPr>
            <w:r>
              <w:rPr>
                <w:sz w:val="16"/>
              </w:rPr>
              <w:tab/>
              <w:t>(b)</w:t>
            </w:r>
            <w:r>
              <w:rPr>
                <w:sz w:val="16"/>
              </w:rPr>
              <w:tab/>
              <w:t>if sold as a concentrate, 5% of the royalty value; or</w:t>
            </w:r>
          </w:p>
          <w:p>
            <w:pPr>
              <w:pStyle w:val="yTableNAm"/>
              <w:keepNext/>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 18 Sep 2018 p. 3517</w:t>
      </w:r>
      <w:r>
        <w:rPr>
          <w:spacing w:val="-3"/>
        </w:rPr>
        <w:noBreakHyphen/>
        <w:t>18; SL 2020/25 r. 4; SL 2020/117 r. 4; SL 2021/43 r. 5.]</w:t>
      </w:r>
    </w:p>
    <w:p>
      <w:pPr>
        <w:pStyle w:val="Heading5"/>
        <w:keepLines w:val="0"/>
        <w:spacing w:before="240"/>
        <w:rPr>
          <w:snapToGrid w:val="0"/>
        </w:rPr>
      </w:pPr>
      <w:bookmarkStart w:id="225" w:name="_Toc92809315"/>
      <w:r>
        <w:rPr>
          <w:rStyle w:val="CharSectno"/>
        </w:rPr>
        <w:t>86AA</w:t>
      </w:r>
      <w:r>
        <w:rPr>
          <w:snapToGrid w:val="0"/>
        </w:rPr>
        <w:t>.</w:t>
      </w:r>
      <w:r>
        <w:rPr>
          <w:snapToGrid w:val="0"/>
        </w:rPr>
        <w:tab/>
        <w:t>Rates of royalty in respect of gold</w:t>
      </w:r>
      <w:bookmarkEnd w:id="225"/>
    </w:p>
    <w:p>
      <w:pPr>
        <w:pStyle w:val="Subsection"/>
        <w:rPr>
          <w:snapToGrid w:val="0"/>
        </w:rPr>
      </w:pPr>
      <w:r>
        <w:rPr>
          <w:snapToGrid w:val="0"/>
        </w:rPr>
        <w:tab/>
        <w:t>(1)</w:t>
      </w:r>
      <w:r>
        <w:rPr>
          <w:snapToGrid w:val="0"/>
        </w:rPr>
        <w:tab/>
        <w:t xml:space="preserve">When gold metal is produced from gold bearing material that was produced or obtained from a mining tenement, royalties </w:t>
      </w:r>
      <w:r>
        <w:rPr>
          <w:snapToGrid w:val="0"/>
        </w:rPr>
        <w:lastRenderedPageBreak/>
        <w:t>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keepNext/>
        <w:rPr>
          <w:snapToGrid w:val="0"/>
        </w:rPr>
      </w:pPr>
      <w:r>
        <w:rPr>
          <w:snapToGrid w:val="0"/>
        </w:rPr>
        <w:lastRenderedPageBreak/>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keepNext/>
      </w:pPr>
      <w:r>
        <w:lastRenderedPageBreak/>
        <w:tab/>
        <w:t>(b)</w:t>
      </w:r>
      <w:r>
        <w:tab/>
        <w:t xml:space="preserve">the amount of gold metal that is to be regarded as being produced from the gold bearing material is — </w:t>
      </w:r>
    </w:p>
    <w:p>
      <w:pPr>
        <w:pStyle w:val="Indenti"/>
        <w:spacing w:before="120"/>
      </w:pPr>
      <w:r>
        <w:tab/>
        <w:t>(i)</w:t>
      </w:r>
      <w:r>
        <w:tab/>
        <w:t>the payable gold metal content of the material as ascertained by the Director General of Mines from the invoice or invoices for the material or assays of the material; or</w:t>
      </w:r>
    </w:p>
    <w:p>
      <w:pPr>
        <w:pStyle w:val="Indenti"/>
        <w:spacing w:before="120"/>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spacing w:before="12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120"/>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spacing w:before="120"/>
      </w:pPr>
      <w:r>
        <w:tab/>
        <w:t>(c)</w:t>
      </w:r>
      <w:r>
        <w:tab/>
        <w:t xml:space="preserve">after an amount has been determined under subregulation (9A)(b)(ii) to be a reasonable estimate of the gold metal content of gold bearing material, the Director General of Mines is satisfied by information given by the person liable to pay the royalty that the </w:t>
      </w:r>
      <w:r>
        <w:lastRenderedPageBreak/>
        <w:t>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lastRenderedPageBreak/>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keepNext/>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Gazette 3 Oct 1997 p. 5531</w:t>
      </w:r>
      <w:r>
        <w:noBreakHyphen/>
        <w:t>3; amended: Gazette 24 Apr 1998 p. 2153; 14 Apr 2000 p. 1891; 14 Dec 2001 p. 6406; 29 Sep 2017 p. 4986</w:t>
      </w:r>
      <w:r>
        <w:noBreakHyphen/>
        <w:t>7 (disallowed: Gazette 17 Oct 2017 p. 5345); 24 Nov 2017 p. 5683 (disallowed: Gazette 1 Dec 2017 p. 5749); 4 May 2018 p. 1478</w:t>
      </w:r>
      <w:r>
        <w:noBreakHyphen/>
        <w:t>9.]</w:t>
      </w:r>
    </w:p>
    <w:p>
      <w:pPr>
        <w:pStyle w:val="Heading5"/>
      </w:pPr>
      <w:bookmarkStart w:id="226" w:name="_Toc92809316"/>
      <w:r>
        <w:rPr>
          <w:rStyle w:val="CharSectno"/>
        </w:rPr>
        <w:lastRenderedPageBreak/>
        <w:t>86AB</w:t>
      </w:r>
      <w:r>
        <w:t>.</w:t>
      </w:r>
      <w:r>
        <w:tab/>
        <w:t>Royalty value for nickel, and for cobalt and copper sold as a nickel by</w:t>
      </w:r>
      <w:r>
        <w:noBreakHyphen/>
        <w:t>product</w:t>
      </w:r>
      <w:bookmarkEnd w:id="226"/>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(3)</w:t>
      </w:r>
      <w:r>
        <w:tab/>
        <w:t>The royalty value of cobalt, or copper, sold as a nickel by</w:t>
      </w:r>
      <w:r>
        <w:noBreakHyphen/>
        <w:t xml:space="preserve">product is the amount, in Australian currency, obtained by multiplying the percentage of units of cobalt or copper metal, as </w:t>
      </w:r>
      <w:r>
        <w:lastRenderedPageBreak/>
        <w:t>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keepNext/>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Gazette 5 Sep 2017 p. 4683</w:t>
      </w:r>
      <w:r>
        <w:noBreakHyphen/>
        <w:t>4.]</w:t>
      </w:r>
    </w:p>
    <w:p>
      <w:pPr>
        <w:pStyle w:val="Heading5"/>
      </w:pPr>
      <w:bookmarkStart w:id="227" w:name="_Toc92809317"/>
      <w:r>
        <w:rPr>
          <w:rStyle w:val="CharSectno"/>
        </w:rPr>
        <w:t>86AC</w:t>
      </w:r>
      <w:r>
        <w:t>.</w:t>
      </w:r>
      <w:r>
        <w:tab/>
        <w:t>Rates of royalty for ilmenite feedstock</w:t>
      </w:r>
      <w:bookmarkEnd w:id="227"/>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lastRenderedPageBreak/>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keepNext/>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Gazette 28 Jan 2005 p. 361-2.]</w:t>
      </w:r>
    </w:p>
    <w:p>
      <w:pPr>
        <w:pStyle w:val="Heading5"/>
      </w:pPr>
      <w:bookmarkStart w:id="228" w:name="_Toc92809318"/>
      <w:r>
        <w:rPr>
          <w:rStyle w:val="CharSectno"/>
        </w:rPr>
        <w:t>86AD</w:t>
      </w:r>
      <w:r>
        <w:t>.</w:t>
      </w:r>
      <w:r>
        <w:tab/>
        <w:t>Royalty value of iron ore</w:t>
      </w:r>
      <w:bookmarkEnd w:id="228"/>
    </w:p>
    <w:p>
      <w:pPr>
        <w:pStyle w:val="Subsection"/>
        <w:keepNext/>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lastRenderedPageBreak/>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 xml:space="preserve">if there is no daily iron ore price as described in paragraph (a), the daily iron ore price last published in </w:t>
      </w:r>
      <w:r>
        <w:lastRenderedPageBreak/>
        <w:t>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lastRenderedPageBreak/>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lastRenderedPageBreak/>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Gazette 28 Nov 2014 p. 4417</w:t>
      </w:r>
      <w:r>
        <w:noBreakHyphen/>
        <w:t>19; amended: Gazette 24 Jul 2018 p. 2651</w:t>
      </w:r>
      <w:r>
        <w:noBreakHyphen/>
        <w:t>3.]</w:t>
      </w:r>
    </w:p>
    <w:p>
      <w:pPr>
        <w:pStyle w:val="Heading5"/>
      </w:pPr>
      <w:bookmarkStart w:id="229" w:name="_Toc92809319"/>
      <w:r>
        <w:rPr>
          <w:rStyle w:val="CharSectno"/>
        </w:rPr>
        <w:t>86AE</w:t>
      </w:r>
      <w:r>
        <w:t>.</w:t>
      </w:r>
      <w:r>
        <w:tab/>
        <w:t>Rates of royalty for lithium: feedstock and sales to related parties</w:t>
      </w:r>
      <w:bookmarkEnd w:id="229"/>
    </w:p>
    <w:p>
      <w:pPr>
        <w:pStyle w:val="Subsection"/>
      </w:pPr>
      <w:r>
        <w:tab/>
        <w:t>(1)</w:t>
      </w:r>
      <w:r>
        <w:tab/>
        <w:t xml:space="preserve">For the purposes of calculating royalty payable on lithium concentrate under regulation 86, the royalty value is worked out using the method determined under subregulation (2) in the following circumstances — </w:t>
      </w:r>
    </w:p>
    <w:p>
      <w:pPr>
        <w:pStyle w:val="Indenta"/>
      </w:pPr>
      <w:r>
        <w:tab/>
        <w:t>(a)</w:t>
      </w:r>
      <w:r>
        <w:tab/>
        <w:t>the sale of the concentrate is to a related corporation;</w:t>
      </w:r>
    </w:p>
    <w:p>
      <w:pPr>
        <w:pStyle w:val="Indenta"/>
      </w:pPr>
      <w:r>
        <w:tab/>
        <w:t>(b)</w:t>
      </w:r>
      <w:r>
        <w:tab/>
        <w:t>the concentrate is not sold but is used as feedstock in the production of lithium hydroxide or lithium carbonate.</w:t>
      </w:r>
    </w:p>
    <w:p>
      <w:pPr>
        <w:pStyle w:val="Subsection"/>
      </w:pPr>
      <w:r>
        <w:tab/>
        <w:t>(2)</w:t>
      </w:r>
      <w:r>
        <w:tab/>
        <w:t>The Minister may from time to time determine a method for working out the royalty value of lithium concentrate that takes into account prices obtained for lithium concentrate of the same or a similar grade to the lithium concentrate concerned.</w:t>
      </w:r>
    </w:p>
    <w:p>
      <w:pPr>
        <w:pStyle w:val="Subsection"/>
        <w:keepLines/>
      </w:pPr>
      <w:r>
        <w:tab/>
        <w:t>(3)</w:t>
      </w:r>
      <w:r>
        <w:tab/>
        <w:t>In the case of lithium concentrate used as described in subregulation (1)(b), regulation 86A(2) has effect as if the reference to the quarter in which the mineral was produced or obtained were a reference to the quarter in which the lithium concentrate was used.</w:t>
      </w:r>
    </w:p>
    <w:p>
      <w:pPr>
        <w:pStyle w:val="Footnotesection"/>
      </w:pPr>
      <w:r>
        <w:tab/>
        <w:t>[Regulation 86AE inserted: SL 2020/25 r. 5.]</w:t>
      </w:r>
    </w:p>
    <w:p>
      <w:pPr>
        <w:pStyle w:val="Heading5"/>
        <w:spacing w:before="240"/>
      </w:pPr>
      <w:bookmarkStart w:id="230" w:name="_Toc92809320"/>
      <w:r>
        <w:rPr>
          <w:rStyle w:val="CharSectno"/>
        </w:rPr>
        <w:t>86A</w:t>
      </w:r>
      <w:r>
        <w:t>.</w:t>
      </w:r>
      <w:r>
        <w:tab/>
        <w:t>Payment of royalties</w:t>
      </w:r>
      <w:bookmarkEnd w:id="230"/>
    </w:p>
    <w:p>
      <w:pPr>
        <w:pStyle w:val="Subsection"/>
      </w:pPr>
      <w:r>
        <w:tab/>
        <w:t>(1)</w:t>
      </w:r>
      <w:r>
        <w:tab/>
        <w:t>Royalties for a mineral shall be paid to the Department at Perth.</w:t>
      </w:r>
    </w:p>
    <w:p>
      <w:pPr>
        <w:pStyle w:val="Subsection"/>
      </w:pPr>
      <w:r>
        <w:tab/>
        <w:t>(2)</w:t>
      </w:r>
      <w:r>
        <w:tab/>
        <w:t xml:space="preserve">Subject to this regulation and regulation 86AE(3), royalties for a mineral shall be paid within 30 days after the end of the quarter </w:t>
      </w:r>
      <w:r>
        <w:lastRenderedPageBreak/>
        <w:t>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keepLines/>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 xml:space="preserve">if the royalty value of the ore is as described in regulation 86AD(2)(a) — royalties are, subject to subregulation (6), to be paid within 30 days after the end of the quarter during which the gross invoice value of </w:t>
      </w:r>
      <w:r>
        <w:lastRenderedPageBreak/>
        <w:t>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Next/>
        <w:keepLines/>
        <w:spacing w:before="12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keepNext/>
        <w:keepLines/>
        <w:spacing w:before="120"/>
      </w:pPr>
      <w:r>
        <w:tab/>
        <w:t>(7a)</w:t>
      </w:r>
      <w:r>
        <w:tab/>
        <w:t>For the purposes of subregulation (4A) and (6), the amount of a royalty part</w:t>
      </w:r>
      <w:r>
        <w:noBreakHyphen/>
        <w:t>payment shall be calculated using a method approved by the Director General of Mines.</w:t>
      </w:r>
    </w:p>
    <w:p>
      <w:pPr>
        <w:pStyle w:val="Subsection"/>
        <w:keepLines/>
        <w:spacing w:before="12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Ednotesubsection"/>
        <w:keepNext/>
      </w:pPr>
      <w:r>
        <w:lastRenderedPageBreak/>
        <w:tab/>
        <w:t>[(9)</w:t>
      </w:r>
      <w:r>
        <w:tab/>
        <w:t>deleted]</w:t>
      </w:r>
    </w:p>
    <w:p>
      <w:pPr>
        <w:pStyle w:val="Footnotesection"/>
        <w:keepLines w:val="0"/>
        <w:ind w:left="890" w:hanging="890"/>
      </w:pPr>
      <w:r>
        <w:tab/>
        <w:t>[Regulation 86A inserted: Gazette 14 Dec 2001 p. 6406</w:t>
      </w:r>
      <w:r>
        <w:noBreakHyphen/>
        <w:t>7; amended: Gazette 8 Feb 2002 p. 607; 20 May 2005 p. 2159; 19 Jun 2012 p. 2651; 28 Nov 2014 p. 4419-20; 5 Sep 2017 p. 4684</w:t>
      </w:r>
      <w:r>
        <w:noBreakHyphen/>
        <w:t>5; SL 2020/25 r. 6; SL 2021/43 r. 6.]</w:t>
      </w:r>
    </w:p>
    <w:p>
      <w:pPr>
        <w:pStyle w:val="Heading5"/>
        <w:spacing w:before="120"/>
        <w:rPr>
          <w:snapToGrid w:val="0"/>
        </w:rPr>
      </w:pPr>
      <w:bookmarkStart w:id="231" w:name="_Toc92809321"/>
      <w:r>
        <w:rPr>
          <w:rStyle w:val="CharSectno"/>
        </w:rPr>
        <w:t>86B</w:t>
      </w:r>
      <w:r>
        <w:rPr>
          <w:snapToGrid w:val="0"/>
        </w:rPr>
        <w:t>.</w:t>
      </w:r>
      <w:r>
        <w:rPr>
          <w:snapToGrid w:val="0"/>
        </w:rPr>
        <w:tab/>
        <w:t>Tenement within Carnarvon Irrigation District</w:t>
      </w:r>
      <w:bookmarkEnd w:id="231"/>
    </w:p>
    <w:p>
      <w:pPr>
        <w:pStyle w:val="Subsection"/>
        <w:keepLines/>
        <w:spacing w:before="120"/>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by Gazette 6 Aug 1982 p. 3099.]</w:t>
      </w:r>
    </w:p>
    <w:p>
      <w:pPr>
        <w:pStyle w:val="Ednotesection"/>
        <w:spacing w:before="240"/>
        <w:ind w:left="890" w:hanging="890"/>
      </w:pPr>
      <w:r>
        <w:t>[</w:t>
      </w:r>
      <w:r>
        <w:rPr>
          <w:b/>
        </w:rPr>
        <w:t>86C.</w:t>
      </w:r>
      <w:r>
        <w:rPr>
          <w:b/>
        </w:rPr>
        <w:tab/>
      </w:r>
      <w:r>
        <w:t>Deleted by Gazette 3 Oct 1997 p. 5533.]</w:t>
      </w:r>
    </w:p>
    <w:p>
      <w:pPr>
        <w:pStyle w:val="Heading5"/>
        <w:rPr>
          <w:snapToGrid w:val="0"/>
        </w:rPr>
      </w:pPr>
      <w:bookmarkStart w:id="232" w:name="_Toc92809322"/>
      <w:r>
        <w:rPr>
          <w:rStyle w:val="CharSectno"/>
        </w:rPr>
        <w:t>86D</w:t>
      </w:r>
      <w:r>
        <w:rPr>
          <w:snapToGrid w:val="0"/>
        </w:rPr>
        <w:t>.</w:t>
      </w:r>
      <w:r>
        <w:rPr>
          <w:snapToGrid w:val="0"/>
        </w:rPr>
        <w:tab/>
        <w:t>Exemption in respect of certain clay, gravel, limestone, rock or sand</w:t>
      </w:r>
      <w:bookmarkEnd w:id="23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keepNext/>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by Gazette 12 Nov 1982 p. 4490.]</w:t>
      </w:r>
    </w:p>
    <w:p>
      <w:pPr>
        <w:pStyle w:val="Heading5"/>
        <w:rPr>
          <w:snapToGrid w:val="0"/>
        </w:rPr>
      </w:pPr>
      <w:bookmarkStart w:id="233" w:name="_Toc92809323"/>
      <w:r>
        <w:rPr>
          <w:rStyle w:val="CharSectno"/>
        </w:rPr>
        <w:t>86E</w:t>
      </w:r>
      <w:r>
        <w:rPr>
          <w:snapToGrid w:val="0"/>
        </w:rPr>
        <w:t>.</w:t>
      </w:r>
      <w:r>
        <w:rPr>
          <w:snapToGrid w:val="0"/>
        </w:rPr>
        <w:tab/>
        <w:t>Exemption in respect of rock for Eyre Highway</w:t>
      </w:r>
      <w:bookmarkEnd w:id="233"/>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lastRenderedPageBreak/>
        <w:tab/>
        <w:t>[Regulation 86E inserted by Gazette 3 Jul 1992 p. 2973; amended by Gazette 4 Apr 1997 p. 1779.]</w:t>
      </w:r>
    </w:p>
    <w:p>
      <w:pPr>
        <w:pStyle w:val="Ednotesection"/>
      </w:pPr>
      <w:r>
        <w:t>[</w:t>
      </w:r>
      <w:r>
        <w:rPr>
          <w:b/>
        </w:rPr>
        <w:t>86F.</w:t>
      </w:r>
      <w:r>
        <w:tab/>
        <w:t>Deleted by Gazette 1 Mar 2011 p. 685.]</w:t>
      </w:r>
    </w:p>
    <w:p>
      <w:pPr>
        <w:pStyle w:val="Heading5"/>
        <w:rPr>
          <w:snapToGrid w:val="0"/>
        </w:rPr>
      </w:pPr>
      <w:bookmarkStart w:id="234" w:name="_Toc92809324"/>
      <w:r>
        <w:rPr>
          <w:rStyle w:val="CharSectno"/>
        </w:rPr>
        <w:t>87</w:t>
      </w:r>
      <w:r>
        <w:rPr>
          <w:snapToGrid w:val="0"/>
        </w:rPr>
        <w:t>.</w:t>
      </w:r>
      <w:r>
        <w:rPr>
          <w:snapToGrid w:val="0"/>
        </w:rPr>
        <w:tab/>
        <w:t>Minister may determine value of mineral for the purpose of calculating royalties</w:t>
      </w:r>
      <w:bookmarkEnd w:id="23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keepNext/>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Gazette 20 May 1988 p. 1706; amended: Gazette 3 Oct 1997 p. 5533; 14 Dec 2001 p. 6407; 13 Dec 2002 p. 5805; 28 Nov 2014 p. 4420.]</w:t>
      </w:r>
    </w:p>
    <w:p>
      <w:pPr>
        <w:pStyle w:val="Heading5"/>
        <w:rPr>
          <w:snapToGrid w:val="0"/>
        </w:rPr>
      </w:pPr>
      <w:bookmarkStart w:id="235" w:name="_Toc92809325"/>
      <w:r>
        <w:rPr>
          <w:rStyle w:val="CharSectno"/>
        </w:rPr>
        <w:lastRenderedPageBreak/>
        <w:t>87A</w:t>
      </w:r>
      <w:r>
        <w:rPr>
          <w:snapToGrid w:val="0"/>
        </w:rPr>
        <w:t>.</w:t>
      </w:r>
      <w:r>
        <w:rPr>
          <w:snapToGrid w:val="0"/>
        </w:rPr>
        <w:tab/>
        <w:t>Notice of determination and assessment under r. 87</w:t>
      </w:r>
      <w:bookmarkEnd w:id="235"/>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ind w:left="890" w:hanging="890"/>
      </w:pPr>
      <w:r>
        <w:tab/>
        <w:t>[Regulation 87A inserted: Gazette 20 May 1988 p. 1706.]</w:t>
      </w:r>
    </w:p>
    <w:p>
      <w:pPr>
        <w:pStyle w:val="Heading5"/>
        <w:rPr>
          <w:snapToGrid w:val="0"/>
        </w:rPr>
      </w:pPr>
      <w:bookmarkStart w:id="236" w:name="_Toc92809326"/>
      <w:r>
        <w:rPr>
          <w:rStyle w:val="CharSectno"/>
        </w:rPr>
        <w:t>87B</w:t>
      </w:r>
      <w:r>
        <w:rPr>
          <w:snapToGrid w:val="0"/>
        </w:rPr>
        <w:t>.</w:t>
      </w:r>
      <w:r>
        <w:rPr>
          <w:snapToGrid w:val="0"/>
        </w:rPr>
        <w:tab/>
        <w:t>Records</w:t>
      </w:r>
      <w:bookmarkEnd w:id="236"/>
    </w:p>
    <w:p>
      <w:pPr>
        <w:pStyle w:val="Subsection"/>
        <w:keepNext/>
        <w:keepLines/>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keepNext/>
        <w:widowControl w:val="0"/>
        <w:rPr>
          <w:snapToGrid w:val="0"/>
        </w:rPr>
      </w:pPr>
      <w:r>
        <w:rPr>
          <w:snapToGrid w:val="0"/>
        </w:rPr>
        <w:tab/>
        <w:t>(b)</w:t>
      </w:r>
      <w:r>
        <w:rPr>
          <w:snapToGrid w:val="0"/>
        </w:rPr>
        <w:tab/>
        <w:t>to substantiate the details and calculations on all royalty returns forwarded under regulation 85B</w:t>
      </w:r>
      <w:r>
        <w:t xml:space="preserve"> </w:t>
      </w:r>
      <w:r>
        <w:rPr>
          <w:snapToGrid w:val="0"/>
        </w:rPr>
        <w:t>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Gazette 20 May 1988 p. 1706; amended: Gazette 14 Dec 2001 p. 6407</w:t>
      </w:r>
      <w:r>
        <w:noBreakHyphen/>
        <w:t>8; 8 Feb 2002 p. 608; SL 2021/43 r. 7.]</w:t>
      </w:r>
    </w:p>
    <w:p>
      <w:pPr>
        <w:pStyle w:val="Ednotesection"/>
      </w:pPr>
      <w:r>
        <w:lastRenderedPageBreak/>
        <w:t>[</w:t>
      </w:r>
      <w:r>
        <w:rPr>
          <w:b/>
        </w:rPr>
        <w:t>88.</w:t>
      </w:r>
      <w:r>
        <w:tab/>
        <w:t>Deleted: Gazette 31 May 1991 p. 2699.]</w:t>
      </w:r>
    </w:p>
    <w:p>
      <w:pPr>
        <w:pStyle w:val="Heading5"/>
        <w:rPr>
          <w:snapToGrid w:val="0"/>
        </w:rPr>
      </w:pPr>
      <w:bookmarkStart w:id="237" w:name="_Toc92809327"/>
      <w:r>
        <w:rPr>
          <w:rStyle w:val="CharSectno"/>
        </w:rPr>
        <w:t>89</w:t>
      </w:r>
      <w:r>
        <w:rPr>
          <w:snapToGrid w:val="0"/>
        </w:rPr>
        <w:t>.</w:t>
      </w:r>
      <w:r>
        <w:rPr>
          <w:snapToGrid w:val="0"/>
        </w:rPr>
        <w:tab/>
        <w:t>Recovery of royalty</w:t>
      </w:r>
      <w:bookmarkEnd w:id="237"/>
    </w:p>
    <w:p>
      <w:pPr>
        <w:pStyle w:val="Subsection"/>
        <w:rPr>
          <w:snapToGrid w:val="0"/>
        </w:rPr>
      </w:pPr>
      <w:r>
        <w:rPr>
          <w:snapToGrid w:val="0"/>
        </w:rPr>
        <w:tab/>
      </w:r>
      <w:r>
        <w:rPr>
          <w:snapToGrid w:val="0"/>
        </w:rPr>
        <w:tab/>
        <w:t>Any amount of royalty payable pursuant to these regulations</w:t>
      </w:r>
      <w:r>
        <w:t xml:space="preserve"> </w:t>
      </w:r>
      <w:r>
        <w:rPr>
          <w:snapToGrid w:val="0"/>
        </w:rPr>
        <w:t>and unpaid may be recovered by the Minister on behalf of the Crown by action as for a debt due to the Crown in any court of competent jurisdiction.</w:t>
      </w:r>
    </w:p>
    <w:p>
      <w:pPr>
        <w:pStyle w:val="Footnotesection"/>
      </w:pPr>
      <w:r>
        <w:tab/>
        <w:t>[Regulation 89 amended: Gazette 8 Feb 2002 p. 608; SL 2021/43 r. 8.]</w:t>
      </w:r>
    </w:p>
    <w:p>
      <w:pPr>
        <w:pStyle w:val="Heading3"/>
      </w:pPr>
      <w:bookmarkStart w:id="238" w:name="_Toc92799446"/>
      <w:bookmarkStart w:id="239" w:name="_Toc92799860"/>
      <w:bookmarkStart w:id="240" w:name="_Toc92809328"/>
      <w:r>
        <w:rPr>
          <w:rStyle w:val="CharDivNo"/>
        </w:rPr>
        <w:t>Division 5A</w:t>
      </w:r>
      <w:r>
        <w:t> — </w:t>
      </w:r>
      <w:r>
        <w:rPr>
          <w:rStyle w:val="CharDivText"/>
        </w:rPr>
        <w:t>Prescribed Australian datum</w:t>
      </w:r>
      <w:bookmarkEnd w:id="238"/>
      <w:bookmarkEnd w:id="239"/>
      <w:bookmarkEnd w:id="240"/>
    </w:p>
    <w:p>
      <w:pPr>
        <w:pStyle w:val="Footnoteheading"/>
        <w:ind w:left="890"/>
      </w:pPr>
      <w:r>
        <w:tab/>
        <w:t>[Heading inserted: Gazette 15 Dec 2000 p. 7219.]</w:t>
      </w:r>
    </w:p>
    <w:p>
      <w:pPr>
        <w:pStyle w:val="Heading5"/>
      </w:pPr>
      <w:bookmarkStart w:id="241" w:name="_Toc92809329"/>
      <w:r>
        <w:rPr>
          <w:rStyle w:val="CharSectno"/>
        </w:rPr>
        <w:t>89A</w:t>
      </w:r>
      <w:r>
        <w:t>.</w:t>
      </w:r>
      <w:r>
        <w:tab/>
        <w:t>Geocentric Datum of Australia (Act s. 9B)</w:t>
      </w:r>
      <w:bookmarkEnd w:id="241"/>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6884" w:type="dxa"/>
        <w:tblInd w:w="454" w:type="dxa"/>
        <w:tblLayout w:type="fixed"/>
        <w:tblLook w:val="0000" w:firstRow="0" w:lastRow="0" w:firstColumn="0" w:lastColumn="0" w:noHBand="0" w:noVBand="0"/>
      </w:tblPr>
      <w:tblGrid>
        <w:gridCol w:w="938"/>
        <w:gridCol w:w="1268"/>
        <w:gridCol w:w="1701"/>
        <w:gridCol w:w="1843"/>
        <w:gridCol w:w="1134"/>
      </w:tblGrid>
      <w:tr>
        <w:trPr>
          <w:tblHeader/>
        </w:trPr>
        <w:tc>
          <w:tcPr>
            <w:tcW w:w="938" w:type="dxa"/>
          </w:tcPr>
          <w:p>
            <w:pPr>
              <w:pStyle w:val="TableNAm"/>
              <w:rPr>
                <w:b/>
                <w:sz w:val="20"/>
              </w:rPr>
            </w:pPr>
            <w:r>
              <w:rPr>
                <w:b/>
                <w:sz w:val="20"/>
              </w:rPr>
              <w:br w:type="page"/>
              <w:t>No.</w:t>
            </w:r>
          </w:p>
        </w:tc>
        <w:tc>
          <w:tcPr>
            <w:tcW w:w="1268" w:type="dxa"/>
          </w:tcPr>
          <w:p>
            <w:pPr>
              <w:pStyle w:val="TableNAm"/>
              <w:rPr>
                <w:b/>
                <w:sz w:val="20"/>
              </w:rPr>
            </w:pPr>
            <w:r>
              <w:rPr>
                <w:b/>
                <w:sz w:val="20"/>
              </w:rPr>
              <w:t>Name</w:t>
            </w:r>
          </w:p>
        </w:tc>
        <w:tc>
          <w:tcPr>
            <w:tcW w:w="1701" w:type="dxa"/>
          </w:tcPr>
          <w:p>
            <w:pPr>
              <w:pStyle w:val="TableNAm"/>
              <w:rPr>
                <w:b/>
                <w:sz w:val="20"/>
              </w:rPr>
            </w:pPr>
            <w:r>
              <w:rPr>
                <w:b/>
                <w:sz w:val="20"/>
              </w:rPr>
              <w:t>South latitude</w:t>
            </w:r>
          </w:p>
        </w:tc>
        <w:tc>
          <w:tcPr>
            <w:tcW w:w="1843" w:type="dxa"/>
          </w:tcPr>
          <w:p>
            <w:pPr>
              <w:pStyle w:val="TableNAm"/>
              <w:rPr>
                <w:b/>
                <w:sz w:val="20"/>
              </w:rPr>
            </w:pPr>
            <w:r>
              <w:rPr>
                <w:b/>
                <w:sz w:val="20"/>
              </w:rPr>
              <w:t>East longitude</w:t>
            </w:r>
          </w:p>
        </w:tc>
        <w:tc>
          <w:tcPr>
            <w:tcW w:w="1134" w:type="dxa"/>
          </w:tcPr>
          <w:p>
            <w:pPr>
              <w:pStyle w:val="TableNAm"/>
              <w:rPr>
                <w:b/>
                <w:sz w:val="20"/>
              </w:rPr>
            </w:pPr>
            <w:r>
              <w:rPr>
                <w:b/>
                <w:sz w:val="20"/>
              </w:rPr>
              <w:t>Ellipsoidal height</w:t>
            </w:r>
          </w:p>
        </w:tc>
      </w:tr>
      <w:tr>
        <w:tc>
          <w:tcPr>
            <w:tcW w:w="938" w:type="dxa"/>
          </w:tcPr>
          <w:p>
            <w:pPr>
              <w:pStyle w:val="TableNAm"/>
              <w:rPr>
                <w:sz w:val="20"/>
              </w:rPr>
            </w:pPr>
            <w:r>
              <w:rPr>
                <w:sz w:val="20"/>
              </w:rPr>
              <w:t>AU 012</w:t>
            </w:r>
          </w:p>
        </w:tc>
        <w:tc>
          <w:tcPr>
            <w:tcW w:w="1268" w:type="dxa"/>
          </w:tcPr>
          <w:p>
            <w:pPr>
              <w:pStyle w:val="TableNAm"/>
              <w:rPr>
                <w:sz w:val="20"/>
              </w:rPr>
            </w:pPr>
            <w:r>
              <w:rPr>
                <w:sz w:val="20"/>
              </w:rPr>
              <w:t>Alice Springs</w:t>
            </w:r>
          </w:p>
        </w:tc>
        <w:tc>
          <w:tcPr>
            <w:tcW w:w="1701" w:type="dxa"/>
          </w:tcPr>
          <w:p>
            <w:pPr>
              <w:pStyle w:val="TableNAm"/>
              <w:rPr>
                <w:sz w:val="20"/>
              </w:rPr>
            </w:pPr>
            <w:r>
              <w:rPr>
                <w:sz w:val="20"/>
              </w:rPr>
              <w:t>23° 40′ 12.44592″</w:t>
            </w:r>
          </w:p>
        </w:tc>
        <w:tc>
          <w:tcPr>
            <w:tcW w:w="1843" w:type="dxa"/>
          </w:tcPr>
          <w:p>
            <w:pPr>
              <w:pStyle w:val="TableNAm"/>
              <w:rPr>
                <w:sz w:val="20"/>
              </w:rPr>
            </w:pPr>
            <w:r>
              <w:rPr>
                <w:sz w:val="20"/>
              </w:rPr>
              <w:t>133° 53′ 07.84757″</w:t>
            </w:r>
          </w:p>
        </w:tc>
        <w:tc>
          <w:tcPr>
            <w:tcW w:w="1134" w:type="dxa"/>
          </w:tcPr>
          <w:p>
            <w:pPr>
              <w:pStyle w:val="TableNAm"/>
              <w:rPr>
                <w:sz w:val="20"/>
              </w:rPr>
            </w:pPr>
            <w:r>
              <w:rPr>
                <w:sz w:val="20"/>
              </w:rPr>
              <w:t>603.358 m</w:t>
            </w:r>
          </w:p>
        </w:tc>
      </w:tr>
      <w:tr>
        <w:tc>
          <w:tcPr>
            <w:tcW w:w="938" w:type="dxa"/>
          </w:tcPr>
          <w:p>
            <w:pPr>
              <w:pStyle w:val="TableNAm"/>
              <w:keepNext/>
              <w:rPr>
                <w:sz w:val="20"/>
              </w:rPr>
            </w:pPr>
            <w:r>
              <w:rPr>
                <w:sz w:val="20"/>
              </w:rPr>
              <w:lastRenderedPageBreak/>
              <w:t>AU 013</w:t>
            </w:r>
          </w:p>
        </w:tc>
        <w:tc>
          <w:tcPr>
            <w:tcW w:w="1268" w:type="dxa"/>
          </w:tcPr>
          <w:p>
            <w:pPr>
              <w:pStyle w:val="TableNAm"/>
              <w:keepNext/>
              <w:rPr>
                <w:sz w:val="20"/>
              </w:rPr>
            </w:pPr>
            <w:r>
              <w:rPr>
                <w:sz w:val="20"/>
              </w:rPr>
              <w:t>Karratha</w:t>
            </w:r>
          </w:p>
        </w:tc>
        <w:tc>
          <w:tcPr>
            <w:tcW w:w="1701" w:type="dxa"/>
          </w:tcPr>
          <w:p>
            <w:pPr>
              <w:pStyle w:val="TableNAm"/>
              <w:keepNext/>
              <w:rPr>
                <w:sz w:val="20"/>
              </w:rPr>
            </w:pPr>
            <w:r>
              <w:rPr>
                <w:sz w:val="20"/>
              </w:rPr>
              <w:t>20° 58′ 53.17004″</w:t>
            </w:r>
          </w:p>
        </w:tc>
        <w:tc>
          <w:tcPr>
            <w:tcW w:w="1843" w:type="dxa"/>
          </w:tcPr>
          <w:p>
            <w:pPr>
              <w:pStyle w:val="TableNAm"/>
              <w:keepNext/>
              <w:rPr>
                <w:sz w:val="20"/>
              </w:rPr>
            </w:pPr>
            <w:r>
              <w:rPr>
                <w:sz w:val="20"/>
              </w:rPr>
              <w:t>117° 05′ 49.87255″</w:t>
            </w:r>
          </w:p>
        </w:tc>
        <w:tc>
          <w:tcPr>
            <w:tcW w:w="1134" w:type="dxa"/>
          </w:tcPr>
          <w:p>
            <w:pPr>
              <w:pStyle w:val="TableNAm"/>
              <w:keepNext/>
              <w:rPr>
                <w:sz w:val="20"/>
              </w:rPr>
            </w:pPr>
            <w:r>
              <w:rPr>
                <w:sz w:val="20"/>
              </w:rPr>
              <w:t>109.246 m</w:t>
            </w:r>
          </w:p>
        </w:tc>
      </w:tr>
      <w:tr>
        <w:tc>
          <w:tcPr>
            <w:tcW w:w="938" w:type="dxa"/>
          </w:tcPr>
          <w:p>
            <w:pPr>
              <w:pStyle w:val="TableNAm"/>
              <w:rPr>
                <w:sz w:val="20"/>
              </w:rPr>
            </w:pPr>
            <w:r>
              <w:rPr>
                <w:sz w:val="20"/>
              </w:rPr>
              <w:t>AU 014</w:t>
            </w:r>
          </w:p>
        </w:tc>
        <w:tc>
          <w:tcPr>
            <w:tcW w:w="1268" w:type="dxa"/>
          </w:tcPr>
          <w:p>
            <w:pPr>
              <w:pStyle w:val="TableNAm"/>
              <w:rPr>
                <w:sz w:val="20"/>
              </w:rPr>
            </w:pPr>
            <w:r>
              <w:rPr>
                <w:sz w:val="20"/>
              </w:rPr>
              <w:t>Darwin</w:t>
            </w:r>
          </w:p>
        </w:tc>
        <w:tc>
          <w:tcPr>
            <w:tcW w:w="1701" w:type="dxa"/>
          </w:tcPr>
          <w:p>
            <w:pPr>
              <w:pStyle w:val="TableNAm"/>
              <w:rPr>
                <w:sz w:val="20"/>
              </w:rPr>
            </w:pPr>
            <w:r>
              <w:rPr>
                <w:sz w:val="20"/>
              </w:rPr>
              <w:t>12° 50′ 37.35839″</w:t>
            </w:r>
          </w:p>
        </w:tc>
        <w:tc>
          <w:tcPr>
            <w:tcW w:w="1843" w:type="dxa"/>
          </w:tcPr>
          <w:p>
            <w:pPr>
              <w:pStyle w:val="TableNAm"/>
              <w:rPr>
                <w:sz w:val="20"/>
              </w:rPr>
            </w:pPr>
            <w:r>
              <w:rPr>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268" w:type="dxa"/>
          </w:tcPr>
          <w:p>
            <w:pPr>
              <w:pStyle w:val="TableNAm"/>
              <w:rPr>
                <w:sz w:val="20"/>
              </w:rPr>
            </w:pPr>
            <w:r>
              <w:rPr>
                <w:sz w:val="20"/>
              </w:rPr>
              <w:t>Townsville</w:t>
            </w:r>
          </w:p>
        </w:tc>
        <w:tc>
          <w:tcPr>
            <w:tcW w:w="1701" w:type="dxa"/>
          </w:tcPr>
          <w:p>
            <w:pPr>
              <w:pStyle w:val="TableNAm"/>
              <w:rPr>
                <w:sz w:val="20"/>
              </w:rPr>
            </w:pPr>
            <w:r>
              <w:rPr>
                <w:sz w:val="20"/>
              </w:rPr>
              <w:t>19° 20′ 50.42839″</w:t>
            </w:r>
          </w:p>
        </w:tc>
        <w:tc>
          <w:tcPr>
            <w:tcW w:w="1843" w:type="dxa"/>
          </w:tcPr>
          <w:p>
            <w:pPr>
              <w:pStyle w:val="TableNAm"/>
              <w:rPr>
                <w:sz w:val="20"/>
              </w:rPr>
            </w:pPr>
            <w:r>
              <w:rPr>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268" w:type="dxa"/>
          </w:tcPr>
          <w:p>
            <w:pPr>
              <w:pStyle w:val="TableNAm"/>
              <w:rPr>
                <w:sz w:val="20"/>
              </w:rPr>
            </w:pPr>
            <w:r>
              <w:rPr>
                <w:sz w:val="20"/>
              </w:rPr>
              <w:t>Hobart</w:t>
            </w:r>
          </w:p>
        </w:tc>
        <w:tc>
          <w:tcPr>
            <w:tcW w:w="1701" w:type="dxa"/>
          </w:tcPr>
          <w:p>
            <w:pPr>
              <w:pStyle w:val="TableNAm"/>
              <w:rPr>
                <w:sz w:val="20"/>
              </w:rPr>
            </w:pPr>
            <w:r>
              <w:rPr>
                <w:sz w:val="20"/>
              </w:rPr>
              <w:t>42° 48′ 16.98506″</w:t>
            </w:r>
          </w:p>
        </w:tc>
        <w:tc>
          <w:tcPr>
            <w:tcW w:w="1843" w:type="dxa"/>
          </w:tcPr>
          <w:p>
            <w:pPr>
              <w:pStyle w:val="TableNAm"/>
              <w:rPr>
                <w:sz w:val="20"/>
              </w:rPr>
            </w:pPr>
            <w:r>
              <w:rPr>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268" w:type="dxa"/>
          </w:tcPr>
          <w:p>
            <w:pPr>
              <w:pStyle w:val="TableNAm"/>
              <w:rPr>
                <w:sz w:val="20"/>
              </w:rPr>
            </w:pPr>
            <w:r>
              <w:rPr>
                <w:sz w:val="20"/>
              </w:rPr>
              <w:t>Tidbinbilla</w:t>
            </w:r>
          </w:p>
        </w:tc>
        <w:tc>
          <w:tcPr>
            <w:tcW w:w="1701" w:type="dxa"/>
          </w:tcPr>
          <w:p>
            <w:pPr>
              <w:pStyle w:val="TableNAm"/>
              <w:rPr>
                <w:sz w:val="20"/>
              </w:rPr>
            </w:pPr>
            <w:r>
              <w:rPr>
                <w:sz w:val="20"/>
              </w:rPr>
              <w:t>35° 23′ 57.15627″</w:t>
            </w:r>
          </w:p>
        </w:tc>
        <w:tc>
          <w:tcPr>
            <w:tcW w:w="1843" w:type="dxa"/>
          </w:tcPr>
          <w:p>
            <w:pPr>
              <w:pStyle w:val="TableNAm"/>
              <w:rPr>
                <w:sz w:val="20"/>
              </w:rPr>
            </w:pPr>
            <w:r>
              <w:rPr>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268" w:type="dxa"/>
          </w:tcPr>
          <w:p>
            <w:pPr>
              <w:pStyle w:val="TableNAm"/>
              <w:rPr>
                <w:sz w:val="20"/>
              </w:rPr>
            </w:pPr>
            <w:r>
              <w:rPr>
                <w:sz w:val="20"/>
              </w:rPr>
              <w:t>Ceduna</w:t>
            </w:r>
          </w:p>
        </w:tc>
        <w:tc>
          <w:tcPr>
            <w:tcW w:w="1701" w:type="dxa"/>
          </w:tcPr>
          <w:p>
            <w:pPr>
              <w:pStyle w:val="TableNAm"/>
              <w:rPr>
                <w:sz w:val="20"/>
              </w:rPr>
            </w:pPr>
            <w:r>
              <w:rPr>
                <w:sz w:val="20"/>
              </w:rPr>
              <w:t>31° 52′ 00.01664″</w:t>
            </w:r>
          </w:p>
        </w:tc>
        <w:tc>
          <w:tcPr>
            <w:tcW w:w="1843" w:type="dxa"/>
          </w:tcPr>
          <w:p>
            <w:pPr>
              <w:pStyle w:val="TableNAm"/>
              <w:rPr>
                <w:sz w:val="20"/>
              </w:rPr>
            </w:pPr>
            <w:r>
              <w:rPr>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268" w:type="dxa"/>
          </w:tcPr>
          <w:p>
            <w:pPr>
              <w:pStyle w:val="TableNAm"/>
              <w:rPr>
                <w:sz w:val="20"/>
              </w:rPr>
            </w:pPr>
            <w:r>
              <w:rPr>
                <w:sz w:val="20"/>
              </w:rPr>
              <w:t>Yarragadee</w:t>
            </w:r>
          </w:p>
        </w:tc>
        <w:tc>
          <w:tcPr>
            <w:tcW w:w="1701" w:type="dxa"/>
          </w:tcPr>
          <w:p>
            <w:pPr>
              <w:pStyle w:val="TableNAm"/>
              <w:rPr>
                <w:sz w:val="20"/>
              </w:rPr>
            </w:pPr>
            <w:r>
              <w:rPr>
                <w:sz w:val="20"/>
              </w:rPr>
              <w:t>29° 02′ 47.61687″</w:t>
            </w:r>
          </w:p>
        </w:tc>
        <w:tc>
          <w:tcPr>
            <w:tcW w:w="1843" w:type="dxa"/>
          </w:tcPr>
          <w:p>
            <w:pPr>
              <w:pStyle w:val="TableNAm"/>
              <w:rPr>
                <w:sz w:val="20"/>
              </w:rPr>
            </w:pPr>
            <w:r>
              <w:rPr>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Gazette 15 Dec 2000 p. 7219</w:t>
      </w:r>
      <w:r>
        <w:noBreakHyphen/>
        <w:t>20; amended: Gazette 15 Jan 2010 p. 112; SL 2020/117 r. 5.]</w:t>
      </w:r>
    </w:p>
    <w:p>
      <w:pPr>
        <w:pStyle w:val="Heading3"/>
        <w:keepLines/>
      </w:pPr>
      <w:bookmarkStart w:id="242" w:name="_Toc92799448"/>
      <w:bookmarkStart w:id="243" w:name="_Toc92799862"/>
      <w:bookmarkStart w:id="244" w:name="_Toc92809330"/>
      <w:r>
        <w:rPr>
          <w:rStyle w:val="CharDivNo"/>
        </w:rPr>
        <w:t>Division 6</w:t>
      </w:r>
      <w:r>
        <w:rPr>
          <w:snapToGrid w:val="0"/>
        </w:rPr>
        <w:t> — </w:t>
      </w:r>
      <w:r>
        <w:rPr>
          <w:rStyle w:val="CharDivText"/>
        </w:rPr>
        <w:t>Miscellaneous</w:t>
      </w:r>
      <w:bookmarkEnd w:id="242"/>
      <w:bookmarkEnd w:id="243"/>
      <w:bookmarkEnd w:id="244"/>
    </w:p>
    <w:p>
      <w:pPr>
        <w:pStyle w:val="Heading5"/>
        <w:keepNext w:val="0"/>
      </w:pPr>
      <w:bookmarkStart w:id="245" w:name="_Toc92809331"/>
      <w:r>
        <w:rPr>
          <w:rStyle w:val="CharSectno"/>
        </w:rPr>
        <w:t>89B</w:t>
      </w:r>
      <w:r>
        <w:t>.</w:t>
      </w:r>
      <w:r>
        <w:tab/>
        <w:t>Prescribed office (Act s. 8(1))</w:t>
      </w:r>
      <w:bookmarkEnd w:id="245"/>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Gazette 17 Jan 2003 p. 106; amended: Gazette 3 Feb 2006 p. 594; 18 Mar 2011 p. 919; 22 Dec 2017 p. 5991.]</w:t>
      </w:r>
    </w:p>
    <w:p>
      <w:pPr>
        <w:pStyle w:val="Heading5"/>
      </w:pPr>
      <w:bookmarkStart w:id="246" w:name="_Toc92809332"/>
      <w:r>
        <w:rPr>
          <w:rStyle w:val="CharSectno"/>
        </w:rPr>
        <w:t>89C</w:t>
      </w:r>
      <w:r>
        <w:t>.</w:t>
      </w:r>
      <w:r>
        <w:tab/>
        <w:t>Identified mineral resource (Act s. 8(1))</w:t>
      </w:r>
      <w:bookmarkEnd w:id="246"/>
    </w:p>
    <w:p>
      <w:pPr>
        <w:pStyle w:val="Subsection"/>
      </w:pPr>
      <w:r>
        <w:tab/>
        <w:t>(1)</w:t>
      </w:r>
      <w:r>
        <w:tab/>
        <w:t>In this regulation —</w:t>
      </w:r>
    </w:p>
    <w:p>
      <w:pPr>
        <w:pStyle w:val="Defstart"/>
      </w:pPr>
      <w:r>
        <w:rPr>
          <w:b/>
        </w:rPr>
        <w:tab/>
      </w:r>
      <w:r>
        <w:rPr>
          <w:rStyle w:val="CharDefText"/>
        </w:rPr>
        <w:t>JORC Code</w:t>
      </w:r>
      <w:r>
        <w:t xml:space="preserve"> means the </w:t>
      </w:r>
      <w:r>
        <w:rPr>
          <w:i/>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Lines/>
      </w:pPr>
      <w:r>
        <w:lastRenderedPageBreak/>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Gazette 3 Feb 2006 p. 595.]</w:t>
      </w:r>
    </w:p>
    <w:p>
      <w:pPr>
        <w:pStyle w:val="Heading5"/>
        <w:rPr>
          <w:snapToGrid w:val="0"/>
        </w:rPr>
      </w:pPr>
      <w:bookmarkStart w:id="247" w:name="_Toc92809333"/>
      <w:r>
        <w:rPr>
          <w:rStyle w:val="CharSectno"/>
        </w:rPr>
        <w:t>90</w:t>
      </w:r>
      <w:r>
        <w:rPr>
          <w:snapToGrid w:val="0"/>
        </w:rPr>
        <w:t>.</w:t>
      </w:r>
      <w:r>
        <w:rPr>
          <w:snapToGrid w:val="0"/>
        </w:rPr>
        <w:tab/>
        <w:t>Forms to be completed in accordance with directions</w:t>
      </w:r>
      <w:bookmarkEnd w:id="247"/>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Gazette 18 Mar 2011 p. 919.] </w:t>
      </w:r>
    </w:p>
    <w:p>
      <w:pPr>
        <w:pStyle w:val="Heading5"/>
        <w:rPr>
          <w:snapToGrid w:val="0"/>
        </w:rPr>
      </w:pPr>
      <w:bookmarkStart w:id="248" w:name="_Toc92809334"/>
      <w:r>
        <w:rPr>
          <w:rStyle w:val="CharSectno"/>
        </w:rPr>
        <w:t>91</w:t>
      </w:r>
      <w:r>
        <w:rPr>
          <w:snapToGrid w:val="0"/>
        </w:rPr>
        <w:t>.</w:t>
      </w:r>
      <w:r>
        <w:rPr>
          <w:snapToGrid w:val="0"/>
        </w:rPr>
        <w:tab/>
        <w:t>Appeal to Minister</w:t>
      </w:r>
      <w:bookmarkEnd w:id="24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keepNext/>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Gazette 12 Nov 1982 p. 4490; 13 Oct 1995 p. 4819; 18 Mar 2011 p. 919.]</w:t>
      </w:r>
    </w:p>
    <w:p>
      <w:pPr>
        <w:pStyle w:val="Heading5"/>
        <w:rPr>
          <w:snapToGrid w:val="0"/>
        </w:rPr>
      </w:pPr>
      <w:bookmarkStart w:id="249" w:name="_Toc92809335"/>
      <w:r>
        <w:rPr>
          <w:rStyle w:val="CharSectno"/>
        </w:rPr>
        <w:t>92</w:t>
      </w:r>
      <w:r>
        <w:rPr>
          <w:snapToGrid w:val="0"/>
        </w:rPr>
        <w:t>.</w:t>
      </w:r>
      <w:r>
        <w:rPr>
          <w:snapToGrid w:val="0"/>
        </w:rPr>
        <w:tab/>
        <w:t>Shape of tenement</w:t>
      </w:r>
      <w:bookmarkEnd w:id="249"/>
    </w:p>
    <w:p>
      <w:pPr>
        <w:pStyle w:val="Subsection"/>
        <w:spacing w:before="180"/>
        <w:rPr>
          <w:snapToGrid w:val="0"/>
        </w:rPr>
      </w:pPr>
      <w:r>
        <w:rPr>
          <w:snapToGrid w:val="0"/>
        </w:rPr>
        <w:tab/>
      </w:r>
      <w:r>
        <w:rPr>
          <w:snapToGrid w:val="0"/>
        </w:rPr>
        <w:tab/>
        <w:t xml:space="preserve">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w:t>
      </w:r>
      <w:r>
        <w:rPr>
          <w:snapToGrid w:val="0"/>
        </w:rPr>
        <w:lastRenderedPageBreak/>
        <w:t>vary this shape, each side of the tenement shall be a straight line and where possible at right angles to an adjacent side or parallel to an opposite side.</w:t>
      </w:r>
    </w:p>
    <w:p>
      <w:pPr>
        <w:pStyle w:val="Footnotesection"/>
        <w:ind w:left="890" w:hanging="890"/>
      </w:pPr>
      <w:r>
        <w:tab/>
        <w:t>[Regulation 92 amended: Gazette 31 May 1991 p. 2699.]</w:t>
      </w:r>
    </w:p>
    <w:p>
      <w:pPr>
        <w:pStyle w:val="Ednotesection"/>
        <w:keepNext/>
        <w:spacing w:before="120"/>
        <w:ind w:left="890" w:hanging="890"/>
      </w:pPr>
      <w:r>
        <w:t>[</w:t>
      </w:r>
      <w:r>
        <w:rPr>
          <w:b/>
        </w:rPr>
        <w:t>93.</w:t>
      </w:r>
      <w:r>
        <w:tab/>
        <w:t>Deleted: Gazette 2 Feb 2001 p. 713.]</w:t>
      </w:r>
    </w:p>
    <w:p>
      <w:pPr>
        <w:pStyle w:val="Ednotesection"/>
        <w:spacing w:before="120"/>
        <w:ind w:left="890" w:hanging="890"/>
      </w:pPr>
      <w:r>
        <w:t>[</w:t>
      </w:r>
      <w:r>
        <w:rPr>
          <w:b/>
        </w:rPr>
        <w:t>94, 94A.</w:t>
      </w:r>
      <w:r>
        <w:tab/>
        <w:t>Deleted: Gazette 24 Jun 1994 p. 2933.]</w:t>
      </w:r>
    </w:p>
    <w:p>
      <w:pPr>
        <w:pStyle w:val="Heading5"/>
        <w:spacing w:before="120"/>
        <w:rPr>
          <w:snapToGrid w:val="0"/>
        </w:rPr>
      </w:pPr>
      <w:bookmarkStart w:id="250" w:name="_Toc92809336"/>
      <w:r>
        <w:rPr>
          <w:rStyle w:val="CharSectno"/>
        </w:rPr>
        <w:t>95</w:t>
      </w:r>
      <w:r>
        <w:rPr>
          <w:snapToGrid w:val="0"/>
        </w:rPr>
        <w:t>.</w:t>
      </w:r>
      <w:r>
        <w:rPr>
          <w:snapToGrid w:val="0"/>
        </w:rPr>
        <w:tab/>
        <w:t>Tenements within more than one mineral field or district</w:t>
      </w:r>
      <w:bookmarkEnd w:id="250"/>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Gazette 2 Oct 1987 p. 3837; 18 Mar 2011 p. 919.]</w:t>
      </w:r>
    </w:p>
    <w:p>
      <w:pPr>
        <w:pStyle w:val="Heading5"/>
      </w:pPr>
      <w:bookmarkStart w:id="251" w:name="_Toc92809337"/>
      <w:r>
        <w:rPr>
          <w:rStyle w:val="CharSectno"/>
        </w:rPr>
        <w:t>95A</w:t>
      </w:r>
      <w:r>
        <w:t>.</w:t>
      </w:r>
      <w:r>
        <w:tab/>
        <w:t>Mining statistics</w:t>
      </w:r>
      <w:bookmarkEnd w:id="251"/>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lastRenderedPageBreak/>
        <w:tab/>
        <w:t>[Regulation 95A inserted: Gazette 3 Feb 2006 p. 597.]</w:t>
      </w:r>
    </w:p>
    <w:p>
      <w:pPr>
        <w:pStyle w:val="Heading5"/>
        <w:rPr>
          <w:snapToGrid w:val="0"/>
        </w:rPr>
      </w:pPr>
      <w:bookmarkStart w:id="252" w:name="_Toc92809338"/>
      <w:r>
        <w:rPr>
          <w:rStyle w:val="CharSectno"/>
        </w:rPr>
        <w:t>96</w:t>
      </w:r>
      <w:r>
        <w:rPr>
          <w:snapToGrid w:val="0"/>
        </w:rPr>
        <w:t>.</w:t>
      </w:r>
      <w:r>
        <w:rPr>
          <w:snapToGrid w:val="0"/>
        </w:rPr>
        <w:tab/>
        <w:t>Release of mining information</w:t>
      </w:r>
      <w:bookmarkEnd w:id="252"/>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lastRenderedPageBreak/>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w:t>
      </w:r>
      <w:r>
        <w:rPr>
          <w:snapToGrid w:val="0"/>
        </w:rPr>
        <w:lastRenderedPageBreak/>
        <w:t xml:space="preserve">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Gazette 13 Oct 1995 p. 4819</w:t>
      </w:r>
      <w:r>
        <w:noBreakHyphen/>
        <w:t>20; amended: Gazette 11 Jun 1999 p. 2544; 3 Feb 2006 p. 597-9; 15 Jan 2010 p. 112; 7 Dec 2012 p. 5995.]</w:t>
      </w:r>
    </w:p>
    <w:p>
      <w:pPr>
        <w:pStyle w:val="Heading5"/>
        <w:spacing w:before="240"/>
        <w:rPr>
          <w:snapToGrid w:val="0"/>
        </w:rPr>
      </w:pPr>
      <w:bookmarkStart w:id="253" w:name="_Toc92809339"/>
      <w:r>
        <w:rPr>
          <w:rStyle w:val="CharSectno"/>
        </w:rPr>
        <w:t>96A</w:t>
      </w:r>
      <w:r>
        <w:rPr>
          <w:snapToGrid w:val="0"/>
        </w:rPr>
        <w:t>.</w:t>
      </w:r>
      <w:r>
        <w:rPr>
          <w:snapToGrid w:val="0"/>
        </w:rPr>
        <w:tab/>
        <w:t>Authorisation for release of information in mineral exploration reports</w:t>
      </w:r>
      <w:bookmarkEnd w:id="253"/>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lastRenderedPageBreak/>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Gazette 13 Oct 1995 p. 4820; amended: Gazette 15 Dec 1995 p. 6115.]</w:t>
      </w:r>
    </w:p>
    <w:p>
      <w:pPr>
        <w:pStyle w:val="Heading5"/>
        <w:rPr>
          <w:snapToGrid w:val="0"/>
        </w:rPr>
      </w:pPr>
      <w:bookmarkStart w:id="254" w:name="_Toc92809340"/>
      <w:r>
        <w:rPr>
          <w:rStyle w:val="CharSectno"/>
        </w:rPr>
        <w:t>96B</w:t>
      </w:r>
      <w:r>
        <w:rPr>
          <w:snapToGrid w:val="0"/>
        </w:rPr>
        <w:t>.</w:t>
      </w:r>
      <w:r>
        <w:rPr>
          <w:snapToGrid w:val="0"/>
        </w:rPr>
        <w:tab/>
        <w:t>Guidelines, publication of (Act s. 115A)</w:t>
      </w:r>
      <w:bookmarkEnd w:id="254"/>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Gazette 13 Oct 1995 p. 4820.]</w:t>
      </w:r>
    </w:p>
    <w:p>
      <w:pPr>
        <w:pStyle w:val="Heading5"/>
      </w:pPr>
      <w:bookmarkStart w:id="255" w:name="_Toc92809341"/>
      <w:r>
        <w:rPr>
          <w:rStyle w:val="CharSectno"/>
        </w:rPr>
        <w:t>96CA</w:t>
      </w:r>
      <w:r>
        <w:t>.</w:t>
      </w:r>
      <w:r>
        <w:tab/>
        <w:t>Release of certain information compiled from environment reports</w:t>
      </w:r>
      <w:bookmarkEnd w:id="255"/>
    </w:p>
    <w:p>
      <w:pPr>
        <w:pStyle w:val="Subsection"/>
      </w:pPr>
      <w:r>
        <w:tab/>
        <w:t>(1)</w:t>
      </w:r>
      <w:r>
        <w:tab/>
        <w:t xml:space="preserve">In this regulation — </w:t>
      </w:r>
    </w:p>
    <w:p>
      <w:pPr>
        <w:pStyle w:val="Defstart"/>
      </w:pPr>
      <w:r>
        <w:lastRenderedPageBreak/>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 xml:space="preserve">information indicating the number of hectares disturbed by mining operations on the prescribed tenement </w:t>
      </w:r>
      <w:r>
        <w:lastRenderedPageBreak/>
        <w:t>(whether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keepNext/>
      </w:pPr>
      <w:r>
        <w:tab/>
        <w:t>(3)</w:t>
      </w:r>
      <w:r>
        <w:tab/>
        <w:t>The Director General of Mines may release environment information in the form and in the manner that the Director General of Mines considers appropriate.</w:t>
      </w:r>
    </w:p>
    <w:p>
      <w:pPr>
        <w:pStyle w:val="Footnotesection"/>
      </w:pPr>
      <w:r>
        <w:tab/>
        <w:t>[Regulation 96CA inserted: Gazette 7 Dec 2012 p. 5995</w:t>
      </w:r>
      <w:r>
        <w:noBreakHyphen/>
        <w:t>6.]</w:t>
      </w:r>
    </w:p>
    <w:p>
      <w:pPr>
        <w:pStyle w:val="Heading5"/>
      </w:pPr>
      <w:bookmarkStart w:id="256" w:name="_Toc92809342"/>
      <w:r>
        <w:rPr>
          <w:rStyle w:val="CharSectno"/>
        </w:rPr>
        <w:t>96CB</w:t>
      </w:r>
      <w:r>
        <w:t>.</w:t>
      </w:r>
      <w:r>
        <w:tab/>
        <w:t>Release of information to Director General of Finance for royalties activities</w:t>
      </w:r>
      <w:bookmarkEnd w:id="256"/>
    </w:p>
    <w:p>
      <w:pPr>
        <w:pStyle w:val="Subsection"/>
      </w:pPr>
      <w:r>
        <w:tab/>
        <w:t>(1)</w:t>
      </w:r>
      <w:r>
        <w:tab/>
        <w:t xml:space="preserve">In this regulation — </w:t>
      </w:r>
    </w:p>
    <w:p>
      <w:pPr>
        <w:pStyle w:val="Defstart"/>
      </w:pPr>
      <w:r>
        <w:tab/>
      </w:r>
      <w:r>
        <w:rPr>
          <w:rStyle w:val="CharDefText"/>
        </w:rPr>
        <w:t>Department of Finance</w:t>
      </w:r>
      <w:r>
        <w:t xml:space="preserve"> means the department of the Public Service principally assisting the Minister for Finance in the administration of the </w:t>
      </w:r>
      <w:r>
        <w:rPr>
          <w:i/>
        </w:rPr>
        <w:t>Taxation Administration Act 2003</w:t>
      </w:r>
      <w:r>
        <w:t>;</w:t>
      </w:r>
    </w:p>
    <w:p>
      <w:pPr>
        <w:pStyle w:val="Defstart"/>
      </w:pPr>
      <w:r>
        <w:tab/>
      </w:r>
      <w:r>
        <w:rPr>
          <w:rStyle w:val="CharDefText"/>
        </w:rPr>
        <w:t>Department of Finance worker</w:t>
      </w:r>
      <w:r>
        <w:t xml:space="preserve"> means a public service officer, or any other individual, who is employed or engaged in, or who otherwise holds a position in, the Department of Finance;</w:t>
      </w:r>
    </w:p>
    <w:p>
      <w:pPr>
        <w:pStyle w:val="Defstart"/>
      </w:pPr>
      <w:r>
        <w:tab/>
      </w:r>
      <w:r>
        <w:rPr>
          <w:rStyle w:val="CharDefText"/>
        </w:rPr>
        <w:t>Director General of Finance</w:t>
      </w:r>
      <w:r>
        <w:t xml:space="preserve"> means the individual for the time being holding or acting in the office of chief executive officer of the Department of Finance;</w:t>
      </w:r>
    </w:p>
    <w:p>
      <w:pPr>
        <w:pStyle w:val="Defstart"/>
      </w:pPr>
      <w:r>
        <w:tab/>
      </w:r>
      <w:r>
        <w:rPr>
          <w:rStyle w:val="CharDefText"/>
        </w:rPr>
        <w:t>Minister for Finance</w:t>
      </w:r>
      <w:r>
        <w:t xml:space="preserve"> means the Minister to whom the administration of the </w:t>
      </w:r>
      <w:r>
        <w:rPr>
          <w:i/>
        </w:rPr>
        <w:t>Taxation Administration Act 2003</w:t>
      </w:r>
      <w:r>
        <w:t xml:space="preserve"> is for the time being committed by the Governor;</w:t>
      </w:r>
    </w:p>
    <w:p>
      <w:pPr>
        <w:pStyle w:val="Defstart"/>
      </w:pPr>
      <w:r>
        <w:lastRenderedPageBreak/>
        <w:tab/>
      </w:r>
      <w:r>
        <w:rPr>
          <w:rStyle w:val="CharDefText"/>
        </w:rPr>
        <w:t>relevant information</w:t>
      </w:r>
      <w:r>
        <w:t xml:space="preserve"> means information of the kind referred to in section 162(2)(x) of the Act, irrespective of when, as the case may be — </w:t>
      </w:r>
    </w:p>
    <w:p>
      <w:pPr>
        <w:pStyle w:val="Defpara"/>
      </w:pPr>
      <w:r>
        <w:tab/>
        <w:t>(a)</w:t>
      </w:r>
      <w:r>
        <w:tab/>
        <w:t>any application or report containing the information was made or given; or</w:t>
      </w:r>
    </w:p>
    <w:p>
      <w:pPr>
        <w:pStyle w:val="Defpara"/>
      </w:pPr>
      <w:r>
        <w:tab/>
        <w:t>(b)</w:t>
      </w:r>
      <w:r>
        <w:tab/>
        <w:t>the information was supplied to the Minister, a warden or an official;</w:t>
      </w:r>
    </w:p>
    <w:p>
      <w:pPr>
        <w:pStyle w:val="Defstart"/>
      </w:pPr>
      <w:r>
        <w:tab/>
      </w:r>
      <w:r>
        <w:rPr>
          <w:rStyle w:val="CharDefText"/>
        </w:rPr>
        <w:t>royalties activities</w:t>
      </w:r>
      <w:r>
        <w:t xml:space="preserve"> means activities done by the Department of Finance in preparation for, or otherwise in anticipation of, Department of Finance workers having, or being delegated, functions for, or connected with, the administration or collection of royalties in respect of minerals.</w:t>
      </w:r>
    </w:p>
    <w:p>
      <w:pPr>
        <w:pStyle w:val="Subsection"/>
      </w:pPr>
      <w:r>
        <w:tab/>
        <w:t>(2)</w:t>
      </w:r>
      <w:r>
        <w:tab/>
        <w:t>The Director General of Mines may release relevant information to the Director General of Finance for the purposes of, or in relation to, royalties activities.</w:t>
      </w:r>
    </w:p>
    <w:p>
      <w:pPr>
        <w:pStyle w:val="Subsection"/>
      </w:pPr>
      <w:r>
        <w:tab/>
        <w:t>(3)</w:t>
      </w:r>
      <w:r>
        <w:tab/>
        <w:t>If the Director General of Mines releases relevant information under subregulation (2), a Department of Finance worker may access, copy, use, store or disclose the relevant information for the purposes of, or in relation to, royalties activities.</w:t>
      </w:r>
    </w:p>
    <w:p>
      <w:pPr>
        <w:pStyle w:val="Subsection"/>
      </w:pPr>
      <w:r>
        <w:tab/>
        <w:t>(4)</w:t>
      </w:r>
      <w:r>
        <w:tab/>
        <w:t>Subregulation (3) authorises a Department of Finance worker to disclose relevant information only to another Department of Finance worker, the Minister for Finance or another Minister.</w:t>
      </w:r>
    </w:p>
    <w:p>
      <w:pPr>
        <w:pStyle w:val="Subsection"/>
      </w:pPr>
      <w:r>
        <w:tab/>
        <w:t>(5)</w:t>
      </w:r>
      <w:r>
        <w:tab/>
        <w:t xml:space="preserve">An individual who is or was a Department of Finance worker commits an offence if — </w:t>
      </w:r>
    </w:p>
    <w:p>
      <w:pPr>
        <w:pStyle w:val="Indenta"/>
      </w:pPr>
      <w:r>
        <w:tab/>
        <w:t>(a)</w:t>
      </w:r>
      <w:r>
        <w:tab/>
        <w:t>relevant information released by the Director General of Mines under subregulation (2) came to the individual’s knowledge in the course of, or by reason of, their employment or engagement in, or their otherwise holding a position in, the Department of Finance; and</w:t>
      </w:r>
    </w:p>
    <w:p>
      <w:pPr>
        <w:pStyle w:val="Indenta"/>
      </w:pPr>
      <w:r>
        <w:tab/>
        <w:t>(b)</w:t>
      </w:r>
      <w:r>
        <w:tab/>
        <w:t xml:space="preserve">the individual accesses, copies, uses, stores or discloses the relevant information — </w:t>
      </w:r>
    </w:p>
    <w:p>
      <w:pPr>
        <w:pStyle w:val="Indenti"/>
      </w:pPr>
      <w:r>
        <w:tab/>
        <w:t>(i)</w:t>
      </w:r>
      <w:r>
        <w:tab/>
        <w:t>for the purpose of personal gain; or</w:t>
      </w:r>
    </w:p>
    <w:p>
      <w:pPr>
        <w:pStyle w:val="Indenti"/>
      </w:pPr>
      <w:r>
        <w:lastRenderedPageBreak/>
        <w:tab/>
        <w:t>(ii)</w:t>
      </w:r>
      <w:r>
        <w:tab/>
        <w:t>otherwise in a way that is not authorised under subregulation (3).</w:t>
      </w:r>
    </w:p>
    <w:p>
      <w:pPr>
        <w:pStyle w:val="Subsection"/>
      </w:pPr>
      <w:r>
        <w:tab/>
        <w:t>(6)</w:t>
      </w:r>
      <w:r>
        <w:tab/>
        <w:t>A Minister to whom relevant information is disclosed under subregulation (3) or this subregulation may access, copy, use, store or disclose the relevant information for the purposes of, or in relation to, royalties activities.</w:t>
      </w:r>
    </w:p>
    <w:p>
      <w:pPr>
        <w:pStyle w:val="Subsection"/>
      </w:pPr>
      <w:r>
        <w:tab/>
        <w:t>(7)</w:t>
      </w:r>
      <w:r>
        <w:tab/>
        <w:t>Subregulation (6) authorises a Minister to disclose relevant information only to another Minister.</w:t>
      </w:r>
    </w:p>
    <w:p>
      <w:pPr>
        <w:pStyle w:val="PermNoteHeading"/>
      </w:pPr>
      <w:r>
        <w:tab/>
        <w:t>Note for this regulation:</w:t>
      </w:r>
    </w:p>
    <w:p>
      <w:pPr>
        <w:pStyle w:val="PermNoteText"/>
      </w:pPr>
      <w:r>
        <w:tab/>
      </w:r>
      <w:r>
        <w:tab/>
        <w:t>This regulation does not authorise the public release of relevant information.</w:t>
      </w:r>
    </w:p>
    <w:p>
      <w:pPr>
        <w:pStyle w:val="Footnotesection"/>
      </w:pPr>
      <w:r>
        <w:tab/>
        <w:t>[Regulation 96CB inserted: SL 2022/1 r. 4.]</w:t>
      </w:r>
    </w:p>
    <w:p>
      <w:pPr>
        <w:pStyle w:val="Heading5"/>
      </w:pPr>
      <w:bookmarkStart w:id="257" w:name="_Toc92809343"/>
      <w:r>
        <w:rPr>
          <w:rStyle w:val="CharSectno"/>
        </w:rPr>
        <w:t>96C</w:t>
      </w:r>
      <w:r>
        <w:t>.</w:t>
      </w:r>
      <w:r>
        <w:tab/>
        <w:t>Specific expenditure provisions</w:t>
      </w:r>
      <w:bookmarkEnd w:id="257"/>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lastRenderedPageBreak/>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lastRenderedPageBreak/>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keepNext/>
        <w:spacing w:before="60"/>
      </w:pPr>
      <w:r>
        <w:tab/>
        <w:t>(d)</w:t>
      </w:r>
      <w:r>
        <w:tab/>
        <w:t>compensation payments made in respect to the mining tenement.</w:t>
      </w:r>
    </w:p>
    <w:p>
      <w:pPr>
        <w:pStyle w:val="Footnotesection"/>
        <w:keepLines w:val="0"/>
        <w:spacing w:before="80"/>
        <w:ind w:left="890" w:hanging="890"/>
      </w:pPr>
      <w:r>
        <w:tab/>
        <w:t>[Regulation 96C inserted: Gazette 11 Jun 1999 p. 2545; amended: Gazette 21 Jan 2000 p. 344; 15 Aug 2003 p. 3694; 3 Feb 2006 p. 599-600; 15 Jan 2010 p. 112; 9 Nov 2012 p. 5402.]</w:t>
      </w:r>
    </w:p>
    <w:p>
      <w:pPr>
        <w:pStyle w:val="Heading5"/>
        <w:spacing w:before="180"/>
      </w:pPr>
      <w:bookmarkStart w:id="258" w:name="_Toc92809344"/>
      <w:r>
        <w:rPr>
          <w:rStyle w:val="CharSectno"/>
        </w:rPr>
        <w:t>96D</w:t>
      </w:r>
      <w:r>
        <w:t>.</w:t>
      </w:r>
      <w:r>
        <w:tab/>
        <w:t>Drill cores</w:t>
      </w:r>
      <w:bookmarkEnd w:id="258"/>
    </w:p>
    <w:p>
      <w:pPr>
        <w:pStyle w:val="Subsection"/>
        <w:keepLines/>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Gazette 3 Feb 2006 p. 600.]</w:t>
      </w:r>
    </w:p>
    <w:p>
      <w:pPr>
        <w:pStyle w:val="Heading5"/>
        <w:spacing w:before="240"/>
        <w:rPr>
          <w:snapToGrid w:val="0"/>
        </w:rPr>
      </w:pPr>
      <w:bookmarkStart w:id="259" w:name="_Toc92809345"/>
      <w:r>
        <w:rPr>
          <w:rStyle w:val="CharSectno"/>
        </w:rPr>
        <w:t>97</w:t>
      </w:r>
      <w:r>
        <w:rPr>
          <w:snapToGrid w:val="0"/>
        </w:rPr>
        <w:t>.</w:t>
      </w:r>
      <w:r>
        <w:rPr>
          <w:snapToGrid w:val="0"/>
        </w:rPr>
        <w:tab/>
        <w:t>No mining that obstructs public thoroughfares etc.</w:t>
      </w:r>
      <w:bookmarkEnd w:id="259"/>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260" w:name="_Toc92809346"/>
      <w:r>
        <w:rPr>
          <w:rStyle w:val="CharSectno"/>
        </w:rPr>
        <w:lastRenderedPageBreak/>
        <w:t>98</w:t>
      </w:r>
      <w:r>
        <w:rPr>
          <w:snapToGrid w:val="0"/>
        </w:rPr>
        <w:t>.</w:t>
      </w:r>
      <w:r>
        <w:rPr>
          <w:snapToGrid w:val="0"/>
        </w:rPr>
        <w:tab/>
        <w:t>Control of detritus, dirt etc.</w:t>
      </w:r>
      <w:bookmarkEnd w:id="26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rPr>
          <w:snapToGrid w:val="0"/>
        </w:rPr>
      </w:pPr>
      <w:bookmarkStart w:id="261" w:name="_Toc92809347"/>
      <w:r>
        <w:rPr>
          <w:rStyle w:val="CharSectno"/>
        </w:rPr>
        <w:t>99</w:t>
      </w:r>
      <w:r>
        <w:rPr>
          <w:snapToGrid w:val="0"/>
        </w:rPr>
        <w:t>.</w:t>
      </w:r>
      <w:r>
        <w:rPr>
          <w:snapToGrid w:val="0"/>
        </w:rPr>
        <w:tab/>
        <w:t>Decency and sanitation</w:t>
      </w:r>
      <w:bookmarkEnd w:id="261"/>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62" w:name="_Toc92809348"/>
      <w:r>
        <w:rPr>
          <w:rStyle w:val="CharSectno"/>
        </w:rPr>
        <w:t>100</w:t>
      </w:r>
      <w:r>
        <w:rPr>
          <w:snapToGrid w:val="0"/>
        </w:rPr>
        <w:t>.</w:t>
      </w:r>
      <w:r>
        <w:rPr>
          <w:snapToGrid w:val="0"/>
        </w:rPr>
        <w:tab/>
        <w:t>Removal of fences, timbers etc.</w:t>
      </w:r>
      <w:bookmarkEnd w:id="262"/>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63" w:name="_Toc92809349"/>
      <w:r>
        <w:rPr>
          <w:rStyle w:val="CharSectno"/>
        </w:rPr>
        <w:t>101</w:t>
      </w:r>
      <w:r>
        <w:t>.</w:t>
      </w:r>
      <w:r>
        <w:tab/>
        <w:t>Manner of camping (Act s. 40D(1)(f))</w:t>
      </w:r>
      <w:bookmarkEnd w:id="263"/>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Gazette 3 Feb 2006 p. 601; amended: Gazette 1 Feb 2013 p. 454.]</w:t>
      </w:r>
    </w:p>
    <w:p>
      <w:pPr>
        <w:pStyle w:val="Heading5"/>
      </w:pPr>
      <w:bookmarkStart w:id="264" w:name="_Toc92809350"/>
      <w:r>
        <w:rPr>
          <w:rStyle w:val="CharSectno"/>
        </w:rPr>
        <w:lastRenderedPageBreak/>
        <w:t>101A</w:t>
      </w:r>
      <w:r>
        <w:t>.</w:t>
      </w:r>
      <w:r>
        <w:tab/>
        <w:t>Notice before mining under certain Crown land or private land</w:t>
      </w:r>
      <w:bookmarkEnd w:id="264"/>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keepNext/>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Gazette 17 Jan 2003 p. 106</w:t>
      </w:r>
      <w:r>
        <w:noBreakHyphen/>
        <w:t>7.]</w:t>
      </w:r>
    </w:p>
    <w:p>
      <w:pPr>
        <w:pStyle w:val="Heading5"/>
        <w:rPr>
          <w:snapToGrid w:val="0"/>
        </w:rPr>
      </w:pPr>
      <w:bookmarkStart w:id="265" w:name="_Toc92809351"/>
      <w:r>
        <w:rPr>
          <w:rStyle w:val="CharSectno"/>
        </w:rPr>
        <w:t>102</w:t>
      </w:r>
      <w:r>
        <w:rPr>
          <w:snapToGrid w:val="0"/>
        </w:rPr>
        <w:t>.</w:t>
      </w:r>
      <w:r>
        <w:rPr>
          <w:snapToGrid w:val="0"/>
        </w:rPr>
        <w:tab/>
        <w:t>Devolution on death etc.</w:t>
      </w:r>
      <w:bookmarkEnd w:id="265"/>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lastRenderedPageBreak/>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Gazette 15 Jan 2010 p. 113.]</w:t>
      </w:r>
    </w:p>
    <w:p>
      <w:pPr>
        <w:pStyle w:val="Ednotesection"/>
        <w:spacing w:before="180"/>
        <w:ind w:left="890" w:hanging="890"/>
      </w:pPr>
      <w:r>
        <w:t>[</w:t>
      </w:r>
      <w:r>
        <w:rPr>
          <w:b/>
        </w:rPr>
        <w:t>103.</w:t>
      </w:r>
      <w:r>
        <w:tab/>
        <w:t>Deleted: Gazette 3 Feb 2006 p. 524.]</w:t>
      </w:r>
    </w:p>
    <w:p>
      <w:pPr>
        <w:pStyle w:val="Ednotesection"/>
        <w:spacing w:before="180"/>
        <w:ind w:left="890" w:hanging="890"/>
      </w:pPr>
      <w:r>
        <w:t>[</w:t>
      </w:r>
      <w:r>
        <w:rPr>
          <w:b/>
        </w:rPr>
        <w:t>104.</w:t>
      </w:r>
      <w:r>
        <w:tab/>
        <w:t>Deleted: Gazette 1 Feb 2013 p. 454.]</w:t>
      </w:r>
    </w:p>
    <w:p>
      <w:pPr>
        <w:pStyle w:val="Heading5"/>
      </w:pPr>
      <w:bookmarkStart w:id="266" w:name="_Toc92809352"/>
      <w:r>
        <w:rPr>
          <w:rStyle w:val="CharSectno"/>
        </w:rPr>
        <w:t>105</w:t>
      </w:r>
      <w:r>
        <w:t>.</w:t>
      </w:r>
      <w:r>
        <w:tab/>
        <w:t>Application for copy document</w:t>
      </w:r>
      <w:bookmarkEnd w:id="266"/>
    </w:p>
    <w:p>
      <w:pPr>
        <w:pStyle w:val="Subsection"/>
      </w:pPr>
      <w:r>
        <w:tab/>
        <w:t>(1)</w:t>
      </w:r>
      <w:r>
        <w:tab/>
        <w:t>The holder of a mining tenement may apply to the Department for a copy of the instrument of lease or licence issued in respect of the mining tenement.</w:t>
      </w:r>
    </w:p>
    <w:p>
      <w:pPr>
        <w:pStyle w:val="Subsection"/>
      </w:pPr>
      <w:r>
        <w:tab/>
        <w:t>(2)</w:t>
      </w:r>
      <w:r>
        <w:tab/>
        <w:t xml:space="preserve">In the case of any other document issued by the Department, a person may apply to the Department for a copy of the document if — </w:t>
      </w:r>
    </w:p>
    <w:p>
      <w:pPr>
        <w:pStyle w:val="Indenta"/>
      </w:pPr>
      <w:r>
        <w:tab/>
        <w:t>(a)</w:t>
      </w:r>
      <w:r>
        <w:tab/>
        <w:t>the document was issued to the person; or</w:t>
      </w:r>
    </w:p>
    <w:p>
      <w:pPr>
        <w:pStyle w:val="Indenta"/>
      </w:pPr>
      <w:r>
        <w:tab/>
        <w:t>(b)</w:t>
      </w:r>
      <w:r>
        <w:tab/>
        <w:t>the document was issued in respect of a mining tenement and the person is the holder of the mining tenement.</w:t>
      </w:r>
    </w:p>
    <w:p>
      <w:pPr>
        <w:pStyle w:val="Subsection"/>
      </w:pPr>
      <w:r>
        <w:tab/>
        <w:t>(3)</w:t>
      </w:r>
      <w:r>
        <w:tab/>
        <w:t>If an application for the issue of a copy of a document is made under this regulation in the form of Form 29 and is accompanied by the prescribed fee, a certified copy of the document is to be issued.</w:t>
      </w:r>
    </w:p>
    <w:p>
      <w:pPr>
        <w:pStyle w:val="Footnotesection"/>
      </w:pPr>
      <w:r>
        <w:tab/>
        <w:t>[Regulation 105 inserted: Gazette 13 Dec 2019 p. 4237</w:t>
      </w:r>
      <w:r>
        <w:noBreakHyphen/>
        <w:t>8.]</w:t>
      </w:r>
    </w:p>
    <w:p>
      <w:pPr>
        <w:pStyle w:val="Ednotesection"/>
      </w:pPr>
      <w:r>
        <w:t>[</w:t>
      </w:r>
      <w:r>
        <w:rPr>
          <w:b/>
        </w:rPr>
        <w:t>106-107AA.</w:t>
      </w:r>
      <w:r>
        <w:tab/>
        <w:t>Deleted: Gazette 3 Feb 2006 p. 524.]</w:t>
      </w:r>
    </w:p>
    <w:p>
      <w:pPr>
        <w:pStyle w:val="Heading5"/>
        <w:rPr>
          <w:snapToGrid w:val="0"/>
        </w:rPr>
      </w:pPr>
      <w:bookmarkStart w:id="267" w:name="_Toc92809353"/>
      <w:r>
        <w:rPr>
          <w:rStyle w:val="CharSectno"/>
        </w:rPr>
        <w:lastRenderedPageBreak/>
        <w:t>108</w:t>
      </w:r>
      <w:r>
        <w:rPr>
          <w:snapToGrid w:val="0"/>
        </w:rPr>
        <w:t>.</w:t>
      </w:r>
      <w:r>
        <w:rPr>
          <w:snapToGrid w:val="0"/>
        </w:rPr>
        <w:tab/>
        <w:t>Appointment of attorney</w:t>
      </w:r>
      <w:bookmarkEnd w:id="267"/>
    </w:p>
    <w:p>
      <w:pPr>
        <w:pStyle w:val="Subsection"/>
        <w:keepNext/>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Gazette 15 Jan 2010 p. 113.]</w:t>
      </w:r>
    </w:p>
    <w:p>
      <w:pPr>
        <w:pStyle w:val="Heading5"/>
        <w:rPr>
          <w:snapToGrid w:val="0"/>
        </w:rPr>
      </w:pPr>
      <w:bookmarkStart w:id="268" w:name="_Toc92809354"/>
      <w:r>
        <w:rPr>
          <w:rStyle w:val="CharSectno"/>
        </w:rPr>
        <w:t>109</w:t>
      </w:r>
      <w:r>
        <w:rPr>
          <w:snapToGrid w:val="0"/>
        </w:rPr>
        <w:t>.</w:t>
      </w:r>
      <w:r>
        <w:rPr>
          <w:snapToGrid w:val="0"/>
        </w:rPr>
        <w:tab/>
        <w:t>Fees and rents</w:t>
      </w:r>
      <w:bookmarkEnd w:id="268"/>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r>
        <w:rPr>
          <w:i/>
          <w:iCs/>
        </w:rPr>
        <w:t>Magistrates Court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 subject to subregulation (3A).</w:t>
      </w:r>
    </w:p>
    <w:p>
      <w:pPr>
        <w:pStyle w:val="Subsection"/>
      </w:pPr>
      <w:r>
        <w:tab/>
        <w:t>(3A)</w:t>
      </w:r>
      <w:r>
        <w:tab/>
        <w:t>If a mining lease is restricted under section 110 to minerals dissolved in brine, Schedule 2 item 9 applies instead of item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Gazette 2 Oct 1987 p. 3821; amended: Gazette 4 Apr 1997 p. 1779; 2 Feb 2001 p. 713</w:t>
      </w:r>
      <w:r>
        <w:noBreakHyphen/>
        <w:t>14; 9 Mar 2007 p. 871; 15 Jan 2010 p. 136; 24 Jun 2011 p. 2511; 22 Jun 2012 p. 2792; 24 May 2019 p. 1494; 18 Jun 2019 p. 2048.]</w:t>
      </w:r>
    </w:p>
    <w:p>
      <w:pPr>
        <w:pStyle w:val="Ednotesection"/>
        <w:ind w:left="890" w:hanging="890"/>
      </w:pPr>
      <w:r>
        <w:t>[</w:t>
      </w:r>
      <w:r>
        <w:rPr>
          <w:b/>
        </w:rPr>
        <w:t>109A.</w:t>
      </w:r>
      <w:r>
        <w:tab/>
        <w:t>Deleted: Gazette 24 Jun 2011 p. 2511.]</w:t>
      </w:r>
    </w:p>
    <w:p>
      <w:pPr>
        <w:pStyle w:val="Ednotesection"/>
      </w:pPr>
      <w:r>
        <w:t>[</w:t>
      </w:r>
      <w:r>
        <w:rPr>
          <w:b/>
        </w:rPr>
        <w:t>110.</w:t>
      </w:r>
      <w:r>
        <w:tab/>
        <w:t>Deleted: Gazette 3 Feb 2006 p. 524.]</w:t>
      </w:r>
    </w:p>
    <w:p>
      <w:pPr>
        <w:pStyle w:val="Heading5"/>
        <w:rPr>
          <w:snapToGrid w:val="0"/>
        </w:rPr>
      </w:pPr>
      <w:bookmarkStart w:id="269" w:name="_Toc92809355"/>
      <w:r>
        <w:rPr>
          <w:rStyle w:val="CharSectno"/>
        </w:rPr>
        <w:lastRenderedPageBreak/>
        <w:t>111</w:t>
      </w:r>
      <w:r>
        <w:rPr>
          <w:snapToGrid w:val="0"/>
        </w:rPr>
        <w:t>.</w:t>
      </w:r>
      <w:r>
        <w:rPr>
          <w:snapToGrid w:val="0"/>
        </w:rPr>
        <w:tab/>
        <w:t>Service of notices</w:t>
      </w:r>
      <w:bookmarkEnd w:id="269"/>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Magistrates Court in its civil jurisdiction </w:t>
      </w:r>
      <w:r>
        <w:rPr>
          <w:snapToGrid w:val="0"/>
        </w:rPr>
        <w:t>shall be adopted as far as possible.</w:t>
      </w:r>
    </w:p>
    <w:p>
      <w:pPr>
        <w:pStyle w:val="Footnotesection"/>
      </w:pPr>
      <w:r>
        <w:tab/>
        <w:t>[Regulation 111 amended: Gazette 9 Mar 2007 p. 871; 9 Nov 2012 p. 5402.]</w:t>
      </w:r>
    </w:p>
    <w:p>
      <w:pPr>
        <w:pStyle w:val="Heading5"/>
      </w:pPr>
      <w:bookmarkStart w:id="270" w:name="_Toc92809356"/>
      <w:r>
        <w:rPr>
          <w:rStyle w:val="CharSectno"/>
        </w:rPr>
        <w:lastRenderedPageBreak/>
        <w:t>112</w:t>
      </w:r>
      <w:r>
        <w:t>.</w:t>
      </w:r>
      <w:r>
        <w:tab/>
        <w:t>Securities</w:t>
      </w:r>
      <w:bookmarkEnd w:id="270"/>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Gazette 3 Feb 2006 p. 601; amended: Gazette 15 Jan 2010 p. 113.]</w:t>
      </w:r>
    </w:p>
    <w:p>
      <w:pPr>
        <w:pStyle w:val="Heading5"/>
        <w:rPr>
          <w:snapToGrid w:val="0"/>
        </w:rPr>
      </w:pPr>
      <w:bookmarkStart w:id="271" w:name="_Toc92809357"/>
      <w:r>
        <w:rPr>
          <w:rStyle w:val="CharSectno"/>
        </w:rPr>
        <w:t>112A</w:t>
      </w:r>
      <w:r>
        <w:rPr>
          <w:snapToGrid w:val="0"/>
        </w:rPr>
        <w:t>.</w:t>
      </w:r>
      <w:r>
        <w:rPr>
          <w:snapToGrid w:val="0"/>
        </w:rPr>
        <w:tab/>
        <w:t>Discharge of security, application for (Act s. 126(7))</w:t>
      </w:r>
      <w:bookmarkEnd w:id="271"/>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Gazette 2 Oct 1987 p. 3821.]</w:t>
      </w:r>
    </w:p>
    <w:p>
      <w:pPr>
        <w:pStyle w:val="Heading5"/>
        <w:rPr>
          <w:snapToGrid w:val="0"/>
        </w:rPr>
      </w:pPr>
      <w:bookmarkStart w:id="272" w:name="_Toc92809358"/>
      <w:r>
        <w:rPr>
          <w:rStyle w:val="CharSectno"/>
        </w:rPr>
        <w:t>113</w:t>
      </w:r>
      <w:r>
        <w:rPr>
          <w:snapToGrid w:val="0"/>
        </w:rPr>
        <w:t>.</w:t>
      </w:r>
      <w:r>
        <w:rPr>
          <w:snapToGrid w:val="0"/>
        </w:rPr>
        <w:tab/>
        <w:t>Employees not to use information</w:t>
      </w:r>
      <w:bookmarkEnd w:id="272"/>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73" w:name="_Toc92809359"/>
      <w:r>
        <w:rPr>
          <w:rStyle w:val="CharSectno"/>
        </w:rPr>
        <w:lastRenderedPageBreak/>
        <w:t>113A</w:t>
      </w:r>
      <w:r>
        <w:t>.</w:t>
      </w:r>
      <w:r>
        <w:tab/>
        <w:t>Prescribed persons before whom affidavit may be sworn (Act s. 160D)</w:t>
      </w:r>
      <w:bookmarkEnd w:id="273"/>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Gazette 9 Mar 2007 p. 872; amended: Gazette 18 Mar 2011 p. 920; 22 Dec 2017 p. 5991.]</w:t>
      </w:r>
    </w:p>
    <w:p>
      <w:pPr>
        <w:pStyle w:val="Heading5"/>
        <w:spacing w:before="240"/>
      </w:pPr>
      <w:bookmarkStart w:id="274" w:name="_Toc92809360"/>
      <w:r>
        <w:rPr>
          <w:rStyle w:val="CharSectno"/>
        </w:rPr>
        <w:t>113B</w:t>
      </w:r>
      <w:r>
        <w:t>.</w:t>
      </w:r>
      <w:r>
        <w:tab/>
        <w:t>Prescribed official for certified documents (Act s. 161)</w:t>
      </w:r>
      <w:bookmarkEnd w:id="274"/>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Gazette 9 Mar 2007 p. 872; amended: Gazette 18 Mar 2011 p. 920; 22 Dec 2017 p. 5991.]</w:t>
      </w:r>
    </w:p>
    <w:p>
      <w:pPr>
        <w:pStyle w:val="Heading5"/>
        <w:spacing w:before="240"/>
        <w:rPr>
          <w:snapToGrid w:val="0"/>
        </w:rPr>
      </w:pPr>
      <w:bookmarkStart w:id="275" w:name="_Toc92809361"/>
      <w:r>
        <w:rPr>
          <w:rStyle w:val="CharSectno"/>
        </w:rPr>
        <w:t>114</w:t>
      </w:r>
      <w:r>
        <w:rPr>
          <w:snapToGrid w:val="0"/>
        </w:rPr>
        <w:t>.</w:t>
      </w:r>
      <w:r>
        <w:rPr>
          <w:snapToGrid w:val="0"/>
        </w:rPr>
        <w:tab/>
        <w:t>Warden’s order not to be disobeyed</w:t>
      </w:r>
      <w:bookmarkEnd w:id="275"/>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276" w:name="_Toc92809362"/>
      <w:r>
        <w:rPr>
          <w:rStyle w:val="CharSectno"/>
        </w:rPr>
        <w:t>115</w:t>
      </w:r>
      <w:r>
        <w:rPr>
          <w:snapToGrid w:val="0"/>
        </w:rPr>
        <w:t>.</w:t>
      </w:r>
      <w:r>
        <w:rPr>
          <w:snapToGrid w:val="0"/>
        </w:rPr>
        <w:tab/>
        <w:t>General penalty</w:t>
      </w:r>
      <w:bookmarkEnd w:id="276"/>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w:t>
      </w:r>
      <w:r>
        <w:rPr>
          <w:snapToGrid w:val="0"/>
        </w:rPr>
        <w:lastRenderedPageBreak/>
        <w:t xml:space="preserve">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Gazette 31 Jul 1992 p. 3776; 17 Jan 2003 p. 107.]</w:t>
      </w:r>
    </w:p>
    <w:p>
      <w:pPr>
        <w:pStyle w:val="Heading2"/>
      </w:pPr>
      <w:bookmarkStart w:id="277" w:name="_Toc92799480"/>
      <w:bookmarkStart w:id="278" w:name="_Toc92799895"/>
      <w:bookmarkStart w:id="279" w:name="_Toc92809363"/>
      <w:r>
        <w:rPr>
          <w:rStyle w:val="CharPartNo"/>
        </w:rPr>
        <w:lastRenderedPageBreak/>
        <w:t>Part VI</w:t>
      </w:r>
      <w:r>
        <w:rPr>
          <w:rStyle w:val="CharDivNo"/>
        </w:rPr>
        <w:t> </w:t>
      </w:r>
      <w:r>
        <w:t>—</w:t>
      </w:r>
      <w:r>
        <w:rPr>
          <w:rStyle w:val="CharDivText"/>
        </w:rPr>
        <w:t> </w:t>
      </w:r>
      <w:r>
        <w:rPr>
          <w:rStyle w:val="CharPartText"/>
        </w:rPr>
        <w:t>Surveys</w:t>
      </w:r>
      <w:bookmarkEnd w:id="277"/>
      <w:bookmarkEnd w:id="278"/>
      <w:bookmarkEnd w:id="279"/>
    </w:p>
    <w:p>
      <w:pPr>
        <w:pStyle w:val="Footnoteheading"/>
        <w:ind w:left="890"/>
        <w:rPr>
          <w:snapToGrid w:val="0"/>
        </w:rPr>
      </w:pPr>
      <w:r>
        <w:rPr>
          <w:snapToGrid w:val="0"/>
        </w:rPr>
        <w:tab/>
        <w:t>[Heading inserted: Gazette 30 May 1986 p. 1840.]</w:t>
      </w:r>
    </w:p>
    <w:p>
      <w:pPr>
        <w:pStyle w:val="Heading5"/>
        <w:spacing w:before="200"/>
        <w:rPr>
          <w:snapToGrid w:val="0"/>
        </w:rPr>
      </w:pPr>
      <w:bookmarkStart w:id="280" w:name="_Toc92809364"/>
      <w:r>
        <w:rPr>
          <w:rStyle w:val="CharSectno"/>
        </w:rPr>
        <w:t>116</w:t>
      </w:r>
      <w:r>
        <w:rPr>
          <w:snapToGrid w:val="0"/>
        </w:rPr>
        <w:t>.</w:t>
      </w:r>
      <w:r>
        <w:rPr>
          <w:snapToGrid w:val="0"/>
        </w:rPr>
        <w:tab/>
        <w:t>Terms used</w:t>
      </w:r>
      <w:bookmarkEnd w:id="28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Gazette 30 May 1986 p. 1840; amended: Gazette 13 Oct 1995 p. 4821; 18 Mar 2011 p. 920; 22 Dec 2017 p. 5991.]</w:t>
      </w:r>
    </w:p>
    <w:p>
      <w:pPr>
        <w:pStyle w:val="Heading5"/>
        <w:spacing w:before="200"/>
        <w:rPr>
          <w:snapToGrid w:val="0"/>
        </w:rPr>
      </w:pPr>
      <w:bookmarkStart w:id="281" w:name="_Toc92809365"/>
      <w:r>
        <w:rPr>
          <w:rStyle w:val="CharSectno"/>
        </w:rPr>
        <w:t>117</w:t>
      </w:r>
      <w:r>
        <w:rPr>
          <w:snapToGrid w:val="0"/>
        </w:rPr>
        <w:t>.</w:t>
      </w:r>
      <w:r>
        <w:rPr>
          <w:snapToGrid w:val="0"/>
        </w:rPr>
        <w:tab/>
        <w:t>Approved surveyors</w:t>
      </w:r>
      <w:bookmarkEnd w:id="28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 xml:space="preserve">Licensed Surveyors (General Surveying Practice) </w:t>
      </w:r>
      <w:r>
        <w:rPr>
          <w:i/>
          <w:snapToGrid w:val="0"/>
        </w:rPr>
        <w:lastRenderedPageBreak/>
        <w:t>Regulations 1961</w:t>
      </w:r>
      <w:r>
        <w:rPr>
          <w:snapToGrid w:val="0"/>
          <w:vertAlign w:val="superscript"/>
        </w:rPr>
        <w:t> 2</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Gazette 30 May 1986 p. 1840; amended: Gazette 2 Jul 1993 p. 3272.]</w:t>
      </w:r>
    </w:p>
    <w:p>
      <w:pPr>
        <w:pStyle w:val="Heading5"/>
        <w:rPr>
          <w:snapToGrid w:val="0"/>
        </w:rPr>
      </w:pPr>
      <w:bookmarkStart w:id="282" w:name="_Toc92809366"/>
      <w:r>
        <w:rPr>
          <w:rStyle w:val="CharSectno"/>
        </w:rPr>
        <w:t>118</w:t>
      </w:r>
      <w:r>
        <w:rPr>
          <w:snapToGrid w:val="0"/>
        </w:rPr>
        <w:t>.</w:t>
      </w:r>
      <w:r>
        <w:rPr>
          <w:snapToGrid w:val="0"/>
        </w:rPr>
        <w:tab/>
        <w:t>Initiation of mining surveys</w:t>
      </w:r>
      <w:bookmarkEnd w:id="28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 xml:space="preserve">Subject to regulation 118C, a survey of a mining lease under section 80 of the Act, or of a general purpose lease under </w:t>
      </w:r>
      <w:r>
        <w:rPr>
          <w:snapToGrid w:val="0"/>
        </w:rPr>
        <w:lastRenderedPageBreak/>
        <w:t>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Gazette 30 May 1986 p. 1840; amended: Gazette 21 Jun 1991 p. 3056; 24 Jun 1994 p. 2933; 9 Mar 2007 p. 873.]</w:t>
      </w:r>
    </w:p>
    <w:p>
      <w:pPr>
        <w:pStyle w:val="Heading5"/>
        <w:rPr>
          <w:snapToGrid w:val="0"/>
        </w:rPr>
      </w:pPr>
      <w:bookmarkStart w:id="283" w:name="_Toc92809367"/>
      <w:r>
        <w:rPr>
          <w:rStyle w:val="CharSectno"/>
        </w:rPr>
        <w:t>118A</w:t>
      </w:r>
      <w:r>
        <w:rPr>
          <w:snapToGrid w:val="0"/>
        </w:rPr>
        <w:t>.</w:t>
      </w:r>
      <w:r>
        <w:rPr>
          <w:snapToGrid w:val="0"/>
        </w:rPr>
        <w:tab/>
        <w:t>Notice of proposed mining surveys</w:t>
      </w:r>
      <w:bookmarkEnd w:id="28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Gazette 16 Nov 1990 p. 5729; amended: Gazette 21 Jun 1991 p. 3056.]</w:t>
      </w:r>
    </w:p>
    <w:p>
      <w:pPr>
        <w:pStyle w:val="Heading5"/>
        <w:rPr>
          <w:snapToGrid w:val="0"/>
        </w:rPr>
      </w:pPr>
      <w:bookmarkStart w:id="284" w:name="_Toc92809368"/>
      <w:r>
        <w:rPr>
          <w:rStyle w:val="CharSectno"/>
        </w:rPr>
        <w:t>118B</w:t>
      </w:r>
      <w:r>
        <w:rPr>
          <w:snapToGrid w:val="0"/>
        </w:rPr>
        <w:t>.</w:t>
      </w:r>
      <w:r>
        <w:rPr>
          <w:snapToGrid w:val="0"/>
        </w:rPr>
        <w:tab/>
        <w:t>When mining surveys are to be carried out</w:t>
      </w:r>
      <w:bookmarkEnd w:id="28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lastRenderedPageBreak/>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Gazette 21 Jun 1991 p. 3056.]</w:t>
      </w:r>
    </w:p>
    <w:p>
      <w:pPr>
        <w:pStyle w:val="Heading5"/>
        <w:rPr>
          <w:snapToGrid w:val="0"/>
        </w:rPr>
      </w:pPr>
      <w:bookmarkStart w:id="285" w:name="_Toc92809369"/>
      <w:r>
        <w:rPr>
          <w:rStyle w:val="CharSectno"/>
        </w:rPr>
        <w:t>118C</w:t>
      </w:r>
      <w:r>
        <w:rPr>
          <w:snapToGrid w:val="0"/>
        </w:rPr>
        <w:t>.</w:t>
      </w:r>
      <w:r>
        <w:rPr>
          <w:snapToGrid w:val="0"/>
        </w:rPr>
        <w:tab/>
        <w:t>Refund of certain survey fees</w:t>
      </w:r>
      <w:bookmarkEnd w:id="28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vertAlign w:val="superscript"/>
        </w:rPr>
        <w:t> 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Gazette 24 Jun 1994 p. 2933</w:t>
      </w:r>
      <w:r>
        <w:noBreakHyphen/>
        <w:t>4.]</w:t>
      </w:r>
    </w:p>
    <w:p>
      <w:pPr>
        <w:pStyle w:val="Heading5"/>
        <w:rPr>
          <w:snapToGrid w:val="0"/>
        </w:rPr>
      </w:pPr>
      <w:bookmarkStart w:id="286" w:name="_Toc92809370"/>
      <w:r>
        <w:rPr>
          <w:rStyle w:val="CharSectno"/>
        </w:rPr>
        <w:t>119</w:t>
      </w:r>
      <w:r>
        <w:rPr>
          <w:snapToGrid w:val="0"/>
        </w:rPr>
        <w:t>.</w:t>
      </w:r>
      <w:r>
        <w:rPr>
          <w:snapToGrid w:val="0"/>
        </w:rPr>
        <w:tab/>
        <w:t>Boundary marks to be pointed out</w:t>
      </w:r>
      <w:bookmarkEnd w:id="28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lastRenderedPageBreak/>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Gazette 30 May 1986 p. 1840; amended: Gazette 21 Jun 1991 p. 3056.]</w:t>
      </w:r>
    </w:p>
    <w:p>
      <w:pPr>
        <w:pStyle w:val="Heading5"/>
        <w:spacing w:before="180"/>
        <w:rPr>
          <w:snapToGrid w:val="0"/>
        </w:rPr>
      </w:pPr>
      <w:bookmarkStart w:id="287" w:name="_Toc92809371"/>
      <w:r>
        <w:rPr>
          <w:rStyle w:val="CharSectno"/>
        </w:rPr>
        <w:t>120</w:t>
      </w:r>
      <w:r>
        <w:rPr>
          <w:snapToGrid w:val="0"/>
        </w:rPr>
        <w:t>.</w:t>
      </w:r>
      <w:r>
        <w:rPr>
          <w:snapToGrid w:val="0"/>
        </w:rPr>
        <w:tab/>
        <w:t>Adjustment of boundaries</w:t>
      </w:r>
      <w:bookmarkEnd w:id="28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Gazette 30 May 1986 p. 1840; amended: Gazette 21 Jun 1991 p. 3057.]</w:t>
      </w:r>
    </w:p>
    <w:p>
      <w:pPr>
        <w:pStyle w:val="Heading5"/>
        <w:rPr>
          <w:snapToGrid w:val="0"/>
        </w:rPr>
      </w:pPr>
      <w:bookmarkStart w:id="288" w:name="_Toc92809372"/>
      <w:r>
        <w:rPr>
          <w:rStyle w:val="CharSectno"/>
        </w:rPr>
        <w:lastRenderedPageBreak/>
        <w:t>120A</w:t>
      </w:r>
      <w:r>
        <w:rPr>
          <w:snapToGrid w:val="0"/>
        </w:rPr>
        <w:t>.</w:t>
      </w:r>
      <w:r>
        <w:rPr>
          <w:snapToGrid w:val="0"/>
        </w:rPr>
        <w:tab/>
        <w:t>Disputes and objections in mining survey</w:t>
      </w:r>
      <w:bookmarkEnd w:id="28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the warden’s recommendation relating to the dispute or objection must be forwarded by the warden to the Minister and the Minister must determine the dispute or objection.</w:t>
      </w:r>
    </w:p>
    <w:p>
      <w:pPr>
        <w:pStyle w:val="Footnotesection"/>
        <w:ind w:left="890" w:hanging="890"/>
      </w:pPr>
      <w:r>
        <w:tab/>
        <w:t>[Regulation 120A inserted: Gazette 30 May 1986 p. 1840</w:t>
      </w:r>
      <w:r>
        <w:noBreakHyphen/>
        <w:t>1; amended: Gazette 16 Nov 1990 p. 5729; 21 Jun 1991 p. 3057; 24 Dec 1993 p. 6829; 9 Mar 2007 p. 873; 15 Jan 2010 p. 114; 18 Mar 2011 p. 920; 1 Feb 2013 p. 454; 13 Dec 2019 p. 4238.]</w:t>
      </w:r>
    </w:p>
    <w:p>
      <w:pPr>
        <w:pStyle w:val="Heading5"/>
        <w:rPr>
          <w:snapToGrid w:val="0"/>
        </w:rPr>
      </w:pPr>
      <w:bookmarkStart w:id="289" w:name="_Toc92809373"/>
      <w:r>
        <w:rPr>
          <w:rStyle w:val="CharSectno"/>
        </w:rPr>
        <w:lastRenderedPageBreak/>
        <w:t>120B</w:t>
      </w:r>
      <w:r>
        <w:rPr>
          <w:snapToGrid w:val="0"/>
        </w:rPr>
        <w:t>.</w:t>
      </w:r>
      <w:r>
        <w:rPr>
          <w:snapToGrid w:val="0"/>
        </w:rPr>
        <w:tab/>
        <w:t>Cost of travelling</w:t>
      </w:r>
      <w:bookmarkEnd w:id="28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Gazette 30 May 1986 p. 1841.]</w:t>
      </w:r>
    </w:p>
    <w:p>
      <w:pPr>
        <w:pStyle w:val="Heading5"/>
        <w:rPr>
          <w:snapToGrid w:val="0"/>
        </w:rPr>
      </w:pPr>
      <w:bookmarkStart w:id="290" w:name="_Toc92809374"/>
      <w:r>
        <w:rPr>
          <w:rStyle w:val="CharSectno"/>
        </w:rPr>
        <w:t>120C</w:t>
      </w:r>
      <w:r>
        <w:rPr>
          <w:snapToGrid w:val="0"/>
        </w:rPr>
        <w:t>.</w:t>
      </w:r>
      <w:r>
        <w:rPr>
          <w:snapToGrid w:val="0"/>
        </w:rPr>
        <w:tab/>
        <w:t>Correction of errors or omissions</w:t>
      </w:r>
      <w:bookmarkEnd w:id="29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lastRenderedPageBreak/>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Gazette 30 May 1986 p. 1841; amended: Gazette 21 Jun 1991 p. 3057.]</w:t>
      </w:r>
    </w:p>
    <w:p>
      <w:pPr>
        <w:pStyle w:val="Heading5"/>
        <w:rPr>
          <w:snapToGrid w:val="0"/>
        </w:rPr>
      </w:pPr>
      <w:bookmarkStart w:id="291" w:name="_Toc92809375"/>
      <w:r>
        <w:rPr>
          <w:rStyle w:val="CharSectno"/>
        </w:rPr>
        <w:t>120D</w:t>
      </w:r>
      <w:r>
        <w:rPr>
          <w:snapToGrid w:val="0"/>
        </w:rPr>
        <w:t>.</w:t>
      </w:r>
      <w:r>
        <w:rPr>
          <w:snapToGrid w:val="0"/>
        </w:rPr>
        <w:tab/>
        <w:t>Cost of check surveys and of correction of errors to be met by approved surveyors</w:t>
      </w:r>
      <w:bookmarkEnd w:id="29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Gazette 30 May 1986 p. 1841.]</w:t>
      </w:r>
    </w:p>
    <w:p>
      <w:pPr>
        <w:pStyle w:val="Heading5"/>
        <w:rPr>
          <w:snapToGrid w:val="0"/>
        </w:rPr>
      </w:pPr>
      <w:bookmarkStart w:id="292" w:name="_Toc92809376"/>
      <w:r>
        <w:rPr>
          <w:rStyle w:val="CharSectno"/>
        </w:rPr>
        <w:t>120E</w:t>
      </w:r>
      <w:r>
        <w:rPr>
          <w:snapToGrid w:val="0"/>
        </w:rPr>
        <w:t>.</w:t>
      </w:r>
      <w:r>
        <w:rPr>
          <w:snapToGrid w:val="0"/>
        </w:rPr>
        <w:tab/>
        <w:t>Report of surveyed tenements to be prepared</w:t>
      </w:r>
      <w:bookmarkEnd w:id="29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Gazette 5 Jul 1991 p. 3359; amended: Gazette 15 Jan 2010 p. 114; 18 Mar 2011 p. 920.]</w:t>
      </w:r>
    </w:p>
    <w:p>
      <w:pPr>
        <w:pStyle w:val="Heading2"/>
      </w:pPr>
      <w:bookmarkStart w:id="293" w:name="_Toc92799494"/>
      <w:bookmarkStart w:id="294" w:name="_Toc92799909"/>
      <w:bookmarkStart w:id="295" w:name="_Toc92809377"/>
      <w:r>
        <w:rPr>
          <w:rStyle w:val="CharPartNo"/>
        </w:rPr>
        <w:lastRenderedPageBreak/>
        <w:t>Part VIA</w:t>
      </w:r>
      <w:r>
        <w:t> — </w:t>
      </w:r>
      <w:r>
        <w:rPr>
          <w:rStyle w:val="CharPartText"/>
        </w:rPr>
        <w:t>Inspectors</w:t>
      </w:r>
      <w:bookmarkEnd w:id="293"/>
      <w:bookmarkEnd w:id="294"/>
      <w:bookmarkEnd w:id="295"/>
    </w:p>
    <w:p>
      <w:pPr>
        <w:pStyle w:val="Footnoteheading"/>
        <w:ind w:left="890"/>
        <w:rPr>
          <w:snapToGrid w:val="0"/>
        </w:rPr>
      </w:pPr>
      <w:r>
        <w:rPr>
          <w:snapToGrid w:val="0"/>
        </w:rPr>
        <w:tab/>
        <w:t>[Heading inserted: Gazette 24 Jun 1994 p. 2934.]</w:t>
      </w:r>
    </w:p>
    <w:p>
      <w:pPr>
        <w:pStyle w:val="Heading3"/>
      </w:pPr>
      <w:bookmarkStart w:id="296" w:name="_Toc92799495"/>
      <w:bookmarkStart w:id="297" w:name="_Toc92799910"/>
      <w:bookmarkStart w:id="298" w:name="_Toc92809378"/>
      <w:r>
        <w:rPr>
          <w:rStyle w:val="CharDivNo"/>
        </w:rPr>
        <w:t>Division 1</w:t>
      </w:r>
      <w:r>
        <w:rPr>
          <w:snapToGrid w:val="0"/>
        </w:rPr>
        <w:t> — </w:t>
      </w:r>
      <w:r>
        <w:rPr>
          <w:rStyle w:val="CharDivText"/>
        </w:rPr>
        <w:t>Inspectors</w:t>
      </w:r>
      <w:bookmarkEnd w:id="296"/>
      <w:bookmarkEnd w:id="297"/>
      <w:bookmarkEnd w:id="298"/>
    </w:p>
    <w:p>
      <w:pPr>
        <w:pStyle w:val="Footnoteheading"/>
        <w:ind w:left="890"/>
        <w:rPr>
          <w:snapToGrid w:val="0"/>
        </w:rPr>
      </w:pPr>
      <w:r>
        <w:rPr>
          <w:snapToGrid w:val="0"/>
        </w:rPr>
        <w:tab/>
        <w:t>[Heading inserted: Gazette 24 Jun 1994 p. 2934.]</w:t>
      </w:r>
    </w:p>
    <w:p>
      <w:pPr>
        <w:pStyle w:val="Heading5"/>
        <w:rPr>
          <w:snapToGrid w:val="0"/>
        </w:rPr>
      </w:pPr>
      <w:bookmarkStart w:id="299" w:name="_Toc92809379"/>
      <w:r>
        <w:rPr>
          <w:rStyle w:val="CharSectno"/>
        </w:rPr>
        <w:t>120F</w:t>
      </w:r>
      <w:r>
        <w:rPr>
          <w:snapToGrid w:val="0"/>
        </w:rPr>
        <w:t>.</w:t>
      </w:r>
      <w:r>
        <w:rPr>
          <w:snapToGrid w:val="0"/>
        </w:rPr>
        <w:tab/>
        <w:t>Assignment of inspectors for environmental purpose</w:t>
      </w:r>
      <w:bookmarkEnd w:id="29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Gazette 24 Jun 1994 p. 2934.]</w:t>
      </w:r>
    </w:p>
    <w:p>
      <w:pPr>
        <w:pStyle w:val="Heading5"/>
        <w:rPr>
          <w:snapToGrid w:val="0"/>
        </w:rPr>
      </w:pPr>
      <w:bookmarkStart w:id="300" w:name="_Toc92809380"/>
      <w:r>
        <w:rPr>
          <w:rStyle w:val="CharSectno"/>
        </w:rPr>
        <w:lastRenderedPageBreak/>
        <w:t>120G</w:t>
      </w:r>
      <w:r>
        <w:rPr>
          <w:snapToGrid w:val="0"/>
        </w:rPr>
        <w:t>.</w:t>
      </w:r>
      <w:r>
        <w:rPr>
          <w:snapToGrid w:val="0"/>
        </w:rPr>
        <w:tab/>
        <w:t>Inspectors may enter mining tenement or mine</w:t>
      </w:r>
      <w:bookmarkEnd w:id="300"/>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Gazette 24 Jun 1994 p. 2934</w:t>
      </w:r>
      <w:r>
        <w:noBreakHyphen/>
        <w:t>5.]</w:t>
      </w:r>
    </w:p>
    <w:p>
      <w:pPr>
        <w:pStyle w:val="Heading3"/>
      </w:pPr>
      <w:bookmarkStart w:id="301" w:name="_Toc92799498"/>
      <w:bookmarkStart w:id="302" w:name="_Toc92799913"/>
      <w:bookmarkStart w:id="303" w:name="_Toc92809381"/>
      <w:r>
        <w:rPr>
          <w:rStyle w:val="CharDivNo"/>
        </w:rPr>
        <w:t>Division 2</w:t>
      </w:r>
      <w:r>
        <w:rPr>
          <w:snapToGrid w:val="0"/>
        </w:rPr>
        <w:t> — </w:t>
      </w:r>
      <w:r>
        <w:rPr>
          <w:rStyle w:val="CharDivText"/>
        </w:rPr>
        <w:t>Directions to modify mining operations</w:t>
      </w:r>
      <w:bookmarkEnd w:id="301"/>
      <w:bookmarkEnd w:id="302"/>
      <w:bookmarkEnd w:id="303"/>
    </w:p>
    <w:p>
      <w:pPr>
        <w:pStyle w:val="Footnoteheading"/>
        <w:ind w:left="890"/>
        <w:rPr>
          <w:snapToGrid w:val="0"/>
        </w:rPr>
      </w:pPr>
      <w:r>
        <w:rPr>
          <w:snapToGrid w:val="0"/>
        </w:rPr>
        <w:tab/>
        <w:t>[Heading inserted: Gazette 24 Jun 1994 p. 2935.]</w:t>
      </w:r>
    </w:p>
    <w:p>
      <w:pPr>
        <w:pStyle w:val="Heading5"/>
        <w:rPr>
          <w:snapToGrid w:val="0"/>
        </w:rPr>
      </w:pPr>
      <w:bookmarkStart w:id="304" w:name="_Toc92809382"/>
      <w:r>
        <w:rPr>
          <w:rStyle w:val="CharSectno"/>
        </w:rPr>
        <w:t>120H</w:t>
      </w:r>
      <w:r>
        <w:rPr>
          <w:snapToGrid w:val="0"/>
        </w:rPr>
        <w:t>.</w:t>
      </w:r>
      <w:r>
        <w:rPr>
          <w:snapToGrid w:val="0"/>
        </w:rPr>
        <w:tab/>
        <w:t>Inspectors may issue directions</w:t>
      </w:r>
      <w:bookmarkEnd w:id="304"/>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Gazette 24 Jun 1994 p. 2935.]</w:t>
      </w:r>
    </w:p>
    <w:p>
      <w:pPr>
        <w:pStyle w:val="Heading5"/>
        <w:rPr>
          <w:snapToGrid w:val="0"/>
        </w:rPr>
      </w:pPr>
      <w:bookmarkStart w:id="305" w:name="_Toc92809383"/>
      <w:r>
        <w:rPr>
          <w:rStyle w:val="CharSectno"/>
        </w:rPr>
        <w:t>120I</w:t>
      </w:r>
      <w:r>
        <w:rPr>
          <w:snapToGrid w:val="0"/>
        </w:rPr>
        <w:t>.</w:t>
      </w:r>
      <w:r>
        <w:rPr>
          <w:snapToGrid w:val="0"/>
        </w:rPr>
        <w:tab/>
        <w:t>Directions</w:t>
      </w:r>
      <w:bookmarkEnd w:id="30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Gazette 24 Jun 1994 p. 2935.]</w:t>
      </w:r>
    </w:p>
    <w:p>
      <w:pPr>
        <w:pStyle w:val="Heading5"/>
        <w:rPr>
          <w:snapToGrid w:val="0"/>
        </w:rPr>
      </w:pPr>
      <w:bookmarkStart w:id="306" w:name="_Toc92809384"/>
      <w:r>
        <w:rPr>
          <w:rStyle w:val="CharSectno"/>
        </w:rPr>
        <w:t>120J</w:t>
      </w:r>
      <w:r>
        <w:rPr>
          <w:snapToGrid w:val="0"/>
        </w:rPr>
        <w:t>.</w:t>
      </w:r>
      <w:r>
        <w:rPr>
          <w:snapToGrid w:val="0"/>
        </w:rPr>
        <w:tab/>
        <w:t>Review of direction</w:t>
      </w:r>
      <w:bookmarkEnd w:id="306"/>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lastRenderedPageBreak/>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Gazette 24 Jun 1994 p. 2935</w:t>
      </w:r>
      <w:r>
        <w:noBreakHyphen/>
        <w:t>6; amended: Gazette 3 Feb 2006 p. 604; 22 Dec 2017 p. 5992.]</w:t>
      </w:r>
    </w:p>
    <w:p>
      <w:pPr>
        <w:pStyle w:val="Heading5"/>
        <w:rPr>
          <w:snapToGrid w:val="0"/>
        </w:rPr>
      </w:pPr>
      <w:bookmarkStart w:id="307" w:name="_Toc92809385"/>
      <w:r>
        <w:rPr>
          <w:rStyle w:val="CharSectno"/>
        </w:rPr>
        <w:t>120K</w:t>
      </w:r>
      <w:r>
        <w:rPr>
          <w:snapToGrid w:val="0"/>
        </w:rPr>
        <w:t>.</w:t>
      </w:r>
      <w:r>
        <w:rPr>
          <w:snapToGrid w:val="0"/>
        </w:rPr>
        <w:tab/>
        <w:t>Compliance with directions</w:t>
      </w:r>
      <w:bookmarkEnd w:id="30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 xml:space="preserve">the decision to issue a direction is confirmed but the terms of that direction are modified, the mining tenement holder shall comply with the modified terms of </w:t>
      </w:r>
      <w:r>
        <w:rPr>
          <w:snapToGrid w:val="0"/>
        </w:rPr>
        <w:lastRenderedPageBreak/>
        <w:t>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Gazette 24 Jun 1994 p. 2936.]</w:t>
      </w:r>
    </w:p>
    <w:p>
      <w:pPr>
        <w:pStyle w:val="Heading3"/>
      </w:pPr>
      <w:bookmarkStart w:id="308" w:name="_Toc92799503"/>
      <w:bookmarkStart w:id="309" w:name="_Toc92799918"/>
      <w:bookmarkStart w:id="310" w:name="_Toc92809386"/>
      <w:r>
        <w:rPr>
          <w:rStyle w:val="CharDivNo"/>
        </w:rPr>
        <w:t>Division 3</w:t>
      </w:r>
      <w:r>
        <w:rPr>
          <w:snapToGrid w:val="0"/>
        </w:rPr>
        <w:t> — </w:t>
      </w:r>
      <w:r>
        <w:rPr>
          <w:rStyle w:val="CharDivText"/>
        </w:rPr>
        <w:t>Stop Work Orders</w:t>
      </w:r>
      <w:bookmarkEnd w:id="308"/>
      <w:bookmarkEnd w:id="309"/>
      <w:bookmarkEnd w:id="310"/>
    </w:p>
    <w:p>
      <w:pPr>
        <w:pStyle w:val="Footnoteheading"/>
        <w:ind w:left="890"/>
        <w:rPr>
          <w:snapToGrid w:val="0"/>
        </w:rPr>
      </w:pPr>
      <w:r>
        <w:rPr>
          <w:snapToGrid w:val="0"/>
        </w:rPr>
        <w:tab/>
        <w:t>[Heading inserted: Gazette 24 Jun 1994 p. 2936.]</w:t>
      </w:r>
    </w:p>
    <w:p>
      <w:pPr>
        <w:pStyle w:val="Heading5"/>
        <w:rPr>
          <w:snapToGrid w:val="0"/>
        </w:rPr>
      </w:pPr>
      <w:bookmarkStart w:id="311" w:name="_Toc92809387"/>
      <w:r>
        <w:rPr>
          <w:rStyle w:val="CharSectno"/>
        </w:rPr>
        <w:t>120L</w:t>
      </w:r>
      <w:r>
        <w:rPr>
          <w:snapToGrid w:val="0"/>
        </w:rPr>
        <w:t>.</w:t>
      </w:r>
      <w:r>
        <w:rPr>
          <w:snapToGrid w:val="0"/>
        </w:rPr>
        <w:tab/>
        <w:t>Inspectors may issue Stop Work Orders</w:t>
      </w:r>
      <w:bookmarkEnd w:id="311"/>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lastRenderedPageBreak/>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Gazette 24 Jun 1994 p. 2936</w:t>
      </w:r>
      <w:r>
        <w:noBreakHyphen/>
        <w:t>7.]</w:t>
      </w:r>
    </w:p>
    <w:p>
      <w:pPr>
        <w:pStyle w:val="Heading5"/>
        <w:rPr>
          <w:snapToGrid w:val="0"/>
        </w:rPr>
      </w:pPr>
      <w:bookmarkStart w:id="312" w:name="_Toc92809388"/>
      <w:r>
        <w:rPr>
          <w:rStyle w:val="CharSectno"/>
        </w:rPr>
        <w:t>120M</w:t>
      </w:r>
      <w:r>
        <w:rPr>
          <w:snapToGrid w:val="0"/>
        </w:rPr>
        <w:t>.</w:t>
      </w:r>
      <w:r>
        <w:rPr>
          <w:snapToGrid w:val="0"/>
        </w:rPr>
        <w:tab/>
        <w:t>Stop Work Orders</w:t>
      </w:r>
      <w:bookmarkEnd w:id="312"/>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Gazette 24 Jun 1994 p. 2937.]</w:t>
      </w:r>
    </w:p>
    <w:p>
      <w:pPr>
        <w:pStyle w:val="Heading5"/>
        <w:rPr>
          <w:snapToGrid w:val="0"/>
        </w:rPr>
      </w:pPr>
      <w:bookmarkStart w:id="313" w:name="_Toc92809389"/>
      <w:r>
        <w:rPr>
          <w:rStyle w:val="CharSectno"/>
        </w:rPr>
        <w:t>120N</w:t>
      </w:r>
      <w:r>
        <w:rPr>
          <w:snapToGrid w:val="0"/>
        </w:rPr>
        <w:t>.</w:t>
      </w:r>
      <w:r>
        <w:rPr>
          <w:snapToGrid w:val="0"/>
        </w:rPr>
        <w:tab/>
        <w:t>Review of Stop Work Order</w:t>
      </w:r>
      <w:bookmarkEnd w:id="313"/>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lastRenderedPageBreak/>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Gazette 24 Jun 1994 p. 2937</w:t>
      </w:r>
      <w:r>
        <w:noBreakHyphen/>
        <w:t>8; amended: Gazette 3 Feb 2006 p. 604-5; 22 Dec 2017 p. 5992.]</w:t>
      </w:r>
    </w:p>
    <w:p>
      <w:pPr>
        <w:pStyle w:val="Heading5"/>
        <w:rPr>
          <w:snapToGrid w:val="0"/>
        </w:rPr>
      </w:pPr>
      <w:bookmarkStart w:id="314" w:name="_Toc92809390"/>
      <w:r>
        <w:rPr>
          <w:rStyle w:val="CharSectno"/>
        </w:rPr>
        <w:t>120O</w:t>
      </w:r>
      <w:r>
        <w:rPr>
          <w:snapToGrid w:val="0"/>
        </w:rPr>
        <w:t>.</w:t>
      </w:r>
      <w:r>
        <w:rPr>
          <w:snapToGrid w:val="0"/>
        </w:rPr>
        <w:tab/>
        <w:t>Compliance with Stop Work Orders</w:t>
      </w:r>
      <w:bookmarkEnd w:id="314"/>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lastRenderedPageBreak/>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Gazette 24 Jun 1994 p. 2938.]</w:t>
      </w:r>
    </w:p>
    <w:p>
      <w:pPr>
        <w:pStyle w:val="Heading2"/>
      </w:pPr>
      <w:bookmarkStart w:id="315" w:name="_Toc92799508"/>
      <w:bookmarkStart w:id="316" w:name="_Toc92799923"/>
      <w:bookmarkStart w:id="317" w:name="_Toc92809391"/>
      <w:r>
        <w:rPr>
          <w:rStyle w:val="CharPartNo"/>
        </w:rPr>
        <w:lastRenderedPageBreak/>
        <w:t>Part VIB</w:t>
      </w:r>
      <w:r>
        <w:rPr>
          <w:rStyle w:val="CharDivNo"/>
        </w:rPr>
        <w:t> </w:t>
      </w:r>
      <w:r>
        <w:t>—</w:t>
      </w:r>
      <w:r>
        <w:rPr>
          <w:rStyle w:val="CharDivText"/>
        </w:rPr>
        <w:t> </w:t>
      </w:r>
      <w:r>
        <w:rPr>
          <w:rStyle w:val="CharPartText"/>
        </w:rPr>
        <w:t>Aerial photography</w:t>
      </w:r>
      <w:bookmarkEnd w:id="315"/>
      <w:bookmarkEnd w:id="316"/>
      <w:bookmarkEnd w:id="317"/>
    </w:p>
    <w:p>
      <w:pPr>
        <w:pStyle w:val="Footnoteheading"/>
        <w:ind w:left="890"/>
      </w:pPr>
      <w:r>
        <w:tab/>
        <w:t>[Heading inserted: Gazette 13 Oct 1995 p. 4821.]</w:t>
      </w:r>
    </w:p>
    <w:p>
      <w:pPr>
        <w:pStyle w:val="Heading5"/>
        <w:rPr>
          <w:snapToGrid w:val="0"/>
        </w:rPr>
      </w:pPr>
      <w:bookmarkStart w:id="318" w:name="_Toc92809392"/>
      <w:r>
        <w:rPr>
          <w:rStyle w:val="CharSectno"/>
        </w:rPr>
        <w:t>120P</w:t>
      </w:r>
      <w:r>
        <w:rPr>
          <w:snapToGrid w:val="0"/>
        </w:rPr>
        <w:t>.</w:t>
      </w:r>
      <w:r>
        <w:rPr>
          <w:snapToGrid w:val="0"/>
        </w:rPr>
        <w:tab/>
        <w:t>Terms used</w:t>
      </w:r>
      <w:bookmarkEnd w:id="31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Gazette 13 Oct 1995 p. 4821; amended: Gazette 3 Feb 2006 p. 602.]</w:t>
      </w:r>
    </w:p>
    <w:p>
      <w:pPr>
        <w:pStyle w:val="Heading5"/>
        <w:rPr>
          <w:snapToGrid w:val="0"/>
        </w:rPr>
      </w:pPr>
      <w:bookmarkStart w:id="319" w:name="_Toc92809393"/>
      <w:r>
        <w:rPr>
          <w:rStyle w:val="CharSectno"/>
        </w:rPr>
        <w:t>120Q</w:t>
      </w:r>
      <w:r>
        <w:rPr>
          <w:snapToGrid w:val="0"/>
        </w:rPr>
        <w:t>.</w:t>
      </w:r>
      <w:r>
        <w:rPr>
          <w:snapToGrid w:val="0"/>
        </w:rPr>
        <w:tab/>
        <w:t>Information to be provided as to aerial photography</w:t>
      </w:r>
      <w:bookmarkEnd w:id="31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lastRenderedPageBreak/>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Gazette 13 Oct 1995 p. 4821</w:t>
      </w:r>
      <w:r>
        <w:noBreakHyphen/>
        <w:t>2.]</w:t>
      </w:r>
    </w:p>
    <w:p>
      <w:pPr>
        <w:pStyle w:val="Heading5"/>
        <w:rPr>
          <w:snapToGrid w:val="0"/>
        </w:rPr>
      </w:pPr>
      <w:bookmarkStart w:id="320" w:name="_Toc92809394"/>
      <w:r>
        <w:rPr>
          <w:rStyle w:val="CharSectno"/>
        </w:rPr>
        <w:t>120R</w:t>
      </w:r>
      <w:r>
        <w:rPr>
          <w:snapToGrid w:val="0"/>
        </w:rPr>
        <w:t>.</w:t>
      </w:r>
      <w:r>
        <w:rPr>
          <w:snapToGrid w:val="0"/>
        </w:rPr>
        <w:tab/>
        <w:t>Register</w:t>
      </w:r>
      <w:bookmarkEnd w:id="32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Gazette 13 Oct 1995 p. 4822.]</w:t>
      </w:r>
    </w:p>
    <w:p>
      <w:pPr>
        <w:pStyle w:val="Heading5"/>
        <w:rPr>
          <w:snapToGrid w:val="0"/>
        </w:rPr>
      </w:pPr>
      <w:bookmarkStart w:id="321" w:name="_Toc92809395"/>
      <w:r>
        <w:rPr>
          <w:rStyle w:val="CharSectno"/>
        </w:rPr>
        <w:t>120S</w:t>
      </w:r>
      <w:r>
        <w:rPr>
          <w:snapToGrid w:val="0"/>
        </w:rPr>
        <w:t>.</w:t>
      </w:r>
      <w:r>
        <w:rPr>
          <w:snapToGrid w:val="0"/>
        </w:rPr>
        <w:tab/>
        <w:t>Confidentiality of information</w:t>
      </w:r>
      <w:bookmarkEnd w:id="32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Gazette 13 Oct 1995 p. 4822.]</w:t>
      </w:r>
    </w:p>
    <w:p>
      <w:pPr>
        <w:pStyle w:val="Heading2"/>
      </w:pPr>
      <w:bookmarkStart w:id="322" w:name="_Toc92799513"/>
      <w:bookmarkStart w:id="323" w:name="_Toc92799928"/>
      <w:bookmarkStart w:id="324" w:name="_Toc92809396"/>
      <w:r>
        <w:rPr>
          <w:rStyle w:val="CharPartNo"/>
        </w:rPr>
        <w:lastRenderedPageBreak/>
        <w:t>Part VII</w:t>
      </w:r>
      <w:r>
        <w:rPr>
          <w:rStyle w:val="CharDivNo"/>
        </w:rPr>
        <w:t> </w:t>
      </w:r>
      <w:r>
        <w:t>—</w:t>
      </w:r>
      <w:r>
        <w:rPr>
          <w:rStyle w:val="CharDivText"/>
        </w:rPr>
        <w:t> </w:t>
      </w:r>
      <w:r>
        <w:rPr>
          <w:rStyle w:val="CharPartText"/>
        </w:rPr>
        <w:t>Proceedings in warden’s court</w:t>
      </w:r>
      <w:bookmarkEnd w:id="322"/>
      <w:bookmarkEnd w:id="323"/>
      <w:bookmarkEnd w:id="324"/>
    </w:p>
    <w:p>
      <w:pPr>
        <w:pStyle w:val="Footnoteheading"/>
      </w:pPr>
      <w:r>
        <w:tab/>
        <w:t>[Heading inserted: Gazette 9 Mar 2007 p. 873.]</w:t>
      </w:r>
    </w:p>
    <w:p>
      <w:pPr>
        <w:pStyle w:val="Heading5"/>
        <w:rPr>
          <w:snapToGrid w:val="0"/>
        </w:rPr>
      </w:pPr>
      <w:bookmarkStart w:id="325" w:name="_Toc92809397"/>
      <w:r>
        <w:rPr>
          <w:rStyle w:val="CharSectno"/>
        </w:rPr>
        <w:t>121</w:t>
      </w:r>
      <w:r>
        <w:rPr>
          <w:snapToGrid w:val="0"/>
        </w:rPr>
        <w:t>.</w:t>
      </w:r>
      <w:r>
        <w:rPr>
          <w:snapToGrid w:val="0"/>
        </w:rPr>
        <w:tab/>
        <w:t>Proceedings</w:t>
      </w:r>
      <w:bookmarkEnd w:id="325"/>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Gazette 15 Jan 2010 p. 114 and 136.]</w:t>
      </w:r>
    </w:p>
    <w:p>
      <w:pPr>
        <w:pStyle w:val="Heading5"/>
      </w:pPr>
      <w:bookmarkStart w:id="326" w:name="_Toc92809398"/>
      <w:r>
        <w:rPr>
          <w:rStyle w:val="CharSectno"/>
        </w:rPr>
        <w:t>122A</w:t>
      </w:r>
      <w:r>
        <w:t>.</w:t>
      </w:r>
      <w:r>
        <w:tab/>
        <w:t>Lodging proceedings documents through Department’s website</w:t>
      </w:r>
      <w:bookmarkEnd w:id="326"/>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lastRenderedPageBreak/>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Gazette 9 Nov 2012 p. 5402-4.]</w:t>
      </w:r>
    </w:p>
    <w:p>
      <w:pPr>
        <w:pStyle w:val="Heading5"/>
        <w:rPr>
          <w:snapToGrid w:val="0"/>
        </w:rPr>
      </w:pPr>
      <w:bookmarkStart w:id="327" w:name="_Toc92809399"/>
      <w:r>
        <w:rPr>
          <w:rStyle w:val="CharSectno"/>
        </w:rPr>
        <w:lastRenderedPageBreak/>
        <w:t>122</w:t>
      </w:r>
      <w:r>
        <w:rPr>
          <w:snapToGrid w:val="0"/>
        </w:rPr>
        <w:t>.</w:t>
      </w:r>
      <w:r>
        <w:rPr>
          <w:snapToGrid w:val="0"/>
        </w:rPr>
        <w:tab/>
        <w:t>Lodgment, withdrawal of plaint</w:t>
      </w:r>
      <w:bookmarkEnd w:id="327"/>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Gazette 9 Mar 2007 p. 873; 15 Jan 2010 p. 114; 18 Mar 2011 p. 921; 9 Nov 2012 p. 5404.]</w:t>
      </w:r>
    </w:p>
    <w:p>
      <w:pPr>
        <w:pStyle w:val="Heading5"/>
        <w:spacing w:before="180"/>
        <w:rPr>
          <w:snapToGrid w:val="0"/>
        </w:rPr>
      </w:pPr>
      <w:bookmarkStart w:id="328" w:name="_Toc92809400"/>
      <w:r>
        <w:rPr>
          <w:rStyle w:val="CharSectno"/>
        </w:rPr>
        <w:t>123</w:t>
      </w:r>
      <w:r>
        <w:rPr>
          <w:snapToGrid w:val="0"/>
        </w:rPr>
        <w:t>.</w:t>
      </w:r>
      <w:r>
        <w:rPr>
          <w:snapToGrid w:val="0"/>
        </w:rPr>
        <w:tab/>
        <w:t>Issue of summons</w:t>
      </w:r>
      <w:bookmarkEnd w:id="328"/>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Gazette 17 Jan 2003 p. 114; 9 Mar 2007 p. 874; 15 Jan 2010 p. 114; 9 Nov 2012 p. 5404-5.]</w:t>
      </w:r>
    </w:p>
    <w:p>
      <w:pPr>
        <w:pStyle w:val="Heading5"/>
      </w:pPr>
      <w:bookmarkStart w:id="329" w:name="_Toc92809401"/>
      <w:r>
        <w:rPr>
          <w:rStyle w:val="CharSectno"/>
        </w:rPr>
        <w:lastRenderedPageBreak/>
        <w:t>124</w:t>
      </w:r>
      <w:r>
        <w:t>.</w:t>
      </w:r>
      <w:r>
        <w:tab/>
        <w:t>Service of summons</w:t>
      </w:r>
      <w:bookmarkEnd w:id="329"/>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Gazette 9 Nov 2012 p. 5405.]</w:t>
      </w:r>
    </w:p>
    <w:p>
      <w:pPr>
        <w:pStyle w:val="Heading5"/>
        <w:rPr>
          <w:snapToGrid w:val="0"/>
        </w:rPr>
      </w:pPr>
      <w:bookmarkStart w:id="330" w:name="_Toc92809402"/>
      <w:r>
        <w:rPr>
          <w:rStyle w:val="CharSectno"/>
        </w:rPr>
        <w:t>125</w:t>
      </w:r>
      <w:r>
        <w:rPr>
          <w:snapToGrid w:val="0"/>
        </w:rPr>
        <w:t>.</w:t>
      </w:r>
      <w:r>
        <w:rPr>
          <w:snapToGrid w:val="0"/>
        </w:rPr>
        <w:tab/>
        <w:t>Time for service</w:t>
      </w:r>
      <w:bookmarkEnd w:id="330"/>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Gazette 17 Jan 2003 p. 114; 9 Mar 2007 p. 875; 9 Nov 2012 p. 5405-6.]</w:t>
      </w:r>
    </w:p>
    <w:p>
      <w:pPr>
        <w:pStyle w:val="Heading5"/>
        <w:rPr>
          <w:snapToGrid w:val="0"/>
        </w:rPr>
      </w:pPr>
      <w:bookmarkStart w:id="331" w:name="_Toc92809403"/>
      <w:r>
        <w:rPr>
          <w:rStyle w:val="CharSectno"/>
        </w:rPr>
        <w:t>126</w:t>
      </w:r>
      <w:r>
        <w:rPr>
          <w:snapToGrid w:val="0"/>
        </w:rPr>
        <w:t>.</w:t>
      </w:r>
      <w:r>
        <w:rPr>
          <w:snapToGrid w:val="0"/>
        </w:rPr>
        <w:tab/>
        <w:t>Notice of defence</w:t>
      </w:r>
      <w:bookmarkEnd w:id="33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Gazette 24 Jun 1994 p. 2938; 11 Jun 1999 p. 2545; 17 Jan 2003 p. 114; 9 Mar 2007 p. 875; 15 Jan 2010 p. 115; 18 Mar 2011 p. 925.]</w:t>
      </w:r>
    </w:p>
    <w:p>
      <w:pPr>
        <w:pStyle w:val="Heading5"/>
        <w:spacing w:before="180"/>
      </w:pPr>
      <w:bookmarkStart w:id="332" w:name="_Toc92809404"/>
      <w:r>
        <w:rPr>
          <w:rStyle w:val="CharSectno"/>
        </w:rPr>
        <w:lastRenderedPageBreak/>
        <w:t>127</w:t>
      </w:r>
      <w:r>
        <w:t>.</w:t>
      </w:r>
      <w:r>
        <w:tab/>
        <w:t>Witness summons</w:t>
      </w:r>
      <w:bookmarkEnd w:id="332"/>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Gazette 9 Mar 2007 p. 876</w:t>
      </w:r>
      <w:r>
        <w:noBreakHyphen/>
        <w:t>7; amended: Gazette 15 Jan 2010 p. 115; 9 Nov 2012 p. 5406.]</w:t>
      </w:r>
    </w:p>
    <w:p>
      <w:pPr>
        <w:pStyle w:val="Heading5"/>
        <w:keepNext w:val="0"/>
        <w:keepLines w:val="0"/>
        <w:widowControl w:val="0"/>
        <w:spacing w:before="180"/>
      </w:pPr>
      <w:bookmarkStart w:id="333" w:name="_Toc92809405"/>
      <w:r>
        <w:rPr>
          <w:rStyle w:val="CharSectno"/>
        </w:rPr>
        <w:t>127A</w:t>
      </w:r>
      <w:r>
        <w:t>.</w:t>
      </w:r>
      <w:r>
        <w:tab/>
        <w:t>Requirements for service</w:t>
      </w:r>
      <w:bookmarkEnd w:id="333"/>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lastRenderedPageBreak/>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Gazette 9 Mar 2007 p. 877; amended: Gazette 9 Nov 2012 p. 5406.]</w:t>
      </w:r>
    </w:p>
    <w:p>
      <w:pPr>
        <w:pStyle w:val="Heading5"/>
        <w:spacing w:before="240"/>
      </w:pPr>
      <w:bookmarkStart w:id="334" w:name="_Toc92809406"/>
      <w:r>
        <w:rPr>
          <w:rStyle w:val="CharSectno"/>
        </w:rPr>
        <w:t>127B</w:t>
      </w:r>
      <w:r>
        <w:t>.</w:t>
      </w:r>
      <w:r>
        <w:tab/>
        <w:t>Address for service of lodged documents</w:t>
      </w:r>
      <w:bookmarkEnd w:id="334"/>
      <w:r>
        <w:t xml:space="preserve"> </w:t>
      </w:r>
    </w:p>
    <w:p>
      <w:pPr>
        <w:pStyle w:val="Subsection"/>
      </w:pPr>
      <w:r>
        <w:tab/>
        <w:t>(1)</w:t>
      </w:r>
      <w:r>
        <w:tab/>
        <w:t>A document lodged in relation to proceedings in the warden’s court must specify a residential or business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Gazette 9 Nov 2012 p. 5407; amended: SL 2020/119 r. 4.]</w:t>
      </w:r>
    </w:p>
    <w:p>
      <w:pPr>
        <w:pStyle w:val="Heading5"/>
        <w:rPr>
          <w:rStyle w:val="CharSectno"/>
        </w:rPr>
      </w:pPr>
      <w:bookmarkStart w:id="335" w:name="_Toc92809407"/>
      <w:r>
        <w:rPr>
          <w:rStyle w:val="CharSectno"/>
        </w:rPr>
        <w:lastRenderedPageBreak/>
        <w:t>127CA</w:t>
      </w:r>
      <w:r>
        <w:t>.</w:t>
      </w:r>
      <w:r>
        <w:tab/>
        <w:t>Ordinary service</w:t>
      </w:r>
      <w:bookmarkEnd w:id="335"/>
    </w:p>
    <w:p>
      <w:pPr>
        <w:pStyle w:val="Subsection"/>
        <w:keepNext/>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Gazette 9 Nov 2012 p. 5408.]</w:t>
      </w:r>
    </w:p>
    <w:p>
      <w:pPr>
        <w:pStyle w:val="Heading5"/>
      </w:pPr>
      <w:bookmarkStart w:id="336" w:name="_Toc92809408"/>
      <w:r>
        <w:rPr>
          <w:rStyle w:val="CharSectno"/>
        </w:rPr>
        <w:t>127CB</w:t>
      </w:r>
      <w:r>
        <w:t>.</w:t>
      </w:r>
      <w:r>
        <w:tab/>
        <w:t>Electronic addresses for service</w:t>
      </w:r>
      <w:bookmarkEnd w:id="336"/>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lastRenderedPageBreak/>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Gazette 9 Nov 2012 p. 5408-9.]</w:t>
      </w:r>
    </w:p>
    <w:p>
      <w:pPr>
        <w:pStyle w:val="Heading5"/>
      </w:pPr>
      <w:bookmarkStart w:id="337" w:name="_Toc92809409"/>
      <w:r>
        <w:rPr>
          <w:rStyle w:val="CharSectno"/>
        </w:rPr>
        <w:t>127CC</w:t>
      </w:r>
      <w:r>
        <w:t>.</w:t>
      </w:r>
      <w:r>
        <w:tab/>
        <w:t>Service electronically</w:t>
      </w:r>
      <w:bookmarkEnd w:id="337"/>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lastRenderedPageBreak/>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Gazette 9 Nov 2012 p. 5409-10; amended: SL 2020/119 r. 5.]</w:t>
      </w:r>
    </w:p>
    <w:p>
      <w:pPr>
        <w:pStyle w:val="Heading5"/>
        <w:keepNext w:val="0"/>
        <w:widowControl w:val="0"/>
        <w:spacing w:before="200"/>
      </w:pPr>
      <w:bookmarkStart w:id="338" w:name="_Toc92809410"/>
      <w:r>
        <w:rPr>
          <w:rStyle w:val="CharSectno"/>
        </w:rPr>
        <w:t>127C</w:t>
      </w:r>
      <w:r>
        <w:t>.</w:t>
      </w:r>
      <w:r>
        <w:tab/>
        <w:t>Documents served by bailiff</w:t>
      </w:r>
      <w:bookmarkEnd w:id="338"/>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lastRenderedPageBreak/>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Gazette 9 Mar 2007 p. 878.]</w:t>
      </w:r>
    </w:p>
    <w:p>
      <w:pPr>
        <w:pStyle w:val="Heading5"/>
      </w:pPr>
      <w:bookmarkStart w:id="339" w:name="_Toc92809411"/>
      <w:r>
        <w:rPr>
          <w:rStyle w:val="CharSectno"/>
        </w:rPr>
        <w:t>127D</w:t>
      </w:r>
      <w:r>
        <w:t>.</w:t>
      </w:r>
      <w:r>
        <w:tab/>
        <w:t>Documents served by other persons</w:t>
      </w:r>
      <w:bookmarkEnd w:id="339"/>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Gazette 9 Mar 2007 p. 878; amended: Gazette 15 Jan 2010 p. 115; 18 Mar 2011 p. 925.]</w:t>
      </w:r>
    </w:p>
    <w:p>
      <w:pPr>
        <w:pStyle w:val="Heading5"/>
      </w:pPr>
      <w:bookmarkStart w:id="340" w:name="_Toc92809412"/>
      <w:r>
        <w:rPr>
          <w:rStyle w:val="CharSectno"/>
        </w:rPr>
        <w:t>127E</w:t>
      </w:r>
      <w:r>
        <w:t>.</w:t>
      </w:r>
      <w:r>
        <w:tab/>
        <w:t>Substituted service</w:t>
      </w:r>
      <w:bookmarkEnd w:id="340"/>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Gazette 9 Mar 2007 p. 878; amended: Gazette 15 Jan 2010 p. 115.]</w:t>
      </w:r>
    </w:p>
    <w:p>
      <w:pPr>
        <w:pStyle w:val="Heading5"/>
      </w:pPr>
      <w:bookmarkStart w:id="341" w:name="_Toc92809413"/>
      <w:r>
        <w:rPr>
          <w:rStyle w:val="CharSectno"/>
        </w:rPr>
        <w:t>127F</w:t>
      </w:r>
      <w:r>
        <w:t>.</w:t>
      </w:r>
      <w:r>
        <w:tab/>
        <w:t>Content of affidavit</w:t>
      </w:r>
      <w:bookmarkEnd w:id="34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lastRenderedPageBreak/>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Gazette 9 Mar 2007 p. 879.]</w:t>
      </w:r>
    </w:p>
    <w:p>
      <w:pPr>
        <w:pStyle w:val="Heading5"/>
      </w:pPr>
      <w:bookmarkStart w:id="342" w:name="_Toc92809414"/>
      <w:r>
        <w:rPr>
          <w:rStyle w:val="CharSectno"/>
        </w:rPr>
        <w:t>127G</w:t>
      </w:r>
      <w:r>
        <w:t>.</w:t>
      </w:r>
      <w:r>
        <w:tab/>
        <w:t>Prescribed form of copy of evidence (Act s. 137(4))</w:t>
      </w:r>
      <w:bookmarkEnd w:id="342"/>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Gazette 9 Mar 2007 p. 879.]</w:t>
      </w:r>
    </w:p>
    <w:p>
      <w:pPr>
        <w:pStyle w:val="Heading5"/>
        <w:rPr>
          <w:snapToGrid w:val="0"/>
        </w:rPr>
      </w:pPr>
      <w:bookmarkStart w:id="343" w:name="_Toc92809415"/>
      <w:r>
        <w:rPr>
          <w:rStyle w:val="CharSectno"/>
        </w:rPr>
        <w:t>128</w:t>
      </w:r>
      <w:r>
        <w:rPr>
          <w:snapToGrid w:val="0"/>
        </w:rPr>
        <w:t>.</w:t>
      </w:r>
      <w:r>
        <w:rPr>
          <w:snapToGrid w:val="0"/>
        </w:rPr>
        <w:tab/>
        <w:t>Costs</w:t>
      </w:r>
      <w:bookmarkEnd w:id="343"/>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that applies to the civil jurisdiction of the Magistrates Court.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lastRenderedPageBreak/>
        <w:tab/>
        <w:t>(ii)</w:t>
      </w:r>
      <w:r>
        <w:rPr>
          <w:snapToGrid w:val="0"/>
        </w:rPr>
        <w:tab/>
        <w:t>where applicable a refresher fee commensurate with the counsel fee, on brief.</w:t>
      </w:r>
    </w:p>
    <w:p>
      <w:pPr>
        <w:pStyle w:val="Footnotesection"/>
      </w:pPr>
      <w:r>
        <w:tab/>
        <w:t>[Regulation 128 amended: Gazette 9 Mar 2007 p. 879</w:t>
      </w:r>
      <w:r>
        <w:noBreakHyphen/>
        <w:t>80; 15 Jan 2010 p. 115.]</w:t>
      </w:r>
    </w:p>
    <w:p>
      <w:pPr>
        <w:pStyle w:val="Heading5"/>
        <w:rPr>
          <w:snapToGrid w:val="0"/>
        </w:rPr>
      </w:pPr>
      <w:bookmarkStart w:id="344" w:name="_Toc92809416"/>
      <w:r>
        <w:rPr>
          <w:rStyle w:val="CharSectno"/>
        </w:rPr>
        <w:t>129</w:t>
      </w:r>
      <w:r>
        <w:rPr>
          <w:snapToGrid w:val="0"/>
        </w:rPr>
        <w:t>.</w:t>
      </w:r>
      <w:r>
        <w:rPr>
          <w:snapToGrid w:val="0"/>
        </w:rPr>
        <w:tab/>
        <w:t>Copy of judgment</w:t>
      </w:r>
      <w:bookmarkEnd w:id="344"/>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Gazette 9 Mar 2007 p. 880; 15 Jan 2010 p. 116.]</w:t>
      </w:r>
    </w:p>
    <w:p>
      <w:pPr>
        <w:pStyle w:val="Ednotesection"/>
      </w:pPr>
      <w:r>
        <w:t>[</w:t>
      </w:r>
      <w:r>
        <w:rPr>
          <w:b/>
          <w:bCs/>
        </w:rPr>
        <w:t>130</w:t>
      </w:r>
      <w:r>
        <w:rPr>
          <w:b/>
          <w:bCs/>
        </w:rPr>
        <w:noBreakHyphen/>
        <w:t>134.</w:t>
      </w:r>
      <w:r>
        <w:tab/>
        <w:t>Deleted: Gazette 9 Mar 2007 p. 880.]</w:t>
      </w:r>
    </w:p>
    <w:p>
      <w:pPr>
        <w:pStyle w:val="Heading5"/>
        <w:rPr>
          <w:snapToGrid w:val="0"/>
        </w:rPr>
      </w:pPr>
      <w:bookmarkStart w:id="345" w:name="_Toc92809417"/>
      <w:r>
        <w:rPr>
          <w:rStyle w:val="CharSectno"/>
        </w:rPr>
        <w:t>135</w:t>
      </w:r>
      <w:r>
        <w:rPr>
          <w:snapToGrid w:val="0"/>
        </w:rPr>
        <w:t>.</w:t>
      </w:r>
      <w:r>
        <w:rPr>
          <w:snapToGrid w:val="0"/>
        </w:rPr>
        <w:tab/>
        <w:t>Appeal to Supreme Court (Act s. 147)</w:t>
      </w:r>
      <w:bookmarkEnd w:id="345"/>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Gazette 15 Jan 2010 p. 116.]</w:t>
      </w:r>
    </w:p>
    <w:p>
      <w:pPr>
        <w:pStyle w:val="Heading5"/>
        <w:rPr>
          <w:snapToGrid w:val="0"/>
        </w:rPr>
      </w:pPr>
      <w:bookmarkStart w:id="346" w:name="_Toc92809418"/>
      <w:r>
        <w:rPr>
          <w:rStyle w:val="CharSectno"/>
        </w:rPr>
        <w:t>136</w:t>
      </w:r>
      <w:r>
        <w:rPr>
          <w:snapToGrid w:val="0"/>
        </w:rPr>
        <w:t>.</w:t>
      </w:r>
      <w:r>
        <w:rPr>
          <w:snapToGrid w:val="0"/>
        </w:rPr>
        <w:tab/>
        <w:t>Injunction</w:t>
      </w:r>
      <w:bookmarkEnd w:id="346"/>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Gazette 15 Jan 2010 p. 116.]</w:t>
      </w:r>
    </w:p>
    <w:p>
      <w:pPr>
        <w:pStyle w:val="Heading2"/>
      </w:pPr>
      <w:bookmarkStart w:id="347" w:name="_Toc92799536"/>
      <w:bookmarkStart w:id="348" w:name="_Toc92799951"/>
      <w:bookmarkStart w:id="349" w:name="_Toc92809419"/>
      <w:r>
        <w:rPr>
          <w:rStyle w:val="CharPartNo"/>
        </w:rPr>
        <w:lastRenderedPageBreak/>
        <w:t>Part VIII</w:t>
      </w:r>
      <w:r>
        <w:rPr>
          <w:b w:val="0"/>
        </w:rPr>
        <w:t> </w:t>
      </w:r>
      <w:r>
        <w:t>—</w:t>
      </w:r>
      <w:r>
        <w:rPr>
          <w:b w:val="0"/>
        </w:rPr>
        <w:t> </w:t>
      </w:r>
      <w:r>
        <w:rPr>
          <w:rStyle w:val="CharPartText"/>
        </w:rPr>
        <w:t>Proceedings before warden under Part IV of the Act</w:t>
      </w:r>
      <w:bookmarkEnd w:id="347"/>
      <w:bookmarkEnd w:id="348"/>
      <w:bookmarkEnd w:id="349"/>
    </w:p>
    <w:p>
      <w:pPr>
        <w:pStyle w:val="Footnoteheading"/>
      </w:pPr>
      <w:r>
        <w:tab/>
        <w:t>[Heading inserted: Gazette 9 Mar 2007 p. 880.]</w:t>
      </w:r>
    </w:p>
    <w:p>
      <w:pPr>
        <w:pStyle w:val="Heading3"/>
      </w:pPr>
      <w:bookmarkStart w:id="350" w:name="_Toc92799537"/>
      <w:bookmarkStart w:id="351" w:name="_Toc92799952"/>
      <w:bookmarkStart w:id="352" w:name="_Toc92809420"/>
      <w:r>
        <w:rPr>
          <w:rStyle w:val="CharDivNo"/>
        </w:rPr>
        <w:t>Division 1</w:t>
      </w:r>
      <w:r>
        <w:t> — </w:t>
      </w:r>
      <w:r>
        <w:rPr>
          <w:rStyle w:val="CharDivText"/>
        </w:rPr>
        <w:t>General</w:t>
      </w:r>
      <w:bookmarkEnd w:id="350"/>
      <w:bookmarkEnd w:id="351"/>
      <w:bookmarkEnd w:id="352"/>
    </w:p>
    <w:p>
      <w:pPr>
        <w:pStyle w:val="Footnoteheading"/>
      </w:pPr>
      <w:r>
        <w:tab/>
        <w:t>[Heading inserted: Gazette 9 Mar 2007 p. 880.]</w:t>
      </w:r>
    </w:p>
    <w:p>
      <w:pPr>
        <w:pStyle w:val="Heading5"/>
      </w:pPr>
      <w:bookmarkStart w:id="353" w:name="_Toc92809421"/>
      <w:r>
        <w:rPr>
          <w:rStyle w:val="CharSectno"/>
        </w:rPr>
        <w:t>137</w:t>
      </w:r>
      <w:r>
        <w:t>.</w:t>
      </w:r>
      <w:r>
        <w:tab/>
        <w:t>Terms used</w:t>
      </w:r>
      <w:bookmarkEnd w:id="353"/>
    </w:p>
    <w:p>
      <w:pPr>
        <w:pStyle w:val="Subsection"/>
      </w:pPr>
      <w:r>
        <w:tab/>
        <w:t>(1)</w:t>
      </w:r>
      <w:r>
        <w:tab/>
        <w:t xml:space="preserve">In this Part, unless the contrary intention appears — </w:t>
      </w:r>
    </w:p>
    <w:p>
      <w:pPr>
        <w:pStyle w:val="Defstart"/>
      </w:pPr>
      <w:r>
        <w:tab/>
      </w:r>
      <w:r>
        <w:rPr>
          <w:rStyle w:val="CharDefText"/>
        </w:rPr>
        <w:t>agent</w:t>
      </w:r>
      <w:r>
        <w:t xml:space="preserve"> means a person acting for a party under regulation 168A(1)(c) or (2)(c);</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tab/>
      </w:r>
      <w:r>
        <w:rPr>
          <w:rStyle w:val="CharDefText"/>
        </w:rPr>
        <w:t>officer</w:t>
      </w:r>
      <w:r>
        <w:t>, in relation to a body corporate, has the same meaning as that term has in relation to a corporation in the Corporations Act section 9;</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lastRenderedPageBreak/>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Gazette 9 Mar 2007 p. 880</w:t>
      </w:r>
      <w:r>
        <w:noBreakHyphen/>
        <w:t>1; amended: Gazette 18 Mar 2011 p. 921; SL 2020/119 r. 6.]</w:t>
      </w:r>
    </w:p>
    <w:p>
      <w:pPr>
        <w:pStyle w:val="Heading5"/>
      </w:pPr>
      <w:bookmarkStart w:id="354" w:name="_Toc92809422"/>
      <w:r>
        <w:rPr>
          <w:rStyle w:val="CharSectno"/>
        </w:rPr>
        <w:t>138A</w:t>
      </w:r>
      <w:r>
        <w:t>.</w:t>
      </w:r>
      <w:r>
        <w:tab/>
        <w:t>Lodging proceedings documents through Department’s website</w:t>
      </w:r>
      <w:bookmarkEnd w:id="354"/>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lastRenderedPageBreak/>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Gazette 18 Mar 2011 p. 921</w:t>
      </w:r>
      <w:r>
        <w:noBreakHyphen/>
        <w:t>2.]</w:t>
      </w:r>
    </w:p>
    <w:p>
      <w:pPr>
        <w:pStyle w:val="Heading5"/>
      </w:pPr>
      <w:bookmarkStart w:id="355" w:name="_Toc92809423"/>
      <w:r>
        <w:rPr>
          <w:rStyle w:val="CharSectno"/>
        </w:rPr>
        <w:lastRenderedPageBreak/>
        <w:t>138</w:t>
      </w:r>
      <w:r>
        <w:t>.</w:t>
      </w:r>
      <w:r>
        <w:tab/>
        <w:t>Mention hearing</w:t>
      </w:r>
      <w:bookmarkEnd w:id="355"/>
    </w:p>
    <w:p>
      <w:pPr>
        <w:pStyle w:val="Subsection"/>
        <w:keepNext/>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Gazette 9 Mar 2007 p. 881</w:t>
      </w:r>
      <w:r>
        <w:noBreakHyphen/>
        <w:t>2.]</w:t>
      </w:r>
    </w:p>
    <w:p>
      <w:pPr>
        <w:pStyle w:val="Heading5"/>
      </w:pPr>
      <w:bookmarkStart w:id="356" w:name="_Toc92809424"/>
      <w:r>
        <w:rPr>
          <w:rStyle w:val="CharSectno"/>
        </w:rPr>
        <w:t>139</w:t>
      </w:r>
      <w:r>
        <w:t>.</w:t>
      </w:r>
      <w:r>
        <w:tab/>
        <w:t>Default determination</w:t>
      </w:r>
      <w:bookmarkEnd w:id="356"/>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keepNext/>
      </w:pPr>
      <w:r>
        <w:lastRenderedPageBreak/>
        <w:tab/>
        <w:t>(2)</w:t>
      </w:r>
      <w:r>
        <w:tab/>
        <w:t>An order under subregulation (1)(a) may direct that costs be paid forthwith.</w:t>
      </w:r>
    </w:p>
    <w:p>
      <w:pPr>
        <w:pStyle w:val="Footnotesection"/>
      </w:pPr>
      <w:r>
        <w:tab/>
        <w:t>[Regulation 139 inserted: Gazette 9 Mar 2007 p. 882; amended: Gazette 9 Nov 2012 p. 5411.]</w:t>
      </w:r>
    </w:p>
    <w:p>
      <w:pPr>
        <w:pStyle w:val="Heading3"/>
      </w:pPr>
      <w:bookmarkStart w:id="357" w:name="_Toc92799542"/>
      <w:bookmarkStart w:id="358" w:name="_Toc92799957"/>
      <w:bookmarkStart w:id="359" w:name="_Toc92809425"/>
      <w:r>
        <w:rPr>
          <w:rStyle w:val="CharDivNo"/>
        </w:rPr>
        <w:t>Division 2</w:t>
      </w:r>
      <w:r>
        <w:t xml:space="preserve"> — </w:t>
      </w:r>
      <w:r>
        <w:rPr>
          <w:rStyle w:val="CharDivText"/>
        </w:rPr>
        <w:t>Applications under section 96(1)(b) and 98</w:t>
      </w:r>
      <w:bookmarkEnd w:id="357"/>
      <w:bookmarkEnd w:id="358"/>
      <w:bookmarkEnd w:id="359"/>
    </w:p>
    <w:p>
      <w:pPr>
        <w:pStyle w:val="Footnoteheading"/>
        <w:keepNext/>
      </w:pPr>
      <w:r>
        <w:tab/>
        <w:t>[Heading inserted: Gazette 9 Mar 2007 p. 883.]</w:t>
      </w:r>
    </w:p>
    <w:p>
      <w:pPr>
        <w:pStyle w:val="Heading5"/>
        <w:keepLines w:val="0"/>
        <w:spacing w:before="180"/>
      </w:pPr>
      <w:bookmarkStart w:id="360" w:name="_Toc92809426"/>
      <w:r>
        <w:rPr>
          <w:rStyle w:val="CharSectno"/>
        </w:rPr>
        <w:t>140</w:t>
      </w:r>
      <w:r>
        <w:t>.</w:t>
      </w:r>
      <w:r>
        <w:tab/>
        <w:t>Making an application</w:t>
      </w:r>
      <w:bookmarkEnd w:id="36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Gazette 9 Mar 2007 p. 883; amended: Gazette 15 Jan 2010 p. 116; 18 Mar 2011 p. 922.]</w:t>
      </w:r>
    </w:p>
    <w:p>
      <w:pPr>
        <w:pStyle w:val="Heading5"/>
      </w:pPr>
      <w:bookmarkStart w:id="361" w:name="_Toc92809427"/>
      <w:r>
        <w:rPr>
          <w:rStyle w:val="CharSectno"/>
        </w:rPr>
        <w:t>141</w:t>
      </w:r>
      <w:r>
        <w:t>.</w:t>
      </w:r>
      <w:r>
        <w:tab/>
        <w:t>Response</w:t>
      </w:r>
      <w:bookmarkEnd w:id="361"/>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lastRenderedPageBreak/>
        <w:tab/>
        <w:t>(3)</w:t>
      </w:r>
      <w:r>
        <w:tab/>
        <w:t>The respondent must serve a copy of the response on the applicant.</w:t>
      </w:r>
    </w:p>
    <w:p>
      <w:pPr>
        <w:pStyle w:val="Footnotesection"/>
        <w:ind w:left="890" w:hanging="890"/>
      </w:pPr>
      <w:r>
        <w:tab/>
        <w:t>[Regulation 141 inserted: Gazette 9 Mar 2007 p. 883; amended: Gazette 15 Jan 2010 p. 117; 18 Mar 2011 p. 922; 9 Nov 2012 p. 5411.]</w:t>
      </w:r>
    </w:p>
    <w:p>
      <w:pPr>
        <w:pStyle w:val="Heading5"/>
      </w:pPr>
      <w:bookmarkStart w:id="362" w:name="_Toc92809428"/>
      <w:r>
        <w:rPr>
          <w:rStyle w:val="CharSectno"/>
        </w:rPr>
        <w:t>142</w:t>
      </w:r>
      <w:r>
        <w:t>.</w:t>
      </w:r>
      <w:r>
        <w:tab/>
        <w:t>Settlement, admission and discontinuance</w:t>
      </w:r>
      <w:bookmarkEnd w:id="362"/>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Gazette 9 Mar 2007 p. 884.]</w:t>
      </w:r>
    </w:p>
    <w:p>
      <w:pPr>
        <w:pStyle w:val="Heading5"/>
        <w:spacing w:before="180"/>
      </w:pPr>
      <w:bookmarkStart w:id="363" w:name="_Toc92809429"/>
      <w:r>
        <w:rPr>
          <w:rStyle w:val="CharSectno"/>
        </w:rPr>
        <w:lastRenderedPageBreak/>
        <w:t>143</w:t>
      </w:r>
      <w:r>
        <w:t>.</w:t>
      </w:r>
      <w:r>
        <w:tab/>
        <w:t>Joinder</w:t>
      </w:r>
      <w:bookmarkEnd w:id="363"/>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Gazette 9 Mar 2007 p. 885.]</w:t>
      </w:r>
    </w:p>
    <w:p>
      <w:pPr>
        <w:pStyle w:val="Heading5"/>
        <w:keepNext w:val="0"/>
        <w:keepLines w:val="0"/>
        <w:spacing w:before="180"/>
      </w:pPr>
      <w:bookmarkStart w:id="364" w:name="_Toc92809430"/>
      <w:r>
        <w:rPr>
          <w:rStyle w:val="CharSectno"/>
        </w:rPr>
        <w:t>144</w:t>
      </w:r>
      <w:r>
        <w:t>.</w:t>
      </w:r>
      <w:r>
        <w:tab/>
        <w:t>Particulars</w:t>
      </w:r>
      <w:bookmarkEnd w:id="364"/>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Gazette 9 Mar 2007 p. 885.]</w:t>
      </w:r>
    </w:p>
    <w:p>
      <w:pPr>
        <w:pStyle w:val="Heading5"/>
      </w:pPr>
      <w:bookmarkStart w:id="365" w:name="_Toc92809431"/>
      <w:r>
        <w:rPr>
          <w:rStyle w:val="CharSectno"/>
        </w:rPr>
        <w:t>145</w:t>
      </w:r>
      <w:r>
        <w:t>.</w:t>
      </w:r>
      <w:r>
        <w:tab/>
        <w:t>Disclosure of documents by applicant</w:t>
      </w:r>
      <w:bookmarkEnd w:id="365"/>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lastRenderedPageBreak/>
        <w:tab/>
        <w:t>(2)</w:t>
      </w:r>
      <w:r>
        <w:tab/>
        <w:t xml:space="preserve">For the purposes of subregulation (1) the </w:t>
      </w:r>
      <w:r>
        <w:rPr>
          <w:i/>
          <w:iCs/>
        </w:rPr>
        <w:t>Magistrates Court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Gazette 9 Mar 2007 p. 886.]</w:t>
      </w:r>
    </w:p>
    <w:p>
      <w:pPr>
        <w:pStyle w:val="Heading3"/>
      </w:pPr>
      <w:bookmarkStart w:id="366" w:name="_Toc92799549"/>
      <w:bookmarkStart w:id="367" w:name="_Toc92799964"/>
      <w:bookmarkStart w:id="368" w:name="_Toc92809432"/>
      <w:r>
        <w:rPr>
          <w:rStyle w:val="CharDivNo"/>
        </w:rPr>
        <w:t>Division 3</w:t>
      </w:r>
      <w:r>
        <w:t xml:space="preserve"> — </w:t>
      </w:r>
      <w:r>
        <w:rPr>
          <w:rStyle w:val="CharDivText"/>
        </w:rPr>
        <w:t>Objections under the Act Part IV</w:t>
      </w:r>
      <w:bookmarkEnd w:id="366"/>
      <w:bookmarkEnd w:id="367"/>
      <w:bookmarkEnd w:id="368"/>
    </w:p>
    <w:p>
      <w:pPr>
        <w:pStyle w:val="Footnoteheading"/>
      </w:pPr>
      <w:r>
        <w:tab/>
        <w:t>[Heading inserted: Gazette 9 Mar 2007 p. 886.]</w:t>
      </w:r>
    </w:p>
    <w:p>
      <w:pPr>
        <w:pStyle w:val="Heading5"/>
      </w:pPr>
      <w:bookmarkStart w:id="369" w:name="_Toc92809433"/>
      <w:r>
        <w:rPr>
          <w:rStyle w:val="CharSectno"/>
        </w:rPr>
        <w:t>146</w:t>
      </w:r>
      <w:r>
        <w:t>.</w:t>
      </w:r>
      <w:r>
        <w:tab/>
        <w:t>Making an objection</w:t>
      </w:r>
      <w:bookmarkEnd w:id="369"/>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lastRenderedPageBreak/>
        <w:tab/>
      </w:r>
      <w:r>
        <w:tab/>
        <w:t>whichever period ends later; or</w:t>
      </w:r>
    </w:p>
    <w:p>
      <w:pPr>
        <w:pStyle w:val="Ednotepara"/>
      </w:pPr>
      <w:r>
        <w:tab/>
        <w:t>[(aa)</w:t>
      </w:r>
      <w:r>
        <w:tab/>
        <w:t>deleted]</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Gazette 9 Mar 2007 p. 886</w:t>
      </w:r>
      <w:r>
        <w:noBreakHyphen/>
        <w:t>7; amended: Gazette 15 Jan 2010 p. 117; SL 2020/108 r. 7.]</w:t>
      </w:r>
    </w:p>
    <w:p>
      <w:pPr>
        <w:pStyle w:val="Heading5"/>
      </w:pPr>
      <w:bookmarkStart w:id="370" w:name="_Toc92809434"/>
      <w:r>
        <w:rPr>
          <w:rStyle w:val="CharSectno"/>
        </w:rPr>
        <w:t>147</w:t>
      </w:r>
      <w:r>
        <w:t>.</w:t>
      </w:r>
      <w:r>
        <w:tab/>
        <w:t>Procedure when objection heard together with proceedings under Division 2</w:t>
      </w:r>
      <w:bookmarkEnd w:id="37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Gazette 9 Mar 2007 p. 887.]</w:t>
      </w:r>
    </w:p>
    <w:p>
      <w:pPr>
        <w:pStyle w:val="Heading3"/>
        <w:keepLines/>
      </w:pPr>
      <w:bookmarkStart w:id="371" w:name="_Toc92799552"/>
      <w:bookmarkStart w:id="372" w:name="_Toc92799967"/>
      <w:bookmarkStart w:id="373" w:name="_Toc92809435"/>
      <w:r>
        <w:rPr>
          <w:rStyle w:val="CharDivNo"/>
        </w:rPr>
        <w:t>Division 4</w:t>
      </w:r>
      <w:r>
        <w:t xml:space="preserve"> — </w:t>
      </w:r>
      <w:r>
        <w:rPr>
          <w:rStyle w:val="CharDivText"/>
        </w:rPr>
        <w:t>Service</w:t>
      </w:r>
      <w:bookmarkEnd w:id="371"/>
      <w:bookmarkEnd w:id="372"/>
      <w:bookmarkEnd w:id="373"/>
    </w:p>
    <w:p>
      <w:pPr>
        <w:pStyle w:val="Footnoteheading"/>
        <w:keepNext/>
        <w:keepLines/>
      </w:pPr>
      <w:r>
        <w:tab/>
        <w:t>[Heading inserted: Gazette 9 Mar 2007 p. 888.]</w:t>
      </w:r>
    </w:p>
    <w:p>
      <w:pPr>
        <w:pStyle w:val="Heading5"/>
      </w:pPr>
      <w:bookmarkStart w:id="374" w:name="_Toc92809436"/>
      <w:r>
        <w:rPr>
          <w:rStyle w:val="CharSectno"/>
        </w:rPr>
        <w:t>148</w:t>
      </w:r>
      <w:r>
        <w:t>.</w:t>
      </w:r>
      <w:r>
        <w:tab/>
        <w:t>Requirements for service</w:t>
      </w:r>
      <w:bookmarkEnd w:id="374"/>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lastRenderedPageBreak/>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Gazette 9 Mar 2007 p. 888; amended: Gazette 9 Nov 2012 p. 5411.]</w:t>
      </w:r>
    </w:p>
    <w:p>
      <w:pPr>
        <w:pStyle w:val="Heading5"/>
        <w:keepLines w:val="0"/>
        <w:spacing w:before="180"/>
      </w:pPr>
      <w:bookmarkStart w:id="375" w:name="_Toc92809437"/>
      <w:r>
        <w:rPr>
          <w:rStyle w:val="CharSectno"/>
        </w:rPr>
        <w:t>149</w:t>
      </w:r>
      <w:r>
        <w:t>.</w:t>
      </w:r>
      <w:r>
        <w:tab/>
        <w:t>Address for service of lodged documents</w:t>
      </w:r>
      <w:bookmarkEnd w:id="375"/>
    </w:p>
    <w:p>
      <w:pPr>
        <w:pStyle w:val="Subsection"/>
        <w:spacing w:before="180"/>
      </w:pPr>
      <w:r>
        <w:tab/>
        <w:t>(1)</w:t>
      </w:r>
      <w:r>
        <w:tab/>
        <w:t>A document lodged in relation to proceedings must specify a residential or business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Gazette 9 Nov 2012 p. 5412; amended: SL 2020/119 r. 7.]</w:t>
      </w:r>
    </w:p>
    <w:p>
      <w:pPr>
        <w:pStyle w:val="Heading5"/>
        <w:spacing w:before="180"/>
      </w:pPr>
      <w:bookmarkStart w:id="376" w:name="_Toc92809438"/>
      <w:r>
        <w:rPr>
          <w:rStyle w:val="CharSectno"/>
        </w:rPr>
        <w:lastRenderedPageBreak/>
        <w:t>150AA</w:t>
      </w:r>
      <w:r>
        <w:t>.</w:t>
      </w:r>
      <w:r>
        <w:tab/>
        <w:t>Ordinary service</w:t>
      </w:r>
      <w:bookmarkEnd w:id="376"/>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Gazette 9 Nov 2012 p. 5413.]</w:t>
      </w:r>
    </w:p>
    <w:p>
      <w:pPr>
        <w:pStyle w:val="Heading5"/>
        <w:spacing w:before="180"/>
      </w:pPr>
      <w:bookmarkStart w:id="377" w:name="_Toc92809439"/>
      <w:r>
        <w:rPr>
          <w:rStyle w:val="CharSectno"/>
        </w:rPr>
        <w:t>150AB</w:t>
      </w:r>
      <w:r>
        <w:t>.</w:t>
      </w:r>
      <w:r>
        <w:tab/>
        <w:t>Personal service</w:t>
      </w:r>
      <w:bookmarkEnd w:id="377"/>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lastRenderedPageBreak/>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a person who, on reasonable grounds, is believed to be a director of the body corporate who resides in Australia;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Gazette 9 Nov 2012 p. 5413-14.]</w:t>
      </w:r>
    </w:p>
    <w:p>
      <w:pPr>
        <w:pStyle w:val="Heading5"/>
      </w:pPr>
      <w:bookmarkStart w:id="378" w:name="_Toc92809440"/>
      <w:r>
        <w:rPr>
          <w:rStyle w:val="CharSectno"/>
        </w:rPr>
        <w:t>150AC</w:t>
      </w:r>
      <w:r>
        <w:t>.</w:t>
      </w:r>
      <w:r>
        <w:tab/>
        <w:t>Warden may dispense with personal service</w:t>
      </w:r>
      <w:bookmarkEnd w:id="378"/>
    </w:p>
    <w:p>
      <w:pPr>
        <w:pStyle w:val="Subsection"/>
      </w:pPr>
      <w:r>
        <w:tab/>
      </w:r>
      <w:r>
        <w:tab/>
        <w:t>The warden may make an order dispensing with a requirement in this Part for a person to serve a document personally.</w:t>
      </w:r>
    </w:p>
    <w:p>
      <w:pPr>
        <w:pStyle w:val="Footnotesection"/>
      </w:pPr>
      <w:r>
        <w:tab/>
        <w:t>[Regulation 150AC inserted: Gazette 9 Nov 2012 p. 5415.]</w:t>
      </w:r>
    </w:p>
    <w:p>
      <w:pPr>
        <w:pStyle w:val="Heading5"/>
      </w:pPr>
      <w:bookmarkStart w:id="379" w:name="_Toc92809441"/>
      <w:r>
        <w:rPr>
          <w:rStyle w:val="CharSectno"/>
        </w:rPr>
        <w:lastRenderedPageBreak/>
        <w:t>150A</w:t>
      </w:r>
      <w:r>
        <w:t>.</w:t>
      </w:r>
      <w:r>
        <w:tab/>
        <w:t>Electronic addresses for service</w:t>
      </w:r>
      <w:bookmarkEnd w:id="379"/>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Gazette 18 Mar 2011 p. 923.]</w:t>
      </w:r>
    </w:p>
    <w:p>
      <w:pPr>
        <w:pStyle w:val="Heading5"/>
      </w:pPr>
      <w:bookmarkStart w:id="380" w:name="_Toc92809442"/>
      <w:r>
        <w:rPr>
          <w:rStyle w:val="CharSectno"/>
        </w:rPr>
        <w:t>150B</w:t>
      </w:r>
      <w:r>
        <w:t>.</w:t>
      </w:r>
      <w:r>
        <w:tab/>
        <w:t>Service electronically</w:t>
      </w:r>
      <w:bookmarkEnd w:id="380"/>
    </w:p>
    <w:p>
      <w:pPr>
        <w:pStyle w:val="Subsection"/>
      </w:pPr>
      <w:r>
        <w:tab/>
        <w:t>(1)</w:t>
      </w:r>
      <w:r>
        <w:tab/>
        <w:t xml:space="preserve">If under this Part a party is required to serve a document, then, unless the contrary intention appears, the party may serve the document — </w:t>
      </w:r>
    </w:p>
    <w:p>
      <w:pPr>
        <w:pStyle w:val="Indenta"/>
      </w:pPr>
      <w:r>
        <w:lastRenderedPageBreak/>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residential or business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keepNext/>
      </w:pPr>
      <w:r>
        <w:lastRenderedPageBreak/>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Gazette 18 Mar 2011 p. 923</w:t>
      </w:r>
      <w:r>
        <w:noBreakHyphen/>
        <w:t>4; amended: SL 2020/119 r. 8.]</w:t>
      </w:r>
    </w:p>
    <w:p>
      <w:pPr>
        <w:pStyle w:val="Heading5"/>
      </w:pPr>
      <w:bookmarkStart w:id="381" w:name="_Toc92809443"/>
      <w:r>
        <w:rPr>
          <w:rStyle w:val="CharSectno"/>
        </w:rPr>
        <w:t>150</w:t>
      </w:r>
      <w:r>
        <w:t>.</w:t>
      </w:r>
      <w:r>
        <w:tab/>
        <w:t>Documents served by other persons</w:t>
      </w:r>
      <w:bookmarkEnd w:id="381"/>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Gazette 9 Mar 2007 p. 888; amended: Gazette 15 Jan 2010 p. 117; 18 Mar 2011 p. 925.]</w:t>
      </w:r>
    </w:p>
    <w:p>
      <w:pPr>
        <w:pStyle w:val="Heading5"/>
      </w:pPr>
      <w:bookmarkStart w:id="382" w:name="_Toc92809444"/>
      <w:r>
        <w:rPr>
          <w:rStyle w:val="CharSectno"/>
        </w:rPr>
        <w:t>151</w:t>
      </w:r>
      <w:r>
        <w:t>.</w:t>
      </w:r>
      <w:r>
        <w:tab/>
        <w:t>Substituted service</w:t>
      </w:r>
      <w:bookmarkEnd w:id="382"/>
    </w:p>
    <w:p>
      <w:pPr>
        <w:pStyle w:val="Subsection"/>
      </w:pPr>
      <w:r>
        <w:tab/>
        <w:t>(1)</w:t>
      </w:r>
      <w:r>
        <w:tab/>
        <w:t xml:space="preserve">If for any reason it is impractical to serve a document in the manner set out in this Division, the warden may, on an </w:t>
      </w:r>
      <w:r>
        <w:lastRenderedPageBreak/>
        <w:t>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Gazette 9 Mar 2007 p. 889; amended: Gazette 15 Jan 2010 p. 117.]</w:t>
      </w:r>
    </w:p>
    <w:p>
      <w:pPr>
        <w:pStyle w:val="Heading3"/>
        <w:keepNext w:val="0"/>
      </w:pPr>
      <w:bookmarkStart w:id="383" w:name="_Toc92799562"/>
      <w:bookmarkStart w:id="384" w:name="_Toc92799977"/>
      <w:bookmarkStart w:id="385" w:name="_Toc92809445"/>
      <w:r>
        <w:rPr>
          <w:rStyle w:val="CharDivNo"/>
        </w:rPr>
        <w:t>Division 5</w:t>
      </w:r>
      <w:r>
        <w:t xml:space="preserve"> — </w:t>
      </w:r>
      <w:r>
        <w:rPr>
          <w:rStyle w:val="CharDivText"/>
        </w:rPr>
        <w:t>Interlocutory orders and directions by the warden</w:t>
      </w:r>
      <w:bookmarkEnd w:id="383"/>
      <w:bookmarkEnd w:id="384"/>
      <w:bookmarkEnd w:id="385"/>
    </w:p>
    <w:p>
      <w:pPr>
        <w:pStyle w:val="Footnoteheading"/>
        <w:keepNext/>
        <w:keepLines/>
        <w:spacing w:before="100"/>
      </w:pPr>
      <w:r>
        <w:tab/>
        <w:t>[Heading inserted: Gazette 9 Mar 2007 p. 889.]</w:t>
      </w:r>
    </w:p>
    <w:p>
      <w:pPr>
        <w:pStyle w:val="Heading5"/>
        <w:spacing w:before="200"/>
      </w:pPr>
      <w:bookmarkStart w:id="386" w:name="_Toc92809446"/>
      <w:r>
        <w:rPr>
          <w:rStyle w:val="CharSectno"/>
        </w:rPr>
        <w:t>152</w:t>
      </w:r>
      <w:r>
        <w:t>.</w:t>
      </w:r>
      <w:r>
        <w:tab/>
        <w:t>General powers of the warden in relation to interlocutory orders and directions</w:t>
      </w:r>
      <w:bookmarkEnd w:id="386"/>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lastRenderedPageBreak/>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lastRenderedPageBreak/>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Gazette 9 Mar 2007 p. 889</w:t>
      </w:r>
      <w:r>
        <w:noBreakHyphen/>
        <w:t>91.]</w:t>
      </w:r>
    </w:p>
    <w:p>
      <w:pPr>
        <w:pStyle w:val="Heading5"/>
      </w:pPr>
      <w:bookmarkStart w:id="387" w:name="_Toc92809447"/>
      <w:r>
        <w:rPr>
          <w:rStyle w:val="CharSectno"/>
        </w:rPr>
        <w:t>153</w:t>
      </w:r>
      <w:r>
        <w:t>.</w:t>
      </w:r>
      <w:r>
        <w:tab/>
        <w:t>Applications for interlocutory orders or directions</w:t>
      </w:r>
      <w:bookmarkEnd w:id="387"/>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Gazette 9 Mar 2007 p. 891; amended: Gazette 15 Jan 2010 p. 118; 9 Nov 2012 p. 5415.]</w:t>
      </w:r>
    </w:p>
    <w:p>
      <w:pPr>
        <w:pStyle w:val="Heading3"/>
        <w:spacing w:before="180"/>
      </w:pPr>
      <w:bookmarkStart w:id="388" w:name="_Toc92799565"/>
      <w:bookmarkStart w:id="389" w:name="_Toc92799980"/>
      <w:bookmarkStart w:id="390" w:name="_Toc92809448"/>
      <w:r>
        <w:rPr>
          <w:rStyle w:val="CharDivNo"/>
        </w:rPr>
        <w:t>Division 6</w:t>
      </w:r>
      <w:r>
        <w:t xml:space="preserve"> — </w:t>
      </w:r>
      <w:r>
        <w:rPr>
          <w:rStyle w:val="CharDivText"/>
        </w:rPr>
        <w:t>Conduct of hearings</w:t>
      </w:r>
      <w:bookmarkEnd w:id="388"/>
      <w:bookmarkEnd w:id="389"/>
      <w:bookmarkEnd w:id="390"/>
    </w:p>
    <w:p>
      <w:pPr>
        <w:pStyle w:val="Footnoteheading"/>
        <w:spacing w:before="80"/>
      </w:pPr>
      <w:r>
        <w:tab/>
        <w:t>[Heading inserted: Gazette 9 Mar 2007 p. 892.]</w:t>
      </w:r>
    </w:p>
    <w:p>
      <w:pPr>
        <w:pStyle w:val="Heading5"/>
        <w:spacing w:before="180"/>
      </w:pPr>
      <w:bookmarkStart w:id="391" w:name="_Toc92809449"/>
      <w:r>
        <w:rPr>
          <w:rStyle w:val="CharSectno"/>
        </w:rPr>
        <w:t>154</w:t>
      </w:r>
      <w:r>
        <w:t>.</w:t>
      </w:r>
      <w:r>
        <w:tab/>
        <w:t>Conduct of hearings generally</w:t>
      </w:r>
      <w:bookmarkEnd w:id="391"/>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 xml:space="preserve">If the warden is satisfied that it is desirable to do so by reason of the confidential nature of any evidence or matter or for any </w:t>
      </w:r>
      <w:r>
        <w:lastRenderedPageBreak/>
        <w:t>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Gazette 9 Mar 2007 p. 892.]</w:t>
      </w:r>
    </w:p>
    <w:p>
      <w:pPr>
        <w:pStyle w:val="Heading5"/>
      </w:pPr>
      <w:bookmarkStart w:id="392" w:name="_Toc92809450"/>
      <w:r>
        <w:rPr>
          <w:rStyle w:val="CharSectno"/>
        </w:rPr>
        <w:t>155</w:t>
      </w:r>
      <w:r>
        <w:t>.</w:t>
      </w:r>
      <w:r>
        <w:tab/>
        <w:t>Attendance at mention hearings and interlocutory hearings</w:t>
      </w:r>
      <w:bookmarkEnd w:id="39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lastRenderedPageBreak/>
        <w:tab/>
        <w:t>(b)</w:t>
      </w:r>
      <w:r>
        <w:tab/>
        <w:t>accompanied by written submissions that are sufficient to enable the hearing to be conducted in the absence of the party.</w:t>
      </w:r>
    </w:p>
    <w:p>
      <w:pPr>
        <w:pStyle w:val="Footnotesection"/>
      </w:pPr>
      <w:r>
        <w:tab/>
        <w:t>[Regulation 155 inserted: Gazette 9 Mar 2007 p. 893.]</w:t>
      </w:r>
    </w:p>
    <w:p>
      <w:pPr>
        <w:pStyle w:val="Heading5"/>
      </w:pPr>
      <w:bookmarkStart w:id="393" w:name="_Toc92809451"/>
      <w:r>
        <w:rPr>
          <w:rStyle w:val="CharSectno"/>
        </w:rPr>
        <w:t>156</w:t>
      </w:r>
      <w:r>
        <w:t>.</w:t>
      </w:r>
      <w:r>
        <w:tab/>
        <w:t>Attendance at substantive hearings of proceedings</w:t>
      </w:r>
      <w:bookmarkEnd w:id="393"/>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 xml:space="preserve">If a party is a body corporate, the body corporate is taken to attend for the purposes of subregulation (1) if any of the following attend on behalf of the body corporate — </w:t>
      </w:r>
    </w:p>
    <w:p>
      <w:pPr>
        <w:pStyle w:val="Indenta"/>
      </w:pPr>
      <w:r>
        <w:tab/>
        <w:t>(a)</w:t>
      </w:r>
      <w:r>
        <w:tab/>
        <w:t>an officer of the body corporate;</w:t>
      </w:r>
    </w:p>
    <w:p>
      <w:pPr>
        <w:pStyle w:val="Indenta"/>
      </w:pPr>
      <w:r>
        <w:tab/>
        <w:t>(b)</w:t>
      </w:r>
      <w:r>
        <w:tab/>
        <w:t>an employee of the body corporate who has written authority from an officer of the body corporate to attend the hearing.</w:t>
      </w:r>
    </w:p>
    <w:p>
      <w:pPr>
        <w:pStyle w:val="Footnotesection"/>
      </w:pPr>
      <w:r>
        <w:tab/>
        <w:t>[Regulation 156 inserted: Gazette 9 Mar 2007 p. 893</w:t>
      </w:r>
      <w:r>
        <w:noBreakHyphen/>
        <w:t>4; amended: SL 2020/119 r. 9.]</w:t>
      </w:r>
    </w:p>
    <w:p>
      <w:pPr>
        <w:pStyle w:val="Heading3"/>
      </w:pPr>
      <w:bookmarkStart w:id="394" w:name="_Toc92799569"/>
      <w:bookmarkStart w:id="395" w:name="_Toc92799984"/>
      <w:bookmarkStart w:id="396" w:name="_Toc92809452"/>
      <w:r>
        <w:rPr>
          <w:rStyle w:val="CharDivNo"/>
        </w:rPr>
        <w:t>Division 7</w:t>
      </w:r>
      <w:r>
        <w:t xml:space="preserve"> — </w:t>
      </w:r>
      <w:r>
        <w:rPr>
          <w:rStyle w:val="CharDivText"/>
        </w:rPr>
        <w:t>Evidence</w:t>
      </w:r>
      <w:bookmarkEnd w:id="394"/>
      <w:bookmarkEnd w:id="395"/>
      <w:bookmarkEnd w:id="396"/>
    </w:p>
    <w:p>
      <w:pPr>
        <w:pStyle w:val="Footnoteheading"/>
      </w:pPr>
      <w:r>
        <w:tab/>
        <w:t>[Heading inserted: Gazette 9 Mar 2007 p. 894.]</w:t>
      </w:r>
    </w:p>
    <w:p>
      <w:pPr>
        <w:pStyle w:val="Heading5"/>
        <w:keepNext w:val="0"/>
        <w:keepLines w:val="0"/>
        <w:widowControl w:val="0"/>
        <w:spacing w:before="180"/>
      </w:pPr>
      <w:bookmarkStart w:id="397" w:name="_Toc92809453"/>
      <w:r>
        <w:rPr>
          <w:rStyle w:val="CharSectno"/>
        </w:rPr>
        <w:t>157</w:t>
      </w:r>
      <w:r>
        <w:t>.</w:t>
      </w:r>
      <w:r>
        <w:tab/>
        <w:t>Summons of witness</w:t>
      </w:r>
      <w:bookmarkEnd w:id="397"/>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keepNext/>
      </w:pPr>
      <w:r>
        <w:lastRenderedPageBreak/>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Gazette 9 Mar 2007 p. 894</w:t>
      </w:r>
      <w:r>
        <w:noBreakHyphen/>
        <w:t>5; amended: Gazette 15 Jan 2010 p. 118; 9 Nov 2012 p. 5415.]</w:t>
      </w:r>
    </w:p>
    <w:p>
      <w:pPr>
        <w:pStyle w:val="Heading5"/>
      </w:pPr>
      <w:bookmarkStart w:id="398" w:name="_Toc92809454"/>
      <w:r>
        <w:rPr>
          <w:rStyle w:val="CharSectno"/>
        </w:rPr>
        <w:t>158</w:t>
      </w:r>
      <w:r>
        <w:t>.</w:t>
      </w:r>
      <w:r>
        <w:tab/>
        <w:t>Time for service of summonses</w:t>
      </w:r>
      <w:bookmarkEnd w:id="398"/>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lastRenderedPageBreak/>
        <w:tab/>
        <w:t>[Regulation 158 inserted: Gazette 9 Mar 2007 p. 895; amended: Gazette 9 Nov 2012 p. 5416.]</w:t>
      </w:r>
    </w:p>
    <w:p>
      <w:pPr>
        <w:pStyle w:val="Heading5"/>
      </w:pPr>
      <w:bookmarkStart w:id="399" w:name="_Toc92809455"/>
      <w:r>
        <w:rPr>
          <w:rStyle w:val="CharSectno"/>
        </w:rPr>
        <w:t>159</w:t>
      </w:r>
      <w:r>
        <w:t>.</w:t>
      </w:r>
      <w:r>
        <w:tab/>
        <w:t>Content of affidavit</w:t>
      </w:r>
      <w:bookmarkEnd w:id="399"/>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Gazette 9 Mar 2007 p. 895</w:t>
      </w:r>
      <w:r>
        <w:noBreakHyphen/>
        <w:t>6.]</w:t>
      </w:r>
    </w:p>
    <w:p>
      <w:pPr>
        <w:pStyle w:val="Heading5"/>
      </w:pPr>
      <w:bookmarkStart w:id="400" w:name="_Toc92809456"/>
      <w:r>
        <w:rPr>
          <w:rStyle w:val="CharSectno"/>
        </w:rPr>
        <w:t>160</w:t>
      </w:r>
      <w:r>
        <w:t>.</w:t>
      </w:r>
      <w:r>
        <w:tab/>
        <w:t>Production of documents before hearing</w:t>
      </w:r>
      <w:bookmarkEnd w:id="400"/>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keepNext/>
      </w:pPr>
      <w:r>
        <w:lastRenderedPageBreak/>
        <w:tab/>
        <w:t>(3)</w:t>
      </w:r>
      <w:r>
        <w:tab/>
        <w:t>The mining registrar may, in accordance with any directions of the warden, permit a party to inspect documents lodged by another party under subregulation (1).</w:t>
      </w:r>
    </w:p>
    <w:p>
      <w:pPr>
        <w:pStyle w:val="Footnotesection"/>
      </w:pPr>
      <w:r>
        <w:tab/>
        <w:t>[Regulation 160 inserted: Gazette 9 Mar 2007 p. 896; amended: Gazette 18 Mar 2011 p. 924.]</w:t>
      </w:r>
    </w:p>
    <w:p>
      <w:pPr>
        <w:pStyle w:val="Heading5"/>
      </w:pPr>
      <w:bookmarkStart w:id="401" w:name="_Toc92809457"/>
      <w:r>
        <w:rPr>
          <w:rStyle w:val="CharSectno"/>
        </w:rPr>
        <w:t>161</w:t>
      </w:r>
      <w:r>
        <w:t>.</w:t>
      </w:r>
      <w:r>
        <w:tab/>
        <w:t>Directions for expert witnesses</w:t>
      </w:r>
      <w:bookmarkEnd w:id="401"/>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Gazette 9 Mar 2007 p. 897.]</w:t>
      </w:r>
    </w:p>
    <w:p>
      <w:pPr>
        <w:pStyle w:val="Heading5"/>
      </w:pPr>
      <w:bookmarkStart w:id="402" w:name="_Toc92809458"/>
      <w:r>
        <w:rPr>
          <w:rStyle w:val="CharSectno"/>
        </w:rPr>
        <w:t>162</w:t>
      </w:r>
      <w:r>
        <w:t>.</w:t>
      </w:r>
      <w:r>
        <w:tab/>
        <w:t>Party may adduce affidavit evidence</w:t>
      </w:r>
      <w:bookmarkEnd w:id="402"/>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lastRenderedPageBreak/>
        <w:tab/>
        <w:t>[Regulation 162 inserted: Gazette 9 Mar 2007 p. 897.]</w:t>
      </w:r>
    </w:p>
    <w:p>
      <w:pPr>
        <w:pStyle w:val="Heading5"/>
      </w:pPr>
      <w:bookmarkStart w:id="403" w:name="_Toc92809459"/>
      <w:r>
        <w:rPr>
          <w:rStyle w:val="CharSectno"/>
        </w:rPr>
        <w:t>163</w:t>
      </w:r>
      <w:r>
        <w:t>.</w:t>
      </w:r>
      <w:r>
        <w:tab/>
        <w:t>Records of evidence</w:t>
      </w:r>
      <w:bookmarkEnd w:id="403"/>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Gazette 9 Mar 2007 p. 898; amended: Gazette 15 Jan 2010 p. 136.]</w:t>
      </w:r>
    </w:p>
    <w:p>
      <w:pPr>
        <w:pStyle w:val="Heading5"/>
        <w:spacing w:before="180"/>
      </w:pPr>
      <w:bookmarkStart w:id="404" w:name="_Toc92809460"/>
      <w:r>
        <w:rPr>
          <w:rStyle w:val="CharSectno"/>
        </w:rPr>
        <w:t>164</w:t>
      </w:r>
      <w:r>
        <w:t>.</w:t>
      </w:r>
      <w:r>
        <w:tab/>
        <w:t>Return of documents and other things after hearing</w:t>
      </w:r>
      <w:bookmarkEnd w:id="404"/>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lastRenderedPageBreak/>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Gazette 9 Mar 2007 p. 898</w:t>
      </w:r>
      <w:r>
        <w:noBreakHyphen/>
        <w:t>9; amended: Gazette 9 Nov 2012 p. 5416-17.]</w:t>
      </w:r>
    </w:p>
    <w:p>
      <w:pPr>
        <w:pStyle w:val="Heading3"/>
        <w:keepNext w:val="0"/>
        <w:widowControl w:val="0"/>
        <w:spacing w:before="180"/>
      </w:pPr>
      <w:bookmarkStart w:id="405" w:name="_Toc92799578"/>
      <w:bookmarkStart w:id="406" w:name="_Toc92799993"/>
      <w:bookmarkStart w:id="407" w:name="_Toc92809461"/>
      <w:r>
        <w:rPr>
          <w:rStyle w:val="CharDivNo"/>
        </w:rPr>
        <w:t>Division 8</w:t>
      </w:r>
      <w:r>
        <w:t xml:space="preserve"> — </w:t>
      </w:r>
      <w:r>
        <w:rPr>
          <w:rStyle w:val="CharDivText"/>
        </w:rPr>
        <w:t>Costs</w:t>
      </w:r>
      <w:bookmarkEnd w:id="405"/>
      <w:bookmarkEnd w:id="406"/>
      <w:bookmarkEnd w:id="407"/>
    </w:p>
    <w:p>
      <w:pPr>
        <w:pStyle w:val="Footnoteheading"/>
        <w:keepLines/>
      </w:pPr>
      <w:r>
        <w:tab/>
        <w:t>[Heading inserted: Gazette 9 Mar 2007 p. 899.]</w:t>
      </w:r>
    </w:p>
    <w:p>
      <w:pPr>
        <w:pStyle w:val="Heading5"/>
        <w:spacing w:before="180"/>
      </w:pPr>
      <w:bookmarkStart w:id="408" w:name="_Toc92809462"/>
      <w:r>
        <w:rPr>
          <w:rStyle w:val="CharSectno"/>
        </w:rPr>
        <w:t>165</w:t>
      </w:r>
      <w:r>
        <w:t>.</w:t>
      </w:r>
      <w:r>
        <w:tab/>
        <w:t>Costs</w:t>
      </w:r>
      <w:bookmarkEnd w:id="40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 xml:space="preserve">Subject to subregulation (6) and in addition to the power to award costs under regulation 139, a warden hearing and determining proceedings under Division 3 may make an order </w:t>
      </w:r>
      <w:r>
        <w:lastRenderedPageBreak/>
        <w:t>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r>
        <w:rPr>
          <w:i/>
          <w:iCs/>
        </w:rPr>
        <w:t>Magistrates Court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Gazette 9 Mar 2007 p. 899</w:t>
      </w:r>
      <w:r>
        <w:noBreakHyphen/>
        <w:t>901; amended: Gazette 15 Jan 2010 p. 136; 24 Jun 2011 p. 2511</w:t>
      </w:r>
      <w:r>
        <w:noBreakHyphen/>
        <w:t>12.]</w:t>
      </w:r>
    </w:p>
    <w:p>
      <w:pPr>
        <w:pStyle w:val="Heading5"/>
      </w:pPr>
      <w:bookmarkStart w:id="409" w:name="_Toc92809463"/>
      <w:r>
        <w:rPr>
          <w:rStyle w:val="CharSectno"/>
        </w:rPr>
        <w:lastRenderedPageBreak/>
        <w:t>166</w:t>
      </w:r>
      <w:r>
        <w:t>.</w:t>
      </w:r>
      <w:r>
        <w:tab/>
        <w:t>Warden’s review of decisions of mining registrar</w:t>
      </w:r>
      <w:bookmarkEnd w:id="40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Gazette 9 Mar 2007 p. 901.]</w:t>
      </w:r>
    </w:p>
    <w:p>
      <w:pPr>
        <w:pStyle w:val="Heading5"/>
      </w:pPr>
      <w:bookmarkStart w:id="410" w:name="_Toc92809464"/>
      <w:r>
        <w:rPr>
          <w:rStyle w:val="CharSectno"/>
        </w:rPr>
        <w:t>167</w:t>
      </w:r>
      <w:r>
        <w:t>.</w:t>
      </w:r>
      <w:r>
        <w:tab/>
        <w:t>Security for costs</w:t>
      </w:r>
      <w:bookmarkEnd w:id="410"/>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Gazette 9 Mar 2007 p. 901.]</w:t>
      </w:r>
    </w:p>
    <w:p>
      <w:pPr>
        <w:pStyle w:val="Heading5"/>
        <w:keepNext w:val="0"/>
        <w:keepLines w:val="0"/>
        <w:spacing w:before="180"/>
      </w:pPr>
      <w:bookmarkStart w:id="411" w:name="_Toc92809465"/>
      <w:r>
        <w:rPr>
          <w:rStyle w:val="CharSectno"/>
        </w:rPr>
        <w:t>168</w:t>
      </w:r>
      <w:r>
        <w:t>.</w:t>
      </w:r>
      <w:r>
        <w:tab/>
        <w:t>Recovery of costs</w:t>
      </w:r>
      <w:bookmarkEnd w:id="41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lastRenderedPageBreak/>
        <w:tab/>
        <w:t>(2)</w:t>
      </w:r>
      <w:r>
        <w:tab/>
        <w:t>A certificate that is lodged with a court under subregulation (1) shall be taken to be a judgment of that court and may be enforced accordingly.</w:t>
      </w:r>
    </w:p>
    <w:p>
      <w:pPr>
        <w:pStyle w:val="Footnotesection"/>
      </w:pPr>
      <w:r>
        <w:tab/>
        <w:t>[Regulation 168 inserted: Gazette 9 Mar 2007 p. 901</w:t>
      </w:r>
      <w:r>
        <w:noBreakHyphen/>
        <w:t>2.]</w:t>
      </w:r>
    </w:p>
    <w:p>
      <w:pPr>
        <w:pStyle w:val="Heading3"/>
      </w:pPr>
      <w:bookmarkStart w:id="412" w:name="_Toc92799583"/>
      <w:bookmarkStart w:id="413" w:name="_Toc92799998"/>
      <w:bookmarkStart w:id="414" w:name="_Toc92809466"/>
      <w:r>
        <w:rPr>
          <w:rStyle w:val="CharDivNo"/>
        </w:rPr>
        <w:t>Division 8A</w:t>
      </w:r>
      <w:r>
        <w:t> — </w:t>
      </w:r>
      <w:r>
        <w:rPr>
          <w:rStyle w:val="CharDivText"/>
        </w:rPr>
        <w:t>Representation of parties</w:t>
      </w:r>
      <w:bookmarkEnd w:id="412"/>
      <w:bookmarkEnd w:id="413"/>
      <w:bookmarkEnd w:id="414"/>
    </w:p>
    <w:p>
      <w:pPr>
        <w:pStyle w:val="Footnoteheading"/>
      </w:pPr>
      <w:r>
        <w:tab/>
        <w:t>[Heading inserted: SL 2020/119 r. 10.]</w:t>
      </w:r>
    </w:p>
    <w:p>
      <w:pPr>
        <w:pStyle w:val="Heading5"/>
      </w:pPr>
      <w:bookmarkStart w:id="415" w:name="_Toc92809467"/>
      <w:r>
        <w:rPr>
          <w:rStyle w:val="CharSectno"/>
        </w:rPr>
        <w:t>168A</w:t>
      </w:r>
      <w:r>
        <w:t>.</w:t>
      </w:r>
      <w:r>
        <w:tab/>
        <w:t>Representation</w:t>
      </w:r>
      <w:bookmarkEnd w:id="415"/>
    </w:p>
    <w:p>
      <w:pPr>
        <w:pStyle w:val="Subsection"/>
      </w:pPr>
      <w:r>
        <w:tab/>
        <w:t>(1)</w:t>
      </w:r>
      <w:r>
        <w:tab/>
        <w:t xml:space="preserve">A party who is an individual may — </w:t>
      </w:r>
    </w:p>
    <w:p>
      <w:pPr>
        <w:pStyle w:val="Indenta"/>
      </w:pPr>
      <w:r>
        <w:tab/>
        <w:t>(a)</w:t>
      </w:r>
      <w:r>
        <w:tab/>
        <w:t>appear in person; 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(2)</w:t>
      </w:r>
      <w:r>
        <w:tab/>
        <w:t>A party that is a body corporate may —</w:t>
      </w:r>
    </w:p>
    <w:p>
      <w:pPr>
        <w:pStyle w:val="Indenta"/>
      </w:pPr>
      <w:r>
        <w:tab/>
        <w:t>(a)</w:t>
      </w:r>
      <w:r>
        <w:tab/>
        <w:t xml:space="preserve">be represented by — </w:t>
      </w:r>
    </w:p>
    <w:p>
      <w:pPr>
        <w:pStyle w:val="Indenti"/>
      </w:pPr>
      <w:r>
        <w:tab/>
        <w:t>(i)</w:t>
      </w:r>
      <w:r>
        <w:tab/>
        <w:t>one of its officers; or</w:t>
      </w:r>
    </w:p>
    <w:p>
      <w:pPr>
        <w:pStyle w:val="Indenti"/>
      </w:pPr>
      <w:r>
        <w:tab/>
        <w:t>(ii)</w:t>
      </w:r>
      <w:r>
        <w:tab/>
        <w:t>one of its employees who has written authority from one of its officers to represent the body corporate;</w:t>
      </w:r>
    </w:p>
    <w:p>
      <w:pPr>
        <w:pStyle w:val="Indenta"/>
      </w:pPr>
      <w:r>
        <w:tab/>
      </w:r>
      <w:r>
        <w:tab/>
        <w:t>or</w:t>
      </w:r>
    </w:p>
    <w:p>
      <w:pPr>
        <w:pStyle w:val="Indenta"/>
      </w:pPr>
      <w:r>
        <w:tab/>
        <w:t>(b)</w:t>
      </w:r>
      <w:r>
        <w:tab/>
        <w:t>be represented by a lawyer; or</w:t>
      </w:r>
    </w:p>
    <w:p>
      <w:pPr>
        <w:pStyle w:val="Indenta"/>
      </w:pPr>
      <w:r>
        <w:tab/>
        <w:t>(c)</w:t>
      </w:r>
      <w:r>
        <w:tab/>
        <w:t xml:space="preserve">be represented by a person who is not a lawyer — </w:t>
      </w:r>
    </w:p>
    <w:p>
      <w:pPr>
        <w:pStyle w:val="Indenti"/>
      </w:pPr>
      <w:r>
        <w:tab/>
        <w:t>(i)</w:t>
      </w:r>
      <w:r>
        <w:tab/>
        <w:t>at a mention hearing; or</w:t>
      </w:r>
    </w:p>
    <w:p>
      <w:pPr>
        <w:pStyle w:val="Indenti"/>
      </w:pPr>
      <w:r>
        <w:tab/>
        <w:t>(ii)</w:t>
      </w:r>
      <w:r>
        <w:tab/>
        <w:t>with the leave of the warden given under regulation 168C — at any other hearing.</w:t>
      </w:r>
    </w:p>
    <w:p>
      <w:pPr>
        <w:pStyle w:val="Subsection"/>
      </w:pPr>
      <w:r>
        <w:tab/>
        <w:t>(3)</w:t>
      </w:r>
      <w:r>
        <w:tab/>
        <w:t>Subregulations (1)(b) and (c)(i) and (2)(b) and (c)(i) are subject to regulation 168B.</w:t>
      </w:r>
    </w:p>
    <w:p>
      <w:pPr>
        <w:pStyle w:val="Subsection"/>
      </w:pPr>
      <w:r>
        <w:lastRenderedPageBreak/>
        <w:tab/>
        <w:t>(4)</w:t>
      </w:r>
      <w:r>
        <w:tab/>
        <w:t>This regulation does not affect the operation of regulation 155 or 156.</w:t>
      </w:r>
    </w:p>
    <w:p>
      <w:pPr>
        <w:pStyle w:val="Footnotesection"/>
      </w:pPr>
      <w:r>
        <w:tab/>
        <w:t>[Regulation 168A inserted: SL 2020/119 r. 10.]</w:t>
      </w:r>
    </w:p>
    <w:p>
      <w:pPr>
        <w:pStyle w:val="Heading5"/>
      </w:pPr>
      <w:bookmarkStart w:id="416" w:name="_Toc92809468"/>
      <w:r>
        <w:rPr>
          <w:rStyle w:val="CharSectno"/>
        </w:rPr>
        <w:t>168B</w:t>
      </w:r>
      <w:r>
        <w:t>.</w:t>
      </w:r>
      <w:r>
        <w:tab/>
        <w:t>Notice of representation</w:t>
      </w:r>
      <w:bookmarkEnd w:id="416"/>
    </w:p>
    <w:p>
      <w:pPr>
        <w:pStyle w:val="Subsection"/>
      </w:pPr>
      <w:r>
        <w:tab/>
        <w:t>(1)</w:t>
      </w:r>
      <w:r>
        <w:tab/>
        <w:t xml:space="preserve">This regulation applies if — </w:t>
      </w:r>
    </w:p>
    <w:p>
      <w:pPr>
        <w:pStyle w:val="Indenta"/>
      </w:pPr>
      <w:r>
        <w:tab/>
        <w:t>(a)</w:t>
      </w:r>
      <w:r>
        <w:tab/>
        <w:t xml:space="preserve">a party is represented by a lawyer; or </w:t>
      </w:r>
    </w:p>
    <w:p>
      <w:pPr>
        <w:pStyle w:val="Indenta"/>
      </w:pPr>
      <w:r>
        <w:tab/>
        <w:t>(b)</w:t>
      </w:r>
      <w:r>
        <w:tab/>
        <w:t>a party is represented by an agent at a mention hearing under regulation 168A(1)(c)(i) or (2)(c)(i).</w:t>
      </w:r>
    </w:p>
    <w:p>
      <w:pPr>
        <w:pStyle w:val="Subsection"/>
      </w:pPr>
      <w:r>
        <w:tab/>
        <w:t>(2)</w:t>
      </w:r>
      <w:r>
        <w:tab/>
        <w:t>The party must lodge and serve notice of that representation as soon as practicable before the first hearing at which the lawyer or agent will represent the party.</w:t>
      </w:r>
    </w:p>
    <w:p>
      <w:pPr>
        <w:pStyle w:val="Subsection"/>
      </w:pPr>
      <w:r>
        <w:tab/>
        <w:t>(3)</w:t>
      </w:r>
      <w:r>
        <w:tab/>
        <w:t>If there is a change in that representation, the party must lodge and serve notice of that change as soon as practicable before the first hearing at which the new lawyer or agent will represent the party.</w:t>
      </w:r>
    </w:p>
    <w:p>
      <w:pPr>
        <w:pStyle w:val="Subsection"/>
      </w:pPr>
      <w:r>
        <w:tab/>
        <w:t>(4)</w:t>
      </w:r>
      <w:r>
        <w:tab/>
        <w:t>If a party that has lodged and served a notice under subregulation (2) or (3) is no longer represented by a lawyer or an agent, the party must lodge and serve notice of that fact as soon as practicable before the first hearing at which the party will not be represented by a lawyer or an agent.</w:t>
      </w:r>
    </w:p>
    <w:p>
      <w:pPr>
        <w:pStyle w:val="Subsection"/>
      </w:pPr>
      <w:r>
        <w:tab/>
        <w:t>(5)</w:t>
      </w:r>
      <w:r>
        <w:tab/>
        <w:t>A notice under this regulation must be in the form approved by the Director General of Mines.</w:t>
      </w:r>
    </w:p>
    <w:p>
      <w:pPr>
        <w:pStyle w:val="Footnotesection"/>
      </w:pPr>
      <w:r>
        <w:tab/>
        <w:t>[Regulation 168B inserted: SL 2020/119 r. 10.]</w:t>
      </w:r>
    </w:p>
    <w:p>
      <w:pPr>
        <w:pStyle w:val="Heading5"/>
      </w:pPr>
      <w:bookmarkStart w:id="417" w:name="_Toc92809469"/>
      <w:r>
        <w:rPr>
          <w:rStyle w:val="CharSectno"/>
        </w:rPr>
        <w:t>168C</w:t>
      </w:r>
      <w:r>
        <w:t>.</w:t>
      </w:r>
      <w:r>
        <w:tab/>
        <w:t>Leave to be represented by agent</w:t>
      </w:r>
      <w:bookmarkEnd w:id="417"/>
    </w:p>
    <w:p>
      <w:pPr>
        <w:pStyle w:val="Subsection"/>
      </w:pPr>
      <w:r>
        <w:tab/>
        <w:t>(1)</w:t>
      </w:r>
      <w:r>
        <w:tab/>
        <w:t>A party may apply to the warden for leave to be represented by an agent at a hearing other than a mention hearing if exceptional circumstances exist.</w:t>
      </w:r>
    </w:p>
    <w:p>
      <w:pPr>
        <w:pStyle w:val="Subsection"/>
        <w:keepNext/>
      </w:pPr>
      <w:r>
        <w:tab/>
        <w:t>(2)</w:t>
      </w:r>
      <w:r>
        <w:tab/>
        <w:t xml:space="preserve">An application under subregulation (1) must — </w:t>
      </w:r>
    </w:p>
    <w:p>
      <w:pPr>
        <w:pStyle w:val="Indenta"/>
      </w:pPr>
      <w:r>
        <w:tab/>
        <w:t>(a)</w:t>
      </w:r>
      <w:r>
        <w:tab/>
        <w:t>be in writing; and</w:t>
      </w:r>
    </w:p>
    <w:p>
      <w:pPr>
        <w:pStyle w:val="Indenta"/>
      </w:pPr>
      <w:r>
        <w:tab/>
        <w:t>(b)</w:t>
      </w:r>
      <w:r>
        <w:tab/>
        <w:t>specify the exceptional circumstances that exist; and</w:t>
      </w:r>
    </w:p>
    <w:p>
      <w:pPr>
        <w:pStyle w:val="Indenta"/>
      </w:pPr>
      <w:r>
        <w:lastRenderedPageBreak/>
        <w:tab/>
        <w:t>(c)</w:t>
      </w:r>
      <w:r>
        <w:tab/>
        <w:t>specify the agent intended to represent the party; and</w:t>
      </w:r>
    </w:p>
    <w:p>
      <w:pPr>
        <w:pStyle w:val="Indenta"/>
      </w:pPr>
      <w:r>
        <w:tab/>
        <w:t>(d)</w:t>
      </w:r>
      <w:r>
        <w:tab/>
        <w:t>be lodged and served by the party at least 14 days before the first hearing at which it is intended the agent will represent the party.</w:t>
      </w:r>
    </w:p>
    <w:p>
      <w:pPr>
        <w:pStyle w:val="Subsection"/>
      </w:pPr>
      <w:r>
        <w:tab/>
        <w:t>(3)</w:t>
      </w:r>
      <w:r>
        <w:tab/>
        <w:t>The warden may give a party that makes an application under subregulation (1) leave to be represented by the agent specified in the application if the warden is satisfied that exceptional circumstances exist.</w:t>
      </w:r>
    </w:p>
    <w:p>
      <w:pPr>
        <w:pStyle w:val="Subsection"/>
      </w:pPr>
      <w:r>
        <w:tab/>
        <w:t>(4)</w:t>
      </w:r>
      <w:r>
        <w:tab/>
        <w:t>If the warden gives a party leave to be represented by an agent, the party must lodge and serve notice of that representation as soon as practicable before the first hearing at which the agent will represent the party.</w:t>
      </w:r>
    </w:p>
    <w:p>
      <w:pPr>
        <w:pStyle w:val="Subsection"/>
      </w:pPr>
      <w:r>
        <w:tab/>
        <w:t>(5)</w:t>
      </w:r>
      <w:r>
        <w:tab/>
        <w:t>If, after the warden gives a party leave to be represented by an agent, there is a change in the agent, the party must obtain the leave of the warden in respect of the new agent and this regulation applies accordingly.</w:t>
      </w:r>
    </w:p>
    <w:p>
      <w:pPr>
        <w:pStyle w:val="Subsection"/>
      </w:pPr>
      <w:r>
        <w:tab/>
        <w:t>(6)</w:t>
      </w:r>
      <w:r>
        <w:tab/>
        <w:t>If a party that has been given leave by the warden to be represented by an agent is no longer represented by an agent, the party must lodge and serve notice of that fact as soon as practicable before the first hearing at which the party will not be represented by an agent.</w:t>
      </w:r>
    </w:p>
    <w:p>
      <w:pPr>
        <w:pStyle w:val="Subsection"/>
      </w:pPr>
      <w:r>
        <w:tab/>
        <w:t>(7)</w:t>
      </w:r>
      <w:r>
        <w:tab/>
        <w:t>A notice under subregulation (4) or (6) must be in the form approved by the Director General of Mines.</w:t>
      </w:r>
    </w:p>
    <w:p>
      <w:pPr>
        <w:pStyle w:val="Footnotesection"/>
      </w:pPr>
      <w:r>
        <w:tab/>
        <w:t>[Regulation 168C inserted: SL 2020/119 r. 10.]</w:t>
      </w:r>
    </w:p>
    <w:p>
      <w:pPr>
        <w:pStyle w:val="Heading3"/>
        <w:keepLines/>
      </w:pPr>
      <w:bookmarkStart w:id="418" w:name="_Toc92799587"/>
      <w:bookmarkStart w:id="419" w:name="_Toc92800002"/>
      <w:bookmarkStart w:id="420" w:name="_Toc92809470"/>
      <w:r>
        <w:rPr>
          <w:rStyle w:val="CharDivNo"/>
        </w:rPr>
        <w:t>Division 9</w:t>
      </w:r>
      <w:r>
        <w:t xml:space="preserve"> — </w:t>
      </w:r>
      <w:r>
        <w:rPr>
          <w:rStyle w:val="CharDivText"/>
        </w:rPr>
        <w:t>Miscellaneous</w:t>
      </w:r>
      <w:bookmarkEnd w:id="418"/>
      <w:bookmarkEnd w:id="419"/>
      <w:bookmarkEnd w:id="420"/>
    </w:p>
    <w:p>
      <w:pPr>
        <w:pStyle w:val="Footnoteheading"/>
        <w:keepNext/>
        <w:keepLines/>
      </w:pPr>
      <w:r>
        <w:tab/>
        <w:t>[Heading inserted: Gazette 9 Mar 2007 p. 902.]</w:t>
      </w:r>
    </w:p>
    <w:p>
      <w:pPr>
        <w:pStyle w:val="Ednotesection"/>
        <w:keepNext/>
      </w:pPr>
      <w:r>
        <w:t>[</w:t>
      </w:r>
      <w:r>
        <w:rPr>
          <w:b/>
        </w:rPr>
        <w:t>169.</w:t>
      </w:r>
      <w:r>
        <w:tab/>
        <w:t>Deleted: SL 2020/119 r. 11.]</w:t>
      </w:r>
    </w:p>
    <w:p>
      <w:pPr>
        <w:pStyle w:val="Heading5"/>
        <w:spacing w:before="180"/>
      </w:pPr>
      <w:bookmarkStart w:id="421" w:name="_Toc92809471"/>
      <w:r>
        <w:rPr>
          <w:rStyle w:val="CharSectno"/>
        </w:rPr>
        <w:t>170</w:t>
      </w:r>
      <w:r>
        <w:t>.</w:t>
      </w:r>
      <w:r>
        <w:tab/>
        <w:t>Warden may act on own initiative</w:t>
      </w:r>
      <w:bookmarkEnd w:id="421"/>
    </w:p>
    <w:p>
      <w:pPr>
        <w:pStyle w:val="Subsection"/>
      </w:pPr>
      <w:r>
        <w:tab/>
        <w:t>(1)</w:t>
      </w:r>
      <w:r>
        <w:tab/>
        <w:t xml:space="preserve">A warden hearing proceedings may exercise his or her powers on the application of a party or on his or her own initiative </w:t>
      </w:r>
      <w:r>
        <w:lastRenderedPageBreak/>
        <w:t>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Gazette 9 Mar 2007 p. 902</w:t>
      </w:r>
      <w:r>
        <w:noBreakHyphen/>
        <w:t>3.]</w:t>
      </w:r>
    </w:p>
    <w:p>
      <w:pPr>
        <w:pStyle w:val="Heading5"/>
        <w:spacing w:before="180"/>
      </w:pPr>
      <w:bookmarkStart w:id="422" w:name="_Toc92809472"/>
      <w:r>
        <w:rPr>
          <w:rStyle w:val="CharSectno"/>
        </w:rPr>
        <w:t>171</w:t>
      </w:r>
      <w:r>
        <w:t>.</w:t>
      </w:r>
      <w:r>
        <w:tab/>
        <w:t>Practice directions</w:t>
      </w:r>
      <w:bookmarkEnd w:id="422"/>
    </w:p>
    <w:p>
      <w:pPr>
        <w:pStyle w:val="Subsection"/>
      </w:pPr>
      <w:r>
        <w:tab/>
      </w:r>
      <w:r>
        <w:tab/>
        <w:t>The Chief Magistrate from time to time may issue, amend or cancel practice directions.</w:t>
      </w:r>
    </w:p>
    <w:p>
      <w:pPr>
        <w:pStyle w:val="Footnotesection"/>
        <w:spacing w:before="100"/>
        <w:ind w:left="890" w:hanging="890"/>
      </w:pPr>
      <w:r>
        <w:tab/>
        <w:t>[Regulation 171 inserted: Gazette 9 Mar 2007 p. 903.]</w:t>
      </w:r>
    </w:p>
    <w:p>
      <w:pPr>
        <w:pStyle w:val="Heading5"/>
        <w:spacing w:before="180"/>
      </w:pPr>
      <w:bookmarkStart w:id="423" w:name="_Toc92809473"/>
      <w:r>
        <w:rPr>
          <w:rStyle w:val="CharSectno"/>
        </w:rPr>
        <w:t>172</w:t>
      </w:r>
      <w:r>
        <w:t>.</w:t>
      </w:r>
      <w:r>
        <w:tab/>
        <w:t>Application of Act s. 142 and 146</w:t>
      </w:r>
      <w:bookmarkEnd w:id="423"/>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Gazette 9 Mar 2007 p. 903.]</w:t>
      </w:r>
    </w:p>
    <w:p>
      <w:pPr>
        <w:pStyle w:val="Heading5"/>
      </w:pPr>
      <w:bookmarkStart w:id="424" w:name="_Toc92809474"/>
      <w:r>
        <w:rPr>
          <w:rStyle w:val="CharSectno"/>
        </w:rPr>
        <w:lastRenderedPageBreak/>
        <w:t>173</w:t>
      </w:r>
      <w:r>
        <w:t>.</w:t>
      </w:r>
      <w:r>
        <w:tab/>
        <w:t>Copy of determination</w:t>
      </w:r>
      <w:bookmarkEnd w:id="424"/>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Gazette 9 Mar 2007 p. 903; amended: Gazette 15 Jan 2010 p. 118.]</w:t>
      </w:r>
    </w:p>
    <w:p>
      <w:pPr>
        <w:pStyle w:val="Heading5"/>
      </w:pPr>
      <w:bookmarkStart w:id="425" w:name="_Toc92809475"/>
      <w:r>
        <w:rPr>
          <w:rStyle w:val="CharSectno"/>
        </w:rPr>
        <w:t>174</w:t>
      </w:r>
      <w:r>
        <w:t>.</w:t>
      </w:r>
      <w:r>
        <w:tab/>
        <w:t>Offences</w:t>
      </w:r>
      <w:bookmarkEnd w:id="425"/>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Gazette 9 Mar 2007 p. 903</w:t>
      </w:r>
      <w:r>
        <w:noBreakHyphen/>
        <w:t>4.]</w:t>
      </w:r>
    </w:p>
    <w:p>
      <w:pPr>
        <w:pStyle w:val="Ednotesection"/>
      </w:pPr>
      <w:r>
        <w:lastRenderedPageBreak/>
        <w:t>[Schedule of forms deleted 15 Jan 2010 p. 118.]</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26" w:name="_Toc92799593"/>
      <w:bookmarkStart w:id="427" w:name="_Toc92800008"/>
      <w:bookmarkStart w:id="428" w:name="_Toc92809476"/>
      <w:r>
        <w:rPr>
          <w:rStyle w:val="CharSchNo"/>
        </w:rPr>
        <w:lastRenderedPageBreak/>
        <w:t>Schedule 1</w:t>
      </w:r>
      <w:r>
        <w:t xml:space="preserve"> — </w:t>
      </w:r>
      <w:r>
        <w:rPr>
          <w:rStyle w:val="CharSchText"/>
        </w:rPr>
        <w:t>Forms</w:t>
      </w:r>
      <w:bookmarkEnd w:id="426"/>
      <w:bookmarkEnd w:id="427"/>
      <w:bookmarkEnd w:id="428"/>
    </w:p>
    <w:p>
      <w:pPr>
        <w:pStyle w:val="yShoulderClause"/>
        <w:spacing w:before="0"/>
      </w:pPr>
      <w:r>
        <w:t>[r. 2]</w:t>
      </w:r>
    </w:p>
    <w:p>
      <w:pPr>
        <w:pStyle w:val="yFootnoteheading"/>
        <w:spacing w:before="0"/>
      </w:pPr>
      <w:r>
        <w:tab/>
        <w:t>[Heading inserted: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pStyle w:val="yMiscellaneousBody"/>
              <w:spacing w:before="0"/>
              <w:ind w:left="113" w:right="113"/>
            </w:pPr>
          </w:p>
          <w:p>
            <w:pPr>
              <w:pStyle w:val="yMiscellaneousBody"/>
              <w:spacing w:before="60"/>
              <w:ind w:left="113" w:right="113"/>
            </w:pPr>
            <w:r>
              <w:tab/>
            </w:r>
            <w:r>
              <w:rPr>
                <w:sz w:val="16"/>
                <w:szCs w:val="16"/>
              </w:rPr>
              <w:t>Form 1</w:t>
            </w:r>
            <w:r>
              <w:tab/>
            </w:r>
            <w:r>
              <w:tab/>
            </w:r>
            <w:r>
              <w:rPr>
                <w:noProof/>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pStyle w:val="yMiscellaneousBody"/>
              <w:spacing w:before="0"/>
              <w:ind w:left="113" w:right="113"/>
              <w:rPr>
                <w:sz w:val="16"/>
                <w:szCs w:val="16"/>
              </w:rPr>
            </w:pPr>
            <w:r>
              <w:tab/>
            </w:r>
            <w:r>
              <w:rPr>
                <w:sz w:val="16"/>
                <w:szCs w:val="16"/>
              </w:rPr>
              <w:t>Western Australia</w:t>
            </w:r>
          </w:p>
          <w:p>
            <w:pPr>
              <w:pStyle w:val="yMiscellaneousBody"/>
              <w:spacing w:before="0"/>
              <w:ind w:left="113" w:right="113"/>
              <w:rPr>
                <w:i/>
                <w:sz w:val="16"/>
                <w:szCs w:val="16"/>
              </w:rPr>
            </w:pPr>
            <w:r>
              <w:tab/>
            </w:r>
            <w:r>
              <w:rPr>
                <w:i/>
                <w:sz w:val="16"/>
                <w:szCs w:val="16"/>
              </w:rPr>
              <w:t>Mining Act 1978</w:t>
            </w:r>
          </w:p>
          <w:p>
            <w:pPr>
              <w:pStyle w:val="yMiscellaneousBody"/>
              <w:spacing w:before="0"/>
              <w:ind w:left="113" w:right="113"/>
              <w:rPr>
                <w:sz w:val="16"/>
                <w:szCs w:val="16"/>
              </w:rPr>
            </w:pPr>
            <w:r>
              <w:tab/>
            </w:r>
            <w:r>
              <w:rPr>
                <w:sz w:val="16"/>
                <w:szCs w:val="16"/>
              </w:rPr>
              <w:t>(Sec. 40C Reg. 3)</w:t>
            </w:r>
          </w:p>
          <w:p>
            <w:pPr>
              <w:pStyle w:val="yMiscellaneousBody"/>
              <w:rPr>
                <w:sz w:val="24"/>
                <w:szCs w:val="24"/>
              </w:rPr>
            </w:pPr>
          </w:p>
          <w:p>
            <w:pPr>
              <w:pStyle w:val="yMiscellaneousBody9pt"/>
              <w:ind w:left="113"/>
            </w:pPr>
            <w:r>
              <w:t>MINER’S RIGHT</w:t>
            </w:r>
          </w:p>
          <w:p>
            <w:pPr>
              <w:pStyle w:val="yMiscellaneousBody"/>
              <w:spacing w:before="0"/>
            </w:pPr>
          </w:p>
          <w:p>
            <w:pPr>
              <w:pStyle w:val="yMiscellaneousBody"/>
              <w:spacing w:before="0"/>
              <w:ind w:left="113" w:right="113"/>
              <w:rPr>
                <w:sz w:val="18"/>
                <w:szCs w:val="18"/>
              </w:rPr>
            </w:pPr>
            <w:r>
              <w:rPr>
                <w:sz w:val="18"/>
                <w:szCs w:val="18"/>
              </w:rPr>
              <w:t>NOT TRANSFERABLE</w:t>
            </w:r>
          </w:p>
          <w:p>
            <w:pPr>
              <w:pStyle w:val="yMiscellaneousBody"/>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pStyle w:val="yMiscellaneousBody"/>
              <w:spacing w:before="0"/>
              <w:ind w:left="113" w:right="113"/>
              <w:jc w:val="center"/>
              <w:rPr>
                <w:sz w:val="16"/>
                <w:szCs w:val="16"/>
              </w:rPr>
            </w:pPr>
            <w:r>
              <w:rPr>
                <w:sz w:val="16"/>
                <w:szCs w:val="16"/>
              </w:rPr>
              <w:t>(Name in full)</w:t>
            </w:r>
          </w:p>
          <w:p>
            <w:pPr>
              <w:pStyle w:val="yMiscellaneousBody"/>
              <w:spacing w:before="0" w:after="60"/>
              <w:ind w:left="113" w:right="113"/>
              <w:rPr>
                <w:sz w:val="16"/>
                <w:szCs w:val="16"/>
              </w:rPr>
            </w:pPr>
            <w:r>
              <w:rPr>
                <w:sz w:val="16"/>
                <w:szCs w:val="16"/>
              </w:rPr>
              <w:t xml:space="preserve">under the provisions of the </w:t>
            </w:r>
            <w:r>
              <w:rPr>
                <w:i/>
                <w:sz w:val="16"/>
                <w:szCs w:val="16"/>
              </w:rPr>
              <w:t>Mining Act 1978</w:t>
            </w: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Date of Issue .....................................</w:t>
            </w:r>
          </w:p>
          <w:p>
            <w:pPr>
              <w:pStyle w:val="yMiscellaneousBody"/>
              <w:spacing w:before="0"/>
              <w:ind w:left="113" w:right="113"/>
              <w:rPr>
                <w:sz w:val="16"/>
                <w:szCs w:val="16"/>
              </w:rPr>
            </w:pPr>
            <w:r>
              <w:rPr>
                <w:sz w:val="16"/>
                <w:szCs w:val="16"/>
              </w:rPr>
              <w:tab/>
              <w:t>................................................... Signature of Issuing Officer</w:t>
            </w:r>
            <w:r>
              <w:rPr>
                <w:sz w:val="16"/>
                <w:szCs w:val="16"/>
              </w:rPr>
              <w:br/>
            </w:r>
            <w:r>
              <w:rPr>
                <w:sz w:val="16"/>
                <w:szCs w:val="16"/>
              </w:rPr>
              <w:tab/>
              <w:t xml:space="preserve">................................................... Name of Issuing Officer </w:t>
            </w:r>
          </w:p>
          <w:p>
            <w:pPr>
              <w:pStyle w:val="yMiscellaneousBody"/>
              <w:spacing w:before="0"/>
              <w:ind w:left="113" w:right="113"/>
              <w:rPr>
                <w:sz w:val="16"/>
                <w:szCs w:val="16"/>
              </w:rPr>
            </w:pPr>
            <w:r>
              <w:rPr>
                <w:sz w:val="16"/>
                <w:szCs w:val="16"/>
              </w:rPr>
              <w:tab/>
            </w:r>
            <w:r>
              <w:rPr>
                <w:sz w:val="16"/>
                <w:szCs w:val="16"/>
              </w:rPr>
              <w:tab/>
            </w:r>
            <w:r>
              <w:rPr>
                <w:sz w:val="16"/>
                <w:szCs w:val="16"/>
              </w:rPr>
              <w:tab/>
              <w:t>(note reverse)</w:t>
            </w:r>
          </w:p>
        </w:tc>
        <w:tc>
          <w:tcPr>
            <w:tcW w:w="1701" w:type="dxa"/>
            <w:vMerge w:val="restart"/>
            <w:textDirection w:val="btLr"/>
          </w:tcPr>
          <w:p>
            <w:pPr>
              <w:pStyle w:val="yMiscellaneousBody"/>
              <w:tabs>
                <w:tab w:val="left" w:pos="1701"/>
              </w:tabs>
              <w:spacing w:before="0"/>
              <w:jc w:val="center"/>
              <w:rPr>
                <w:sz w:val="16"/>
                <w:szCs w:val="16"/>
              </w:rPr>
            </w:pPr>
            <w:r>
              <w:rPr>
                <w:sz w:val="16"/>
                <w:szCs w:val="16"/>
              </w:rPr>
              <w:t>Reverse of form</w:t>
            </w:r>
          </w:p>
          <w:p>
            <w:pPr>
              <w:pStyle w:val="yMiscellaneousBody"/>
              <w:tabs>
                <w:tab w:val="left" w:pos="1701"/>
              </w:tabs>
              <w:spacing w:before="60"/>
              <w:ind w:left="567" w:right="113"/>
              <w:rPr>
                <w:sz w:val="16"/>
                <w:szCs w:val="16"/>
              </w:rPr>
            </w:pPr>
            <w:r>
              <w:rPr>
                <w:sz w:val="16"/>
                <w:szCs w:val="16"/>
              </w:rPr>
              <w:t>NOTE:</w:t>
            </w:r>
            <w:r>
              <w:rPr>
                <w:sz w:val="16"/>
                <w:szCs w:val="16"/>
              </w:rPr>
              <w:tab/>
              <w:t xml:space="preserve">This miner’s right is issued under section 40C of the </w:t>
            </w:r>
            <w:r>
              <w:rPr>
                <w:i/>
                <w:sz w:val="16"/>
                <w:szCs w:val="16"/>
              </w:rPr>
              <w:t>Mining Act 1978</w:t>
            </w:r>
            <w:r>
              <w:rPr>
                <w:sz w:val="16"/>
                <w:szCs w:val="16"/>
              </w:rPr>
              <w:t>. It is your responsibility</w:t>
            </w:r>
          </w:p>
          <w:p>
            <w:pPr>
              <w:pStyle w:val="yMiscellaneousBody"/>
              <w:tabs>
                <w:tab w:val="left" w:pos="1701"/>
              </w:tabs>
              <w:spacing w:before="0"/>
              <w:ind w:left="113" w:right="113"/>
              <w:rPr>
                <w:sz w:val="16"/>
              </w:rPr>
            </w:pPr>
            <w:r>
              <w:rPr>
                <w:sz w:val="16"/>
              </w:rPr>
              <w:tab/>
              <w:t xml:space="preserve">to ascertain your rights </w:t>
            </w:r>
            <w:r>
              <w:rPr>
                <w:sz w:val="16"/>
                <w:szCs w:val="16"/>
              </w:rPr>
              <w:t>and</w:t>
            </w:r>
            <w:r>
              <w:rPr>
                <w:sz w:val="16"/>
              </w:rPr>
              <w:t xml:space="preserve"> obligations under that section. Information in respect of those</w:t>
            </w:r>
          </w:p>
          <w:p>
            <w:pPr>
              <w:pStyle w:val="yMiscellaneousBody"/>
              <w:tabs>
                <w:tab w:val="left" w:pos="1701"/>
              </w:tabs>
              <w:spacing w:before="0"/>
              <w:ind w:left="113" w:right="113"/>
              <w:rPr>
                <w:sz w:val="16"/>
              </w:rPr>
            </w:pPr>
            <w:r>
              <w:rPr>
                <w:sz w:val="16"/>
              </w:rPr>
              <w:tab/>
              <w:t>rights and obligations may be obtained from any office of the Department.</w:t>
            </w:r>
          </w:p>
          <w:p>
            <w:pPr>
              <w:pStyle w:val="yFootnotesection"/>
            </w:pPr>
            <w:r>
              <w:tab/>
              <w:t>[Form 1 inserted: Gazette 2 Oct 1987 p. 3822; amended: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429" w:name="_Toc92809477"/>
            <w:r>
              <w:rPr>
                <w:rStyle w:val="CharSClsNo"/>
              </w:rPr>
              <w:t>Form 1</w:t>
            </w:r>
            <w:r>
              <w:rPr>
                <w:rStyle w:val="CharSClsNo"/>
              </w:rPr>
              <w:tab/>
            </w:r>
            <w:r>
              <w:t>Miner’s right</w:t>
            </w:r>
            <w:bookmarkEnd w:id="429"/>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ind w:left="113" w:right="113"/>
            </w:pPr>
          </w:p>
          <w:p>
            <w:pPr>
              <w:pStyle w:val="yMiscellaneousBody"/>
              <w:spacing w:before="0" w:after="160"/>
              <w:ind w:left="113" w:right="113"/>
            </w:pPr>
          </w:p>
          <w:p>
            <w:pPr>
              <w:pStyle w:val="yMiscellaneousBody"/>
              <w:rPr>
                <w:b/>
              </w:rPr>
            </w:pPr>
            <w:r>
              <w:t xml:space="preserve">   </w:t>
            </w:r>
            <w:r>
              <w:rPr>
                <w:b/>
              </w:rPr>
              <w:t>MINER’S RIGHT</w:t>
            </w:r>
          </w:p>
          <w:p>
            <w:pPr>
              <w:pStyle w:val="yMiscellaneousBody"/>
              <w:spacing w:before="0"/>
              <w:ind w:left="113" w:right="113"/>
            </w:pPr>
          </w:p>
          <w:p>
            <w:pPr>
              <w:pStyle w:val="yMiscellaneousBody"/>
              <w:spacing w:before="0"/>
              <w:ind w:left="113" w:right="113"/>
              <w:rPr>
                <w:sz w:val="16"/>
                <w:szCs w:val="16"/>
              </w:rPr>
            </w:pPr>
            <w:r>
              <w:rPr>
                <w:sz w:val="16"/>
                <w:szCs w:val="16"/>
              </w:rPr>
              <w:t>To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By whom Issued .........................................</w:t>
            </w:r>
          </w:p>
          <w:p>
            <w:pPr>
              <w:pStyle w:val="yMiscellaneousBody"/>
              <w:spacing w:before="0"/>
              <w:ind w:left="113" w:right="113"/>
              <w:rPr>
                <w:sz w:val="16"/>
                <w:szCs w:val="16"/>
              </w:rPr>
            </w:pPr>
            <w:r>
              <w:rPr>
                <w:sz w:val="16"/>
                <w:szCs w:val="16"/>
              </w:rPr>
              <w:t>.....................................................................</w:t>
            </w:r>
          </w:p>
          <w:p>
            <w:pPr>
              <w:pStyle w:val="yMiscellaneousBody"/>
              <w:spacing w:before="0"/>
              <w:ind w:left="113" w:right="113"/>
              <w:rPr>
                <w:sz w:val="16"/>
                <w:szCs w:val="16"/>
              </w:rPr>
            </w:pPr>
          </w:p>
          <w:p>
            <w:pPr>
              <w:pStyle w:val="yMiscellaneousBody"/>
              <w:spacing w:before="0"/>
              <w:ind w:left="113" w:right="113"/>
              <w:rPr>
                <w:sz w:val="16"/>
                <w:szCs w:val="16"/>
              </w:rPr>
            </w:pPr>
            <w:r>
              <w:rPr>
                <w:sz w:val="16"/>
                <w:szCs w:val="16"/>
              </w:rPr>
              <w:t>Place of Issue ..............................................</w:t>
            </w:r>
          </w:p>
          <w:p>
            <w:pPr>
              <w:pStyle w:val="yMiscellaneousBody"/>
              <w:spacing w:before="0"/>
              <w:ind w:left="113" w:right="113"/>
              <w:rPr>
                <w:sz w:val="16"/>
                <w:szCs w:val="16"/>
              </w:rPr>
            </w:pPr>
          </w:p>
          <w:p>
            <w:pPr>
              <w:pStyle w:val="yMiscellaneousBody"/>
              <w:spacing w:before="0"/>
              <w:ind w:left="113" w:right="113"/>
            </w:pPr>
            <w:r>
              <w:rPr>
                <w:sz w:val="16"/>
                <w:szCs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430" w:name="_Toc92809478"/>
      <w:r>
        <w:rPr>
          <w:rStyle w:val="CharSClsNo"/>
        </w:rPr>
        <w:lastRenderedPageBreak/>
        <w:t>Form 1A</w:t>
      </w:r>
      <w:r>
        <w:tab/>
        <w:t>Application for permit under section 40E</w:t>
      </w:r>
      <w:bookmarkEnd w:id="430"/>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pPr>
        <w:pStyle w:val="yMiscellaneousBody"/>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lastRenderedPageBreak/>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Gazette 2 Feb 2001 p. 710</w:t>
      </w:r>
      <w:r>
        <w:noBreakHyphen/>
        <w:t>11; amended: Gazette 15 Jan 2010 p. 119; 9 Nov 2012 p. 5417-18; 1 Feb 2013 p. 455; 22 Dec 2017 p. 5992.]</w:t>
      </w:r>
    </w:p>
    <w:p>
      <w:pPr>
        <w:pStyle w:val="yHeading5"/>
        <w:pageBreakBefore/>
        <w:spacing w:before="0" w:after="120"/>
      </w:pPr>
      <w:bookmarkStart w:id="431" w:name="_Toc92809479"/>
      <w:r>
        <w:rPr>
          <w:rStyle w:val="CharSClsNo"/>
        </w:rPr>
        <w:lastRenderedPageBreak/>
        <w:t>Form 2</w:t>
      </w:r>
      <w:r>
        <w:tab/>
        <w:t>Application for permit to enter upon private land</w:t>
      </w:r>
      <w:bookmarkEnd w:id="431"/>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Gazette 15 Jan 2010 p. 119; 9 Nov 2012 p. 5419.]</w:t>
      </w:r>
    </w:p>
    <w:p>
      <w:pPr>
        <w:pStyle w:val="yHeading5"/>
        <w:pageBreakBefore/>
        <w:spacing w:before="0" w:after="120"/>
      </w:pPr>
      <w:bookmarkStart w:id="432" w:name="_Toc92809480"/>
      <w:r>
        <w:rPr>
          <w:rStyle w:val="CharSClsNo"/>
        </w:rPr>
        <w:lastRenderedPageBreak/>
        <w:t>Form 3</w:t>
      </w:r>
      <w:r>
        <w:tab/>
        <w:t>Permit to enter upon private land</w:t>
      </w:r>
      <w:bookmarkEnd w:id="432"/>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Gazette 2 Oct 1987 p. 3823; 15 Jan 2010 p. 119.]</w:t>
      </w:r>
    </w:p>
    <w:p>
      <w:pPr>
        <w:pStyle w:val="yHeading5"/>
        <w:pageBreakBefore/>
        <w:tabs>
          <w:tab w:val="clear" w:pos="879"/>
        </w:tabs>
        <w:spacing w:before="0" w:after="80"/>
        <w:ind w:left="960" w:hanging="960"/>
      </w:pPr>
      <w:bookmarkStart w:id="433" w:name="_Toc92809481"/>
      <w:r>
        <w:rPr>
          <w:rStyle w:val="CharSClsNo"/>
        </w:rPr>
        <w:lastRenderedPageBreak/>
        <w:t>Form 3A</w:t>
      </w:r>
      <w:r>
        <w:tab/>
        <w:t>Claim for compensation and consent for an informal determination by the warden</w:t>
      </w:r>
      <w:bookmarkEnd w:id="433"/>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t>WESTERN AUSTRALIA</w:t>
            </w:r>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Gazette 2 Oct 1987 p. 3823; amended: Gazette 15 Jan 2010 p. 119.]</w:t>
      </w:r>
    </w:p>
    <w:p>
      <w:pPr>
        <w:pStyle w:val="yHeading5"/>
        <w:pageBreakBefore/>
        <w:spacing w:before="0" w:after="120"/>
      </w:pPr>
      <w:bookmarkStart w:id="434" w:name="_Toc92809482"/>
      <w:r>
        <w:rPr>
          <w:rStyle w:val="CharSClsNo"/>
        </w:rPr>
        <w:lastRenderedPageBreak/>
        <w:t>Form 4</w:t>
      </w:r>
      <w:r>
        <w:tab/>
        <w:t>Prospecting licence</w:t>
      </w:r>
      <w:bookmarkEnd w:id="43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Gazette 13 Oct 1995 p. 4823; 15 Jan 2010 p. 120.]</w:t>
      </w:r>
    </w:p>
    <w:p>
      <w:pPr>
        <w:pStyle w:val="yHeading5"/>
        <w:pageBreakBefore/>
        <w:spacing w:before="0" w:after="120"/>
      </w:pPr>
      <w:bookmarkStart w:id="435" w:name="_Toc92809483"/>
      <w:r>
        <w:rPr>
          <w:rStyle w:val="CharSClsNo"/>
        </w:rPr>
        <w:lastRenderedPageBreak/>
        <w:t>Form 5</w:t>
      </w:r>
      <w:r>
        <w:tab/>
        <w:t>Operations report — expenditure on mining tenement</w:t>
      </w:r>
      <w:bookmarkEnd w:id="435"/>
    </w:p>
    <w:p>
      <w:pPr>
        <w:pStyle w:val="yTabl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lastRenderedPageBreak/>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lastRenderedPageBreak/>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lastRenderedPageBreak/>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lastRenderedPageBreak/>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lastRenderedPageBreak/>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Gazette 11 Jun 1999 p. 2546</w:t>
      </w:r>
      <w:r>
        <w:rPr>
          <w:w w:val="95"/>
        </w:rPr>
        <w:noBreakHyphen/>
        <w:t>51; amended: Gazette 15 Jan 2010 p. 120-1; 18 Mar 2011 p. 924</w:t>
      </w:r>
      <w:r>
        <w:rPr>
          <w:w w:val="95"/>
        </w:rPr>
        <w:noBreakHyphen/>
        <w:t>5; 9 Nov 2012 p. 5419.]</w:t>
      </w:r>
    </w:p>
    <w:p>
      <w:pPr>
        <w:pStyle w:val="yHeading5"/>
        <w:pageBreakBefore/>
        <w:spacing w:before="0" w:after="120"/>
      </w:pPr>
      <w:bookmarkStart w:id="436" w:name="_Toc92809484"/>
      <w:r>
        <w:rPr>
          <w:rStyle w:val="CharSClsNo"/>
        </w:rPr>
        <w:lastRenderedPageBreak/>
        <w:t>Form 6</w:t>
      </w:r>
      <w:r>
        <w:tab/>
        <w:t>Exploration licence</w:t>
      </w:r>
      <w:bookmarkEnd w:id="436"/>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z w:val="18"/>
              </w:rPr>
              <w:t>Minister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Gazette 31 May 1991 p. 2700</w:t>
      </w:r>
      <w:r>
        <w:noBreakHyphen/>
        <w:t>1; amended: Gazette 15 Jan 2010 p. 121; 13 Dec 2019 p. 4238.]</w:t>
      </w:r>
    </w:p>
    <w:p>
      <w:pPr>
        <w:pStyle w:val="yHeading5"/>
        <w:pageBreakBefore/>
        <w:spacing w:before="0" w:after="120"/>
      </w:pPr>
      <w:bookmarkStart w:id="437" w:name="_Toc92809485"/>
      <w:r>
        <w:rPr>
          <w:rStyle w:val="CharSClsNo"/>
        </w:rPr>
        <w:lastRenderedPageBreak/>
        <w:t>Form 7</w:t>
      </w:r>
      <w:r>
        <w:tab/>
        <w:t>Retention licence</w:t>
      </w:r>
      <w:bookmarkEnd w:id="437"/>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z w:val="18"/>
              </w:rPr>
              <w:t>Minister</w:t>
            </w:r>
          </w:p>
        </w:tc>
      </w:tr>
    </w:tbl>
    <w:p>
      <w:pPr>
        <w:pStyle w:val="yTable"/>
        <w:spacing w:before="160" w:line="180" w:lineRule="atLeast"/>
        <w:jc w:val="center"/>
        <w:rPr>
          <w:snapToGrid w:val="0"/>
          <w:sz w:val="18"/>
        </w:rPr>
      </w:pPr>
      <w:r>
        <w:rPr>
          <w:snapToGrid w:val="0"/>
          <w:sz w:val="18"/>
        </w:rPr>
        <w:t>NOTE</w:t>
      </w:r>
    </w:p>
    <w:p>
      <w:pPr>
        <w:pStyle w:val="yTable"/>
        <w:pBdr>
          <w:bottom w:val="single" w:sz="12" w:space="1" w:color="auto"/>
        </w:pBdr>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Gazette 24 Jun 1994 p. 2939; amended: Gazette 4 Apr 1997 p. 1780; 15 Jan 2010 p. 121; 13 Dec 2019 p. 4238.]</w:t>
      </w:r>
    </w:p>
    <w:p>
      <w:pPr>
        <w:pStyle w:val="yHeading5"/>
        <w:pageBreakBefore/>
        <w:spacing w:before="0" w:after="120"/>
      </w:pPr>
      <w:bookmarkStart w:id="438" w:name="_Toc92809486"/>
      <w:r>
        <w:rPr>
          <w:rStyle w:val="CharSClsNo"/>
        </w:rPr>
        <w:lastRenderedPageBreak/>
        <w:t>Form 8</w:t>
      </w:r>
      <w:r>
        <w:tab/>
        <w:t>Mining lease</w:t>
      </w:r>
      <w:bookmarkEnd w:id="438"/>
    </w:p>
    <w:p>
      <w:pPr>
        <w:pStyle w:val="yTable"/>
        <w:tabs>
          <w:tab w:val="left" w:pos="1985"/>
        </w:tabs>
        <w:spacing w:before="0" w:line="180" w:lineRule="atLeast"/>
        <w:rPr>
          <w:snapToGrid w:val="0"/>
          <w:sz w:val="17"/>
        </w:rPr>
      </w:pPr>
      <w:r>
        <w:rPr>
          <w:snapToGrid w:val="0"/>
          <w:sz w:val="17"/>
        </w:rPr>
        <w:t xml:space="preserve">Form 8 </w:t>
      </w:r>
      <w:r>
        <w:rPr>
          <w:snapToGrid w:val="0"/>
          <w:sz w:val="17"/>
        </w:rPr>
        <w:tab/>
        <w:t>WESTERN AUSTRALIA</w:t>
      </w:r>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lastRenderedPageBreak/>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Gazette 2 Oct 1987 p. 3828; 3 Feb 2006 p. 524 and 602; 15 Jan 2010 p. 121; 18 Mar 2011 p. 925.]</w:t>
      </w:r>
    </w:p>
    <w:p>
      <w:pPr>
        <w:pStyle w:val="yHeading5"/>
      </w:pPr>
      <w:bookmarkStart w:id="439" w:name="_Toc92809487"/>
      <w:r>
        <w:rPr>
          <w:rStyle w:val="CharSClsNo"/>
        </w:rPr>
        <w:lastRenderedPageBreak/>
        <w:t>Form 9</w:t>
      </w:r>
      <w:r>
        <w:tab/>
        <w:t>Application for extension of term/renewal of a mining tenement</w:t>
      </w:r>
      <w:bookmarkEnd w:id="439"/>
    </w:p>
    <w:tbl>
      <w:tblPr>
        <w:tblW w:w="0" w:type="auto"/>
        <w:tblInd w:w="120" w:type="dxa"/>
        <w:tblLayout w:type="fixed"/>
        <w:tblCellMar>
          <w:left w:w="120" w:type="dxa"/>
          <w:right w:w="120" w:type="dxa"/>
        </w:tblCellMar>
        <w:tblLook w:val="0000" w:firstRow="0" w:lastRow="0" w:firstColumn="0" w:lastColumn="0" w:noHBand="0" w:noVBand="0"/>
      </w:tblPr>
      <w:tblGrid>
        <w:gridCol w:w="1596"/>
        <w:gridCol w:w="5492"/>
      </w:tblGrid>
      <w:tr>
        <w:tc>
          <w:tcPr>
            <w:tcW w:w="7088" w:type="dxa"/>
            <w:gridSpan w:val="2"/>
            <w:noWrap/>
          </w:tcPr>
          <w:p>
            <w:pPr>
              <w:pStyle w:val="yTableNAm"/>
              <w:tabs>
                <w:tab w:val="clear" w:pos="567"/>
                <w:tab w:val="left" w:pos="1588"/>
              </w:tabs>
              <w:spacing w:before="0"/>
              <w:rPr>
                <w:sz w:val="20"/>
              </w:rPr>
            </w:pPr>
            <w:r>
              <w:rPr>
                <w:sz w:val="20"/>
              </w:rPr>
              <w:t>Form 9</w:t>
            </w:r>
            <w:r>
              <w:rPr>
                <w:sz w:val="20"/>
              </w:rPr>
              <w:tab/>
              <w:t xml:space="preserve">WESTERN AUSTRALIA </w:t>
            </w:r>
            <w:r>
              <w:rPr>
                <w:sz w:val="20"/>
              </w:rPr>
              <w:br/>
            </w:r>
            <w:r>
              <w:rPr>
                <w:sz w:val="20"/>
              </w:rPr>
              <w:tab/>
            </w:r>
            <w:r>
              <w:rPr>
                <w:i/>
                <w:sz w:val="20"/>
              </w:rPr>
              <w:t>Mining Act 1978</w:t>
            </w:r>
            <w:r>
              <w:rPr>
                <w:sz w:val="20"/>
              </w:rPr>
              <w:br/>
            </w:r>
            <w:r>
              <w:rPr>
                <w:sz w:val="20"/>
              </w:rPr>
              <w:tab/>
              <w:t>(Secs. 45, 61, 70E, 78, 88, 91A, 91B)</w:t>
            </w:r>
            <w:r>
              <w:rPr>
                <w:sz w:val="20"/>
              </w:rPr>
              <w:br/>
            </w:r>
            <w:r>
              <w:rPr>
                <w:sz w:val="20"/>
              </w:rPr>
              <w:tab/>
              <w:t>(Regs. 16B, 23A, 23F, 29, 36A, 42A)</w:t>
            </w:r>
          </w:p>
        </w:tc>
      </w:tr>
      <w:tr>
        <w:tc>
          <w:tcPr>
            <w:tcW w:w="1596" w:type="dxa"/>
            <w:noWrap/>
          </w:tcPr>
          <w:p>
            <w:pPr>
              <w:pStyle w:val="yTableNAm"/>
              <w:rPr>
                <w:sz w:val="18"/>
              </w:rPr>
            </w:pPr>
          </w:p>
          <w:p>
            <w:pPr>
              <w:pStyle w:val="yTableNAm"/>
              <w:rPr>
                <w:sz w:val="18"/>
              </w:rPr>
            </w:pPr>
          </w:p>
        </w:tc>
        <w:tc>
          <w:tcPr>
            <w:tcW w:w="5492" w:type="dxa"/>
            <w:noWrap/>
          </w:tcPr>
          <w:p>
            <w:pPr>
              <w:pStyle w:val="yTableNAm"/>
              <w:rPr>
                <w:sz w:val="20"/>
              </w:rPr>
            </w:pPr>
            <w:r>
              <w:rPr>
                <w:b/>
                <w:spacing w:val="-3"/>
                <w:sz w:val="20"/>
              </w:rPr>
              <w:t>APPLICATION FOR EXTENSION OF TERM/RENEWAL OF A MINING TENEMENT</w:t>
            </w:r>
          </w:p>
          <w:p>
            <w:pPr>
              <w:pStyle w:val="yTableNAm"/>
              <w:spacing w:before="60"/>
              <w:rPr>
                <w:sz w:val="18"/>
              </w:rPr>
            </w:pPr>
            <w:r>
              <w:rPr>
                <w:sz w:val="18"/>
              </w:rPr>
              <w:t>No.</w:t>
            </w:r>
          </w:p>
        </w:tc>
      </w:tr>
      <w:tr>
        <w:tc>
          <w:tcPr>
            <w:tcW w:w="1596" w:type="dxa"/>
            <w:noWrap/>
          </w:tcPr>
          <w:p>
            <w:pPr>
              <w:pStyle w:val="yTableNAm"/>
              <w:tabs>
                <w:tab w:val="clear" w:pos="567"/>
                <w:tab w:val="left" w:pos="447"/>
              </w:tabs>
              <w:spacing w:before="0"/>
              <w:ind w:left="447" w:hanging="447"/>
              <w:rPr>
                <w:sz w:val="16"/>
              </w:rPr>
            </w:pPr>
            <w:r>
              <w:rPr>
                <w:sz w:val="16"/>
              </w:rPr>
              <w:t>(a)</w:t>
            </w:r>
            <w:r>
              <w:rPr>
                <w:sz w:val="16"/>
              </w:rPr>
              <w:tab/>
              <w:t>Type of Tenement</w:t>
            </w:r>
          </w:p>
          <w:p>
            <w:pPr>
              <w:pStyle w:val="yTableNAm"/>
              <w:spacing w:before="0"/>
              <w:rPr>
                <w:sz w:val="16"/>
              </w:rPr>
            </w:pPr>
          </w:p>
          <w:p>
            <w:pPr>
              <w:pStyle w:val="yTableNAm"/>
              <w:tabs>
                <w:tab w:val="clear" w:pos="567"/>
                <w:tab w:val="left" w:pos="447"/>
              </w:tabs>
              <w:spacing w:before="0"/>
              <w:ind w:left="447" w:hanging="447"/>
              <w:rPr>
                <w:sz w:val="16"/>
              </w:rPr>
            </w:pPr>
            <w:r>
              <w:rPr>
                <w:sz w:val="16"/>
              </w:rPr>
              <w:t>(b)</w:t>
            </w:r>
            <w:r>
              <w:rPr>
                <w:sz w:val="16"/>
              </w:rPr>
              <w:tab/>
              <w:t>Number</w:t>
            </w:r>
          </w:p>
          <w:p>
            <w:pPr>
              <w:pStyle w:val="yTableNAm"/>
              <w:spacing w:before="0"/>
              <w:rPr>
                <w:sz w:val="16"/>
              </w:rPr>
            </w:pPr>
          </w:p>
          <w:p>
            <w:pPr>
              <w:pStyle w:val="yTableNAm"/>
              <w:tabs>
                <w:tab w:val="clear" w:pos="567"/>
                <w:tab w:val="left" w:pos="447"/>
              </w:tabs>
              <w:spacing w:before="0"/>
              <w:ind w:left="447" w:hanging="447"/>
              <w:rPr>
                <w:sz w:val="16"/>
              </w:rPr>
            </w:pPr>
            <w:r>
              <w:rPr>
                <w:sz w:val="16"/>
              </w:rPr>
              <w:t>(c)</w:t>
            </w:r>
            <w:r>
              <w:rPr>
                <w:sz w:val="16"/>
              </w:rPr>
              <w:tab/>
              <w:t>Mineral Field</w:t>
            </w:r>
          </w:p>
          <w:p>
            <w:pPr>
              <w:pStyle w:val="yTableNAm"/>
              <w:spacing w:before="0"/>
              <w:rPr>
                <w:sz w:val="16"/>
              </w:rPr>
            </w:pPr>
          </w:p>
          <w:p>
            <w:pPr>
              <w:pStyle w:val="yTableNAm"/>
              <w:tabs>
                <w:tab w:val="clear" w:pos="567"/>
                <w:tab w:val="left" w:pos="447"/>
              </w:tabs>
              <w:spacing w:before="0"/>
              <w:ind w:left="447" w:hanging="447"/>
              <w:rPr>
                <w:sz w:val="16"/>
              </w:rPr>
            </w:pPr>
            <w:r>
              <w:rPr>
                <w:sz w:val="16"/>
              </w:rPr>
              <w:t>(d)</w:t>
            </w:r>
            <w:r>
              <w:rPr>
                <w:sz w:val="16"/>
              </w:rPr>
              <w:tab/>
              <w:t>Expiry date</w:t>
            </w: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0"/>
              <w:rPr>
                <w:sz w:val="16"/>
              </w:rPr>
            </w:pPr>
            <w:r>
              <w:rPr>
                <w:sz w:val="16"/>
              </w:rPr>
              <w:t>Details of mining tenement</w:t>
            </w:r>
          </w:p>
          <w:p>
            <w:pPr>
              <w:pStyle w:val="yTableNAm"/>
              <w:spacing w:before="0"/>
              <w:rPr>
                <w:sz w:val="16"/>
              </w:rPr>
            </w:pPr>
            <w:r>
              <w:rPr>
                <w:sz w:val="16"/>
              </w:rPr>
              <w:t>(a)</w:t>
            </w:r>
            <w:r>
              <w:rPr>
                <w:sz w:val="16"/>
              </w:rPr>
              <w:tab/>
            </w:r>
          </w:p>
          <w:p>
            <w:pPr>
              <w:pStyle w:val="yTableNAm"/>
              <w:spacing w:before="0"/>
              <w:rPr>
                <w:sz w:val="16"/>
              </w:rPr>
            </w:pPr>
          </w:p>
          <w:p>
            <w:pPr>
              <w:pStyle w:val="yTableNAm"/>
              <w:spacing w:before="0"/>
              <w:rPr>
                <w:sz w:val="16"/>
              </w:rPr>
            </w:pPr>
            <w:r>
              <w:rPr>
                <w:sz w:val="16"/>
              </w:rPr>
              <w:t>(b)</w:t>
            </w:r>
          </w:p>
          <w:p>
            <w:pPr>
              <w:pStyle w:val="yTableNAm"/>
              <w:spacing w:before="0"/>
              <w:rPr>
                <w:sz w:val="16"/>
              </w:rPr>
            </w:pPr>
          </w:p>
          <w:p>
            <w:pPr>
              <w:pStyle w:val="yTableNAm"/>
              <w:spacing w:before="0"/>
              <w:rPr>
                <w:sz w:val="16"/>
              </w:rPr>
            </w:pPr>
            <w:r>
              <w:rPr>
                <w:sz w:val="16"/>
              </w:rPr>
              <w:t>(c)</w:t>
            </w:r>
          </w:p>
          <w:p>
            <w:pPr>
              <w:pStyle w:val="yTableNAm"/>
              <w:spacing w:before="0"/>
              <w:rPr>
                <w:sz w:val="16"/>
              </w:rPr>
            </w:pPr>
          </w:p>
          <w:p>
            <w:pPr>
              <w:pStyle w:val="yTableNAm"/>
              <w:spacing w:before="0"/>
              <w:rPr>
                <w:sz w:val="16"/>
              </w:rPr>
            </w:pPr>
            <w:r>
              <w:rPr>
                <w:sz w:val="16"/>
              </w:rPr>
              <w:t>(d)</w:t>
            </w:r>
          </w:p>
        </w:tc>
      </w:tr>
      <w:tr>
        <w:tc>
          <w:tcPr>
            <w:tcW w:w="1596" w:type="dxa"/>
            <w:noWrap/>
          </w:tcPr>
          <w:p>
            <w:pPr>
              <w:pStyle w:val="yTableNAm"/>
              <w:rPr>
                <w:sz w:val="14"/>
              </w:rPr>
            </w:pPr>
          </w:p>
        </w:tc>
        <w:tc>
          <w:tcPr>
            <w:tcW w:w="5492" w:type="dxa"/>
            <w:noWrap/>
          </w:tcPr>
          <w:p>
            <w:pPr>
              <w:pStyle w:val="yTableNAm"/>
              <w:rPr>
                <w:sz w:val="14"/>
              </w:rPr>
            </w:pPr>
          </w:p>
        </w:tc>
      </w:tr>
      <w:tr>
        <w:tc>
          <w:tcPr>
            <w:tcW w:w="1596" w:type="dxa"/>
            <w:noWrap/>
          </w:tcPr>
          <w:p>
            <w:pPr>
              <w:pStyle w:val="yTableNAm"/>
              <w:tabs>
                <w:tab w:val="clear" w:pos="567"/>
                <w:tab w:val="left" w:pos="447"/>
              </w:tabs>
              <w:spacing w:before="60"/>
              <w:ind w:left="447" w:hanging="447"/>
              <w:rPr>
                <w:sz w:val="16"/>
              </w:rPr>
            </w:pPr>
            <w:r>
              <w:rPr>
                <w:sz w:val="16"/>
              </w:rPr>
              <w:t>(e)</w:t>
            </w:r>
            <w:r>
              <w:rPr>
                <w:sz w:val="16"/>
              </w:rPr>
              <w:tab/>
              <w:t>Full name and address of holder(s)</w:t>
            </w:r>
          </w:p>
          <w:p>
            <w:pPr>
              <w:pStyle w:val="yTableNAm"/>
              <w:rPr>
                <w:sz w:val="16"/>
              </w:rPr>
            </w:pPr>
          </w:p>
        </w:tc>
        <w:tc>
          <w:tcPr>
            <w:tcW w:w="5492" w:type="dxa"/>
            <w:tcBorders>
              <w:top w:val="single" w:sz="7" w:space="0" w:color="auto"/>
              <w:left w:val="single" w:sz="7" w:space="0" w:color="auto"/>
              <w:bottom w:val="single" w:sz="7" w:space="0" w:color="auto"/>
              <w:right w:val="single" w:sz="7" w:space="0" w:color="auto"/>
            </w:tcBorders>
            <w:noWrap/>
          </w:tcPr>
          <w:p>
            <w:pPr>
              <w:pStyle w:val="yTableNAm"/>
              <w:spacing w:before="60"/>
              <w:rPr>
                <w:sz w:val="16"/>
              </w:rPr>
            </w:pPr>
            <w:r>
              <w:rPr>
                <w:sz w:val="16"/>
              </w:rPr>
              <w:t>Holder</w:t>
            </w:r>
            <w:r>
              <w:rPr>
                <w:sz w:val="16"/>
              </w:rPr>
              <w:br/>
              <w:t xml:space="preserve">(e) </w:t>
            </w:r>
          </w:p>
        </w:tc>
      </w:tr>
      <w:tr>
        <w:tc>
          <w:tcPr>
            <w:tcW w:w="1596" w:type="dxa"/>
            <w:noWrap/>
          </w:tcPr>
          <w:p>
            <w:pPr>
              <w:pStyle w:val="yTableNAm"/>
              <w:spacing w:before="60"/>
              <w:rPr>
                <w:sz w:val="16"/>
              </w:rPr>
            </w:pPr>
          </w:p>
          <w:p>
            <w:pPr>
              <w:pStyle w:val="yTableNAm"/>
              <w:spacing w:before="0"/>
              <w:rPr>
                <w:sz w:val="16"/>
              </w:rPr>
            </w:pPr>
          </w:p>
          <w:p>
            <w:pPr>
              <w:pStyle w:val="yTableNAm"/>
              <w:spacing w:before="60"/>
              <w:rPr>
                <w:sz w:val="16"/>
              </w:rPr>
            </w:pPr>
          </w:p>
          <w:p>
            <w:pPr>
              <w:pStyle w:val="yTableNAm"/>
              <w:rPr>
                <w:sz w:val="16"/>
              </w:rPr>
            </w:pPr>
          </w:p>
        </w:tc>
        <w:tc>
          <w:tcPr>
            <w:tcW w:w="5492" w:type="dxa"/>
            <w:noWrap/>
          </w:tcPr>
          <w:p>
            <w:pPr>
              <w:pStyle w:val="yTableNAm"/>
              <w:spacing w:before="60"/>
              <w:rPr>
                <w:sz w:val="16"/>
              </w:rPr>
            </w:pPr>
            <w:r>
              <w:rPr>
                <w:sz w:val="16"/>
              </w:rPr>
              <w:t>THE HOLDER of the abovementioned mining tenement hereby applies for extension/renewal of the mining tenement.</w:t>
            </w:r>
          </w:p>
          <w:p>
            <w:pPr>
              <w:pStyle w:val="yTableNAm"/>
              <w:spacing w:before="60"/>
              <w:rPr>
                <w:sz w:val="16"/>
              </w:rPr>
            </w:pPr>
            <w:r>
              <w:rPr>
                <w:sz w:val="16"/>
              </w:rPr>
              <w:t>DATED THIS            day of             20</w:t>
            </w:r>
          </w:p>
          <w:p>
            <w:pPr>
              <w:pStyle w:val="yTableNAm"/>
              <w:rPr>
                <w:sz w:val="16"/>
              </w:rPr>
            </w:pPr>
          </w:p>
        </w:tc>
      </w:tr>
      <w:tr>
        <w:tc>
          <w:tcPr>
            <w:tcW w:w="1596" w:type="dxa"/>
            <w:noWrap/>
          </w:tcPr>
          <w:p>
            <w:pPr>
              <w:pStyle w:val="yTableNAm"/>
              <w:tabs>
                <w:tab w:val="clear" w:pos="567"/>
                <w:tab w:val="left" w:pos="447"/>
              </w:tabs>
              <w:ind w:left="447" w:hanging="447"/>
              <w:rPr>
                <w:sz w:val="16"/>
                <w:szCs w:val="16"/>
              </w:rPr>
            </w:pPr>
            <w:r>
              <w:rPr>
                <w:sz w:val="16"/>
                <w:szCs w:val="16"/>
              </w:rPr>
              <w:t>(</w:t>
            </w:r>
            <w:r>
              <w:rPr>
                <w:sz w:val="16"/>
              </w:rPr>
              <w:t>f)</w:t>
            </w:r>
            <w:r>
              <w:rPr>
                <w:sz w:val="16"/>
              </w:rPr>
              <w:tab/>
              <w:t>Signature of holder or agent</w:t>
            </w:r>
          </w:p>
        </w:tc>
        <w:tc>
          <w:tcPr>
            <w:tcW w:w="5492" w:type="dxa"/>
            <w:noWrap/>
          </w:tcPr>
          <w:p>
            <w:pPr>
              <w:pStyle w:val="yTHeadingNAm"/>
              <w:rPr>
                <w:b w:val="0"/>
              </w:rPr>
            </w:pPr>
            <w:r>
              <w:rPr>
                <w:b w:val="0"/>
                <w:sz w:val="16"/>
                <w:szCs w:val="16"/>
              </w:rPr>
              <w:t>Signed (f):.......................................................................................</w:t>
            </w:r>
          </w:p>
        </w:tc>
      </w:tr>
      <w:tr>
        <w:tc>
          <w:tcPr>
            <w:tcW w:w="1596" w:type="dxa"/>
            <w:noWrap/>
          </w:tcPr>
          <w:p>
            <w:pPr>
              <w:pStyle w:val="yTableNAm"/>
              <w:tabs>
                <w:tab w:val="clear" w:pos="567"/>
                <w:tab w:val="left" w:pos="447"/>
              </w:tabs>
              <w:ind w:left="447" w:hanging="447"/>
              <w:rPr>
                <w:sz w:val="16"/>
                <w:szCs w:val="16"/>
              </w:rPr>
            </w:pPr>
            <w:r>
              <w:rPr>
                <w:sz w:val="16"/>
                <w:szCs w:val="16"/>
              </w:rPr>
              <w:t>(g)</w:t>
            </w:r>
            <w:r>
              <w:rPr>
                <w:sz w:val="16"/>
                <w:szCs w:val="16"/>
              </w:rPr>
              <w:tab/>
              <w:t>If agent, full name and address of agent</w:t>
            </w:r>
          </w:p>
        </w:tc>
        <w:tc>
          <w:tcPr>
            <w:tcW w:w="5492" w:type="dxa"/>
            <w:noWrap/>
          </w:tcPr>
          <w:p>
            <w:pPr>
              <w:pStyle w:val="yTHeadingNAm"/>
              <w:rPr>
                <w:b w:val="0"/>
              </w:rPr>
            </w:pPr>
            <w:r>
              <w:rPr>
                <w:b w:val="0"/>
                <w:sz w:val="16"/>
                <w:szCs w:val="16"/>
              </w:rPr>
              <w:t>Full name (g):.................................................................................</w:t>
            </w:r>
            <w:r>
              <w:rPr>
                <w:b w:val="0"/>
                <w:sz w:val="16"/>
                <w:szCs w:val="16"/>
              </w:rPr>
              <w:br/>
              <w:t>Address (g):....................................................................................</w:t>
            </w:r>
          </w:p>
        </w:tc>
      </w:tr>
    </w:tbl>
    <w:p>
      <w:pPr>
        <w:pStyle w:val="yTableNAm"/>
        <w:rPr>
          <w:snapToGrid w:val="0"/>
          <w:sz w:val="18"/>
        </w:rPr>
      </w:pPr>
    </w:p>
    <w:tbl>
      <w:tblPr>
        <w:tblStyle w:val="TableGrid"/>
        <w:tblW w:w="0" w:type="auto"/>
        <w:tblInd w:w="108" w:type="dxa"/>
        <w:tblLook w:val="01E0" w:firstRow="1" w:lastRow="1" w:firstColumn="1" w:lastColumn="1" w:noHBand="0" w:noVBand="0"/>
      </w:tblPr>
      <w:tblGrid>
        <w:gridCol w:w="2135"/>
        <w:gridCol w:w="4846"/>
      </w:tblGrid>
      <w:tr>
        <w:tc>
          <w:tcPr>
            <w:tcW w:w="2160" w:type="dxa"/>
            <w:tcBorders>
              <w:top w:val="nil"/>
              <w:left w:val="nil"/>
              <w:bottom w:val="nil"/>
              <w:right w:val="nil"/>
            </w:tcBorders>
            <w:noWrap/>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noWrap/>
          </w:tcPr>
          <w:p>
            <w:pPr>
              <w:pStyle w:val="yTHeadingNAm"/>
              <w:rPr>
                <w:b w:val="0"/>
              </w:rPr>
            </w:pPr>
            <w:r>
              <w:rPr>
                <w:b w:val="0"/>
                <w:sz w:val="18"/>
              </w:rPr>
              <w:t>Received at................................am/pm on.................................. 20.....</w:t>
            </w:r>
          </w:p>
        </w:tc>
      </w:tr>
      <w:tr>
        <w:trPr>
          <w:trHeight w:val="570"/>
        </w:trPr>
        <w:tc>
          <w:tcPr>
            <w:tcW w:w="7068" w:type="dxa"/>
            <w:gridSpan w:val="2"/>
            <w:tcBorders>
              <w:top w:val="nil"/>
              <w:left w:val="nil"/>
              <w:bottom w:val="nil"/>
              <w:right w:val="nil"/>
            </w:tcBorders>
            <w:noWrap/>
          </w:tcPr>
          <w:p>
            <w:pPr>
              <w:pStyle w:val="yTableNAm"/>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18"/>
          <w:szCs w:val="18"/>
        </w:rPr>
      </w:pPr>
      <w:r>
        <w:rPr>
          <w:snapToGrid w:val="0"/>
          <w:sz w:val="18"/>
          <w:szCs w:val="18"/>
        </w:rPr>
        <w:t xml:space="preserve">NOTES: </w:t>
      </w:r>
      <w:r>
        <w:rPr>
          <w:snapToGrid w:val="0"/>
          <w:sz w:val="18"/>
          <w:szCs w:val="18"/>
        </w:rPr>
        <w:tab/>
        <w:t xml:space="preserve">1. </w:t>
      </w:r>
      <w:r>
        <w:rPr>
          <w:snapToGrid w:val="0"/>
          <w:sz w:val="18"/>
          <w:szCs w:val="18"/>
        </w:rPr>
        <w:tab/>
        <w:t>Reporting obligations under the regulations must be complied with to enable consideration of this application.</w:t>
      </w:r>
    </w:p>
    <w:p>
      <w:pPr>
        <w:pStyle w:val="yMiscellaneousBody"/>
        <w:tabs>
          <w:tab w:val="left" w:pos="1134"/>
          <w:tab w:val="left" w:pos="1418"/>
        </w:tabs>
        <w:ind w:left="1418" w:hanging="1134"/>
        <w:rPr>
          <w:snapToGrid w:val="0"/>
          <w:sz w:val="18"/>
          <w:szCs w:val="18"/>
        </w:rPr>
      </w:pPr>
      <w:r>
        <w:rPr>
          <w:snapToGrid w:val="0"/>
          <w:sz w:val="18"/>
          <w:szCs w:val="18"/>
        </w:rPr>
        <w:tab/>
        <w:t>2.</w:t>
      </w:r>
      <w:r>
        <w:rPr>
          <w:snapToGrid w:val="0"/>
          <w:sz w:val="18"/>
          <w:szCs w:val="18"/>
        </w:rPr>
        <w:tab/>
        <w:t xml:space="preserve">If this application is for an extension of a prospecting licence or an exploration licence, or a renewal of a retention licence, any information or other material required by regulation 16B(2), 23A(2) or 23F(2) (whichever </w:t>
      </w:r>
      <w:r>
        <w:rPr>
          <w:snapToGrid w:val="0"/>
          <w:sz w:val="18"/>
          <w:szCs w:val="18"/>
        </w:rPr>
        <w:lastRenderedPageBreak/>
        <w:t>applies) must be lodged before the end of the period of 14 days from the day on which this application is lodged.</w:t>
      </w:r>
    </w:p>
    <w:p>
      <w:pPr>
        <w:pStyle w:val="yFootnotesection"/>
        <w:keepLines w:val="0"/>
        <w:spacing w:before="80"/>
      </w:pPr>
      <w:r>
        <w:tab/>
        <w:t>[Form 9 inserted: Gazette 13 Dec 2019 p. 4238</w:t>
      </w:r>
      <w:r>
        <w:noBreakHyphen/>
        <w:t>9.]</w:t>
      </w:r>
    </w:p>
    <w:p>
      <w:pPr>
        <w:pStyle w:val="yHeading5"/>
        <w:pageBreakBefore/>
        <w:spacing w:before="0" w:after="120"/>
      </w:pPr>
      <w:bookmarkStart w:id="440" w:name="_Toc92809488"/>
      <w:r>
        <w:rPr>
          <w:rStyle w:val="CharSClsNo"/>
        </w:rPr>
        <w:lastRenderedPageBreak/>
        <w:t>Form 10</w:t>
      </w:r>
      <w:r>
        <w:tab/>
        <w:t>General purpose lease</w:t>
      </w:r>
      <w:bookmarkEnd w:id="440"/>
    </w:p>
    <w:p>
      <w:pPr>
        <w:pStyle w:val="yTabl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lastRenderedPageBreak/>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Gazette 2 Oct 1987 p. 3830 and 3837; 3 Feb 2006 p. 524; 15 Jan 2010 p. 122; 18 Mar 2011 p. 925.]</w:t>
      </w:r>
    </w:p>
    <w:p>
      <w:pPr>
        <w:pStyle w:val="yHeading5"/>
        <w:pageBreakBefore/>
        <w:spacing w:before="0" w:after="120"/>
      </w:pPr>
      <w:bookmarkStart w:id="441" w:name="_Toc92809489"/>
      <w:r>
        <w:rPr>
          <w:rStyle w:val="CharSClsNo"/>
        </w:rPr>
        <w:lastRenderedPageBreak/>
        <w:t>Form 11</w:t>
      </w:r>
      <w:r>
        <w:tab/>
        <w:t>Miscellaneous licence</w:t>
      </w:r>
      <w:bookmarkEnd w:id="441"/>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Gazette 2 Oct 1987 p. 3830</w:t>
      </w:r>
      <w:r>
        <w:noBreakHyphen/>
        <w:t>1; amended: Gazette 1 Aug 2008 p. 3456; 15 Jan 2010 p. 122.]</w:t>
      </w:r>
    </w:p>
    <w:p>
      <w:pPr>
        <w:pStyle w:val="yHeading5"/>
        <w:pageBreakBefore/>
        <w:spacing w:before="0" w:after="120"/>
      </w:pPr>
      <w:bookmarkStart w:id="442" w:name="_Toc92809490"/>
      <w:r>
        <w:rPr>
          <w:rStyle w:val="CharSClsNo"/>
        </w:rPr>
        <w:lastRenderedPageBreak/>
        <w:t>Form 12</w:t>
      </w:r>
      <w:r>
        <w:tab/>
        <w:t>Surrender</w:t>
      </w:r>
      <w:bookmarkEnd w:id="442"/>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spacing w:val="-2"/>
                <w:sz w:val="18"/>
              </w:rPr>
              <w:t>(g)</w:t>
            </w:r>
          </w:p>
        </w:tc>
      </w:tr>
    </w:tbl>
    <w:p>
      <w:pPr>
        <w:pStyle w:val="yMiscellaneousBody"/>
        <w:spacing w:before="0"/>
      </w:pPr>
    </w:p>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Gazette 2 Oct 1987 p. 3831; 15 Jan 2010 p. 122; 9 Nov 2012 p. 5421-2.]</w:t>
      </w:r>
    </w:p>
    <w:p>
      <w:pPr>
        <w:pStyle w:val="yHeading5"/>
        <w:pageBreakBefore/>
        <w:spacing w:before="0" w:after="120"/>
      </w:pPr>
      <w:bookmarkStart w:id="443" w:name="_Toc92809491"/>
      <w:r>
        <w:rPr>
          <w:rStyle w:val="CharSClsNo"/>
        </w:rPr>
        <w:lastRenderedPageBreak/>
        <w:t>Form 13</w:t>
      </w:r>
      <w:r>
        <w:tab/>
        <w:t>Notice of re</w:t>
      </w:r>
      <w:r>
        <w:noBreakHyphen/>
        <w:t>marking</w:t>
      </w:r>
      <w:bookmarkEnd w:id="443"/>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Gazette 15 Jan 2010 p. 122.]</w:t>
      </w:r>
    </w:p>
    <w:p>
      <w:pPr>
        <w:pStyle w:val="yHeading5"/>
        <w:pageBreakBefore/>
        <w:spacing w:before="0" w:after="120"/>
      </w:pPr>
      <w:bookmarkStart w:id="444" w:name="_Toc92809492"/>
      <w:r>
        <w:rPr>
          <w:rStyle w:val="CharSClsNo"/>
        </w:rPr>
        <w:lastRenderedPageBreak/>
        <w:t>Form 14</w:t>
      </w:r>
      <w:r>
        <w:tab/>
        <w:t>Partial surrender</w:t>
      </w:r>
      <w:bookmarkEnd w:id="44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keepNext/>
              <w:rPr>
                <w:sz w:val="18"/>
              </w:rPr>
            </w:pPr>
            <w:r>
              <w:rPr>
                <w:sz w:val="18"/>
              </w:rPr>
              <w:lastRenderedPageBreak/>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Gazette 31 May 1991 p. 2701</w:t>
      </w:r>
      <w:r>
        <w:noBreakHyphen/>
        <w:t>2; amended: Gazette 15 Jan 2010 p. 123; 9 Nov 2012 p. 5422-3.]</w:t>
      </w:r>
    </w:p>
    <w:p>
      <w:pPr>
        <w:pStyle w:val="yHeading5"/>
        <w:pageBreakBefore/>
        <w:spacing w:before="0" w:after="120"/>
      </w:pPr>
      <w:bookmarkStart w:id="445" w:name="_Toc92809493"/>
      <w:r>
        <w:rPr>
          <w:rStyle w:val="CharSClsNo"/>
        </w:rPr>
        <w:lastRenderedPageBreak/>
        <w:t>Form 15</w:t>
      </w:r>
      <w:r>
        <w:tab/>
        <w:t>Application for forfeiture under section 96(1)(a)</w:t>
      </w:r>
      <w:bookmarkEnd w:id="445"/>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Gazette 9 Mar 2007 p. 905; 15 Jan 2010 p. 123.]</w:t>
      </w:r>
    </w:p>
    <w:p>
      <w:pPr>
        <w:pStyle w:val="yHeading5"/>
        <w:pageBreakBefore/>
        <w:spacing w:before="0" w:after="120"/>
      </w:pPr>
      <w:bookmarkStart w:id="446" w:name="_Toc92809494"/>
      <w:r>
        <w:rPr>
          <w:rStyle w:val="CharSClsNo"/>
        </w:rPr>
        <w:lastRenderedPageBreak/>
        <w:t>Form 16</w:t>
      </w:r>
      <w:r>
        <w:tab/>
        <w:t>Objection</w:t>
      </w:r>
      <w:bookmarkEnd w:id="446"/>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9pt"/>
              <w:ind w:hanging="284"/>
            </w:pPr>
            <w:r>
              <w:t>(e)</w:t>
            </w:r>
            <w:r>
              <w:tab/>
              <w:t>Signature of objector/lawyer/</w:t>
            </w:r>
            <w:r>
              <w:br/>
              <w:t>authorised representative (see Notes 1 and 1A)</w:t>
            </w:r>
          </w:p>
          <w:p>
            <w:pPr>
              <w:pStyle w:val="yTableNAm9pt"/>
              <w:ind w:hanging="284"/>
            </w:pP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10pt"/>
      </w:pPr>
      <w:r>
        <w:tab/>
        <w:t xml:space="preserve">1A. </w:t>
      </w:r>
      <w:r>
        <w:tab/>
        <w:t>If this form is signed by an agent of the objector, the agent must state the agent’s full name.</w:t>
      </w:r>
    </w:p>
    <w:p>
      <w:pPr>
        <w:pStyle w:val="zyMiscellaneousBody"/>
        <w:tabs>
          <w:tab w:val="left" w:pos="1134"/>
          <w:tab w:val="left" w:pos="1418"/>
        </w:tabs>
        <w:ind w:left="1418" w:hanging="1134"/>
        <w:rPr>
          <w:snapToGrid w:val="0"/>
          <w:sz w:val="20"/>
        </w:rPr>
      </w:pPr>
      <w:r>
        <w:rPr>
          <w:snapToGrid w:val="0"/>
          <w:sz w:val="20"/>
        </w:rPr>
        <w:lastRenderedPageBreak/>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Gazette 9 Mar 2007 p. 905</w:t>
      </w:r>
      <w:r>
        <w:noBreakHyphen/>
        <w:t>6; amended: Gazette 15 Jan 2010 p. 123; 9 Nov 2012 p. 5423-4; SL 2020/119 r. 12.]</w:t>
      </w:r>
    </w:p>
    <w:p>
      <w:pPr>
        <w:pStyle w:val="yEdnotesection"/>
        <w:spacing w:before="120"/>
        <w:outlineLvl w:val="9"/>
      </w:pPr>
      <w:r>
        <w:t>[Form 16A deleted: Gazette 4 Apr 1997 p. 1780.]</w:t>
      </w:r>
    </w:p>
    <w:p>
      <w:pPr>
        <w:pStyle w:val="yHeading5"/>
        <w:pageBreakBefore/>
        <w:spacing w:before="0" w:after="120"/>
      </w:pPr>
      <w:bookmarkStart w:id="447" w:name="_Toc92809495"/>
      <w:r>
        <w:rPr>
          <w:rStyle w:val="CharSClsNo"/>
        </w:rPr>
        <w:lastRenderedPageBreak/>
        <w:t>Form 17</w:t>
      </w:r>
      <w:r>
        <w:tab/>
        <w:t>Application for restoration</w:t>
      </w:r>
      <w:bookmarkEnd w:id="447"/>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lastRenderedPageBreak/>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Gazette 2 Oct 1987 p. 3831</w:t>
      </w:r>
      <w:r>
        <w:noBreakHyphen/>
        <w:t>2; amended: Gazette 4 Apr 1997 p. 1780; 15 Jan 2010 p. 123; 18 Mar 2011 p. 925; 9 Nov 2012 p. 5424-5.]</w:t>
      </w:r>
    </w:p>
    <w:p>
      <w:pPr>
        <w:pStyle w:val="yHeading5"/>
        <w:pageBreakBefore/>
        <w:spacing w:before="0" w:after="120"/>
      </w:pPr>
      <w:bookmarkStart w:id="448" w:name="_Toc92809496"/>
      <w:r>
        <w:rPr>
          <w:rStyle w:val="CharSClsNo"/>
        </w:rPr>
        <w:lastRenderedPageBreak/>
        <w:t>Form 18</w:t>
      </w:r>
      <w:r>
        <w:tab/>
        <w:t>Application for exemption</w:t>
      </w:r>
      <w:bookmarkEnd w:id="448"/>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lastRenderedPageBreak/>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Footnotesection"/>
      </w:pPr>
      <w:r>
        <w:tab/>
        <w:t>[Form 18 inserted: Gazette 17 Jan 2003 p. 107</w:t>
      </w:r>
      <w:r>
        <w:noBreakHyphen/>
        <w:t>8; amended: Gazette 3 Feb 2006 p. 603; 15 Jan 2010 p. 123; 18 Mar 2011 p. 925; 9 Nov 2012 p. 5426-7; SL 2020/108 r. 8.]</w:t>
      </w:r>
    </w:p>
    <w:p>
      <w:pPr>
        <w:pStyle w:val="yHeading5"/>
        <w:pageBreakBefore/>
        <w:spacing w:before="0" w:after="120"/>
      </w:pPr>
      <w:bookmarkStart w:id="449" w:name="_Toc92809497"/>
      <w:r>
        <w:rPr>
          <w:rStyle w:val="CharSClsNo"/>
        </w:rPr>
        <w:lastRenderedPageBreak/>
        <w:t>Form 19</w:t>
      </w:r>
      <w:r>
        <w:tab/>
        <w:t>Certificate of exemption</w:t>
      </w:r>
      <w:bookmarkEnd w:id="449"/>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Minister</w:t>
            </w:r>
          </w:p>
        </w:tc>
      </w:tr>
    </w:tbl>
    <w:p>
      <w:pPr>
        <w:pStyle w:val="yFootnotesection"/>
      </w:pPr>
      <w:r>
        <w:tab/>
        <w:t>[Form 19 inserted: Gazette 17 Jan 2003 p. 108</w:t>
      </w:r>
      <w:r>
        <w:noBreakHyphen/>
        <w:t>9; amended: Gazette 15 Jan 2010 p. 124; 13 Dec 2019 p. 4239.]</w:t>
      </w:r>
    </w:p>
    <w:p>
      <w:pPr>
        <w:pStyle w:val="yHeading5"/>
        <w:pageBreakBefore/>
        <w:spacing w:before="0" w:after="120"/>
      </w:pPr>
      <w:bookmarkStart w:id="450" w:name="_Toc92809498"/>
      <w:r>
        <w:rPr>
          <w:rStyle w:val="CharSClsNo"/>
        </w:rPr>
        <w:lastRenderedPageBreak/>
        <w:t>Form 20</w:t>
      </w:r>
      <w:r>
        <w:tab/>
        <w:t>Notice of marking out</w:t>
      </w:r>
      <w:bookmarkEnd w:id="450"/>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Gazette 2 Oct 1987 p. 3833; 15 Jan 2010 p. 124; 9 Nov 2012 p. 5427-8.]</w:t>
      </w:r>
    </w:p>
    <w:p>
      <w:pPr>
        <w:pStyle w:val="yHeading5"/>
        <w:pageBreakBefore/>
        <w:spacing w:before="0" w:after="120"/>
      </w:pPr>
      <w:bookmarkStart w:id="451" w:name="_Toc92809499"/>
      <w:r>
        <w:rPr>
          <w:rStyle w:val="CharSClsNo"/>
        </w:rPr>
        <w:lastRenderedPageBreak/>
        <w:t>Form 21</w:t>
      </w:r>
      <w:r>
        <w:tab/>
        <w:t>Application for mining tenement</w:t>
      </w:r>
      <w:bookmarkEnd w:id="451"/>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lastRenderedPageBreak/>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lastRenderedPageBreak/>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szCs w:val="10"/>
                                    </w:rPr>
                                  </w:pPr>
                                  <w:r>
                                    <w:rPr>
                                      <w:sz w:val="10"/>
                                      <w:szCs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szCs w:val="10"/>
                              </w:rPr>
                            </w:pPr>
                            <w:r>
                              <w:rPr>
                                <w:sz w:val="10"/>
                                <w:szCs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yMiscellaneousBody"/>
                                    <w:spacing w:before="10"/>
                                    <w:ind w:left="28"/>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pStyle w:val="yMiscellaneousBody"/>
                              <w:spacing w:before="10"/>
                              <w:ind w:left="28"/>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p>
                                  <w:pPr>
                                    <w:pStyle w:val="yMiscellaneousBod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p>
                            <w:pPr>
                              <w:pStyle w:val="yMiscellaneousBody"/>
                            </w:pPr>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pStyle w:val="yMiscellaneousBody"/>
                                    <w:spacing w:before="10"/>
                                    <w:ind w:left="28"/>
                                    <w:rPr>
                                      <w:sz w:val="10"/>
                                    </w:rPr>
                                  </w:pPr>
                                  <w:r>
                                    <w:rPr>
                                      <w:sz w:val="10"/>
                                      <w:szCs w:val="10"/>
                                    </w:rPr>
                                    <w:t>PRIMARY</w:t>
                                  </w:r>
                                  <w:r>
                                    <w:rPr>
                                      <w:sz w:val="10"/>
                                    </w:rPr>
                                    <w:t xml:space="preserve">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pStyle w:val="yMiscellaneousBody"/>
                              <w:spacing w:before="10"/>
                              <w:ind w:left="28"/>
                              <w:rPr>
                                <w:sz w:val="10"/>
                              </w:rPr>
                            </w:pPr>
                            <w:r>
                              <w:rPr>
                                <w:sz w:val="10"/>
                                <w:szCs w:val="10"/>
                              </w:rPr>
                              <w:t>PRIMARY</w:t>
                            </w:r>
                            <w:r>
                              <w:rPr>
                                <w:sz w:val="10"/>
                              </w:rPr>
                              <w:t xml:space="preserve">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lastRenderedPageBreak/>
        <w:tab/>
        <w:t>[Form 21 inserted: Gazette 24 Jun 1994 p. 2940</w:t>
      </w:r>
      <w:r>
        <w:noBreakHyphen/>
        <w:t>2; amended: Gazette 13 Oct 1995 p. 4823; 4 Apr 1997 p. 1780; 15 Jan 2010 p. 124; 18 Mar 2011 p. 925; 9 Nov 2012 p. 5428-9.]</w:t>
      </w:r>
    </w:p>
    <w:p>
      <w:pPr>
        <w:pStyle w:val="yEdnotesection"/>
        <w:tabs>
          <w:tab w:val="clear" w:pos="893"/>
        </w:tabs>
        <w:spacing w:after="80"/>
        <w:ind w:left="0" w:firstLine="0"/>
        <w:outlineLvl w:val="9"/>
      </w:pPr>
      <w:r>
        <w:t>[Form 21A deleted: Gazette 31 May 1991 p. 2705.]</w:t>
      </w:r>
    </w:p>
    <w:p>
      <w:pPr>
        <w:pStyle w:val="yHeading5"/>
        <w:pageBreakBefore/>
        <w:spacing w:before="0" w:after="120"/>
      </w:pPr>
      <w:bookmarkStart w:id="452" w:name="_Toc92809500"/>
      <w:r>
        <w:rPr>
          <w:rStyle w:val="CharSClsNo"/>
        </w:rPr>
        <w:lastRenderedPageBreak/>
        <w:t>Form 22</w:t>
      </w:r>
      <w:r>
        <w:tab/>
        <w:t>Withdrawal</w:t>
      </w:r>
      <w:bookmarkEnd w:id="452"/>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highlight w:val="cyan"/>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821"/>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Gazette 2 Oct 1987 p. 3835; 15 Jan 2010 p. 125; 9 Nov 2012 p. 5429-30.]</w:t>
      </w:r>
    </w:p>
    <w:p>
      <w:pPr>
        <w:pStyle w:val="yHeading5"/>
        <w:pageBreakBefore/>
        <w:spacing w:before="0" w:after="120"/>
      </w:pPr>
      <w:bookmarkStart w:id="453" w:name="_Toc92809501"/>
      <w:r>
        <w:rPr>
          <w:rStyle w:val="CharSClsNo"/>
        </w:rPr>
        <w:lastRenderedPageBreak/>
        <w:t>Form 23</w:t>
      </w:r>
      <w:r>
        <w:tab/>
        <w:t>Transfer</w:t>
      </w:r>
      <w:bookmarkEnd w:id="453"/>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lastRenderedPageBreak/>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Gazette 3 Feb 2006 p. 524-5; amended: Gazette 9 Mar 2007 p. 906; 15 Jan 2010 p. 125; 9 Nov 2012 p. 5431</w:t>
      </w:r>
      <w:r>
        <w:noBreakHyphen/>
        <w:t>2.]</w:t>
      </w:r>
    </w:p>
    <w:p>
      <w:pPr>
        <w:pStyle w:val="yHeading5"/>
        <w:pageBreakBefore/>
        <w:spacing w:before="0" w:after="120"/>
        <w:rPr>
          <w:sz w:val="18"/>
        </w:rPr>
      </w:pPr>
      <w:bookmarkStart w:id="454" w:name="_Toc92809502"/>
      <w:r>
        <w:rPr>
          <w:rStyle w:val="CharSClsNo"/>
        </w:rPr>
        <w:lastRenderedPageBreak/>
        <w:t>Form 24</w:t>
      </w:r>
      <w:r>
        <w:tab/>
        <w:t>Caveat</w:t>
      </w:r>
      <w:bookmarkEnd w:id="45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highlight w:val="cyan"/>
              </w:rPr>
            </w:pPr>
          </w:p>
        </w:tc>
      </w:tr>
      <w:tr>
        <w:trPr>
          <w:cantSplit/>
        </w:trPr>
        <w:tc>
          <w:tcPr>
            <w:tcW w:w="1920" w:type="dxa"/>
          </w:tcPr>
          <w:p>
            <w:pPr>
              <w:pStyle w:val="yTable"/>
              <w:spacing w:line="160" w:lineRule="atLeast"/>
              <w:ind w:left="306" w:hanging="426"/>
              <w:rPr>
                <w:sz w:val="16"/>
              </w:rPr>
            </w:pPr>
            <w:r>
              <w:rPr>
                <w:sz w:val="16"/>
              </w:rPr>
              <w:lastRenderedPageBreak/>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Gazette 3 Feb 2006 p. 525-6; amended: Gazette 15 Jan 2010 p. 126; 9 Nov 2012 p. 5432-3.]</w:t>
      </w:r>
    </w:p>
    <w:p>
      <w:pPr>
        <w:pStyle w:val="yHeading5"/>
        <w:pageBreakBefore/>
        <w:spacing w:before="0" w:after="60"/>
      </w:pPr>
      <w:bookmarkStart w:id="455" w:name="_Toc92809503"/>
      <w:r>
        <w:rPr>
          <w:rStyle w:val="CharSClsNo"/>
        </w:rPr>
        <w:lastRenderedPageBreak/>
        <w:t>Form 24A</w:t>
      </w:r>
      <w:r>
        <w:tab/>
        <w:t>Withdrawal of caveat</w:t>
      </w:r>
      <w:bookmarkEnd w:id="455"/>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Gazette 3 Feb 2006 p. 526-7; amended: Gazette 15 Jan 2010 p. 126; 9 Nov 2012 p. 5433-5.]</w:t>
      </w:r>
    </w:p>
    <w:p>
      <w:pPr>
        <w:pStyle w:val="yHeading5"/>
        <w:pageBreakBefore/>
        <w:spacing w:before="0" w:after="120"/>
      </w:pPr>
      <w:bookmarkStart w:id="456" w:name="_Toc92809504"/>
      <w:r>
        <w:rPr>
          <w:rStyle w:val="CharSClsNo"/>
        </w:rPr>
        <w:lastRenderedPageBreak/>
        <w:t>Form 25</w:t>
      </w:r>
      <w:r>
        <w:tab/>
        <w:t>Mortgage</w:t>
      </w:r>
      <w:bookmarkEnd w:id="456"/>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Gazette 2 Oct 1987 p. 3835; 3 Feb 2006 p. 527; 15 Jan 2010 p.  126; 9 Nov 2012 p. 5435-6.]</w:t>
      </w:r>
    </w:p>
    <w:p>
      <w:pPr>
        <w:pStyle w:val="yHeading5"/>
        <w:pageBreakBefore/>
        <w:spacing w:before="0" w:after="120"/>
      </w:pPr>
      <w:bookmarkStart w:id="457" w:name="_Toc92809505"/>
      <w:r>
        <w:rPr>
          <w:rStyle w:val="CharSClsNo"/>
        </w:rPr>
        <w:lastRenderedPageBreak/>
        <w:t>Form 26</w:t>
      </w:r>
      <w:r>
        <w:tab/>
        <w:t>Discharge of mortgage</w:t>
      </w:r>
      <w:bookmarkEnd w:id="457"/>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pPr>
        <w:pStyle w:val="yMiscellaneousBody"/>
        <w:spacing w:before="0"/>
      </w:pPr>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lastRenderedPageBreak/>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Gazette 15 Jan 2010 p.  126; 9 Nov 2012 p. 5436-7.]</w:t>
      </w:r>
    </w:p>
    <w:p>
      <w:pPr>
        <w:pStyle w:val="yHeading5"/>
        <w:pageBreakBefore/>
        <w:tabs>
          <w:tab w:val="clear" w:pos="879"/>
          <w:tab w:val="left" w:pos="1140"/>
        </w:tabs>
        <w:spacing w:before="0" w:after="120"/>
      </w:pPr>
      <w:bookmarkStart w:id="458" w:name="_Toc92809506"/>
      <w:r>
        <w:rPr>
          <w:rStyle w:val="CharSClsNo"/>
        </w:rPr>
        <w:lastRenderedPageBreak/>
        <w:t>Form 26A</w:t>
      </w:r>
      <w:r>
        <w:tab/>
        <w:t>Partial discharge of mortgage</w:t>
      </w:r>
      <w:bookmarkEnd w:id="45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Gazette 31 Jul 1992 p. 3779</w:t>
      </w:r>
      <w:r>
        <w:noBreakHyphen/>
        <w:t>80; amended: Gazette 15 Jan 2010 p. 126; 9 Nov 2012 p. 5437-9.]</w:t>
      </w:r>
    </w:p>
    <w:p>
      <w:pPr>
        <w:pStyle w:val="yHeading5"/>
        <w:pageBreakBefore/>
        <w:tabs>
          <w:tab w:val="clear" w:pos="879"/>
          <w:tab w:val="left" w:pos="1083"/>
        </w:tabs>
        <w:spacing w:before="0" w:after="120"/>
      </w:pPr>
      <w:bookmarkStart w:id="459" w:name="_Toc92809507"/>
      <w:r>
        <w:rPr>
          <w:rStyle w:val="CharSClsNo"/>
        </w:rPr>
        <w:lastRenderedPageBreak/>
        <w:t>Form 26B</w:t>
      </w:r>
      <w:r>
        <w:tab/>
        <w:t>Tax memorial</w:t>
      </w:r>
      <w:bookmarkEnd w:id="45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Gazette 15 Jan 2010 p. 127-8; amended: Gazette 9 Nov 2012 p. 5439-40.]</w:t>
      </w:r>
    </w:p>
    <w:p>
      <w:pPr>
        <w:pStyle w:val="yHeading5"/>
        <w:pageBreakBefore/>
        <w:tabs>
          <w:tab w:val="clear" w:pos="879"/>
          <w:tab w:val="left" w:pos="1140"/>
        </w:tabs>
        <w:spacing w:before="0" w:after="120"/>
      </w:pPr>
      <w:bookmarkStart w:id="460" w:name="_Toc92809508"/>
      <w:r>
        <w:rPr>
          <w:rStyle w:val="CharSClsNo"/>
        </w:rPr>
        <w:lastRenderedPageBreak/>
        <w:t>Form 26C</w:t>
      </w:r>
      <w:r>
        <w:tab/>
        <w:t>Withdrawal of memorial</w:t>
      </w:r>
      <w:bookmarkEnd w:id="460"/>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r>
              <w:rPr>
                <w:sz w:val="18"/>
              </w:rPr>
              <w:t>WESTERN AUSTRALIA</w:t>
            </w:r>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Gazette 15 Jan 2010 p. 128-9; amended: Gazette 9 Nov 2012 p. 5439-40.]</w:t>
      </w:r>
    </w:p>
    <w:p>
      <w:pPr>
        <w:pStyle w:val="yEdnotesection"/>
        <w:tabs>
          <w:tab w:val="clear" w:pos="893"/>
        </w:tabs>
        <w:spacing w:after="80"/>
        <w:ind w:left="0" w:firstLine="0"/>
        <w:outlineLvl w:val="9"/>
      </w:pPr>
      <w:r>
        <w:t>[Forms 27 and 27A deleted: Gazette 19 Jun 2012 p. 2651.]</w:t>
      </w:r>
    </w:p>
    <w:p>
      <w:pPr>
        <w:pStyle w:val="yHeading5"/>
        <w:pageBreakBefore/>
        <w:spacing w:before="0" w:after="120"/>
      </w:pPr>
      <w:bookmarkStart w:id="461" w:name="_Toc92809509"/>
      <w:r>
        <w:rPr>
          <w:rStyle w:val="CharSClsNo"/>
        </w:rPr>
        <w:lastRenderedPageBreak/>
        <w:t>Form 28</w:t>
      </w:r>
      <w:r>
        <w:tab/>
        <w:t>Devolution</w:t>
      </w:r>
      <w:bookmarkEnd w:id="46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Gazette 2 Oct 1987 p. 3835; 31 May 1991 p. 2705</w:t>
      </w:r>
      <w:r>
        <w:noBreakHyphen/>
        <w:t>6; 3 Feb 2006 p. 528; 15 Jan 2010 p. 130; 9 Nov 2012 p. 5440-1.]</w:t>
      </w:r>
    </w:p>
    <w:p>
      <w:pPr>
        <w:pStyle w:val="yHeading5"/>
      </w:pPr>
      <w:bookmarkStart w:id="462" w:name="_Toc92809510"/>
      <w:r>
        <w:rPr>
          <w:rStyle w:val="CharSClsNo"/>
        </w:rPr>
        <w:lastRenderedPageBreak/>
        <w:t>Form 29</w:t>
      </w:r>
      <w:r>
        <w:tab/>
        <w:t>Application for copy document</w:t>
      </w:r>
      <w:bookmarkEnd w:id="462"/>
    </w:p>
    <w:tbl>
      <w:tblPr>
        <w:tblW w:w="0" w:type="auto"/>
        <w:tblInd w:w="120" w:type="dxa"/>
        <w:tblLayout w:type="fixed"/>
        <w:tblCellMar>
          <w:left w:w="120" w:type="dxa"/>
          <w:right w:w="120" w:type="dxa"/>
        </w:tblCellMar>
        <w:tblLook w:val="0000" w:firstRow="0" w:lastRow="0" w:firstColumn="0" w:lastColumn="0" w:noHBand="0" w:noVBand="0"/>
      </w:tblPr>
      <w:tblGrid>
        <w:gridCol w:w="2030"/>
        <w:gridCol w:w="5058"/>
      </w:tblGrid>
      <w:tr>
        <w:trPr>
          <w:cantSplit/>
        </w:trPr>
        <w:tc>
          <w:tcPr>
            <w:tcW w:w="2030" w:type="dxa"/>
            <w:noWrap/>
          </w:tcPr>
          <w:p>
            <w:pPr>
              <w:pStyle w:val="yTableNAm"/>
              <w:keepNext/>
              <w:spacing w:before="0"/>
              <w:rPr>
                <w:sz w:val="18"/>
                <w:szCs w:val="18"/>
              </w:rPr>
            </w:pPr>
            <w:r>
              <w:rPr>
                <w:sz w:val="18"/>
                <w:szCs w:val="18"/>
              </w:rPr>
              <w:t>Form 29</w:t>
            </w:r>
          </w:p>
        </w:tc>
        <w:tc>
          <w:tcPr>
            <w:tcW w:w="5058" w:type="dxa"/>
            <w:noWrap/>
          </w:tcPr>
          <w:p>
            <w:pPr>
              <w:pStyle w:val="yTableNAm"/>
              <w:keepNext/>
              <w:spacing w:before="0"/>
              <w:rPr>
                <w:sz w:val="18"/>
                <w:szCs w:val="18"/>
              </w:rPr>
            </w:pPr>
            <w:r>
              <w:rPr>
                <w:sz w:val="18"/>
                <w:szCs w:val="18"/>
              </w:rPr>
              <w:t>WESTERN AUSTRALIA</w:t>
            </w:r>
          </w:p>
          <w:p>
            <w:pPr>
              <w:pStyle w:val="yTableNAm"/>
              <w:keepNext/>
              <w:spacing w:before="0"/>
              <w:rPr>
                <w:sz w:val="18"/>
                <w:szCs w:val="18"/>
              </w:rPr>
            </w:pPr>
            <w:r>
              <w:rPr>
                <w:i/>
                <w:sz w:val="18"/>
                <w:szCs w:val="18"/>
              </w:rPr>
              <w:t>Mining Act 1978</w:t>
            </w:r>
          </w:p>
          <w:p>
            <w:pPr>
              <w:pStyle w:val="yTableNAm"/>
              <w:keepNext/>
              <w:spacing w:before="0"/>
              <w:rPr>
                <w:sz w:val="18"/>
                <w:szCs w:val="18"/>
              </w:rPr>
            </w:pPr>
            <w:r>
              <w:rPr>
                <w:sz w:val="18"/>
                <w:szCs w:val="18"/>
              </w:rPr>
              <w:t>(r. 105)</w:t>
            </w:r>
          </w:p>
        </w:tc>
      </w:tr>
      <w:tr>
        <w:trPr>
          <w:cantSplit/>
        </w:trPr>
        <w:tc>
          <w:tcPr>
            <w:tcW w:w="2030" w:type="dxa"/>
            <w:noWrap/>
          </w:tcPr>
          <w:p>
            <w:pPr>
              <w:pStyle w:val="yTableNAm"/>
              <w:keepNext/>
              <w:rPr>
                <w:sz w:val="18"/>
                <w:szCs w:val="18"/>
              </w:rPr>
            </w:pPr>
            <w:r>
              <w:rPr>
                <w:sz w:val="18"/>
                <w:szCs w:val="18"/>
              </w:rPr>
              <w:fldChar w:fldCharType="begin"/>
            </w:r>
            <w:r>
              <w:rPr>
                <w:sz w:val="18"/>
                <w:szCs w:val="18"/>
              </w:rPr>
              <w:instrText>ADVANCE \U 2.80</w:instrText>
            </w:r>
            <w:r>
              <w:rPr>
                <w:sz w:val="18"/>
                <w:szCs w:val="18"/>
              </w:rPr>
              <w:fldChar w:fldCharType="end"/>
            </w:r>
          </w:p>
        </w:tc>
        <w:tc>
          <w:tcPr>
            <w:tcW w:w="5058" w:type="dxa"/>
            <w:noWrap/>
          </w:tcPr>
          <w:p>
            <w:pPr>
              <w:pStyle w:val="yTableNAm"/>
              <w:keepNext/>
              <w:rPr>
                <w:sz w:val="18"/>
                <w:szCs w:val="18"/>
              </w:rPr>
            </w:pPr>
            <w:r>
              <w:rPr>
                <w:b/>
                <w:sz w:val="18"/>
                <w:szCs w:val="18"/>
              </w:rPr>
              <w:t xml:space="preserve">APPLICATION FOR COPY </w:t>
            </w:r>
            <w:r>
              <w:rPr>
                <w:b/>
                <w:sz w:val="18"/>
                <w:szCs w:val="18"/>
              </w:rPr>
              <w:br/>
              <w:t>DOCUMENT</w:t>
            </w:r>
            <w:r>
              <w:rPr>
                <w:sz w:val="18"/>
                <w:szCs w:val="18"/>
              </w:rPr>
              <w:tab/>
              <w:t xml:space="preserve">No.          </w:t>
            </w:r>
          </w:p>
        </w:tc>
      </w:tr>
      <w:tr>
        <w:trPr>
          <w:cantSplit/>
        </w:trPr>
        <w:tc>
          <w:tcPr>
            <w:tcW w:w="2030" w:type="dxa"/>
            <w:noWrap/>
          </w:tcPr>
          <w:p>
            <w:pPr>
              <w:pStyle w:val="yTableNAm"/>
              <w:tabs>
                <w:tab w:val="clear" w:pos="567"/>
                <w:tab w:val="left" w:pos="447"/>
              </w:tabs>
              <w:ind w:left="447" w:hanging="447"/>
              <w:rPr>
                <w:sz w:val="18"/>
                <w:szCs w:val="18"/>
              </w:rPr>
            </w:pPr>
            <w:r>
              <w:rPr>
                <w:sz w:val="18"/>
                <w:szCs w:val="18"/>
              </w:rPr>
              <w:t>(a)</w:t>
            </w:r>
            <w:r>
              <w:rPr>
                <w:sz w:val="18"/>
                <w:szCs w:val="18"/>
              </w:rPr>
              <w:tab/>
              <w:t>Name of applicant</w:t>
            </w:r>
          </w:p>
          <w:p>
            <w:pPr>
              <w:pStyle w:val="yTableNAm"/>
              <w:rPr>
                <w:sz w:val="18"/>
                <w:szCs w:val="18"/>
              </w:rPr>
            </w:pPr>
          </w:p>
          <w:p>
            <w:pPr>
              <w:pStyle w:val="yTableNAm"/>
              <w:tabs>
                <w:tab w:val="clear" w:pos="567"/>
                <w:tab w:val="left" w:pos="447"/>
              </w:tabs>
              <w:ind w:left="448" w:hanging="448"/>
              <w:rPr>
                <w:sz w:val="18"/>
                <w:szCs w:val="18"/>
              </w:rPr>
            </w:pPr>
            <w:r>
              <w:rPr>
                <w:sz w:val="18"/>
                <w:szCs w:val="18"/>
              </w:rPr>
              <w:t>(b)</w:t>
            </w:r>
            <w:r>
              <w:rPr>
                <w:sz w:val="18"/>
                <w:szCs w:val="18"/>
              </w:rPr>
              <w:tab/>
              <w:t>Address of applicant</w:t>
            </w:r>
          </w:p>
          <w:p>
            <w:pPr>
              <w:pStyle w:val="yTableNAm"/>
              <w:rPr>
                <w:sz w:val="18"/>
                <w:szCs w:val="18"/>
              </w:rPr>
            </w:pPr>
          </w:p>
          <w:p>
            <w:pPr>
              <w:pStyle w:val="yTableNAm"/>
              <w:rPr>
                <w:sz w:val="18"/>
                <w:szCs w:val="18"/>
              </w:rPr>
            </w:pPr>
          </w:p>
        </w:tc>
        <w:tc>
          <w:tcPr>
            <w:tcW w:w="5058" w:type="dxa"/>
            <w:noWrap/>
          </w:tcPr>
          <w:p>
            <w:pPr>
              <w:pStyle w:val="yTableNAm"/>
              <w:rPr>
                <w:sz w:val="18"/>
                <w:szCs w:val="18"/>
              </w:rPr>
            </w:pPr>
            <w:r>
              <w:rPr>
                <w:sz w:val="18"/>
                <w:szCs w:val="18"/>
              </w:rPr>
              <w:t>(a)</w:t>
            </w:r>
          </w:p>
          <w:p>
            <w:pPr>
              <w:pStyle w:val="yTableNAm"/>
              <w:rPr>
                <w:sz w:val="18"/>
                <w:szCs w:val="18"/>
              </w:rPr>
            </w:pPr>
          </w:p>
          <w:p>
            <w:pPr>
              <w:pStyle w:val="yTableNAm"/>
              <w:rPr>
                <w:sz w:val="18"/>
                <w:szCs w:val="18"/>
              </w:rPr>
            </w:pPr>
            <w:r>
              <w:rPr>
                <w:sz w:val="18"/>
                <w:szCs w:val="18"/>
              </w:rPr>
              <w:t>of (b)</w:t>
            </w:r>
          </w:p>
          <w:p>
            <w:pPr>
              <w:pStyle w:val="yTableNAm"/>
              <w:rPr>
                <w:sz w:val="18"/>
                <w:szCs w:val="18"/>
              </w:rPr>
            </w:pPr>
          </w:p>
          <w:p>
            <w:pPr>
              <w:pStyle w:val="yTableNAm"/>
              <w:rPr>
                <w:sz w:val="18"/>
                <w:szCs w:val="18"/>
              </w:rPr>
            </w:pPr>
            <w:r>
              <w:rPr>
                <w:sz w:val="18"/>
                <w:szCs w:val="18"/>
              </w:rPr>
              <w:t>requests that a copy of the document described below be issued.</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(c)</w:t>
            </w:r>
            <w:r>
              <w:rPr>
                <w:sz w:val="18"/>
                <w:szCs w:val="18"/>
              </w:rPr>
              <w:tab/>
              <w:t>Description of document</w:t>
            </w:r>
          </w:p>
        </w:tc>
        <w:tc>
          <w:tcPr>
            <w:tcW w:w="5058" w:type="dxa"/>
            <w:tcBorders>
              <w:top w:val="single" w:sz="7" w:space="0" w:color="auto"/>
              <w:left w:val="single" w:sz="7" w:space="0" w:color="auto"/>
              <w:right w:val="single" w:sz="7" w:space="0" w:color="auto"/>
            </w:tcBorders>
            <w:noWrap/>
          </w:tcPr>
          <w:p>
            <w:pPr>
              <w:pStyle w:val="yTableNAm"/>
              <w:rPr>
                <w:sz w:val="18"/>
                <w:szCs w:val="18"/>
              </w:rPr>
            </w:pPr>
            <w:r>
              <w:rPr>
                <w:b/>
                <w:sz w:val="18"/>
                <w:szCs w:val="18"/>
              </w:rPr>
              <w:t>Details of document</w:t>
            </w:r>
          </w:p>
          <w:p>
            <w:pPr>
              <w:pStyle w:val="yTableNAm"/>
              <w:rPr>
                <w:sz w:val="18"/>
                <w:szCs w:val="18"/>
              </w:rPr>
            </w:pPr>
            <w:r>
              <w:rPr>
                <w:sz w:val="18"/>
                <w:szCs w:val="18"/>
              </w:rPr>
              <w:t>(c)</w:t>
            </w:r>
          </w:p>
          <w:p>
            <w:pPr>
              <w:pStyle w:val="yTableNAm"/>
              <w:rPr>
                <w:sz w:val="18"/>
                <w:szCs w:val="18"/>
              </w:rPr>
            </w:pPr>
          </w:p>
        </w:tc>
      </w:tr>
      <w:tr>
        <w:trPr>
          <w:cantSplit/>
          <w:trHeight w:hRule="exact" w:val="198"/>
        </w:trPr>
        <w:tc>
          <w:tcPr>
            <w:tcW w:w="2030" w:type="dxa"/>
            <w:noWrap/>
          </w:tcPr>
          <w:p>
            <w:pPr>
              <w:pStyle w:val="yTableNAm"/>
              <w:rPr>
                <w:sz w:val="18"/>
                <w:szCs w:val="18"/>
              </w:rPr>
            </w:pPr>
          </w:p>
        </w:tc>
        <w:tc>
          <w:tcPr>
            <w:tcW w:w="5058" w:type="dxa"/>
            <w:tcBorders>
              <w:top w:val="single" w:sz="7" w:space="0" w:color="auto"/>
            </w:tcBorders>
            <w:noWrap/>
          </w:tcPr>
          <w:p>
            <w:pPr>
              <w:pStyle w:val="yTableNAm"/>
              <w:rPr>
                <w:sz w:val="18"/>
                <w:szCs w:val="18"/>
              </w:rPr>
            </w:pPr>
          </w:p>
        </w:tc>
      </w:tr>
      <w:tr>
        <w:trPr>
          <w:cantSplit/>
        </w:trPr>
        <w:tc>
          <w:tcPr>
            <w:tcW w:w="2030" w:type="dxa"/>
            <w:noWrap/>
          </w:tcPr>
          <w:p>
            <w:pPr>
              <w:pStyle w:val="yTableNAm"/>
              <w:rPr>
                <w:sz w:val="18"/>
                <w:szCs w:val="18"/>
              </w:rPr>
            </w:pPr>
          </w:p>
          <w:p>
            <w:pPr>
              <w:pStyle w:val="yTableNAm"/>
              <w:tabs>
                <w:tab w:val="clear" w:pos="567"/>
                <w:tab w:val="left" w:pos="447"/>
              </w:tabs>
              <w:ind w:left="448" w:hanging="448"/>
              <w:rPr>
                <w:sz w:val="18"/>
                <w:szCs w:val="18"/>
              </w:rPr>
            </w:pPr>
            <w:r>
              <w:rPr>
                <w:sz w:val="18"/>
                <w:szCs w:val="18"/>
              </w:rPr>
              <w:t>(d)</w:t>
            </w:r>
            <w:r>
              <w:rPr>
                <w:sz w:val="18"/>
                <w:szCs w:val="18"/>
              </w:rPr>
              <w:tab/>
              <w:t>(</w:t>
            </w:r>
            <w:r>
              <w:rPr>
                <w:i/>
                <w:sz w:val="18"/>
                <w:szCs w:val="18"/>
              </w:rPr>
              <w:t>Delete inapplicable</w:t>
            </w:r>
            <w:r>
              <w:rPr>
                <w:sz w:val="18"/>
                <w:szCs w:val="18"/>
              </w:rPr>
              <w:t>)</w:t>
            </w:r>
            <w:r>
              <w:rPr>
                <w:i/>
                <w:sz w:val="18"/>
                <w:szCs w:val="18"/>
              </w:rPr>
              <w:t xml:space="preserve"> </w:t>
            </w:r>
          </w:p>
        </w:tc>
        <w:tc>
          <w:tcPr>
            <w:tcW w:w="5058" w:type="dxa"/>
            <w:tcBorders>
              <w:top w:val="single" w:sz="7" w:space="0" w:color="auto"/>
              <w:left w:val="single" w:sz="7" w:space="0" w:color="auto"/>
              <w:bottom w:val="single" w:sz="7" w:space="0" w:color="auto"/>
              <w:right w:val="single" w:sz="7" w:space="0" w:color="auto"/>
            </w:tcBorders>
            <w:noWrap/>
          </w:tcPr>
          <w:p>
            <w:pPr>
              <w:pStyle w:val="yTableNAm"/>
              <w:rPr>
                <w:sz w:val="18"/>
                <w:szCs w:val="18"/>
              </w:rPr>
            </w:pPr>
            <w:r>
              <w:rPr>
                <w:b/>
                <w:sz w:val="18"/>
                <w:szCs w:val="18"/>
              </w:rPr>
              <w:t>Eligibility to apply for the copy</w:t>
            </w:r>
          </w:p>
          <w:p>
            <w:pPr>
              <w:pStyle w:val="yTableNAm"/>
              <w:tabs>
                <w:tab w:val="clear" w:pos="567"/>
              </w:tabs>
              <w:ind w:left="550" w:hanging="550"/>
              <w:rPr>
                <w:sz w:val="18"/>
                <w:szCs w:val="18"/>
              </w:rPr>
            </w:pPr>
            <w:r>
              <w:rPr>
                <w:sz w:val="18"/>
                <w:szCs w:val="18"/>
              </w:rPr>
              <w:t xml:space="preserve">(d)    </w:t>
            </w:r>
            <w:r>
              <w:rPr>
                <w:sz w:val="18"/>
                <w:szCs w:val="18"/>
              </w:rPr>
              <w:sym w:font="Symbol" w:char="F0B7"/>
            </w:r>
            <w:r>
              <w:rPr>
                <w:sz w:val="18"/>
                <w:szCs w:val="18"/>
              </w:rPr>
              <w:t xml:space="preserve">  the document is an instrument of lease or licence and the applicant is the registered holder of the mining tenement</w:t>
            </w:r>
          </w:p>
          <w:p>
            <w:pPr>
              <w:pStyle w:val="yTableNAm"/>
              <w:ind w:left="720" w:hanging="318"/>
              <w:rPr>
                <w:sz w:val="18"/>
                <w:szCs w:val="18"/>
              </w:rPr>
            </w:pPr>
            <w:r>
              <w:rPr>
                <w:sz w:val="18"/>
                <w:szCs w:val="18"/>
              </w:rPr>
              <w:sym w:font="Symbol" w:char="F0B7"/>
            </w:r>
            <w:r>
              <w:rPr>
                <w:sz w:val="18"/>
                <w:szCs w:val="18"/>
              </w:rPr>
              <w:t xml:space="preserve">  the document was issued to the applicant</w:t>
            </w:r>
          </w:p>
          <w:p>
            <w:pPr>
              <w:pStyle w:val="yTableNAm"/>
              <w:tabs>
                <w:tab w:val="clear" w:pos="567"/>
                <w:tab w:val="left" w:pos="402"/>
              </w:tabs>
              <w:ind w:left="562" w:hanging="159"/>
              <w:rPr>
                <w:sz w:val="18"/>
                <w:szCs w:val="18"/>
              </w:rPr>
            </w:pPr>
            <w:r>
              <w:rPr>
                <w:sz w:val="18"/>
                <w:szCs w:val="18"/>
              </w:rPr>
              <w:sym w:font="Symbol" w:char="F0B7"/>
            </w:r>
            <w:r>
              <w:rPr>
                <w:sz w:val="18"/>
                <w:szCs w:val="18"/>
              </w:rPr>
              <w:t xml:space="preserve">  the document was issued in respect of a mining tenement and the applicant is the registered holder of the mining tenement </w:t>
            </w:r>
          </w:p>
        </w:tc>
      </w:tr>
      <w:tr>
        <w:trPr>
          <w:cantSplit/>
        </w:trPr>
        <w:tc>
          <w:tcPr>
            <w:tcW w:w="2030" w:type="dxa"/>
            <w:noWrap/>
          </w:tcPr>
          <w:p>
            <w:pPr>
              <w:pStyle w:val="yTableNAm"/>
              <w:tabs>
                <w:tab w:val="clear" w:pos="567"/>
                <w:tab w:val="left" w:pos="447"/>
              </w:tabs>
              <w:ind w:left="448" w:hanging="448"/>
              <w:rPr>
                <w:sz w:val="18"/>
                <w:szCs w:val="18"/>
              </w:rPr>
            </w:pPr>
            <w:r>
              <w:rPr>
                <w:sz w:val="18"/>
                <w:szCs w:val="18"/>
              </w:rPr>
              <w:t>(e)</w:t>
            </w:r>
            <w:r>
              <w:rPr>
                <w:sz w:val="18"/>
                <w:szCs w:val="18"/>
              </w:rPr>
              <w:tab/>
              <w:t>Signature of applicant or agent (if agent, state full name and address)</w:t>
            </w:r>
          </w:p>
          <w:p>
            <w:pPr>
              <w:pStyle w:val="yTableNAm"/>
              <w:rPr>
                <w:sz w:val="18"/>
                <w:szCs w:val="18"/>
              </w:rPr>
            </w:pPr>
          </w:p>
        </w:tc>
        <w:tc>
          <w:tcPr>
            <w:tcW w:w="5058" w:type="dxa"/>
            <w:noWrap/>
          </w:tcPr>
          <w:p>
            <w:pPr>
              <w:pStyle w:val="yTableNAm"/>
              <w:rPr>
                <w:sz w:val="18"/>
              </w:rPr>
            </w:pPr>
            <w:r>
              <w:rPr>
                <w:sz w:val="18"/>
              </w:rPr>
              <w:t>(e)...............................................DATE............................................</w:t>
            </w:r>
          </w:p>
          <w:p>
            <w:pPr>
              <w:pStyle w:val="y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noWrap/>
          </w:tcPr>
          <w:p>
            <w:pPr>
              <w:pStyle w:val="yTableNAm"/>
              <w:keepNext/>
              <w:rPr>
                <w:spacing w:val="-2"/>
                <w:sz w:val="18"/>
                <w:szCs w:val="18"/>
              </w:rPr>
            </w:pPr>
            <w:r>
              <w:rPr>
                <w:spacing w:val="-2"/>
                <w:sz w:val="18"/>
                <w:szCs w:val="18"/>
              </w:rPr>
              <w:t>OFFICIAL USE</w:t>
            </w:r>
          </w:p>
        </w:tc>
        <w:tc>
          <w:tcPr>
            <w:tcW w:w="3652" w:type="dxa"/>
            <w:tcBorders>
              <w:top w:val="nil"/>
              <w:left w:val="nil"/>
              <w:bottom w:val="nil"/>
              <w:right w:val="nil"/>
            </w:tcBorders>
            <w:noWrap/>
          </w:tcPr>
          <w:p>
            <w:pPr>
              <w:pStyle w:val="yTableNAm"/>
              <w:keepNext/>
              <w:rPr>
                <w:spacing w:val="-2"/>
                <w:sz w:val="18"/>
                <w:szCs w:val="18"/>
              </w:rPr>
            </w:pPr>
          </w:p>
        </w:tc>
      </w:tr>
      <w:tr>
        <w:trPr>
          <w:trHeight w:val="453"/>
        </w:trPr>
        <w:tc>
          <w:tcPr>
            <w:tcW w:w="5812" w:type="dxa"/>
            <w:gridSpan w:val="2"/>
            <w:tcBorders>
              <w:top w:val="nil"/>
              <w:left w:val="nil"/>
              <w:bottom w:val="nil"/>
              <w:right w:val="nil"/>
            </w:tcBorders>
            <w:noWrap/>
          </w:tcPr>
          <w:p>
            <w:pPr>
              <w:pStyle w:val="yTableNAm"/>
              <w:keepNext/>
              <w:rPr>
                <w:spacing w:val="-2"/>
                <w:sz w:val="18"/>
                <w:szCs w:val="18"/>
              </w:rPr>
            </w:pPr>
            <w:r>
              <w:rPr>
                <w:spacing w:val="-2"/>
                <w:sz w:val="18"/>
                <w:szCs w:val="18"/>
              </w:rPr>
              <w:t>Received at ................................am/pm on .................................. 20.....</w:t>
            </w:r>
          </w:p>
          <w:p>
            <w:pPr>
              <w:pStyle w:val="yTableNAm"/>
              <w:keepNext/>
              <w:rPr>
                <w:spacing w:val="-2"/>
                <w:sz w:val="18"/>
                <w:szCs w:val="18"/>
              </w:rPr>
            </w:pPr>
            <w:r>
              <w:rPr>
                <w:sz w:val="18"/>
                <w:szCs w:val="18"/>
              </w:rPr>
              <w:t>with fee of $ ............................................................................................</w:t>
            </w:r>
          </w:p>
        </w:tc>
      </w:tr>
      <w:tr>
        <w:trPr>
          <w:trHeight w:val="570"/>
        </w:trPr>
        <w:tc>
          <w:tcPr>
            <w:tcW w:w="5812" w:type="dxa"/>
            <w:gridSpan w:val="2"/>
            <w:tcBorders>
              <w:top w:val="nil"/>
              <w:left w:val="nil"/>
              <w:bottom w:val="nil"/>
              <w:right w:val="nil"/>
            </w:tcBorders>
            <w:noWrap/>
          </w:tcPr>
          <w:p>
            <w:pPr>
              <w:pStyle w:val="yTableNAm"/>
              <w:jc w:val="center"/>
              <w:rPr>
                <w:spacing w:val="-2"/>
                <w:sz w:val="18"/>
                <w:szCs w:val="18"/>
              </w:rPr>
            </w:pPr>
            <w:r>
              <w:rPr>
                <w:spacing w:val="-2"/>
                <w:sz w:val="18"/>
                <w:szCs w:val="18"/>
              </w:rPr>
              <w:t>....................................................................</w:t>
            </w:r>
            <w:r>
              <w:rPr>
                <w:spacing w:val="-2"/>
                <w:sz w:val="18"/>
                <w:szCs w:val="18"/>
              </w:rPr>
              <w:br/>
              <w:t>Mining Registrar</w:t>
            </w:r>
          </w:p>
        </w:tc>
      </w:tr>
    </w:tbl>
    <w:p>
      <w:pPr>
        <w:pStyle w:val="yFootnotesection"/>
        <w:rPr>
          <w:sz w:val="18"/>
        </w:rPr>
      </w:pPr>
      <w:r>
        <w:tab/>
        <w:t>[Form 29 inserted: Gazette 13 Dec 2019 p. 4240.]</w:t>
      </w:r>
    </w:p>
    <w:p>
      <w:pPr>
        <w:pStyle w:val="yHeading5"/>
        <w:pageBreakBefore/>
        <w:spacing w:before="0" w:after="60"/>
      </w:pPr>
      <w:bookmarkStart w:id="463" w:name="_Toc92809511"/>
      <w:r>
        <w:rPr>
          <w:rStyle w:val="CharSClsNo"/>
        </w:rPr>
        <w:lastRenderedPageBreak/>
        <w:t>Form 30</w:t>
      </w:r>
      <w:r>
        <w:tab/>
        <w:t>Application to amend</w:t>
      </w:r>
      <w:bookmarkEnd w:id="463"/>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lastRenderedPageBreak/>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Gazette 3 Feb 2006 p. 528; 15 Jan 2010 p. 132; 9 Nov 2012 p. 5442-3.]</w:t>
      </w:r>
    </w:p>
    <w:p>
      <w:pPr>
        <w:pStyle w:val="yHeading5"/>
        <w:pageBreakBefore/>
        <w:spacing w:before="0" w:after="120"/>
      </w:pPr>
      <w:bookmarkStart w:id="464" w:name="_Toc92809512"/>
      <w:r>
        <w:rPr>
          <w:rStyle w:val="CharSClsNo"/>
        </w:rPr>
        <w:lastRenderedPageBreak/>
        <w:t>Form 31</w:t>
      </w:r>
      <w:r>
        <w:tab/>
        <w:t>Power of attorney</w:t>
      </w:r>
      <w:bookmarkEnd w:id="46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Gazette 2 Oct 1987 p. 3835; 8 Dec 2009 p. 132; 9 Nov 2012 p. 5443-4.]</w:t>
      </w:r>
    </w:p>
    <w:p>
      <w:pPr>
        <w:pStyle w:val="yHeading5"/>
        <w:pageBreakBefore/>
        <w:spacing w:before="0" w:after="120"/>
      </w:pPr>
      <w:bookmarkStart w:id="465" w:name="_Toc92809513"/>
      <w:r>
        <w:rPr>
          <w:rStyle w:val="CharSClsNo"/>
        </w:rPr>
        <w:lastRenderedPageBreak/>
        <w:t>Form 32</w:t>
      </w:r>
      <w:r>
        <w:tab/>
        <w:t>Security</w:t>
      </w:r>
      <w:bookmarkEnd w:id="465"/>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Gazette 2 Oct 1987 p. 3836 (erratum: Gazette 6 Nov 1987 p. 4110); 24 Jun 1994 p. 2939; 4 Apr 1997 p. 1780; 17 Jan 2003 p. 114; 15 Jan 2010 p. 132; 9 Nov 2012 p. 5444-5.]</w:t>
      </w:r>
    </w:p>
    <w:p>
      <w:pPr>
        <w:pStyle w:val="yHeading5"/>
        <w:pageBreakBefore/>
        <w:spacing w:before="0" w:after="120"/>
      </w:pPr>
      <w:bookmarkStart w:id="466" w:name="_Toc92809514"/>
      <w:r>
        <w:rPr>
          <w:rStyle w:val="CharSClsNo"/>
        </w:rPr>
        <w:lastRenderedPageBreak/>
        <w:t>Form 33</w:t>
      </w:r>
      <w:r>
        <w:rPr>
          <w:rStyle w:val="CharSClsNo"/>
        </w:rPr>
        <w:tab/>
      </w:r>
      <w:r>
        <w:t>Plaint and Summons</w:t>
      </w:r>
      <w:bookmarkEnd w:id="466"/>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r>
              <w:rPr>
                <w:sz w:val="18"/>
                <w:szCs w:val="18"/>
              </w:rPr>
              <w:t>WESTERN AUSTRALIA</w:t>
            </w:r>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lastRenderedPageBreak/>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Gazette 9 Nov 2012 p. 5445-6.]</w:t>
      </w:r>
    </w:p>
    <w:p>
      <w:pPr>
        <w:pStyle w:val="yEdnotesection"/>
        <w:rPr>
          <w:sz w:val="18"/>
        </w:rPr>
      </w:pPr>
      <w:r>
        <w:t>[Form 34 deleted: Gazette 9 Nov 2012 p. 5446.]</w:t>
      </w:r>
    </w:p>
    <w:p>
      <w:pPr>
        <w:pStyle w:val="yHeading5"/>
        <w:pageBreakBefore/>
        <w:spacing w:before="0" w:after="120"/>
      </w:pPr>
      <w:bookmarkStart w:id="467" w:name="_Toc92809515"/>
      <w:r>
        <w:rPr>
          <w:rStyle w:val="CharSClsNo"/>
        </w:rPr>
        <w:lastRenderedPageBreak/>
        <w:t>Form 35</w:t>
      </w:r>
      <w:r>
        <w:tab/>
        <w:t>Affidavit of service</w:t>
      </w:r>
      <w:bookmarkEnd w:id="467"/>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lastRenderedPageBreak/>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Gazette 9 Mar 2007 p. 907</w:t>
      </w:r>
      <w:r>
        <w:noBreakHyphen/>
        <w:t>8; amended: Gazette 15 Jan 2010 p. 133; 9 Nov 2012 p. 5446-8.]</w:t>
      </w:r>
    </w:p>
    <w:p>
      <w:pPr>
        <w:pStyle w:val="yHeading5"/>
        <w:pageBreakBefore/>
        <w:tabs>
          <w:tab w:val="clear" w:pos="879"/>
          <w:tab w:val="left" w:pos="1140"/>
        </w:tabs>
        <w:spacing w:before="0" w:after="120"/>
      </w:pPr>
      <w:bookmarkStart w:id="468" w:name="_Toc92809516"/>
      <w:r>
        <w:rPr>
          <w:rStyle w:val="CharSClsNo"/>
        </w:rPr>
        <w:lastRenderedPageBreak/>
        <w:t>Form 35A</w:t>
      </w:r>
      <w:r>
        <w:tab/>
        <w:t>Application for forfeiture under section 96(1)(b) or 98</w:t>
      </w:r>
      <w:bookmarkEnd w:id="468"/>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Notes 1 and 1A)</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yTableNAm9pt"/>
            </w:pPr>
            <w:r>
              <w:t>(f)</w:t>
            </w:r>
            <w:r>
              <w:tab/>
              <w:t>Address for service of applicant/lawyer</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10pt"/>
      </w:pPr>
      <w:r>
        <w:tab/>
        <w:t>1A.</w:t>
      </w:r>
      <w:r>
        <w:tab/>
        <w:t xml:space="preserve">If this form </w:t>
      </w:r>
      <w:r>
        <w:rPr>
          <w:spacing w:val="-2"/>
        </w:rPr>
        <w:t>is</w:t>
      </w:r>
      <w:r>
        <w:t xml:space="preserve"> signed by an agent of the applicant, the agent must state the agent’s full name.</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Gazette 9 Mar 2007 p. 908</w:t>
      </w:r>
      <w:r>
        <w:noBreakHyphen/>
        <w:t>9; amended: Gazette 15 Jan 2010 p. 133; 9 Nov 2012 p. 5448-50; SL 2020/119 r. 13.]</w:t>
      </w:r>
    </w:p>
    <w:p>
      <w:pPr>
        <w:pStyle w:val="yHeading5"/>
        <w:pageBreakBefore/>
        <w:spacing w:before="0" w:after="120"/>
      </w:pPr>
      <w:bookmarkStart w:id="469" w:name="_Toc92809517"/>
      <w:r>
        <w:rPr>
          <w:rStyle w:val="CharSClsNo"/>
        </w:rPr>
        <w:lastRenderedPageBreak/>
        <w:t>Form 36</w:t>
      </w:r>
      <w:r>
        <w:tab/>
        <w:t>Response</w:t>
      </w:r>
      <w:bookmarkEnd w:id="469"/>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9pt"/>
            </w:pPr>
            <w:r>
              <w:t>(e)</w:t>
            </w:r>
            <w:r>
              <w:tab/>
              <w:t>Signature of respondent/lawyer/</w:t>
            </w:r>
            <w:r>
              <w:br/>
              <w:t>authorised representative (see Notes)</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9pt"/>
            </w:pPr>
            <w:r>
              <w:t>(f)</w:t>
            </w:r>
            <w:r>
              <w:tab/>
              <w:t>Address for service of respondent/ lawyer</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lastRenderedPageBreak/>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MiscellaneousBody10pt"/>
        <w:ind w:hanging="1276"/>
        <w:rPr>
          <w:snapToGrid w:val="0"/>
        </w:rPr>
      </w:pPr>
      <w:r>
        <w:rPr>
          <w:snapToGrid w:val="0"/>
        </w:rPr>
        <w:t xml:space="preserve">NOTES: </w:t>
      </w:r>
      <w:r>
        <w:rPr>
          <w:snapToGrid w:val="0"/>
        </w:rPr>
        <w:tab/>
        <w:t>1.</w:t>
      </w:r>
      <w:r>
        <w:rPr>
          <w:snapToGrid w:val="0"/>
        </w:rPr>
        <w:tab/>
      </w:r>
      <w:r>
        <w:t>If this form is signed by a person who is an employee of the respondent, the person must state the person’s full name and the position in which the person is employed</w:t>
      </w:r>
      <w:r>
        <w:rPr>
          <w:snapToGrid w:val="0"/>
        </w:rPr>
        <w:t xml:space="preserve">. </w:t>
      </w:r>
    </w:p>
    <w:p>
      <w:pPr>
        <w:pStyle w:val="yMiscellaneousBody10pt"/>
        <w:rPr>
          <w:snapToGrid w:val="0"/>
        </w:rPr>
      </w:pPr>
      <w:r>
        <w:rPr>
          <w:snapToGrid w:val="0"/>
        </w:rPr>
        <w:tab/>
        <w:t>2.</w:t>
      </w:r>
      <w:r>
        <w:rPr>
          <w:snapToGrid w:val="0"/>
        </w:rPr>
        <w:tab/>
        <w:t xml:space="preserve">If </w:t>
      </w:r>
      <w:r>
        <w:t>this</w:t>
      </w:r>
      <w:r>
        <w:rPr>
          <w:snapToGrid w:val="0"/>
        </w:rPr>
        <w:t xml:space="preserve"> form is signed by an agent of the respondent, the agent must state the agent’s full name.</w:t>
      </w:r>
    </w:p>
    <w:p>
      <w:pPr>
        <w:pStyle w:val="yFootnotesection"/>
        <w:keepLines w:val="0"/>
        <w:spacing w:before="80"/>
        <w:rPr>
          <w:spacing w:val="-2"/>
        </w:rPr>
      </w:pPr>
      <w:r>
        <w:tab/>
        <w:t>[Form 36 inserted: Gazette 9 Mar 2007 p. 910; amended: Gazette 15 Jan 2010 p. 133; 9 Nov 2012 p. 5450-1; SL 2020/119 r. 14.]</w:t>
      </w:r>
    </w:p>
    <w:p>
      <w:pPr>
        <w:pStyle w:val="yHeading5"/>
        <w:pageBreakBefore/>
        <w:tabs>
          <w:tab w:val="clear" w:pos="879"/>
          <w:tab w:val="left" w:pos="1140"/>
        </w:tabs>
        <w:spacing w:before="0" w:after="60"/>
      </w:pPr>
      <w:bookmarkStart w:id="470" w:name="_Toc92809518"/>
      <w:r>
        <w:rPr>
          <w:rStyle w:val="CharSClsNo"/>
        </w:rPr>
        <w:lastRenderedPageBreak/>
        <w:t>Form 36A</w:t>
      </w:r>
      <w:r>
        <w:tab/>
        <w:t>Interlocutory application</w:t>
      </w:r>
      <w:bookmarkEnd w:id="470"/>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r>
              <w:rPr>
                <w:sz w:val="18"/>
                <w:szCs w:val="18"/>
              </w:rPr>
              <w:t>WESTERN AUSTRALIA</w:t>
            </w:r>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9pt"/>
            </w:pPr>
            <w:r>
              <w:t>(e)</w:t>
            </w:r>
            <w:r>
              <w:tab/>
              <w:t>Signature of applicant/lawyer/</w:t>
            </w:r>
            <w:r>
              <w:br/>
              <w:t>authorised representative (see Notes 3 and 4)</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lastRenderedPageBreak/>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MiscellaneousBody10pt"/>
        <w:tabs>
          <w:tab w:val="clear" w:pos="993"/>
          <w:tab w:val="left" w:pos="1134"/>
        </w:tabs>
        <w:rPr>
          <w:snapToGrid w:val="0"/>
        </w:rPr>
      </w:pPr>
      <w:r>
        <w:rPr>
          <w:snapToGrid w:val="0"/>
        </w:rPr>
        <w:tab/>
        <w:t>3.</w:t>
      </w:r>
      <w:r>
        <w:rPr>
          <w:snapToGrid w:val="0"/>
        </w:rPr>
        <w:tab/>
        <w:t>If this form is signed by a person who is an employee of the applicant, the person must state the person’s full name and the position in which the person is employed.</w:t>
      </w:r>
    </w:p>
    <w:p>
      <w:pPr>
        <w:pStyle w:val="yMiscellaneousBody10pt"/>
        <w:tabs>
          <w:tab w:val="clear" w:pos="993"/>
          <w:tab w:val="left" w:pos="1134"/>
        </w:tabs>
        <w:rPr>
          <w:snapToGrid w:val="0"/>
        </w:rPr>
      </w:pPr>
      <w:r>
        <w:rPr>
          <w:snapToGrid w:val="0"/>
        </w:rPr>
        <w:tab/>
        <w:t>4.</w:t>
      </w:r>
      <w:r>
        <w:rPr>
          <w:snapToGrid w:val="0"/>
        </w:rPr>
        <w:tab/>
        <w:t>If this form is signed by an agent of the applicant, the agent must state the agent’s full name.</w:t>
      </w:r>
    </w:p>
    <w:p>
      <w:pPr>
        <w:pStyle w:val="yFootnotesection"/>
        <w:rPr>
          <w:spacing w:val="-2"/>
        </w:rPr>
      </w:pPr>
      <w:r>
        <w:tab/>
        <w:t>[Form 36A inserted: Gazette 9 Mar 2007 p. 911</w:t>
      </w:r>
      <w:r>
        <w:noBreakHyphen/>
        <w:t>12; amended: Gazette 15 Jan 2010 p. 133; 9 Nov 2012 p. 5452-4; SL 2020/119 r. 15.]</w:t>
      </w:r>
    </w:p>
    <w:p>
      <w:pPr>
        <w:pStyle w:val="yHeading5"/>
        <w:pageBreakBefore/>
        <w:spacing w:before="0" w:after="120"/>
      </w:pPr>
      <w:bookmarkStart w:id="471" w:name="_Toc92809519"/>
      <w:r>
        <w:rPr>
          <w:rStyle w:val="CharSClsNo"/>
        </w:rPr>
        <w:lastRenderedPageBreak/>
        <w:t>Form 37</w:t>
      </w:r>
      <w:r>
        <w:tab/>
        <w:t>Summons to witness</w:t>
      </w:r>
      <w:bookmarkEnd w:id="471"/>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lastRenderedPageBreak/>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Gazette 9 Mar 2007 p. 912</w:t>
      </w:r>
      <w:r>
        <w:noBreakHyphen/>
        <w:t>13; amended: Gazette 15 Jan 2010 p. 133; 9 Nov 2012 p. 5454.]</w:t>
      </w:r>
    </w:p>
    <w:p>
      <w:pPr>
        <w:pStyle w:val="yHeading5"/>
        <w:pageBreakBefore/>
        <w:spacing w:before="0" w:after="60"/>
      </w:pPr>
      <w:bookmarkStart w:id="472" w:name="_Toc92809520"/>
      <w:r>
        <w:rPr>
          <w:rStyle w:val="CharSClsNo"/>
        </w:rPr>
        <w:lastRenderedPageBreak/>
        <w:t>Form 38</w:t>
      </w:r>
      <w:r>
        <w:tab/>
        <w:t>Judgment of a warden’s court/determination of a warden</w:t>
      </w:r>
      <w:bookmarkEnd w:id="472"/>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Gazette 9 Mar 2007 p. 914; amended: Gazette 15 Jan 2010 p. 133.]</w:t>
      </w:r>
    </w:p>
    <w:p>
      <w:pPr>
        <w:pStyle w:val="yEdnotesection"/>
        <w:tabs>
          <w:tab w:val="clear" w:pos="893"/>
        </w:tabs>
        <w:spacing w:before="100"/>
        <w:ind w:left="0" w:firstLine="0"/>
        <w:outlineLvl w:val="9"/>
      </w:pPr>
      <w:r>
        <w:t>[Forms 39</w:t>
      </w:r>
      <w:r>
        <w:noBreakHyphen/>
        <w:t>41 deleted: Gazette 9 Mar 2007 p. 914.]</w:t>
      </w:r>
    </w:p>
    <w:p>
      <w:pPr>
        <w:pStyle w:val="yHeading5"/>
        <w:pageBreakBefore/>
        <w:spacing w:before="0" w:after="60"/>
      </w:pPr>
      <w:bookmarkStart w:id="473" w:name="_Toc92809521"/>
      <w:r>
        <w:rPr>
          <w:rStyle w:val="CharSClsNo"/>
        </w:rPr>
        <w:lastRenderedPageBreak/>
        <w:t>Form 42</w:t>
      </w:r>
      <w:r>
        <w:tab/>
        <w:t>Notice of appeal under section 147</w:t>
      </w:r>
      <w:bookmarkEnd w:id="47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Gazette 15 Jan 2010 p. 133; 9 Nov 2012 p. 5454-5.]</w:t>
      </w:r>
    </w:p>
    <w:p>
      <w:pPr>
        <w:pStyle w:val="yHeading5"/>
        <w:pageBreakBefore/>
        <w:spacing w:before="0" w:after="120"/>
      </w:pPr>
      <w:bookmarkStart w:id="474" w:name="_Toc92809522"/>
      <w:r>
        <w:rPr>
          <w:rStyle w:val="CharSClsNo"/>
        </w:rPr>
        <w:lastRenderedPageBreak/>
        <w:t>Form 43</w:t>
      </w:r>
      <w:r>
        <w:tab/>
        <w:t>Injunction</w:t>
      </w:r>
      <w:bookmarkEnd w:id="47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Gazette 15 Jan 2010 p. 134.]</w:t>
      </w:r>
    </w:p>
    <w:p>
      <w:pPr>
        <w:pStyle w:val="yHeading5"/>
        <w:pageBreakBefore/>
        <w:spacing w:before="0" w:after="120"/>
      </w:pPr>
      <w:bookmarkStart w:id="475" w:name="_Toc92809523"/>
      <w:r>
        <w:rPr>
          <w:rStyle w:val="CharSClsNo"/>
        </w:rPr>
        <w:lastRenderedPageBreak/>
        <w:t>Form 44</w:t>
      </w:r>
      <w:r>
        <w:tab/>
        <w:t>Report of approved surveyor</w:t>
      </w:r>
      <w:bookmarkEnd w:id="475"/>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Gazette 5 Jul 1991 p. 3359; amended: Gazette 15 Jan 2010 p. 134.]</w:t>
      </w:r>
      <w:r>
        <w:rPr>
          <w:rStyle w:val="CharSClsNo"/>
        </w:rPr>
        <w:t xml:space="preserve">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477" w:name="_Toc92799641"/>
      <w:bookmarkStart w:id="478" w:name="_Toc92800056"/>
      <w:bookmarkStart w:id="479" w:name="_Toc92809524"/>
      <w:r>
        <w:rPr>
          <w:rStyle w:val="CharSchNo"/>
        </w:rPr>
        <w:lastRenderedPageBreak/>
        <w:t>Schedule 2</w:t>
      </w:r>
      <w:r>
        <w:t> — </w:t>
      </w:r>
      <w:r>
        <w:rPr>
          <w:rStyle w:val="CharSchText"/>
        </w:rPr>
        <w:t>Fees and rents</w:t>
      </w:r>
      <w:bookmarkEnd w:id="477"/>
      <w:bookmarkEnd w:id="478"/>
      <w:bookmarkEnd w:id="479"/>
    </w:p>
    <w:p>
      <w:pPr>
        <w:pStyle w:val="yShoulderClause"/>
      </w:pPr>
      <w:r>
        <w:t>[r. 2, 4D(2), 16C(2), 23BA(2), 25B, 28A(1), 64(1b), (1C) and (8), 84D, 109(1), (3) and (3A), 121(2), 163(2) and (4) and 165(7)(f)]</w:t>
      </w:r>
    </w:p>
    <w:p>
      <w:pPr>
        <w:pStyle w:val="yFootnoteheading"/>
        <w:spacing w:after="120"/>
      </w:pPr>
      <w:r>
        <w:tab/>
        <w:t>[Heading inserted: SL 2021/85 r. 21.]</w:t>
      </w:r>
    </w:p>
    <w:tbl>
      <w:tblPr>
        <w:tblW w:w="0" w:type="auto"/>
        <w:tblInd w:w="227" w:type="dxa"/>
        <w:tblLayout w:type="fixed"/>
        <w:tblCellMar>
          <w:left w:w="85" w:type="dxa"/>
          <w:right w:w="85" w:type="dxa"/>
        </w:tblCellMar>
        <w:tblLook w:val="0000" w:firstRow="0" w:lastRow="0" w:firstColumn="0" w:lastColumn="0" w:noHBand="0" w:noVBand="0"/>
      </w:tblPr>
      <w:tblGrid>
        <w:gridCol w:w="4820"/>
        <w:gridCol w:w="992"/>
        <w:gridCol w:w="992"/>
      </w:tblGrid>
      <w:tr>
        <w:trPr>
          <w:cantSplit/>
          <w:tblHeader/>
        </w:trPr>
        <w:tc>
          <w:tcPr>
            <w:tcW w:w="4820" w:type="dxa"/>
            <w:tcBorders>
              <w:top w:val="single" w:sz="4" w:space="0" w:color="auto"/>
              <w:bottom w:val="single" w:sz="4" w:space="0" w:color="auto"/>
            </w:tcBorders>
            <w:noWrap/>
          </w:tcPr>
          <w:p>
            <w:pPr>
              <w:pStyle w:val="yTableNAm"/>
              <w:rPr>
                <w:b/>
                <w:szCs w:val="22"/>
              </w:rPr>
            </w:pPr>
            <w:r>
              <w:rPr>
                <w:b/>
                <w:szCs w:val="22"/>
              </w:rPr>
              <w:t>Item</w:t>
            </w:r>
            <w:r>
              <w:rPr>
                <w:b/>
                <w:szCs w:val="22"/>
              </w:rPr>
              <w:tab/>
              <w:t>Description</w:t>
            </w:r>
          </w:p>
        </w:tc>
        <w:tc>
          <w:tcPr>
            <w:tcW w:w="992" w:type="dxa"/>
            <w:tcBorders>
              <w:top w:val="single" w:sz="4" w:space="0" w:color="auto"/>
              <w:bottom w:val="single" w:sz="4" w:space="0" w:color="auto"/>
            </w:tcBorders>
            <w:noWrap/>
          </w:tcPr>
          <w:p>
            <w:pPr>
              <w:pStyle w:val="yTableNAm"/>
              <w:rPr>
                <w:b/>
                <w:szCs w:val="22"/>
              </w:rPr>
            </w:pPr>
          </w:p>
        </w:tc>
        <w:tc>
          <w:tcPr>
            <w:tcW w:w="992" w:type="dxa"/>
            <w:tcBorders>
              <w:top w:val="single" w:sz="4" w:space="0" w:color="auto"/>
              <w:bottom w:val="single" w:sz="4" w:space="0" w:color="auto"/>
            </w:tcBorders>
            <w:noWrap/>
          </w:tcPr>
          <w:p>
            <w:pPr>
              <w:pStyle w:val="yTableNAm"/>
              <w:jc w:val="center"/>
              <w:rPr>
                <w:b/>
              </w:rPr>
            </w:pPr>
            <w:r>
              <w:rPr>
                <w:b/>
              </w:rPr>
              <w:t>$</w:t>
            </w:r>
          </w:p>
        </w:tc>
      </w:tr>
      <w:tr>
        <w:trPr>
          <w:cantSplit/>
        </w:trPr>
        <w:tc>
          <w:tcPr>
            <w:tcW w:w="4820" w:type="dxa"/>
            <w:tcBorders>
              <w:top w:val="single" w:sz="4" w:space="0" w:color="auto"/>
            </w:tcBorders>
            <w:noWrap/>
          </w:tcPr>
          <w:p>
            <w:pPr>
              <w:pStyle w:val="yTableNAm"/>
              <w:ind w:left="573" w:hanging="573"/>
            </w:pPr>
            <w:r>
              <w:t>1.</w:t>
            </w:r>
            <w:r>
              <w:tab/>
              <w:t>Annual rent of existing exploration licence per square kilometre or part of 1 square kilometre —</w:t>
            </w:r>
          </w:p>
        </w:tc>
        <w:tc>
          <w:tcPr>
            <w:tcW w:w="992" w:type="dxa"/>
            <w:tcBorders>
              <w:top w:val="single" w:sz="4" w:space="0" w:color="auto"/>
            </w:tcBorders>
            <w:noWrap/>
            <w:vAlign w:val="bottom"/>
          </w:tcPr>
          <w:p>
            <w:pPr>
              <w:pStyle w:val="yTableNAm"/>
            </w:pPr>
          </w:p>
        </w:tc>
        <w:tc>
          <w:tcPr>
            <w:tcW w:w="992" w:type="dxa"/>
            <w:tcBorders>
              <w:top w:val="single" w:sz="4" w:space="0" w:color="auto"/>
            </w:tcBorders>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for years 1 to 7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t>65.50</w:t>
            </w:r>
          </w:p>
        </w:tc>
      </w:tr>
      <w:tr>
        <w:trPr>
          <w:cantSplit/>
        </w:trPr>
        <w:tc>
          <w:tcPr>
            <w:tcW w:w="4820" w:type="dxa"/>
            <w:noWrap/>
          </w:tcPr>
          <w:p>
            <w:pPr>
              <w:pStyle w:val="yTableNAm"/>
              <w:ind w:left="1147" w:hanging="1147"/>
            </w:pPr>
            <w:r>
              <w:tab/>
              <w:t>(b)</w:t>
            </w:r>
            <w:r>
              <w:tab/>
              <w:t>for year 8, and each subsequent year, of the term of the licence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rPr>
                <w:szCs w:val="22"/>
              </w:rPr>
              <w:t>218.00</w:t>
            </w:r>
          </w:p>
        </w:tc>
      </w:tr>
      <w:tr>
        <w:trPr>
          <w:cantSplit/>
        </w:trPr>
        <w:tc>
          <w:tcPr>
            <w:tcW w:w="4820" w:type="dxa"/>
            <w:noWrap/>
          </w:tcPr>
          <w:p>
            <w:pPr>
              <w:pStyle w:val="yTableNAm"/>
              <w:ind w:left="573" w:hanging="573"/>
            </w:pPr>
            <w:r>
              <w:t>2.</w:t>
            </w:r>
            <w:r>
              <w:tab/>
              <w:t>Annual rent of graticular exploration licence —</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1 block licence applied for after 1 July 1999</w:t>
            </w:r>
          </w:p>
        </w:tc>
        <w:tc>
          <w:tcPr>
            <w:tcW w:w="992" w:type="dxa"/>
            <w:noWrap/>
            <w:vAlign w:val="bottom"/>
          </w:tcPr>
          <w:p>
            <w:pPr>
              <w:pStyle w:val="yTableNAm"/>
              <w:ind w:left="1175" w:hanging="1175"/>
            </w:pPr>
          </w:p>
        </w:tc>
        <w:tc>
          <w:tcPr>
            <w:tcW w:w="992" w:type="dxa"/>
            <w:noWrap/>
            <w:vAlign w:val="bottom"/>
          </w:tcPr>
          <w:p>
            <w:pPr>
              <w:pStyle w:val="yTableNAm"/>
              <w:tabs>
                <w:tab w:val="clear" w:pos="567"/>
              </w:tabs>
              <w:jc w:val="right"/>
            </w:pPr>
            <w:r>
              <w:rPr>
                <w:szCs w:val="22"/>
              </w:rPr>
              <w:t>406.00</w:t>
            </w:r>
          </w:p>
        </w:tc>
      </w:tr>
      <w:tr>
        <w:trPr>
          <w:cantSplit/>
        </w:trPr>
        <w:tc>
          <w:tcPr>
            <w:tcW w:w="4820" w:type="dxa"/>
            <w:noWrap/>
          </w:tcPr>
          <w:p>
            <w:pPr>
              <w:pStyle w:val="yTableNAm"/>
              <w:ind w:left="1147" w:hanging="1147"/>
            </w:pPr>
            <w:r>
              <w:tab/>
              <w:t>(b)</w:t>
            </w:r>
            <w:r>
              <w:tab/>
              <w:t>all other licences, per block —</w:t>
            </w:r>
          </w:p>
          <w:p>
            <w:pPr>
              <w:pStyle w:val="yTableNAm"/>
              <w:tabs>
                <w:tab w:val="left" w:pos="1161"/>
                <w:tab w:val="left" w:pos="1665"/>
              </w:tabs>
              <w:ind w:left="1693" w:hanging="1693"/>
            </w:pPr>
            <w:r>
              <w:tab/>
            </w:r>
            <w:r>
              <w:tab/>
              <w:t>(i)</w:t>
            </w:r>
            <w:r>
              <w:tab/>
              <w:t>for years 1 to 3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146.00</w:t>
            </w:r>
          </w:p>
        </w:tc>
      </w:tr>
      <w:tr>
        <w:trPr>
          <w:cantSplit/>
        </w:trPr>
        <w:tc>
          <w:tcPr>
            <w:tcW w:w="4820" w:type="dxa"/>
            <w:noWrap/>
          </w:tcPr>
          <w:p>
            <w:pPr>
              <w:pStyle w:val="yTableNAm"/>
              <w:tabs>
                <w:tab w:val="left" w:pos="1161"/>
                <w:tab w:val="left" w:pos="1665"/>
              </w:tabs>
              <w:ind w:left="1693" w:hanging="1693"/>
            </w:pPr>
            <w:r>
              <w:tab/>
            </w:r>
            <w:r>
              <w:tab/>
              <w:t>(ii)</w:t>
            </w:r>
            <w:r>
              <w:tab/>
              <w:t>for years 4 and 5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262.00</w:t>
            </w:r>
          </w:p>
        </w:tc>
      </w:tr>
      <w:tr>
        <w:trPr>
          <w:cantSplit/>
        </w:trPr>
        <w:tc>
          <w:tcPr>
            <w:tcW w:w="4820" w:type="dxa"/>
            <w:noWrap/>
          </w:tcPr>
          <w:p>
            <w:pPr>
              <w:pStyle w:val="yTableNAm"/>
              <w:tabs>
                <w:tab w:val="left" w:pos="1161"/>
                <w:tab w:val="left" w:pos="1665"/>
              </w:tabs>
              <w:ind w:left="1693" w:hanging="1693"/>
            </w:pPr>
            <w:r>
              <w:tab/>
            </w:r>
            <w:r>
              <w:tab/>
              <w:t>(iii)</w:t>
            </w:r>
            <w:r>
              <w:tab/>
              <w:t>for years 6 and 7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358.00</w:t>
            </w:r>
          </w:p>
        </w:tc>
      </w:tr>
      <w:tr>
        <w:trPr>
          <w:cantSplit/>
        </w:trPr>
        <w:tc>
          <w:tcPr>
            <w:tcW w:w="4820" w:type="dxa"/>
            <w:noWrap/>
          </w:tcPr>
          <w:p>
            <w:pPr>
              <w:pStyle w:val="yTableNAm"/>
              <w:tabs>
                <w:tab w:val="left" w:pos="1161"/>
                <w:tab w:val="left" w:pos="1665"/>
              </w:tabs>
              <w:ind w:left="1693" w:hanging="1693"/>
            </w:pPr>
            <w:r>
              <w:tab/>
            </w:r>
            <w:r>
              <w:tab/>
              <w:t>(iv)</w:t>
            </w:r>
            <w:r>
              <w:tab/>
              <w:t>for year 8, and each subsequent year, of the term of the licence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677.00</w:t>
            </w:r>
          </w:p>
        </w:tc>
      </w:tr>
      <w:tr>
        <w:trPr>
          <w:cantSplit/>
          <w:trHeight w:val="818"/>
        </w:trPr>
        <w:tc>
          <w:tcPr>
            <w:tcW w:w="4820" w:type="dxa"/>
            <w:noWrap/>
          </w:tcPr>
          <w:p>
            <w:pPr>
              <w:pStyle w:val="yTableNAm"/>
              <w:ind w:left="573" w:hanging="573"/>
            </w:pPr>
            <w:r>
              <w:t>3.</w:t>
            </w:r>
            <w:r>
              <w:tab/>
              <w:t>Annual rent of general purpose lease per hectare or part of 1 hectare</w:t>
            </w:r>
          </w:p>
        </w:tc>
        <w:tc>
          <w:tcPr>
            <w:tcW w:w="992" w:type="dxa"/>
            <w:noWrap/>
            <w:vAlign w:val="bottom"/>
          </w:tcPr>
          <w:p>
            <w:pPr>
              <w:pStyle w:val="yTableNAm"/>
              <w:ind w:left="573" w:hanging="573"/>
            </w:pPr>
          </w:p>
        </w:tc>
        <w:tc>
          <w:tcPr>
            <w:tcW w:w="992" w:type="dxa"/>
            <w:noWrap/>
            <w:vAlign w:val="bottom"/>
          </w:tcPr>
          <w:p>
            <w:pPr>
              <w:pStyle w:val="yTableNAm"/>
              <w:tabs>
                <w:tab w:val="clear" w:pos="567"/>
              </w:tabs>
              <w:jc w:val="right"/>
            </w:pPr>
            <w:r>
              <w:rPr>
                <w:szCs w:val="22"/>
              </w:rPr>
              <w:t>19.70</w:t>
            </w:r>
          </w:p>
        </w:tc>
      </w:tr>
      <w:tr>
        <w:trPr>
          <w:cantSplit/>
        </w:trPr>
        <w:tc>
          <w:tcPr>
            <w:tcW w:w="4820" w:type="dxa"/>
            <w:noWrap/>
          </w:tcPr>
          <w:p>
            <w:pPr>
              <w:pStyle w:val="yTableNAm"/>
              <w:ind w:left="573" w:hanging="573"/>
            </w:pPr>
            <w:r>
              <w:t>4.</w:t>
            </w:r>
            <w:r>
              <w:tab/>
              <w:t>Annual rent of miscellaneous licence per hectare or part of 1 hectare —</w:t>
            </w:r>
          </w:p>
        </w:tc>
        <w:tc>
          <w:tcPr>
            <w:tcW w:w="992" w:type="dxa"/>
            <w:noWrap/>
            <w:vAlign w:val="bottom"/>
          </w:tcPr>
          <w:p>
            <w:pPr>
              <w:pStyle w:val="yTableNAm"/>
            </w:pPr>
          </w:p>
        </w:tc>
        <w:tc>
          <w:tcPr>
            <w:tcW w:w="992" w:type="dxa"/>
            <w:noWrap/>
            <w:vAlign w:val="bottom"/>
          </w:tcPr>
          <w:p>
            <w:pPr>
              <w:pStyle w:val="yTableNAm"/>
              <w:tabs>
                <w:tab w:val="clear" w:pos="567"/>
              </w:tabs>
            </w:pPr>
          </w:p>
        </w:tc>
      </w:tr>
      <w:tr>
        <w:trPr>
          <w:cantSplit/>
        </w:trPr>
        <w:tc>
          <w:tcPr>
            <w:tcW w:w="4820" w:type="dxa"/>
            <w:noWrap/>
          </w:tcPr>
          <w:p>
            <w:pPr>
              <w:pStyle w:val="yTableNAm"/>
              <w:ind w:left="1147" w:hanging="1147"/>
            </w:pPr>
            <w:r>
              <w:tab/>
              <w:t>(a)</w:t>
            </w:r>
            <w:r>
              <w:tab/>
              <w:t>for the purpose referred to in regulation 42B(ia)</w:t>
            </w:r>
          </w:p>
        </w:tc>
        <w:tc>
          <w:tcPr>
            <w:tcW w:w="992" w:type="dxa"/>
            <w:noWrap/>
            <w:vAlign w:val="bottom"/>
          </w:tcPr>
          <w:p>
            <w:pPr>
              <w:pStyle w:val="yTableNAm"/>
            </w:pPr>
          </w:p>
        </w:tc>
        <w:tc>
          <w:tcPr>
            <w:tcW w:w="992" w:type="dxa"/>
            <w:noWrap/>
            <w:vAlign w:val="bottom"/>
          </w:tcPr>
          <w:p>
            <w:pPr>
              <w:pStyle w:val="yTableNAm"/>
              <w:tabs>
                <w:tab w:val="clear" w:pos="567"/>
              </w:tabs>
              <w:jc w:val="right"/>
            </w:pPr>
            <w:r>
              <w:t>0.60</w:t>
            </w:r>
          </w:p>
        </w:tc>
      </w:tr>
      <w:tr>
        <w:trPr>
          <w:cantSplit/>
        </w:trPr>
        <w:tc>
          <w:tcPr>
            <w:tcW w:w="4820" w:type="dxa"/>
            <w:noWrap/>
          </w:tcPr>
          <w:p>
            <w:pPr>
              <w:pStyle w:val="yTableNAm"/>
              <w:ind w:left="1147" w:hanging="1147"/>
            </w:pPr>
            <w:r>
              <w:lastRenderedPageBreak/>
              <w:tab/>
              <w:t>(b)</w:t>
            </w:r>
            <w:r>
              <w:tab/>
              <w:t>for any other purpose</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19.70</w:t>
            </w:r>
          </w:p>
        </w:tc>
      </w:tr>
      <w:tr>
        <w:trPr>
          <w:cantSplit/>
        </w:trPr>
        <w:tc>
          <w:tcPr>
            <w:tcW w:w="4820" w:type="dxa"/>
            <w:noWrap/>
          </w:tcPr>
          <w:p>
            <w:pPr>
              <w:pStyle w:val="yTableNAm"/>
              <w:ind w:left="573" w:hanging="573"/>
            </w:pPr>
            <w:r>
              <w:t>5.</w:t>
            </w:r>
            <w:r>
              <w:tab/>
              <w:t>Annual rent of prospecting licence per hectare or part of 1 hectare (minimum $33.00)</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3.30</w:t>
            </w:r>
          </w:p>
        </w:tc>
      </w:tr>
      <w:tr>
        <w:trPr>
          <w:cantSplit/>
        </w:trPr>
        <w:tc>
          <w:tcPr>
            <w:tcW w:w="4820" w:type="dxa"/>
            <w:noWrap/>
          </w:tcPr>
          <w:p>
            <w:pPr>
              <w:pStyle w:val="yTableNAm"/>
              <w:ind w:left="573" w:hanging="573"/>
            </w:pPr>
            <w:r>
              <w:rPr>
                <w:szCs w:val="22"/>
              </w:rPr>
              <w:t>6</w:t>
            </w:r>
            <w:r>
              <w:t>.</w:t>
            </w:r>
            <w:r>
              <w:tab/>
              <w:t>Annual rent of retention licence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pPr>
            <w:r>
              <w:rPr>
                <w:szCs w:val="22"/>
              </w:rPr>
              <w:t>9.80</w:t>
            </w:r>
          </w:p>
        </w:tc>
      </w:tr>
      <w:tr>
        <w:trPr>
          <w:cantSplit/>
        </w:trPr>
        <w:tc>
          <w:tcPr>
            <w:tcW w:w="4820" w:type="dxa"/>
            <w:noWrap/>
          </w:tcPr>
          <w:p>
            <w:pPr>
              <w:pStyle w:val="yTableNAm"/>
              <w:ind w:left="573" w:hanging="573"/>
            </w:pPr>
            <w:r>
              <w:t>7.</w:t>
            </w:r>
            <w:r>
              <w:tab/>
              <w:t xml:space="preserve">Annual rent of lease granted under the </w:t>
            </w:r>
            <w:r>
              <w:rPr>
                <w:i/>
              </w:rPr>
              <w:t>Mining Act 1904</w:t>
            </w:r>
            <w:r>
              <w:t>, either pursuant to or continued in force by virtue of an agreement scheduled to, incorporated in, or appearing in an Act or a variation of such an agreement, per hectare or part of 1 hectare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pPr>
            <w:r>
              <w:rPr>
                <w:szCs w:val="22"/>
              </w:rPr>
              <w:t>22.00</w:t>
            </w:r>
          </w:p>
        </w:tc>
      </w:tr>
      <w:tr>
        <w:trPr>
          <w:cantSplit/>
        </w:trPr>
        <w:tc>
          <w:tcPr>
            <w:tcW w:w="4820" w:type="dxa"/>
            <w:noWrap/>
          </w:tcPr>
          <w:p>
            <w:pPr>
              <w:pStyle w:val="yTableNAm"/>
              <w:ind w:left="573" w:hanging="573"/>
              <w:rPr>
                <w:szCs w:val="22"/>
              </w:rPr>
            </w:pPr>
            <w:r>
              <w:rPr>
                <w:szCs w:val="22"/>
              </w:rPr>
              <w:t>8.</w:t>
            </w:r>
            <w:r>
              <w:rPr>
                <w:szCs w:val="22"/>
              </w:rPr>
              <w:tab/>
              <w:t>Annual rent of mining lease per hectare or part of 1 hectare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t>22.00</w:t>
            </w:r>
          </w:p>
        </w:tc>
      </w:tr>
      <w:tr>
        <w:trPr>
          <w:cantSplit/>
        </w:trPr>
        <w:tc>
          <w:tcPr>
            <w:tcW w:w="4820" w:type="dxa"/>
            <w:noWrap/>
          </w:tcPr>
          <w:p>
            <w:pPr>
              <w:pStyle w:val="yTableNAm"/>
              <w:ind w:left="573" w:hanging="573"/>
              <w:rPr>
                <w:szCs w:val="22"/>
              </w:rPr>
            </w:pPr>
            <w:r>
              <w:rPr>
                <w:szCs w:val="22"/>
              </w:rPr>
              <w:t>9.</w:t>
            </w:r>
            <w:r>
              <w:rPr>
                <w:szCs w:val="22"/>
              </w:rPr>
              <w:tab/>
              <w:t>Annual rent of mining lease per hectare or part of 1 hectare where the lease is restricted under section 110 to minerals dissolved in brine —</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szCs w:val="22"/>
              </w:rPr>
            </w:pPr>
            <w:r>
              <w:tab/>
              <w:t>(a)</w:t>
            </w:r>
            <w:r>
              <w:tab/>
              <w:t>for years 1 to 5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2.60</w:t>
            </w:r>
          </w:p>
        </w:tc>
      </w:tr>
      <w:tr>
        <w:trPr>
          <w:cantSplit/>
        </w:trPr>
        <w:tc>
          <w:tcPr>
            <w:tcW w:w="4820" w:type="dxa"/>
            <w:noWrap/>
          </w:tcPr>
          <w:p>
            <w:pPr>
              <w:pStyle w:val="yTableNAm"/>
              <w:ind w:left="1147" w:hanging="1147"/>
            </w:pPr>
            <w:r>
              <w:tab/>
              <w:t>(b)</w:t>
            </w:r>
            <w:r>
              <w:tab/>
              <w:t>for year 6, and each subsequent year, of the initial term of the lease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t>5.20</w:t>
            </w:r>
          </w:p>
        </w:tc>
      </w:tr>
      <w:tr>
        <w:trPr>
          <w:cantSplit/>
        </w:trPr>
        <w:tc>
          <w:tcPr>
            <w:tcW w:w="4820" w:type="dxa"/>
            <w:noWrap/>
          </w:tcPr>
          <w:p>
            <w:pPr>
              <w:pStyle w:val="yTableNAm"/>
              <w:ind w:left="1147" w:hanging="1147"/>
              <w:rPr>
                <w:szCs w:val="22"/>
              </w:rPr>
            </w:pPr>
            <w:r>
              <w:rPr>
                <w:szCs w:val="22"/>
              </w:rPr>
              <w:tab/>
              <w:t>(c)</w:t>
            </w:r>
            <w:r>
              <w:rPr>
                <w:szCs w:val="22"/>
              </w:rPr>
              <w:tab/>
              <w:t>if the lease is renewed or further renewed, for each year of the further term of the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5.20</w:t>
            </w:r>
          </w:p>
        </w:tc>
      </w:tr>
      <w:tr>
        <w:trPr>
          <w:cantSplit/>
        </w:trPr>
        <w:tc>
          <w:tcPr>
            <w:tcW w:w="4820" w:type="dxa"/>
            <w:noWrap/>
          </w:tcPr>
          <w:p>
            <w:pPr>
              <w:pStyle w:val="yTableNAm"/>
              <w:keepNext/>
              <w:rPr>
                <w:szCs w:val="22"/>
              </w:rPr>
            </w:pPr>
            <w:r>
              <w:rPr>
                <w:szCs w:val="22"/>
              </w:rPr>
              <w:t>10.</w:t>
            </w:r>
            <w:r>
              <w:rPr>
                <w:szCs w:val="22"/>
              </w:rPr>
              <w:tab/>
              <w:t>Application fee for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ind w:left="1147" w:hanging="1147"/>
              <w:rPr>
                <w:szCs w:val="22"/>
              </w:rPr>
            </w:pPr>
            <w:r>
              <w:rPr>
                <w:szCs w:val="22"/>
              </w:rPr>
              <w:tab/>
              <w:t>(a)</w:t>
            </w:r>
            <w:r>
              <w:rPr>
                <w:szCs w:val="22"/>
              </w:rPr>
              <w:tab/>
              <w:t>exploration licence — </w:t>
            </w:r>
          </w:p>
        </w:tc>
        <w:tc>
          <w:tcPr>
            <w:tcW w:w="992" w:type="dxa"/>
            <w:noWrap/>
            <w:vAlign w:val="bottom"/>
          </w:tcPr>
          <w:p>
            <w:pPr>
              <w:pStyle w:val="yTableNAm"/>
              <w:keepNext/>
              <w:rPr>
                <w:szCs w:val="22"/>
              </w:rPr>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w:t>
            </w:r>
            <w:r>
              <w:rPr>
                <w:szCs w:val="22"/>
              </w:rPr>
              <w:tab/>
              <w:t>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414.00</w:t>
            </w:r>
          </w:p>
        </w:tc>
      </w:tr>
      <w:tr>
        <w:trPr>
          <w:cantSplit/>
        </w:trPr>
        <w:tc>
          <w:tcPr>
            <w:tcW w:w="4820" w:type="dxa"/>
            <w:noWrap/>
          </w:tcPr>
          <w:p>
            <w:pPr>
              <w:pStyle w:val="yTableNAm"/>
              <w:tabs>
                <w:tab w:val="left" w:pos="1161"/>
                <w:tab w:val="left" w:pos="1665"/>
              </w:tabs>
              <w:ind w:left="1693" w:hanging="1693"/>
              <w:rPr>
                <w:szCs w:val="22"/>
              </w:rPr>
            </w:pPr>
            <w:r>
              <w:rPr>
                <w:szCs w:val="22"/>
              </w:rPr>
              <w:tab/>
            </w:r>
            <w:r>
              <w:rPr>
                <w:szCs w:val="22"/>
              </w:rPr>
              <w:tab/>
              <w:t>(ii)</w:t>
            </w:r>
            <w:r>
              <w:rPr>
                <w:szCs w:val="22"/>
              </w:rPr>
              <w:tab/>
              <w:t>more than 1 block</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1 660.00</w:t>
            </w:r>
          </w:p>
        </w:tc>
      </w:tr>
      <w:tr>
        <w:trPr>
          <w:cantSplit/>
        </w:trPr>
        <w:tc>
          <w:tcPr>
            <w:tcW w:w="4820" w:type="dxa"/>
            <w:noWrap/>
          </w:tcPr>
          <w:p>
            <w:pPr>
              <w:pStyle w:val="yTableNAm"/>
              <w:ind w:left="1147" w:hanging="1147"/>
              <w:rPr>
                <w:szCs w:val="22"/>
              </w:rPr>
            </w:pPr>
            <w:r>
              <w:rPr>
                <w:szCs w:val="22"/>
              </w:rPr>
              <w:tab/>
              <w:t>(b)</w:t>
            </w:r>
            <w:r>
              <w:rPr>
                <w:szCs w:val="22"/>
              </w:rPr>
              <w:tab/>
              <w:t>general purpose lease</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(c)</w:t>
            </w:r>
            <w:r>
              <w:rPr>
                <w:szCs w:val="22"/>
              </w:rPr>
              <w:tab/>
              <w:t>mining lease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tab/>
              <w:t>(d)</w:t>
            </w:r>
            <w:r>
              <w:rPr>
                <w:szCs w:val="22"/>
              </w:rPr>
              <w:tab/>
              <w:t>miscellaneous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579.00</w:t>
            </w:r>
          </w:p>
        </w:tc>
      </w:tr>
      <w:tr>
        <w:trPr>
          <w:cantSplit/>
        </w:trPr>
        <w:tc>
          <w:tcPr>
            <w:tcW w:w="4820" w:type="dxa"/>
            <w:noWrap/>
          </w:tcPr>
          <w:p>
            <w:pPr>
              <w:pStyle w:val="yTableNAm"/>
              <w:ind w:left="1147" w:hanging="1147"/>
              <w:rPr>
                <w:szCs w:val="22"/>
              </w:rPr>
            </w:pPr>
            <w:r>
              <w:rPr>
                <w:szCs w:val="22"/>
              </w:rPr>
              <w:lastRenderedPageBreak/>
              <w:tab/>
              <w:t>(e)</w:t>
            </w:r>
            <w:r>
              <w:rPr>
                <w:szCs w:val="22"/>
              </w:rPr>
              <w:tab/>
              <w:t>permit under section 40E</w:t>
            </w:r>
          </w:p>
        </w:tc>
        <w:tc>
          <w:tcPr>
            <w:tcW w:w="992" w:type="dxa"/>
            <w:noWrap/>
            <w:vAlign w:val="bottom"/>
          </w:tcPr>
          <w:p>
            <w:pPr>
              <w:pStyle w:val="yTableNAm"/>
              <w:ind w:left="1147" w:hanging="1147"/>
              <w:rPr>
                <w:szCs w:val="22"/>
              </w:rPr>
            </w:pPr>
            <w:r>
              <w:rPr>
                <w:szCs w:val="22"/>
              </w:rPr>
              <w:t>r. 4D(2)</w:t>
            </w:r>
          </w:p>
        </w:tc>
        <w:tc>
          <w:tcPr>
            <w:tcW w:w="992" w:type="dxa"/>
            <w:noWrap/>
            <w:vAlign w:val="bottom"/>
          </w:tcPr>
          <w:p>
            <w:pPr>
              <w:pStyle w:val="yTableNAm"/>
              <w:tabs>
                <w:tab w:val="clear" w:pos="567"/>
              </w:tabs>
              <w:jc w:val="right"/>
              <w:rPr>
                <w:szCs w:val="22"/>
              </w:rPr>
            </w:pPr>
            <w:r>
              <w:rPr>
                <w:szCs w:val="22"/>
              </w:rPr>
              <w:t>99.00</w:t>
            </w:r>
          </w:p>
        </w:tc>
      </w:tr>
      <w:tr>
        <w:trPr>
          <w:cantSplit/>
        </w:trPr>
        <w:tc>
          <w:tcPr>
            <w:tcW w:w="4820" w:type="dxa"/>
            <w:noWrap/>
          </w:tcPr>
          <w:p>
            <w:pPr>
              <w:pStyle w:val="yTableNAm"/>
              <w:ind w:left="1147" w:hanging="1147"/>
              <w:rPr>
                <w:szCs w:val="22"/>
              </w:rPr>
            </w:pPr>
            <w:r>
              <w:rPr>
                <w:szCs w:val="22"/>
              </w:rPr>
              <w:tab/>
              <w:t>(f)</w:t>
            </w:r>
            <w:r>
              <w:rPr>
                <w:szCs w:val="22"/>
              </w:rPr>
              <w:tab/>
              <w:t>prospecting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393.00</w:t>
            </w:r>
          </w:p>
        </w:tc>
      </w:tr>
      <w:tr>
        <w:trPr>
          <w:cantSplit/>
        </w:trPr>
        <w:tc>
          <w:tcPr>
            <w:tcW w:w="4820" w:type="dxa"/>
            <w:noWrap/>
          </w:tcPr>
          <w:p>
            <w:pPr>
              <w:pStyle w:val="yTableNAm"/>
              <w:ind w:left="1147" w:hanging="1147"/>
              <w:rPr>
                <w:szCs w:val="22"/>
              </w:rPr>
            </w:pPr>
            <w:r>
              <w:rPr>
                <w:szCs w:val="22"/>
              </w:rPr>
              <w:tab/>
              <w:t>(g)</w:t>
            </w:r>
            <w:r>
              <w:rPr>
                <w:szCs w:val="22"/>
              </w:rPr>
              <w:tab/>
              <w:t>retention licence</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r>
              <w:rPr>
                <w:szCs w:val="22"/>
              </w:rPr>
              <w:t>951.00</w:t>
            </w:r>
          </w:p>
        </w:tc>
      </w:tr>
      <w:tr>
        <w:trPr>
          <w:cantSplit/>
        </w:trPr>
        <w:tc>
          <w:tcPr>
            <w:tcW w:w="4820" w:type="dxa"/>
            <w:noWrap/>
          </w:tcPr>
          <w:p>
            <w:pPr>
              <w:pStyle w:val="yTableNAm"/>
              <w:ind w:left="573" w:hanging="573"/>
              <w:rPr>
                <w:szCs w:val="22"/>
              </w:rPr>
            </w:pPr>
            <w:r>
              <w:rPr>
                <w:szCs w:val="22"/>
              </w:rPr>
              <w:t>11.</w:t>
            </w:r>
            <w:r>
              <w:rPr>
                <w:szCs w:val="22"/>
              </w:rPr>
              <w:tab/>
              <w:t>Application fee for approval of retention status</w:t>
            </w:r>
          </w:p>
        </w:tc>
        <w:tc>
          <w:tcPr>
            <w:tcW w:w="992" w:type="dxa"/>
            <w:noWrap/>
            <w:vAlign w:val="bottom"/>
          </w:tcPr>
          <w:p>
            <w:pPr>
              <w:pStyle w:val="yTableNAm"/>
              <w:rPr>
                <w:szCs w:val="22"/>
              </w:rPr>
            </w:pPr>
          </w:p>
        </w:tc>
        <w:tc>
          <w:tcPr>
            <w:tcW w:w="992" w:type="dxa"/>
            <w:noWrap/>
            <w:vAlign w:val="bottom"/>
          </w:tcPr>
          <w:p>
            <w:pPr>
              <w:pStyle w:val="yTableNAm"/>
              <w:tabs>
                <w:tab w:val="clear" w:pos="567"/>
              </w:tabs>
              <w:jc w:val="right"/>
              <w:rPr>
                <w:szCs w:val="22"/>
              </w:rPr>
            </w:pPr>
            <w:r>
              <w:rPr>
                <w:szCs w:val="22"/>
              </w:rPr>
              <w:t>345.00</w:t>
            </w:r>
          </w:p>
        </w:tc>
      </w:tr>
      <w:tr>
        <w:trPr>
          <w:cantSplit/>
        </w:trPr>
        <w:tc>
          <w:tcPr>
            <w:tcW w:w="4820" w:type="dxa"/>
            <w:noWrap/>
          </w:tcPr>
          <w:p>
            <w:pPr>
              <w:pStyle w:val="yTableNAm"/>
              <w:ind w:left="573" w:hanging="573"/>
              <w:rPr>
                <w:szCs w:val="22"/>
              </w:rPr>
            </w:pPr>
            <w:r>
              <w:rPr>
                <w:szCs w:val="22"/>
              </w:rPr>
              <w:t>12.</w:t>
            </w:r>
            <w:r>
              <w:rPr>
                <w:szCs w:val="22"/>
              </w:rPr>
              <w:tab/>
              <w:t>Copy of all or part of document or report (per copy)</w:t>
            </w:r>
          </w:p>
        </w:tc>
        <w:tc>
          <w:tcPr>
            <w:tcW w:w="992" w:type="dxa"/>
            <w:noWrap/>
            <w:vAlign w:val="bottom"/>
          </w:tcPr>
          <w:p>
            <w:pPr>
              <w:pStyle w:val="yTableNAm"/>
              <w:ind w:left="1147" w:hanging="1147"/>
              <w:rPr>
                <w:szCs w:val="22"/>
              </w:rPr>
            </w:pPr>
            <w:r>
              <w:rPr>
                <w:szCs w:val="22"/>
              </w:rPr>
              <w:t>r. 25B</w:t>
            </w:r>
          </w:p>
        </w:tc>
        <w:tc>
          <w:tcPr>
            <w:tcW w:w="992" w:type="dxa"/>
            <w:noWrap/>
            <w:vAlign w:val="bottom"/>
          </w:tcPr>
          <w:p>
            <w:pPr>
              <w:pStyle w:val="yTableNAm"/>
              <w:tabs>
                <w:tab w:val="clear" w:pos="567"/>
              </w:tabs>
              <w:jc w:val="right"/>
              <w:rPr>
                <w:szCs w:val="22"/>
              </w:rPr>
            </w:pPr>
            <w:r>
              <w:rPr>
                <w:szCs w:val="22"/>
              </w:rPr>
              <w:t>11.10</w:t>
            </w:r>
          </w:p>
        </w:tc>
      </w:tr>
      <w:tr>
        <w:trPr>
          <w:cantSplit/>
        </w:trPr>
        <w:tc>
          <w:tcPr>
            <w:tcW w:w="4820" w:type="dxa"/>
            <w:noWrap/>
          </w:tcPr>
          <w:p>
            <w:pPr>
              <w:pStyle w:val="yTableNAm"/>
              <w:ind w:left="573" w:hanging="573"/>
              <w:rPr>
                <w:szCs w:val="22"/>
              </w:rPr>
            </w:pPr>
            <w:r>
              <w:rPr>
                <w:szCs w:val="22"/>
              </w:rPr>
              <w:t>13.</w:t>
            </w:r>
            <w:r>
              <w:rPr>
                <w:szCs w:val="22"/>
              </w:rPr>
              <w:tab/>
              <w:t>Copy of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rPr>
                <w:rStyle w:val="DraftersNotes"/>
                <w:szCs w:val="22"/>
              </w:rPr>
            </w:pPr>
            <w:r>
              <w:rPr>
                <w:szCs w:val="22"/>
              </w:rPr>
              <w:tab/>
              <w:t>(a)</w:t>
            </w:r>
            <w:r>
              <w:rPr>
                <w:szCs w:val="22"/>
              </w:rPr>
              <w:tab/>
              <w:t>entry in the register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tabs>
                <w:tab w:val="clear" w:pos="567"/>
              </w:tabs>
              <w:jc w:val="right"/>
              <w:rPr>
                <w:szCs w:val="22"/>
              </w:rPr>
            </w:pPr>
            <w:r>
              <w:rPr>
                <w:szCs w:val="22"/>
              </w:rPr>
              <w:t>10.60</w:t>
            </w:r>
          </w:p>
        </w:tc>
      </w:tr>
      <w:tr>
        <w:trPr>
          <w:cantSplit/>
        </w:trPr>
        <w:tc>
          <w:tcPr>
            <w:tcW w:w="4820" w:type="dxa"/>
            <w:noWrap/>
          </w:tcPr>
          <w:p>
            <w:pPr>
              <w:pStyle w:val="yTableNAm"/>
              <w:ind w:left="1147" w:hanging="1147"/>
              <w:rPr>
                <w:szCs w:val="22"/>
              </w:rPr>
            </w:pPr>
            <w:r>
              <w:rPr>
                <w:szCs w:val="22"/>
              </w:rPr>
              <w:tab/>
              <w:t>(b)</w:t>
            </w:r>
            <w:r>
              <w:rPr>
                <w:szCs w:val="22"/>
              </w:rPr>
              <w:tab/>
              <w:t>dealing or other instrument (per tenement)</w:t>
            </w:r>
          </w:p>
        </w:tc>
        <w:tc>
          <w:tcPr>
            <w:tcW w:w="992" w:type="dxa"/>
            <w:noWrap/>
            <w:vAlign w:val="bottom"/>
          </w:tcPr>
          <w:p>
            <w:pPr>
              <w:pStyle w:val="yTableNAm"/>
              <w:ind w:left="1147" w:hanging="1147"/>
              <w:rPr>
                <w:szCs w:val="22"/>
              </w:rPr>
            </w:pPr>
            <w:r>
              <w:rPr>
                <w:szCs w:val="22"/>
              </w:rPr>
              <w:t>r. 84D</w:t>
            </w:r>
          </w:p>
        </w:tc>
        <w:tc>
          <w:tcPr>
            <w:tcW w:w="992" w:type="dxa"/>
            <w:noWrap/>
            <w:vAlign w:val="bottom"/>
          </w:tcPr>
          <w:p>
            <w:pPr>
              <w:pStyle w:val="yTableNAm"/>
              <w:tabs>
                <w:tab w:val="clear" w:pos="567"/>
              </w:tabs>
              <w:jc w:val="right"/>
              <w:rPr>
                <w:szCs w:val="22"/>
              </w:rPr>
            </w:pPr>
            <w:r>
              <w:rPr>
                <w:szCs w:val="22"/>
              </w:rPr>
              <w:t>11.10</w:t>
            </w:r>
          </w:p>
        </w:tc>
      </w:tr>
      <w:tr>
        <w:trPr>
          <w:cantSplit/>
        </w:trPr>
        <w:tc>
          <w:tcPr>
            <w:tcW w:w="4820" w:type="dxa"/>
            <w:noWrap/>
          </w:tcPr>
          <w:p>
            <w:pPr>
              <w:pStyle w:val="yTableNAm"/>
              <w:ind w:left="573" w:hanging="573"/>
              <w:rPr>
                <w:rStyle w:val="DraftersNotes"/>
                <w:b w:val="0"/>
                <w:i w:val="0"/>
                <w:szCs w:val="22"/>
              </w:rPr>
            </w:pPr>
            <w:r>
              <w:rPr>
                <w:szCs w:val="22"/>
              </w:rPr>
              <w:t>14.</w:t>
            </w:r>
            <w:r>
              <w:rPr>
                <w:szCs w:val="22"/>
              </w:rPr>
              <w:tab/>
              <w:t>Certification of a document</w:t>
            </w:r>
          </w:p>
        </w:tc>
        <w:tc>
          <w:tcPr>
            <w:tcW w:w="992" w:type="dxa"/>
            <w:noWrap/>
            <w:vAlign w:val="bottom"/>
          </w:tcPr>
          <w:p>
            <w:pPr>
              <w:pStyle w:val="yTableNAm"/>
              <w:ind w:left="1147" w:hanging="1147"/>
              <w:rPr>
                <w:szCs w:val="22"/>
              </w:rPr>
            </w:pPr>
            <w:r>
              <w:rPr>
                <w:szCs w:val="22"/>
              </w:rPr>
              <w:t>r. 109</w:t>
            </w:r>
          </w:p>
        </w:tc>
        <w:tc>
          <w:tcPr>
            <w:tcW w:w="992" w:type="dxa"/>
            <w:noWrap/>
            <w:vAlign w:val="bottom"/>
          </w:tcPr>
          <w:p>
            <w:pPr>
              <w:pStyle w:val="yTableNAm"/>
              <w:tabs>
                <w:tab w:val="clear" w:pos="567"/>
              </w:tabs>
              <w:jc w:val="right"/>
              <w:rPr>
                <w:szCs w:val="22"/>
              </w:rPr>
            </w:pPr>
            <w:r>
              <w:rPr>
                <w:szCs w:val="22"/>
              </w:rPr>
              <w:t>8.70</w:t>
            </w:r>
          </w:p>
        </w:tc>
      </w:tr>
      <w:tr>
        <w:trPr>
          <w:cantSplit/>
        </w:trPr>
        <w:tc>
          <w:tcPr>
            <w:tcW w:w="4820" w:type="dxa"/>
            <w:noWrap/>
          </w:tcPr>
          <w:p>
            <w:pPr>
              <w:pStyle w:val="yTableNAm"/>
              <w:ind w:left="573" w:hanging="573"/>
              <w:rPr>
                <w:szCs w:val="22"/>
              </w:rPr>
            </w:pPr>
            <w:r>
              <w:rPr>
                <w:szCs w:val="22"/>
              </w:rPr>
              <w:t>15.</w:t>
            </w:r>
            <w:r>
              <w:rPr>
                <w:szCs w:val="22"/>
              </w:rPr>
              <w:tab/>
              <w:t xml:space="preserve">Exemption from expenditure conditions — </w:t>
            </w:r>
          </w:p>
        </w:tc>
        <w:tc>
          <w:tcPr>
            <w:tcW w:w="992" w:type="dxa"/>
            <w:noWrap/>
            <w:vAlign w:val="bottom"/>
          </w:tcPr>
          <w:p>
            <w:pPr>
              <w:pStyle w:val="yTableNAm"/>
              <w:ind w:left="1147" w:hanging="1147"/>
              <w:rPr>
                <w:szCs w:val="22"/>
              </w:rPr>
            </w:pPr>
          </w:p>
        </w:tc>
        <w:tc>
          <w:tcPr>
            <w:tcW w:w="992" w:type="dxa"/>
            <w:noWrap/>
            <w:vAlign w:val="bottom"/>
          </w:tcPr>
          <w:p>
            <w:pPr>
              <w:pStyle w:val="yTableNAm"/>
              <w:tabs>
                <w:tab w:val="clear" w:pos="567"/>
              </w:tabs>
              <w:jc w:val="right"/>
              <w:rPr>
                <w:szCs w:val="22"/>
              </w:rPr>
            </w:pPr>
          </w:p>
        </w:tc>
      </w:tr>
      <w:tr>
        <w:trPr>
          <w:cantSplit/>
        </w:trPr>
        <w:tc>
          <w:tcPr>
            <w:tcW w:w="4820" w:type="dxa"/>
            <w:noWrap/>
          </w:tcPr>
          <w:p>
            <w:pPr>
              <w:pStyle w:val="yTableNAm"/>
              <w:ind w:left="1147" w:hanging="1147"/>
            </w:pPr>
            <w:r>
              <w:tab/>
              <w:t>(a)</w:t>
            </w:r>
            <w:r>
              <w:tab/>
              <w:t>1 year exemption for —</w:t>
            </w:r>
            <w:r>
              <w:rPr>
                <w:szCs w:val="22"/>
              </w:rPr>
              <w:t xml:space="preserve">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tabs>
                <w:tab w:val="left" w:pos="1161"/>
                <w:tab w:val="left" w:pos="1665"/>
              </w:tabs>
              <w:ind w:left="1693" w:hanging="1693"/>
              <w:rPr>
                <w:rStyle w:val="DraftersNotes"/>
              </w:rPr>
            </w:pPr>
            <w:r>
              <w:tab/>
            </w:r>
            <w:r>
              <w:tab/>
              <w:t>(i)</w:t>
            </w:r>
            <w:r>
              <w:tab/>
              <w:t>prospecting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428.00</w:t>
            </w:r>
          </w:p>
        </w:tc>
      </w:tr>
      <w:tr>
        <w:trPr>
          <w:cantSplit/>
        </w:trPr>
        <w:tc>
          <w:tcPr>
            <w:tcW w:w="4820" w:type="dxa"/>
            <w:noWrap/>
          </w:tcPr>
          <w:p>
            <w:pPr>
              <w:pStyle w:val="yTableNAm"/>
              <w:tabs>
                <w:tab w:val="left" w:pos="1161"/>
                <w:tab w:val="left" w:pos="1665"/>
              </w:tabs>
              <w:ind w:left="1693" w:hanging="1693"/>
            </w:pPr>
            <w:r>
              <w:tab/>
            </w:r>
            <w:r>
              <w:tab/>
              <w:t>(ii)</w:t>
            </w:r>
            <w:r>
              <w:tab/>
              <w:t>exploration licence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510.00</w:t>
            </w:r>
          </w:p>
        </w:tc>
      </w:tr>
      <w:tr>
        <w:trPr>
          <w:cantSplit/>
        </w:trPr>
        <w:tc>
          <w:tcPr>
            <w:tcW w:w="4820" w:type="dxa"/>
            <w:noWrap/>
          </w:tcPr>
          <w:p>
            <w:pPr>
              <w:pStyle w:val="yTableNAm"/>
              <w:tabs>
                <w:tab w:val="left" w:pos="1161"/>
                <w:tab w:val="left" w:pos="1665"/>
              </w:tabs>
              <w:ind w:left="1693" w:hanging="1693"/>
            </w:pPr>
            <w:r>
              <w:tab/>
            </w:r>
            <w:r>
              <w:tab/>
              <w:t>(iii)</w:t>
            </w:r>
            <w:r>
              <w:tab/>
              <w:t>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397.00</w:t>
            </w:r>
          </w:p>
        </w:tc>
      </w:tr>
      <w:tr>
        <w:trPr>
          <w:cantSplit/>
        </w:trPr>
        <w:tc>
          <w:tcPr>
            <w:tcW w:w="4820" w:type="dxa"/>
            <w:noWrap/>
          </w:tcPr>
          <w:p>
            <w:pPr>
              <w:pStyle w:val="yTableNAm"/>
              <w:ind w:left="1147" w:hanging="1147"/>
            </w:pPr>
            <w:r>
              <w:tab/>
              <w:t>(b)</w:t>
            </w:r>
            <w:r>
              <w:tab/>
              <w:t>5 year exemption for mining lease</w:t>
            </w:r>
          </w:p>
        </w:tc>
        <w:tc>
          <w:tcPr>
            <w:tcW w:w="992" w:type="dxa"/>
            <w:noWrap/>
            <w:vAlign w:val="bottom"/>
          </w:tcPr>
          <w:p>
            <w:pPr>
              <w:pStyle w:val="yTableNAm"/>
              <w:ind w:left="1147" w:hanging="1147"/>
            </w:pPr>
            <w:r>
              <w:t>r. 54</w:t>
            </w:r>
          </w:p>
        </w:tc>
        <w:tc>
          <w:tcPr>
            <w:tcW w:w="992" w:type="dxa"/>
            <w:noWrap/>
            <w:vAlign w:val="bottom"/>
          </w:tcPr>
          <w:p>
            <w:pPr>
              <w:pStyle w:val="yTableNAm"/>
              <w:tabs>
                <w:tab w:val="clear" w:pos="567"/>
              </w:tabs>
              <w:jc w:val="right"/>
            </w:pPr>
            <w:r>
              <w:rPr>
                <w:szCs w:val="22"/>
              </w:rPr>
              <w:t>1 990.00</w:t>
            </w:r>
          </w:p>
        </w:tc>
      </w:tr>
      <w:tr>
        <w:trPr>
          <w:cantSplit/>
        </w:trPr>
        <w:tc>
          <w:tcPr>
            <w:tcW w:w="4820" w:type="dxa"/>
            <w:noWrap/>
          </w:tcPr>
          <w:p>
            <w:pPr>
              <w:pStyle w:val="yTableNAm"/>
              <w:keepNext/>
              <w:ind w:left="573" w:hanging="573"/>
            </w:pPr>
            <w:r>
              <w:t>16.</w:t>
            </w:r>
            <w:r>
              <w:tab/>
              <w:t>Issue of —</w:t>
            </w:r>
            <w:r>
              <w:rPr>
                <w:szCs w:val="22"/>
              </w:rPr>
              <w:t xml:space="preserve">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instrument of licence</w:t>
            </w:r>
          </w:p>
        </w:tc>
        <w:tc>
          <w:tcPr>
            <w:tcW w:w="992" w:type="dxa"/>
            <w:noWrap/>
            <w:vAlign w:val="bottom"/>
          </w:tcPr>
          <w:p>
            <w:pPr>
              <w:pStyle w:val="yTableNAm"/>
              <w:ind w:left="1147" w:hanging="1147"/>
            </w:pPr>
            <w:r>
              <w:t>s. 116</w:t>
            </w:r>
          </w:p>
        </w:tc>
        <w:tc>
          <w:tcPr>
            <w:tcW w:w="992" w:type="dxa"/>
            <w:noWrap/>
            <w:vAlign w:val="bottom"/>
          </w:tcPr>
          <w:p>
            <w:pPr>
              <w:pStyle w:val="yTableNAm"/>
              <w:tabs>
                <w:tab w:val="clear" w:pos="567"/>
              </w:tabs>
              <w:jc w:val="right"/>
            </w:pPr>
            <w:r>
              <w:rPr>
                <w:szCs w:val="22"/>
              </w:rPr>
              <w:t>45.50</w:t>
            </w:r>
          </w:p>
        </w:tc>
      </w:tr>
      <w:tr>
        <w:trPr>
          <w:cantSplit/>
        </w:trPr>
        <w:tc>
          <w:tcPr>
            <w:tcW w:w="4820" w:type="dxa"/>
            <w:noWrap/>
          </w:tcPr>
          <w:p>
            <w:pPr>
              <w:pStyle w:val="yTableNAm"/>
              <w:ind w:left="1147" w:hanging="1147"/>
            </w:pPr>
            <w:r>
              <w:tab/>
              <w:t>(b)</w:t>
            </w:r>
            <w:r>
              <w:tab/>
              <w:t>miner’s right</w:t>
            </w:r>
          </w:p>
        </w:tc>
        <w:tc>
          <w:tcPr>
            <w:tcW w:w="992" w:type="dxa"/>
            <w:noWrap/>
            <w:vAlign w:val="bottom"/>
          </w:tcPr>
          <w:p>
            <w:pPr>
              <w:pStyle w:val="yTableNAm"/>
              <w:ind w:left="1147" w:hanging="1147"/>
            </w:pPr>
            <w:r>
              <w:t>s. 40C</w:t>
            </w:r>
          </w:p>
        </w:tc>
        <w:tc>
          <w:tcPr>
            <w:tcW w:w="992" w:type="dxa"/>
            <w:noWrap/>
            <w:vAlign w:val="bottom"/>
          </w:tcPr>
          <w:p>
            <w:pPr>
              <w:pStyle w:val="yTableNAm"/>
              <w:tabs>
                <w:tab w:val="clear" w:pos="567"/>
              </w:tabs>
              <w:jc w:val="right"/>
            </w:pPr>
            <w:r>
              <w:t>29.50</w:t>
            </w:r>
          </w:p>
        </w:tc>
      </w:tr>
      <w:tr>
        <w:trPr>
          <w:cantSplit/>
        </w:trPr>
        <w:tc>
          <w:tcPr>
            <w:tcW w:w="4820" w:type="dxa"/>
            <w:noWrap/>
          </w:tcPr>
          <w:p>
            <w:pPr>
              <w:pStyle w:val="yTableNAm"/>
              <w:ind w:left="573" w:hanging="573"/>
              <w:rPr>
                <w:szCs w:val="22"/>
              </w:rPr>
            </w:pPr>
            <w:r>
              <w:t>17.</w:t>
            </w:r>
            <w:r>
              <w:tab/>
              <w:t>Partial surrender of a mining tenement</w:t>
            </w:r>
          </w:p>
        </w:tc>
        <w:tc>
          <w:tcPr>
            <w:tcW w:w="992" w:type="dxa"/>
            <w:noWrap/>
            <w:vAlign w:val="bottom"/>
          </w:tcPr>
          <w:p>
            <w:pPr>
              <w:pStyle w:val="yTableNAm"/>
              <w:ind w:left="1147" w:hanging="1147"/>
            </w:pPr>
            <w:r>
              <w:t>r. 45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573" w:hanging="573"/>
              <w:rPr>
                <w:szCs w:val="22"/>
              </w:rPr>
            </w:pPr>
            <w:r>
              <w:t>18.</w:t>
            </w:r>
            <w:r>
              <w:tab/>
              <w:t>Application for permit to enter private land (per lot or location affected — minimum $</w:t>
            </w:r>
            <w:r>
              <w:rPr>
                <w:szCs w:val="22"/>
              </w:rPr>
              <w:t>36.00</w:t>
            </w:r>
            <w:r>
              <w:t>)</w:t>
            </w:r>
          </w:p>
        </w:tc>
        <w:tc>
          <w:tcPr>
            <w:tcW w:w="992" w:type="dxa"/>
            <w:noWrap/>
            <w:vAlign w:val="bottom"/>
          </w:tcPr>
          <w:p>
            <w:pPr>
              <w:pStyle w:val="yTableNAm"/>
              <w:ind w:left="1147" w:hanging="1147"/>
            </w:pPr>
            <w:r>
              <w:t>r. 5</w:t>
            </w:r>
          </w:p>
        </w:tc>
        <w:tc>
          <w:tcPr>
            <w:tcW w:w="992" w:type="dxa"/>
            <w:noWrap/>
            <w:vAlign w:val="bottom"/>
          </w:tcPr>
          <w:p>
            <w:pPr>
              <w:pStyle w:val="yTableNAm"/>
              <w:tabs>
                <w:tab w:val="clear" w:pos="567"/>
              </w:tabs>
              <w:jc w:val="right"/>
            </w:pPr>
            <w:r>
              <w:rPr>
                <w:szCs w:val="22"/>
              </w:rPr>
              <w:t>9.10</w:t>
            </w:r>
          </w:p>
        </w:tc>
      </w:tr>
      <w:tr>
        <w:trPr>
          <w:cantSplit/>
        </w:trPr>
        <w:tc>
          <w:tcPr>
            <w:tcW w:w="4820" w:type="dxa"/>
            <w:noWrap/>
          </w:tcPr>
          <w:p>
            <w:pPr>
              <w:pStyle w:val="yTableNAm"/>
              <w:ind w:left="573" w:hanging="573"/>
              <w:rPr>
                <w:rStyle w:val="DraftersNotes"/>
              </w:rPr>
            </w:pPr>
            <w:r>
              <w:t>19.</w:t>
            </w:r>
            <w:r>
              <w:tab/>
              <w:t>Private land — application to bring under the Act</w:t>
            </w:r>
          </w:p>
        </w:tc>
        <w:tc>
          <w:tcPr>
            <w:tcW w:w="992" w:type="dxa"/>
            <w:noWrap/>
            <w:vAlign w:val="bottom"/>
          </w:tcPr>
          <w:p>
            <w:pPr>
              <w:pStyle w:val="yTableNAm"/>
              <w:ind w:left="1147" w:hanging="1147"/>
            </w:pPr>
            <w:r>
              <w:t>r. 8</w:t>
            </w:r>
          </w:p>
        </w:tc>
        <w:tc>
          <w:tcPr>
            <w:tcW w:w="992" w:type="dxa"/>
            <w:noWrap/>
            <w:vAlign w:val="bottom"/>
          </w:tcPr>
          <w:p>
            <w:pPr>
              <w:pStyle w:val="yTableNAm"/>
              <w:tabs>
                <w:tab w:val="clear" w:pos="567"/>
              </w:tabs>
              <w:jc w:val="right"/>
            </w:pPr>
            <w:r>
              <w:rPr>
                <w:szCs w:val="22"/>
              </w:rPr>
              <w:t>28.00</w:t>
            </w:r>
          </w:p>
        </w:tc>
      </w:tr>
      <w:tr>
        <w:trPr>
          <w:cantSplit/>
        </w:trPr>
        <w:tc>
          <w:tcPr>
            <w:tcW w:w="4820" w:type="dxa"/>
            <w:noWrap/>
          </w:tcPr>
          <w:p>
            <w:pPr>
              <w:pStyle w:val="yTableNAm"/>
              <w:keepNext/>
              <w:ind w:left="573" w:hanging="573"/>
            </w:pPr>
            <w:r>
              <w:lastRenderedPageBreak/>
              <w:t>20.</w:t>
            </w:r>
            <w:r>
              <w:tab/>
              <w:t xml:space="preserve">Registration or recording of instruments (per tenement affected where applicable) — </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p>
        </w:tc>
      </w:tr>
      <w:tr>
        <w:trPr>
          <w:cantSplit/>
        </w:trPr>
        <w:tc>
          <w:tcPr>
            <w:tcW w:w="4820" w:type="dxa"/>
            <w:noWrap/>
          </w:tcPr>
          <w:p>
            <w:pPr>
              <w:pStyle w:val="yTableNAm"/>
              <w:ind w:left="1147" w:hanging="1147"/>
            </w:pPr>
            <w:r>
              <w:tab/>
              <w:t>(a)</w:t>
            </w:r>
            <w:r>
              <w:tab/>
              <w:t>application for copy document</w:t>
            </w:r>
          </w:p>
        </w:tc>
        <w:tc>
          <w:tcPr>
            <w:tcW w:w="992" w:type="dxa"/>
            <w:noWrap/>
            <w:vAlign w:val="bottom"/>
          </w:tcPr>
          <w:p>
            <w:pPr>
              <w:pStyle w:val="yTableNAm"/>
              <w:ind w:left="1147" w:hanging="1147"/>
            </w:pPr>
            <w:r>
              <w:t>r. 105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(b)</w:t>
            </w:r>
            <w:r>
              <w:tab/>
              <w:t>caveat</w:t>
            </w:r>
          </w:p>
        </w:tc>
        <w:tc>
          <w:tcPr>
            <w:tcW w:w="992" w:type="dxa"/>
            <w:noWrap/>
            <w:vAlign w:val="bottom"/>
          </w:tcPr>
          <w:p>
            <w:pPr>
              <w:pStyle w:val="yTableNAm"/>
              <w:ind w:left="1147" w:hanging="1147"/>
            </w:pPr>
            <w:r>
              <w:t>r. 76</w:t>
            </w:r>
          </w:p>
        </w:tc>
        <w:tc>
          <w:tcPr>
            <w:tcW w:w="992" w:type="dxa"/>
            <w:noWrap/>
            <w:vAlign w:val="bottom"/>
          </w:tcPr>
          <w:p>
            <w:pPr>
              <w:pStyle w:val="yTableNAm"/>
              <w:tabs>
                <w:tab w:val="clear" w:pos="567"/>
              </w:tabs>
              <w:jc w:val="right"/>
              <w:rPr>
                <w:szCs w:val="22"/>
              </w:rPr>
            </w:pPr>
            <w:r>
              <w:rPr>
                <w:szCs w:val="22"/>
              </w:rPr>
              <w:t>139.00</w:t>
            </w:r>
          </w:p>
        </w:tc>
      </w:tr>
      <w:tr>
        <w:trPr>
          <w:cantSplit/>
        </w:trPr>
        <w:tc>
          <w:tcPr>
            <w:tcW w:w="4820" w:type="dxa"/>
            <w:noWrap/>
          </w:tcPr>
          <w:p>
            <w:pPr>
              <w:pStyle w:val="yTableNAm"/>
              <w:ind w:left="1147" w:hanging="1147"/>
            </w:pPr>
            <w:r>
              <w:tab/>
              <w:t>(c)</w:t>
            </w:r>
            <w:r>
              <w:tab/>
              <w:t>judgment/order of court</w:t>
            </w:r>
          </w:p>
        </w:tc>
        <w:tc>
          <w:tcPr>
            <w:tcW w:w="992" w:type="dxa"/>
            <w:noWrap/>
            <w:vAlign w:val="bottom"/>
          </w:tcPr>
          <w:p>
            <w:pPr>
              <w:pStyle w:val="yTableNAm"/>
              <w:ind w:left="1147" w:hanging="1147"/>
            </w:pPr>
            <w:r>
              <w:t>r. 109</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keepNext/>
              <w:ind w:left="1147" w:hanging="1147"/>
            </w:pPr>
            <w:r>
              <w:tab/>
              <w:t>(d)</w:t>
            </w:r>
            <w:r>
              <w:tab/>
              <w:t>mortgage</w:t>
            </w:r>
          </w:p>
        </w:tc>
        <w:tc>
          <w:tcPr>
            <w:tcW w:w="992" w:type="dxa"/>
            <w:noWrap/>
            <w:vAlign w:val="bottom"/>
          </w:tcPr>
          <w:p>
            <w:pPr>
              <w:pStyle w:val="yTableNAm"/>
              <w:ind w:left="1147" w:hanging="1147"/>
            </w:pPr>
            <w:r>
              <w:t>r. 77</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(e)</w:t>
            </w:r>
            <w:r>
              <w:tab/>
              <w:t>notice of seizure</w:t>
            </w:r>
          </w:p>
        </w:tc>
        <w:tc>
          <w:tcPr>
            <w:tcW w:w="992" w:type="dxa"/>
            <w:noWrap/>
            <w:vAlign w:val="bottom"/>
          </w:tcPr>
          <w:p>
            <w:pPr>
              <w:pStyle w:val="yTableNAm"/>
              <w:ind w:left="1147" w:hanging="1147"/>
            </w:pPr>
            <w:r>
              <w:t>r. 109</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rPr>
                <w:rStyle w:val="DraftersNotes"/>
              </w:rPr>
            </w:pPr>
            <w:r>
              <w:tab/>
              <w:t>(f)</w:t>
            </w:r>
            <w:r>
              <w:tab/>
              <w:t>tax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132.00</w:t>
            </w:r>
          </w:p>
        </w:tc>
      </w:tr>
      <w:tr>
        <w:trPr>
          <w:cantSplit/>
        </w:trPr>
        <w:tc>
          <w:tcPr>
            <w:tcW w:w="4820" w:type="dxa"/>
            <w:noWrap/>
          </w:tcPr>
          <w:p>
            <w:pPr>
              <w:pStyle w:val="yTableNAm"/>
              <w:ind w:left="1147" w:hanging="1147"/>
            </w:pPr>
            <w:r>
              <w:tab/>
              <w:t>(g)</w:t>
            </w:r>
            <w:r>
              <w:tab/>
              <w:t xml:space="preserve">transfer of mining tenement </w:t>
            </w:r>
          </w:p>
        </w:tc>
        <w:tc>
          <w:tcPr>
            <w:tcW w:w="992" w:type="dxa"/>
            <w:noWrap/>
            <w:vAlign w:val="bottom"/>
          </w:tcPr>
          <w:p>
            <w:pPr>
              <w:pStyle w:val="yTableNAm"/>
              <w:ind w:left="1147" w:hanging="1147"/>
            </w:pPr>
            <w:r>
              <w:t>r. 75</w:t>
            </w:r>
          </w:p>
        </w:tc>
        <w:tc>
          <w:tcPr>
            <w:tcW w:w="992" w:type="dxa"/>
            <w:noWrap/>
            <w:vAlign w:val="bottom"/>
          </w:tcPr>
          <w:p>
            <w:pPr>
              <w:pStyle w:val="yTableNAm"/>
              <w:tabs>
                <w:tab w:val="clear" w:pos="567"/>
              </w:tabs>
              <w:jc w:val="right"/>
            </w:pPr>
            <w:r>
              <w:rPr>
                <w:szCs w:val="22"/>
              </w:rPr>
              <w:t>139.00</w:t>
            </w:r>
          </w:p>
        </w:tc>
      </w:tr>
      <w:tr>
        <w:trPr>
          <w:cantSplit/>
        </w:trPr>
        <w:tc>
          <w:tcPr>
            <w:tcW w:w="4820" w:type="dxa"/>
            <w:noWrap/>
          </w:tcPr>
          <w:p>
            <w:pPr>
              <w:pStyle w:val="yTableNAm"/>
              <w:ind w:left="1147" w:hanging="1147"/>
            </w:pPr>
            <w:r>
              <w:tab/>
              <w:t>(h)</w:t>
            </w:r>
            <w:r>
              <w:tab/>
              <w:t>withdrawal of memorial</w:t>
            </w:r>
          </w:p>
        </w:tc>
        <w:tc>
          <w:tcPr>
            <w:tcW w:w="992" w:type="dxa"/>
            <w:noWrap/>
            <w:vAlign w:val="bottom"/>
          </w:tcPr>
          <w:p>
            <w:pPr>
              <w:pStyle w:val="yTableNAm"/>
              <w:ind w:left="1147" w:hanging="1147"/>
            </w:pPr>
            <w:r>
              <w:t>s. 103C</w:t>
            </w:r>
          </w:p>
        </w:tc>
        <w:tc>
          <w:tcPr>
            <w:tcW w:w="992" w:type="dxa"/>
            <w:noWrap/>
            <w:vAlign w:val="bottom"/>
          </w:tcPr>
          <w:p>
            <w:pPr>
              <w:pStyle w:val="yTableNAm"/>
              <w:tabs>
                <w:tab w:val="clear" w:pos="567"/>
              </w:tabs>
              <w:jc w:val="right"/>
            </w:pPr>
            <w:r>
              <w:rPr>
                <w:szCs w:val="22"/>
              </w:rPr>
              <w:t>9.10</w:t>
            </w:r>
          </w:p>
        </w:tc>
      </w:tr>
      <w:tr>
        <w:trPr>
          <w:cantSplit/>
        </w:trPr>
        <w:tc>
          <w:tcPr>
            <w:tcW w:w="4820" w:type="dxa"/>
            <w:noWrap/>
          </w:tcPr>
          <w:p>
            <w:pPr>
              <w:pStyle w:val="yTableNAm"/>
              <w:ind w:left="573" w:hanging="573"/>
            </w:pPr>
            <w:r>
              <w:t>21.</w:t>
            </w:r>
            <w:r>
              <w:tab/>
              <w:t>Copy of front page of Form 5, together with either Attachment 1 — “Summary of Mineral Exploration/Mining Activities” or Attachment 2 — “Summary of Prospecting and/or Small Scale Mining Activities”, as the case may be</w:t>
            </w:r>
          </w:p>
        </w:tc>
        <w:tc>
          <w:tcPr>
            <w:tcW w:w="992" w:type="dxa"/>
            <w:noWrap/>
            <w:vAlign w:val="bottom"/>
          </w:tcPr>
          <w:p>
            <w:pPr>
              <w:pStyle w:val="yTableNAm"/>
              <w:ind w:left="1147" w:hanging="1147"/>
            </w:pPr>
            <w:r>
              <w:t>r. 96(3)</w:t>
            </w:r>
          </w:p>
        </w:tc>
        <w:tc>
          <w:tcPr>
            <w:tcW w:w="992" w:type="dxa"/>
            <w:noWrap/>
            <w:vAlign w:val="bottom"/>
          </w:tcPr>
          <w:p>
            <w:pPr>
              <w:pStyle w:val="yTableNAm"/>
              <w:tabs>
                <w:tab w:val="clear" w:pos="567"/>
              </w:tabs>
              <w:jc w:val="right"/>
            </w:pPr>
            <w:r>
              <w:rPr>
                <w:szCs w:val="22"/>
              </w:rPr>
              <w:t>11.10</w:t>
            </w:r>
          </w:p>
        </w:tc>
      </w:tr>
      <w:tr>
        <w:trPr>
          <w:cantSplit/>
        </w:trPr>
        <w:tc>
          <w:tcPr>
            <w:tcW w:w="4820" w:type="dxa"/>
            <w:noWrap/>
          </w:tcPr>
          <w:p>
            <w:pPr>
              <w:pStyle w:val="yTableNAm"/>
              <w:keepNext/>
              <w:ind w:left="573" w:hanging="573"/>
            </w:pPr>
            <w:r>
              <w:t>22.</w:t>
            </w:r>
            <w:r>
              <w:tab/>
              <w:t>Fees relating to proceedings under Parts VII and VIII —</w:t>
            </w:r>
          </w:p>
        </w:tc>
        <w:tc>
          <w:tcPr>
            <w:tcW w:w="992" w:type="dxa"/>
            <w:noWrap/>
            <w:vAlign w:val="bottom"/>
          </w:tcPr>
          <w:p>
            <w:pPr>
              <w:pStyle w:val="yTableNAm"/>
              <w:keepNext/>
              <w:ind w:left="1147" w:hanging="1147"/>
            </w:pPr>
          </w:p>
        </w:tc>
        <w:tc>
          <w:tcPr>
            <w:tcW w:w="992" w:type="dxa"/>
            <w:noWrap/>
            <w:vAlign w:val="bottom"/>
          </w:tcPr>
          <w:p>
            <w:pPr>
              <w:pStyle w:val="yTableNAm"/>
              <w:keepNext/>
              <w:tabs>
                <w:tab w:val="clear" w:pos="567"/>
              </w:tabs>
              <w:jc w:val="right"/>
            </w:pPr>
          </w:p>
        </w:tc>
      </w:tr>
      <w:tr>
        <w:trPr>
          <w:cantSplit/>
        </w:trPr>
        <w:tc>
          <w:tcPr>
            <w:tcW w:w="4820" w:type="dxa"/>
            <w:noWrap/>
          </w:tcPr>
          <w:p>
            <w:pPr>
              <w:pStyle w:val="yTableNAm"/>
              <w:ind w:left="1147" w:hanging="1147"/>
            </w:pPr>
            <w:r>
              <w:tab/>
              <w:t>(a)</w:t>
            </w:r>
            <w:r>
              <w:tab/>
              <w:t>for entering a plaint or an application, excluding service fee, but including the issue of summons for each respondent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pPr>
            <w:r>
              <w:rPr>
                <w:szCs w:val="22"/>
              </w:rPr>
              <w:t>77.50</w:t>
            </w:r>
          </w:p>
        </w:tc>
      </w:tr>
      <w:tr>
        <w:trPr>
          <w:cantSplit/>
        </w:trPr>
        <w:tc>
          <w:tcPr>
            <w:tcW w:w="4820" w:type="dxa"/>
            <w:noWrap/>
          </w:tcPr>
          <w:p>
            <w:pPr>
              <w:pStyle w:val="yTableNAm"/>
              <w:ind w:left="1147" w:hanging="1147"/>
            </w:pPr>
            <w:r>
              <w:tab/>
              <w:t>(b)</w:t>
            </w:r>
            <w:r>
              <w:tab/>
              <w:t>response and all necessary witness summonses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54.00</w:t>
            </w:r>
          </w:p>
        </w:tc>
      </w:tr>
      <w:tr>
        <w:trPr>
          <w:cantSplit/>
        </w:trPr>
        <w:tc>
          <w:tcPr>
            <w:tcW w:w="4820" w:type="dxa"/>
            <w:noWrap/>
          </w:tcPr>
          <w:p>
            <w:pPr>
              <w:pStyle w:val="yTableNAm"/>
              <w:ind w:left="1147" w:hanging="1147"/>
            </w:pPr>
            <w:r>
              <w:tab/>
              <w:t>(c)</w:t>
            </w:r>
            <w:r>
              <w:tab/>
              <w:t>all necessary applications and affidavits</w:t>
            </w:r>
          </w:p>
        </w:tc>
        <w:tc>
          <w:tcPr>
            <w:tcW w:w="992" w:type="dxa"/>
            <w:noWrap/>
            <w:vAlign w:val="bottom"/>
          </w:tcPr>
          <w:p>
            <w:pPr>
              <w:pStyle w:val="yTableNAm"/>
              <w:ind w:left="1147" w:hanging="1147"/>
            </w:pPr>
          </w:p>
        </w:tc>
        <w:tc>
          <w:tcPr>
            <w:tcW w:w="992" w:type="dxa"/>
            <w:noWrap/>
            <w:vAlign w:val="bottom"/>
          </w:tcPr>
          <w:p>
            <w:pPr>
              <w:pStyle w:val="yTableNAm"/>
              <w:tabs>
                <w:tab w:val="clear" w:pos="567"/>
              </w:tabs>
              <w:jc w:val="right"/>
              <w:rPr>
                <w:szCs w:val="22"/>
              </w:rPr>
            </w:pPr>
            <w:r>
              <w:rPr>
                <w:szCs w:val="22"/>
              </w:rPr>
              <w:t>7.80</w:t>
            </w:r>
          </w:p>
        </w:tc>
      </w:tr>
      <w:tr>
        <w:trPr>
          <w:cantSplit/>
        </w:trPr>
        <w:tc>
          <w:tcPr>
            <w:tcW w:w="4820" w:type="dxa"/>
            <w:noWrap/>
          </w:tcPr>
          <w:p>
            <w:pPr>
              <w:pStyle w:val="yTableNAm"/>
              <w:ind w:left="1147" w:hanging="1147"/>
            </w:pPr>
            <w:r>
              <w:tab/>
              <w:t>(d)</w:t>
            </w:r>
            <w:r>
              <w:tab/>
              <w:t>order made by warden including an order for an injunction</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23.50</w:t>
            </w:r>
          </w:p>
        </w:tc>
      </w:tr>
      <w:tr>
        <w:trPr>
          <w:cantSplit/>
        </w:trPr>
        <w:tc>
          <w:tcPr>
            <w:tcW w:w="4820" w:type="dxa"/>
            <w:noWrap/>
          </w:tcPr>
          <w:p>
            <w:pPr>
              <w:pStyle w:val="yTableNAm"/>
              <w:keepNext/>
              <w:ind w:left="1147" w:hanging="1147"/>
            </w:pPr>
            <w:r>
              <w:lastRenderedPageBreak/>
              <w:tab/>
              <w:t>(e)</w:t>
            </w:r>
            <w:r>
              <w:tab/>
              <w:t>copy of —</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p>
        </w:tc>
      </w:tr>
      <w:tr>
        <w:trPr>
          <w:cantSplit/>
        </w:trPr>
        <w:tc>
          <w:tcPr>
            <w:tcW w:w="4820" w:type="dxa"/>
            <w:noWrap/>
          </w:tcPr>
          <w:p>
            <w:pPr>
              <w:pStyle w:val="yTableNAm"/>
              <w:keepNext/>
              <w:tabs>
                <w:tab w:val="left" w:pos="1161"/>
                <w:tab w:val="left" w:pos="1665"/>
              </w:tabs>
              <w:ind w:left="1693" w:hanging="1693"/>
            </w:pPr>
            <w:r>
              <w:tab/>
            </w:r>
            <w:r>
              <w:tab/>
              <w:t>(i)</w:t>
            </w:r>
            <w:r>
              <w:tab/>
              <w:t>evidence — per page</w:t>
            </w:r>
          </w:p>
        </w:tc>
        <w:tc>
          <w:tcPr>
            <w:tcW w:w="992" w:type="dxa"/>
            <w:noWrap/>
            <w:vAlign w:val="bottom"/>
          </w:tcPr>
          <w:p>
            <w:pPr>
              <w:pStyle w:val="yTableNAm"/>
              <w:keepNext/>
            </w:pPr>
          </w:p>
        </w:tc>
        <w:tc>
          <w:tcPr>
            <w:tcW w:w="992" w:type="dxa"/>
            <w:noWrap/>
            <w:vAlign w:val="bottom"/>
          </w:tcPr>
          <w:p>
            <w:pPr>
              <w:pStyle w:val="yTableNAm"/>
              <w:keepNext/>
              <w:tabs>
                <w:tab w:val="clear" w:pos="567"/>
              </w:tabs>
              <w:jc w:val="right"/>
              <w:rPr>
                <w:szCs w:val="22"/>
              </w:rPr>
            </w:pPr>
            <w:r>
              <w:rPr>
                <w:szCs w:val="22"/>
              </w:rPr>
              <w:t>11.10</w:t>
            </w:r>
          </w:p>
        </w:tc>
      </w:tr>
      <w:tr>
        <w:trPr>
          <w:cantSplit/>
        </w:trPr>
        <w:tc>
          <w:tcPr>
            <w:tcW w:w="4820" w:type="dxa"/>
            <w:noWrap/>
          </w:tcPr>
          <w:p>
            <w:pPr>
              <w:pStyle w:val="yTableNAm"/>
              <w:tabs>
                <w:tab w:val="left" w:pos="1161"/>
                <w:tab w:val="left" w:pos="1665"/>
              </w:tabs>
              <w:ind w:left="1693" w:hanging="1693"/>
            </w:pPr>
            <w:r>
              <w:tab/>
            </w:r>
            <w:r>
              <w:tab/>
              <w:t>(ii)</w:t>
            </w:r>
            <w:r>
              <w:tab/>
              <w:t>a judgment, decision or order — per page</w:t>
            </w:r>
          </w:p>
        </w:tc>
        <w:tc>
          <w:tcPr>
            <w:tcW w:w="992" w:type="dxa"/>
            <w:noWrap/>
            <w:vAlign w:val="bottom"/>
          </w:tcPr>
          <w:p>
            <w:pPr>
              <w:pStyle w:val="yTableNAm"/>
            </w:pPr>
          </w:p>
        </w:tc>
        <w:tc>
          <w:tcPr>
            <w:tcW w:w="992" w:type="dxa"/>
            <w:noWrap/>
            <w:vAlign w:val="bottom"/>
          </w:tcPr>
          <w:p>
            <w:pPr>
              <w:pStyle w:val="yTableNAm"/>
              <w:tabs>
                <w:tab w:val="clear" w:pos="567"/>
              </w:tabs>
              <w:jc w:val="right"/>
              <w:rPr>
                <w:szCs w:val="22"/>
              </w:rPr>
            </w:pPr>
            <w:r>
              <w:rPr>
                <w:szCs w:val="22"/>
              </w:rPr>
              <w:t>1.50</w:t>
            </w:r>
          </w:p>
        </w:tc>
      </w:tr>
      <w:tr>
        <w:trPr>
          <w:cantSplit/>
        </w:trPr>
        <w:tc>
          <w:tcPr>
            <w:tcW w:w="4820" w:type="dxa"/>
            <w:tcBorders>
              <w:bottom w:val="single" w:sz="4" w:space="0" w:color="auto"/>
            </w:tcBorders>
            <w:noWrap/>
          </w:tcPr>
          <w:p>
            <w:pPr>
              <w:pStyle w:val="yTableNAm"/>
              <w:ind w:left="1147" w:hanging="1147"/>
              <w:rPr>
                <w:rStyle w:val="DraftersNotes"/>
              </w:rPr>
            </w:pPr>
            <w:r>
              <w:tab/>
              <w:t>(f)</w:t>
            </w:r>
            <w:r>
              <w:tab/>
              <w:t>taxation of bill of costs</w:t>
            </w:r>
          </w:p>
        </w:tc>
        <w:tc>
          <w:tcPr>
            <w:tcW w:w="1984" w:type="dxa"/>
            <w:gridSpan w:val="2"/>
            <w:tcBorders>
              <w:bottom w:val="single" w:sz="4" w:space="0" w:color="auto"/>
            </w:tcBorders>
            <w:noWrap/>
            <w:vAlign w:val="center"/>
          </w:tcPr>
          <w:p>
            <w:pPr>
              <w:pStyle w:val="yTableNAm"/>
            </w:pPr>
            <w:r>
              <w:t>$0.05 in each amount of $1.00 on amount of lodged bill (minimum fee $10.50) — however where the lodged bill exceeds $1 000 the fee is reduced to $0.025 in each $1.00 for the excess, plus $50.00</w:t>
            </w:r>
          </w:p>
        </w:tc>
      </w:tr>
    </w:tbl>
    <w:p>
      <w:pPr>
        <w:pStyle w:val="yFootnotesection"/>
      </w:pPr>
      <w:r>
        <w:tab/>
        <w:t>[Schedule 2 inserted: SL 2021/85 r. 21.]</w:t>
      </w:r>
    </w:p>
    <w:p>
      <w:pPr>
        <w:pStyle w:val="yFootnotesection"/>
      </w:pP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80" w:name="_Toc92799642"/>
      <w:bookmarkStart w:id="481" w:name="_Toc92800057"/>
      <w:bookmarkStart w:id="482" w:name="_Toc92809525"/>
      <w:r>
        <w:rPr>
          <w:rStyle w:val="CharSchNo"/>
        </w:rPr>
        <w:lastRenderedPageBreak/>
        <w:t>Schedule 3</w:t>
      </w:r>
      <w:r>
        <w:rPr>
          <w:rStyle w:val="CharSDivNo"/>
        </w:rPr>
        <w:t> </w:t>
      </w:r>
      <w:r>
        <w:t>—</w:t>
      </w:r>
      <w:r>
        <w:rPr>
          <w:rStyle w:val="CharSDivText"/>
        </w:rPr>
        <w:t> </w:t>
      </w:r>
      <w:r>
        <w:rPr>
          <w:rStyle w:val="CharSchText"/>
        </w:rPr>
        <w:t>Transitional provisions relating to Geocentric Datum of Australia</w:t>
      </w:r>
      <w:bookmarkEnd w:id="480"/>
      <w:bookmarkEnd w:id="481"/>
      <w:bookmarkEnd w:id="482"/>
    </w:p>
    <w:p>
      <w:pPr>
        <w:pStyle w:val="yShoulderClause"/>
      </w:pPr>
      <w:r>
        <w:t>[r. 89A]</w:t>
      </w:r>
    </w:p>
    <w:p>
      <w:pPr>
        <w:pStyle w:val="yFootnoteheading"/>
      </w:pPr>
      <w:r>
        <w:tab/>
        <w:t>[Heading inserted: Gazette 15 Jan 2010 p. 135.]</w:t>
      </w:r>
    </w:p>
    <w:p>
      <w:pPr>
        <w:pStyle w:val="yHeading5"/>
      </w:pPr>
      <w:bookmarkStart w:id="483" w:name="_Toc92809526"/>
      <w:r>
        <w:rPr>
          <w:rStyle w:val="CharSClsNo"/>
        </w:rPr>
        <w:t>1</w:t>
      </w:r>
      <w:r>
        <w:t>.</w:t>
      </w:r>
      <w:r>
        <w:tab/>
        <w:t>Terms used</w:t>
      </w:r>
      <w:bookmarkEnd w:id="483"/>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r>
        <w:rPr>
          <w:vertAlign w:val="superscript"/>
        </w:rPr>
        <w:t> 5</w:t>
      </w:r>
      <w:r>
        <w:t>;</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Gazette 15 Dec 2000 p. 7220-1.]</w:t>
      </w:r>
    </w:p>
    <w:p>
      <w:pPr>
        <w:pStyle w:val="yHeading5"/>
        <w:spacing w:before="240"/>
      </w:pPr>
      <w:bookmarkStart w:id="484" w:name="_Toc92809527"/>
      <w:r>
        <w:rPr>
          <w:rStyle w:val="CharSClsNo"/>
        </w:rPr>
        <w:t>2</w:t>
      </w:r>
      <w:r>
        <w:t>.</w:t>
      </w:r>
      <w:r>
        <w:tab/>
        <w:t>Australian Geodetic Datum</w:t>
      </w:r>
      <w:bookmarkEnd w:id="484"/>
    </w:p>
    <w:p>
      <w:pPr>
        <w:pStyle w:val="ySubsection"/>
        <w:spacing w:before="180"/>
      </w:pPr>
      <w:r>
        <w:tab/>
        <w:t>(1)</w:t>
      </w:r>
      <w:r>
        <w:tab/>
        <w:t>For the purposes of this Schedule, the Australian Geodetic Datum is defined by an ellipsoid having a semi</w:t>
      </w:r>
      <w:r>
        <w:noBreakHyphen/>
        <w:t xml:space="preserve">major axis (equatorial radius) of 6 378 160 m and a flattening of 1/298.25 and fixed by the position of </w:t>
      </w:r>
      <w:r>
        <w:lastRenderedPageBreak/>
        <w:t>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Gazette 15 Dec 2000 p. 7221.]</w:t>
      </w:r>
    </w:p>
    <w:p>
      <w:pPr>
        <w:pStyle w:val="yHeading5"/>
      </w:pPr>
      <w:bookmarkStart w:id="485" w:name="_Toc92809528"/>
      <w:r>
        <w:rPr>
          <w:rStyle w:val="CharSClsNo"/>
        </w:rPr>
        <w:t>3</w:t>
      </w:r>
      <w:r>
        <w:t>.</w:t>
      </w:r>
      <w:r>
        <w:tab/>
        <w:t>Exploration licences</w:t>
      </w:r>
      <w:bookmarkEnd w:id="485"/>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Gazette 15 Dec 2000 p. 7221.]</w:t>
      </w:r>
    </w:p>
    <w:p>
      <w:pPr>
        <w:pStyle w:val="yHeading5"/>
        <w:spacing w:before="240"/>
      </w:pPr>
      <w:bookmarkStart w:id="486" w:name="_Toc92809529"/>
      <w:r>
        <w:rPr>
          <w:rStyle w:val="CharSClsNo"/>
        </w:rPr>
        <w:t>4</w:t>
      </w:r>
      <w:r>
        <w:t>.</w:t>
      </w:r>
      <w:r>
        <w:tab/>
        <w:t>Land surrendered or forfeited etc.</w:t>
      </w:r>
      <w:bookmarkEnd w:id="486"/>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lastRenderedPageBreak/>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lastRenderedPageBreak/>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Gazette 15 Dec 2000 p. 7221-2; amended: Gazette 3 Feb 2006 p. 604; 15 Jan 2010 p. 135.]</w:t>
      </w:r>
    </w:p>
    <w:p>
      <w:pPr>
        <w:pStyle w:val="yHeading5"/>
        <w:spacing w:before="240"/>
      </w:pPr>
      <w:bookmarkStart w:id="487" w:name="_Toc92809530"/>
      <w:r>
        <w:rPr>
          <w:rStyle w:val="CharSClsNo"/>
        </w:rPr>
        <w:t>5</w:t>
      </w:r>
      <w:r>
        <w:t>.</w:t>
      </w:r>
      <w:r>
        <w:tab/>
        <w:t>Land exempted under section 19</w:t>
      </w:r>
      <w:bookmarkEnd w:id="487"/>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Gazette 15 Dec 2000 p. 7222.]</w:t>
      </w:r>
    </w:p>
    <w:p>
      <w:pPr>
        <w:pStyle w:val="yHeading5"/>
        <w:spacing w:before="240"/>
      </w:pPr>
      <w:bookmarkStart w:id="488" w:name="_Toc92809531"/>
      <w:r>
        <w:rPr>
          <w:rStyle w:val="CharSClsNo"/>
        </w:rPr>
        <w:t>6</w:t>
      </w:r>
      <w:r>
        <w:t>.</w:t>
      </w:r>
      <w:r>
        <w:tab/>
        <w:t>Areas declared under section 57(4), and savings</w:t>
      </w:r>
      <w:bookmarkEnd w:id="488"/>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Gazette 15 Dec 2000 p. 7223.]</w:t>
      </w:r>
    </w:p>
    <w:p>
      <w:pPr>
        <w:pStyle w:val="yHeading5"/>
        <w:pageBreakBefore/>
        <w:spacing w:before="0"/>
      </w:pPr>
      <w:bookmarkStart w:id="489" w:name="_Toc92809532"/>
      <w:r>
        <w:rPr>
          <w:rStyle w:val="CharSClsNo"/>
        </w:rPr>
        <w:lastRenderedPageBreak/>
        <w:t>7</w:t>
      </w:r>
      <w:r>
        <w:t>.</w:t>
      </w:r>
      <w:r>
        <w:tab/>
        <w:t>Certain prospecting licences and mining leases may be amalgamated with existing exploration licences</w:t>
      </w:r>
      <w:bookmarkEnd w:id="489"/>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Gazette 15 Dec 2000 p. 7223.]</w:t>
      </w:r>
    </w:p>
    <w:p>
      <w:pPr>
        <w:pStyle w:val="yHeading5"/>
        <w:spacing w:before="240"/>
      </w:pPr>
      <w:bookmarkStart w:id="490" w:name="_Toc92809533"/>
      <w:r>
        <w:rPr>
          <w:rStyle w:val="CharSClsNo"/>
        </w:rPr>
        <w:t>8</w:t>
      </w:r>
      <w:r>
        <w:t>.</w:t>
      </w:r>
      <w:r>
        <w:tab/>
        <w:t>Prescribed land does not need to be marked out</w:t>
      </w:r>
      <w:bookmarkEnd w:id="490"/>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lastRenderedPageBreak/>
        <w:tab/>
        <w:t>Note:</w:t>
      </w:r>
    </w:p>
    <w:p>
      <w:pPr>
        <w:pStyle w:val="PermNoteText"/>
      </w:pPr>
      <w:r>
        <w:tab/>
      </w:r>
      <w:r>
        <w:tab/>
        <w:t>The following diagram shows an example of prescribed land referred to in this Schedule.</w:t>
      </w:r>
    </w:p>
    <w:p>
      <w:pPr>
        <w:pStyle w:val="Graphics"/>
        <w:jc w:val="center"/>
      </w:pPr>
      <w: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1"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Gazette 15 Dec 2000 p. 7223-4.]</w:t>
      </w:r>
    </w:p>
    <w:p>
      <w:pPr>
        <w:pStyle w:val="yScheduleHeading"/>
      </w:pPr>
      <w:bookmarkStart w:id="491" w:name="_Toc92799651"/>
      <w:bookmarkStart w:id="492" w:name="_Toc92800066"/>
      <w:bookmarkStart w:id="493" w:name="_Toc92809534"/>
      <w:r>
        <w:rPr>
          <w:rStyle w:val="CharSchNo"/>
        </w:rPr>
        <w:lastRenderedPageBreak/>
        <w:t>Schedule 4</w:t>
      </w:r>
      <w:r>
        <w:t> — </w:t>
      </w:r>
      <w:r>
        <w:rPr>
          <w:rStyle w:val="CharSchText"/>
        </w:rPr>
        <w:t>Scale of costs for proceedings under Part IV of the Act</w:t>
      </w:r>
      <w:bookmarkEnd w:id="491"/>
      <w:bookmarkEnd w:id="492"/>
      <w:bookmarkEnd w:id="493"/>
    </w:p>
    <w:p>
      <w:pPr>
        <w:pStyle w:val="yShoulderClause"/>
      </w:pPr>
      <w:r>
        <w:t>[r. 165(6)]</w:t>
      </w:r>
    </w:p>
    <w:p>
      <w:pPr>
        <w:pStyle w:val="yFootnoteheading"/>
      </w:pPr>
      <w:r>
        <w:tab/>
        <w:t>[Heading inserted: Gazette 9 Mar 2007 p. 916.]</w:t>
      </w:r>
    </w:p>
    <w:p>
      <w:pPr>
        <w:pStyle w:val="yHeading5"/>
      </w:pPr>
      <w:bookmarkStart w:id="494" w:name="_Toc92809535"/>
      <w:r>
        <w:rPr>
          <w:rStyle w:val="CharSClsNo"/>
        </w:rPr>
        <w:t>1</w:t>
      </w:r>
      <w:r>
        <w:t>.</w:t>
      </w:r>
      <w:r>
        <w:rPr>
          <w:b w:val="0"/>
        </w:rPr>
        <w:tab/>
      </w:r>
      <w:r>
        <w:t>Terms used</w:t>
      </w:r>
      <w:bookmarkEnd w:id="49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means a lawyer who has been admitted for less than 5 years in any jurisdiction in Australia;</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means a lawyer who has been admitted for 5 years or more in any jurisdiction in Australia;</w:t>
      </w:r>
    </w:p>
    <w:p>
      <w:pPr>
        <w:pStyle w:val="yDefstart"/>
        <w:spacing w:before="100"/>
      </w:pPr>
      <w:r>
        <w:tab/>
      </w:r>
      <w:r>
        <w:rPr>
          <w:rStyle w:val="CharDefText"/>
        </w:rPr>
        <w:t>SL</w:t>
      </w:r>
      <w:r>
        <w:t xml:space="preserve"> stands for senior lawyer.</w:t>
      </w:r>
    </w:p>
    <w:p>
      <w:pPr>
        <w:pStyle w:val="yFootnotesection"/>
        <w:spacing w:before="80"/>
      </w:pPr>
      <w:r>
        <w:tab/>
        <w:t>[Clause 1 inserted: Gazette 9 Mar 2007 p. 916.]</w:t>
      </w:r>
    </w:p>
    <w:p>
      <w:pPr>
        <w:pStyle w:val="yHeading5"/>
      </w:pPr>
      <w:bookmarkStart w:id="495" w:name="_Toc92809536"/>
      <w:r>
        <w:rPr>
          <w:rStyle w:val="CharSClsNo"/>
        </w:rPr>
        <w:t>2</w:t>
      </w:r>
      <w:r>
        <w:t>.</w:t>
      </w:r>
      <w:r>
        <w:tab/>
        <w:t>Hourly rates</w:t>
      </w:r>
      <w:bookmarkEnd w:id="49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lastRenderedPageBreak/>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Gazette 9 Mar 2007 p. 916</w:t>
      </w:r>
      <w:r>
        <w:noBreakHyphen/>
        <w:t>17; amended: Gazette 4 Feb 2011 p. 392-3; 11 Sep 2015 p. 3745.]</w:t>
      </w:r>
    </w:p>
    <w:p>
      <w:pPr>
        <w:pStyle w:val="yHeading5"/>
        <w:spacing w:before="160"/>
      </w:pPr>
      <w:bookmarkStart w:id="496" w:name="_Toc92809537"/>
      <w:r>
        <w:rPr>
          <w:rStyle w:val="CharSClsNo"/>
        </w:rPr>
        <w:t>3</w:t>
      </w:r>
      <w:r>
        <w:t>.</w:t>
      </w:r>
      <w:r>
        <w:tab/>
        <w:t>Scale of costs</w:t>
      </w:r>
      <w:bookmarkEnd w:id="496"/>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lastRenderedPageBreak/>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lastRenderedPageBreak/>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w:t>
            </w:r>
            <w:r>
              <w:rPr>
                <w:sz w:val="16"/>
                <w:szCs w:val="16"/>
                <w:vertAlign w:val="superscript"/>
              </w:rPr>
              <w:t>st</w:t>
            </w:r>
            <w:r>
              <w:rPr>
                <w:sz w:val="16"/>
                <w:szCs w:val="16"/>
              </w:rPr>
              <w:t xml:space="preserve">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lastRenderedPageBreak/>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lastRenderedPageBreak/>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Gazette 9 Mar 2007 p. 917</w:t>
      </w:r>
      <w:r>
        <w:noBreakHyphen/>
        <w:t>20; amended: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3"/>
          <w:headerReference w:type="default" r:id="rId34"/>
          <w:headerReference w:type="first" r:id="rId35"/>
          <w:pgSz w:w="11907" w:h="16840" w:code="9"/>
          <w:pgMar w:top="2381" w:right="2409" w:bottom="3543" w:left="2409" w:header="720" w:footer="3380" w:gutter="0"/>
          <w:cols w:space="720"/>
          <w:noEndnote/>
          <w:docGrid w:linePitch="326"/>
        </w:sectPr>
      </w:pPr>
    </w:p>
    <w:p>
      <w:pPr>
        <w:pStyle w:val="nHeading2"/>
      </w:pPr>
      <w:bookmarkStart w:id="497" w:name="_Toc92799655"/>
      <w:bookmarkStart w:id="498" w:name="_Toc92800070"/>
      <w:bookmarkStart w:id="499" w:name="_Toc92809538"/>
      <w:r>
        <w:lastRenderedPageBreak/>
        <w:t>Notes</w:t>
      </w:r>
      <w:bookmarkEnd w:id="497"/>
      <w:bookmarkEnd w:id="498"/>
      <w:bookmarkEnd w:id="499"/>
    </w:p>
    <w:p>
      <w:pPr>
        <w:pStyle w:val="nStatement"/>
      </w:pPr>
      <w:r>
        <w:t xml:space="preserve">This is a compilation of the </w:t>
      </w:r>
      <w:r>
        <w:rPr>
          <w:i/>
          <w:noProof/>
        </w:rPr>
        <w:t>Mining Regulations 1981</w:t>
      </w:r>
      <w:r>
        <w:t xml:space="preserve"> and includes amendments made by other written laws. For provisions that have come into operation, and for information about any reprints, see the compilation table.</w:t>
      </w:r>
    </w:p>
    <w:p>
      <w:pPr>
        <w:pStyle w:val="nHeading3"/>
      </w:pPr>
      <w:bookmarkStart w:id="500" w:name="_Toc92809539"/>
      <w:r>
        <w:t>Compilation table</w:t>
      </w:r>
      <w:bookmarkEnd w:id="500"/>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lastRenderedPageBreak/>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Gazette</w:t>
            </w:r>
            <w:r>
              <w:t xml:space="preserve"> 24 Aug 1988 p. 3147</w:t>
            </w:r>
            <w:r>
              <w:noBreakHyphen/>
              <w:t>242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lastRenderedPageBreak/>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2006</w:t>
            </w:r>
            <w:r>
              <w:rPr>
                <w:vertAlign w:val="superscript"/>
              </w:rPr>
              <w:t xml:space="preserve"> 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lastRenderedPageBreak/>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lastRenderedPageBreak/>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rPr>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keepNext/>
              <w:spacing w:after="40"/>
              <w:rPr>
                <w:vertAlign w:val="superscript"/>
              </w:rPr>
            </w:pPr>
            <w:r>
              <w:rPr>
                <w:i/>
              </w:rPr>
              <w:lastRenderedPageBreak/>
              <w:t>Mining Amendment Regulations (No. 3) 2017</w:t>
            </w:r>
            <w:r>
              <w:t>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24 Nov 2017 (see r. 2(a));</w:t>
            </w:r>
            <w:r>
              <w:rPr>
                <w:bCs/>
                <w:snapToGrid w:val="0"/>
                <w:spacing w:val="-2"/>
              </w:rPr>
              <w:br/>
              <w:t>Regulations other than r. 1 and 2: 25 Nov 2017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bCs/>
                <w:snapToGrid w:val="0"/>
                <w:spacing w:val="-2"/>
              </w:rPr>
            </w:pPr>
            <w:r>
              <w:rPr>
                <w:bCs/>
                <w:snapToGrid w:val="0"/>
                <w:spacing w:val="-2"/>
              </w:rPr>
              <w:t>r. 1 and 2: 22 Dec 2017 (see r. 2(a));</w:t>
            </w:r>
            <w:r>
              <w:rPr>
                <w:bCs/>
                <w:snapToGrid w:val="0"/>
                <w:spacing w:val="-2"/>
              </w:rPr>
              <w:br/>
              <w:t xml:space="preserve">Regulations other than r. 1 and 2: </w:t>
            </w:r>
            <w:r>
              <w:t>22 Jan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2018</w:t>
            </w:r>
          </w:p>
        </w:tc>
        <w:tc>
          <w:tcPr>
            <w:tcW w:w="1276" w:type="dxa"/>
            <w:tcBorders>
              <w:top w:val="nil"/>
              <w:left w:val="nil"/>
              <w:bottom w:val="nil"/>
              <w:right w:val="nil"/>
            </w:tcBorders>
          </w:tcPr>
          <w:p>
            <w:pPr>
              <w:pStyle w:val="nTable"/>
              <w:spacing w:after="40"/>
            </w:pPr>
            <w:r>
              <w:t>4 May 2018 p. 1477</w:t>
            </w:r>
            <w:r>
              <w:noBreakHyphen/>
              <w:t>9</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4 May 2018 (see r. 2(a));</w:t>
            </w:r>
            <w:r>
              <w:rPr>
                <w:bCs/>
                <w:snapToGrid w:val="0"/>
                <w:spacing w:val="-2"/>
              </w:rPr>
              <w:br/>
              <w:t xml:space="preserve">Regulations other than r. 1 and 2: </w:t>
            </w:r>
            <w:r>
              <w:t>1 Jul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spacing w:after="40"/>
            </w:pPr>
            <w:r>
              <w:t>25 Jun 2018 p. 2297</w:t>
            </w:r>
            <w:r>
              <w:noBreakHyphen/>
              <w:t>324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2018</w:t>
            </w:r>
          </w:p>
        </w:tc>
        <w:tc>
          <w:tcPr>
            <w:tcW w:w="1276" w:type="dxa"/>
            <w:tcBorders>
              <w:top w:val="nil"/>
              <w:left w:val="nil"/>
              <w:bottom w:val="nil"/>
              <w:right w:val="nil"/>
            </w:tcBorders>
          </w:tcPr>
          <w:p>
            <w:pPr>
              <w:pStyle w:val="nTable"/>
              <w:spacing w:after="40"/>
            </w:pPr>
            <w:r>
              <w:t>24 Jul 2018 p. 2651</w:t>
            </w:r>
            <w:r>
              <w:noBreakHyphen/>
              <w:t>3</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24 Jul 2018 (see r. 2(a));</w:t>
            </w:r>
            <w:r>
              <w:rPr>
                <w:bCs/>
                <w:snapToGrid w:val="0"/>
                <w:spacing w:val="-2"/>
              </w:rPr>
              <w:br/>
              <w:t>Regulations other than r. 1 and 2: 2</w:t>
            </w:r>
            <w:r>
              <w:t>5 Jul 2018 (see r. 2(b))</w:t>
            </w:r>
          </w:p>
        </w:tc>
      </w:tr>
      <w:tr>
        <w:tblPrEx>
          <w:tblBorders>
            <w:top w:val="single" w:sz="4" w:space="0" w:color="auto"/>
            <w:insideH w:val="single" w:sz="4"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2018</w:t>
            </w:r>
          </w:p>
        </w:tc>
        <w:tc>
          <w:tcPr>
            <w:tcW w:w="1276" w:type="dxa"/>
            <w:tcBorders>
              <w:top w:val="nil"/>
              <w:left w:val="nil"/>
              <w:bottom w:val="nil"/>
              <w:right w:val="nil"/>
            </w:tcBorders>
          </w:tcPr>
          <w:p>
            <w:pPr>
              <w:pStyle w:val="nTable"/>
              <w:spacing w:after="40"/>
            </w:pPr>
            <w:r>
              <w:t>18 Sep 2018 p. 3516</w:t>
            </w:r>
            <w:r>
              <w:noBreakHyphen/>
              <w:t>18</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18 Sep 2018 (see r. 2(a));</w:t>
            </w:r>
            <w:r>
              <w:rPr>
                <w:bCs/>
                <w:snapToGrid w:val="0"/>
                <w:spacing w:val="-2"/>
              </w:rPr>
              <w:br/>
              <w:t>Regulations other than r. 1 and 2: 19</w:t>
            </w:r>
            <w:r>
              <w:t> Sep 2018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7088" w:type="dxa"/>
            <w:gridSpan w:val="3"/>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12: The </w:t>
            </w:r>
            <w:r>
              <w:rPr>
                <w:b/>
                <w:bCs/>
                <w:i/>
                <w:noProof/>
                <w:snapToGrid w:val="0"/>
                <w:spacing w:val="-2"/>
              </w:rPr>
              <w:t>Mining Regulations 1981</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2019</w:t>
            </w:r>
          </w:p>
        </w:tc>
        <w:tc>
          <w:tcPr>
            <w:tcW w:w="1276" w:type="dxa"/>
            <w:tcBorders>
              <w:top w:val="nil"/>
              <w:left w:val="nil"/>
              <w:bottom w:val="nil"/>
              <w:right w:val="nil"/>
            </w:tcBorders>
          </w:tcPr>
          <w:p>
            <w:pPr>
              <w:pStyle w:val="nTable"/>
              <w:spacing w:after="40"/>
            </w:pPr>
            <w:r>
              <w:t>24 May 2019 p. 1493</w:t>
            </w:r>
            <w:r>
              <w:noBreakHyphen/>
              <w:t>4</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 xml:space="preserve">r. 1 and 2: </w:t>
            </w:r>
            <w:r>
              <w:t>24 May 2019</w:t>
            </w:r>
            <w:r>
              <w:rPr>
                <w:bCs/>
                <w:snapToGrid w:val="0"/>
                <w:spacing w:val="-2"/>
              </w:rPr>
              <w:t xml:space="preserve"> (see r. 2(a));</w:t>
            </w:r>
            <w:r>
              <w:rPr>
                <w:bCs/>
                <w:snapToGrid w:val="0"/>
                <w:spacing w:val="-2"/>
              </w:rPr>
              <w:br/>
              <w:t xml:space="preserve">Regulations other than r. 1 and 2: </w:t>
            </w:r>
            <w:r>
              <w:t>25 May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2019</w:t>
            </w:r>
            <w:r>
              <w:t xml:space="preserve"> Pt. 7</w:t>
            </w:r>
          </w:p>
        </w:tc>
        <w:tc>
          <w:tcPr>
            <w:tcW w:w="1276" w:type="dxa"/>
            <w:tcBorders>
              <w:top w:val="nil"/>
              <w:left w:val="nil"/>
              <w:bottom w:val="nil"/>
              <w:right w:val="nil"/>
            </w:tcBorders>
          </w:tcPr>
          <w:p>
            <w:pPr>
              <w:pStyle w:val="nTable"/>
              <w:spacing w:after="40"/>
            </w:pPr>
            <w:r>
              <w:t>18 Jun 2019 p. 2040</w:t>
            </w:r>
            <w:r>
              <w:noBreakHyphen/>
              <w:t>56</w:t>
            </w:r>
          </w:p>
        </w:tc>
        <w:tc>
          <w:tcPr>
            <w:tcW w:w="2693" w:type="dxa"/>
            <w:tcBorders>
              <w:top w:val="nil"/>
              <w:left w:val="nil"/>
              <w:bottom w:val="nil"/>
              <w:right w:val="nil"/>
            </w:tcBorders>
          </w:tcPr>
          <w:p>
            <w:pPr>
              <w:pStyle w:val="nTable"/>
              <w:spacing w:after="40"/>
              <w:rPr>
                <w:bCs/>
                <w:snapToGrid w:val="0"/>
                <w:spacing w:val="-2"/>
              </w:rPr>
            </w:pPr>
            <w:r>
              <w:t>1 Jul 2019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pPr>
            <w:r>
              <w:rPr>
                <w:i/>
              </w:rPr>
              <w:t>Mining Amendment Regulations 2019</w:t>
            </w:r>
          </w:p>
        </w:tc>
        <w:tc>
          <w:tcPr>
            <w:tcW w:w="1276" w:type="dxa"/>
            <w:tcBorders>
              <w:top w:val="nil"/>
              <w:left w:val="nil"/>
              <w:bottom w:val="nil"/>
              <w:right w:val="nil"/>
            </w:tcBorders>
          </w:tcPr>
          <w:p>
            <w:pPr>
              <w:pStyle w:val="nTable"/>
              <w:spacing w:after="40"/>
            </w:pPr>
            <w:r>
              <w:t>13 Dec 2019 p. 4231</w:t>
            </w:r>
            <w:r>
              <w:noBreakHyphen/>
              <w:t>40</w:t>
            </w:r>
          </w:p>
        </w:tc>
        <w:tc>
          <w:tcPr>
            <w:tcW w:w="2693" w:type="dxa"/>
            <w:tcBorders>
              <w:top w:val="nil"/>
              <w:left w:val="nil"/>
              <w:bottom w:val="nil"/>
              <w:right w:val="nil"/>
            </w:tcBorders>
          </w:tcPr>
          <w:p>
            <w:pPr>
              <w:pStyle w:val="nTable"/>
              <w:spacing w:after="40"/>
            </w:pPr>
            <w:r>
              <w:rPr>
                <w:bCs/>
                <w:snapToGrid w:val="0"/>
                <w:spacing w:val="-2"/>
              </w:rPr>
              <w:t>r. 1 and 2: 13</w:t>
            </w:r>
            <w:r>
              <w:t> Dec 2019</w:t>
            </w:r>
            <w:r>
              <w:rPr>
                <w:bCs/>
                <w:snapToGrid w:val="0"/>
                <w:spacing w:val="-2"/>
              </w:rPr>
              <w:t xml:space="preserve"> (see r. 2(a));</w:t>
            </w:r>
            <w:r>
              <w:rPr>
                <w:bCs/>
                <w:snapToGrid w:val="0"/>
                <w:spacing w:val="-2"/>
              </w:rPr>
              <w:br/>
              <w:t xml:space="preserve">Regulations other than r. 1 and 2: </w:t>
            </w:r>
            <w:r>
              <w:t>16 Dec 2019</w:t>
            </w:r>
            <w:r>
              <w:rPr>
                <w:bCs/>
                <w:snapToGrid w:val="0"/>
                <w:spacing w:val="-2"/>
              </w:rPr>
              <w:t xml:space="preserve">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3) 2020</w:t>
            </w:r>
          </w:p>
        </w:tc>
        <w:tc>
          <w:tcPr>
            <w:tcW w:w="1276" w:type="dxa"/>
            <w:tcBorders>
              <w:top w:val="nil"/>
              <w:left w:val="nil"/>
              <w:bottom w:val="nil"/>
              <w:right w:val="nil"/>
            </w:tcBorders>
          </w:tcPr>
          <w:p>
            <w:pPr>
              <w:pStyle w:val="nTable"/>
              <w:spacing w:after="40"/>
            </w:pPr>
            <w:r>
              <w:t>SL 2020/25 27 Mar 2020</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27 Mar 2020 (see r. 2(a));</w:t>
            </w:r>
            <w:r>
              <w:rPr>
                <w:bCs/>
                <w:snapToGrid w:val="0"/>
                <w:spacing w:val="-2"/>
              </w:rPr>
              <w:br/>
              <w:t>Regulations other than r. 1 and 2: 28 Mar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lastRenderedPageBreak/>
              <w:t>Mines and Petroleum Regulations Amendment (Fees and Charges) Regulations 2020</w:t>
            </w:r>
            <w:r>
              <w:t xml:space="preserve"> Pt. 4</w:t>
            </w:r>
          </w:p>
        </w:tc>
        <w:tc>
          <w:tcPr>
            <w:tcW w:w="1276" w:type="dxa"/>
            <w:tcBorders>
              <w:top w:val="nil"/>
              <w:left w:val="nil"/>
              <w:bottom w:val="nil"/>
              <w:right w:val="nil"/>
            </w:tcBorders>
          </w:tcPr>
          <w:p>
            <w:pPr>
              <w:pStyle w:val="nTable"/>
              <w:spacing w:after="40"/>
            </w:pPr>
            <w:r>
              <w:t>SL 2020/93 26 Jun 2020</w:t>
            </w:r>
          </w:p>
        </w:tc>
        <w:tc>
          <w:tcPr>
            <w:tcW w:w="2693" w:type="dxa"/>
            <w:tcBorders>
              <w:top w:val="nil"/>
              <w:left w:val="nil"/>
              <w:bottom w:val="nil"/>
              <w:right w:val="nil"/>
            </w:tcBorders>
          </w:tcPr>
          <w:p>
            <w:pPr>
              <w:pStyle w:val="nTable"/>
              <w:spacing w:after="40"/>
              <w:rPr>
                <w:bCs/>
                <w:snapToGrid w:val="0"/>
                <w:spacing w:val="-2"/>
              </w:rPr>
            </w:pPr>
            <w:r>
              <w:t>1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(COVID</w:t>
            </w:r>
            <w:r>
              <w:rPr>
                <w:i/>
              </w:rPr>
              <w:noBreakHyphen/>
              <w:t>19 Response) Regulations 2020</w:t>
            </w:r>
            <w:r>
              <w:t xml:space="preserve"> </w:t>
            </w:r>
          </w:p>
        </w:tc>
        <w:tc>
          <w:tcPr>
            <w:tcW w:w="1276" w:type="dxa"/>
            <w:tcBorders>
              <w:top w:val="nil"/>
              <w:left w:val="nil"/>
              <w:bottom w:val="nil"/>
              <w:right w:val="nil"/>
            </w:tcBorders>
          </w:tcPr>
          <w:p>
            <w:pPr>
              <w:pStyle w:val="nTable"/>
              <w:spacing w:after="40"/>
            </w:pPr>
            <w:r>
              <w:t>SL 2020/108</w:t>
            </w:r>
            <w:r>
              <w:br/>
              <w:t>30 Jun 2020</w:t>
            </w:r>
          </w:p>
        </w:tc>
        <w:tc>
          <w:tcPr>
            <w:tcW w:w="2693" w:type="dxa"/>
            <w:tcBorders>
              <w:top w:val="nil"/>
              <w:left w:val="nil"/>
              <w:bottom w:val="nil"/>
              <w:right w:val="nil"/>
            </w:tcBorders>
          </w:tcPr>
          <w:p>
            <w:pPr>
              <w:pStyle w:val="nTable"/>
              <w:spacing w:after="40"/>
            </w:pPr>
            <w:r>
              <w:t>r. 1 and 2: 30 Jun 2020 (see r. 2(a));</w:t>
            </w:r>
            <w:r>
              <w:br/>
              <w:t>Regulations other than r. 1, 2, 4(3), 6 and 7(2): 1 Jul 2020 (see r. 2(c));</w:t>
            </w:r>
            <w:r>
              <w:br/>
              <w:t>r. 4(3), 6 and 7(2): 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4) 2020</w:t>
            </w:r>
          </w:p>
        </w:tc>
        <w:tc>
          <w:tcPr>
            <w:tcW w:w="1276" w:type="dxa"/>
            <w:tcBorders>
              <w:top w:val="nil"/>
              <w:left w:val="nil"/>
              <w:bottom w:val="nil"/>
              <w:right w:val="nil"/>
            </w:tcBorders>
          </w:tcPr>
          <w:p>
            <w:pPr>
              <w:pStyle w:val="nTable"/>
              <w:spacing w:after="40"/>
            </w:pPr>
            <w:r>
              <w:t>SL 2020/117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2020</w:t>
            </w:r>
          </w:p>
        </w:tc>
        <w:tc>
          <w:tcPr>
            <w:tcW w:w="1276" w:type="dxa"/>
            <w:tcBorders>
              <w:top w:val="nil"/>
              <w:left w:val="nil"/>
              <w:bottom w:val="nil"/>
              <w:right w:val="nil"/>
            </w:tcBorders>
          </w:tcPr>
          <w:p>
            <w:pPr>
              <w:pStyle w:val="nTable"/>
              <w:spacing w:after="40"/>
            </w:pPr>
            <w:r>
              <w:t>SL 2020/119 17 Jul 2020</w:t>
            </w:r>
          </w:p>
        </w:tc>
        <w:tc>
          <w:tcPr>
            <w:tcW w:w="2693" w:type="dxa"/>
            <w:tcBorders>
              <w:top w:val="nil"/>
              <w:left w:val="nil"/>
              <w:bottom w:val="nil"/>
              <w:right w:val="nil"/>
            </w:tcBorders>
          </w:tcPr>
          <w:p>
            <w:pPr>
              <w:pStyle w:val="nTable"/>
              <w:spacing w:after="40"/>
            </w:pPr>
            <w:r>
              <w:t>r. 1 and 2: 17 Jul 2020 (see r. 2(a));</w:t>
            </w:r>
            <w:r>
              <w:br/>
              <w:t>Regulations other than r. 1 and 2: 18 Jul 2020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Mining Amendment Regulations (No. 2) 2021</w:t>
            </w:r>
          </w:p>
        </w:tc>
        <w:tc>
          <w:tcPr>
            <w:tcW w:w="1276" w:type="dxa"/>
            <w:tcBorders>
              <w:top w:val="nil"/>
              <w:left w:val="nil"/>
              <w:bottom w:val="nil"/>
              <w:right w:val="nil"/>
            </w:tcBorders>
          </w:tcPr>
          <w:p>
            <w:pPr>
              <w:pStyle w:val="nTable"/>
              <w:spacing w:after="40"/>
            </w:pPr>
            <w:r>
              <w:t>SL 2021/43 23 Apr 2021</w:t>
            </w:r>
          </w:p>
        </w:tc>
        <w:tc>
          <w:tcPr>
            <w:tcW w:w="2693" w:type="dxa"/>
            <w:tcBorders>
              <w:top w:val="nil"/>
              <w:left w:val="nil"/>
              <w:bottom w:val="nil"/>
              <w:right w:val="nil"/>
            </w:tcBorders>
          </w:tcPr>
          <w:p>
            <w:pPr>
              <w:pStyle w:val="nTable"/>
              <w:spacing w:after="40"/>
            </w:pPr>
            <w:r>
              <w:t>r. 1 and 2: 23 Apr 2021 (see r. 2(a));</w:t>
            </w:r>
            <w:r>
              <w:br/>
              <w:t>Regulations other than r. 1 and 2: 24 Apr 2021 (see r. 2(b) and SL 2021/44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nil"/>
              <w:right w:val="nil"/>
            </w:tcBorders>
          </w:tcPr>
          <w:p>
            <w:pPr>
              <w:pStyle w:val="nTable"/>
              <w:spacing w:after="40"/>
              <w:rPr>
                <w:i/>
              </w:rPr>
            </w:pPr>
            <w:r>
              <w:rPr>
                <w:i/>
              </w:rPr>
              <w:t>Mines and Petroleum Regulations Amendment (Fees and Charges) Regulations 2021</w:t>
            </w:r>
            <w:r>
              <w:t xml:space="preserve"> Pt. 8</w:t>
            </w:r>
          </w:p>
        </w:tc>
        <w:tc>
          <w:tcPr>
            <w:tcW w:w="1276" w:type="dxa"/>
            <w:tcBorders>
              <w:top w:val="nil"/>
              <w:left w:val="nil"/>
              <w:bottom w:val="nil"/>
              <w:right w:val="nil"/>
            </w:tcBorders>
          </w:tcPr>
          <w:p>
            <w:pPr>
              <w:pStyle w:val="nTable"/>
              <w:spacing w:after="40"/>
            </w:pPr>
            <w:r>
              <w:t>SL 2021/85 21 Jun 2021</w:t>
            </w:r>
          </w:p>
        </w:tc>
        <w:tc>
          <w:tcPr>
            <w:tcW w:w="2693" w:type="dxa"/>
            <w:tcBorders>
              <w:top w:val="nil"/>
              <w:left w:val="nil"/>
              <w:bottom w:val="nil"/>
              <w:right w:val="nil"/>
            </w:tcBorders>
          </w:tcPr>
          <w:p>
            <w:pPr>
              <w:pStyle w:val="nTable"/>
              <w:spacing w:after="40"/>
            </w:pPr>
            <w:r>
              <w:t>1 Jul 2021 (see r. 2(b))</w:t>
            </w:r>
          </w:p>
        </w:tc>
      </w:tr>
      <w:tr>
        <w:tblPrEx>
          <w:tblBorders>
            <w:top w:val="single" w:sz="4" w:space="0" w:color="auto"/>
            <w:left w:val="single" w:sz="2" w:space="0" w:color="auto"/>
            <w:right w:val="single" w:sz="2" w:space="0" w:color="auto"/>
            <w:insideH w:val="single" w:sz="4" w:space="0" w:color="auto"/>
            <w:insideV w:val="single" w:sz="2" w:space="0" w:color="auto"/>
          </w:tblBorders>
        </w:tblPrEx>
        <w:trPr>
          <w:cantSplit/>
        </w:trPr>
        <w:tc>
          <w:tcPr>
            <w:tcW w:w="3119" w:type="dxa"/>
            <w:tcBorders>
              <w:top w:val="nil"/>
              <w:left w:val="nil"/>
              <w:bottom w:val="single" w:sz="4" w:space="0" w:color="auto"/>
              <w:right w:val="nil"/>
            </w:tcBorders>
          </w:tcPr>
          <w:p>
            <w:pPr>
              <w:pStyle w:val="nTable"/>
              <w:spacing w:after="40"/>
            </w:pPr>
            <w:r>
              <w:rPr>
                <w:i/>
              </w:rPr>
              <w:t>Mines and Petroleum Regulations Amendment (Royalty Information) Regulations 2022</w:t>
            </w:r>
            <w:r>
              <w:t xml:space="preserve"> Pt. 2</w:t>
            </w:r>
          </w:p>
        </w:tc>
        <w:tc>
          <w:tcPr>
            <w:tcW w:w="1276" w:type="dxa"/>
            <w:tcBorders>
              <w:top w:val="nil"/>
              <w:left w:val="nil"/>
              <w:bottom w:val="single" w:sz="4" w:space="0" w:color="auto"/>
              <w:right w:val="nil"/>
            </w:tcBorders>
          </w:tcPr>
          <w:p>
            <w:pPr>
              <w:pStyle w:val="nTable"/>
              <w:spacing w:after="40"/>
            </w:pPr>
            <w:r>
              <w:t>SL 2022/1 14 Jan 2022</w:t>
            </w:r>
          </w:p>
        </w:tc>
        <w:tc>
          <w:tcPr>
            <w:tcW w:w="2693" w:type="dxa"/>
            <w:tcBorders>
              <w:top w:val="nil"/>
              <w:left w:val="nil"/>
              <w:bottom w:val="single" w:sz="4" w:space="0" w:color="auto"/>
              <w:right w:val="nil"/>
            </w:tcBorders>
          </w:tcPr>
          <w:p>
            <w:pPr>
              <w:pStyle w:val="nTable"/>
              <w:spacing w:after="40"/>
            </w:pPr>
            <w:r>
              <w:t>15 Jan 2022 (see r. 2(b))</w:t>
            </w:r>
          </w:p>
        </w:tc>
      </w:tr>
    </w:tbl>
    <w:p>
      <w:pPr>
        <w:pStyle w:val="nHeading3"/>
        <w:keepLines/>
      </w:pPr>
      <w:bookmarkStart w:id="501" w:name="_Toc92809540"/>
      <w:r>
        <w:t>Other notes</w:t>
      </w:r>
      <w:bookmarkEnd w:id="501"/>
    </w:p>
    <w:p>
      <w:pPr>
        <w:pStyle w:val="nNote"/>
        <w:keepNext/>
        <w:keepLines/>
        <w:spacing w:before="160"/>
        <w:rPr>
          <w:snapToGrid w:val="0"/>
          <w:vertAlign w:val="superscript"/>
        </w:rPr>
      </w:pPr>
      <w:r>
        <w:rPr>
          <w:snapToGrid w:val="0"/>
          <w:vertAlign w:val="superscript"/>
        </w:rPr>
        <w:t>1</w:t>
      </w:r>
      <w:r>
        <w:rPr>
          <w:snapToGrid w:val="0"/>
        </w:rPr>
        <w:tab/>
        <w:t xml:space="preserve">The </w:t>
      </w:r>
      <w:r>
        <w:rPr>
          <w:i/>
          <w:snapToGrid w:val="0"/>
        </w:rPr>
        <w:t>Mining Amendment Act 1990</w:t>
      </w:r>
      <w:r>
        <w:rPr>
          <w:snapToGrid w:val="0"/>
        </w:rPr>
        <w:t xml:space="preserve"> commenced 28 Jun 1991.</w:t>
      </w:r>
    </w:p>
    <w:p>
      <w:pPr>
        <w:pStyle w:val="nNote"/>
        <w:keepNext/>
        <w:keepLines/>
        <w:rPr>
          <w:snapToGrid w:val="0"/>
        </w:rPr>
      </w:pPr>
      <w:r>
        <w:rPr>
          <w:snapToGrid w:val="0"/>
          <w:vertAlign w:val="superscript"/>
        </w:rPr>
        <w:t>2</w:t>
      </w:r>
      <w:r>
        <w:rPr>
          <w:snapToGrid w:val="0"/>
        </w:rPr>
        <w:tab/>
        <w:t xml:space="preserve">Formerly referred to the </w:t>
      </w:r>
      <w:r>
        <w:rPr>
          <w:i/>
          <w:snapToGrid w:val="0"/>
        </w:rPr>
        <w:t>Licensed Surveyors (Guidance of Surveyors) Regulations 1961</w:t>
      </w:r>
      <w:r>
        <w:rPr>
          <w:snapToGrid w:val="0"/>
        </w:rPr>
        <w:t xml:space="preserve">, the citation of which was changed to the </w:t>
      </w:r>
      <w:r>
        <w:rPr>
          <w:i/>
          <w:snapToGrid w:val="0"/>
        </w:rPr>
        <w:t>Licensed Surveyors (General Surveying Practice) Regulations 1961</w:t>
      </w:r>
      <w:r>
        <w:rPr>
          <w:snapToGrid w:val="0"/>
        </w:rPr>
        <w:t xml:space="preserve"> by the </w:t>
      </w:r>
      <w:r>
        <w:rPr>
          <w:i/>
          <w:snapToGrid w:val="0"/>
        </w:rPr>
        <w:t>Licensed Surveyors (Guidance of Surveyors) Amendment Regulations 2013</w:t>
      </w:r>
      <w:r>
        <w:rPr>
          <w:snapToGrid w:val="0"/>
        </w:rPr>
        <w:t xml:space="preserve">. The reference was changed under the </w:t>
      </w:r>
      <w:r>
        <w:rPr>
          <w:i/>
          <w:snapToGrid w:val="0"/>
        </w:rPr>
        <w:t>Reprints Act 1984</w:t>
      </w:r>
      <w:r>
        <w:rPr>
          <w:snapToGrid w:val="0"/>
        </w:rPr>
        <w:t xml:space="preserve"> s. 7(3)(gb).</w:t>
      </w:r>
    </w:p>
    <w:p>
      <w:pPr>
        <w:pStyle w:val="nNote"/>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commenced 1 Jul 1994.</w:t>
      </w:r>
    </w:p>
    <w:p>
      <w:pPr>
        <w:pStyle w:val="nNote"/>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 xml:space="preserve">Petroleum </w:t>
      </w:r>
      <w:r>
        <w:rPr>
          <w:i/>
          <w:snapToGrid w:val="0"/>
        </w:rPr>
        <w:lastRenderedPageBreak/>
        <w:t>Amendment Act 2007</w:t>
      </w:r>
      <w:r>
        <w:rPr>
          <w:snapToGrid w:val="0"/>
        </w:rPr>
        <w:t xml:space="preserve"> s. 5. Reference changed under the </w:t>
      </w:r>
      <w:r>
        <w:rPr>
          <w:i/>
          <w:iCs/>
          <w:snapToGrid w:val="0"/>
        </w:rPr>
        <w:t>Reprints Act 1984</w:t>
      </w:r>
      <w:r>
        <w:rPr>
          <w:snapToGrid w:val="0"/>
        </w:rPr>
        <w:t xml:space="preserve"> s. 7(3)(gb).</w:t>
      </w:r>
    </w:p>
    <w:p>
      <w:pPr>
        <w:pStyle w:val="nNote"/>
        <w:rPr>
          <w:snapToGrid w:val="0"/>
        </w:rPr>
      </w:pPr>
      <w:r>
        <w:rPr>
          <w:snapToGrid w:val="0"/>
          <w:vertAlign w:val="superscript"/>
        </w:rPr>
        <w:t>5</w:t>
      </w:r>
      <w:r>
        <w:rPr>
          <w:snapToGrid w:val="0"/>
        </w:rPr>
        <w:tab/>
        <w:t xml:space="preserve">The </w:t>
      </w:r>
      <w:r>
        <w:rPr>
          <w:i/>
          <w:snapToGrid w:val="0"/>
        </w:rPr>
        <w:t>Acts Amendment (Australian Datum) Act 2000</w:t>
      </w:r>
      <w:r>
        <w:rPr>
          <w:snapToGrid w:val="0"/>
        </w:rPr>
        <w:t xml:space="preserve"> s. 5 commenced 16 Dec 2000.</w:t>
      </w:r>
    </w:p>
    <w:p>
      <w:pPr>
        <w:pStyle w:val="nNote"/>
        <w:keepNext/>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Note"/>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Note"/>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Note"/>
        <w:keepNext/>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Note"/>
        <w:spacing w:before="120"/>
      </w:pPr>
      <w:r>
        <w:rPr>
          <w:vertAlign w:val="superscript"/>
        </w:rPr>
        <w:t>10</w:t>
      </w:r>
      <w:r>
        <w:tab/>
        <w:t xml:space="preserve">Disallowed on 12 Oct 2017 see </w:t>
      </w:r>
      <w:r>
        <w:rPr>
          <w:i/>
        </w:rPr>
        <w:t>Gazette</w:t>
      </w:r>
      <w:r>
        <w:t xml:space="preserve"> 17 Oct 2017 p. 5345.</w:t>
      </w:r>
    </w:p>
    <w:p>
      <w:pPr>
        <w:pStyle w:val="nNote"/>
        <w:spacing w:before="120"/>
      </w:pPr>
      <w:r>
        <w:rPr>
          <w:vertAlign w:val="superscript"/>
        </w:rPr>
        <w:t>11</w:t>
      </w:r>
      <w:r>
        <w:tab/>
        <w:t xml:space="preserve">Disallowed on 28 Nov 2017 see </w:t>
      </w:r>
      <w:r>
        <w:rPr>
          <w:i/>
        </w:rPr>
        <w:t>Gazette</w:t>
      </w:r>
      <w:r>
        <w:t xml:space="preserve"> 1 Dec 2017 p. 5749.</w:t>
      </w:r>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503" w:name="_Toc92809541"/>
      <w:r>
        <w:rPr>
          <w:sz w:val="28"/>
        </w:rPr>
        <w:lastRenderedPageBreak/>
        <w:t>Defined terms</w:t>
      </w:r>
      <w:bookmarkEnd w:id="5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70A(1), 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Department of Finance</w:t>
      </w:r>
      <w:r>
        <w:tab/>
        <w:t>96CB(1)</w:t>
      </w:r>
    </w:p>
    <w:p>
      <w:pPr>
        <w:pStyle w:val="DefinedTerms"/>
      </w:pPr>
      <w:r>
        <w:t>Department of Finance worker</w:t>
      </w:r>
      <w:r>
        <w:tab/>
        <w:t>96CB(1)</w:t>
      </w:r>
    </w:p>
    <w:p>
      <w:pPr>
        <w:pStyle w:val="DefinedTerms"/>
      </w:pPr>
      <w:r>
        <w:t>determination</w:t>
      </w:r>
      <w:r>
        <w:tab/>
        <w:t>137(1)</w:t>
      </w:r>
    </w:p>
    <w:p>
      <w:pPr>
        <w:pStyle w:val="DefinedTerms"/>
      </w:pPr>
      <w:r>
        <w:t>Director</w:t>
      </w:r>
      <w:r>
        <w:tab/>
        <w:t>116, 120P</w:t>
      </w:r>
    </w:p>
    <w:p>
      <w:pPr>
        <w:pStyle w:val="DefinedTerms"/>
      </w:pPr>
      <w:r>
        <w:t>Director General of Finance</w:t>
      </w:r>
      <w:r>
        <w:tab/>
        <w:t>96CB(1)</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environmental officer</w:t>
      </w:r>
      <w:r>
        <w:tab/>
        <w:t>2</w:t>
      </w:r>
    </w:p>
    <w:p>
      <w:pPr>
        <w:pStyle w:val="DefinedTerms"/>
      </w:pPr>
      <w:r>
        <w:t>environment information</w:t>
      </w:r>
      <w:r>
        <w:tab/>
        <w:t>96CA(1)</w:t>
      </w:r>
    </w:p>
    <w:p>
      <w:pPr>
        <w:pStyle w:val="DefinedTerms"/>
      </w:pPr>
      <w:r>
        <w:t>environment report</w:t>
      </w:r>
      <w:r>
        <w:tab/>
        <w:t>96CA(1)</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lastRenderedPageBreak/>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Minister for Finance</w:t>
      </w:r>
      <w:r>
        <w:tab/>
        <w:t>96CB(1)</w:t>
      </w:r>
    </w:p>
    <w:p>
      <w:pPr>
        <w:pStyle w:val="DefinedTerms"/>
      </w:pPr>
      <w:r>
        <w:t>net GST</w:t>
      </w:r>
      <w:r>
        <w:tab/>
        <w:t>85AA(5)</w:t>
      </w:r>
    </w:p>
    <w:p>
      <w:pPr>
        <w:pStyle w:val="DefinedTerms"/>
      </w:pPr>
      <w:r>
        <w:t>net input tax credit</w:t>
      </w:r>
      <w:r>
        <w:tab/>
        <w:t>85AA(4)</w:t>
      </w:r>
    </w:p>
    <w:p>
      <w:pPr>
        <w:pStyle w:val="DefinedTerms"/>
      </w:pPr>
      <w:r>
        <w:t>nickel by-product</w:t>
      </w:r>
      <w:r>
        <w:tab/>
        <w:t>85(1)</w:t>
      </w:r>
    </w:p>
    <w:p>
      <w:pPr>
        <w:pStyle w:val="DefinedTerms"/>
      </w:pPr>
      <w:r>
        <w:t>number</w:t>
      </w:r>
      <w:r>
        <w:tab/>
        <w:t>Sch. 3 cl. 1(1)</w:t>
      </w:r>
    </w:p>
    <w:p>
      <w:pPr>
        <w:pStyle w:val="DefinedTerms"/>
      </w:pPr>
      <w:r>
        <w:t>objection</w:t>
      </w:r>
      <w:r>
        <w:tab/>
        <w:t>137(1)</w:t>
      </w:r>
    </w:p>
    <w:p>
      <w:pPr>
        <w:pStyle w:val="DefinedTerms"/>
      </w:pPr>
      <w:r>
        <w:t>officer</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lastRenderedPageBreak/>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information</w:t>
      </w:r>
      <w:r>
        <w:tab/>
        <w:t>96CB(1)</w:t>
      </w:r>
    </w:p>
    <w:p>
      <w:pPr>
        <w:pStyle w:val="DefinedTerms"/>
      </w:pPr>
      <w:r>
        <w:t>relevant operations report</w:t>
      </w:r>
      <w:r>
        <w:tab/>
        <w:t>58A(1)</w:t>
      </w:r>
    </w:p>
    <w:p>
      <w:pPr>
        <w:pStyle w:val="DefinedTerms"/>
      </w:pPr>
      <w:r>
        <w:t>relevant period</w:t>
      </w:r>
      <w:r>
        <w:tab/>
        <w:t>86(2a), 96CA(1)</w:t>
      </w:r>
    </w:p>
    <w:p>
      <w:pPr>
        <w:pStyle w:val="DefinedTerms"/>
      </w:pPr>
      <w:r>
        <w:t>reversion licence</w:t>
      </w:r>
      <w:r>
        <w:tab/>
        <w:t>63A(1)</w:t>
      </w:r>
    </w:p>
    <w:p>
      <w:pPr>
        <w:pStyle w:val="DefinedTerms"/>
      </w:pPr>
      <w:r>
        <w:t>royalties activities</w:t>
      </w:r>
      <w:r>
        <w:tab/>
        <w:t>96CB(1)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lastRenderedPageBreak/>
        <w:t>supply</w:t>
      </w:r>
      <w:r>
        <w:tab/>
        <w:t>85AA(5)</w:t>
      </w:r>
    </w:p>
    <w:p>
      <w:pPr>
        <w:pStyle w:val="DefinedTerms"/>
      </w:pPr>
      <w:r>
        <w:t>tenement</w:t>
      </w:r>
      <w:r>
        <w:tab/>
        <w:t>116</w:t>
      </w:r>
    </w:p>
    <w:p>
      <w:pPr>
        <w:pStyle w:val="DefinedTerms"/>
      </w:pPr>
      <w:r>
        <w:t>term</w:t>
      </w:r>
      <w:r>
        <w:tab/>
        <w:t>2</w:t>
      </w:r>
    </w:p>
    <w:p>
      <w:pPr>
        <w:pStyle w:val="DefinedTerms"/>
      </w:pPr>
      <w:r>
        <w:t>treatment facility</w:t>
      </w:r>
      <w:r>
        <w:tab/>
        <w:t>86AA(11)</w:t>
      </w:r>
    </w:p>
    <w:p>
      <w:pPr>
        <w:pStyle w:val="DefinedTerms"/>
      </w:pPr>
      <w:r>
        <w:t>working day</w:t>
      </w:r>
      <w:r>
        <w:tab/>
        <w:t>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305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76" w:name="Schedule"/>
    <w:bookmarkEnd w:id="4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872"/>
      <w:gridCol w:w="539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872" w:type="dxa"/>
        </w:tcPr>
        <w:p>
          <w:pPr>
            <w:pStyle w:val="Header"/>
            <w:spacing w:before="40"/>
          </w:pPr>
        </w:p>
      </w:tc>
      <w:tc>
        <w:tcPr>
          <w:tcW w:w="5391" w:type="dxa"/>
          <w:vAlign w:val="bottom"/>
        </w:tcPr>
        <w:p>
          <w:pPr>
            <w:pStyle w:val="Header"/>
            <w:spacing w:before="40"/>
          </w:pPr>
        </w:p>
      </w:tc>
    </w:tr>
    <w:tr>
      <w:trPr>
        <w:jc w:val="center"/>
      </w:trP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808"/>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352" w:type="dxa"/>
          <w:vAlign w:val="bottom"/>
        </w:tcPr>
        <w:p>
          <w:pPr>
            <w:pStyle w:val="Header"/>
            <w:spacing w:before="40"/>
            <w:jc w:val="right"/>
          </w:pPr>
        </w:p>
      </w:tc>
      <w:tc>
        <w:tcPr>
          <w:tcW w:w="1808" w:type="dxa"/>
        </w:tcPr>
        <w:p>
          <w:pPr>
            <w:pStyle w:val="Header"/>
            <w:spacing w:before="40"/>
            <w:ind w:right="17"/>
            <w:jc w:val="right"/>
          </w:pPr>
        </w:p>
      </w:tc>
    </w:tr>
    <w:tr>
      <w:trPr>
        <w:jc w:val="center"/>
      </w:trP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502" w:name="Compilation"/>
    <w:bookmarkEnd w:id="5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4" w:name="DefinedTerms"/>
    <w:bookmarkEnd w:id="50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5" w:name="Coversheet"/>
    <w:bookmarkEnd w:id="5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11131113"/>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206100344" w:val="RemoveTocBookmarks,RemoveUnusedBookmarks,RemoveLanguageTags,UsedStyles,ResetPageSize,RemoveCustomizations"/>
    <w:docVar w:name="WAFER_20180206100344_GUID" w:val="db5bcc68-399b-451a-b9b0-f78de4da54bc"/>
    <w:docVar w:name="WAFER_20190524095841" w:val="RemoveTocBookmarks,RemoveUnusedBookmarks,RemoveLanguageTags,ResetPageSize,RunningHeaders,UpdateStyles,UsedStyles"/>
    <w:docVar w:name="WAFER_20190524095841_GUID" w:val="05c7935e-fdde-4e9d-b3c0-d3f0a1e323fc"/>
    <w:docVar w:name="WAFER_20191210123748" w:val="RemoveTocBookmarks,RemoveUnusedBookmarks,RemoveLanguageTags,ResetPageSize,RunningHeaders,UpdateStyles,UsedStyles"/>
    <w:docVar w:name="WAFER_20191210123748_GUID" w:val="ed1831b1-91a9-44e3-ba45-4b3c7a3ee5b3"/>
    <w:docVar w:name="WAFER_202003261705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70526_GUID" w:val="a69cde78-6f15-4d76-b239-8b9a105895da"/>
    <w:docVar w:name="WAFER_202006260859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085946_GUID" w:val="fd32b606-3227-4a5b-9af3-b0b2a8d046d0"/>
    <w:docVar w:name="WAFER_20200716130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6130829_GUID" w:val="d17ad288-73e5-4243-8c80-b44f03c360d1"/>
    <w:docVar w:name="WAFER_20210421110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421110905_GUID" w:val="2d45de75-d53f-4d60-b554-313bb34a5a77"/>
    <w:docVar w:name="WAFER_20210624120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20456_GUID" w:val="da3d9cd3-bebe-4a50-9bd7-2b5c34ee98cd"/>
    <w:docVar w:name="WAFER_20220111131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11131113_GUID" w:val="c768cbdf-cea1-4ab4-ae8d-675835841e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5:docId w15:val="{8719FF9A-7F6D-4460-9804-A5FA1C2E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yMiscellaneousBody9pt">
    <w:name w:val="yMiscellaneous Body + 9 pt"/>
    <w:aliases w:val="Left:  0.2 cm,Right:  0.2 cm,Before:  0 pt"/>
    <w:basedOn w:val="Normal"/>
    <w:rPr>
      <w:szCs w:val="24"/>
    </w:rPr>
  </w:style>
  <w:style w:type="paragraph" w:customStyle="1" w:styleId="yMiscellaneousBody10pt">
    <w:name w:val="yMiscellaneous Body + 10 pt"/>
    <w:aliases w:val="Left:  0.5 cm,Hanging:  2 cm"/>
    <w:basedOn w:val="zyMiscellaneousBody"/>
    <w:pPr>
      <w:tabs>
        <w:tab w:val="left" w:pos="993"/>
        <w:tab w:val="left" w:pos="1418"/>
      </w:tabs>
      <w:ind w:left="1418" w:hanging="1134"/>
    </w:pPr>
    <w:rPr>
      <w:sz w:val="20"/>
    </w:rPr>
  </w:style>
  <w:style w:type="paragraph" w:customStyle="1" w:styleId="yTableNAm9pt">
    <w:name w:val="yTableNAm + 9 pt"/>
    <w:aliases w:val="Left:  -0.21 cm,Hanging:  0.75 cm,Before:  3 pt"/>
    <w:basedOn w:val="zyTableNAm"/>
    <w:pPr>
      <w:tabs>
        <w:tab w:val="clear" w:pos="567"/>
        <w:tab w:val="left" w:pos="306"/>
      </w:tabs>
      <w:ind w:left="306" w:hanging="426"/>
    </w:pPr>
    <w:rPr>
      <w:sz w:val="18"/>
      <w:szCs w:val="18"/>
    </w:r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69">
      <w:bodyDiv w:val="1"/>
      <w:marLeft w:val="0"/>
      <w:marRight w:val="0"/>
      <w:marTop w:val="0"/>
      <w:marBottom w:val="0"/>
      <w:divBdr>
        <w:top w:val="none" w:sz="0" w:space="0" w:color="auto"/>
        <w:left w:val="none" w:sz="0" w:space="0" w:color="auto"/>
        <w:bottom w:val="none" w:sz="0" w:space="0" w:color="auto"/>
        <w:right w:val="none" w:sz="0" w:space="0" w:color="auto"/>
      </w:divBdr>
    </w:div>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4.png"/><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85C79-3962-441A-97D3-43710DB0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76449</Words>
  <Characters>381483</Characters>
  <Application>Microsoft Office Word</Application>
  <DocSecurity>0</DocSecurity>
  <Lines>14672</Lines>
  <Paragraphs>8979</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448953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1981 - 12-l0-00</dc:title>
  <dc:subject/>
  <dc:creator/>
  <cp:keywords/>
  <dc:description/>
  <cp:lastModifiedBy>Master Repository Process</cp:lastModifiedBy>
  <cp:revision>4</cp:revision>
  <cp:lastPrinted>2019-12-13T04:15:00Z</cp:lastPrinted>
  <dcterms:created xsi:type="dcterms:W3CDTF">2022-01-13T07:42:00Z</dcterms:created>
  <dcterms:modified xsi:type="dcterms:W3CDTF">2022-01-13T07:42:00Z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12</vt:lpwstr>
  </property>
  <property fmtid="{D5CDD505-2E9C-101B-9397-08002B2CF9AE}" pid="7" name="AsAtDate">
    <vt:lpwstr>15 Jan 2022</vt:lpwstr>
  </property>
  <property fmtid="{D5CDD505-2E9C-101B-9397-08002B2CF9AE}" pid="8" name="Suffix">
    <vt:lpwstr>12-l0-00</vt:lpwstr>
  </property>
  <property fmtid="{D5CDD505-2E9C-101B-9397-08002B2CF9AE}" pid="9" name="CommencementDate">
    <vt:lpwstr>20220115</vt:lpwstr>
  </property>
</Properties>
</file>