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_Toc94015803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_Toc94015804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_Toc94015805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_Toc94015806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_Toc94015807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_Toc94015808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_Toc94015809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_Toc94015810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_Toc94015811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_Toc94015812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_Toc94015813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_Toc94015814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_Toc94015815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_Toc94015816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_Toc94015817 \h </w:instrText>
      </w:r>
      <w:r>
        <w:fldChar w:fldCharType="separate"/>
      </w:r>
      <w:r>
        <w:t>9</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_Toc94015818 \h </w:instrText>
      </w:r>
      <w:r>
        <w:fldChar w:fldCharType="separate"/>
      </w:r>
      <w:r>
        <w:t>9</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_Toc94015819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_Toc94015820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_Toc94015821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_Toc94015822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_Toc94015823 \h </w:instrText>
      </w:r>
      <w:r>
        <w:fldChar w:fldCharType="separate"/>
      </w:r>
      <w:r>
        <w:t>11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_Toc94015824 \h </w:instrText>
      </w:r>
      <w:r>
        <w:fldChar w:fldCharType="separate"/>
      </w:r>
      <w:r>
        <w:t>12</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_Toc94015825 \h </w:instrText>
      </w:r>
      <w:r>
        <w:fldChar w:fldCharType="separate"/>
      </w:r>
      <w:r>
        <w:t>12</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_Toc94015826 \h </w:instrText>
      </w:r>
      <w:r>
        <w:fldChar w:fldCharType="separate"/>
      </w:r>
      <w:r>
        <w:t>12</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_Toc94015827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_Toc94015828 \h </w:instrText>
      </w:r>
      <w:r>
        <w:fldChar w:fldCharType="separate"/>
      </w:r>
      <w:r>
        <w:t>13</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_Toc94015829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_Toc94015830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_Toc94015831 \h </w:instrText>
      </w:r>
      <w:r>
        <w:fldChar w:fldCharType="separate"/>
      </w:r>
      <w:r>
        <w:t>14</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_Toc94015832 \h </w:instrText>
      </w:r>
      <w:r>
        <w:fldChar w:fldCharType="separate"/>
      </w:r>
      <w:r>
        <w:t>15</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_Toc94015833 \h </w:instrText>
      </w:r>
      <w:r>
        <w:fldChar w:fldCharType="separate"/>
      </w:r>
      <w:r>
        <w:t>16</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_Toc94015834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_Toc94015835 \h </w:instrText>
      </w:r>
      <w:r>
        <w:fldChar w:fldCharType="separate"/>
      </w:r>
      <w:r>
        <w:t>17</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_Toc94015836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_Toc94015837 \h </w:instrText>
      </w:r>
      <w:r>
        <w:fldChar w:fldCharType="separate"/>
      </w:r>
      <w:r>
        <w:t>18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_Toc94015838 \h </w:instrText>
      </w:r>
      <w:r>
        <w:fldChar w:fldCharType="separate"/>
      </w:r>
      <w:r>
        <w:t>19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_Toc94015839 \h </w:instrText>
      </w:r>
      <w:r>
        <w:fldChar w:fldCharType="separate"/>
      </w:r>
      <w:r>
        <w:t>20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_Toc94015840 \h </w:instrText>
      </w:r>
      <w:r>
        <w:fldChar w:fldCharType="separate"/>
      </w:r>
      <w:r>
        <w:t>21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_Toc94015841 \h </w:instrText>
      </w:r>
      <w:r>
        <w:fldChar w:fldCharType="separate"/>
      </w:r>
      <w:r>
        <w:t>22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_Toc94015842 \h </w:instrText>
      </w:r>
      <w:r>
        <w:fldChar w:fldCharType="separate"/>
      </w:r>
      <w:r>
        <w:t>23</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_Toc94015843 \h </w:instrText>
      </w:r>
      <w:r>
        <w:fldChar w:fldCharType="separate"/>
      </w:r>
      <w:r>
        <w:t>24</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_Toc94015844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_Toc94015845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_Toc94015846 \h </w:instrText>
      </w:r>
      <w:r>
        <w:fldChar w:fldCharType="separate"/>
      </w:r>
      <w:r>
        <w:t>26</w:t>
      </w:r>
      <w:r>
        <w:fldChar w:fldCharType="end"/>
      </w:r>
    </w:p>
    <w:p>
      <w:pPr>
        <w:pStyle w:val="TOC2"/>
        <w:keepNext w:val="0"/>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_Toc94015853 \h </w:instrText>
      </w:r>
      <w:r>
        <w:fldChar w:fldCharType="separate"/>
      </w:r>
      <w:r>
        <w:t>35</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_Toc94015854 \h </w:instrText>
      </w:r>
      <w:r>
        <w:fldChar w:fldCharType="separate"/>
      </w:r>
      <w:r>
        <w:t>36</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_Toc94015855 \h </w:instrText>
      </w:r>
      <w:r>
        <w:fldChar w:fldCharType="separate"/>
      </w:r>
      <w:r>
        <w:t>37</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_Toc94015856 \h </w:instrText>
      </w:r>
      <w:r>
        <w:fldChar w:fldCharType="separate"/>
      </w:r>
      <w:r>
        <w:t>39</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_Toc94015857 \h </w:instrText>
      </w:r>
      <w:r>
        <w:fldChar w:fldCharType="separate"/>
      </w:r>
      <w:r>
        <w:t>41</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_Toc94015858 \h </w:instrText>
      </w:r>
      <w:r>
        <w:fldChar w:fldCharType="separate"/>
      </w:r>
      <w:r>
        <w:t>43</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_Toc94015859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_Toc94015860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_Toc94015861 \h </w:instrText>
      </w:r>
      <w:r>
        <w:fldChar w:fldCharType="separate"/>
      </w:r>
      <w:r>
        <w:t>48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_Toc94015862 \h </w:instrText>
      </w:r>
      <w:r>
        <w:fldChar w:fldCharType="separate"/>
      </w:r>
      <w:r>
        <w:t>49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_Toc94015863 \h </w:instrText>
      </w:r>
      <w:r>
        <w:fldChar w:fldCharType="separate"/>
      </w:r>
      <w:r>
        <w:t>50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_Toc94015864 \h </w:instrText>
      </w:r>
      <w:r>
        <w:fldChar w:fldCharType="separate"/>
      </w:r>
      <w:r>
        <w:t>51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_Toc94015865 \h </w:instrText>
      </w:r>
      <w:r>
        <w:fldChar w:fldCharType="separate"/>
      </w:r>
      <w:r>
        <w:t>52</w:t>
      </w:r>
      <w:r>
        <w:fldChar w:fldCharType="end"/>
      </w:r>
    </w:p>
    <w:p>
      <w:pPr>
        <w:pStyle w:val="TOC8"/>
        <w:rPr>
          <w:rFonts w:asciiTheme="minorHAnsi" w:eastAsiaTheme="minorEastAsia" w:hAnsiTheme="minorHAnsi" w:cstheme="minorBidi"/>
          <w:szCs w:val="22"/>
        </w:rPr>
      </w:pPr>
      <w:r>
        <w:lastRenderedPageBreak/>
        <w:t>10.</w:t>
      </w:r>
      <w:r>
        <w:tab/>
        <w:t>Certificate under Act s. 101C(2A): Part 3 proceedings</w:t>
      </w:r>
      <w:r>
        <w:tab/>
      </w:r>
      <w:r>
        <w:fldChar w:fldCharType="begin"/>
      </w:r>
      <w:r>
        <w:instrText xml:space="preserve"> PAGEREF _Toc94015866 \h </w:instrText>
      </w:r>
      <w:r>
        <w:fldChar w:fldCharType="separate"/>
      </w:r>
      <w:r>
        <w:t>53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_Toc94015867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_Toc94015869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_Toc94015870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9401580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9401580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94015805"/>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6" w:name="_Toc94015806"/>
      <w:r>
        <w:rPr>
          <w:rStyle w:val="CharSectno"/>
        </w:rPr>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w:t>
      </w:r>
      <w:r>
        <w:lastRenderedPageBreak/>
        <w:t>(catalogue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7" w:name="_Toc94015807"/>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94015808"/>
      <w:r>
        <w:rPr>
          <w:rStyle w:val="CharSectno"/>
        </w:rPr>
        <w:lastRenderedPageBreak/>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94015809"/>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94015810"/>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1" w:name="_Toc94015811"/>
      <w:r>
        <w:rPr>
          <w:rStyle w:val="CharSectno"/>
        </w:rPr>
        <w:lastRenderedPageBreak/>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94015812"/>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w:t>
      </w:r>
      <w:r>
        <w:rPr>
          <w:i/>
        </w:rPr>
        <w:lastRenderedPageBreak/>
        <w:t xml:space="preserve">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w:t>
      </w:r>
      <w:r>
        <w:lastRenderedPageBreak/>
        <w:t>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31.9pt" o:ole="">
            <v:imagedata r:id="rId21" o:title=""/>
          </v:shape>
          <o:OLEObject Type="Embed" ProgID="Equation.3" ShapeID="_x0000_i1025" DrawAspect="Content" ObjectID="_1704805330"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lastRenderedPageBreak/>
        <w:t>[</w:t>
      </w:r>
      <w:r>
        <w:rPr>
          <w:b/>
        </w:rPr>
        <w:t>3A.</w:t>
      </w:r>
      <w:r>
        <w:tab/>
        <w:t>Deleted: SL 2020/167 r. 8.]</w:t>
      </w:r>
    </w:p>
    <w:p>
      <w:pPr>
        <w:pStyle w:val="Heading5"/>
        <w:spacing w:before="260"/>
        <w:rPr>
          <w:snapToGrid w:val="0"/>
        </w:rPr>
      </w:pPr>
      <w:bookmarkStart w:id="13" w:name="_Toc9401581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94015814"/>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94015815"/>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lastRenderedPageBreak/>
        <w:tab/>
        <w:t>(3)</w:t>
      </w:r>
      <w:r>
        <w:tab/>
        <w:t>If the application is made in writing, it must be in a form approved by the Registrar.</w:t>
      </w:r>
    </w:p>
    <w:p>
      <w:pPr>
        <w:pStyle w:val="Footnotesection"/>
      </w:pPr>
      <w:r>
        <w:tab/>
        <w:t>[Regulation 6 inserted: SL 2020/167 r. 9.]</w:t>
      </w:r>
    </w:p>
    <w:p>
      <w:pPr>
        <w:pStyle w:val="Heading5"/>
      </w:pPr>
      <w:bookmarkStart w:id="16" w:name="_Toc94015816"/>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 xml:space="preserve">in the case of a person or body referred to in subregulation (1)(b) — the offender’s financial circumstances and capacity to pay the relevant amount, </w:t>
      </w:r>
      <w:r>
        <w:lastRenderedPageBreak/>
        <w:t>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94015817"/>
      <w:r>
        <w:rPr>
          <w:rStyle w:val="CharSectno"/>
        </w:rPr>
        <w:t>6AB</w:t>
      </w:r>
      <w:r>
        <w:t>.</w:t>
      </w:r>
      <w:r>
        <w:tab/>
        <w:t>Form of request for cancellation of licence suspension order (Act s. 44A)</w:t>
      </w:r>
      <w:bookmarkEnd w:id="17"/>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94015818"/>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9" w:name="_Toc94015819"/>
      <w:r>
        <w:rPr>
          <w:rStyle w:val="CharSectno"/>
        </w:rPr>
        <w:lastRenderedPageBreak/>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94015820"/>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94015821"/>
      <w:r>
        <w:rPr>
          <w:rStyle w:val="CharSectno"/>
        </w:rPr>
        <w:lastRenderedPageBreak/>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94015822"/>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94015823"/>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lastRenderedPageBreak/>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94015824"/>
      <w:r>
        <w:rPr>
          <w:rStyle w:val="CharSectno"/>
        </w:rPr>
        <w:t>6BAAA</w:t>
      </w:r>
      <w:r>
        <w:t>.</w:t>
      </w:r>
      <w:r>
        <w:tab/>
        <w:t>Daily expiation amount (Act s. 52B)</w:t>
      </w:r>
      <w:bookmarkEnd w:id="24"/>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94015825"/>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94015826"/>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94015827"/>
      <w:r>
        <w:rPr>
          <w:rStyle w:val="CharSectno"/>
        </w:rPr>
        <w:lastRenderedPageBreak/>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94015828"/>
      <w:r>
        <w:rPr>
          <w:rStyle w:val="CharSectno"/>
        </w:rPr>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94015829"/>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94015830"/>
      <w:r>
        <w:rPr>
          <w:rStyle w:val="CharSectno"/>
        </w:rPr>
        <w:lastRenderedPageBreak/>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94015831"/>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lastRenderedPageBreak/>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94015832"/>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lastRenderedPageBreak/>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94015833"/>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94015834"/>
      <w:r>
        <w:rPr>
          <w:rStyle w:val="CharSectno"/>
        </w:rPr>
        <w:lastRenderedPageBreak/>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94015835"/>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lastRenderedPageBreak/>
        <w:tab/>
        <w:t>(b)</w:t>
      </w:r>
      <w:r>
        <w:tab/>
        <w:t>accompanied by any documentation or evidence required by that form.</w:t>
      </w:r>
    </w:p>
    <w:p>
      <w:pPr>
        <w:pStyle w:val="Footnotesection"/>
      </w:pPr>
      <w:r>
        <w:tab/>
        <w:t>[Regulation 8AD inserted: SL 2020/167 r. 15.]</w:t>
      </w:r>
    </w:p>
    <w:p>
      <w:pPr>
        <w:pStyle w:val="Heading5"/>
      </w:pPr>
      <w:bookmarkStart w:id="36" w:name="_Toc94015836"/>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94015837"/>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lastRenderedPageBreak/>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94015838"/>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lastRenderedPageBreak/>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94015839"/>
      <w:r>
        <w:rPr>
          <w:rStyle w:val="CharSectno"/>
        </w:rPr>
        <w:t>9</w:t>
      </w:r>
      <w:r>
        <w:t>.</w:t>
      </w:r>
      <w:r>
        <w:tab/>
        <w:t>Enforcement fees prescribed (Act Parts 3, 4 and 7)</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0" w:name="_Toc94015840"/>
      <w:r>
        <w:rPr>
          <w:rStyle w:val="CharSectno"/>
        </w:rPr>
        <w:lastRenderedPageBreak/>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lastRenderedPageBreak/>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41" w:name="_Toc94015841"/>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lastRenderedPageBreak/>
        <w:tab/>
        <w:t>[Regulation 11A inserted: Gazette 13 Nov 2015 p. 4657; amended Gazette 31 Dec 2019 p. 4672; SL 2020/167 r. 18.]</w:t>
      </w:r>
    </w:p>
    <w:p>
      <w:pPr>
        <w:pStyle w:val="Heading5"/>
      </w:pPr>
      <w:bookmarkStart w:id="42" w:name="_Toc94015842"/>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lastRenderedPageBreak/>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94015843"/>
      <w:r>
        <w:rPr>
          <w:rStyle w:val="CharSectno"/>
        </w:rPr>
        <w:t>11C</w:t>
      </w:r>
      <w:r>
        <w:t>.</w:t>
      </w:r>
      <w:r>
        <w:tab/>
        <w:t>Issuing summons under Act s. 52Q</w:t>
      </w:r>
      <w:bookmarkEnd w:id="4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lastRenderedPageBreak/>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94015844"/>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94015845"/>
      <w:r>
        <w:rPr>
          <w:rStyle w:val="CharSectno"/>
        </w:rPr>
        <w:t>11</w:t>
      </w:r>
      <w:r>
        <w:rPr>
          <w:snapToGrid w:val="0"/>
        </w:rPr>
        <w:t>.</w:t>
      </w:r>
      <w:r>
        <w:rPr>
          <w:snapToGrid w:val="0"/>
        </w:rPr>
        <w:tab/>
        <w:t>Methods of payment</w:t>
      </w:r>
      <w:bookmarkEnd w:id="4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94015846"/>
      <w:r>
        <w:rPr>
          <w:rStyle w:val="CharSectno"/>
        </w:rPr>
        <w:lastRenderedPageBreak/>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7" w:name="_Toc94005548"/>
      <w:bookmarkStart w:id="48" w:name="_Toc94005919"/>
      <w:bookmarkStart w:id="49" w:name="_Toc94015847"/>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lastRenderedPageBreak/>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w:t>
      </w:r>
      <w:r>
        <w:lastRenderedPageBreak/>
        <w:t>SL 2020/167 r. 21; SL 2021/135 r. 6; SL 2021/136 r. 6; SL 2021/174 r. 6; SL 2022/7 r. 4.]</w:t>
      </w:r>
    </w:p>
    <w:p>
      <w:pPr>
        <w:pStyle w:val="yScheduleHeading"/>
      </w:pPr>
      <w:bookmarkStart w:id="50" w:name="_Toc94005549"/>
      <w:bookmarkStart w:id="51" w:name="_Toc94005920"/>
      <w:bookmarkStart w:id="52" w:name="_Toc94015848"/>
      <w:r>
        <w:rPr>
          <w:rStyle w:val="CharSchNo"/>
        </w:rPr>
        <w:lastRenderedPageBreak/>
        <w:t>Schedule 2</w:t>
      </w:r>
      <w:r>
        <w:t> — </w:t>
      </w:r>
      <w:r>
        <w:rPr>
          <w:rStyle w:val="CharSchText"/>
        </w:rPr>
        <w:t>Enforcement fees</w:t>
      </w:r>
      <w:bookmarkEnd w:id="50"/>
      <w:bookmarkEnd w:id="51"/>
      <w:bookmarkEnd w:id="52"/>
    </w:p>
    <w:p>
      <w:pPr>
        <w:pStyle w:val="yShoulderClause"/>
      </w:pPr>
      <w:r>
        <w:t>[r. 9]</w:t>
      </w:r>
    </w:p>
    <w:p>
      <w:pPr>
        <w:pStyle w:val="yFootnoteheading"/>
      </w:pPr>
      <w:r>
        <w:tab/>
        <w:t>[Heading inserted: SL 2021/101 r. 16.]</w:t>
      </w:r>
    </w:p>
    <w:p>
      <w:pPr>
        <w:pStyle w:val="yHeading3"/>
      </w:pPr>
      <w:bookmarkStart w:id="53" w:name="_Toc94005550"/>
      <w:bookmarkStart w:id="54" w:name="_Toc94005921"/>
      <w:bookmarkStart w:id="55" w:name="_Toc94015849"/>
      <w:r>
        <w:rPr>
          <w:rStyle w:val="CharSDivNo"/>
        </w:rPr>
        <w:t>Division 1</w:t>
      </w:r>
      <w:r>
        <w:t> — </w:t>
      </w:r>
      <w:r>
        <w:rPr>
          <w:rStyle w:val="CharSDivText"/>
        </w:rPr>
        <w:t>Enforcement fees for Part 3 of the Act</w:t>
      </w:r>
      <w:bookmarkEnd w:id="53"/>
      <w:bookmarkEnd w:id="54"/>
      <w:bookmarkEnd w:id="55"/>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$24.80</w:t>
            </w:r>
          </w:p>
        </w:tc>
      </w:tr>
      <w:t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$21.10</w:t>
            </w:r>
          </w:p>
        </w:tc>
      </w:tr>
      <w:t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$79.50</w:t>
            </w:r>
          </w:p>
        </w:tc>
      </w:tr>
      <w:t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$52.50</w:t>
            </w:r>
          </w:p>
        </w:tc>
      </w:tr>
      <w:t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bl>
    <w:p>
      <w:pPr>
        <w:pStyle w:val="yFootnotesection"/>
      </w:pPr>
      <w:r>
        <w:tab/>
        <w:t>[Division 1 inserted: SL 2021/101 r. 16.]</w:t>
      </w:r>
    </w:p>
    <w:p>
      <w:pPr>
        <w:pStyle w:val="yHeading3"/>
      </w:pPr>
      <w:bookmarkStart w:id="56" w:name="_Toc94005551"/>
      <w:bookmarkStart w:id="57" w:name="_Toc94005922"/>
      <w:bookmarkStart w:id="58" w:name="_Toc94015850"/>
      <w:r>
        <w:rPr>
          <w:rStyle w:val="CharSDivNo"/>
        </w:rPr>
        <w:t>Division 2</w:t>
      </w:r>
      <w:r>
        <w:t> — </w:t>
      </w:r>
      <w:r>
        <w:rPr>
          <w:rStyle w:val="CharSDivText"/>
        </w:rPr>
        <w:t>Enforcement fees for Part 4 of the Act</w:t>
      </w:r>
      <w:bookmarkEnd w:id="56"/>
      <w:bookmarkEnd w:id="57"/>
      <w:bookmarkEnd w:id="58"/>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Next/>
              <w:keepLines/>
              <w:tabs>
                <w:tab w:val="clear" w:pos="567"/>
              </w:tabs>
              <w:jc w:val="right"/>
            </w:pPr>
            <w:r>
              <w:t>$52.50</w:t>
            </w:r>
          </w:p>
        </w:tc>
      </w:tr>
      <w:tr>
        <w:tc>
          <w:tcPr>
            <w:tcW w:w="561" w:type="dxa"/>
          </w:tcPr>
          <w:p>
            <w:pPr>
              <w:pStyle w:val="yTableNAm"/>
            </w:pPr>
            <w:r>
              <w:t>2.</w:t>
            </w:r>
          </w:p>
        </w:tc>
        <w:tc>
          <w:tcPr>
            <w:tcW w:w="5393" w:type="dxa"/>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r>
        <w:tc>
          <w:tcPr>
            <w:tcW w:w="561" w:type="dxa"/>
          </w:tcPr>
          <w:p>
            <w:pPr>
              <w:pStyle w:val="yTableNAm"/>
            </w:pPr>
            <w:r>
              <w:t>3.</w:t>
            </w:r>
          </w:p>
        </w:tc>
        <w:tc>
          <w:tcPr>
            <w:tcW w:w="5393" w:type="dxa"/>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$93.00</w:t>
            </w:r>
          </w:p>
        </w:tc>
      </w:tr>
      <w:tr>
        <w:tc>
          <w:tcPr>
            <w:tcW w:w="561" w:type="dxa"/>
          </w:tcPr>
          <w:p>
            <w:pPr>
              <w:pStyle w:val="yTableNAm"/>
            </w:pPr>
            <w:r>
              <w:lastRenderedPageBreak/>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2021/101 r. 16.]</w:t>
      </w:r>
    </w:p>
    <w:p>
      <w:pPr>
        <w:pStyle w:val="yHeading3"/>
      </w:pPr>
      <w:bookmarkStart w:id="59" w:name="_Toc94005552"/>
      <w:bookmarkStart w:id="60" w:name="_Toc94005923"/>
      <w:bookmarkStart w:id="61" w:name="_Toc94015851"/>
      <w:r>
        <w:rPr>
          <w:rStyle w:val="CharSDivNo"/>
        </w:rPr>
        <w:t>Division 3</w:t>
      </w:r>
      <w:r>
        <w:t> — </w:t>
      </w:r>
      <w:r>
        <w:rPr>
          <w:rStyle w:val="CharSDivText"/>
        </w:rPr>
        <w:t>Enforcement fees for Part 7 of the Act</w:t>
      </w:r>
      <w:bookmarkEnd w:id="59"/>
      <w:bookmarkEnd w:id="60"/>
      <w:bookmarkEnd w:id="61"/>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$109.00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$73.50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lastRenderedPageBreak/>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$117.50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$37.30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2021/101 r. 16.]</w:t>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63" w:name="_Toc94005553"/>
      <w:bookmarkStart w:id="64" w:name="_Toc94005924"/>
      <w:bookmarkStart w:id="65" w:name="_Toc94015852"/>
      <w:r>
        <w:rPr>
          <w:rStyle w:val="CharSchNo"/>
        </w:rPr>
        <w:lastRenderedPageBreak/>
        <w:t>Schedule 3</w:t>
      </w:r>
      <w:r>
        <w:rPr>
          <w:rStyle w:val="CharSDivNo"/>
        </w:rPr>
        <w:t> </w:t>
      </w:r>
      <w:r>
        <w:t>—</w:t>
      </w:r>
      <w:r>
        <w:rPr>
          <w:rStyle w:val="CharSDivText"/>
        </w:rPr>
        <w:t> </w:t>
      </w:r>
      <w:r>
        <w:rPr>
          <w:rStyle w:val="CharSchText"/>
        </w:rPr>
        <w:t>Forms</w:t>
      </w:r>
      <w:bookmarkEnd w:id="63"/>
      <w:bookmarkEnd w:id="64"/>
      <w:bookmarkEnd w:id="65"/>
    </w:p>
    <w:p>
      <w:pPr>
        <w:pStyle w:val="yShoulderClause"/>
      </w:pPr>
      <w:r>
        <w:t>[r. 12]</w:t>
      </w:r>
    </w:p>
    <w:p>
      <w:pPr>
        <w:pStyle w:val="yFootnoteheading"/>
        <w:spacing w:before="40"/>
      </w:pPr>
      <w:r>
        <w:tab/>
        <w:t>[Heading inserted: Gazette 13 May 2005 p. 2081.]</w:t>
      </w:r>
    </w:p>
    <w:p>
      <w:pPr>
        <w:pStyle w:val="yHeading5"/>
        <w:spacing w:before="160"/>
      </w:pPr>
      <w:bookmarkStart w:id="66" w:name="_Toc94015853"/>
      <w:r>
        <w:rPr>
          <w:rStyle w:val="CharSClsNo"/>
        </w:rPr>
        <w:t>1</w:t>
      </w:r>
      <w:r>
        <w:t>.</w:t>
      </w:r>
      <w:r>
        <w:tab/>
        <w:t>Notice of withdrawal for the purposes of Act s. 22</w:t>
      </w:r>
      <w:bookmarkEnd w:id="6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67" w:name="_Toc94015854"/>
      <w:r>
        <w:rPr>
          <w:rStyle w:val="CharSClsNo"/>
        </w:rPr>
        <w:lastRenderedPageBreak/>
        <w:t>2</w:t>
      </w:r>
      <w:r>
        <w:t>.</w:t>
      </w:r>
      <w:r>
        <w:tab/>
        <w:t>Enforcement warrant for the purposes of Act s. 21A and 45 and Part 5</w:t>
      </w:r>
      <w:bookmarkEnd w:id="6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w:t>
      </w:r>
      <w:r>
        <w:rPr>
          <w:sz w:val="18"/>
          <w:szCs w:val="18"/>
        </w:rPr>
        <w:lastRenderedPageBreak/>
        <w:t>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68" w:name="_Toc94015855"/>
      <w:r>
        <w:rPr>
          <w:rStyle w:val="CharSClsNo"/>
        </w:rPr>
        <w:t>2A</w:t>
      </w:r>
      <w:r>
        <w:t>.</w:t>
      </w:r>
      <w:r>
        <w:tab/>
        <w:t>Summons to offender/liable person to appear at warrant of commitment inquiry for the purposes of Act s. 52Q(1)(a) and 52U and Part 5</w:t>
      </w:r>
      <w:bookmarkEnd w:id="68"/>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w:t>
            </w:r>
            <w:r>
              <w:lastRenderedPageBreak/>
              <w:t xml:space="preserve">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69" w:name="_Toc94015856"/>
      <w:r>
        <w:rPr>
          <w:rStyle w:val="CharSClsNo"/>
        </w:rPr>
        <w:t>2B</w:t>
      </w:r>
      <w:r>
        <w:t>.</w:t>
      </w:r>
      <w:r>
        <w:tab/>
        <w:t>Summons to person named under Act s. 52O(1)(c) to appear at warrant of commitment inquiry for the purposes of Act s. 52Q(2) and 52U and Part 5</w:t>
      </w:r>
      <w:bookmarkEnd w:id="69"/>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 xml:space="preserve">A warrant of commitment inquiry is an inquiry conducted before the Magistrates Court to determine if the </w:t>
            </w:r>
            <w:r>
              <w:lastRenderedPageBreak/>
              <w:t>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lastRenderedPageBreak/>
        <w:tab/>
        <w:t>[Form 2B inserted: SL 2020/167 r. 24.]</w:t>
      </w:r>
    </w:p>
    <w:p>
      <w:pPr>
        <w:pStyle w:val="yHeading5"/>
      </w:pPr>
      <w:bookmarkStart w:id="70" w:name="_Toc94015857"/>
      <w:r>
        <w:rPr>
          <w:rStyle w:val="CharSClsNo"/>
        </w:rPr>
        <w:t>2C</w:t>
      </w:r>
      <w:r>
        <w:t>.</w:t>
      </w:r>
      <w:r>
        <w:tab/>
        <w:t>Arrest warrant for the purposes of Act s. 52Q(1)(b) and 52Y and Part 5</w:t>
      </w:r>
      <w:bookmarkEnd w:id="70"/>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lastRenderedPageBreak/>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 xml:space="preserve">If it is not practicable for you to perform any of the above duties, you must request an authorised police officer to </w:t>
            </w:r>
            <w:r>
              <w:rPr>
                <w:iCs/>
                <w:szCs w:val="22"/>
              </w:rPr>
              <w:lastRenderedPageBreak/>
              <w:t>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71" w:name="_Toc94015858"/>
      <w:r>
        <w:rPr>
          <w:rStyle w:val="CharSClsNo"/>
        </w:rPr>
        <w:t>2D</w:t>
      </w:r>
      <w:r>
        <w:t>.</w:t>
      </w:r>
      <w:r>
        <w:tab/>
        <w:t>Conditional release undertaking for the purposes of Act s. 52ZD and Part 5</w:t>
      </w:r>
      <w:bookmarkEnd w:id="7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lastRenderedPageBreak/>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lastRenderedPageBreak/>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72" w:name="_Toc94015859"/>
      <w:r>
        <w:rPr>
          <w:rStyle w:val="CharSClsNo"/>
        </w:rPr>
        <w:t>2E</w:t>
      </w:r>
      <w:r>
        <w:t>.</w:t>
      </w:r>
      <w:r>
        <w:tab/>
        <w:t>Certificate that offender/liable person has a right to be released for the purposes of Act s. 52ZF(c) and Part 5</w:t>
      </w:r>
      <w:bookmarkEnd w:id="7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73" w:name="_Toc94015860"/>
      <w:r>
        <w:rPr>
          <w:rStyle w:val="CharSClsNo"/>
        </w:rPr>
        <w:t>3</w:t>
      </w:r>
      <w:r>
        <w:rPr>
          <w:snapToGrid w:val="0"/>
        </w:rPr>
        <w:t>.</w:t>
      </w:r>
      <w:r>
        <w:rPr>
          <w:snapToGrid w:val="0"/>
        </w:rPr>
        <w:tab/>
        <w:t xml:space="preserve">Warrant of commitment for the purposes of Act s. 52S(4) and </w:t>
      </w:r>
      <w:r>
        <w:t>Part 5</w:t>
      </w:r>
      <w:bookmarkEnd w:id="7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lastRenderedPageBreak/>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74" w:name="_Toc94015861"/>
      <w:r>
        <w:rPr>
          <w:rStyle w:val="CharSClsNo"/>
        </w:rPr>
        <w:lastRenderedPageBreak/>
        <w:t>4</w:t>
      </w:r>
      <w:r>
        <w:rPr>
          <w:snapToGrid w:val="0"/>
        </w:rPr>
        <w:t>.</w:t>
      </w:r>
      <w:r>
        <w:rPr>
          <w:snapToGrid w:val="0"/>
        </w:rPr>
        <w:tab/>
        <w:t>Enforcement warrant for the purposes of Act s. 61</w:t>
      </w:r>
      <w:bookmarkEnd w:id="7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75" w:name="_Toc94015862"/>
      <w:r>
        <w:rPr>
          <w:rStyle w:val="CharSClsNo"/>
        </w:rPr>
        <w:lastRenderedPageBreak/>
        <w:t>6A</w:t>
      </w:r>
      <w:r>
        <w:t>.</w:t>
      </w:r>
      <w:r>
        <w:tab/>
        <w:t>Memorial of land for the purposes of Act s. 89(2)</w:t>
      </w:r>
      <w:bookmarkEnd w:id="7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76" w:name="_Toc94015863"/>
      <w:r>
        <w:rPr>
          <w:rStyle w:val="CharSClsNo"/>
        </w:rPr>
        <w:lastRenderedPageBreak/>
        <w:t>6B</w:t>
      </w:r>
      <w:r>
        <w:t>.</w:t>
      </w:r>
      <w:r>
        <w:tab/>
        <w:t>Withdrawal of memorial of land for the purposes of Act s. 90</w:t>
      </w:r>
      <w:bookmarkEnd w:id="76"/>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77" w:name="_Toc94015864"/>
      <w:r>
        <w:rPr>
          <w:rStyle w:val="CharSClsNo"/>
        </w:rPr>
        <w:lastRenderedPageBreak/>
        <w:t>8</w:t>
      </w:r>
      <w:r>
        <w:t>.</w:t>
      </w:r>
      <w:r>
        <w:tab/>
        <w:t>Certificate under Act s. 101C(1): Part 3 proceedings</w:t>
      </w:r>
      <w:bookmarkEnd w:id="7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lastRenderedPageBreak/>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78" w:name="_Toc94015865"/>
      <w:r>
        <w:rPr>
          <w:rStyle w:val="CharSClsNo"/>
        </w:rPr>
        <w:t>9</w:t>
      </w:r>
      <w:r>
        <w:t>.</w:t>
      </w:r>
      <w:r>
        <w:tab/>
        <w:t>Certificate under Act s. 101C(1): Part 4 proceedings</w:t>
      </w:r>
      <w:bookmarkEnd w:id="7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lastRenderedPageBreak/>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79" w:name="_Toc94015866"/>
      <w:r>
        <w:rPr>
          <w:rStyle w:val="CharSClsNo"/>
        </w:rPr>
        <w:t>10</w:t>
      </w:r>
      <w:r>
        <w:t>.</w:t>
      </w:r>
      <w:r>
        <w:tab/>
        <w:t>Certificate under Act s. 101C(2A): Part 3 proceedings</w:t>
      </w:r>
      <w:bookmarkEnd w:id="7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xml:space="preserve">] (and, if a vehicle licence was in force in relation to the vehicle when the order was made, </w:t>
      </w:r>
      <w:r>
        <w:lastRenderedPageBreak/>
        <w:t>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80" w:name="_Toc94015867"/>
      <w:r>
        <w:rPr>
          <w:rStyle w:val="CharSClsNo"/>
        </w:rPr>
        <w:lastRenderedPageBreak/>
        <w:t>11</w:t>
      </w:r>
      <w:r>
        <w:t>.</w:t>
      </w:r>
      <w:r>
        <w:tab/>
        <w:t>Certificate under Act s. 101C(2A): Part 4 proceedings</w:t>
      </w:r>
      <w:bookmarkEnd w:id="8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xml:space="preserve">] (and, if the vehicle was licensed </w:t>
      </w:r>
      <w:r>
        <w:lastRenderedPageBreak/>
        <w:t>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81" w:name="_Toc94005569"/>
      <w:bookmarkStart w:id="82" w:name="_Toc94005940"/>
      <w:bookmarkStart w:id="83" w:name="_Toc94015868"/>
      <w:r>
        <w:lastRenderedPageBreak/>
        <w:t>Notes</w:t>
      </w:r>
      <w:bookmarkEnd w:id="81"/>
      <w:bookmarkEnd w:id="82"/>
      <w:bookmarkEnd w:id="83"/>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84" w:name="_Toc94015869"/>
      <w:r>
        <w:t>Compilation table</w:t>
      </w:r>
      <w:bookmarkEnd w:id="8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lastRenderedPageBreak/>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single" w:sz="4" w:space="0" w:color="auto"/>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single" w:sz="4" w:space="0" w:color="auto"/>
            </w:tcBorders>
            <w:shd w:val="clear" w:color="auto" w:fill="auto"/>
          </w:tcPr>
          <w:p>
            <w:pPr>
              <w:pStyle w:val="nTable"/>
              <w:keepNext/>
              <w:spacing w:after="40"/>
              <w:ind w:left="-28"/>
            </w:pPr>
            <w:r>
              <w:t>SL 2022/7 28 Jan 2022</w:t>
            </w:r>
          </w:p>
        </w:tc>
        <w:tc>
          <w:tcPr>
            <w:tcW w:w="2693" w:type="dxa"/>
            <w:tcBorders>
              <w:top w:val="nil"/>
              <w:bottom w:val="single" w:sz="4" w:space="0" w:color="auto"/>
            </w:tcBorders>
            <w:shd w:val="clear" w:color="auto" w:fill="auto"/>
          </w:tcPr>
          <w:p>
            <w:pPr>
              <w:pStyle w:val="nTable"/>
              <w:keepNext/>
              <w:spacing w:after="40"/>
              <w:ind w:left="-28"/>
            </w:pPr>
            <w:r>
              <w:t>r. 1 and 2: 28 Jan 2022 (see r. 2(a));</w:t>
            </w:r>
            <w:r>
              <w:br/>
              <w:t>Regulations other than r. 1 and 2: 29 Jan 2022 (see r. 2(b))</w:t>
            </w:r>
          </w:p>
        </w:tc>
      </w:tr>
    </w:tbl>
    <w:p>
      <w:pPr>
        <w:pStyle w:val="nHeading3"/>
      </w:pPr>
      <w:bookmarkStart w:id="85" w:name="_Toc94015870"/>
      <w:r>
        <w:t>Other notes</w:t>
      </w:r>
      <w:bookmarkEnd w:id="85"/>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lastRenderedPageBreak/>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87" w:name="_Toc94005572"/>
      <w:bookmarkStart w:id="88" w:name="_Toc94005943"/>
      <w:bookmarkStart w:id="89" w:name="_Toc94015871"/>
      <w:r>
        <w:rPr>
          <w:sz w:val="28"/>
        </w:rPr>
        <w:lastRenderedPageBreak/>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5121702"/>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3166-9C8F-495A-AE30-004430C0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15925</Words>
  <Characters>80424</Characters>
  <Application>Microsoft Office Word</Application>
  <DocSecurity>0</DocSecurity>
  <Lines>2978</Lines>
  <Paragraphs>1690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1994 - 08-r0-00</dc:title>
  <dc:subject/>
  <dc:creator/>
  <cp:keywords/>
  <dc:description/>
  <cp:lastModifiedBy>Master Repository Process</cp:lastModifiedBy>
  <cp:revision>4</cp:revision>
  <cp:lastPrinted>2021-07-29T05:22:00Z</cp:lastPrinted>
  <dcterms:created xsi:type="dcterms:W3CDTF">2022-01-27T08:16:00Z</dcterms:created>
  <dcterms:modified xsi:type="dcterms:W3CDTF">2022-01-27T08:16:00Z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29 Jan 2022</vt:lpwstr>
  </property>
  <property fmtid="{D5CDD505-2E9C-101B-9397-08002B2CF9AE}" pid="8" name="Suffix">
    <vt:lpwstr>08-r0-00</vt:lpwstr>
  </property>
  <property fmtid="{D5CDD505-2E9C-101B-9397-08002B2CF9AE}" pid="9" name="CommencementDate">
    <vt:lpwstr>20220129</vt:lpwstr>
  </property>
</Properties>
</file>