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_Toc95131159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_Toc95131160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_Toc95131161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_Toc95131163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_Toc95131164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_Toc95131165 \h </w:instrText>
      </w:r>
      <w:r>
        <w:fldChar w:fldCharType="separate"/>
      </w:r>
      <w:r>
        <w:t>7</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_Toc95131166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_Toc95131167 \h </w:instrText>
      </w:r>
      <w:r>
        <w:fldChar w:fldCharType="separate"/>
      </w:r>
      <w:r>
        <w:t>8</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_Toc95131168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_Toc95131169 \h </w:instrText>
      </w:r>
      <w:r>
        <w:fldChar w:fldCharType="separate"/>
      </w:r>
      <w:r>
        <w:t>9</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_Toc95131170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_Toc95131172 \h </w:instrText>
      </w:r>
      <w:r>
        <w:fldChar w:fldCharType="separate"/>
      </w:r>
      <w:r>
        <w:t>11</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_Toc95131173 \h </w:instrText>
      </w:r>
      <w:r>
        <w:fldChar w:fldCharType="separate"/>
      </w:r>
      <w:r>
        <w:t>11</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_Toc95131174 \h </w:instrText>
      </w:r>
      <w:r>
        <w:fldChar w:fldCharType="separate"/>
      </w:r>
      <w:r>
        <w:t>15</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_Toc95131175 \h </w:instrText>
      </w:r>
      <w:r>
        <w:fldChar w:fldCharType="separate"/>
      </w:r>
      <w:r>
        <w:t>16</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_Toc95131176 \h </w:instrText>
      </w:r>
      <w:r>
        <w:fldChar w:fldCharType="separate"/>
      </w:r>
      <w:r>
        <w:t>19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and charges</w:t>
      </w:r>
    </w:p>
    <w:p>
      <w:pPr>
        <w:pStyle w:val="TOC4"/>
        <w:keepNext w:val="0"/>
        <w:tabs>
          <w:tab w:val="right" w:leader="dot" w:pos="7077"/>
        </w:tabs>
        <w:rPr>
          <w:rFonts w:asciiTheme="minorHAnsi" w:eastAsiaTheme="minorEastAsia" w:hAnsiTheme="minorHAnsi" w:cstheme="minorBidi"/>
          <w:b w:val="0"/>
          <w:szCs w:val="22"/>
        </w:rPr>
      </w:pPr>
      <w:r>
        <w:t>Division 1 — General</w:t>
      </w:r>
    </w:p>
    <w:p>
      <w:pPr>
        <w:pStyle w:val="TOC6"/>
        <w:keepNext w:val="0"/>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2 — Day patients</w:t>
      </w:r>
    </w:p>
    <w:p>
      <w:pPr>
        <w:pStyle w:val="TOC6"/>
        <w:keepNext w:val="0"/>
        <w:tabs>
          <w:tab w:val="right" w:leader="dot" w:pos="7077"/>
        </w:tabs>
        <w:rPr>
          <w:rFonts w:asciiTheme="minorHAnsi" w:eastAsiaTheme="minorEastAsia" w:hAnsiTheme="minorHAnsi" w:cstheme="minorBidi"/>
          <w:b w:val="0"/>
          <w:sz w:val="22"/>
          <w:szCs w:val="22"/>
        </w:rPr>
      </w:pPr>
      <w:r>
        <w:lastRenderedPageBreak/>
        <w:t>Subdivision 3 — Out</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4 — Same day patients</w:t>
      </w:r>
    </w:p>
    <w:p>
      <w:pPr>
        <w:pStyle w:val="TOC6"/>
        <w:keepNext w:val="0"/>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4"/>
        <w:tabs>
          <w:tab w:val="right" w:leader="dot" w:pos="7077"/>
        </w:tabs>
        <w:rPr>
          <w:rFonts w:asciiTheme="minorHAnsi" w:eastAsiaTheme="minorEastAsia" w:hAnsiTheme="minorHAnsi" w:cstheme="minorBidi"/>
          <w:b w:val="0"/>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_Toc95131192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3" w:name="_Toc95127711"/>
      <w:bookmarkStart w:id="4" w:name="_Toc95130192"/>
      <w:bookmarkStart w:id="5" w:name="_Toc9513115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5131159"/>
      <w:r>
        <w:rPr>
          <w:rStyle w:val="CharSectno"/>
        </w:rPr>
        <w:t>1</w:t>
      </w:r>
      <w:r>
        <w:t>.</w:t>
      </w:r>
      <w:r>
        <w:tab/>
        <w:t>Citation</w:t>
      </w:r>
      <w:bookmarkEnd w:id="6"/>
    </w:p>
    <w:p>
      <w:pPr>
        <w:pStyle w:val="Subsection"/>
      </w:pPr>
      <w:r>
        <w:tab/>
      </w:r>
      <w:r>
        <w:tab/>
      </w:r>
      <w:bookmarkStart w:id="7" w:name="Start_Cursor"/>
      <w:bookmarkEnd w:id="7"/>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8" w:name="_Toc95131160"/>
      <w:r>
        <w:rPr>
          <w:rStyle w:val="CharSectno"/>
        </w:rPr>
        <w:t>2</w:t>
      </w:r>
      <w:r>
        <w:rPr>
          <w:spacing w:val="-2"/>
        </w:rPr>
        <w:t>.</w:t>
      </w:r>
      <w:r>
        <w:rPr>
          <w:spacing w:val="-2"/>
        </w:rPr>
        <w:tab/>
        <w:t>Commencement</w:t>
      </w:r>
      <w:bookmarkEnd w:id="8"/>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9" w:name="_Toc95131161"/>
      <w:r>
        <w:rPr>
          <w:rStyle w:val="CharSectno"/>
        </w:rPr>
        <w:t>3</w:t>
      </w:r>
      <w:r>
        <w:t>.</w:t>
      </w:r>
      <w:r>
        <w:tab/>
        <w:t>Terms used</w:t>
      </w:r>
      <w:bookmarkEnd w:id="9"/>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lastRenderedPageBreak/>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lastRenderedPageBreak/>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lastRenderedPageBreak/>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 xml:space="preserve">Military Rehabilitation and </w:t>
      </w:r>
      <w:r>
        <w:rPr>
          <w:i/>
        </w:rPr>
        <w:lastRenderedPageBreak/>
        <w:t>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0" w:name="_Toc95127715"/>
      <w:bookmarkStart w:id="11" w:name="_Toc95130196"/>
      <w:bookmarkStart w:id="12" w:name="_Toc95131162"/>
      <w:r>
        <w:rPr>
          <w:rStyle w:val="CharPartNo"/>
        </w:rPr>
        <w:lastRenderedPageBreak/>
        <w:t>Part 2</w:t>
      </w:r>
      <w:r>
        <w:t> — </w:t>
      </w:r>
      <w:r>
        <w:rPr>
          <w:rStyle w:val="CharPartText"/>
        </w:rPr>
        <w:t>Fees and charges</w:t>
      </w:r>
      <w:bookmarkEnd w:id="10"/>
      <w:bookmarkEnd w:id="11"/>
      <w:bookmarkEnd w:id="12"/>
    </w:p>
    <w:p>
      <w:pPr>
        <w:pStyle w:val="Footnoteheading"/>
      </w:pPr>
      <w:r>
        <w:tab/>
        <w:t>[Heading amended: SL 2020/5 cl. 4.]</w:t>
      </w:r>
    </w:p>
    <w:p>
      <w:pPr>
        <w:pStyle w:val="Heading5"/>
      </w:pPr>
      <w:bookmarkStart w:id="13" w:name="_Toc95131163"/>
      <w:r>
        <w:rPr>
          <w:rStyle w:val="CharSectno"/>
        </w:rPr>
        <w:t>4</w:t>
      </w:r>
      <w:r>
        <w:t>.</w:t>
      </w:r>
      <w:r>
        <w:tab/>
        <w:t>Scale of fees and charges</w:t>
      </w:r>
      <w:bookmarkEnd w:id="13"/>
    </w:p>
    <w:p>
      <w:pPr>
        <w:pStyle w:val="Subsection"/>
      </w:pPr>
      <w:r>
        <w:tab/>
      </w:r>
      <w:r>
        <w:tab/>
        <w:t>The scale of fees and charges fixed under section 56 of the Act is set out in Schedule 1.</w:t>
      </w:r>
    </w:p>
    <w:p>
      <w:pPr>
        <w:pStyle w:val="Heading5"/>
      </w:pPr>
      <w:bookmarkStart w:id="14" w:name="_Toc95131164"/>
      <w:r>
        <w:rPr>
          <w:rStyle w:val="CharSectno"/>
        </w:rPr>
        <w:t>5</w:t>
      </w:r>
      <w:r>
        <w:t>.</w:t>
      </w:r>
      <w:r>
        <w:tab/>
        <w:t>General fees and charges</w:t>
      </w:r>
      <w:bookmarkEnd w:id="1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5" w:name="_Toc95131165"/>
      <w:r>
        <w:rPr>
          <w:rStyle w:val="CharSectno"/>
        </w:rPr>
        <w:lastRenderedPageBreak/>
        <w:t>6</w:t>
      </w:r>
      <w:r>
        <w:t>.</w:t>
      </w:r>
      <w:r>
        <w:tab/>
        <w:t>Compensable patients</w:t>
      </w:r>
      <w:bookmarkEnd w:id="15"/>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16" w:name="_Toc95131166"/>
      <w:r>
        <w:rPr>
          <w:rStyle w:val="CharSectno"/>
        </w:rPr>
        <w:t>7</w:t>
      </w:r>
      <w:r>
        <w:t>.</w:t>
      </w:r>
      <w:r>
        <w:tab/>
        <w:t>Magnetic resonance imaging services</w:t>
      </w:r>
      <w:bookmarkEnd w:id="16"/>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lastRenderedPageBreak/>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7" w:name="_Toc95131167"/>
      <w:r>
        <w:rPr>
          <w:rStyle w:val="CharSectno"/>
        </w:rPr>
        <w:t>8</w:t>
      </w:r>
      <w:r>
        <w:t>.</w:t>
      </w:r>
      <w:r>
        <w:tab/>
        <w:t>Pathology services</w:t>
      </w:r>
      <w:bookmarkEnd w:id="17"/>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8" w:name="_Toc95131168"/>
      <w:r>
        <w:rPr>
          <w:rStyle w:val="CharSectno"/>
        </w:rPr>
        <w:t>9</w:t>
      </w:r>
      <w:r>
        <w:t>.</w:t>
      </w:r>
      <w:r>
        <w:tab/>
        <w:t>Specialised orthoses</w:t>
      </w:r>
      <w:bookmarkEnd w:id="18"/>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 xml:space="preserve">The charge for the supply of a specialised orthosis to an adult chargeable patient or a child chargeable patient is to be of an </w:t>
      </w:r>
      <w:r>
        <w:lastRenderedPageBreak/>
        <w:t>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19" w:name="_Toc95131169"/>
      <w:r>
        <w:rPr>
          <w:rStyle w:val="CharSectno"/>
        </w:rPr>
        <w:t>10</w:t>
      </w:r>
      <w:r>
        <w:t>.</w:t>
      </w:r>
      <w:r>
        <w:tab/>
        <w:t>Surgically implanted prostheses</w:t>
      </w:r>
      <w:bookmarkEnd w:id="19"/>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20" w:name="_Toc95131170"/>
      <w:r>
        <w:rPr>
          <w:rStyle w:val="CharSectno"/>
        </w:rPr>
        <w:t>10A</w:t>
      </w:r>
      <w:r>
        <w:t>.</w:t>
      </w:r>
      <w:r>
        <w:tab/>
        <w:t>Provision of medicines</w:t>
      </w:r>
      <w:bookmarkEnd w:id="20"/>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lastRenderedPageBreak/>
        <w:tab/>
        <w:t>(2)</w:t>
      </w:r>
      <w:r>
        <w:tab/>
        <w:t>The Department CEO must ensure that a determination made under subclause (1) is publicly available.</w:t>
      </w:r>
    </w:p>
    <w:p>
      <w:pPr>
        <w:pStyle w:val="Footnotesection"/>
      </w:pPr>
      <w:r>
        <w:tab/>
        <w:t>[Clause 10A inserted: SL 2020/5 cl. 6.]</w:t>
      </w:r>
    </w:p>
    <w:p>
      <w:pPr>
        <w:pStyle w:val="Heading2"/>
      </w:pPr>
      <w:bookmarkStart w:id="21" w:name="_Toc95127724"/>
      <w:bookmarkStart w:id="22" w:name="_Toc95130205"/>
      <w:bookmarkStart w:id="23" w:name="_Toc95131171"/>
      <w:r>
        <w:rPr>
          <w:rStyle w:val="CharPartNo"/>
        </w:rPr>
        <w:lastRenderedPageBreak/>
        <w:t>Part 3</w:t>
      </w:r>
      <w:r>
        <w:rPr>
          <w:rStyle w:val="CharDivNo"/>
        </w:rPr>
        <w:t> </w:t>
      </w:r>
      <w:r>
        <w:t>—</w:t>
      </w:r>
      <w:r>
        <w:rPr>
          <w:rStyle w:val="CharDivText"/>
        </w:rPr>
        <w:t> </w:t>
      </w:r>
      <w:r>
        <w:rPr>
          <w:rStyle w:val="CharPartText"/>
        </w:rPr>
        <w:t>Classes of patients</w:t>
      </w:r>
      <w:bookmarkEnd w:id="21"/>
      <w:bookmarkEnd w:id="22"/>
      <w:bookmarkEnd w:id="23"/>
    </w:p>
    <w:p>
      <w:pPr>
        <w:pStyle w:val="Heading5"/>
      </w:pPr>
      <w:bookmarkStart w:id="24" w:name="_Toc95131172"/>
      <w:r>
        <w:rPr>
          <w:rStyle w:val="CharSectno"/>
        </w:rPr>
        <w:t>11</w:t>
      </w:r>
      <w:r>
        <w:t>.</w:t>
      </w:r>
      <w:r>
        <w:tab/>
        <w:t>Classes of patients</w:t>
      </w:r>
      <w:bookmarkEnd w:id="24"/>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25" w:name="_Toc95131173"/>
      <w:r>
        <w:rPr>
          <w:rStyle w:val="CharSectno"/>
        </w:rPr>
        <w:t>12</w:t>
      </w:r>
      <w:r>
        <w:t>.</w:t>
      </w:r>
      <w:r>
        <w:tab/>
        <w:t>Classes of in</w:t>
      </w:r>
      <w:r>
        <w:noBreakHyphen/>
        <w:t>patients</w:t>
      </w:r>
      <w:bookmarkEnd w:id="25"/>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lastRenderedPageBreak/>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lastRenderedPageBreak/>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 xml:space="preserve">in respect of whom the hospital concerned provides, in a hospital bed, accommodation, nursing care and such other necessary services as are available, other than professional and dental </w:t>
      </w:r>
      <w:r>
        <w:lastRenderedPageBreak/>
        <w:t>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lastRenderedPageBreak/>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26" w:name="_Toc95131174"/>
      <w:r>
        <w:rPr>
          <w:rStyle w:val="CharSectno"/>
        </w:rPr>
        <w:t>13</w:t>
      </w:r>
      <w:r>
        <w:t>.</w:t>
      </w:r>
      <w:r>
        <w:tab/>
        <w:t>Classes of day patients</w:t>
      </w:r>
      <w:bookmarkEnd w:id="26"/>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lastRenderedPageBreak/>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27" w:name="_Toc95131175"/>
      <w:r>
        <w:rPr>
          <w:rStyle w:val="CharSectno"/>
        </w:rPr>
        <w:t>14</w:t>
      </w:r>
      <w:r>
        <w:t>.</w:t>
      </w:r>
      <w:r>
        <w:tab/>
        <w:t>Classes of out</w:t>
      </w:r>
      <w:r>
        <w:noBreakHyphen/>
        <w:t>patients</w:t>
      </w:r>
      <w:bookmarkEnd w:id="27"/>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lastRenderedPageBreak/>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lastRenderedPageBreak/>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28" w:name="_Toc95131176"/>
      <w:r>
        <w:rPr>
          <w:rStyle w:val="CharSectno"/>
        </w:rPr>
        <w:lastRenderedPageBreak/>
        <w:t>15</w:t>
      </w:r>
      <w:r>
        <w:t>.</w:t>
      </w:r>
      <w:r>
        <w:tab/>
        <w:t>Classes of same day patients</w:t>
      </w:r>
      <w:bookmarkEnd w:id="28"/>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lastRenderedPageBreak/>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9" w:name="_Toc95127730"/>
      <w:bookmarkStart w:id="30" w:name="_Toc95130211"/>
      <w:bookmarkStart w:id="31" w:name="_Toc95131177"/>
      <w:r>
        <w:rPr>
          <w:rStyle w:val="CharSchNo"/>
        </w:rPr>
        <w:lastRenderedPageBreak/>
        <w:t>Schedule 1</w:t>
      </w:r>
      <w:r>
        <w:t> — </w:t>
      </w:r>
      <w:r>
        <w:rPr>
          <w:rStyle w:val="CharSchText"/>
        </w:rPr>
        <w:t>Scale of fees and charges</w:t>
      </w:r>
      <w:bookmarkEnd w:id="29"/>
      <w:bookmarkEnd w:id="30"/>
      <w:bookmarkEnd w:id="31"/>
    </w:p>
    <w:p>
      <w:pPr>
        <w:pStyle w:val="yShoulderClause"/>
      </w:pPr>
      <w:r>
        <w:t>[cl. 4]</w:t>
      </w:r>
    </w:p>
    <w:p>
      <w:pPr>
        <w:pStyle w:val="yHeading3"/>
      </w:pPr>
      <w:bookmarkStart w:id="32" w:name="_Toc95127731"/>
      <w:bookmarkStart w:id="33" w:name="_Toc95130212"/>
      <w:bookmarkStart w:id="34" w:name="_Toc95131178"/>
      <w:r>
        <w:rPr>
          <w:rStyle w:val="CharSDivNo"/>
        </w:rPr>
        <w:t>Division 1</w:t>
      </w:r>
      <w:r>
        <w:t> — </w:t>
      </w:r>
      <w:r>
        <w:rPr>
          <w:rStyle w:val="CharSDivText"/>
        </w:rPr>
        <w:t>General</w:t>
      </w:r>
      <w:bookmarkEnd w:id="32"/>
      <w:bookmarkEnd w:id="33"/>
      <w:bookmarkEnd w:id="34"/>
    </w:p>
    <w:p>
      <w:pPr>
        <w:pStyle w:val="yFootnoteheading"/>
      </w:pPr>
      <w:r>
        <w:tab/>
        <w:t>[Heading inserted: SL 2021/134 cl. 4.]</w:t>
      </w:r>
    </w:p>
    <w:p>
      <w:pPr>
        <w:pStyle w:val="yHeading4"/>
      </w:pPr>
      <w:bookmarkStart w:id="35" w:name="_Toc95127732"/>
      <w:bookmarkStart w:id="36" w:name="_Toc95130213"/>
      <w:bookmarkStart w:id="37" w:name="_Toc95131179"/>
      <w:r>
        <w:t>Subdivision 1 — In</w:t>
      </w:r>
      <w:r>
        <w:noBreakHyphen/>
        <w:t>patients</w:t>
      </w:r>
      <w:bookmarkEnd w:id="35"/>
      <w:bookmarkEnd w:id="36"/>
      <w:bookmarkEnd w:id="37"/>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$686</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$374</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rPr>
                <w:szCs w:val="22"/>
              </w:rPr>
              <w:t>$64.05 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rPr>
                <w:szCs w:val="22"/>
              </w:rPr>
              <w:t>$202.15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$2 983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38" w:name="_Toc95127733"/>
      <w:bookmarkStart w:id="39" w:name="_Toc95130214"/>
      <w:bookmarkStart w:id="40" w:name="_Toc95131180"/>
      <w:r>
        <w:t>Subdivision 2 — Day patients</w:t>
      </w:r>
      <w:bookmarkEnd w:id="38"/>
      <w:bookmarkEnd w:id="39"/>
      <w:bookmarkEnd w:id="40"/>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41" w:name="_Toc95127734"/>
      <w:bookmarkStart w:id="42" w:name="_Toc95130215"/>
      <w:bookmarkStart w:id="43" w:name="_Toc95131181"/>
      <w:r>
        <w:lastRenderedPageBreak/>
        <w:t>Subdivision 3 — Out</w:t>
      </w:r>
      <w:r>
        <w:noBreakHyphen/>
        <w:t>patients</w:t>
      </w:r>
      <w:bookmarkEnd w:id="41"/>
      <w:bookmarkEnd w:id="42"/>
      <w:bookmarkEnd w:id="43"/>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$339</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$6.80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$42.50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$34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$34</w:t>
            </w:r>
          </w:p>
        </w:tc>
      </w:tr>
    </w:tbl>
    <w:p>
      <w:pPr>
        <w:pStyle w:val="yHeading4"/>
      </w:pPr>
      <w:bookmarkStart w:id="44" w:name="_Toc95127735"/>
      <w:bookmarkStart w:id="45" w:name="_Toc95130216"/>
      <w:bookmarkStart w:id="46" w:name="_Toc95131182"/>
      <w:r>
        <w:t>Subdivision 4 — Same day patients</w:t>
      </w:r>
      <w:bookmarkEnd w:id="44"/>
      <w:bookmarkEnd w:id="45"/>
      <w:bookmarkEnd w:id="46"/>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$308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$2 783 per day</w:t>
            </w:r>
          </w:p>
        </w:tc>
      </w:tr>
    </w:tbl>
    <w:p>
      <w:pPr>
        <w:pStyle w:val="yHeading4"/>
      </w:pPr>
      <w:bookmarkStart w:id="47" w:name="_Toc95127736"/>
      <w:bookmarkStart w:id="48" w:name="_Toc95130217"/>
      <w:bookmarkStart w:id="49" w:name="_Toc95131183"/>
      <w:r>
        <w:t>Subdivision 5 — Other services</w:t>
      </w:r>
      <w:bookmarkEnd w:id="47"/>
      <w:bookmarkEnd w:id="48"/>
      <w:bookmarkEnd w:id="49"/>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$41 per day</w:t>
            </w:r>
          </w:p>
        </w:tc>
      </w:tr>
    </w:tbl>
    <w:p>
      <w:pPr>
        <w:pStyle w:val="yFootnotesection"/>
      </w:pPr>
      <w:r>
        <w:tab/>
        <w:t>[Division 1 inserted: SL 2021/134 cl. 4; amended: SL 2021/194 cl. 4; SL 2022/9 cl. 4.]</w:t>
      </w:r>
    </w:p>
    <w:p>
      <w:pPr>
        <w:pStyle w:val="yHeading3"/>
      </w:pPr>
      <w:bookmarkStart w:id="50" w:name="_Toc95127737"/>
      <w:bookmarkStart w:id="51" w:name="_Toc95130218"/>
      <w:bookmarkStart w:id="52" w:name="_Toc95131184"/>
      <w:r>
        <w:rPr>
          <w:rStyle w:val="CharSDivNo"/>
        </w:rPr>
        <w:t>Division 2</w:t>
      </w:r>
      <w:r>
        <w:t> — </w:t>
      </w:r>
      <w:r>
        <w:rPr>
          <w:rStyle w:val="CharSDivText"/>
        </w:rPr>
        <w:t>Compensable patients</w:t>
      </w:r>
      <w:bookmarkEnd w:id="50"/>
      <w:bookmarkEnd w:id="51"/>
      <w:bookmarkEnd w:id="52"/>
    </w:p>
    <w:p>
      <w:pPr>
        <w:pStyle w:val="yFootnoteheading"/>
      </w:pPr>
      <w:r>
        <w:tab/>
        <w:t>[Heading inserted: SL 2021/134 cl. 4.]</w:t>
      </w:r>
    </w:p>
    <w:p>
      <w:pPr>
        <w:pStyle w:val="yHeading4"/>
      </w:pPr>
      <w:bookmarkStart w:id="53" w:name="_Toc95127738"/>
      <w:bookmarkStart w:id="54" w:name="_Toc95130219"/>
      <w:bookmarkStart w:id="55" w:name="_Toc95131185"/>
      <w:r>
        <w:t>Subdivision 1 — Compensable in</w:t>
      </w:r>
      <w:r>
        <w:noBreakHyphen/>
        <w:t>patients</w:t>
      </w:r>
      <w:bookmarkEnd w:id="53"/>
      <w:bookmarkEnd w:id="54"/>
      <w:bookmarkEnd w:id="55"/>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$2 995</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$2 312</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$3 211</w:t>
            </w:r>
            <w:r>
              <w:rPr>
                <w:szCs w:val="22"/>
              </w:rPr>
              <w:t xml:space="preserve"> </w:t>
            </w:r>
            <w:r>
              <w:t xml:space="preserve">per day </w:t>
            </w:r>
          </w:p>
        </w:tc>
      </w:tr>
      <w:tr>
        <w:trPr>
          <w:cantSplit/>
        </w:trPr>
        <w:tc>
          <w:tcPr>
            <w:tcW w:w="567" w:type="dxa"/>
            <w:noWrap/>
          </w:tcPr>
          <w:p>
            <w:pPr>
              <w:pStyle w:val="yTableNAm"/>
            </w:pPr>
            <w:r>
              <w:lastRenderedPageBreak/>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$308</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$6 572</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$3 930</w:t>
            </w:r>
            <w:r>
              <w:rPr>
                <w:szCs w:val="22"/>
              </w:rPr>
              <w:t xml:space="preserve"> </w:t>
            </w:r>
            <w:r>
              <w:t>per day</w:t>
            </w:r>
          </w:p>
        </w:tc>
      </w:tr>
    </w:tbl>
    <w:p>
      <w:pPr>
        <w:pStyle w:val="yHeading4"/>
      </w:pPr>
      <w:bookmarkStart w:id="56" w:name="_Toc95127739"/>
      <w:bookmarkStart w:id="57" w:name="_Toc95130220"/>
      <w:bookmarkStart w:id="58" w:name="_Toc95131186"/>
      <w:r>
        <w:t>Subdivision 2 — Compensable out</w:t>
      </w:r>
      <w:r>
        <w:noBreakHyphen/>
        <w:t>patients</w:t>
      </w:r>
      <w:bookmarkEnd w:id="56"/>
      <w:bookmarkEnd w:id="57"/>
      <w:bookmarkEnd w:id="58"/>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$339</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$42.50</w:t>
            </w:r>
          </w:p>
          <w:p>
            <w:pPr>
              <w:pStyle w:val="yTableNAm"/>
            </w:pPr>
            <w:r>
              <w:br/>
              <w:t>$34</w:t>
            </w:r>
          </w:p>
          <w:p>
            <w:pPr>
              <w:pStyle w:val="yTableNAm"/>
            </w:pPr>
            <w:r>
              <w:br/>
              <w:t>$34</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$339</w:t>
            </w:r>
          </w:p>
        </w:tc>
      </w:tr>
    </w:tbl>
    <w:p>
      <w:pPr>
        <w:pStyle w:val="yHeading4"/>
      </w:pPr>
      <w:bookmarkStart w:id="59" w:name="_Toc95127740"/>
      <w:bookmarkStart w:id="60" w:name="_Toc95130221"/>
      <w:bookmarkStart w:id="61" w:name="_Toc95131187"/>
      <w:r>
        <w:lastRenderedPageBreak/>
        <w:t>Subdivision 3 — Compensable same day patients</w:t>
      </w:r>
      <w:bookmarkEnd w:id="59"/>
      <w:bookmarkEnd w:id="60"/>
      <w:bookmarkEnd w:id="61"/>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$2 509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$3 463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$3 247 per day</w:t>
            </w:r>
          </w:p>
        </w:tc>
      </w:tr>
    </w:tbl>
    <w:p>
      <w:pPr>
        <w:pStyle w:val="yFootnotesection"/>
      </w:pPr>
      <w:r>
        <w:tab/>
        <w:t>[Division 2 inserted: SL 2021/134 cl. 4; amended: SL 2022/9 cl. 4.]</w:t>
      </w:r>
    </w:p>
    <w:p>
      <w:pPr>
        <w:pStyle w:val="yHeading3"/>
        <w:rPr>
          <w:rStyle w:val="CharSDivNo"/>
          <w:b w:val="0"/>
        </w:rPr>
      </w:pPr>
      <w:bookmarkStart w:id="62" w:name="_Toc95127741"/>
      <w:bookmarkStart w:id="63" w:name="_Toc95130222"/>
      <w:bookmarkStart w:id="64" w:name="_Toc95131188"/>
      <w:r>
        <w:rPr>
          <w:rStyle w:val="CharSDivNo"/>
        </w:rPr>
        <w:t>Division 3</w:t>
      </w:r>
      <w:r>
        <w:t> — </w:t>
      </w:r>
      <w:r>
        <w:rPr>
          <w:rStyle w:val="CharSDivText"/>
        </w:rPr>
        <w:t>Magnetic resonance imaging</w:t>
      </w:r>
      <w:bookmarkEnd w:id="62"/>
      <w:bookmarkEnd w:id="63"/>
      <w:bookmarkEnd w:id="64"/>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65" w:name="_Toc95127742"/>
      <w:bookmarkStart w:id="66" w:name="_Toc95130223"/>
      <w:bookmarkStart w:id="67" w:name="_Toc95131189"/>
      <w:r>
        <w:rPr>
          <w:rStyle w:val="CharSDivNo"/>
        </w:rPr>
        <w:lastRenderedPageBreak/>
        <w:t>Division 4</w:t>
      </w:r>
      <w:r>
        <w:rPr>
          <w:szCs w:val="24"/>
        </w:rPr>
        <w:t> — </w:t>
      </w:r>
      <w:r>
        <w:rPr>
          <w:rStyle w:val="CharSDivText"/>
        </w:rPr>
        <w:t>Pathology services</w:t>
      </w:r>
      <w:bookmarkEnd w:id="65"/>
      <w:bookmarkEnd w:id="66"/>
      <w:bookmarkEnd w:id="67"/>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68" w:name="_Toc95127743"/>
      <w:bookmarkStart w:id="69" w:name="_Toc95130224"/>
      <w:bookmarkStart w:id="70" w:name="_Toc95131190"/>
      <w:r>
        <w:rPr>
          <w:rStyle w:val="CharSDivNo"/>
        </w:rPr>
        <w:t>Division 6</w:t>
      </w:r>
      <w:r>
        <w:t> — </w:t>
      </w:r>
      <w:r>
        <w:rPr>
          <w:rStyle w:val="CharSDivText"/>
        </w:rPr>
        <w:t>Surgically implanted prostheses</w:t>
      </w:r>
      <w:bookmarkEnd w:id="68"/>
      <w:bookmarkEnd w:id="69"/>
      <w:bookmarkEnd w:id="70"/>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2" w:name="_Toc95127744"/>
      <w:bookmarkStart w:id="73" w:name="_Toc95130225"/>
      <w:bookmarkStart w:id="74" w:name="_Toc95131191"/>
      <w:r>
        <w:lastRenderedPageBreak/>
        <w:t>Notes</w:t>
      </w:r>
      <w:bookmarkEnd w:id="72"/>
      <w:bookmarkEnd w:id="73"/>
      <w:bookmarkEnd w:id="74"/>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75" w:name="_Toc95131192"/>
      <w:r>
        <w:t>Compilation table</w:t>
      </w:r>
      <w:bookmarkEnd w:id="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lastRenderedPageBreak/>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lastRenderedPageBreak/>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keepNext/>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keepNext/>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single" w:sz="4" w:space="0" w:color="auto"/>
            </w:tcBorders>
          </w:tcPr>
          <w:p>
            <w:pPr>
              <w:pStyle w:val="nTable"/>
              <w:keepNext/>
              <w:spacing w:after="40"/>
              <w:rPr>
                <w:i/>
              </w:rPr>
            </w:pPr>
            <w:r>
              <w:rPr>
                <w:i/>
              </w:rPr>
              <w:t>Health Services (Fees and Charges) Amendment Order 2022</w:t>
            </w:r>
          </w:p>
        </w:tc>
        <w:tc>
          <w:tcPr>
            <w:tcW w:w="1276" w:type="dxa"/>
            <w:tcBorders>
              <w:top w:val="nil"/>
              <w:bottom w:val="single" w:sz="4" w:space="0" w:color="auto"/>
            </w:tcBorders>
          </w:tcPr>
          <w:p>
            <w:pPr>
              <w:pStyle w:val="nTable"/>
              <w:spacing w:after="40"/>
            </w:pPr>
            <w:r>
              <w:t>SL 2022/9 11 Feb 2022</w:t>
            </w:r>
          </w:p>
        </w:tc>
        <w:tc>
          <w:tcPr>
            <w:tcW w:w="2693" w:type="dxa"/>
            <w:tcBorders>
              <w:top w:val="nil"/>
              <w:bottom w:val="single" w:sz="4" w:space="0" w:color="auto"/>
            </w:tcBorders>
          </w:tcPr>
          <w:p>
            <w:pPr>
              <w:pStyle w:val="nTable"/>
              <w:spacing w:after="40"/>
            </w:pPr>
            <w:r>
              <w:t>cl. 1 and 2: 11 Feb 2022 (see cl. 2(a));</w:t>
            </w:r>
            <w:r>
              <w:br/>
              <w:t>Order other than cl. 1 and 2: 12 Feb 2022 (see cl.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7" w:name="_Toc95127746"/>
      <w:bookmarkStart w:id="78" w:name="_Toc95130227"/>
      <w:bookmarkStart w:id="79" w:name="_Toc95131193"/>
      <w:r>
        <w:rPr>
          <w:sz w:val="28"/>
        </w:rPr>
        <w:lastRenderedPageBreak/>
        <w:t>Defined terms</w:t>
      </w:r>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 chargeable patient</w:t>
      </w:r>
      <w:r>
        <w:tab/>
        <w:t>9(1)</w:t>
      </w:r>
    </w:p>
    <w:p>
      <w:pPr>
        <w:pStyle w:val="DefinedTerms"/>
      </w:pPr>
      <w:r>
        <w:t>Benefits Schedule</w:t>
      </w:r>
      <w:r>
        <w:tab/>
        <w:t>3(1)</w:t>
      </w:r>
    </w:p>
    <w:p>
      <w:pPr>
        <w:pStyle w:val="DefinedTerms"/>
      </w:pPr>
      <w:r>
        <w:t>chargeable patient</w:t>
      </w:r>
      <w:r>
        <w:tab/>
        <w:t>9(1)</w:t>
      </w:r>
    </w:p>
    <w:p>
      <w:pPr>
        <w:pStyle w:val="DefinedTerms"/>
      </w:pPr>
      <w:r>
        <w:t>child chargeable patient</w:t>
      </w:r>
      <w:r>
        <w:tab/>
        <w:t>9(1)</w:t>
      </w:r>
    </w:p>
    <w:p>
      <w:pPr>
        <w:pStyle w:val="DefinedTerms"/>
      </w:pPr>
      <w:r>
        <w:t>compensable day patient</w:t>
      </w:r>
      <w:r>
        <w:tab/>
        <w:t>3(1)</w:t>
      </w:r>
    </w:p>
    <w:p>
      <w:pPr>
        <w:pStyle w:val="DefinedTerms"/>
      </w:pPr>
      <w:r>
        <w:t>compensable in-patient</w:t>
      </w:r>
      <w:r>
        <w:tab/>
        <w:t>3(1)</w:t>
      </w:r>
    </w:p>
    <w:p>
      <w:pPr>
        <w:pStyle w:val="DefinedTerms"/>
      </w:pPr>
      <w:r>
        <w:t>compensable out-patient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out-patient</w:t>
      </w:r>
      <w:r>
        <w:tab/>
        <w:t>3(1)</w:t>
      </w:r>
    </w:p>
    <w:p>
      <w:pPr>
        <w:pStyle w:val="DefinedTerms"/>
      </w:pPr>
      <w:r>
        <w:t>eligible person</w:t>
      </w:r>
      <w:r>
        <w:tab/>
        <w:t>3(1)</w:t>
      </w:r>
    </w:p>
    <w:p>
      <w:pPr>
        <w:pStyle w:val="DefinedTerms"/>
      </w:pPr>
      <w:r>
        <w:t>eligible veteran in-patient</w:t>
      </w:r>
      <w:r>
        <w:tab/>
        <w:t>3(1)</w:t>
      </w:r>
    </w:p>
    <w:p>
      <w:pPr>
        <w:pStyle w:val="DefinedTerms"/>
      </w:pPr>
      <w:r>
        <w:t>eligible veteran out-patient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in-patient</w:t>
      </w:r>
      <w:r>
        <w:tab/>
        <w:t>3(1)</w:t>
      </w:r>
    </w:p>
    <w:p>
      <w:pPr>
        <w:pStyle w:val="DefinedTerms"/>
      </w:pPr>
      <w:r>
        <w:t>ineligible out-patient</w:t>
      </w:r>
      <w:r>
        <w:tab/>
        <w:t>3(1)</w:t>
      </w:r>
    </w:p>
    <w:p>
      <w:pPr>
        <w:pStyle w:val="DefinedTerms"/>
      </w:pPr>
      <w:r>
        <w:t>ineligible same day patient</w:t>
      </w:r>
      <w:r>
        <w:tab/>
        <w:t>3(1)</w:t>
      </w:r>
    </w:p>
    <w:p>
      <w:pPr>
        <w:pStyle w:val="DefinedTerms"/>
      </w:pPr>
      <w:r>
        <w:t>in-patient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out-patient</w:t>
      </w:r>
      <w:r>
        <w:tab/>
        <w:t>3(1)</w:t>
      </w:r>
    </w:p>
    <w:p>
      <w:pPr>
        <w:pStyle w:val="DefinedTerms"/>
      </w:pPr>
      <w:r>
        <w:t>participating hospital</w:t>
      </w:r>
      <w:r>
        <w:tab/>
        <w:t>3(1)</w:t>
      </w:r>
    </w:p>
    <w:p>
      <w:pPr>
        <w:pStyle w:val="DefinedTerms"/>
      </w:pPr>
      <w:r>
        <w:t>PBS list</w:t>
      </w:r>
      <w:r>
        <w:tab/>
        <w:t>3(1)</w:t>
      </w:r>
    </w:p>
    <w:p>
      <w:pPr>
        <w:pStyle w:val="DefinedTerms"/>
      </w:pPr>
      <w:r>
        <w:lastRenderedPageBreak/>
        <w:t>PBS price</w:t>
      </w:r>
      <w:r>
        <w:tab/>
        <w:t>3(1)</w:t>
      </w:r>
    </w:p>
    <w:p>
      <w:pPr>
        <w:pStyle w:val="DefinedTerms"/>
      </w:pPr>
      <w:r>
        <w:t>pensioner</w:t>
      </w:r>
      <w:r>
        <w:tab/>
        <w:t>3(1)</w:t>
      </w:r>
    </w:p>
    <w:p>
      <w:pPr>
        <w:pStyle w:val="DefinedTerms"/>
      </w:pPr>
      <w:r>
        <w:t>pensioner concession card</w:t>
      </w:r>
      <w:r>
        <w:tab/>
        <w:t>3(1)</w:t>
      </w:r>
    </w:p>
    <w:p>
      <w:pPr>
        <w:pStyle w:val="DefinedTerms"/>
      </w:pPr>
      <w:r>
        <w:t>private in-patient</w:t>
      </w:r>
      <w:r>
        <w:tab/>
        <w:t>3(1)</w:t>
      </w:r>
    </w:p>
    <w:p>
      <w:pPr>
        <w:pStyle w:val="DefinedTerms"/>
      </w:pPr>
      <w:r>
        <w:t>private pathology out-patient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0" w:name="DefinedTerms"/>
    <w:bookmarkEnd w:id="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986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11470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A436-8F7A-46D3-BBB5-D84EED7C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6930</Words>
  <Characters>33546</Characters>
  <Application>Microsoft Office Word</Application>
  <DocSecurity>0</DocSecurity>
  <Lines>1242</Lines>
  <Paragraphs>793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2016 - 00-ac0-00</dc:title>
  <dc:subject/>
  <dc:creator/>
  <cp:keywords/>
  <dc:description/>
  <cp:lastModifiedBy>Master Repository Process</cp:lastModifiedBy>
  <cp:revision>4</cp:revision>
  <cp:lastPrinted>2020-02-06T02:07:00Z</cp:lastPrinted>
  <dcterms:created xsi:type="dcterms:W3CDTF">2022-02-11T02:11:00Z</dcterms:created>
  <dcterms:modified xsi:type="dcterms:W3CDTF">2022-02-11T02:12:00Z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12 Feb 2022</vt:lpwstr>
  </property>
  <property fmtid="{D5CDD505-2E9C-101B-9397-08002B2CF9AE}" pid="6" name="Suffix">
    <vt:lpwstr>00-ac0-00</vt:lpwstr>
  </property>
  <property fmtid="{D5CDD505-2E9C-101B-9397-08002B2CF9AE}" pid="7" name="CommencementDate">
    <vt:lpwstr>20220212</vt:lpwstr>
  </property>
</Properties>
</file>