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_Toc97643623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_Toc97643624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_Toc97643625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_Toc97643626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_Toc97643628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_Toc97643629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_Toc97643630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_Toc97643632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_Toc97643633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_Toc97643636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_Toc97643637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w:t>
      </w:r>
      <w:r>
        <w:tab/>
        <w:t xml:space="preserve">Government agencies prescribed (Act s. 36(1) </w:t>
      </w:r>
      <w:r>
        <w:rPr>
          <w:i/>
          <w:iCs/>
        </w:rPr>
        <w:t>WA government lawyer</w:t>
      </w:r>
      <w:r>
        <w:rPr>
          <w:iCs/>
        </w:rPr>
        <w:t>)</w:t>
      </w:r>
      <w:r>
        <w:tab/>
      </w:r>
      <w:r>
        <w:fldChar w:fldCharType="begin"/>
      </w:r>
      <w:r>
        <w:instrText xml:space="preserve"> PAGEREF _Toc97643638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_Toc97643640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_Toc97643641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_Toc97643642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_Toc97643643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_Toc97643644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_Toc97643645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_Toc97643646 \h </w:instrText>
      </w:r>
      <w:r>
        <w:fldChar w:fldCharType="separate"/>
      </w:r>
      <w:r>
        <w:t>21</w:t>
      </w:r>
      <w:r>
        <w:fldChar w:fldCharType="end"/>
      </w:r>
    </w:p>
    <w:p>
      <w:pPr>
        <w:pStyle w:val="TOC8"/>
        <w:rPr>
          <w:rFonts w:asciiTheme="minorHAnsi" w:eastAsiaTheme="minorEastAsia" w:hAnsiTheme="minorHAnsi" w:cstheme="minorBidi"/>
          <w:szCs w:val="22"/>
        </w:rPr>
      </w:pPr>
      <w:r>
        <w:t>18A.</w:t>
      </w:r>
      <w:r>
        <w:tab/>
        <w:t>Application of this Division to Australian lawyers referred to in r. 5A(b) and (c) (Act s. 12(8))</w:t>
      </w:r>
      <w:r>
        <w:tab/>
      </w:r>
      <w:r>
        <w:fldChar w:fldCharType="begin"/>
      </w:r>
      <w:r>
        <w:instrText xml:space="preserve"> PAGEREF _Toc97643647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_Toc97643649 \h </w:instrText>
      </w:r>
      <w:r>
        <w:fldChar w:fldCharType="separate"/>
      </w:r>
      <w:r>
        <w:t>23</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_Toc97643650 \h </w:instrText>
      </w:r>
      <w:r>
        <w:fldChar w:fldCharType="separate"/>
      </w:r>
      <w:r>
        <w:t>23</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_Toc97643651 \h </w:instrText>
      </w:r>
      <w:r>
        <w:fldChar w:fldCharType="separate"/>
      </w:r>
      <w:r>
        <w:t>23</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_Toc97643652 \h </w:instrText>
      </w:r>
      <w:r>
        <w:fldChar w:fldCharType="separate"/>
      </w:r>
      <w:r>
        <w:t>23</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_Toc97643653 \h </w:instrText>
      </w:r>
      <w:r>
        <w:fldChar w:fldCharType="separate"/>
      </w:r>
      <w:r>
        <w:t>24</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_Toc97643654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_Toc97643656 \h </w:instrText>
      </w:r>
      <w:r>
        <w:fldChar w:fldCharType="separate"/>
      </w:r>
      <w:r>
        <w:t>27</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_Toc97643657 \h </w:instrText>
      </w:r>
      <w:r>
        <w:fldChar w:fldCharType="separate"/>
      </w:r>
      <w:r>
        <w:t>27</w:t>
      </w:r>
      <w:r>
        <w:fldChar w:fldCharType="end"/>
      </w:r>
    </w:p>
    <w:p>
      <w:pPr>
        <w:pStyle w:val="TOC8"/>
        <w:rPr>
          <w:rFonts w:asciiTheme="minorHAnsi" w:eastAsiaTheme="minorEastAsia" w:hAnsiTheme="minorHAnsi" w:cstheme="minorBidi"/>
          <w:szCs w:val="22"/>
        </w:rPr>
      </w:pPr>
      <w:r>
        <w:lastRenderedPageBreak/>
        <w:t>27.</w:t>
      </w:r>
      <w:r>
        <w:tab/>
        <w:t>Professional indemnity insurance, form of disclosure statement as to (Act s. 162)</w:t>
      </w:r>
      <w:r>
        <w:tab/>
      </w:r>
      <w:r>
        <w:fldChar w:fldCharType="begin"/>
      </w:r>
      <w:r>
        <w:instrText xml:space="preserve"> PAGEREF _Toc97643658 \h </w:instrText>
      </w:r>
      <w:r>
        <w:fldChar w:fldCharType="separate"/>
      </w:r>
      <w:r>
        <w:t>28</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_Toc97643659 \h </w:instrText>
      </w:r>
      <w:r>
        <w:fldChar w:fldCharType="separate"/>
      </w:r>
      <w:r>
        <w:t>29</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_Toc97643660 \h </w:instrText>
      </w:r>
      <w:r>
        <w:fldChar w:fldCharType="separate"/>
      </w:r>
      <w:r>
        <w:t>29</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_Toc97643661 \h </w:instrText>
      </w:r>
      <w:r>
        <w:fldChar w:fldCharType="separate"/>
      </w:r>
      <w:r>
        <w:t>30</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_Toc97643662 \h </w:instrText>
      </w:r>
      <w:r>
        <w:fldChar w:fldCharType="separate"/>
      </w:r>
      <w:r>
        <w:t>30</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_Toc97643663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_Toc97643666 \h </w:instrText>
      </w:r>
      <w:r>
        <w:fldChar w:fldCharType="separate"/>
      </w:r>
      <w:r>
        <w:t>33</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_Toc97643667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_Toc97643669 \h </w:instrText>
      </w:r>
      <w:r>
        <w:fldChar w:fldCharType="separate"/>
      </w:r>
      <w:r>
        <w:t>34</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_Toc97643670 \h </w:instrText>
      </w:r>
      <w:r>
        <w:fldChar w:fldCharType="separate"/>
      </w:r>
      <w:r>
        <w:t>34</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_Toc97643671 \h </w:instrText>
      </w:r>
      <w:r>
        <w:fldChar w:fldCharType="separate"/>
      </w:r>
      <w:r>
        <w:t>35</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_Toc97643672 \h </w:instrText>
      </w:r>
      <w:r>
        <w:fldChar w:fldCharType="separate"/>
      </w:r>
      <w:r>
        <w:t>35</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_Toc97643673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_Toc97643675 \h </w:instrText>
      </w:r>
      <w:r>
        <w:fldChar w:fldCharType="separate"/>
      </w:r>
      <w:r>
        <w:t>36</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_Toc97643676 \h </w:instrText>
      </w:r>
      <w:r>
        <w:fldChar w:fldCharType="separate"/>
      </w:r>
      <w:r>
        <w:t>37</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_Toc97643677 \h </w:instrText>
      </w:r>
      <w:r>
        <w:fldChar w:fldCharType="separate"/>
      </w:r>
      <w:r>
        <w:t>38</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_Toc97643678 \h </w:instrText>
      </w:r>
      <w:r>
        <w:fldChar w:fldCharType="separate"/>
      </w:r>
      <w:r>
        <w:t>39</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_Toc97643679 \h </w:instrText>
      </w:r>
      <w:r>
        <w:fldChar w:fldCharType="separate"/>
      </w:r>
      <w:r>
        <w:t>39</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_Toc97643680 \h </w:instrText>
      </w:r>
      <w:r>
        <w:fldChar w:fldCharType="separate"/>
      </w:r>
      <w:r>
        <w:t>41</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_Toc97643681 \h </w:instrText>
      </w:r>
      <w:r>
        <w:fldChar w:fldCharType="separate"/>
      </w:r>
      <w:r>
        <w:t>43</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_Toc97643682 \h </w:instrText>
      </w:r>
      <w:r>
        <w:fldChar w:fldCharType="separate"/>
      </w:r>
      <w:r>
        <w:t>43</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_Toc97643683 \h </w:instrText>
      </w:r>
      <w:r>
        <w:fldChar w:fldCharType="separate"/>
      </w:r>
      <w:r>
        <w:t>44</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_Toc97643684 \h </w:instrText>
      </w:r>
      <w:r>
        <w:fldChar w:fldCharType="separate"/>
      </w:r>
      <w:r>
        <w:t>45</w:t>
      </w:r>
      <w:r>
        <w:fldChar w:fldCharType="end"/>
      </w:r>
    </w:p>
    <w:p>
      <w:pPr>
        <w:pStyle w:val="TOC8"/>
        <w:rPr>
          <w:rFonts w:asciiTheme="minorHAnsi" w:eastAsiaTheme="minorEastAsia" w:hAnsiTheme="minorHAnsi" w:cstheme="minorBidi"/>
          <w:szCs w:val="22"/>
        </w:rPr>
      </w:pPr>
      <w:r>
        <w:lastRenderedPageBreak/>
        <w:t>50.</w:t>
      </w:r>
      <w:r>
        <w:tab/>
        <w:t>Transfers of trust money by journal entry, requirements for</w:t>
      </w:r>
      <w:r>
        <w:tab/>
      </w:r>
      <w:r>
        <w:fldChar w:fldCharType="begin"/>
      </w:r>
      <w:r>
        <w:instrText xml:space="preserve"> PAGEREF _Toc97643685 \h </w:instrText>
      </w:r>
      <w:r>
        <w:fldChar w:fldCharType="separate"/>
      </w:r>
      <w:r>
        <w:t>47</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_Toc97643686 \h </w:instrText>
      </w:r>
      <w:r>
        <w:fldChar w:fldCharType="separate"/>
      </w:r>
      <w:r>
        <w:t>49</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_Toc97643687 \h </w:instrText>
      </w:r>
      <w:r>
        <w:fldChar w:fldCharType="separate"/>
      </w:r>
      <w:r>
        <w:t>50</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_Toc97643688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_Toc97643690 \h </w:instrText>
      </w:r>
      <w:r>
        <w:fldChar w:fldCharType="separate"/>
      </w:r>
      <w:r>
        <w:t>51</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_Toc97643691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_Toc97643692 \h </w:instrText>
      </w:r>
      <w:r>
        <w:fldChar w:fldCharType="separate"/>
      </w:r>
      <w:r>
        <w:t>53</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_Toc97643693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_Toc97643694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_Toc97643696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_Toc97643698 \h </w:instrText>
      </w:r>
      <w:r>
        <w:fldChar w:fldCharType="separate"/>
      </w:r>
      <w:r>
        <w:t>57</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_Toc97643699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_Toc97643700 \h </w:instrText>
      </w:r>
      <w:r>
        <w:fldChar w:fldCharType="separate"/>
      </w:r>
      <w:r>
        <w:t>59</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_Toc97643701 \h </w:instrText>
      </w:r>
      <w:r>
        <w:fldChar w:fldCharType="separate"/>
      </w:r>
      <w:r>
        <w:t>60</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_Toc97643702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_Toc97643703 \h </w:instrText>
      </w:r>
      <w:r>
        <w:fldChar w:fldCharType="separate"/>
      </w:r>
      <w:r>
        <w:t>61</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_Toc97643704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_Toc97643705 \h </w:instrText>
      </w:r>
      <w:r>
        <w:fldChar w:fldCharType="separate"/>
      </w:r>
      <w:r>
        <w:t>63</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_Toc97643706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_Toc97643708 \h </w:instrText>
      </w:r>
      <w:r>
        <w:fldChar w:fldCharType="separate"/>
      </w:r>
      <w:r>
        <w:t>64</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_Toc97643709 \h </w:instrText>
      </w:r>
      <w:r>
        <w:fldChar w:fldCharType="separate"/>
      </w:r>
      <w:r>
        <w:t>65</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_Toc97643710 \h </w:instrText>
      </w:r>
      <w:r>
        <w:fldChar w:fldCharType="separate"/>
      </w:r>
      <w:r>
        <w:t>65</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_Toc97643711 \h </w:instrText>
      </w:r>
      <w:r>
        <w:fldChar w:fldCharType="separate"/>
      </w:r>
      <w:r>
        <w:t>65</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_Toc97643712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_Toc97643714 \h </w:instrText>
      </w:r>
      <w:r>
        <w:fldChar w:fldCharType="separate"/>
      </w:r>
      <w:r>
        <w:t>65</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_Toc97643715 \h </w:instrText>
      </w:r>
      <w:r>
        <w:fldChar w:fldCharType="separate"/>
      </w:r>
      <w:r>
        <w:t>66</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_Toc97643716 \h </w:instrText>
      </w:r>
      <w:r>
        <w:fldChar w:fldCharType="separate"/>
      </w:r>
      <w:r>
        <w:t>66</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_Toc97643717 \h </w:instrText>
      </w:r>
      <w:r>
        <w:fldChar w:fldCharType="separate"/>
      </w:r>
      <w:r>
        <w:t>67</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_Toc97643718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_Toc97643720 \h </w:instrText>
      </w:r>
      <w:r>
        <w:fldChar w:fldCharType="separate"/>
      </w:r>
      <w:r>
        <w:t>68</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_Toc97643721 \h </w:instrText>
      </w:r>
      <w:r>
        <w:fldChar w:fldCharType="separate"/>
      </w:r>
      <w:r>
        <w:t>68</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_Toc97643722 \h </w:instrText>
      </w:r>
      <w:r>
        <w:fldChar w:fldCharType="separate"/>
      </w:r>
      <w:r>
        <w:t>69</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_Toc97643723 \h </w:instrText>
      </w:r>
      <w:r>
        <w:fldChar w:fldCharType="separate"/>
      </w:r>
      <w:r>
        <w:t>69</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_Toc97643724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_Toc97643727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Law Society’s functions as to professional indemnity insurance</w:t>
      </w:r>
      <w:r>
        <w:tab/>
      </w:r>
      <w:r>
        <w:fldChar w:fldCharType="begin"/>
      </w:r>
      <w:r>
        <w:instrText xml:space="preserve"> PAGEREF _Toc97643729 \h </w:instrText>
      </w:r>
      <w:r>
        <w:fldChar w:fldCharType="separate"/>
      </w:r>
      <w:r>
        <w:t>72</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_Toc97643730 \h </w:instrText>
      </w:r>
      <w:r>
        <w:fldChar w:fldCharType="separate"/>
      </w:r>
      <w:r>
        <w:t>72</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_Toc97643731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Requirement for law practice to have professional indemnity insurance</w:t>
      </w:r>
      <w:r>
        <w:tab/>
      </w:r>
      <w:r>
        <w:fldChar w:fldCharType="begin"/>
      </w:r>
      <w:r>
        <w:instrText xml:space="preserve"> PAGEREF _Toc97643733 \h </w:instrText>
      </w:r>
      <w:r>
        <w:fldChar w:fldCharType="separate"/>
      </w:r>
      <w:r>
        <w:t>73</w:t>
      </w:r>
      <w:r>
        <w:fldChar w:fldCharType="end"/>
      </w:r>
    </w:p>
    <w:p>
      <w:pPr>
        <w:pStyle w:val="TOC8"/>
        <w:rPr>
          <w:rFonts w:asciiTheme="minorHAnsi" w:eastAsiaTheme="minorEastAsia" w:hAnsiTheme="minorHAnsi" w:cstheme="minorBidi"/>
          <w:szCs w:val="22"/>
        </w:rPr>
      </w:pPr>
      <w:r>
        <w:t>88.</w:t>
      </w:r>
      <w:r>
        <w:tab/>
        <w:t>Application for professional indemnity insurance</w:t>
      </w:r>
      <w:r>
        <w:tab/>
      </w:r>
      <w:r>
        <w:fldChar w:fldCharType="begin"/>
      </w:r>
      <w:r>
        <w:instrText xml:space="preserve"> PAGEREF _Toc97643734 \h </w:instrText>
      </w:r>
      <w:r>
        <w:fldChar w:fldCharType="separate"/>
      </w:r>
      <w:r>
        <w:t>73</w:t>
      </w:r>
      <w:r>
        <w:fldChar w:fldCharType="end"/>
      </w:r>
    </w:p>
    <w:p>
      <w:pPr>
        <w:pStyle w:val="TOC8"/>
        <w:rPr>
          <w:rFonts w:asciiTheme="minorHAnsi" w:eastAsiaTheme="minorEastAsia" w:hAnsiTheme="minorHAnsi" w:cstheme="minorBidi"/>
          <w:szCs w:val="22"/>
        </w:rPr>
      </w:pPr>
      <w:r>
        <w:t>89.</w:t>
      </w:r>
      <w:r>
        <w:tab/>
        <w:t>Late lodgment fee for failure to make application or pay amount</w:t>
      </w:r>
      <w:r>
        <w:tab/>
      </w:r>
      <w:r>
        <w:fldChar w:fldCharType="begin"/>
      </w:r>
      <w:r>
        <w:instrText xml:space="preserve"> PAGEREF _Toc97643735 \h </w:instrText>
      </w:r>
      <w:r>
        <w:fldChar w:fldCharType="separate"/>
      </w:r>
      <w:r>
        <w:t>74</w:t>
      </w:r>
      <w:r>
        <w:fldChar w:fldCharType="end"/>
      </w:r>
    </w:p>
    <w:p>
      <w:pPr>
        <w:pStyle w:val="TOC8"/>
        <w:rPr>
          <w:rFonts w:asciiTheme="minorHAnsi" w:eastAsiaTheme="minorEastAsia" w:hAnsiTheme="minorHAnsi" w:cstheme="minorBidi"/>
          <w:szCs w:val="22"/>
        </w:rPr>
      </w:pPr>
      <w:r>
        <w:t>90.</w:t>
      </w:r>
      <w:r>
        <w:tab/>
        <w:t>Restructured law practice to apply for professional indemnity insurance</w:t>
      </w:r>
      <w:r>
        <w:tab/>
      </w:r>
      <w:r>
        <w:fldChar w:fldCharType="begin"/>
      </w:r>
      <w:r>
        <w:instrText xml:space="preserve"> PAGEREF _Toc97643736 \h </w:instrText>
      </w:r>
      <w:r>
        <w:fldChar w:fldCharType="separate"/>
      </w:r>
      <w:r>
        <w:t>74</w:t>
      </w:r>
      <w:r>
        <w:fldChar w:fldCharType="end"/>
      </w:r>
    </w:p>
    <w:p>
      <w:pPr>
        <w:pStyle w:val="TOC8"/>
        <w:rPr>
          <w:rFonts w:asciiTheme="minorHAnsi" w:eastAsiaTheme="minorEastAsia" w:hAnsiTheme="minorHAnsi" w:cstheme="minorBidi"/>
          <w:szCs w:val="22"/>
        </w:rPr>
      </w:pPr>
      <w:r>
        <w:t>91.</w:t>
      </w:r>
      <w:r>
        <w:tab/>
        <w:t>Law Society to issue certificate of insurance</w:t>
      </w:r>
      <w:r>
        <w:tab/>
      </w:r>
      <w:r>
        <w:fldChar w:fldCharType="begin"/>
      </w:r>
      <w:r>
        <w:instrText xml:space="preserve"> PAGEREF _Toc97643737 \h </w:instrText>
      </w:r>
      <w:r>
        <w:fldChar w:fldCharType="separate"/>
      </w:r>
      <w:r>
        <w:t>75</w:t>
      </w:r>
      <w:r>
        <w:fldChar w:fldCharType="end"/>
      </w:r>
    </w:p>
    <w:p>
      <w:pPr>
        <w:pStyle w:val="TOC8"/>
        <w:rPr>
          <w:rFonts w:asciiTheme="minorHAnsi" w:eastAsiaTheme="minorEastAsia" w:hAnsiTheme="minorHAnsi" w:cstheme="minorBidi"/>
          <w:szCs w:val="22"/>
        </w:rPr>
      </w:pPr>
      <w:r>
        <w:lastRenderedPageBreak/>
        <w:t>92.</w:t>
      </w:r>
      <w:r>
        <w:tab/>
        <w:t>Annual contribution for PII arrangement, assessment of etc.</w:t>
      </w:r>
      <w:r>
        <w:tab/>
      </w:r>
      <w:r>
        <w:fldChar w:fldCharType="begin"/>
      </w:r>
      <w:r>
        <w:instrText xml:space="preserve"> PAGEREF _Toc97643738 \h </w:instrText>
      </w:r>
      <w:r>
        <w:fldChar w:fldCharType="separate"/>
      </w:r>
      <w:r>
        <w:t>75</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_Toc97643739 \h </w:instrText>
      </w:r>
      <w:r>
        <w:fldChar w:fldCharType="separate"/>
      </w:r>
      <w:r>
        <w:t>77</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_Toc97643740 \h </w:instrText>
      </w:r>
      <w:r>
        <w:fldChar w:fldCharType="separate"/>
      </w:r>
      <w:r>
        <w:t>78</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_Toc97643741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Requirement for Australian legal practitioner to have professional indemnity insurance</w:t>
      </w:r>
      <w:r>
        <w:tab/>
      </w:r>
      <w:r>
        <w:fldChar w:fldCharType="begin"/>
      </w:r>
      <w:r>
        <w:instrText xml:space="preserve"> PAGEREF _Toc97643743 \h </w:instrText>
      </w:r>
      <w:r>
        <w:fldChar w:fldCharType="separate"/>
      </w:r>
      <w:r>
        <w:t>79</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_Toc97643744 \h </w:instrText>
      </w:r>
      <w:r>
        <w:fldChar w:fldCharType="separate"/>
      </w:r>
      <w:r>
        <w:t>79</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_Toc97643745 \h </w:instrText>
      </w:r>
      <w:r>
        <w:fldChar w:fldCharType="separate"/>
      </w:r>
      <w:r>
        <w:t>83</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_Toc97643746 \h </w:instrText>
      </w:r>
      <w:r>
        <w:fldChar w:fldCharType="separate"/>
      </w:r>
      <w:r>
        <w:t>85</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_Toc97643747 \h </w:instrText>
      </w:r>
      <w:r>
        <w:fldChar w:fldCharType="separate"/>
      </w:r>
      <w:r>
        <w:t>87</w:t>
      </w:r>
      <w:r>
        <w:fldChar w:fldCharType="end"/>
      </w:r>
    </w:p>
    <w:p>
      <w:pPr>
        <w:pStyle w:val="TOC8"/>
        <w:rPr>
          <w:rFonts w:asciiTheme="minorHAnsi" w:eastAsiaTheme="minorEastAsia" w:hAnsiTheme="minorHAnsi" w:cstheme="minorBidi"/>
          <w:szCs w:val="22"/>
        </w:rPr>
      </w:pPr>
      <w:r>
        <w:t>101.</w:t>
      </w:r>
      <w:r>
        <w:tab/>
        <w:t>Acceptable evidence for Board as to professional indemnity insurance (Act s. 40(3))</w:t>
      </w:r>
      <w:r>
        <w:tab/>
      </w:r>
      <w:r>
        <w:fldChar w:fldCharType="begin"/>
      </w:r>
      <w:r>
        <w:instrText xml:space="preserve"> PAGEREF _Toc97643748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_Toc97643750 \h </w:instrText>
      </w:r>
      <w:r>
        <w:fldChar w:fldCharType="separate"/>
      </w:r>
      <w:r>
        <w:t>88</w:t>
      </w:r>
      <w:r>
        <w:fldChar w:fldCharType="end"/>
      </w:r>
    </w:p>
    <w:p>
      <w:pPr>
        <w:pStyle w:val="TOC8"/>
        <w:rPr>
          <w:rFonts w:asciiTheme="minorHAnsi" w:eastAsiaTheme="minorEastAsia" w:hAnsiTheme="minorHAnsi" w:cstheme="minorBidi"/>
          <w:szCs w:val="22"/>
        </w:rPr>
      </w:pPr>
      <w:r>
        <w:t>103.</w:t>
      </w:r>
      <w:r>
        <w:tab/>
        <w:t>Undertakings as to professional indemnity insurance</w:t>
      </w:r>
      <w:r>
        <w:tab/>
      </w:r>
      <w:r>
        <w:fldChar w:fldCharType="begin"/>
      </w:r>
      <w:r>
        <w:instrText xml:space="preserve"> PAGEREF _Toc97643751 \h </w:instrText>
      </w:r>
      <w:r>
        <w:fldChar w:fldCharType="separate"/>
      </w:r>
      <w:r>
        <w:t>89</w:t>
      </w:r>
      <w:r>
        <w:fldChar w:fldCharType="end"/>
      </w:r>
    </w:p>
    <w:p>
      <w:pPr>
        <w:pStyle w:val="TOC8"/>
        <w:rPr>
          <w:rFonts w:asciiTheme="minorHAnsi" w:eastAsiaTheme="minorEastAsia" w:hAnsiTheme="minorHAnsi" w:cstheme="minorBidi"/>
          <w:szCs w:val="22"/>
        </w:rPr>
      </w:pPr>
      <w:r>
        <w:t>104.</w:t>
      </w:r>
      <w:r>
        <w:tab/>
        <w:t>Law Society may require information</w:t>
      </w:r>
      <w:r>
        <w:tab/>
      </w:r>
      <w:r>
        <w:fldChar w:fldCharType="begin"/>
      </w:r>
      <w:r>
        <w:instrText xml:space="preserve"> PAGEREF _Toc97643752 \h </w:instrText>
      </w:r>
      <w:r>
        <w:fldChar w:fldCharType="separate"/>
      </w:r>
      <w:r>
        <w:t>90</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_Toc97643753 \h </w:instrText>
      </w:r>
      <w:r>
        <w:fldChar w:fldCharType="separate"/>
      </w:r>
      <w:r>
        <w:t>90</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_Toc97643754 \h </w:instrText>
      </w:r>
      <w:r>
        <w:fldChar w:fldCharType="separate"/>
      </w:r>
      <w:r>
        <w:t>91</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_Toc97643755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_Toc97643757 \h </w:instrText>
      </w:r>
      <w:r>
        <w:fldChar w:fldCharType="separate"/>
      </w:r>
      <w:r>
        <w:t>92</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_Toc97643758 \h </w:instrText>
      </w:r>
      <w:r>
        <w:fldChar w:fldCharType="separate"/>
      </w:r>
      <w:r>
        <w:t>92</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_Toc97643759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_Toc97643761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_Toc97643763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_Toc97643766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_Toc97643768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_Toc97643770 \h </w:instrText>
      </w:r>
      <w:r>
        <w:fldChar w:fldCharType="separate"/>
      </w:r>
      <w:r>
        <w:t>95</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_Toc97643771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_Toc97643773 \h </w:instrText>
      </w:r>
      <w:r>
        <w:fldChar w:fldCharType="separate"/>
      </w:r>
      <w:r>
        <w:t>96</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_Toc97643774 \h </w:instrText>
      </w:r>
      <w:r>
        <w:fldChar w:fldCharType="separate"/>
      </w:r>
      <w:r>
        <w:t>97</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_Toc97643775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_Toc97643777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_Toc97643779 \h </w:instrText>
      </w:r>
      <w:r>
        <w:fldChar w:fldCharType="separate"/>
      </w:r>
      <w:r>
        <w:t>98</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_Toc97643780 \h </w:instrText>
      </w:r>
      <w:r>
        <w:fldChar w:fldCharType="separate"/>
      </w:r>
      <w:r>
        <w:t>99</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_Toc97643781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_Toc97643783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Provisions for Legal Profession Amendment Regulations 2019</w:t>
      </w:r>
    </w:p>
    <w:p>
      <w:pPr>
        <w:pStyle w:val="TOC8"/>
        <w:rPr>
          <w:rFonts w:asciiTheme="minorHAnsi" w:eastAsiaTheme="minorEastAsia" w:hAnsiTheme="minorHAnsi" w:cstheme="minorBidi"/>
          <w:szCs w:val="22"/>
        </w:rPr>
      </w:pPr>
      <w:r>
        <w:t>124.</w:t>
      </w:r>
      <w:r>
        <w:tab/>
        <w:t>Resolutions under r. 97 relating to bodies or organisations providing legal aid</w:t>
      </w:r>
      <w:r>
        <w:tab/>
      </w:r>
      <w:r>
        <w:fldChar w:fldCharType="begin"/>
      </w:r>
      <w:r>
        <w:instrText xml:space="preserve"> PAGEREF _Toc97643785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Provisions for Legal Profession Amendment Regulations (No. 2) 2019</w:t>
      </w:r>
    </w:p>
    <w:p>
      <w:pPr>
        <w:pStyle w:val="TOC8"/>
        <w:rPr>
          <w:rFonts w:asciiTheme="minorHAnsi" w:eastAsiaTheme="minorEastAsia" w:hAnsiTheme="minorHAnsi" w:cstheme="minorBidi"/>
          <w:szCs w:val="22"/>
        </w:rPr>
      </w:pPr>
      <w:r>
        <w:t>125.</w:t>
      </w:r>
      <w:r>
        <w:tab/>
        <w:t>Notices given under r. 98 or 99 in relation to claim for exemption under former r. 97(1)(f)</w:t>
      </w:r>
      <w:r>
        <w:tab/>
      </w:r>
      <w:r>
        <w:fldChar w:fldCharType="begin"/>
      </w:r>
      <w:r>
        <w:instrText xml:space="preserve"> PAGEREF _Toc97643787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_Toc97643791 \h </w:instrText>
      </w:r>
      <w:r>
        <w:fldChar w:fldCharType="separate"/>
      </w:r>
      <w:r>
        <w:t>108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_Toc97643792 \h </w:instrText>
      </w:r>
      <w:r>
        <w:fldChar w:fldCharType="separate"/>
      </w:r>
      <w:r>
        <w:t>110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_Toc97643793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97633601"/>
      <w:bookmarkStart w:id="4" w:name="_Toc97634008"/>
      <w:bookmarkStart w:id="5" w:name="_Toc976436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43623"/>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 w:name="_Toc9764362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 w:name="_Toc97643625"/>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0" w:name="_Toc97643626"/>
      <w:r>
        <w:rPr>
          <w:rStyle w:val="CharSectno"/>
        </w:rPr>
        <w:lastRenderedPageBreak/>
        <w:t>4</w:t>
      </w:r>
      <w:r>
        <w:t>.</w:t>
      </w:r>
      <w:r>
        <w:tab/>
        <w:t>Home jurisdiction of associate, determining (Act s. 7(4)(b)(iii))</w:t>
      </w:r>
      <w:bookmarkEnd w:id="10"/>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11" w:name="_Toc97633606"/>
      <w:bookmarkStart w:id="12" w:name="_Toc97634013"/>
      <w:bookmarkStart w:id="13" w:name="_Toc97643627"/>
      <w:r>
        <w:rPr>
          <w:rStyle w:val="CharPartNo"/>
        </w:rPr>
        <w:lastRenderedPageBreak/>
        <w:t>Part 2</w:t>
      </w:r>
      <w:r>
        <w:rPr>
          <w:rStyle w:val="CharDivNo"/>
        </w:rPr>
        <w:t> </w:t>
      </w:r>
      <w:r>
        <w:t>—</w:t>
      </w:r>
      <w:r>
        <w:rPr>
          <w:rStyle w:val="CharDivText"/>
        </w:rPr>
        <w:t> </w:t>
      </w:r>
      <w:r>
        <w:rPr>
          <w:rStyle w:val="CharPartText"/>
        </w:rPr>
        <w:t>Reservation of legal work and related matters</w:t>
      </w:r>
      <w:bookmarkEnd w:id="11"/>
      <w:bookmarkEnd w:id="12"/>
      <w:bookmarkEnd w:id="13"/>
    </w:p>
    <w:p>
      <w:pPr>
        <w:pStyle w:val="Heading5"/>
      </w:pPr>
      <w:bookmarkStart w:id="14" w:name="_Toc97643628"/>
      <w:r>
        <w:rPr>
          <w:rStyle w:val="CharSectno"/>
        </w:rPr>
        <w:t>5A</w:t>
      </w:r>
      <w:r>
        <w:t>.</w:t>
      </w:r>
      <w:r>
        <w:tab/>
        <w:t>Exceptions to prohibition on engaging in legal practice when not entitled (Act s. 12(3)(h))</w:t>
      </w:r>
      <w:bookmarkEnd w:id="14"/>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15" w:name="_Toc97643629"/>
      <w:r>
        <w:rPr>
          <w:rStyle w:val="CharSectno"/>
        </w:rPr>
        <w:t>5</w:t>
      </w:r>
      <w:r>
        <w:t>.</w:t>
      </w:r>
      <w:r>
        <w:tab/>
        <w:t>Titles etc. who can use (Act s. 14(2))</w:t>
      </w:r>
      <w:bookmarkEnd w:id="1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lastRenderedPageBreak/>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lastRenderedPageBreak/>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lastRenderedPageBreak/>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lastRenderedPageBreak/>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lastRenderedPageBreak/>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lastRenderedPageBreak/>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16" w:name="_Toc97643630"/>
      <w:r>
        <w:rPr>
          <w:rStyle w:val="CharSectno"/>
        </w:rPr>
        <w:t>6</w:t>
      </w:r>
      <w:r>
        <w:t>.</w:t>
      </w:r>
      <w:r>
        <w:tab/>
        <w:t>Exemption from Act s. 15(2)(a) for some lay associates</w:t>
      </w:r>
      <w:bookmarkEnd w:id="16"/>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 w:name="_Toc97633610"/>
      <w:bookmarkStart w:id="18" w:name="_Toc97634017"/>
      <w:bookmarkStart w:id="19" w:name="_Toc97643631"/>
      <w:r>
        <w:rPr>
          <w:rStyle w:val="CharPartNo"/>
        </w:rPr>
        <w:lastRenderedPageBreak/>
        <w:t>Part 3</w:t>
      </w:r>
      <w:r>
        <w:rPr>
          <w:rStyle w:val="CharDivNo"/>
        </w:rPr>
        <w:t> </w:t>
      </w:r>
      <w:r>
        <w:t>—</w:t>
      </w:r>
      <w:r>
        <w:rPr>
          <w:rStyle w:val="CharDivText"/>
        </w:rPr>
        <w:t> </w:t>
      </w:r>
      <w:r>
        <w:rPr>
          <w:rStyle w:val="CharPartText"/>
        </w:rPr>
        <w:t>Legal practice by Australian legal practitioners</w:t>
      </w:r>
      <w:bookmarkEnd w:id="17"/>
      <w:bookmarkEnd w:id="18"/>
      <w:bookmarkEnd w:id="19"/>
    </w:p>
    <w:p>
      <w:pPr>
        <w:pStyle w:val="Heading5"/>
      </w:pPr>
      <w:bookmarkStart w:id="20" w:name="_Toc97643632"/>
      <w:r>
        <w:rPr>
          <w:rStyle w:val="CharSectno"/>
        </w:rPr>
        <w:t>7</w:t>
      </w:r>
      <w:r>
        <w:t>.</w:t>
      </w:r>
      <w:r>
        <w:tab/>
        <w:t>Supervised legal practice, periods of to be taken into account (Act s. 50(2) and 72(2))</w:t>
      </w:r>
      <w:bookmarkEnd w:id="20"/>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1" w:name="_Toc97643633"/>
      <w:r>
        <w:rPr>
          <w:rStyle w:val="CharSectno"/>
        </w:rPr>
        <w:lastRenderedPageBreak/>
        <w:t>8</w:t>
      </w:r>
      <w:r>
        <w:t>.</w:t>
      </w:r>
      <w:r>
        <w:tab/>
        <w:t>Register of local practising certificates, content of (Act s. 76(2))</w:t>
      </w:r>
      <w:bookmarkEnd w:id="2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lastRenderedPageBreak/>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2" w:name="_Toc97633613"/>
      <w:bookmarkStart w:id="23" w:name="_Toc97634020"/>
      <w:bookmarkStart w:id="24" w:name="_Toc97643634"/>
      <w:r>
        <w:rPr>
          <w:rStyle w:val="CharPartNo"/>
        </w:rPr>
        <w:lastRenderedPageBreak/>
        <w:t>Part 4</w:t>
      </w:r>
      <w:r>
        <w:t> — </w:t>
      </w:r>
      <w:r>
        <w:rPr>
          <w:rStyle w:val="CharPartText"/>
        </w:rPr>
        <w:t>Government lawyers</w:t>
      </w:r>
      <w:bookmarkEnd w:id="22"/>
      <w:bookmarkEnd w:id="23"/>
      <w:bookmarkEnd w:id="24"/>
    </w:p>
    <w:p>
      <w:pPr>
        <w:pStyle w:val="Heading3"/>
        <w:spacing w:before="220"/>
      </w:pPr>
      <w:bookmarkStart w:id="25" w:name="_Toc97633614"/>
      <w:bookmarkStart w:id="26" w:name="_Toc97634021"/>
      <w:bookmarkStart w:id="27" w:name="_Toc97643635"/>
      <w:r>
        <w:rPr>
          <w:rStyle w:val="CharDivNo"/>
        </w:rPr>
        <w:t>Division 1</w:t>
      </w:r>
      <w:r>
        <w:t> — </w:t>
      </w:r>
      <w:r>
        <w:rPr>
          <w:rStyle w:val="CharDivText"/>
        </w:rPr>
        <w:t>General</w:t>
      </w:r>
      <w:bookmarkEnd w:id="25"/>
      <w:bookmarkEnd w:id="26"/>
      <w:bookmarkEnd w:id="27"/>
    </w:p>
    <w:p>
      <w:pPr>
        <w:pStyle w:val="Heading5"/>
      </w:pPr>
      <w:bookmarkStart w:id="28" w:name="_Toc97643636"/>
      <w:r>
        <w:rPr>
          <w:rStyle w:val="CharSectno"/>
        </w:rPr>
        <w:t>9</w:t>
      </w:r>
      <w:r>
        <w:t>.</w:t>
      </w:r>
      <w:r>
        <w:tab/>
        <w:t>Articled clerk, who is eligible to be principal for</w:t>
      </w:r>
      <w:bookmarkEnd w:id="2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Western Australia of the Australian Government Solicitor established by the </w:t>
      </w:r>
      <w:r>
        <w:rPr>
          <w:i/>
          <w:iCs/>
        </w:rPr>
        <w:t xml:space="preserve">Judiciary Act 1903 </w:t>
      </w:r>
      <w:r>
        <w:t>(Commonwealth);</w:t>
      </w:r>
    </w:p>
    <w:p>
      <w:pPr>
        <w:pStyle w:val="Indenta"/>
        <w:spacing w:before="60"/>
      </w:pPr>
      <w:r>
        <w:tab/>
        <w:t>(e)</w:t>
      </w:r>
      <w:r>
        <w:tab/>
        <w:t>the Regional Commissioner of the Australian Securities and Investment Commission in Western Australia;</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29" w:name="_Toc97643637"/>
      <w:r>
        <w:rPr>
          <w:rStyle w:val="CharSectno"/>
        </w:rPr>
        <w:t>10</w:t>
      </w:r>
      <w:r>
        <w:t>.</w:t>
      </w:r>
      <w:r>
        <w:tab/>
        <w:t xml:space="preserve">Offices prescribed (Act s. 3 </w:t>
      </w:r>
      <w:r>
        <w:rPr>
          <w:i/>
        </w:rPr>
        <w:t>supervised legal practice</w:t>
      </w:r>
      <w:r>
        <w:t>)</w:t>
      </w:r>
      <w:bookmarkEnd w:id="2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lastRenderedPageBreak/>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30" w:name="_Toc97643638"/>
      <w:r>
        <w:rPr>
          <w:rStyle w:val="CharSectno"/>
        </w:rPr>
        <w:t>11</w:t>
      </w:r>
      <w:r>
        <w:t>.</w:t>
      </w:r>
      <w:r>
        <w:tab/>
        <w:t xml:space="preserve">Government agencies prescribed (Act s. 36(1) </w:t>
      </w:r>
      <w:r>
        <w:rPr>
          <w:i/>
          <w:iCs/>
        </w:rPr>
        <w:t>WA government lawyer</w:t>
      </w:r>
      <w:r>
        <w:rPr>
          <w:iCs/>
        </w:rPr>
        <w:t>)</w:t>
      </w:r>
      <w:bookmarkEnd w:id="3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lastRenderedPageBreak/>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lastRenderedPageBreak/>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1</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31" w:name="_Toc97633618"/>
      <w:bookmarkStart w:id="32" w:name="_Toc97634025"/>
      <w:bookmarkStart w:id="33" w:name="_Toc97643639"/>
      <w:r>
        <w:rPr>
          <w:rStyle w:val="CharDivNo"/>
        </w:rPr>
        <w:lastRenderedPageBreak/>
        <w:t>Division 2</w:t>
      </w:r>
      <w:r>
        <w:t> — </w:t>
      </w:r>
      <w:r>
        <w:rPr>
          <w:rStyle w:val="CharDivText"/>
        </w:rPr>
        <w:t>Continuing professional development of WA government lawyers</w:t>
      </w:r>
      <w:bookmarkEnd w:id="31"/>
      <w:bookmarkEnd w:id="32"/>
      <w:bookmarkEnd w:id="33"/>
    </w:p>
    <w:p>
      <w:pPr>
        <w:pStyle w:val="Heading5"/>
        <w:spacing w:before="180"/>
      </w:pPr>
      <w:bookmarkStart w:id="34" w:name="_Toc97643640"/>
      <w:r>
        <w:rPr>
          <w:rStyle w:val="CharSectno"/>
        </w:rPr>
        <w:t>12</w:t>
      </w:r>
      <w:r>
        <w:t>.</w:t>
      </w:r>
      <w:r>
        <w:tab/>
        <w:t>Terms used</w:t>
      </w:r>
      <w:bookmarkEnd w:id="3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35" w:name="_Toc97643641"/>
      <w:r>
        <w:rPr>
          <w:rStyle w:val="CharSectno"/>
        </w:rPr>
        <w:t>13</w:t>
      </w:r>
      <w:r>
        <w:t>.</w:t>
      </w:r>
      <w:r>
        <w:tab/>
        <w:t>CPD arrangements, approval of etc.</w:t>
      </w:r>
      <w:bookmarkEnd w:id="3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lastRenderedPageBreak/>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36" w:name="_Toc97643642"/>
      <w:r>
        <w:rPr>
          <w:rStyle w:val="CharSectno"/>
        </w:rPr>
        <w:t>14</w:t>
      </w:r>
      <w:r>
        <w:t>.</w:t>
      </w:r>
      <w:r>
        <w:tab/>
        <w:t>CPD arrangements, review of</w:t>
      </w:r>
      <w:bookmarkEnd w:id="3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t xml:space="preserve">) previously approved under </w:t>
      </w:r>
      <w:r>
        <w:lastRenderedPageBreak/>
        <w:t>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37" w:name="_Toc97643643"/>
      <w:r>
        <w:rPr>
          <w:rStyle w:val="CharSectno"/>
        </w:rPr>
        <w:t>15</w:t>
      </w:r>
      <w:r>
        <w:t>.</w:t>
      </w:r>
      <w:r>
        <w:tab/>
        <w:t>Approved CPD arrangements, effect of participation in</w:t>
      </w:r>
      <w:bookmarkEnd w:id="3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lastRenderedPageBreak/>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38" w:name="_Toc97643644"/>
      <w:r>
        <w:rPr>
          <w:rStyle w:val="CharSectno"/>
        </w:rPr>
        <w:t>16</w:t>
      </w:r>
      <w:r>
        <w:t>.</w:t>
      </w:r>
      <w:r>
        <w:tab/>
        <w:t>Employing authorities to notify Board of certain matters</w:t>
      </w:r>
      <w:bookmarkEnd w:id="38"/>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lastRenderedPageBreak/>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9" w:name="_Toc97643645"/>
      <w:r>
        <w:rPr>
          <w:rStyle w:val="CharSectno"/>
        </w:rPr>
        <w:t>17</w:t>
      </w:r>
      <w:r>
        <w:t>.</w:t>
      </w:r>
      <w:r>
        <w:tab/>
        <w:t>Directions about CPD participation to WA government lawyers</w:t>
      </w:r>
      <w:bookmarkEnd w:id="39"/>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40" w:name="_Toc97643646"/>
      <w:r>
        <w:rPr>
          <w:rStyle w:val="CharSectno"/>
        </w:rPr>
        <w:t>18</w:t>
      </w:r>
      <w:r>
        <w:t>.</w:t>
      </w:r>
      <w:r>
        <w:tab/>
        <w:t>Failing to comply with approved CPD arrangement, effect of</w:t>
      </w:r>
      <w:bookmarkEnd w:id="4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41" w:name="_Toc97643647"/>
      <w:r>
        <w:rPr>
          <w:rStyle w:val="CharSectno"/>
        </w:rPr>
        <w:lastRenderedPageBreak/>
        <w:t>18A</w:t>
      </w:r>
      <w:r>
        <w:t>.</w:t>
      </w:r>
      <w:r>
        <w:tab/>
        <w:t>Application of this Division to Australian lawyers referred to in r. 5A(b) and (c) (Act s. 12(8))</w:t>
      </w:r>
      <w:bookmarkEnd w:id="41"/>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42" w:name="_Toc97633627"/>
      <w:bookmarkStart w:id="43" w:name="_Toc97634034"/>
      <w:bookmarkStart w:id="44" w:name="_Toc97643648"/>
      <w:r>
        <w:rPr>
          <w:rStyle w:val="CharPartNo"/>
        </w:rPr>
        <w:lastRenderedPageBreak/>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2"/>
      <w:bookmarkEnd w:id="43"/>
      <w:bookmarkEnd w:id="44"/>
    </w:p>
    <w:p>
      <w:pPr>
        <w:pStyle w:val="Heading5"/>
      </w:pPr>
      <w:bookmarkStart w:id="45" w:name="_Toc97643649"/>
      <w:r>
        <w:rPr>
          <w:rStyle w:val="CharSectno"/>
        </w:rPr>
        <w:t>19</w:t>
      </w:r>
      <w:r>
        <w:t>.</w:t>
      </w:r>
      <w:r>
        <w:tab/>
        <w:t>Community legal centre is not incorporated legal practice for Act s. 99</w:t>
      </w:r>
      <w:bookmarkEnd w:id="45"/>
    </w:p>
    <w:p>
      <w:pPr>
        <w:pStyle w:val="Subsection"/>
      </w:pPr>
      <w:r>
        <w:tab/>
      </w:r>
      <w:r>
        <w:tab/>
        <w:t>For the purposes of section 99(2)(c) of the Act, community legal centres are not incorporated legal practices.</w:t>
      </w:r>
    </w:p>
    <w:p>
      <w:pPr>
        <w:pStyle w:val="Heading5"/>
      </w:pPr>
      <w:bookmarkStart w:id="46" w:name="_Toc97643650"/>
      <w:r>
        <w:rPr>
          <w:rStyle w:val="CharSectno"/>
        </w:rPr>
        <w:t>20</w:t>
      </w:r>
      <w:r>
        <w:t>.</w:t>
      </w:r>
      <w:r>
        <w:tab/>
        <w:t>Act s. 100(2) is Corporations legislation displacement provision</w:t>
      </w:r>
      <w:bookmarkEnd w:id="46"/>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47" w:name="_Toc97643651"/>
      <w:r>
        <w:rPr>
          <w:rStyle w:val="CharSectno"/>
        </w:rPr>
        <w:t>21</w:t>
      </w:r>
      <w:r>
        <w:t>.</w:t>
      </w:r>
      <w:r>
        <w:tab/>
        <w:t>Notice to Board, requirements as to (Act s. 102(1))</w:t>
      </w:r>
      <w:bookmarkEnd w:id="47"/>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48" w:name="_Toc97643652"/>
      <w:r>
        <w:rPr>
          <w:rStyle w:val="CharSectno"/>
        </w:rPr>
        <w:t>22</w:t>
      </w:r>
      <w:r>
        <w:t>.</w:t>
      </w:r>
      <w:r>
        <w:tab/>
        <w:t>Period prescribed (Act s. 104)</w:t>
      </w:r>
      <w:bookmarkEnd w:id="48"/>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49" w:name="_Toc97643653"/>
      <w:r>
        <w:rPr>
          <w:rStyle w:val="CharSectno"/>
        </w:rPr>
        <w:lastRenderedPageBreak/>
        <w:t>23</w:t>
      </w:r>
      <w:r>
        <w:t>.</w:t>
      </w:r>
      <w:r>
        <w:tab/>
        <w:t>Orders disqualifying etc., applications for etc. (Act s. 119, 120 and 145)</w:t>
      </w:r>
      <w:bookmarkEnd w:id="49"/>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lastRenderedPageBreak/>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50" w:name="_Toc97643654"/>
      <w:r>
        <w:rPr>
          <w:rStyle w:val="CharSectno"/>
        </w:rPr>
        <w:lastRenderedPageBreak/>
        <w:t>24</w:t>
      </w:r>
      <w:r>
        <w:t>.</w:t>
      </w:r>
      <w:r>
        <w:tab/>
        <w:t>When Australian legal practitioner prohibited from partnership (Act s. 132(3))</w:t>
      </w:r>
      <w:bookmarkEnd w:id="50"/>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51" w:name="_Toc97633634"/>
      <w:bookmarkStart w:id="52" w:name="_Toc97634041"/>
      <w:bookmarkStart w:id="53" w:name="_Toc97643655"/>
      <w:r>
        <w:rPr>
          <w:rStyle w:val="CharPartNo"/>
        </w:rPr>
        <w:lastRenderedPageBreak/>
        <w:t>Part 6</w:t>
      </w:r>
      <w:r>
        <w:rPr>
          <w:rStyle w:val="CharDivNo"/>
        </w:rPr>
        <w:t> </w:t>
      </w:r>
      <w:r>
        <w:t>—</w:t>
      </w:r>
      <w:r>
        <w:rPr>
          <w:rStyle w:val="CharDivText"/>
        </w:rPr>
        <w:t> </w:t>
      </w:r>
      <w:r>
        <w:rPr>
          <w:rStyle w:val="CharPartText"/>
        </w:rPr>
        <w:t>Legal practice by foreign lawyers</w:t>
      </w:r>
      <w:bookmarkEnd w:id="51"/>
      <w:bookmarkEnd w:id="52"/>
      <w:bookmarkEnd w:id="53"/>
    </w:p>
    <w:p>
      <w:pPr>
        <w:pStyle w:val="Heading5"/>
        <w:spacing w:before="180"/>
      </w:pPr>
      <w:bookmarkStart w:id="54" w:name="_Toc97643656"/>
      <w:r>
        <w:rPr>
          <w:rStyle w:val="CharSectno"/>
        </w:rPr>
        <w:t>25</w:t>
      </w:r>
      <w:r>
        <w:t>.</w:t>
      </w:r>
      <w:r>
        <w:tab/>
        <w:t>Legal services which may be provided (Act s. 154(1))</w:t>
      </w:r>
      <w:bookmarkEnd w:id="5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55" w:name="_Toc97643657"/>
      <w:r>
        <w:rPr>
          <w:rStyle w:val="CharSectno"/>
        </w:rPr>
        <w:t>26</w:t>
      </w:r>
      <w:r>
        <w:t>.</w:t>
      </w:r>
      <w:r>
        <w:tab/>
        <w:t>Trust money etc., which provisions in Act apply to (Act s. 161)</w:t>
      </w:r>
      <w:bookmarkEnd w:id="55"/>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lastRenderedPageBreak/>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56" w:name="_Toc97643658"/>
      <w:r>
        <w:rPr>
          <w:rStyle w:val="CharSectno"/>
        </w:rPr>
        <w:t>27</w:t>
      </w:r>
      <w:r>
        <w:t>.</w:t>
      </w:r>
      <w:r>
        <w:tab/>
        <w:t>Professional indemnity insurance, form of disclosure statement as to (Act s. 162)</w:t>
      </w:r>
      <w:bookmarkEnd w:id="56"/>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57" w:name="_Toc97643659"/>
      <w:r>
        <w:rPr>
          <w:rStyle w:val="CharSectno"/>
        </w:rPr>
        <w:lastRenderedPageBreak/>
        <w:t>28</w:t>
      </w:r>
      <w:r>
        <w:t>.</w:t>
      </w:r>
      <w:r>
        <w:tab/>
        <w:t>Guarantee Fund contributions, who must pay etc.</w:t>
      </w:r>
      <w:bookmarkEnd w:id="57"/>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58" w:name="_Toc97643660"/>
      <w:r>
        <w:rPr>
          <w:rStyle w:val="CharSectno"/>
        </w:rPr>
        <w:t>29</w:t>
      </w:r>
      <w:r>
        <w:t>.</w:t>
      </w:r>
      <w:r>
        <w:tab/>
        <w:t>Guarantee Fund levy, who must pay</w:t>
      </w:r>
      <w:bookmarkEnd w:id="58"/>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59" w:name="_Toc97643661"/>
      <w:r>
        <w:rPr>
          <w:rStyle w:val="CharSectno"/>
        </w:rPr>
        <w:lastRenderedPageBreak/>
        <w:t>30</w:t>
      </w:r>
      <w:r>
        <w:t>.</w:t>
      </w:r>
      <w:r>
        <w:tab/>
        <w:t>Failure to pay Guarantee Fund levy, Act s. 340 applies in case of</w:t>
      </w:r>
      <w:bookmarkEnd w:id="59"/>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60" w:name="_Toc97643662"/>
      <w:r>
        <w:rPr>
          <w:rStyle w:val="CharSectno"/>
        </w:rPr>
        <w:t>31</w:t>
      </w:r>
      <w:r>
        <w:t>.</w:t>
      </w:r>
      <w:r>
        <w:tab/>
        <w:t>Locally registered foreign lawyer not covered by Guarantee Fund, disclosure duty of</w:t>
      </w:r>
      <w:bookmarkEnd w:id="60"/>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61" w:name="_Toc97643663"/>
      <w:r>
        <w:rPr>
          <w:rStyle w:val="CharSectno"/>
        </w:rPr>
        <w:lastRenderedPageBreak/>
        <w:t>32</w:t>
      </w:r>
      <w:r>
        <w:t>.</w:t>
      </w:r>
      <w:r>
        <w:tab/>
        <w:t>Particulars prescribed for register (Act s. 198(2)(b))</w:t>
      </w:r>
      <w:bookmarkEnd w:id="6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lastRenderedPageBreak/>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62" w:name="_Toc97633643"/>
      <w:bookmarkStart w:id="63" w:name="_Toc97634050"/>
      <w:bookmarkStart w:id="64" w:name="_Toc97643664"/>
      <w:r>
        <w:rPr>
          <w:rStyle w:val="CharPartNo"/>
        </w:rPr>
        <w:lastRenderedPageBreak/>
        <w:t>Part 7</w:t>
      </w:r>
      <w:r>
        <w:t> — </w:t>
      </w:r>
      <w:r>
        <w:rPr>
          <w:rStyle w:val="CharPartText"/>
        </w:rPr>
        <w:t>Trust money and trust accounts</w:t>
      </w:r>
      <w:bookmarkEnd w:id="62"/>
      <w:bookmarkEnd w:id="63"/>
      <w:bookmarkEnd w:id="64"/>
    </w:p>
    <w:p>
      <w:pPr>
        <w:pStyle w:val="Heading3"/>
      </w:pPr>
      <w:bookmarkStart w:id="65" w:name="_Toc97633644"/>
      <w:bookmarkStart w:id="66" w:name="_Toc97634051"/>
      <w:bookmarkStart w:id="67" w:name="_Toc97643665"/>
      <w:r>
        <w:rPr>
          <w:rStyle w:val="CharDivNo"/>
        </w:rPr>
        <w:t>Division 1</w:t>
      </w:r>
      <w:r>
        <w:t> — </w:t>
      </w:r>
      <w:r>
        <w:rPr>
          <w:rStyle w:val="CharDivText"/>
        </w:rPr>
        <w:t>Preliminary matters</w:t>
      </w:r>
      <w:bookmarkEnd w:id="65"/>
      <w:bookmarkEnd w:id="66"/>
      <w:bookmarkEnd w:id="67"/>
    </w:p>
    <w:p>
      <w:pPr>
        <w:pStyle w:val="Heading5"/>
      </w:pPr>
      <w:bookmarkStart w:id="68" w:name="_Toc97643666"/>
      <w:r>
        <w:rPr>
          <w:rStyle w:val="CharSectno"/>
        </w:rPr>
        <w:t>33</w:t>
      </w:r>
      <w:r>
        <w:t>.</w:t>
      </w:r>
      <w:r>
        <w:tab/>
        <w:t>Application of Part</w:t>
      </w:r>
      <w:bookmarkEnd w:id="68"/>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69" w:name="_Toc97643667"/>
      <w:r>
        <w:rPr>
          <w:rStyle w:val="CharSectno"/>
        </w:rPr>
        <w:t>34</w:t>
      </w:r>
      <w:r>
        <w:t>.</w:t>
      </w:r>
      <w:r>
        <w:tab/>
        <w:t>Terms used</w:t>
      </w:r>
      <w:bookmarkEnd w:id="69"/>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70" w:name="_Toc97633647"/>
      <w:bookmarkStart w:id="71" w:name="_Toc97634054"/>
      <w:bookmarkStart w:id="72" w:name="_Toc97643668"/>
      <w:r>
        <w:rPr>
          <w:rStyle w:val="CharDivNo"/>
        </w:rPr>
        <w:lastRenderedPageBreak/>
        <w:t>Division 2</w:t>
      </w:r>
      <w:r>
        <w:t> — </w:t>
      </w:r>
      <w:r>
        <w:rPr>
          <w:rStyle w:val="CharDivText"/>
        </w:rPr>
        <w:t>Computerised accounting systems</w:t>
      </w:r>
      <w:bookmarkEnd w:id="70"/>
      <w:bookmarkEnd w:id="71"/>
      <w:bookmarkEnd w:id="72"/>
    </w:p>
    <w:p>
      <w:pPr>
        <w:pStyle w:val="Heading5"/>
      </w:pPr>
      <w:bookmarkStart w:id="73" w:name="_Toc97643669"/>
      <w:r>
        <w:rPr>
          <w:rStyle w:val="CharSectno"/>
        </w:rPr>
        <w:t>35</w:t>
      </w:r>
      <w:r>
        <w:t>.</w:t>
      </w:r>
      <w:r>
        <w:tab/>
        <w:t>Application of Division</w:t>
      </w:r>
      <w:bookmarkEnd w:id="73"/>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74" w:name="_Toc97643670"/>
      <w:r>
        <w:rPr>
          <w:rStyle w:val="CharSectno"/>
        </w:rPr>
        <w:t>36</w:t>
      </w:r>
      <w:r>
        <w:t>.</w:t>
      </w:r>
      <w:r>
        <w:tab/>
        <w:t>Trust records, paper copies of required</w:t>
      </w:r>
      <w:bookmarkEnd w:id="74"/>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75" w:name="_Toc97643671"/>
      <w:r>
        <w:rPr>
          <w:rStyle w:val="CharSectno"/>
        </w:rPr>
        <w:lastRenderedPageBreak/>
        <w:t>37</w:t>
      </w:r>
      <w:r>
        <w:t>.</w:t>
      </w:r>
      <w:r>
        <w:tab/>
        <w:t>Chronological record of certain information required</w:t>
      </w:r>
      <w:bookmarkEnd w:id="7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76" w:name="_Toc97643672"/>
      <w:r>
        <w:rPr>
          <w:rStyle w:val="CharSectno"/>
        </w:rPr>
        <w:t>38</w:t>
      </w:r>
      <w:r>
        <w:t>.</w:t>
      </w:r>
      <w:r>
        <w:tab/>
        <w:t>Requirements as to systems etc.</w:t>
      </w:r>
      <w:bookmarkEnd w:id="76"/>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lastRenderedPageBreak/>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77" w:name="_Toc97643673"/>
      <w:r>
        <w:rPr>
          <w:rStyle w:val="CharSectno"/>
        </w:rPr>
        <w:t>39</w:t>
      </w:r>
      <w:r>
        <w:t>.</w:t>
      </w:r>
      <w:r>
        <w:tab/>
        <w:t>Back</w:t>
      </w:r>
      <w:r>
        <w:noBreakHyphen/>
        <w:t>ups, requirements as to</w:t>
      </w:r>
      <w:bookmarkEnd w:id="77"/>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78" w:name="_Toc97633653"/>
      <w:bookmarkStart w:id="79" w:name="_Toc97634060"/>
      <w:bookmarkStart w:id="80" w:name="_Toc97643674"/>
      <w:r>
        <w:rPr>
          <w:rStyle w:val="CharDivNo"/>
        </w:rPr>
        <w:t>Division 3</w:t>
      </w:r>
      <w:r>
        <w:t> — </w:t>
      </w:r>
      <w:r>
        <w:rPr>
          <w:rStyle w:val="CharDivText"/>
        </w:rPr>
        <w:t>General trust accounts</w:t>
      </w:r>
      <w:bookmarkEnd w:id="78"/>
      <w:bookmarkEnd w:id="79"/>
      <w:bookmarkEnd w:id="80"/>
    </w:p>
    <w:p>
      <w:pPr>
        <w:pStyle w:val="Heading5"/>
        <w:spacing w:before="200"/>
      </w:pPr>
      <w:bookmarkStart w:id="81" w:name="_Toc97643675"/>
      <w:r>
        <w:rPr>
          <w:rStyle w:val="CharSectno"/>
        </w:rPr>
        <w:t>40</w:t>
      </w:r>
      <w:r>
        <w:t>.</w:t>
      </w:r>
      <w:r>
        <w:tab/>
        <w:t>How account to be established and maintained (Act s. 214(2))</w:t>
      </w:r>
      <w:bookmarkEnd w:id="81"/>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lastRenderedPageBreak/>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82" w:name="_Toc97643676"/>
      <w:r>
        <w:rPr>
          <w:rStyle w:val="CharSectno"/>
        </w:rPr>
        <w:t>41</w:t>
      </w:r>
      <w:r>
        <w:t>.</w:t>
      </w:r>
      <w:r>
        <w:tab/>
        <w:t>Trust money received, how to be receipted</w:t>
      </w:r>
      <w:bookmarkEnd w:id="82"/>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lastRenderedPageBreak/>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83" w:name="_Toc97643677"/>
      <w:r>
        <w:rPr>
          <w:rStyle w:val="CharSectno"/>
        </w:rPr>
        <w:t>42</w:t>
      </w:r>
      <w:r>
        <w:t>.</w:t>
      </w:r>
      <w:r>
        <w:tab/>
        <w:t>Trust money not paid to general trust account by direct deposit, how to be dealt with</w:t>
      </w:r>
      <w:bookmarkEnd w:id="83"/>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lastRenderedPageBreak/>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84" w:name="_Toc97643678"/>
      <w:r>
        <w:rPr>
          <w:rStyle w:val="CharSectno"/>
        </w:rPr>
        <w:t>43</w:t>
      </w:r>
      <w:r>
        <w:t>.</w:t>
      </w:r>
      <w:r>
        <w:tab/>
        <w:t>Period prescribed (Act s. 215(4))</w:t>
      </w:r>
      <w:bookmarkEnd w:id="84"/>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85" w:name="_Toc97643679"/>
      <w:r>
        <w:rPr>
          <w:rStyle w:val="CharSectno"/>
        </w:rPr>
        <w:t>44</w:t>
      </w:r>
      <w:r>
        <w:t>.</w:t>
      </w:r>
      <w:r>
        <w:tab/>
        <w:t>Withdrawal of trust money by cheque, how to be dealt with</w:t>
      </w:r>
      <w:bookmarkEnd w:id="8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lastRenderedPageBreak/>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lastRenderedPageBreak/>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86" w:name="_Toc97643680"/>
      <w:r>
        <w:rPr>
          <w:rStyle w:val="CharSectno"/>
        </w:rPr>
        <w:t>45</w:t>
      </w:r>
      <w:r>
        <w:t>.</w:t>
      </w:r>
      <w:r>
        <w:tab/>
        <w:t>Withdrawal of trust money by electronic funds transfer, how to be dealt with</w:t>
      </w:r>
      <w:bookmarkEnd w:id="8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lastRenderedPageBreak/>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lastRenderedPageBreak/>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87" w:name="_Toc97643681"/>
      <w:r>
        <w:rPr>
          <w:rStyle w:val="CharSectno"/>
        </w:rPr>
        <w:t>46</w:t>
      </w:r>
      <w:r>
        <w:t>.</w:t>
      </w:r>
      <w:r>
        <w:tab/>
        <w:t>Trust account cash books required</w:t>
      </w:r>
      <w:bookmarkEnd w:id="87"/>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88" w:name="_Toc97643682"/>
      <w:r>
        <w:rPr>
          <w:rStyle w:val="CharSectno"/>
        </w:rPr>
        <w:t>47</w:t>
      </w:r>
      <w:r>
        <w:t>.</w:t>
      </w:r>
      <w:r>
        <w:tab/>
        <w:t>Trust account receipts cash book, content of etc.</w:t>
      </w:r>
      <w:bookmarkEnd w:id="88"/>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lastRenderedPageBreak/>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89" w:name="_Toc97643683"/>
      <w:r>
        <w:rPr>
          <w:rStyle w:val="CharSectno"/>
        </w:rPr>
        <w:t>48</w:t>
      </w:r>
      <w:r>
        <w:t>.</w:t>
      </w:r>
      <w:r>
        <w:tab/>
        <w:t>Trust account payments cash book, content of etc.</w:t>
      </w:r>
      <w:bookmarkEnd w:id="89"/>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lastRenderedPageBreak/>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90" w:name="_Toc97643684"/>
      <w:r>
        <w:rPr>
          <w:rStyle w:val="CharSectno"/>
        </w:rPr>
        <w:t>49</w:t>
      </w:r>
      <w:r>
        <w:t>.</w:t>
      </w:r>
      <w:r>
        <w:tab/>
        <w:t>Trust ledger accounts, content of etc.</w:t>
      </w:r>
      <w:bookmarkEnd w:id="90"/>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lastRenderedPageBreak/>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 xml:space="preserve">the name of the person to whom the payment was made or, in the case of a payment to an ADI, the name or </w:t>
      </w:r>
      <w:r>
        <w:lastRenderedPageBreak/>
        <w:t>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91" w:name="_Toc97643685"/>
      <w:r>
        <w:rPr>
          <w:rStyle w:val="CharSectno"/>
        </w:rPr>
        <w:t>50</w:t>
      </w:r>
      <w:r>
        <w:t>.</w:t>
      </w:r>
      <w:r>
        <w:tab/>
        <w:t>Transfers of trust money by journal entry, requirements for</w:t>
      </w:r>
      <w:bookmarkEnd w:id="91"/>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lastRenderedPageBreak/>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lastRenderedPageBreak/>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92" w:name="_Toc97643686"/>
      <w:r>
        <w:rPr>
          <w:rStyle w:val="CharSectno"/>
        </w:rPr>
        <w:t>51</w:t>
      </w:r>
      <w:r>
        <w:t>.</w:t>
      </w:r>
      <w:r>
        <w:tab/>
        <w:t>Reconciliation of trust records, when required</w:t>
      </w:r>
      <w:bookmarkEnd w:id="92"/>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93" w:name="_Toc97643687"/>
      <w:r>
        <w:rPr>
          <w:rStyle w:val="CharSectno"/>
        </w:rPr>
        <w:lastRenderedPageBreak/>
        <w:t>52</w:t>
      </w:r>
      <w:r>
        <w:t>.</w:t>
      </w:r>
      <w:r>
        <w:tab/>
        <w:t>Trust ledger account in name of law practice or legal practitioner associate, when permitted</w:t>
      </w:r>
      <w:bookmarkEnd w:id="93"/>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94" w:name="_Toc97643688"/>
      <w:r>
        <w:rPr>
          <w:rStyle w:val="CharSectno"/>
        </w:rPr>
        <w:t>53</w:t>
      </w:r>
      <w:r>
        <w:t>.</w:t>
      </w:r>
      <w:r>
        <w:tab/>
        <w:t>Board to be notified of opening etc. of general trust account</w:t>
      </w:r>
      <w:bookmarkEnd w:id="9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lastRenderedPageBreak/>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95" w:name="_Toc97633668"/>
      <w:bookmarkStart w:id="96" w:name="_Toc97634075"/>
      <w:bookmarkStart w:id="97" w:name="_Toc97643689"/>
      <w:r>
        <w:rPr>
          <w:rStyle w:val="CharDivNo"/>
        </w:rPr>
        <w:t>Division 4</w:t>
      </w:r>
      <w:r>
        <w:t> — </w:t>
      </w:r>
      <w:r>
        <w:rPr>
          <w:rStyle w:val="CharDivText"/>
        </w:rPr>
        <w:t>Controlled money</w:t>
      </w:r>
      <w:bookmarkEnd w:id="95"/>
      <w:bookmarkEnd w:id="96"/>
      <w:bookmarkEnd w:id="97"/>
    </w:p>
    <w:p>
      <w:pPr>
        <w:pStyle w:val="Heading5"/>
      </w:pPr>
      <w:bookmarkStart w:id="98" w:name="_Toc97643690"/>
      <w:r>
        <w:rPr>
          <w:rStyle w:val="CharSectno"/>
        </w:rPr>
        <w:t>54</w:t>
      </w:r>
      <w:r>
        <w:t>.</w:t>
      </w:r>
      <w:r>
        <w:tab/>
        <w:t>How controlled money accounts to be maintained (Act s. 218(4))</w:t>
      </w:r>
      <w:bookmarkEnd w:id="98"/>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99" w:name="_Toc97643691"/>
      <w:r>
        <w:rPr>
          <w:rStyle w:val="CharSectno"/>
        </w:rPr>
        <w:t>55</w:t>
      </w:r>
      <w:r>
        <w:t>.</w:t>
      </w:r>
      <w:r>
        <w:tab/>
        <w:t>Controlled money received, how to be receipted</w:t>
      </w:r>
      <w:bookmarkEnd w:id="99"/>
    </w:p>
    <w:p>
      <w:pPr>
        <w:pStyle w:val="Subsection"/>
      </w:pPr>
      <w:r>
        <w:tab/>
        <w:t>(1)</w:t>
      </w:r>
      <w:r>
        <w:tab/>
        <w:t>This regulation applies if a law practice receives controlled money.</w:t>
      </w:r>
    </w:p>
    <w:p>
      <w:pPr>
        <w:pStyle w:val="Subsection"/>
      </w:pPr>
      <w:r>
        <w:lastRenderedPageBreak/>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 xml:space="preserve">the name of and other details clearly identifying the controlled money account to be credited, unless the </w:t>
      </w:r>
      <w:r>
        <w:lastRenderedPageBreak/>
        <w:t>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00" w:name="_Toc97643692"/>
      <w:r>
        <w:rPr>
          <w:rStyle w:val="CharSectno"/>
        </w:rPr>
        <w:t>56</w:t>
      </w:r>
      <w:r>
        <w:t>.</w:t>
      </w:r>
      <w:r>
        <w:tab/>
        <w:t>Period prescribed (Act s. 218(5))</w:t>
      </w:r>
      <w:bookmarkEnd w:id="100"/>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01" w:name="_Toc97643693"/>
      <w:r>
        <w:rPr>
          <w:rStyle w:val="CharSectno"/>
        </w:rPr>
        <w:t>57</w:t>
      </w:r>
      <w:r>
        <w:t>.</w:t>
      </w:r>
      <w:r>
        <w:tab/>
        <w:t>Withdrawal of controlled money, requirements for</w:t>
      </w:r>
      <w:bookmarkEnd w:id="101"/>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lastRenderedPageBreak/>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 xml:space="preserve">the name of the person to whom payment is to be made or, in the case of a payment to an ADI, the name or </w:t>
      </w:r>
      <w:r>
        <w:lastRenderedPageBreak/>
        <w:t>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02" w:name="_Toc97643694"/>
      <w:r>
        <w:rPr>
          <w:rStyle w:val="CharSectno"/>
        </w:rPr>
        <w:t>58</w:t>
      </w:r>
      <w:r>
        <w:t>.</w:t>
      </w:r>
      <w:r>
        <w:tab/>
        <w:t>Register of controlled money, content of etc.</w:t>
      </w:r>
      <w:bookmarkEnd w:id="102"/>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lastRenderedPageBreak/>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lastRenderedPageBreak/>
        <w:tab/>
      </w:r>
      <w:r>
        <w:tab/>
        <w:t>and</w:t>
      </w:r>
    </w:p>
    <w:p>
      <w:pPr>
        <w:pStyle w:val="Indenta"/>
      </w:pPr>
      <w:r>
        <w:tab/>
        <w:t>(b)</w:t>
      </w:r>
      <w:r>
        <w:tab/>
        <w:t>showing the date the statement was prepared.</w:t>
      </w:r>
    </w:p>
    <w:p>
      <w:pPr>
        <w:pStyle w:val="Heading3"/>
      </w:pPr>
      <w:bookmarkStart w:id="103" w:name="_Toc97633674"/>
      <w:bookmarkStart w:id="104" w:name="_Toc97634081"/>
      <w:bookmarkStart w:id="105" w:name="_Toc97643695"/>
      <w:r>
        <w:rPr>
          <w:rStyle w:val="CharDivNo"/>
        </w:rPr>
        <w:t>Division 5</w:t>
      </w:r>
      <w:r>
        <w:t> — </w:t>
      </w:r>
      <w:r>
        <w:rPr>
          <w:rStyle w:val="CharDivText"/>
        </w:rPr>
        <w:t>Transit money</w:t>
      </w:r>
      <w:bookmarkEnd w:id="103"/>
      <w:bookmarkEnd w:id="104"/>
      <w:bookmarkEnd w:id="105"/>
    </w:p>
    <w:p>
      <w:pPr>
        <w:pStyle w:val="Heading5"/>
      </w:pPr>
      <w:bookmarkStart w:id="106" w:name="_Toc97643696"/>
      <w:r>
        <w:rPr>
          <w:rStyle w:val="CharSectno"/>
        </w:rPr>
        <w:t>59</w:t>
      </w:r>
      <w:r>
        <w:t>.</w:t>
      </w:r>
      <w:r>
        <w:tab/>
        <w:t>Transit money, records about required (Act s. 220)</w:t>
      </w:r>
      <w:bookmarkEnd w:id="106"/>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07" w:name="_Toc97633676"/>
      <w:bookmarkStart w:id="108" w:name="_Toc97634083"/>
      <w:bookmarkStart w:id="109" w:name="_Toc97643697"/>
      <w:r>
        <w:rPr>
          <w:rStyle w:val="CharDivNo"/>
        </w:rPr>
        <w:t>Division 6</w:t>
      </w:r>
      <w:r>
        <w:t> — </w:t>
      </w:r>
      <w:r>
        <w:rPr>
          <w:rStyle w:val="CharDivText"/>
        </w:rPr>
        <w:t>Trust money generally</w:t>
      </w:r>
      <w:bookmarkEnd w:id="107"/>
      <w:bookmarkEnd w:id="108"/>
      <w:bookmarkEnd w:id="109"/>
    </w:p>
    <w:p>
      <w:pPr>
        <w:pStyle w:val="Heading5"/>
      </w:pPr>
      <w:bookmarkStart w:id="110" w:name="_Toc97643698"/>
      <w:r>
        <w:rPr>
          <w:rStyle w:val="CharSectno"/>
        </w:rPr>
        <w:t>60</w:t>
      </w:r>
      <w:r>
        <w:t>.</w:t>
      </w:r>
      <w:r>
        <w:tab/>
        <w:t>Trust account statements, requirements to give etc.</w:t>
      </w:r>
      <w:bookmarkEnd w:id="110"/>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lastRenderedPageBreak/>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11" w:name="_Toc97643699"/>
      <w:r>
        <w:rPr>
          <w:rStyle w:val="CharSectno"/>
        </w:rPr>
        <w:t>61</w:t>
      </w:r>
      <w:r>
        <w:t>.</w:t>
      </w:r>
      <w:r>
        <w:tab/>
        <w:t>Sophisticated clients, application of r. 60 to</w:t>
      </w:r>
      <w:bookmarkEnd w:id="111"/>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lastRenderedPageBreak/>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12" w:name="_Toc97643700"/>
      <w:r>
        <w:rPr>
          <w:rStyle w:val="CharSectno"/>
        </w:rPr>
        <w:t>62</w:t>
      </w:r>
      <w:r>
        <w:t>.</w:t>
      </w:r>
      <w:r>
        <w:tab/>
        <w:t>Invested trust money, register of required etc.</w:t>
      </w:r>
      <w:bookmarkEnd w:id="112"/>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lastRenderedPageBreak/>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13" w:name="_Toc97643701"/>
      <w:r>
        <w:rPr>
          <w:rStyle w:val="CharSectno"/>
        </w:rPr>
        <w:t>63</w:t>
      </w:r>
      <w:r>
        <w:t>.</w:t>
      </w:r>
      <w:r>
        <w:tab/>
        <w:t>Trust money subject to specific power, dealings with (Act s. 221)</w:t>
      </w:r>
      <w:bookmarkEnd w:id="113"/>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14" w:name="_Toc97643702"/>
      <w:r>
        <w:rPr>
          <w:rStyle w:val="CharSectno"/>
        </w:rPr>
        <w:t>64</w:t>
      </w:r>
      <w:r>
        <w:t>.</w:t>
      </w:r>
      <w:r>
        <w:tab/>
        <w:t>Powers and estates relating to trust money, register of</w:t>
      </w:r>
      <w:bookmarkEnd w:id="114"/>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lastRenderedPageBreak/>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15" w:name="_Toc97643703"/>
      <w:r>
        <w:rPr>
          <w:rStyle w:val="CharSectno"/>
        </w:rPr>
        <w:t>65</w:t>
      </w:r>
      <w:r>
        <w:t>.</w:t>
      </w:r>
      <w:r>
        <w:tab/>
        <w:t>Withdrawing trust money for legal costs, procedures etc. for (Act s. 225(1)(b))</w:t>
      </w:r>
      <w:bookmarkEnd w:id="11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lastRenderedPageBreak/>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16" w:name="_Toc97643704"/>
      <w:r>
        <w:rPr>
          <w:rStyle w:val="CharSectno"/>
        </w:rPr>
        <w:t>66</w:t>
      </w:r>
      <w:r>
        <w:t>.</w:t>
      </w:r>
      <w:r>
        <w:tab/>
        <w:t>Trust records, how to be kept (Act s. 228)</w:t>
      </w:r>
      <w:bookmarkEnd w:id="116"/>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lastRenderedPageBreak/>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17" w:name="_Toc97643705"/>
      <w:r>
        <w:rPr>
          <w:rStyle w:val="CharSectno"/>
        </w:rPr>
        <w:t>67</w:t>
      </w:r>
      <w:r>
        <w:t>.</w:t>
      </w:r>
      <w:r>
        <w:tab/>
        <w:t>Other records etc. required by these regulations, how long to be kept for</w:t>
      </w:r>
      <w:bookmarkEnd w:id="11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18" w:name="_Toc97643706"/>
      <w:r>
        <w:rPr>
          <w:rStyle w:val="CharSectno"/>
        </w:rPr>
        <w:t>68</w:t>
      </w:r>
      <w:r>
        <w:t>.</w:t>
      </w:r>
      <w:r>
        <w:tab/>
        <w:t>Board may require statement as to trust money</w:t>
      </w:r>
      <w:bookmarkEnd w:id="118"/>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lastRenderedPageBreak/>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19" w:name="_Toc97633686"/>
      <w:bookmarkStart w:id="120" w:name="_Toc97634093"/>
      <w:bookmarkStart w:id="121" w:name="_Toc97643707"/>
      <w:r>
        <w:rPr>
          <w:rStyle w:val="CharDivNo"/>
        </w:rPr>
        <w:t>Division 7</w:t>
      </w:r>
      <w:r>
        <w:t> — </w:t>
      </w:r>
      <w:r>
        <w:rPr>
          <w:rStyle w:val="CharDivText"/>
        </w:rPr>
        <w:t>External examinations</w:t>
      </w:r>
      <w:bookmarkEnd w:id="119"/>
      <w:bookmarkEnd w:id="120"/>
      <w:bookmarkEnd w:id="121"/>
    </w:p>
    <w:p>
      <w:pPr>
        <w:pStyle w:val="Heading5"/>
      </w:pPr>
      <w:bookmarkStart w:id="122" w:name="_Toc97643708"/>
      <w:r>
        <w:rPr>
          <w:rStyle w:val="CharSectno"/>
        </w:rPr>
        <w:t>69</w:t>
      </w:r>
      <w:r>
        <w:t>.</w:t>
      </w:r>
      <w:r>
        <w:tab/>
        <w:t>External examiner, appointment of etc. (Act s. 237)</w:t>
      </w:r>
      <w:bookmarkEnd w:id="122"/>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23" w:name="_Toc97643709"/>
      <w:r>
        <w:rPr>
          <w:rStyle w:val="CharSectno"/>
        </w:rPr>
        <w:lastRenderedPageBreak/>
        <w:t>70</w:t>
      </w:r>
      <w:r>
        <w:t>.</w:t>
      </w:r>
      <w:r>
        <w:tab/>
        <w:t>Board to be notified of each appointment of external examiner</w:t>
      </w:r>
      <w:bookmarkEnd w:id="123"/>
    </w:p>
    <w:p>
      <w:pPr>
        <w:pStyle w:val="Subsection"/>
      </w:pPr>
      <w:r>
        <w:tab/>
      </w:r>
      <w:r>
        <w:tab/>
        <w:t>A law practice must cause written notice to be given to the Board on each occasion that it appoints a designated person as an external examiner.</w:t>
      </w:r>
    </w:p>
    <w:p>
      <w:pPr>
        <w:pStyle w:val="Heading5"/>
      </w:pPr>
      <w:bookmarkStart w:id="124" w:name="_Toc97643710"/>
      <w:r>
        <w:rPr>
          <w:rStyle w:val="CharSectno"/>
        </w:rPr>
        <w:t>71</w:t>
      </w:r>
      <w:r>
        <w:t>.</w:t>
      </w:r>
      <w:r>
        <w:tab/>
        <w:t>Statutory declaration form prescribed (Act s. 239(3)(b))</w:t>
      </w:r>
      <w:bookmarkEnd w:id="124"/>
    </w:p>
    <w:p>
      <w:pPr>
        <w:pStyle w:val="Subsection"/>
      </w:pPr>
      <w:r>
        <w:tab/>
      </w:r>
      <w:r>
        <w:tab/>
        <w:t>For the purposes of section 239(3)(b) of the Act, the prescribed form of a statutory declaration to be lodged by a law practice is in Schedule 1 Form 1.</w:t>
      </w:r>
    </w:p>
    <w:p>
      <w:pPr>
        <w:pStyle w:val="Heading5"/>
      </w:pPr>
      <w:bookmarkStart w:id="125" w:name="_Toc97643711"/>
      <w:r>
        <w:rPr>
          <w:rStyle w:val="CharSectno"/>
        </w:rPr>
        <w:t>72</w:t>
      </w:r>
      <w:r>
        <w:t>.</w:t>
      </w:r>
      <w:r>
        <w:tab/>
        <w:t>External examiner’s report, content of prescribed (Act s. 240(3)(b))</w:t>
      </w:r>
      <w:bookmarkEnd w:id="125"/>
    </w:p>
    <w:p>
      <w:pPr>
        <w:pStyle w:val="Subsection"/>
      </w:pPr>
      <w:r>
        <w:tab/>
      </w:r>
      <w:r>
        <w:tab/>
        <w:t>For the purposes of section 240(3)(b) of the Act, an external examiner’s report must include the information, and be given in the way, approved by the Board.</w:t>
      </w:r>
    </w:p>
    <w:p>
      <w:pPr>
        <w:pStyle w:val="Heading5"/>
      </w:pPr>
      <w:bookmarkStart w:id="126" w:name="_Toc97643712"/>
      <w:r>
        <w:rPr>
          <w:rStyle w:val="CharSectno"/>
        </w:rPr>
        <w:t>73A</w:t>
      </w:r>
      <w:r>
        <w:t>.</w:t>
      </w:r>
      <w:r>
        <w:tab/>
        <w:t>Board may grant exemptions from s. 237(1)</w:t>
      </w:r>
      <w:bookmarkEnd w:id="126"/>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127" w:name="_Toc97633692"/>
      <w:bookmarkStart w:id="128" w:name="_Toc97634099"/>
      <w:bookmarkStart w:id="129" w:name="_Toc97643713"/>
      <w:r>
        <w:rPr>
          <w:rStyle w:val="CharDivNo"/>
        </w:rPr>
        <w:t>Division 8</w:t>
      </w:r>
      <w:r>
        <w:t> — </w:t>
      </w:r>
      <w:r>
        <w:rPr>
          <w:rStyle w:val="CharDivText"/>
        </w:rPr>
        <w:t>Miscellaneous</w:t>
      </w:r>
      <w:bookmarkEnd w:id="127"/>
      <w:bookmarkEnd w:id="128"/>
      <w:bookmarkEnd w:id="129"/>
    </w:p>
    <w:p>
      <w:pPr>
        <w:pStyle w:val="Heading5"/>
      </w:pPr>
      <w:bookmarkStart w:id="130" w:name="_Toc97643714"/>
      <w:r>
        <w:rPr>
          <w:rStyle w:val="CharSectno"/>
        </w:rPr>
        <w:t>73</w:t>
      </w:r>
      <w:r>
        <w:t>.</w:t>
      </w:r>
      <w:r>
        <w:tab/>
        <w:t>Trust money protocols identified (Act s. 209(4))</w:t>
      </w:r>
      <w:bookmarkEnd w:id="130"/>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31" w:name="_Toc97643715"/>
      <w:r>
        <w:rPr>
          <w:rStyle w:val="CharSectno"/>
        </w:rPr>
        <w:lastRenderedPageBreak/>
        <w:t>74</w:t>
      </w:r>
      <w:r>
        <w:t>.</w:t>
      </w:r>
      <w:r>
        <w:tab/>
        <w:t>Law practice ceasing or ceasing to receive or hold trust money to notify Board</w:t>
      </w:r>
      <w:bookmarkEnd w:id="13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32" w:name="_Toc97643716"/>
      <w:r>
        <w:rPr>
          <w:rStyle w:val="CharSectno"/>
        </w:rPr>
        <w:t>75</w:t>
      </w:r>
      <w:r>
        <w:t>.</w:t>
      </w:r>
      <w:r>
        <w:tab/>
        <w:t>Notice required by Act s. 248, content of</w:t>
      </w:r>
      <w:bookmarkEnd w:id="132"/>
    </w:p>
    <w:p>
      <w:pPr>
        <w:pStyle w:val="Subsection"/>
      </w:pPr>
      <w:r>
        <w:tab/>
      </w:r>
      <w:r>
        <w:tab/>
        <w:t>For the purposes of section 248(4) of the Act, a notification must include the information, and be given in the way, approved by the Board.</w:t>
      </w:r>
    </w:p>
    <w:p>
      <w:pPr>
        <w:pStyle w:val="Heading5"/>
      </w:pPr>
      <w:bookmarkStart w:id="133" w:name="_Toc97643717"/>
      <w:r>
        <w:rPr>
          <w:rStyle w:val="CharSectno"/>
        </w:rPr>
        <w:lastRenderedPageBreak/>
        <w:t>76</w:t>
      </w:r>
      <w:r>
        <w:t>.</w:t>
      </w:r>
      <w:r>
        <w:tab/>
        <w:t>Notice required by Act s. 249(1), content of</w:t>
      </w:r>
      <w:bookmarkEnd w:id="13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34" w:name="_Toc97643718"/>
      <w:r>
        <w:rPr>
          <w:rStyle w:val="CharSectno"/>
        </w:rPr>
        <w:t>77</w:t>
      </w:r>
      <w:r>
        <w:t>.</w:t>
      </w:r>
      <w:r>
        <w:tab/>
        <w:t>Exemptions from this Part, Board may grant etc.</w:t>
      </w:r>
      <w:bookmarkEnd w:id="13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35" w:name="_Toc97633698"/>
      <w:bookmarkStart w:id="136" w:name="_Toc97634105"/>
      <w:bookmarkStart w:id="137" w:name="_Toc97643719"/>
      <w:r>
        <w:rPr>
          <w:rStyle w:val="CharPartNo"/>
        </w:rPr>
        <w:lastRenderedPageBreak/>
        <w:t>Part 8</w:t>
      </w:r>
      <w:r>
        <w:rPr>
          <w:rStyle w:val="CharDivNo"/>
        </w:rPr>
        <w:t> </w:t>
      </w:r>
      <w:r>
        <w:t>—</w:t>
      </w:r>
      <w:r>
        <w:rPr>
          <w:rStyle w:val="CharDivText"/>
        </w:rPr>
        <w:t> </w:t>
      </w:r>
      <w:r>
        <w:rPr>
          <w:rStyle w:val="CharPartText"/>
        </w:rPr>
        <w:t>Costs disclosure and assessment</w:t>
      </w:r>
      <w:bookmarkEnd w:id="135"/>
      <w:bookmarkEnd w:id="136"/>
      <w:bookmarkEnd w:id="137"/>
    </w:p>
    <w:p>
      <w:pPr>
        <w:pStyle w:val="Heading5"/>
      </w:pPr>
      <w:bookmarkStart w:id="138" w:name="_Toc97643720"/>
      <w:r>
        <w:rPr>
          <w:rStyle w:val="CharSectno"/>
        </w:rPr>
        <w:t>78</w:t>
      </w:r>
      <w:r>
        <w:t>.</w:t>
      </w:r>
      <w:r>
        <w:tab/>
        <w:t>Substantial connection with this jurisdiction, when matter has (Act s. 258)</w:t>
      </w:r>
      <w:bookmarkEnd w:id="138"/>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39" w:name="_Toc97643721"/>
      <w:r>
        <w:rPr>
          <w:rStyle w:val="CharSectno"/>
        </w:rPr>
        <w:t>79</w:t>
      </w:r>
      <w:r>
        <w:t>.</w:t>
      </w:r>
      <w:r>
        <w:tab/>
        <w:t>Maximum interest rate prescribed (Act s. 273(4))</w:t>
      </w:r>
      <w:bookmarkEnd w:id="139"/>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lastRenderedPageBreak/>
        <w:tab/>
        <w:t>(3)</w:t>
      </w:r>
      <w:r>
        <w:tab/>
        <w:t xml:space="preserve">In subregulation (2)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40" w:name="_Toc97643722"/>
      <w:r>
        <w:rPr>
          <w:rStyle w:val="CharSectno"/>
        </w:rPr>
        <w:t>80</w:t>
      </w:r>
      <w:r>
        <w:t>.</w:t>
      </w:r>
      <w:r>
        <w:tab/>
        <w:t>Written statement, forms of prescribed etc. (Act s. 260(5) and (7))</w:t>
      </w:r>
      <w:bookmarkEnd w:id="140"/>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41" w:name="_Toc97643723"/>
      <w:r>
        <w:rPr>
          <w:rStyle w:val="CharSectno"/>
        </w:rPr>
        <w:t>81</w:t>
      </w:r>
      <w:r>
        <w:t>.</w:t>
      </w:r>
      <w:r>
        <w:tab/>
        <w:t>Exceptions to disclosure requirement in Act s. 260 and 261(1) (Act s. 263(2)(f))</w:t>
      </w:r>
      <w:bookmarkEnd w:id="141"/>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42" w:name="_Toc97643724"/>
      <w:r>
        <w:rPr>
          <w:rStyle w:val="CharSectno"/>
        </w:rPr>
        <w:lastRenderedPageBreak/>
        <w:t>82</w:t>
      </w:r>
      <w:r>
        <w:t>.</w:t>
      </w:r>
      <w:r>
        <w:tab/>
        <w:t>Written statement, form of prescribed (Act s. 291(3))</w:t>
      </w:r>
      <w:bookmarkEnd w:id="14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43" w:name="_Toc97633704"/>
      <w:bookmarkStart w:id="144" w:name="_Toc97634111"/>
      <w:bookmarkStart w:id="145" w:name="_Toc97643725"/>
      <w:r>
        <w:rPr>
          <w:rStyle w:val="CharPartNo"/>
        </w:rPr>
        <w:lastRenderedPageBreak/>
        <w:t>Part 9</w:t>
      </w:r>
      <w:r>
        <w:t> — </w:t>
      </w:r>
      <w:r>
        <w:rPr>
          <w:rStyle w:val="CharPartText"/>
        </w:rPr>
        <w:t>Professional indemnity insurance</w:t>
      </w:r>
      <w:bookmarkEnd w:id="143"/>
      <w:bookmarkEnd w:id="144"/>
      <w:bookmarkEnd w:id="145"/>
    </w:p>
    <w:p>
      <w:pPr>
        <w:pStyle w:val="Heading3"/>
      </w:pPr>
      <w:bookmarkStart w:id="146" w:name="_Toc97633705"/>
      <w:bookmarkStart w:id="147" w:name="_Toc97634112"/>
      <w:bookmarkStart w:id="148" w:name="_Toc97643726"/>
      <w:r>
        <w:rPr>
          <w:rStyle w:val="CharDivNo"/>
        </w:rPr>
        <w:t>Division 1</w:t>
      </w:r>
      <w:r>
        <w:t> — </w:t>
      </w:r>
      <w:r>
        <w:rPr>
          <w:rStyle w:val="CharDivText"/>
        </w:rPr>
        <w:t>Preliminary</w:t>
      </w:r>
      <w:bookmarkEnd w:id="146"/>
      <w:bookmarkEnd w:id="147"/>
      <w:bookmarkEnd w:id="148"/>
    </w:p>
    <w:p>
      <w:pPr>
        <w:pStyle w:val="Heading5"/>
      </w:pPr>
      <w:bookmarkStart w:id="149" w:name="_Toc97643727"/>
      <w:r>
        <w:rPr>
          <w:rStyle w:val="CharSectno"/>
        </w:rPr>
        <w:t>83</w:t>
      </w:r>
      <w:r>
        <w:t>.</w:t>
      </w:r>
      <w:r>
        <w:tab/>
        <w:t>Terms used</w:t>
      </w:r>
      <w:bookmarkEnd w:id="149"/>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150" w:name="_Toc97633707"/>
      <w:bookmarkStart w:id="151" w:name="_Toc97634114"/>
      <w:bookmarkStart w:id="152" w:name="_Toc97643728"/>
      <w:r>
        <w:rPr>
          <w:rStyle w:val="CharDivNo"/>
        </w:rPr>
        <w:lastRenderedPageBreak/>
        <w:t>Division 2</w:t>
      </w:r>
      <w:r>
        <w:t> — </w:t>
      </w:r>
      <w:r>
        <w:rPr>
          <w:rStyle w:val="CharDivText"/>
        </w:rPr>
        <w:t>PII arrangement and Law Mutual Fund</w:t>
      </w:r>
      <w:bookmarkEnd w:id="150"/>
      <w:bookmarkEnd w:id="151"/>
      <w:bookmarkEnd w:id="152"/>
    </w:p>
    <w:p>
      <w:pPr>
        <w:pStyle w:val="Heading5"/>
      </w:pPr>
      <w:bookmarkStart w:id="153" w:name="_Toc97643729"/>
      <w:r>
        <w:rPr>
          <w:rStyle w:val="CharSectno"/>
        </w:rPr>
        <w:t>84</w:t>
      </w:r>
      <w:r>
        <w:t>.</w:t>
      </w:r>
      <w:r>
        <w:tab/>
        <w:t>Law Society’s functions as to professional indemnity insurance</w:t>
      </w:r>
      <w:bookmarkEnd w:id="153"/>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54" w:name="_Toc97643730"/>
      <w:r>
        <w:rPr>
          <w:rStyle w:val="CharSectno"/>
        </w:rPr>
        <w:t>85</w:t>
      </w:r>
      <w:r>
        <w:t>.</w:t>
      </w:r>
      <w:r>
        <w:tab/>
        <w:t>Law Mutual Fund, maintenance of</w:t>
      </w:r>
      <w:bookmarkEnd w:id="154"/>
    </w:p>
    <w:p>
      <w:pPr>
        <w:pStyle w:val="Subsection"/>
      </w:pPr>
      <w:r>
        <w:tab/>
      </w:r>
      <w:r>
        <w:tab/>
        <w:t>The Law Mutual Fund must be maintained on an annual basis in relation to an insurance year.</w:t>
      </w:r>
    </w:p>
    <w:p>
      <w:pPr>
        <w:pStyle w:val="Heading5"/>
      </w:pPr>
      <w:bookmarkStart w:id="155" w:name="_Toc97643731"/>
      <w:r>
        <w:rPr>
          <w:rStyle w:val="CharSectno"/>
        </w:rPr>
        <w:t>86</w:t>
      </w:r>
      <w:r>
        <w:t>.</w:t>
      </w:r>
      <w:r>
        <w:tab/>
        <w:t>Surplus funds in Law Mutual Fund, application of</w:t>
      </w:r>
      <w:bookmarkEnd w:id="155"/>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r>
        <w:tab/>
        <w:t>[Regulation 86 amended: Gazette 26 Oct 2018 p. 4247.]</w:t>
      </w:r>
    </w:p>
    <w:p>
      <w:pPr>
        <w:pStyle w:val="Heading3"/>
      </w:pPr>
      <w:bookmarkStart w:id="156" w:name="_Toc97633711"/>
      <w:bookmarkStart w:id="157" w:name="_Toc97634118"/>
      <w:bookmarkStart w:id="158" w:name="_Toc97643732"/>
      <w:r>
        <w:rPr>
          <w:rStyle w:val="CharDivNo"/>
        </w:rPr>
        <w:lastRenderedPageBreak/>
        <w:t>Division 3</w:t>
      </w:r>
      <w:r>
        <w:t> — </w:t>
      </w:r>
      <w:r>
        <w:rPr>
          <w:rStyle w:val="CharDivText"/>
        </w:rPr>
        <w:t>Duties of law practices</w:t>
      </w:r>
      <w:bookmarkEnd w:id="156"/>
      <w:bookmarkEnd w:id="157"/>
      <w:bookmarkEnd w:id="158"/>
    </w:p>
    <w:p>
      <w:pPr>
        <w:pStyle w:val="Heading5"/>
      </w:pPr>
      <w:bookmarkStart w:id="159" w:name="_Toc97643733"/>
      <w:r>
        <w:rPr>
          <w:rStyle w:val="CharSectno"/>
        </w:rPr>
        <w:t>87</w:t>
      </w:r>
      <w:r>
        <w:t>.</w:t>
      </w:r>
      <w:r>
        <w:tab/>
        <w:t>Requirement for law practice to have professional indemnity insurance</w:t>
      </w:r>
      <w:bookmarkEnd w:id="15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60" w:name="_Toc97643734"/>
      <w:r>
        <w:rPr>
          <w:rStyle w:val="CharSectno"/>
        </w:rPr>
        <w:t>88</w:t>
      </w:r>
      <w:r>
        <w:t>.</w:t>
      </w:r>
      <w:r>
        <w:tab/>
        <w:t>Application for professional indemnity insurance</w:t>
      </w:r>
      <w:bookmarkEnd w:id="160"/>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w:t>
      </w:r>
      <w:r>
        <w:lastRenderedPageBreak/>
        <w:t>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161" w:name="_Toc97643735"/>
      <w:r>
        <w:rPr>
          <w:rStyle w:val="CharSectno"/>
        </w:rPr>
        <w:t>89</w:t>
      </w:r>
      <w:r>
        <w:t>.</w:t>
      </w:r>
      <w:r>
        <w:tab/>
        <w:t>Late lodgment fee for failure to make application or pay amount</w:t>
      </w:r>
      <w:bookmarkEnd w:id="161"/>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162" w:name="_Toc97643736"/>
      <w:r>
        <w:rPr>
          <w:rStyle w:val="CharSectno"/>
        </w:rPr>
        <w:t>90</w:t>
      </w:r>
      <w:r>
        <w:t>.</w:t>
      </w:r>
      <w:r>
        <w:tab/>
        <w:t>Restructured law practice to apply for professional indemnity insurance</w:t>
      </w:r>
      <w:bookmarkEnd w:id="162"/>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lastRenderedPageBreak/>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63" w:name="_Toc97643737"/>
      <w:r>
        <w:rPr>
          <w:rStyle w:val="CharSectno"/>
        </w:rPr>
        <w:t>91</w:t>
      </w:r>
      <w:r>
        <w:t>.</w:t>
      </w:r>
      <w:r>
        <w:tab/>
        <w:t>Law Society to issue certificate of insurance</w:t>
      </w:r>
      <w:bookmarkEnd w:id="163"/>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64" w:name="_Toc97643738"/>
      <w:r>
        <w:rPr>
          <w:rStyle w:val="CharSectno"/>
        </w:rPr>
        <w:t>92</w:t>
      </w:r>
      <w:r>
        <w:t>.</w:t>
      </w:r>
      <w:r>
        <w:tab/>
        <w:t>Annual contribution for PII arrangement, assessment of etc.</w:t>
      </w:r>
      <w:bookmarkEnd w:id="16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lastRenderedPageBreak/>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lastRenderedPageBreak/>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165" w:name="_Toc97643739"/>
      <w:r>
        <w:rPr>
          <w:rStyle w:val="CharSectno"/>
        </w:rPr>
        <w:t>93</w:t>
      </w:r>
      <w:r>
        <w:t>.</w:t>
      </w:r>
      <w:r>
        <w:tab/>
        <w:t>Review of and appeal against r. 92 assessment</w:t>
      </w:r>
      <w:bookmarkEnd w:id="16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w:t>
      </w:r>
      <w:r>
        <w:lastRenderedPageBreak/>
        <w:t xml:space="preserve">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166" w:name="_Toc97643740"/>
      <w:r>
        <w:rPr>
          <w:rStyle w:val="CharSectno"/>
        </w:rPr>
        <w:t>94</w:t>
      </w:r>
      <w:r>
        <w:t>.</w:t>
      </w:r>
      <w:r>
        <w:tab/>
      </w:r>
      <w:r>
        <w:rPr>
          <w:spacing w:val="-2"/>
        </w:rPr>
        <w:t>Assessment on incorrect information, additional fee in case of</w:t>
      </w:r>
      <w:bookmarkEnd w:id="166"/>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167" w:name="_Toc97643741"/>
      <w:r>
        <w:rPr>
          <w:rStyle w:val="CharSectno"/>
        </w:rPr>
        <w:t>95</w:t>
      </w:r>
      <w:r>
        <w:t>.</w:t>
      </w:r>
      <w:r>
        <w:tab/>
        <w:t>Exempt law practices</w:t>
      </w:r>
      <w:bookmarkEnd w:id="167"/>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lastRenderedPageBreak/>
        <w:tab/>
        <w:t>[Regulation 95 amended: Gazette 21 May 2019 p. 1465; 28 Jun 2019 p. 2480.]</w:t>
      </w:r>
    </w:p>
    <w:p>
      <w:pPr>
        <w:pStyle w:val="Heading3"/>
      </w:pPr>
      <w:bookmarkStart w:id="168" w:name="_Toc97633721"/>
      <w:bookmarkStart w:id="169" w:name="_Toc97634128"/>
      <w:bookmarkStart w:id="170" w:name="_Toc97643742"/>
      <w:r>
        <w:rPr>
          <w:rStyle w:val="CharDivNo"/>
        </w:rPr>
        <w:t>Division 4</w:t>
      </w:r>
      <w:r>
        <w:t> — </w:t>
      </w:r>
      <w:r>
        <w:rPr>
          <w:rStyle w:val="CharDivText"/>
        </w:rPr>
        <w:t>Duties of Australian legal practitioners</w:t>
      </w:r>
      <w:bookmarkEnd w:id="168"/>
      <w:bookmarkEnd w:id="169"/>
      <w:bookmarkEnd w:id="170"/>
    </w:p>
    <w:p>
      <w:pPr>
        <w:pStyle w:val="Heading5"/>
      </w:pPr>
      <w:bookmarkStart w:id="171" w:name="_Toc97643743"/>
      <w:r>
        <w:rPr>
          <w:rStyle w:val="CharSectno"/>
        </w:rPr>
        <w:t>96</w:t>
      </w:r>
      <w:r>
        <w:t>.</w:t>
      </w:r>
      <w:r>
        <w:tab/>
        <w:t>Requirement for Australian legal practitioner to have professional indemnity insurance</w:t>
      </w:r>
      <w:bookmarkEnd w:id="171"/>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172" w:name="_Toc97643744"/>
      <w:r>
        <w:rPr>
          <w:rStyle w:val="CharSectno"/>
        </w:rPr>
        <w:t>97</w:t>
      </w:r>
      <w:r>
        <w:t>.</w:t>
      </w:r>
      <w:r>
        <w:tab/>
        <w:t>Exempt Australian legal practitioners</w:t>
      </w:r>
      <w:bookmarkEnd w:id="172"/>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 xml:space="preserve">provides cover up to a limit which, in the aggregate, is not less than that provided under a </w:t>
      </w:r>
      <w:r>
        <w:lastRenderedPageBreak/>
        <w:t>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lastRenderedPageBreak/>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lastRenderedPageBreak/>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lastRenderedPageBreak/>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173" w:name="_Toc97643745"/>
      <w:r>
        <w:rPr>
          <w:rStyle w:val="CharSectno"/>
        </w:rPr>
        <w:t>98</w:t>
      </w:r>
      <w:r>
        <w:t>.</w:t>
      </w:r>
      <w:r>
        <w:tab/>
        <w:t>Australian legal practitioner to notify Law Society of claim to be exempt under r. 97</w:t>
      </w:r>
      <w:bookmarkEnd w:id="173"/>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lastRenderedPageBreak/>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lastRenderedPageBreak/>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174" w:name="_Toc97643746"/>
      <w:r>
        <w:rPr>
          <w:rStyle w:val="CharSectno"/>
        </w:rPr>
        <w:t>99</w:t>
      </w:r>
      <w:r>
        <w:t>.</w:t>
      </w:r>
      <w:r>
        <w:tab/>
        <w:t>New local legal practitioner to notify Law Society of claim to be exempt</w:t>
      </w:r>
      <w:bookmarkEnd w:id="174"/>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lastRenderedPageBreak/>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lastRenderedPageBreak/>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175" w:name="_Toc97643747"/>
      <w:r>
        <w:rPr>
          <w:rStyle w:val="CharSectno"/>
        </w:rPr>
        <w:t>100</w:t>
      </w:r>
      <w:r>
        <w:t>.</w:t>
      </w:r>
      <w:r>
        <w:tab/>
        <w:t>Certain employee practitioners to notify Law Society of status</w:t>
      </w:r>
      <w:bookmarkEnd w:id="175"/>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176" w:name="_Toc97643748"/>
      <w:r>
        <w:rPr>
          <w:rStyle w:val="CharSectno"/>
        </w:rPr>
        <w:lastRenderedPageBreak/>
        <w:t>101</w:t>
      </w:r>
      <w:r>
        <w:t>.</w:t>
      </w:r>
      <w:r>
        <w:tab/>
        <w:t>Acceptable evidence for Board as to professional indemnity insurance (Act s. 40(3))</w:t>
      </w:r>
      <w:bookmarkEnd w:id="17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r>
        <w:tab/>
        <w:t>[Regulation 101 amended: Gazette 21 May 2019 p. 1471; 28 Jun 2019 p. 2482.]</w:t>
      </w:r>
    </w:p>
    <w:p>
      <w:pPr>
        <w:pStyle w:val="Heading3"/>
      </w:pPr>
      <w:bookmarkStart w:id="177" w:name="_Toc97633728"/>
      <w:bookmarkStart w:id="178" w:name="_Toc97634135"/>
      <w:bookmarkStart w:id="179" w:name="_Toc97643749"/>
      <w:r>
        <w:rPr>
          <w:rStyle w:val="CharDivNo"/>
        </w:rPr>
        <w:t>Division 5</w:t>
      </w:r>
      <w:r>
        <w:t> — </w:t>
      </w:r>
      <w:r>
        <w:rPr>
          <w:rStyle w:val="CharDivText"/>
        </w:rPr>
        <w:t>Miscellaneous</w:t>
      </w:r>
      <w:bookmarkEnd w:id="177"/>
      <w:bookmarkEnd w:id="178"/>
      <w:bookmarkEnd w:id="179"/>
    </w:p>
    <w:p>
      <w:pPr>
        <w:pStyle w:val="Heading5"/>
      </w:pPr>
      <w:bookmarkStart w:id="180" w:name="_Toc97643750"/>
      <w:r>
        <w:rPr>
          <w:rStyle w:val="CharSectno"/>
        </w:rPr>
        <w:t>102</w:t>
      </w:r>
      <w:r>
        <w:t>.</w:t>
      </w:r>
      <w:r>
        <w:tab/>
        <w:t>Administration levies, Law Society may fix etc.</w:t>
      </w:r>
      <w:bookmarkEnd w:id="180"/>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lastRenderedPageBreak/>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181" w:name="_Toc97643751"/>
      <w:r>
        <w:rPr>
          <w:rStyle w:val="CharSectno"/>
        </w:rPr>
        <w:t>103</w:t>
      </w:r>
      <w:r>
        <w:t>.</w:t>
      </w:r>
      <w:r>
        <w:tab/>
        <w:t>Undertakings as to professional indemnity insurance</w:t>
      </w:r>
      <w:bookmarkEnd w:id="181"/>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182" w:name="_Toc97643752"/>
      <w:r>
        <w:rPr>
          <w:rStyle w:val="CharSectno"/>
        </w:rPr>
        <w:lastRenderedPageBreak/>
        <w:t>104</w:t>
      </w:r>
      <w:r>
        <w:t>.</w:t>
      </w:r>
      <w:r>
        <w:tab/>
        <w:t>Law Society may require information</w:t>
      </w:r>
      <w:bookmarkEnd w:id="182"/>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183" w:name="_Toc97643753"/>
      <w:r>
        <w:rPr>
          <w:rStyle w:val="CharSectno"/>
        </w:rPr>
        <w:t>105</w:t>
      </w:r>
      <w:r>
        <w:t>.</w:t>
      </w:r>
      <w:r>
        <w:tab/>
        <w:t>Overdue amounts, interests on</w:t>
      </w:r>
      <w:bookmarkEnd w:id="183"/>
    </w:p>
    <w:p>
      <w:pPr>
        <w:pStyle w:val="Subsection"/>
      </w:pPr>
      <w:r>
        <w:tab/>
        <w:t>(1)</w:t>
      </w:r>
      <w:r>
        <w:tab/>
        <w:t xml:space="preserve">Interest is payable on so much of an amount that is payable under these regulations for the period beginning on the day after </w:t>
      </w:r>
      <w:r>
        <w:lastRenderedPageBreak/>
        <w:t>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84" w:name="_Toc97643754"/>
      <w:r>
        <w:rPr>
          <w:rStyle w:val="CharSectno"/>
        </w:rPr>
        <w:t>106</w:t>
      </w:r>
      <w:r>
        <w:t>.</w:t>
      </w:r>
      <w:r>
        <w:tab/>
        <w:t>Unpaid money, recovering</w:t>
      </w:r>
      <w:bookmarkEnd w:id="184"/>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85" w:name="_Toc97643755"/>
      <w:r>
        <w:rPr>
          <w:rStyle w:val="CharSectno"/>
        </w:rPr>
        <w:t>107</w:t>
      </w:r>
      <w:r>
        <w:t>.</w:t>
      </w:r>
      <w:r>
        <w:tab/>
        <w:t>Compliance with regulations, Law Society’s powers to ascertain</w:t>
      </w:r>
      <w:bookmarkEnd w:id="185"/>
    </w:p>
    <w:p>
      <w:pPr>
        <w:pStyle w:val="Subsection"/>
      </w:pPr>
      <w:r>
        <w:tab/>
      </w:r>
      <w:r>
        <w:tab/>
        <w:t>The Law Society may take such steps as it considers necessary or expedient to ascertain whether or not these regulations are being complied with.</w:t>
      </w:r>
    </w:p>
    <w:p>
      <w:pPr>
        <w:pStyle w:val="Heading2"/>
      </w:pPr>
      <w:bookmarkStart w:id="186" w:name="_Toc97633735"/>
      <w:bookmarkStart w:id="187" w:name="_Toc97634142"/>
      <w:bookmarkStart w:id="188" w:name="_Toc97643756"/>
      <w:r>
        <w:rPr>
          <w:rStyle w:val="CharPartNo"/>
        </w:rPr>
        <w:lastRenderedPageBreak/>
        <w:t>Part 10</w:t>
      </w:r>
      <w:r>
        <w:rPr>
          <w:rStyle w:val="CharDivNo"/>
        </w:rPr>
        <w:t> </w:t>
      </w:r>
      <w:r>
        <w:t>—</w:t>
      </w:r>
      <w:r>
        <w:rPr>
          <w:rStyle w:val="CharDivText"/>
        </w:rPr>
        <w:t> </w:t>
      </w:r>
      <w:r>
        <w:rPr>
          <w:rStyle w:val="CharPartText"/>
        </w:rPr>
        <w:t>Fidelity cover</w:t>
      </w:r>
      <w:bookmarkEnd w:id="186"/>
      <w:bookmarkEnd w:id="187"/>
      <w:bookmarkEnd w:id="188"/>
    </w:p>
    <w:p>
      <w:pPr>
        <w:pStyle w:val="Heading5"/>
      </w:pPr>
      <w:bookmarkStart w:id="189" w:name="_Toc97643757"/>
      <w:r>
        <w:rPr>
          <w:rStyle w:val="CharSectno"/>
        </w:rPr>
        <w:t>108</w:t>
      </w:r>
      <w:r>
        <w:t>.</w:t>
      </w:r>
      <w:r>
        <w:tab/>
        <w:t>Fidelity protocols into which Trust may enter etc.</w:t>
      </w:r>
      <w:bookmarkEnd w:id="18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90" w:name="_Toc97643758"/>
      <w:r>
        <w:rPr>
          <w:rStyle w:val="CharSectno"/>
        </w:rPr>
        <w:t>109</w:t>
      </w:r>
      <w:r>
        <w:t>.</w:t>
      </w:r>
      <w:r>
        <w:tab/>
        <w:t>Trust accounts, payment of interest on (Act s. 387)</w:t>
      </w:r>
      <w:bookmarkEnd w:id="190"/>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91" w:name="_Toc97643759"/>
      <w:r>
        <w:rPr>
          <w:rStyle w:val="CharSectno"/>
        </w:rPr>
        <w:t>110</w:t>
      </w:r>
      <w:r>
        <w:t>.</w:t>
      </w:r>
      <w:r>
        <w:tab/>
        <w:t>Bodies prescribed (Act s. 388(4))</w:t>
      </w:r>
      <w:bookmarkEnd w:id="191"/>
    </w:p>
    <w:p>
      <w:pPr>
        <w:pStyle w:val="Subsection"/>
      </w:pPr>
      <w:r>
        <w:tab/>
      </w:r>
      <w:r>
        <w:tab/>
        <w:t>The bodies listed in Schedule 2 are prescribed for the purposes of section 388(4)(c)(iv) and (v) of the Act.</w:t>
      </w:r>
    </w:p>
    <w:p>
      <w:pPr>
        <w:pStyle w:val="Heading2"/>
        <w:rPr>
          <w:rStyle w:val="CharDivText"/>
        </w:rPr>
      </w:pPr>
      <w:bookmarkStart w:id="192" w:name="_Toc97633739"/>
      <w:bookmarkStart w:id="193" w:name="_Toc97634146"/>
      <w:bookmarkStart w:id="194" w:name="_Toc97643760"/>
      <w:r>
        <w:rPr>
          <w:rStyle w:val="CharPartNo"/>
        </w:rPr>
        <w:lastRenderedPageBreak/>
        <w:t>Part 11</w:t>
      </w:r>
      <w:r>
        <w:rPr>
          <w:rStyle w:val="CharDivNo"/>
        </w:rPr>
        <w:t> </w:t>
      </w:r>
      <w:r>
        <w:t>—</w:t>
      </w:r>
      <w:r>
        <w:rPr>
          <w:rStyle w:val="CharDivText"/>
        </w:rPr>
        <w:t> </w:t>
      </w:r>
      <w:r>
        <w:rPr>
          <w:rStyle w:val="CharPartText"/>
        </w:rPr>
        <w:t>Publicising disciplinary action</w:t>
      </w:r>
      <w:bookmarkEnd w:id="192"/>
      <w:bookmarkEnd w:id="193"/>
      <w:bookmarkEnd w:id="194"/>
    </w:p>
    <w:p>
      <w:pPr>
        <w:pStyle w:val="Heading5"/>
      </w:pPr>
      <w:bookmarkStart w:id="195" w:name="_Toc97643761"/>
      <w:r>
        <w:rPr>
          <w:rStyle w:val="CharSectno"/>
        </w:rPr>
        <w:t>111</w:t>
      </w:r>
      <w:r>
        <w:t>.</w:t>
      </w:r>
      <w:r>
        <w:tab/>
        <w:t>Register of Disciplinary Action, content of (Act s. 452(2)(e))</w:t>
      </w:r>
      <w:bookmarkEnd w:id="195"/>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96" w:name="_Toc97633741"/>
      <w:bookmarkStart w:id="197" w:name="_Toc97634148"/>
      <w:bookmarkStart w:id="198" w:name="_Toc97643762"/>
      <w:r>
        <w:rPr>
          <w:rStyle w:val="CharPartNo"/>
        </w:rPr>
        <w:lastRenderedPageBreak/>
        <w:t>Part 12</w:t>
      </w:r>
      <w:r>
        <w:rPr>
          <w:rStyle w:val="CharDivNo"/>
        </w:rPr>
        <w:t> </w:t>
      </w:r>
      <w:r>
        <w:t>—</w:t>
      </w:r>
      <w:r>
        <w:rPr>
          <w:rStyle w:val="CharDivText"/>
        </w:rPr>
        <w:t> </w:t>
      </w:r>
      <w:r>
        <w:rPr>
          <w:rStyle w:val="CharPartText"/>
        </w:rPr>
        <w:t>Miscellaneous</w:t>
      </w:r>
      <w:bookmarkEnd w:id="196"/>
      <w:bookmarkEnd w:id="197"/>
      <w:bookmarkEnd w:id="198"/>
    </w:p>
    <w:p>
      <w:pPr>
        <w:pStyle w:val="Heading5"/>
      </w:pPr>
      <w:bookmarkStart w:id="199" w:name="_Toc97643763"/>
      <w:r>
        <w:rPr>
          <w:rStyle w:val="CharSectno"/>
        </w:rPr>
        <w:t>112</w:t>
      </w:r>
      <w:r>
        <w:t>.</w:t>
      </w:r>
      <w:r>
        <w:tab/>
        <w:t>Approved forms, publication of</w:t>
      </w:r>
      <w:bookmarkEnd w:id="19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00" w:name="_Toc97633743"/>
      <w:bookmarkStart w:id="201" w:name="_Toc97634150"/>
      <w:bookmarkStart w:id="202" w:name="_Toc97643764"/>
      <w:r>
        <w:rPr>
          <w:rStyle w:val="CharPartNo"/>
        </w:rPr>
        <w:lastRenderedPageBreak/>
        <w:t>Part 13</w:t>
      </w:r>
      <w:r>
        <w:t> — </w:t>
      </w:r>
      <w:r>
        <w:rPr>
          <w:rStyle w:val="CharPartText"/>
        </w:rPr>
        <w:t>Repeal and transitional provisions</w:t>
      </w:r>
      <w:bookmarkEnd w:id="200"/>
      <w:bookmarkEnd w:id="201"/>
      <w:bookmarkEnd w:id="202"/>
    </w:p>
    <w:p>
      <w:pPr>
        <w:pStyle w:val="Heading3"/>
      </w:pPr>
      <w:bookmarkStart w:id="203" w:name="_Toc97633744"/>
      <w:bookmarkStart w:id="204" w:name="_Toc97634151"/>
      <w:bookmarkStart w:id="205" w:name="_Toc97643765"/>
      <w:r>
        <w:rPr>
          <w:rStyle w:val="CharDivNo"/>
        </w:rPr>
        <w:t>Division 1</w:t>
      </w:r>
      <w:r>
        <w:t> — </w:t>
      </w:r>
      <w:r>
        <w:rPr>
          <w:rStyle w:val="CharDivText"/>
        </w:rPr>
        <w:t>General</w:t>
      </w:r>
      <w:bookmarkEnd w:id="203"/>
      <w:bookmarkEnd w:id="204"/>
      <w:bookmarkEnd w:id="205"/>
    </w:p>
    <w:p>
      <w:pPr>
        <w:pStyle w:val="Heading5"/>
      </w:pPr>
      <w:bookmarkStart w:id="206" w:name="_Toc97643766"/>
      <w:r>
        <w:rPr>
          <w:rStyle w:val="CharSectno"/>
        </w:rPr>
        <w:t>113</w:t>
      </w:r>
      <w:r>
        <w:t>.</w:t>
      </w:r>
      <w:r>
        <w:tab/>
        <w:t>Terms used</w:t>
      </w:r>
      <w:bookmarkEnd w:id="206"/>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07" w:name="_Toc97633746"/>
      <w:bookmarkStart w:id="208" w:name="_Toc97634153"/>
      <w:bookmarkStart w:id="209" w:name="_Toc97643767"/>
      <w:r>
        <w:rPr>
          <w:rStyle w:val="CharDivNo"/>
        </w:rPr>
        <w:t>Division 2</w:t>
      </w:r>
      <w:r>
        <w:t> — </w:t>
      </w:r>
      <w:r>
        <w:rPr>
          <w:rStyle w:val="CharDivText"/>
        </w:rPr>
        <w:t>Repeals</w:t>
      </w:r>
      <w:bookmarkEnd w:id="207"/>
      <w:bookmarkEnd w:id="208"/>
      <w:bookmarkEnd w:id="209"/>
    </w:p>
    <w:p>
      <w:pPr>
        <w:pStyle w:val="Heading5"/>
      </w:pPr>
      <w:bookmarkStart w:id="210" w:name="_Toc97643768"/>
      <w:r>
        <w:rPr>
          <w:rStyle w:val="CharSectno"/>
        </w:rPr>
        <w:t>114</w:t>
      </w:r>
      <w:r>
        <w:t>.</w:t>
      </w:r>
      <w:r>
        <w:tab/>
        <w:t>Repeals</w:t>
      </w:r>
      <w:bookmarkEnd w:id="21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11" w:name="_Toc97633748"/>
      <w:bookmarkStart w:id="212" w:name="_Toc97634155"/>
      <w:bookmarkStart w:id="213" w:name="_Toc97643769"/>
      <w:r>
        <w:rPr>
          <w:rStyle w:val="CharDivNo"/>
        </w:rPr>
        <w:t>Division 3</w:t>
      </w:r>
      <w:r>
        <w:t> — </w:t>
      </w:r>
      <w:r>
        <w:rPr>
          <w:rStyle w:val="CharDivText"/>
        </w:rPr>
        <w:t>Professional indemnity insurance</w:t>
      </w:r>
      <w:bookmarkEnd w:id="211"/>
      <w:bookmarkEnd w:id="212"/>
      <w:bookmarkEnd w:id="213"/>
    </w:p>
    <w:p>
      <w:pPr>
        <w:pStyle w:val="Heading5"/>
      </w:pPr>
      <w:bookmarkStart w:id="214" w:name="_Toc97643770"/>
      <w:r>
        <w:rPr>
          <w:rStyle w:val="CharSectno"/>
        </w:rPr>
        <w:t>115</w:t>
      </w:r>
      <w:r>
        <w:t>.</w:t>
      </w:r>
      <w:r>
        <w:tab/>
        <w:t>When insurance under previous arrangements has effect</w:t>
      </w:r>
      <w:bookmarkEnd w:id="21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15" w:name="_Toc97643771"/>
      <w:r>
        <w:rPr>
          <w:rStyle w:val="CharSectno"/>
        </w:rPr>
        <w:lastRenderedPageBreak/>
        <w:t>116</w:t>
      </w:r>
      <w:r>
        <w:t>.</w:t>
      </w:r>
      <w:r>
        <w:tab/>
        <w:t>Recovery of payments</w:t>
      </w:r>
      <w:bookmarkEnd w:id="21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16" w:name="_Toc97633751"/>
      <w:bookmarkStart w:id="217" w:name="_Toc97634158"/>
      <w:bookmarkStart w:id="218" w:name="_Toc97643772"/>
      <w:r>
        <w:rPr>
          <w:rStyle w:val="CharDivNo"/>
        </w:rPr>
        <w:t>Division 4</w:t>
      </w:r>
      <w:r>
        <w:t> — </w:t>
      </w:r>
      <w:r>
        <w:rPr>
          <w:rStyle w:val="CharDivText"/>
        </w:rPr>
        <w:t>Admission of local lawyers</w:t>
      </w:r>
      <w:bookmarkEnd w:id="216"/>
      <w:bookmarkEnd w:id="217"/>
      <w:bookmarkEnd w:id="218"/>
    </w:p>
    <w:p>
      <w:pPr>
        <w:pStyle w:val="Heading5"/>
      </w:pPr>
      <w:bookmarkStart w:id="219" w:name="_Toc97643773"/>
      <w:r>
        <w:rPr>
          <w:rStyle w:val="CharSectno"/>
        </w:rPr>
        <w:t>117</w:t>
      </w:r>
      <w:r>
        <w:t>.</w:t>
      </w:r>
      <w:r>
        <w:tab/>
        <w:t>Notices of intention to apply for admission not dealt with at 1 Mar 2009</w:t>
      </w:r>
      <w:bookmarkEnd w:id="21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lastRenderedPageBreak/>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20" w:name="_Toc97643774"/>
      <w:r>
        <w:rPr>
          <w:rStyle w:val="CharSectno"/>
        </w:rPr>
        <w:t>118</w:t>
      </w:r>
      <w:r>
        <w:t>.</w:t>
      </w:r>
      <w:r>
        <w:tab/>
        <w:t>Some applicants for admission may rely on certificate issued before 1 Mar 2009</w:t>
      </w:r>
      <w:bookmarkEnd w:id="220"/>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21" w:name="_Toc97643775"/>
      <w:r>
        <w:rPr>
          <w:rStyle w:val="CharSectno"/>
        </w:rPr>
        <w:lastRenderedPageBreak/>
        <w:t>119</w:t>
      </w:r>
      <w:r>
        <w:t>.</w:t>
      </w:r>
      <w:r>
        <w:tab/>
        <w:t>Application for admission referred to in r. 117 and 118, public notice of</w:t>
      </w:r>
      <w:bookmarkEnd w:id="221"/>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22" w:name="_Toc97633755"/>
      <w:bookmarkStart w:id="223" w:name="_Toc97634162"/>
      <w:bookmarkStart w:id="224" w:name="_Toc97643776"/>
      <w:r>
        <w:rPr>
          <w:rStyle w:val="CharDivNo"/>
        </w:rPr>
        <w:t>Division 5</w:t>
      </w:r>
      <w:r>
        <w:t> — </w:t>
      </w:r>
      <w:r>
        <w:rPr>
          <w:rStyle w:val="CharDivText"/>
        </w:rPr>
        <w:t>Trust money and trust accounts</w:t>
      </w:r>
      <w:bookmarkEnd w:id="222"/>
      <w:bookmarkEnd w:id="223"/>
      <w:bookmarkEnd w:id="224"/>
    </w:p>
    <w:p>
      <w:pPr>
        <w:pStyle w:val="Heading5"/>
      </w:pPr>
      <w:bookmarkStart w:id="225" w:name="_Toc97643777"/>
      <w:r>
        <w:rPr>
          <w:rStyle w:val="CharSectno"/>
        </w:rPr>
        <w:t>120</w:t>
      </w:r>
      <w:r>
        <w:t>.</w:t>
      </w:r>
      <w:r>
        <w:tab/>
        <w:t>2003 Act Part 10, operation of continued to 30 Jun 2009</w:t>
      </w:r>
      <w:bookmarkEnd w:id="225"/>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26" w:name="_Toc97633757"/>
      <w:bookmarkStart w:id="227" w:name="_Toc97634164"/>
      <w:bookmarkStart w:id="228" w:name="_Toc97643778"/>
      <w:r>
        <w:rPr>
          <w:rStyle w:val="CharDivNo"/>
        </w:rPr>
        <w:t>Division 6</w:t>
      </w:r>
      <w:r>
        <w:t> — </w:t>
      </w:r>
      <w:r>
        <w:rPr>
          <w:rStyle w:val="CharDivText"/>
        </w:rPr>
        <w:t>Costs disclosure and agreements</w:t>
      </w:r>
      <w:bookmarkEnd w:id="226"/>
      <w:bookmarkEnd w:id="227"/>
      <w:bookmarkEnd w:id="228"/>
    </w:p>
    <w:p>
      <w:pPr>
        <w:pStyle w:val="Heading5"/>
      </w:pPr>
      <w:bookmarkStart w:id="229" w:name="_Toc97643779"/>
      <w:r>
        <w:rPr>
          <w:rStyle w:val="CharSectno"/>
        </w:rPr>
        <w:t>121</w:t>
      </w:r>
      <w:r>
        <w:t>.</w:t>
      </w:r>
      <w:r>
        <w:tab/>
        <w:t>Term used: relevant period</w:t>
      </w:r>
      <w:bookmarkEnd w:id="22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230" w:name="_Toc97643780"/>
      <w:r>
        <w:rPr>
          <w:rStyle w:val="CharSectno"/>
        </w:rPr>
        <w:lastRenderedPageBreak/>
        <w:t>122</w:t>
      </w:r>
      <w:r>
        <w:t>.</w:t>
      </w:r>
      <w:r>
        <w:tab/>
        <w:t>Costs disclosure under Act s. 260, 261 and 264, when required for matter in relevant period</w:t>
      </w:r>
      <w:bookmarkEnd w:id="23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231" w:name="_Toc97643781"/>
      <w:r>
        <w:rPr>
          <w:rStyle w:val="CharSectno"/>
        </w:rPr>
        <w:t>123A</w:t>
      </w:r>
      <w:r>
        <w:t>.</w:t>
      </w:r>
      <w:r>
        <w:tab/>
        <w:t>Costs agreements under 2003 Act s. 221 may be made in relevant period</w:t>
      </w:r>
      <w:bookmarkEnd w:id="231"/>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lastRenderedPageBreak/>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232" w:name="_Toc97633761"/>
      <w:bookmarkStart w:id="233" w:name="_Toc97634168"/>
      <w:bookmarkStart w:id="234" w:name="_Toc97643782"/>
      <w:r>
        <w:rPr>
          <w:rStyle w:val="CharDivNo"/>
        </w:rPr>
        <w:t>Division 7</w:t>
      </w:r>
      <w:r>
        <w:t> — </w:t>
      </w:r>
      <w:r>
        <w:rPr>
          <w:rStyle w:val="CharDivText"/>
        </w:rPr>
        <w:t>Interstate legal practitioners</w:t>
      </w:r>
      <w:bookmarkEnd w:id="232"/>
      <w:bookmarkEnd w:id="233"/>
      <w:bookmarkEnd w:id="234"/>
    </w:p>
    <w:p>
      <w:pPr>
        <w:pStyle w:val="Heading5"/>
      </w:pPr>
      <w:bookmarkStart w:id="235" w:name="_Toc97643783"/>
      <w:r>
        <w:rPr>
          <w:rStyle w:val="CharSectno"/>
        </w:rPr>
        <w:t>123</w:t>
      </w:r>
      <w:r>
        <w:t>.</w:t>
      </w:r>
      <w:r>
        <w:tab/>
        <w:t>Supervised legal practice before 1 Mar 2009 etc. equates to required experience (Act s. 72)</w:t>
      </w:r>
      <w:bookmarkEnd w:id="235"/>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236" w:name="_Toc97633763"/>
      <w:bookmarkStart w:id="237" w:name="_Toc97634170"/>
      <w:bookmarkStart w:id="238" w:name="_Toc97643784"/>
      <w:r>
        <w:rPr>
          <w:rStyle w:val="CharDivNo"/>
        </w:rPr>
        <w:lastRenderedPageBreak/>
        <w:t>Division 8</w:t>
      </w:r>
      <w:r>
        <w:t> — </w:t>
      </w:r>
      <w:r>
        <w:rPr>
          <w:rStyle w:val="CharDivText"/>
        </w:rPr>
        <w:t>Provisions for Legal Profession Amendment Regulations 2019</w:t>
      </w:r>
      <w:bookmarkEnd w:id="236"/>
      <w:bookmarkEnd w:id="237"/>
      <w:bookmarkEnd w:id="238"/>
    </w:p>
    <w:p>
      <w:pPr>
        <w:pStyle w:val="Footnoteheading"/>
      </w:pPr>
      <w:r>
        <w:tab/>
        <w:t>[Heading inserted: Gazette 21 May 2019 p. 1473.]</w:t>
      </w:r>
    </w:p>
    <w:p>
      <w:pPr>
        <w:pStyle w:val="Heading5"/>
      </w:pPr>
      <w:bookmarkStart w:id="239" w:name="_Toc97643785"/>
      <w:r>
        <w:rPr>
          <w:rStyle w:val="CharSectno"/>
        </w:rPr>
        <w:t>124</w:t>
      </w:r>
      <w:r>
        <w:t>.</w:t>
      </w:r>
      <w:r>
        <w:tab/>
        <w:t>Resolutions under r. 97 relating to bodies or organisations providing legal aid</w:t>
      </w:r>
      <w:bookmarkEnd w:id="239"/>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240" w:name="_Toc97633765"/>
      <w:bookmarkStart w:id="241" w:name="_Toc97634172"/>
      <w:bookmarkStart w:id="242" w:name="_Toc97643786"/>
      <w:r>
        <w:rPr>
          <w:rStyle w:val="CharDivNo"/>
        </w:rPr>
        <w:t>Division 9</w:t>
      </w:r>
      <w:r>
        <w:t> — </w:t>
      </w:r>
      <w:r>
        <w:rPr>
          <w:rStyle w:val="CharDivText"/>
        </w:rPr>
        <w:t>Provisions for Legal Profession Amendment Regulations (No. 2) 2019</w:t>
      </w:r>
      <w:bookmarkEnd w:id="240"/>
      <w:bookmarkEnd w:id="241"/>
      <w:bookmarkEnd w:id="242"/>
    </w:p>
    <w:p>
      <w:pPr>
        <w:pStyle w:val="Footnoteheading"/>
      </w:pPr>
      <w:r>
        <w:tab/>
        <w:t>[Heading inserted: Gazette 28 Jun 2019 p. 2483.]</w:t>
      </w:r>
    </w:p>
    <w:p>
      <w:pPr>
        <w:pStyle w:val="Heading5"/>
      </w:pPr>
      <w:bookmarkStart w:id="243" w:name="_Toc97643787"/>
      <w:r>
        <w:t>125.</w:t>
      </w:r>
      <w:r>
        <w:tab/>
        <w:t>Notices given under r. 98 or 99 in relation to claim for exemption under former r. 97(1)(f)</w:t>
      </w:r>
      <w:bookmarkEnd w:id="243"/>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 xml:space="preserve">Legal </w:t>
      </w:r>
      <w:r>
        <w:rPr>
          <w:i/>
        </w:rPr>
        <w:lastRenderedPageBreak/>
        <w:t>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4" w:name="_Toc97633767"/>
      <w:bookmarkStart w:id="245" w:name="_Toc97634174"/>
      <w:bookmarkStart w:id="246" w:name="_Toc97643788"/>
      <w:r>
        <w:rPr>
          <w:rStyle w:val="CharSchNo"/>
        </w:rPr>
        <w:lastRenderedPageBreak/>
        <w:t>Schedule 1</w:t>
      </w:r>
      <w:r>
        <w:t> —</w:t>
      </w:r>
      <w:r>
        <w:rPr>
          <w:rStyle w:val="CharSDivText"/>
        </w:rPr>
        <w:t> </w:t>
      </w:r>
      <w:r>
        <w:rPr>
          <w:rStyle w:val="CharSchText"/>
        </w:rPr>
        <w:t>Forms</w:t>
      </w:r>
      <w:bookmarkEnd w:id="244"/>
      <w:bookmarkEnd w:id="245"/>
      <w:bookmarkEnd w:id="246"/>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lastRenderedPageBreak/>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2"/>
        </w:numPr>
        <w:ind w:hanging="294"/>
      </w:pPr>
      <w:r>
        <w:t>negotiate a costs agreement with us</w:t>
      </w:r>
    </w:p>
    <w:p>
      <w:pPr>
        <w:pStyle w:val="yMiscellaneousBody"/>
        <w:numPr>
          <w:ilvl w:val="0"/>
          <w:numId w:val="2"/>
        </w:numPr>
        <w:ind w:hanging="294"/>
      </w:pPr>
      <w:r>
        <w:t>receive a bill of costs from us</w:t>
      </w:r>
    </w:p>
    <w:p>
      <w:pPr>
        <w:pStyle w:val="yMiscellaneousBody"/>
        <w:numPr>
          <w:ilvl w:val="0"/>
          <w:numId w:val="2"/>
        </w:numPr>
        <w:ind w:hanging="294"/>
      </w:pPr>
      <w:r>
        <w:t>request an itemised bill of costs after you receive a lump sum bill from us</w:t>
      </w:r>
    </w:p>
    <w:p>
      <w:pPr>
        <w:pStyle w:val="yMiscellaneousBody"/>
        <w:numPr>
          <w:ilvl w:val="0"/>
          <w:numId w:val="2"/>
        </w:numPr>
        <w:ind w:hanging="294"/>
      </w:pPr>
      <w:r>
        <w:t>request written reports about the progress of your matter and the costs incurred in your matter (at no cost to you)</w:t>
      </w:r>
    </w:p>
    <w:p>
      <w:pPr>
        <w:pStyle w:val="yMiscellaneousBody"/>
        <w:numPr>
          <w:ilvl w:val="0"/>
          <w:numId w:val="2"/>
        </w:numPr>
        <w:ind w:hanging="294"/>
      </w:pPr>
      <w:r>
        <w:t>apply for costs to be assessed within 12 months if you are unhappy with our costs</w:t>
      </w:r>
    </w:p>
    <w:p>
      <w:pPr>
        <w:pStyle w:val="yMiscellaneousBody"/>
        <w:numPr>
          <w:ilvl w:val="0"/>
          <w:numId w:val="2"/>
        </w:numPr>
        <w:ind w:hanging="294"/>
      </w:pPr>
      <w:r>
        <w:t>apply for the costs agreement to be set aside</w:t>
      </w:r>
    </w:p>
    <w:p>
      <w:pPr>
        <w:pStyle w:val="yMiscellaneousBody"/>
        <w:numPr>
          <w:ilvl w:val="0"/>
          <w:numId w:val="2"/>
        </w:numPr>
        <w:ind w:hanging="294"/>
      </w:pPr>
      <w:r>
        <w:t>accept or reject any offer we make for an interstate costs law to apply to your matter</w:t>
      </w:r>
    </w:p>
    <w:p>
      <w:pPr>
        <w:pStyle w:val="yMiscellaneousBody"/>
        <w:numPr>
          <w:ilvl w:val="0"/>
          <w:numId w:val="2"/>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lastRenderedPageBreak/>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
        </w:numPr>
        <w:ind w:hanging="294"/>
      </w:pPr>
      <w:r>
        <w:t>requesting an itemised bill</w:t>
      </w:r>
    </w:p>
    <w:p>
      <w:pPr>
        <w:pStyle w:val="yMiscellaneousBody"/>
        <w:numPr>
          <w:ilvl w:val="0"/>
          <w:numId w:val="1"/>
        </w:numPr>
        <w:ind w:hanging="294"/>
      </w:pPr>
      <w:r>
        <w:t>discussing your concerns with us</w:t>
      </w:r>
    </w:p>
    <w:p>
      <w:pPr>
        <w:pStyle w:val="yMiscellaneousBody"/>
        <w:numPr>
          <w:ilvl w:val="0"/>
          <w:numId w:val="1"/>
        </w:numPr>
        <w:ind w:hanging="294"/>
      </w:pPr>
      <w:r>
        <w:t>having our costs assessed</w:t>
      </w:r>
    </w:p>
    <w:p>
      <w:pPr>
        <w:pStyle w:val="yMiscellaneousBody"/>
        <w:numPr>
          <w:ilvl w:val="0"/>
          <w:numId w:val="1"/>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47" w:name="_Toc97633768"/>
      <w:bookmarkStart w:id="248" w:name="_Toc97634175"/>
      <w:bookmarkStart w:id="249" w:name="_Toc97643789"/>
      <w:r>
        <w:rPr>
          <w:rStyle w:val="CharSchNo"/>
        </w:rPr>
        <w:lastRenderedPageBreak/>
        <w:t>Schedule 2</w:t>
      </w:r>
      <w:r>
        <w:rPr>
          <w:rStyle w:val="CharSDivNo"/>
        </w:rPr>
        <w:t> </w:t>
      </w:r>
      <w:r>
        <w:t>—</w:t>
      </w:r>
      <w:r>
        <w:rPr>
          <w:rStyle w:val="CharSDivText"/>
        </w:rPr>
        <w:t> </w:t>
      </w:r>
      <w:r>
        <w:rPr>
          <w:rStyle w:val="CharSchText"/>
        </w:rPr>
        <w:t>Prescribed bodies</w:t>
      </w:r>
      <w:bookmarkEnd w:id="247"/>
      <w:bookmarkEnd w:id="248"/>
      <w:bookmarkEnd w:id="24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(Western Australia)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Citizens Advice Bureau of Western Australia Incorporated</w:t>
            </w:r>
          </w:p>
        </w:tc>
      </w:tr>
      <w:tr>
        <w:tc>
          <w:tcPr>
            <w:tcW w:w="7068" w:type="dxa"/>
          </w:tcPr>
          <w:p>
            <w:pPr>
              <w:pStyle w:val="yTableNAm"/>
            </w:pPr>
            <w:r>
              <w:t>City of Fremantle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lastRenderedPageBreak/>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1" w:name="_Toc97634176"/>
      <w:bookmarkStart w:id="252" w:name="_Toc97643790"/>
      <w:bookmarkStart w:id="253" w:name="_Toc97633771"/>
      <w:r>
        <w:lastRenderedPageBreak/>
        <w:t>Notes</w:t>
      </w:r>
      <w:bookmarkEnd w:id="251"/>
      <w:bookmarkEnd w:id="252"/>
    </w:p>
    <w:p>
      <w:pPr>
        <w:pStyle w:val="nStatement"/>
      </w:pPr>
      <w:r>
        <w:t xml:space="preserve">This is a compilation of the </w:t>
      </w:r>
      <w:r>
        <w:rPr>
          <w:i/>
          <w:noProof/>
        </w:rPr>
        <w:t>Legal Profession Regulations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4" w:name="_Toc97643791"/>
      <w:r>
        <w:t>Compilation table</w:t>
      </w:r>
      <w:bookmarkEnd w:id="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snapToGrid w:val="0"/>
              </w:rPr>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snapToGrid w:val="0"/>
              </w:rPr>
            </w:pPr>
            <w:r>
              <w:rPr>
                <w:snapToGrid w:val="0"/>
              </w:rPr>
              <w:t>r. 1 and 2: 30 Aug 2011 (see r. 2(a));</w:t>
            </w:r>
            <w:r>
              <w:rPr>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snapToGrid w:val="0"/>
              </w:rPr>
            </w:pPr>
            <w:r>
              <w:rPr>
                <w:snapToGrid w:val="0"/>
              </w:rPr>
              <w:t>r. 1 and 2: 1 May 2012 (see r. 2(a));</w:t>
            </w:r>
            <w:r>
              <w:rPr>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snapToGrid w:val="0"/>
              </w:rPr>
            </w:pPr>
            <w:r>
              <w:rPr>
                <w:snapToGrid w:val="0"/>
              </w:rPr>
              <w:t>r. 1 and 2: 11 Apr 2014 (see r. 2(a));</w:t>
            </w:r>
            <w:r>
              <w:rPr>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snapToGrid w:val="0"/>
              </w:rPr>
            </w:pPr>
            <w:r>
              <w:rPr>
                <w:snapToGrid w:val="0"/>
              </w:rPr>
              <w:t>r. 1 and 2: 26 Jun 2015 (see r. 2(a));</w:t>
            </w:r>
            <w:r>
              <w:rPr>
                <w:snapToGrid w:val="0"/>
              </w:rPr>
              <w:br/>
              <w:t xml:space="preserve">Regulations other than r. 1 and 2: 1 Jul 2015 (see r. 2(b)(ii) and </w:t>
            </w:r>
            <w:r>
              <w:rPr>
                <w:i/>
                <w:snapToGrid w:val="0"/>
              </w:rPr>
              <w:t>Gazette</w:t>
            </w:r>
            <w:r>
              <w:rPr>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snapToGrid w:val="0"/>
              </w:rPr>
            </w:pPr>
            <w:r>
              <w:rPr>
                <w:snapToGrid w:val="0"/>
              </w:rPr>
              <w:t>r. 1 and 2: 31 Jul 2015 (see r. 2(a));</w:t>
            </w:r>
            <w:r>
              <w:rPr>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snapToGrid w:val="0"/>
              </w:rPr>
            </w:pPr>
            <w:r>
              <w:rPr>
                <w:bCs/>
                <w:snapToGrid w:val="0"/>
                <w:spacing w:val="-2"/>
              </w:rPr>
              <w:t>r. 1 and 2: 16 Oct 2015 (see r. 2(a));</w:t>
            </w:r>
            <w:r>
              <w:rPr>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Jul 2016 (see r. 2(a));</w:t>
            </w:r>
            <w:r>
              <w:rPr>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Legal Profession Regulations 2009</w:t>
            </w:r>
            <w:r>
              <w:rPr>
                <w:b/>
                <w:bCs/>
                <w:snapToGrid w:val="0"/>
                <w:spacing w:val="-2"/>
              </w:rPr>
              <w:t xml:space="preserve"> as at 3 Mar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26 Oct 2018 (see r. 2(a));</w:t>
            </w:r>
            <w:r>
              <w:rPr>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21 May 2019 (see r. 2(a));</w:t>
            </w:r>
            <w:r>
              <w:rPr>
                <w:bCs/>
                <w:snapToGrid w:val="0"/>
                <w:spacing w:val="-2"/>
              </w:rPr>
              <w:br/>
              <w:t>Regulations other than r. 1 and 2: 22 May 2019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lastRenderedPageBreak/>
              <w:t>Legal Profession Amendment Regulations (No. 2) 2019</w:t>
            </w:r>
          </w:p>
        </w:tc>
        <w:tc>
          <w:tcPr>
            <w:tcW w:w="1276" w:type="dxa"/>
            <w:tcBorders>
              <w:top w:val="nil"/>
              <w:bottom w:val="single" w:sz="4" w:space="0" w:color="auto"/>
            </w:tcBorders>
            <w:shd w:val="clear" w:color="auto" w:fill="auto"/>
          </w:tcPr>
          <w:p>
            <w:pPr>
              <w:pStyle w:val="nTable"/>
              <w:spacing w:after="40"/>
            </w:pPr>
            <w:r>
              <w:t>28 Jun 2019 p. 2479</w:t>
            </w:r>
            <w:r>
              <w:noBreakHyphen/>
              <w:t>83</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 xml:space="preserve">28 Jun 2019 </w:t>
            </w:r>
            <w:r>
              <w:rPr>
                <w:bCs/>
                <w:snapToGrid w:val="0"/>
                <w:spacing w:val="-2"/>
              </w:rPr>
              <w:t>(see r. 2(a));</w:t>
            </w:r>
            <w:r>
              <w:rPr>
                <w:bCs/>
                <w:snapToGrid w:val="0"/>
                <w:spacing w:val="-2"/>
              </w:rPr>
              <w:br/>
              <w:t>Regulations other than r. 1 and 2: 29 Jun 2019 (see r. 2(b))</w:t>
            </w:r>
          </w:p>
        </w:tc>
      </w:tr>
    </w:tbl>
    <w:p>
      <w:pPr>
        <w:pStyle w:val="nHeading3"/>
      </w:pPr>
      <w:bookmarkStart w:id="255" w:name="_Toc97643792"/>
      <w:r>
        <w:t>Uncommenced provisions table</w:t>
      </w:r>
      <w:bookmarkEnd w:id="25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(Work Health and Safety) Regulations 2022</w:t>
            </w:r>
            <w:r>
              <w:t xml:space="preserve"> Pt. 4</w:t>
            </w:r>
          </w:p>
        </w:tc>
        <w:tc>
          <w:tcPr>
            <w:tcW w:w="1276" w:type="dxa"/>
          </w:tcPr>
          <w:p>
            <w:pPr>
              <w:pStyle w:val="nTable"/>
              <w:spacing w:after="40"/>
            </w:pPr>
            <w:r>
              <w:t>SL 2022/27 11 Mar 2022</w:t>
            </w:r>
          </w:p>
        </w:tc>
        <w:tc>
          <w:tcPr>
            <w:tcW w:w="2693" w:type="dxa"/>
          </w:tcPr>
          <w:p>
            <w:pPr>
              <w:pStyle w:val="nTable"/>
              <w:spacing w:after="40"/>
            </w:pPr>
            <w:r>
              <w:t>31 Mar 2022 (see r. 2(b) and SL 2022/18 cl. 2)</w:t>
            </w:r>
          </w:p>
        </w:tc>
      </w:tr>
    </w:tbl>
    <w:p>
      <w:pPr>
        <w:pStyle w:val="nHeading3"/>
      </w:pPr>
      <w:bookmarkStart w:id="256" w:name="_Toc97643793"/>
      <w:r>
        <w:t>Other notes</w:t>
      </w:r>
      <w:bookmarkEnd w:id="256"/>
    </w:p>
    <w:p>
      <w:pPr>
        <w:pStyle w:val="nNote"/>
        <w:keepNext/>
        <w:keepLines/>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58" w:name="_Toc97634180"/>
      <w:bookmarkStart w:id="259" w:name="_Toc97643794"/>
      <w:r>
        <w:rPr>
          <w:sz w:val="28"/>
        </w:rPr>
        <w:lastRenderedPageBreak/>
        <w:t>Defined terms</w:t>
      </w:r>
      <w:bookmarkEnd w:id="253"/>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ALSWA</w:t>
      </w:r>
      <w:r>
        <w:tab/>
        <w:t>97(1)</w:t>
      </w:r>
    </w:p>
    <w:p>
      <w:pPr>
        <w:pStyle w:val="DefinedTerms"/>
      </w:pPr>
      <w:r>
        <w:t>amendment day</w:t>
      </w:r>
      <w:r>
        <w:tab/>
        <w:t>124(1), 125(2)</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employing entity</w:t>
      </w:r>
      <w:r>
        <w:tab/>
        <w:t>97(1)</w:t>
      </w:r>
    </w:p>
    <w:p>
      <w:pPr>
        <w:pStyle w:val="DefinedTerms"/>
      </w:pPr>
      <w:r>
        <w:t>entity</w:t>
      </w:r>
      <w:r>
        <w:tab/>
        <w:t>3</w:t>
      </w:r>
    </w:p>
    <w:p>
      <w:pPr>
        <w:pStyle w:val="DefinedTerms"/>
      </w:pPr>
      <w:r>
        <w:t>exempt practitioner</w:t>
      </w:r>
      <w:r>
        <w:tab/>
        <w:t>83(1)</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former regulation 97(1)(f)</w:t>
      </w:r>
      <w:r>
        <w:tab/>
        <w:t>125(1)</w:t>
      </w:r>
    </w:p>
    <w:p>
      <w:pPr>
        <w:pStyle w:val="DefinedTerms"/>
      </w:pPr>
      <w:r>
        <w:t>government agency</w:t>
      </w:r>
      <w:r>
        <w:tab/>
        <w:t>5(1), 12(1)</w:t>
      </w:r>
    </w:p>
    <w:p>
      <w:pPr>
        <w:pStyle w:val="DefinedTerms"/>
      </w:pPr>
      <w:r>
        <w:t>insurance year</w:t>
      </w:r>
      <w:r>
        <w:tab/>
        <w:t>83(1)</w:t>
      </w:r>
    </w:p>
    <w:p>
      <w:pPr>
        <w:pStyle w:val="DefinedTerms"/>
      </w:pPr>
      <w:r>
        <w:t>Law Mutual Fund</w:t>
      </w:r>
      <w:r>
        <w:tab/>
        <w:t>83(1)</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PCO CPD arrangements</w:t>
      </w:r>
      <w:r>
        <w:tab/>
        <w:t>18A(1)</w:t>
      </w:r>
    </w:p>
    <w:p>
      <w:pPr>
        <w:pStyle w:val="DefinedTerms"/>
      </w:pPr>
      <w:r>
        <w:t>PCO lawyer</w:t>
      </w:r>
      <w:r>
        <w:tab/>
        <w:t>18A(1)</w:t>
      </w:r>
    </w:p>
    <w:p>
      <w:pPr>
        <w:pStyle w:val="DefinedTerms"/>
      </w:pPr>
      <w:r>
        <w:t>PII arrangement</w:t>
      </w:r>
      <w:r>
        <w:tab/>
        <w:t>83(1)</w:t>
      </w:r>
    </w:p>
    <w:p>
      <w:pPr>
        <w:pStyle w:val="DefinedTerms"/>
      </w:pPr>
      <w:r>
        <w:t>prescribed WA government lawyer</w:t>
      </w:r>
      <w:r>
        <w:tab/>
        <w:t>14(5)</w:t>
      </w:r>
    </w:p>
    <w:p>
      <w:pPr>
        <w:pStyle w:val="DefinedTerms"/>
      </w:pPr>
      <w:r>
        <w:lastRenderedPageBreak/>
        <w:t>professional indemnity insurance</w:t>
      </w:r>
      <w:r>
        <w:tab/>
        <w:t>83(1)</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legal practice</w:t>
      </w:r>
      <w:r>
        <w:tab/>
        <w:t>98(1), 99(1)</w:t>
      </w:r>
    </w:p>
    <w:p>
      <w:pPr>
        <w:pStyle w:val="DefinedTerms"/>
      </w:pPr>
      <w:r>
        <w:t>relevant period</w:t>
      </w:r>
      <w:r>
        <w:tab/>
        <w:t>120(1), 121</w:t>
      </w:r>
    </w:p>
    <w:p>
      <w:pPr>
        <w:pStyle w:val="DefinedTerms"/>
      </w:pPr>
      <w:r>
        <w:t>renewal day</w:t>
      </w:r>
      <w:r>
        <w:tab/>
        <w:t>83(1)</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SSO CPD arrangements</w:t>
      </w:r>
      <w:r>
        <w:tab/>
        <w:t>18A(1)</w:t>
      </w:r>
    </w:p>
    <w:p>
      <w:pPr>
        <w:pStyle w:val="DefinedTerms"/>
      </w:pPr>
      <w:r>
        <w:t>SSO lawyer</w:t>
      </w:r>
      <w:r>
        <w:tab/>
        <w:t>18A(1)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0" w:name="Schedule"/>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04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 w:name="WAFER_20220308120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410_GUID" w:val="3cbd2bf7-a5f8-439c-9dfd-0acba7e39c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3294C0F-650B-43DD-B2ED-414C909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9C2B-1885-4257-81FF-35574455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27055</Words>
  <Characters>133383</Characters>
  <Application>Microsoft Office Word</Application>
  <DocSecurity>0</DocSecurity>
  <Lines>3810</Lines>
  <Paragraphs>2168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2009 - 02-e0-00</dc:title>
  <dc:subject/>
  <dc:creator/>
  <cp:keywords/>
  <dc:description/>
  <cp:lastModifiedBy>Master Repository Process</cp:lastModifiedBy>
  <cp:revision>4</cp:revision>
  <cp:lastPrinted>2017-03-15T01:15:00Z</cp:lastPrinted>
  <dcterms:created xsi:type="dcterms:W3CDTF">2022-03-11T05:14:00Z</dcterms:created>
  <dcterms:modified xsi:type="dcterms:W3CDTF">2022-03-11T05:15:00Z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11 Mar 2022</vt:lpwstr>
  </property>
  <property fmtid="{D5CDD505-2E9C-101B-9397-08002B2CF9AE}" pid="8" name="Suffix">
    <vt:lpwstr>02-e0-00</vt:lpwstr>
  </property>
  <property fmtid="{D5CDD505-2E9C-101B-9397-08002B2CF9AE}" pid="9" name="CommencementDate">
    <vt:lpwstr>20220311</vt:lpwstr>
  </property>
</Properties>
</file>