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Regulations 1947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_Toc97900730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_Toc97900731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Residual current devices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_Toc97900733 \h </w:instrText>
      </w:r>
      <w:r>
        <w:fldChar w:fldCharType="separate"/>
      </w:r>
      <w:r>
        <w:t>3</w:t>
      </w:r>
      <w:r>
        <w:fldChar w:fldCharType="end"/>
      </w:r>
    </w:p>
    <w:p>
      <w:pPr>
        <w:pStyle w:val="TOC8"/>
        <w:rPr>
          <w:rFonts w:asciiTheme="minorHAnsi" w:eastAsiaTheme="minorEastAsia" w:hAnsiTheme="minorHAnsi" w:cstheme="minorBidi"/>
          <w:szCs w:val="22"/>
        </w:rPr>
      </w:pPr>
      <w:r>
        <w:t>12A.</w:t>
      </w:r>
      <w:r>
        <w:tab/>
        <w:t>Installation of residual current devices</w:t>
      </w:r>
      <w:r>
        <w:tab/>
      </w:r>
      <w:r>
        <w:fldChar w:fldCharType="begin"/>
      </w:r>
      <w:r>
        <w:instrText xml:space="preserve"> PAGEREF _Toc97900734 \h </w:instrText>
      </w:r>
      <w:r>
        <w:fldChar w:fldCharType="separate"/>
      </w:r>
      <w:r>
        <w:t>4</w:t>
      </w:r>
      <w:r>
        <w:fldChar w:fldCharType="end"/>
      </w:r>
    </w:p>
    <w:p>
      <w:pPr>
        <w:pStyle w:val="TOC8"/>
        <w:rPr>
          <w:rFonts w:asciiTheme="minorHAnsi" w:eastAsiaTheme="minorEastAsia" w:hAnsiTheme="minorHAnsi" w:cstheme="minorBidi"/>
          <w:szCs w:val="22"/>
        </w:rPr>
      </w:pPr>
      <w:r>
        <w:t>13.</w:t>
      </w:r>
      <w:r>
        <w:tab/>
        <w:t>Residential premises occupied by owner</w:t>
      </w:r>
      <w:r>
        <w:tab/>
      </w:r>
      <w:r>
        <w:fldChar w:fldCharType="begin"/>
      </w:r>
      <w:r>
        <w:instrText xml:space="preserve"> PAGEREF _Toc97900735 \h </w:instrText>
      </w:r>
      <w:r>
        <w:fldChar w:fldCharType="separate"/>
      </w:r>
      <w:r>
        <w:t>5</w:t>
      </w:r>
      <w:r>
        <w:fldChar w:fldCharType="end"/>
      </w:r>
    </w:p>
    <w:p>
      <w:pPr>
        <w:pStyle w:val="TOC8"/>
        <w:rPr>
          <w:rFonts w:asciiTheme="minorHAnsi" w:eastAsiaTheme="minorEastAsia" w:hAnsiTheme="minorHAnsi" w:cstheme="minorBidi"/>
          <w:szCs w:val="22"/>
        </w:rPr>
      </w:pPr>
      <w:r>
        <w:t>14.</w:t>
      </w:r>
      <w:r>
        <w:tab/>
        <w:t>Residential premises not occupied by owner</w:t>
      </w:r>
      <w:r>
        <w:tab/>
      </w:r>
      <w:r>
        <w:fldChar w:fldCharType="begin"/>
      </w:r>
      <w:r>
        <w:instrText xml:space="preserve"> PAGEREF _Toc97900736 \h </w:instrText>
      </w:r>
      <w:r>
        <w:fldChar w:fldCharType="separate"/>
      </w:r>
      <w:r>
        <w:t>6</w:t>
      </w:r>
      <w:r>
        <w:fldChar w:fldCharType="end"/>
      </w:r>
    </w:p>
    <w:p>
      <w:pPr>
        <w:pStyle w:val="TOC8"/>
        <w:rPr>
          <w:rFonts w:asciiTheme="minorHAnsi" w:eastAsiaTheme="minorEastAsia" w:hAnsiTheme="minorHAnsi" w:cstheme="minorBidi"/>
          <w:szCs w:val="22"/>
        </w:rPr>
      </w:pPr>
      <w:r>
        <w:t>15A.</w:t>
      </w:r>
      <w:r>
        <w:tab/>
        <w:t>New owner’s obligation to install residual current devices and right to recover costs</w:t>
      </w:r>
      <w:r>
        <w:tab/>
      </w:r>
      <w:r>
        <w:fldChar w:fldCharType="begin"/>
      </w:r>
      <w:r>
        <w:instrText xml:space="preserve"> PAGEREF _Toc97900737 \h </w:instrText>
      </w:r>
      <w:r>
        <w:fldChar w:fldCharType="separate"/>
      </w:r>
      <w:r>
        <w:t>7</w:t>
      </w:r>
      <w:r>
        <w:fldChar w:fldCharType="end"/>
      </w:r>
    </w:p>
    <w:p>
      <w:pPr>
        <w:pStyle w:val="TOC8"/>
        <w:rPr>
          <w:rFonts w:asciiTheme="minorHAnsi" w:eastAsiaTheme="minorEastAsia" w:hAnsiTheme="minorHAnsi" w:cstheme="minorBidi"/>
          <w:szCs w:val="22"/>
        </w:rPr>
      </w:pPr>
      <w:r>
        <w:t>15.</w:t>
      </w:r>
      <w:r>
        <w:tab/>
        <w:t>Common property relating to residential premises</w:t>
      </w:r>
      <w:r>
        <w:tab/>
      </w:r>
      <w:r>
        <w:fldChar w:fldCharType="begin"/>
      </w:r>
      <w:r>
        <w:instrText xml:space="preserve"> PAGEREF _Toc97900738 \h </w:instrText>
      </w:r>
      <w:r>
        <w:fldChar w:fldCharType="separate"/>
      </w:r>
      <w:r>
        <w:t>8</w:t>
      </w:r>
      <w:r>
        <w:fldChar w:fldCharType="end"/>
      </w:r>
    </w:p>
    <w:p>
      <w:pPr>
        <w:pStyle w:val="TOC8"/>
        <w:rPr>
          <w:rFonts w:asciiTheme="minorHAnsi" w:eastAsiaTheme="minorEastAsia" w:hAnsiTheme="minorHAnsi" w:cstheme="minorBidi"/>
          <w:szCs w:val="22"/>
        </w:rPr>
      </w:pPr>
      <w:r>
        <w:t>16.</w:t>
      </w:r>
      <w:r>
        <w:tab/>
        <w:t>Defences in case of demolition</w:t>
      </w:r>
      <w:r>
        <w:tab/>
      </w:r>
      <w:r>
        <w:fldChar w:fldCharType="begin"/>
      </w:r>
      <w:r>
        <w:instrText xml:space="preserve"> PAGEREF _Toc97900739 \h </w:instrText>
      </w:r>
      <w:r>
        <w:fldChar w:fldCharType="separate"/>
      </w:r>
      <w:r>
        <w:t>8</w:t>
      </w:r>
      <w:r>
        <w:fldChar w:fldCharType="end"/>
      </w:r>
    </w:p>
    <w:p>
      <w:pPr>
        <w:pStyle w:val="TOC8"/>
        <w:rPr>
          <w:rFonts w:asciiTheme="minorHAnsi" w:eastAsiaTheme="minorEastAsia" w:hAnsiTheme="minorHAnsi" w:cstheme="minorBidi"/>
          <w:szCs w:val="22"/>
        </w:rPr>
      </w:pPr>
      <w:r>
        <w:t>17.</w:t>
      </w:r>
      <w:r>
        <w:tab/>
        <w:t>Transportable structures or vehicles used for accommodation</w:t>
      </w:r>
      <w:r>
        <w:tab/>
      </w:r>
      <w:r>
        <w:fldChar w:fldCharType="begin"/>
      </w:r>
      <w:r>
        <w:instrText xml:space="preserve"> PAGEREF _Toc97900740 \h </w:instrText>
      </w:r>
      <w:r>
        <w:fldChar w:fldCharType="separate"/>
      </w:r>
      <w:r>
        <w:t>8</w:t>
      </w:r>
      <w:r>
        <w:fldChar w:fldCharType="end"/>
      </w:r>
    </w:p>
    <w:p>
      <w:pPr>
        <w:pStyle w:val="TOC8"/>
        <w:rPr>
          <w:rFonts w:asciiTheme="minorHAnsi" w:eastAsiaTheme="minorEastAsia" w:hAnsiTheme="minorHAnsi" w:cstheme="minorBidi"/>
          <w:szCs w:val="22"/>
        </w:rPr>
      </w:pPr>
      <w:r>
        <w:t>18.</w:t>
      </w:r>
      <w:r>
        <w:tab/>
        <w:t>Director may grant temporary exemptions</w:t>
      </w:r>
      <w:r>
        <w:tab/>
      </w:r>
      <w:r>
        <w:fldChar w:fldCharType="begin"/>
      </w:r>
      <w:r>
        <w:instrText xml:space="preserve"> PAGEREF _Toc97900741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V — Interfering with electrical installations</w:t>
      </w:r>
    </w:p>
    <w:p>
      <w:pPr>
        <w:pStyle w:val="TOC8"/>
        <w:rPr>
          <w:rFonts w:asciiTheme="minorHAnsi" w:eastAsiaTheme="minorEastAsia" w:hAnsiTheme="minorHAnsi" w:cstheme="minorBidi"/>
          <w:szCs w:val="22"/>
        </w:rPr>
      </w:pPr>
      <w:r>
        <w:t>19.</w:t>
      </w:r>
      <w:r>
        <w:tab/>
        <w:t>Interfering with electrical installations</w:t>
      </w:r>
      <w:r>
        <w:tab/>
      </w:r>
      <w:r>
        <w:fldChar w:fldCharType="begin"/>
      </w:r>
      <w:r>
        <w:instrText xml:space="preserve"> PAGEREF _Toc97900743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VIII — Supply of electricity to consumers</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_Toc97900745 \h </w:instrText>
      </w:r>
      <w:r>
        <w:fldChar w:fldCharType="separate"/>
      </w:r>
      <w:r>
        <w:t>11</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Connection of supply</w:t>
      </w:r>
      <w:r>
        <w:tab/>
      </w:r>
      <w:r>
        <w:fldChar w:fldCharType="begin"/>
      </w:r>
      <w:r>
        <w:instrText xml:space="preserve"> PAGEREF _Toc97900746 \h </w:instrText>
      </w:r>
      <w:r>
        <w:fldChar w:fldCharType="separate"/>
      </w:r>
      <w:r>
        <w:t>11</w:t>
      </w:r>
      <w:r>
        <w:fldChar w:fldCharType="end"/>
      </w:r>
    </w:p>
    <w:p>
      <w:pPr>
        <w:pStyle w:val="TOC8"/>
        <w:rPr>
          <w:rFonts w:asciiTheme="minorHAnsi" w:eastAsiaTheme="minorEastAsia" w:hAnsiTheme="minorHAnsi" w:cstheme="minorBidi"/>
          <w:szCs w:val="22"/>
        </w:rPr>
      </w:pPr>
      <w:r>
        <w:t>243.</w:t>
      </w:r>
      <w:r>
        <w:tab/>
        <w:t>Voltage on neutral conductor</w:t>
      </w:r>
      <w:r>
        <w:tab/>
      </w:r>
      <w:r>
        <w:fldChar w:fldCharType="begin"/>
      </w:r>
      <w:r>
        <w:instrText xml:space="preserve"> PAGEREF _Toc97900747 \h </w:instrText>
      </w:r>
      <w:r>
        <w:fldChar w:fldCharType="separate"/>
      </w:r>
      <w:r>
        <w:t>12</w:t>
      </w:r>
      <w:r>
        <w:fldChar w:fldCharType="end"/>
      </w:r>
    </w:p>
    <w:p>
      <w:pPr>
        <w:pStyle w:val="TOC8"/>
        <w:rPr>
          <w:rFonts w:asciiTheme="minorHAnsi" w:eastAsiaTheme="minorEastAsia" w:hAnsiTheme="minorHAnsi" w:cstheme="minorBidi"/>
          <w:szCs w:val="22"/>
        </w:rPr>
      </w:pPr>
      <w:r>
        <w:lastRenderedPageBreak/>
        <w:t>244.</w:t>
      </w:r>
      <w:r>
        <w:tab/>
        <w:t>Damage by overloading to network operator’s apparatus</w:t>
      </w:r>
      <w:r>
        <w:tab/>
      </w:r>
      <w:r>
        <w:fldChar w:fldCharType="begin"/>
      </w:r>
      <w:r>
        <w:instrText xml:space="preserve"> PAGEREF _Toc97900748 \h </w:instrText>
      </w:r>
      <w:r>
        <w:fldChar w:fldCharType="separate"/>
      </w:r>
      <w:r>
        <w:t>14</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Fixing leads in fuses, meters etc.</w:t>
      </w:r>
      <w:r>
        <w:tab/>
      </w:r>
      <w:r>
        <w:fldChar w:fldCharType="begin"/>
      </w:r>
      <w:r>
        <w:instrText xml:space="preserve"> PAGEREF _Toc97900749 \h </w:instrText>
      </w:r>
      <w:r>
        <w:fldChar w:fldCharType="separate"/>
      </w:r>
      <w:r>
        <w:t>14</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Systems of inspection</w:t>
      </w:r>
      <w:r>
        <w:tab/>
      </w:r>
      <w:r>
        <w:fldChar w:fldCharType="begin"/>
      </w:r>
      <w:r>
        <w:instrText xml:space="preserve"> PAGEREF _Toc97900750 \h </w:instrText>
      </w:r>
      <w:r>
        <w:fldChar w:fldCharType="separate"/>
      </w:r>
      <w:r>
        <w:t>14</w:t>
      </w:r>
      <w:r>
        <w:fldChar w:fldCharType="end"/>
      </w:r>
    </w:p>
    <w:p>
      <w:pPr>
        <w:pStyle w:val="TOC8"/>
        <w:rPr>
          <w:rFonts w:asciiTheme="minorHAnsi" w:eastAsiaTheme="minorEastAsia" w:hAnsiTheme="minorHAnsi" w:cstheme="minorBidi"/>
          <w:szCs w:val="22"/>
        </w:rPr>
      </w:pPr>
      <w:r>
        <w:t>254.</w:t>
      </w:r>
      <w:r>
        <w:tab/>
        <w:t>Individual inspection and reporting for electric installation</w:t>
      </w:r>
      <w:r>
        <w:tab/>
      </w:r>
      <w:r>
        <w:fldChar w:fldCharType="begin"/>
      </w:r>
      <w:r>
        <w:instrText xml:space="preserve"> PAGEREF _Toc97900751 \h </w:instrText>
      </w:r>
      <w:r>
        <w:fldChar w:fldCharType="separate"/>
      </w:r>
      <w:r>
        <w:t>19</w:t>
      </w:r>
      <w:r>
        <w:fldChar w:fldCharType="end"/>
      </w:r>
    </w:p>
    <w:p>
      <w:pPr>
        <w:pStyle w:val="TOC8"/>
        <w:rPr>
          <w:rFonts w:asciiTheme="minorHAnsi" w:eastAsiaTheme="minorEastAsia" w:hAnsiTheme="minorHAnsi" w:cstheme="minorBidi"/>
          <w:szCs w:val="22"/>
        </w:rPr>
      </w:pPr>
      <w:r>
        <w:t>257.</w:t>
      </w:r>
      <w:r>
        <w:tab/>
        <w:t>Supply to premises requiring transformers</w:t>
      </w:r>
      <w:r>
        <w:tab/>
      </w:r>
      <w:r>
        <w:fldChar w:fldCharType="begin"/>
      </w:r>
      <w:r>
        <w:instrText xml:space="preserve"> PAGEREF _Toc97900752 \h </w:instrText>
      </w:r>
      <w:r>
        <w:fldChar w:fldCharType="separate"/>
      </w:r>
      <w:r>
        <w:t>20</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Interference with supply to other consumers</w:t>
      </w:r>
      <w:r>
        <w:tab/>
      </w:r>
      <w:r>
        <w:fldChar w:fldCharType="begin"/>
      </w:r>
      <w:r>
        <w:instrText xml:space="preserve"> PAGEREF _Toc97900753 \h </w:instrText>
      </w:r>
      <w:r>
        <w:fldChar w:fldCharType="separate"/>
      </w:r>
      <w:r>
        <w:t>21</w:t>
      </w:r>
      <w:r>
        <w:fldChar w:fldCharType="end"/>
      </w:r>
    </w:p>
    <w:p>
      <w:pPr>
        <w:pStyle w:val="TOC8"/>
        <w:rPr>
          <w:rFonts w:asciiTheme="minorHAnsi" w:eastAsiaTheme="minorEastAsia" w:hAnsiTheme="minorHAnsi" w:cstheme="minorBidi"/>
          <w:szCs w:val="22"/>
        </w:rPr>
      </w:pPr>
      <w:r>
        <w:t>271.</w:t>
      </w:r>
      <w:r>
        <w:tab/>
        <w:t>Apparatus, interruptions, responsibility</w:t>
      </w:r>
      <w:r>
        <w:tab/>
      </w:r>
      <w:r>
        <w:fldChar w:fldCharType="begin"/>
      </w:r>
      <w:r>
        <w:instrText xml:space="preserve"> PAGEREF _Toc97900754 \h </w:instrText>
      </w:r>
      <w:r>
        <w:fldChar w:fldCharType="separate"/>
      </w:r>
      <w:r>
        <w:t>21</w:t>
      </w:r>
      <w:r>
        <w:fldChar w:fldCharType="end"/>
      </w:r>
    </w:p>
    <w:p>
      <w:pPr>
        <w:pStyle w:val="TOC8"/>
        <w:rPr>
          <w:rFonts w:asciiTheme="minorHAnsi" w:eastAsiaTheme="minorEastAsia" w:hAnsiTheme="minorHAnsi" w:cstheme="minorBidi"/>
          <w:szCs w:val="22"/>
        </w:rPr>
      </w:pPr>
      <w:r>
        <w:t>272.</w:t>
      </w:r>
      <w:r>
        <w:tab/>
        <w:t>Disconnections</w:t>
      </w:r>
      <w:r>
        <w:tab/>
      </w:r>
      <w:r>
        <w:fldChar w:fldCharType="begin"/>
      </w:r>
      <w:r>
        <w:instrText xml:space="preserve"> PAGEREF _Toc97900755 \h </w:instrText>
      </w:r>
      <w:r>
        <w:fldChar w:fldCharType="separate"/>
      </w:r>
      <w:r>
        <w:t>22</w:t>
      </w:r>
      <w:r>
        <w:fldChar w:fldCharType="end"/>
      </w:r>
    </w:p>
    <w:p>
      <w:pPr>
        <w:pStyle w:val="TOC8"/>
        <w:rPr>
          <w:rFonts w:asciiTheme="minorHAnsi" w:eastAsiaTheme="minorEastAsia" w:hAnsiTheme="minorHAnsi" w:cstheme="minorBidi"/>
          <w:szCs w:val="22"/>
        </w:rPr>
      </w:pPr>
      <w:r>
        <w:t>274.</w:t>
      </w:r>
      <w:r>
        <w:tab/>
        <w:t>Consumer’s liability for loss</w:t>
      </w:r>
      <w:r>
        <w:tab/>
      </w:r>
      <w:r>
        <w:fldChar w:fldCharType="begin"/>
      </w:r>
      <w:r>
        <w:instrText xml:space="preserve"> PAGEREF _Toc97900756 \h </w:instrText>
      </w:r>
      <w:r>
        <w:fldChar w:fldCharType="separate"/>
      </w:r>
      <w:r>
        <w:t>22</w:t>
      </w:r>
      <w:r>
        <w:fldChar w:fldCharType="end"/>
      </w:r>
    </w:p>
    <w:p>
      <w:pPr>
        <w:pStyle w:val="TOC8"/>
        <w:rPr>
          <w:rFonts w:asciiTheme="minorHAnsi" w:eastAsiaTheme="minorEastAsia" w:hAnsiTheme="minorHAnsi" w:cstheme="minorBidi"/>
          <w:szCs w:val="22"/>
        </w:rPr>
      </w:pPr>
      <w:r>
        <w:t>276.</w:t>
      </w:r>
      <w:r>
        <w:tab/>
        <w:t>Alteration to system</w:t>
      </w:r>
      <w:r>
        <w:tab/>
      </w:r>
      <w:r>
        <w:fldChar w:fldCharType="begin"/>
      </w:r>
      <w:r>
        <w:instrText xml:space="preserve"> PAGEREF _Toc97900757 \h </w:instrText>
      </w:r>
      <w:r>
        <w:fldChar w:fldCharType="separate"/>
      </w:r>
      <w:r>
        <w:t>23</w:t>
      </w:r>
      <w:r>
        <w:fldChar w:fldCharType="end"/>
      </w:r>
    </w:p>
    <w:p>
      <w:pPr>
        <w:pStyle w:val="TOC8"/>
        <w:rPr>
          <w:rFonts w:asciiTheme="minorHAnsi" w:eastAsiaTheme="minorEastAsia" w:hAnsiTheme="minorHAnsi" w:cstheme="minorBidi"/>
          <w:szCs w:val="22"/>
        </w:rPr>
      </w:pPr>
      <w:r>
        <w:t>280.</w:t>
      </w:r>
      <w:r>
        <w:tab/>
        <w:t>Charges for services</w:t>
      </w:r>
      <w:r>
        <w:tab/>
      </w:r>
      <w:r>
        <w:fldChar w:fldCharType="begin"/>
      </w:r>
      <w:r>
        <w:instrText xml:space="preserve"> PAGEREF _Toc97900758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Vegetation control safety requirements</w:t>
      </w:r>
    </w:p>
    <w:p>
      <w:pPr>
        <w:pStyle w:val="TOC8"/>
        <w:rPr>
          <w:rFonts w:asciiTheme="minorHAnsi" w:eastAsiaTheme="minorEastAsia" w:hAnsiTheme="minorHAnsi" w:cstheme="minorBidi"/>
          <w:szCs w:val="22"/>
        </w:rPr>
      </w:pPr>
      <w:r>
        <w:t>316A</w:t>
      </w:r>
      <w:r>
        <w:rPr>
          <w:snapToGrid w:val="0"/>
        </w:rPr>
        <w:t>.</w:t>
      </w:r>
      <w:r>
        <w:rPr>
          <w:snapToGrid w:val="0"/>
        </w:rPr>
        <w:tab/>
        <w:t>Vegetation control work near overhead power lines</w:t>
      </w:r>
      <w:r>
        <w:tab/>
      </w:r>
      <w:r>
        <w:fldChar w:fldCharType="begin"/>
      </w:r>
      <w:r>
        <w:instrText xml:space="preserve"> PAGEREF _Toc97900760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X — Approval of electrical appliances</w:t>
      </w:r>
    </w:p>
    <w:p>
      <w:pPr>
        <w:pStyle w:val="TOC8"/>
        <w:rPr>
          <w:rFonts w:asciiTheme="minorHAnsi" w:eastAsiaTheme="minorEastAsia" w:hAnsiTheme="minorHAnsi" w:cstheme="minorBidi"/>
          <w:szCs w:val="22"/>
        </w:rPr>
      </w:pPr>
      <w:r>
        <w:t>321.</w:t>
      </w:r>
      <w:r>
        <w:tab/>
        <w:t>Terms used</w:t>
      </w:r>
      <w:r>
        <w:tab/>
      </w:r>
      <w:r>
        <w:fldChar w:fldCharType="begin"/>
      </w:r>
      <w:r>
        <w:instrText xml:space="preserve"> PAGEREF _Toc97900762 \h </w:instrText>
      </w:r>
      <w:r>
        <w:fldChar w:fldCharType="separate"/>
      </w:r>
      <w:r>
        <w:t>27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Application for approval</w:t>
      </w:r>
      <w:r>
        <w:tab/>
      </w:r>
      <w:r>
        <w:fldChar w:fldCharType="begin"/>
      </w:r>
      <w:r>
        <w:instrText xml:space="preserve"> PAGEREF _Toc97900763 \h </w:instrText>
      </w:r>
      <w:r>
        <w:fldChar w:fldCharType="separate"/>
      </w:r>
      <w:r>
        <w:t>28</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Further testing of electrical appliances approved</w:t>
      </w:r>
      <w:r>
        <w:tab/>
      </w:r>
      <w:r>
        <w:fldChar w:fldCharType="begin"/>
      </w:r>
      <w:r>
        <w:instrText xml:space="preserve"> PAGEREF _Toc97900764 \h </w:instrText>
      </w:r>
      <w:r>
        <w:fldChar w:fldCharType="separate"/>
      </w:r>
      <w:r>
        <w:t>30</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Certificate of approval</w:t>
      </w:r>
      <w:r>
        <w:tab/>
      </w:r>
      <w:r>
        <w:fldChar w:fldCharType="begin"/>
      </w:r>
      <w:r>
        <w:instrText xml:space="preserve"> PAGEREF _Toc97900765 \h </w:instrText>
      </w:r>
      <w:r>
        <w:fldChar w:fldCharType="separate"/>
      </w:r>
      <w:r>
        <w:t>31</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Stamping and labelling of approved electrical appliances</w:t>
      </w:r>
      <w:r>
        <w:tab/>
      </w:r>
      <w:r>
        <w:fldChar w:fldCharType="begin"/>
      </w:r>
      <w:r>
        <w:instrText xml:space="preserve"> PAGEREF _Toc97900766 \h </w:instrText>
      </w:r>
      <w:r>
        <w:fldChar w:fldCharType="separate"/>
      </w:r>
      <w:r>
        <w:t>33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Modification of design or construction</w:t>
      </w:r>
      <w:r>
        <w:tab/>
      </w:r>
      <w:r>
        <w:fldChar w:fldCharType="begin"/>
      </w:r>
      <w:r>
        <w:instrText xml:space="preserve"> PAGEREF _Toc97900767 \h </w:instrText>
      </w:r>
      <w:r>
        <w:fldChar w:fldCharType="separate"/>
      </w:r>
      <w:r>
        <w:t>35</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Transfer of certificate of approval</w:t>
      </w:r>
      <w:r>
        <w:tab/>
      </w:r>
      <w:r>
        <w:fldChar w:fldCharType="begin"/>
      </w:r>
      <w:r>
        <w:instrText xml:space="preserve"> PAGEREF _Toc97900768 \h </w:instrText>
      </w:r>
      <w:r>
        <w:fldChar w:fldCharType="separate"/>
      </w:r>
      <w:r>
        <w:t>35</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Lost or destroyed certificates of approval</w:t>
      </w:r>
      <w:r>
        <w:tab/>
      </w:r>
      <w:r>
        <w:fldChar w:fldCharType="begin"/>
      </w:r>
      <w:r>
        <w:instrText xml:space="preserve"> PAGEREF _Toc97900769 \h </w:instrText>
      </w:r>
      <w:r>
        <w:fldChar w:fldCharType="separate"/>
      </w:r>
      <w:r>
        <w:t>36</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Delegation by Director</w:t>
      </w:r>
      <w:r>
        <w:tab/>
      </w:r>
      <w:r>
        <w:fldChar w:fldCharType="begin"/>
      </w:r>
      <w:r>
        <w:instrText xml:space="preserve"> PAGEREF _Toc97900770 \h </w:instrText>
      </w:r>
      <w:r>
        <w:fldChar w:fldCharType="separate"/>
      </w:r>
      <w:r>
        <w:t>36</w:t>
      </w:r>
      <w:r>
        <w:fldChar w:fldCharType="end"/>
      </w:r>
    </w:p>
    <w:p>
      <w:pPr>
        <w:pStyle w:val="TOC8"/>
        <w:rPr>
          <w:rFonts w:asciiTheme="minorHAnsi" w:eastAsiaTheme="minorEastAsia" w:hAnsiTheme="minorHAnsi" w:cstheme="minorBidi"/>
          <w:szCs w:val="22"/>
        </w:rPr>
      </w:pPr>
      <w:r>
        <w:t>332</w:t>
      </w:r>
      <w:r>
        <w:rPr>
          <w:snapToGrid w:val="0"/>
        </w:rPr>
        <w:t>.</w:t>
      </w:r>
      <w:r>
        <w:rPr>
          <w:snapToGrid w:val="0"/>
        </w:rPr>
        <w:tab/>
        <w:t>Refusal or withdrawal of approval</w:t>
      </w:r>
      <w:r>
        <w:tab/>
      </w:r>
      <w:r>
        <w:fldChar w:fldCharType="begin"/>
      </w:r>
      <w:r>
        <w:instrText xml:space="preserve"> PAGEREF _Toc97900771 \h </w:instrText>
      </w:r>
      <w:r>
        <w:fldChar w:fldCharType="separate"/>
      </w:r>
      <w:r>
        <w:t>37</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Notification of withdrawal of approval</w:t>
      </w:r>
      <w:r>
        <w:tab/>
      </w:r>
      <w:r>
        <w:fldChar w:fldCharType="begin"/>
      </w:r>
      <w:r>
        <w:instrText xml:space="preserve"> PAGEREF _Toc97900772 \h </w:instrText>
      </w:r>
      <w:r>
        <w:fldChar w:fldCharType="separate"/>
      </w:r>
      <w:r>
        <w:t>39</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Deferment of approval</w:t>
      </w:r>
      <w:r>
        <w:tab/>
      </w:r>
      <w:r>
        <w:fldChar w:fldCharType="begin"/>
      </w:r>
      <w:r>
        <w:instrText xml:space="preserve"> PAGEREF _Toc97900773 \h </w:instrText>
      </w:r>
      <w:r>
        <w:fldChar w:fldCharType="separate"/>
      </w:r>
      <w:r>
        <w:t>40</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Purchase of electrical appliances for inspection</w:t>
      </w:r>
      <w:r>
        <w:tab/>
      </w:r>
      <w:r>
        <w:fldChar w:fldCharType="begin"/>
      </w:r>
      <w:r>
        <w:instrText xml:space="preserve"> PAGEREF _Toc97900774 \h </w:instrText>
      </w:r>
      <w:r>
        <w:fldChar w:fldCharType="separate"/>
      </w:r>
      <w:r>
        <w:t>40</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Obstruction of officers</w:t>
      </w:r>
      <w:r>
        <w:tab/>
      </w:r>
      <w:r>
        <w:fldChar w:fldCharType="begin"/>
      </w:r>
      <w:r>
        <w:instrText xml:space="preserve"> PAGEREF _Toc97900775 \h </w:instrText>
      </w:r>
      <w:r>
        <w:fldChar w:fldCharType="separate"/>
      </w:r>
      <w:r>
        <w:t>41</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Register of Prescribed Electrical Appliances and Register of Approved Electrical Appliances</w:t>
      </w:r>
      <w:r>
        <w:tab/>
      </w:r>
      <w:r>
        <w:fldChar w:fldCharType="begin"/>
      </w:r>
      <w:r>
        <w:instrText xml:space="preserve"> PAGEREF _Toc97900776 \h </w:instrText>
      </w:r>
      <w:r>
        <w:fldChar w:fldCharType="separate"/>
      </w:r>
      <w:r>
        <w:t>42</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Change of address</w:t>
      </w:r>
      <w:r>
        <w:tab/>
      </w:r>
      <w:r>
        <w:fldChar w:fldCharType="begin"/>
      </w:r>
      <w:r>
        <w:instrText xml:space="preserve"> PAGEREF _Toc97900777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XI — Penalties and enforcement</w:t>
      </w:r>
    </w:p>
    <w:p>
      <w:pPr>
        <w:pStyle w:val="TOC8"/>
        <w:rPr>
          <w:rFonts w:asciiTheme="minorHAnsi" w:eastAsiaTheme="minorEastAsia" w:hAnsiTheme="minorHAnsi" w:cstheme="minorBidi"/>
          <w:szCs w:val="22"/>
        </w:rPr>
      </w:pPr>
      <w:r>
        <w:t>340</w:t>
      </w:r>
      <w:r>
        <w:rPr>
          <w:snapToGrid w:val="0"/>
        </w:rPr>
        <w:t>.</w:t>
      </w:r>
      <w:r>
        <w:rPr>
          <w:snapToGrid w:val="0"/>
        </w:rPr>
        <w:tab/>
        <w:t>Penalties</w:t>
      </w:r>
      <w:r>
        <w:tab/>
      </w:r>
      <w:r>
        <w:fldChar w:fldCharType="begin"/>
      </w:r>
      <w:r>
        <w:instrText xml:space="preserve"> PAGEREF _Toc97900779 \h </w:instrText>
      </w:r>
      <w:r>
        <w:fldChar w:fldCharType="separate"/>
      </w:r>
      <w:r>
        <w:t>44</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Proceedings</w:t>
      </w:r>
      <w:r>
        <w:tab/>
      </w:r>
      <w:r>
        <w:fldChar w:fldCharType="begin"/>
      </w:r>
      <w:r>
        <w:instrText xml:space="preserve"> PAGEREF _Toc97900780 \h </w:instrText>
      </w:r>
      <w:r>
        <w:fldChar w:fldCharType="separate"/>
      </w:r>
      <w:r>
        <w:t>44</w:t>
      </w:r>
      <w:r>
        <w:fldChar w:fldCharType="end"/>
      </w:r>
    </w:p>
    <w:p>
      <w:pPr>
        <w:pStyle w:val="TOC8"/>
        <w:rPr>
          <w:rFonts w:asciiTheme="minorHAnsi" w:eastAsiaTheme="minorEastAsia" w:hAnsiTheme="minorHAnsi" w:cstheme="minorBidi"/>
          <w:szCs w:val="22"/>
        </w:rPr>
      </w:pPr>
      <w:r>
        <w:t>342.</w:t>
      </w:r>
      <w:r>
        <w:tab/>
        <w:t>Prescribed offences and modified penalties</w:t>
      </w:r>
      <w:r>
        <w:tab/>
      </w:r>
      <w:r>
        <w:fldChar w:fldCharType="begin"/>
      </w:r>
      <w:r>
        <w:instrText xml:space="preserve"> PAGEREF _Toc97900781 \h </w:instrText>
      </w:r>
      <w:r>
        <w:fldChar w:fldCharType="separate"/>
      </w:r>
      <w:r>
        <w:t>44</w:t>
      </w:r>
      <w:r>
        <w:fldChar w:fldCharType="end"/>
      </w:r>
    </w:p>
    <w:p>
      <w:pPr>
        <w:pStyle w:val="TOC8"/>
        <w:rPr>
          <w:rFonts w:asciiTheme="minorHAnsi" w:eastAsiaTheme="minorEastAsia" w:hAnsiTheme="minorHAnsi" w:cstheme="minorBidi"/>
          <w:szCs w:val="22"/>
        </w:rPr>
      </w:pPr>
      <w:r>
        <w:t>343.</w:t>
      </w:r>
      <w:r>
        <w:tab/>
        <w:t>Authorised officers and approved officers</w:t>
      </w:r>
      <w:r>
        <w:tab/>
      </w:r>
      <w:r>
        <w:fldChar w:fldCharType="begin"/>
      </w:r>
      <w:r>
        <w:instrText xml:space="preserve"> PAGEREF _Toc97900782 \h </w:instrText>
      </w:r>
      <w:r>
        <w:fldChar w:fldCharType="separate"/>
      </w:r>
      <w:r>
        <w:t>44</w:t>
      </w:r>
      <w:r>
        <w:fldChar w:fldCharType="end"/>
      </w:r>
    </w:p>
    <w:p>
      <w:pPr>
        <w:pStyle w:val="TOC8"/>
        <w:rPr>
          <w:rFonts w:asciiTheme="minorHAnsi" w:eastAsiaTheme="minorEastAsia" w:hAnsiTheme="minorHAnsi" w:cstheme="minorBidi"/>
          <w:szCs w:val="22"/>
        </w:rPr>
      </w:pPr>
      <w:r>
        <w:t>344.</w:t>
      </w:r>
      <w:r>
        <w:tab/>
        <w:t>Forms</w:t>
      </w:r>
      <w:r>
        <w:tab/>
      </w:r>
      <w:r>
        <w:fldChar w:fldCharType="begin"/>
      </w:r>
      <w:r>
        <w:instrText xml:space="preserve"> PAGEREF _Toc97900783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_Toc97900787 \h </w:instrText>
      </w:r>
      <w:r>
        <w:fldChar w:fldCharType="separate"/>
      </w:r>
      <w:r>
        <w:t>56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_Toc97900788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rPr>
          <w:snapToGrid w:val="0"/>
        </w:rPr>
        <w:lastRenderedPageBreak/>
        <w:t>Electricity Act 1945</w:t>
      </w:r>
    </w:p>
    <w:p>
      <w:pPr>
        <w:pStyle w:val="NameofActReg"/>
        <w:spacing w:before="720" w:after="720"/>
      </w:pPr>
      <w:r>
        <w:t>Electricity Regulations 1947</w:t>
      </w:r>
    </w:p>
    <w:p>
      <w:pPr>
        <w:pStyle w:val="Heading2"/>
        <w:keepNext w:val="0"/>
        <w:pageBreakBefore w:val="0"/>
        <w:spacing w:before="280"/>
      </w:pPr>
      <w:bookmarkStart w:id="3" w:name="_Toc97807666"/>
      <w:bookmarkStart w:id="4" w:name="_Toc97808025"/>
      <w:bookmarkStart w:id="5" w:name="_Toc97900729"/>
      <w:r>
        <w:rPr>
          <w:rStyle w:val="CharPartNo"/>
        </w:rPr>
        <w:t>Part I</w:t>
      </w:r>
      <w:r>
        <w:t xml:space="preserve"> — </w:t>
      </w:r>
      <w:r>
        <w:rPr>
          <w:rStyle w:val="CharPartText"/>
        </w:rPr>
        <w:t>Preliminary</w:t>
      </w:r>
      <w:bookmarkEnd w:id="3"/>
      <w:bookmarkEnd w:id="4"/>
      <w:bookmarkEnd w:id="5"/>
    </w:p>
    <w:p>
      <w:pPr>
        <w:pStyle w:val="Footnoteheading"/>
      </w:pPr>
      <w:r>
        <w:tab/>
        <w:t>[Heading inserted: Gazette 30 May 2000 p. 2567.]</w:t>
      </w:r>
    </w:p>
    <w:p>
      <w:pPr>
        <w:pStyle w:val="Heading5"/>
        <w:spacing w:before="300"/>
      </w:pPr>
      <w:bookmarkStart w:id="6" w:name="_Toc97900730"/>
      <w:r>
        <w:rPr>
          <w:rStyle w:val="CharSectno"/>
        </w:rPr>
        <w:t>1</w:t>
      </w:r>
      <w:r>
        <w:t>.</w:t>
      </w:r>
      <w:r>
        <w:tab/>
        <w:t>Citation</w:t>
      </w:r>
      <w:bookmarkEnd w:id="6"/>
    </w:p>
    <w:p>
      <w:pPr>
        <w:pStyle w:val="Subsection"/>
        <w:spacing w:before="220"/>
      </w:pPr>
      <w:r>
        <w:tab/>
      </w:r>
      <w:r>
        <w:tab/>
        <w:t xml:space="preserve">These regulations may be cited as the </w:t>
      </w:r>
      <w:r>
        <w:rPr>
          <w:i/>
        </w:rPr>
        <w:t>Electricity Regulations 1947</w:t>
      </w:r>
      <w:r>
        <w:t>.</w:t>
      </w:r>
    </w:p>
    <w:p>
      <w:pPr>
        <w:pStyle w:val="Footnotesection"/>
        <w:spacing w:before="160"/>
        <w:ind w:left="890" w:hanging="890"/>
      </w:pPr>
      <w:r>
        <w:tab/>
        <w:t>[Regulation 1 inserted: Gazette 30 May 2000 p. 2567.]</w:t>
      </w:r>
    </w:p>
    <w:p>
      <w:pPr>
        <w:pStyle w:val="Heading5"/>
      </w:pPr>
      <w:bookmarkStart w:id="7" w:name="_Toc97900731"/>
      <w:r>
        <w:rPr>
          <w:rStyle w:val="CharSectno"/>
        </w:rPr>
        <w:t>2</w:t>
      </w:r>
      <w:r>
        <w:t>.</w:t>
      </w:r>
      <w:r>
        <w:tab/>
        <w:t>Terms used</w:t>
      </w:r>
      <w:bookmarkEnd w:id="7"/>
    </w:p>
    <w:p>
      <w:pPr>
        <w:pStyle w:val="Subsection"/>
      </w:pPr>
      <w:r>
        <w:tab/>
      </w:r>
      <w:r>
        <w:tab/>
        <w:t xml:space="preserve">In these regulations, unless the contrary intention appears — </w:t>
      </w:r>
    </w:p>
    <w:p>
      <w:pPr>
        <w:pStyle w:val="Defstart"/>
      </w:pPr>
      <w:r>
        <w:tab/>
      </w:r>
      <w:r>
        <w:rPr>
          <w:rStyle w:val="CharDefText"/>
        </w:rPr>
        <w:t>active conductor</w:t>
      </w:r>
      <w:r>
        <w:t xml:space="preserve"> means — </w:t>
      </w:r>
    </w:p>
    <w:p>
      <w:pPr>
        <w:pStyle w:val="Defpara"/>
      </w:pPr>
      <w:r>
        <w:tab/>
        <w:t>(a)</w:t>
      </w:r>
      <w:r>
        <w:tab/>
        <w:t>in a system that includes a neutral conductor — a conductor in the system maintained at a difference of potential from the neutral conductor; and</w:t>
      </w:r>
    </w:p>
    <w:p>
      <w:pPr>
        <w:pStyle w:val="Defpara"/>
      </w:pPr>
      <w:r>
        <w:tab/>
        <w:t>(b)</w:t>
      </w:r>
      <w:r>
        <w:tab/>
        <w:t>in a system that does not include a neutral conductor — any conductor in the system;</w:t>
      </w:r>
    </w:p>
    <w:p>
      <w:pPr>
        <w:pStyle w:val="Defstart"/>
      </w:pPr>
      <w:r>
        <w:tab/>
      </w:r>
      <w:r>
        <w:rPr>
          <w:rStyle w:val="CharDefText"/>
        </w:rPr>
        <w:t>appliance</w:t>
      </w:r>
      <w:r>
        <w:t xml:space="preserve"> means a consuming device, other than a lamp, in which electricity is — </w:t>
      </w:r>
    </w:p>
    <w:p>
      <w:pPr>
        <w:pStyle w:val="Defpara"/>
      </w:pPr>
      <w:r>
        <w:tab/>
        <w:t>(a)</w:t>
      </w:r>
      <w:r>
        <w:tab/>
        <w:t>converted into heat, motion or other form of energy; or</w:t>
      </w:r>
    </w:p>
    <w:p>
      <w:pPr>
        <w:pStyle w:val="Defpara"/>
      </w:pPr>
      <w:r>
        <w:tab/>
        <w:t>(b)</w:t>
      </w:r>
      <w:r>
        <w:tab/>
        <w:t>substantially changed in its electrical character;</w:t>
      </w:r>
    </w:p>
    <w:p>
      <w:pPr>
        <w:pStyle w:val="Defstart"/>
      </w:pPr>
      <w:r>
        <w:tab/>
      </w:r>
      <w:r>
        <w:rPr>
          <w:rStyle w:val="CharDefText"/>
        </w:rPr>
        <w:t>conductor</w:t>
      </w:r>
      <w:r>
        <w:t xml:space="preserve"> means a wire or other form of conducting material suitable for carrying current except where the wire or material is directly employed in converting electrical energy into another form; </w:t>
      </w:r>
    </w:p>
    <w:p>
      <w:pPr>
        <w:pStyle w:val="Defstart"/>
      </w:pPr>
      <w:r>
        <w:lastRenderedPageBreak/>
        <w:tab/>
      </w:r>
      <w:r>
        <w:rPr>
          <w:rStyle w:val="CharDefText"/>
        </w:rPr>
        <w:t>electrical equipment</w:t>
      </w:r>
      <w:r>
        <w:t xml:space="preserve"> means any of the following when used for the generation, conversion, storage, transmission, distribution or utilisation of electrical energy — </w:t>
      </w:r>
    </w:p>
    <w:p>
      <w:pPr>
        <w:pStyle w:val="Defpara"/>
      </w:pPr>
      <w:r>
        <w:tab/>
        <w:t>(a)</w:t>
      </w:r>
      <w:r>
        <w:tab/>
        <w:t>wiring systems;</w:t>
      </w:r>
    </w:p>
    <w:p>
      <w:pPr>
        <w:pStyle w:val="Defpara"/>
      </w:pPr>
      <w:r>
        <w:tab/>
        <w:t>(b)</w:t>
      </w:r>
      <w:r>
        <w:tab/>
        <w:t>switchgear;</w:t>
      </w:r>
    </w:p>
    <w:p>
      <w:pPr>
        <w:pStyle w:val="Defpara"/>
      </w:pPr>
      <w:r>
        <w:tab/>
        <w:t>(c)</w:t>
      </w:r>
      <w:r>
        <w:tab/>
        <w:t>controlgear;</w:t>
      </w:r>
    </w:p>
    <w:p>
      <w:pPr>
        <w:pStyle w:val="Defpara"/>
      </w:pPr>
      <w:r>
        <w:tab/>
        <w:t>(d)</w:t>
      </w:r>
      <w:r>
        <w:tab/>
        <w:t>accessories;</w:t>
      </w:r>
    </w:p>
    <w:p>
      <w:pPr>
        <w:pStyle w:val="Defpara"/>
      </w:pPr>
      <w:r>
        <w:tab/>
        <w:t>(e)</w:t>
      </w:r>
      <w:r>
        <w:tab/>
        <w:t>appliances;</w:t>
      </w:r>
    </w:p>
    <w:p>
      <w:pPr>
        <w:pStyle w:val="Defpara"/>
      </w:pPr>
      <w:r>
        <w:tab/>
        <w:t>(f)</w:t>
      </w:r>
      <w:r>
        <w:tab/>
        <w:t>luminaires;</w:t>
      </w:r>
    </w:p>
    <w:p>
      <w:pPr>
        <w:pStyle w:val="Defpara"/>
      </w:pPr>
      <w:r>
        <w:tab/>
        <w:t>(g)</w:t>
      </w:r>
      <w:r>
        <w:tab/>
        <w:t>fittings;</w:t>
      </w:r>
    </w:p>
    <w:p>
      <w:pPr>
        <w:pStyle w:val="Defstart"/>
      </w:pPr>
      <w:r>
        <w:tab/>
      </w:r>
      <w:r>
        <w:rPr>
          <w:rStyle w:val="CharDefText"/>
        </w:rPr>
        <w:t>neutral conductor</w:t>
      </w:r>
      <w:r>
        <w:t xml:space="preserve"> means — </w:t>
      </w:r>
    </w:p>
    <w:p>
      <w:pPr>
        <w:pStyle w:val="Defpara"/>
      </w:pPr>
      <w:r>
        <w:tab/>
        <w:t>(a)</w:t>
      </w:r>
      <w:r>
        <w:tab/>
        <w:t>the conductor of a 3</w:t>
      </w:r>
      <w:r>
        <w:noBreakHyphen/>
        <w:t>phase system that is maintained at an intermediate and approximately uniform potential in respect of the active conductors; or</w:t>
      </w:r>
    </w:p>
    <w:p>
      <w:pPr>
        <w:pStyle w:val="Defpara"/>
      </w:pPr>
      <w:r>
        <w:tab/>
        <w:t>(b)</w:t>
      </w:r>
      <w:r>
        <w:tab/>
        <w:t>the conductor of a single</w:t>
      </w:r>
      <w:r>
        <w:noBreakHyphen/>
        <w:t>phase system that is connected to earth at its origin.</w:t>
      </w:r>
    </w:p>
    <w:p>
      <w:pPr>
        <w:pStyle w:val="Footnotesection"/>
      </w:pPr>
      <w:r>
        <w:tab/>
        <w:t>[Regulation 2 inserted: Gazette 2 Oct 2018 p. 3785.</w:t>
      </w:r>
    </w:p>
    <w:p>
      <w:pPr>
        <w:pStyle w:val="Ednotepart"/>
      </w:pPr>
      <w:r>
        <w:t>[Pts. II and III (r. 3</w:t>
      </w:r>
      <w:r>
        <w:noBreakHyphen/>
        <w:t>11) deleted: Gazette 14 Apr 2015 p. 1324.]</w:t>
      </w:r>
    </w:p>
    <w:p>
      <w:pPr>
        <w:pStyle w:val="Heading2"/>
      </w:pPr>
      <w:bookmarkStart w:id="8" w:name="_Toc97807669"/>
      <w:bookmarkStart w:id="9" w:name="_Toc97808028"/>
      <w:bookmarkStart w:id="10" w:name="_Toc97900732"/>
      <w:r>
        <w:rPr>
          <w:rStyle w:val="CharPartNo"/>
        </w:rPr>
        <w:lastRenderedPageBreak/>
        <w:t>Part IV</w:t>
      </w:r>
      <w:r>
        <w:rPr>
          <w:rStyle w:val="CharDivNo"/>
        </w:rPr>
        <w:t> </w:t>
      </w:r>
      <w:r>
        <w:t>—</w:t>
      </w:r>
      <w:r>
        <w:rPr>
          <w:rStyle w:val="CharDivText"/>
        </w:rPr>
        <w:t> </w:t>
      </w:r>
      <w:r>
        <w:rPr>
          <w:rStyle w:val="CharPartText"/>
        </w:rPr>
        <w:t>Residual current devices</w:t>
      </w:r>
      <w:bookmarkEnd w:id="8"/>
      <w:bookmarkEnd w:id="9"/>
      <w:bookmarkEnd w:id="10"/>
    </w:p>
    <w:p>
      <w:pPr>
        <w:pStyle w:val="Footnoteheading"/>
      </w:pPr>
      <w:r>
        <w:tab/>
        <w:t>[Heading inserted: Gazette 8 May 2009 p. 1493.]</w:t>
      </w:r>
    </w:p>
    <w:p>
      <w:pPr>
        <w:pStyle w:val="Heading5"/>
      </w:pPr>
      <w:bookmarkStart w:id="11" w:name="_Toc97900733"/>
      <w:r>
        <w:rPr>
          <w:rStyle w:val="CharSectno"/>
        </w:rPr>
        <w:t>12</w:t>
      </w:r>
      <w:r>
        <w:t>.</w:t>
      </w:r>
      <w:r>
        <w:tab/>
        <w:t>Terms used</w:t>
      </w:r>
      <w:bookmarkEnd w:id="11"/>
    </w:p>
    <w:p>
      <w:pPr>
        <w:pStyle w:val="Subsection"/>
      </w:pPr>
      <w:r>
        <w:tab/>
      </w:r>
      <w:r>
        <w:tab/>
        <w:t>In this Part —</w:t>
      </w:r>
    </w:p>
    <w:p>
      <w:pPr>
        <w:pStyle w:val="Defstart"/>
      </w:pPr>
      <w:r>
        <w:tab/>
      </w:r>
      <w:r>
        <w:rPr>
          <w:rStyle w:val="CharDefText"/>
        </w:rPr>
        <w:t>building permit</w:t>
      </w:r>
      <w:r>
        <w:t xml:space="preserve"> has the meaning given in the </w:t>
      </w:r>
      <w:r>
        <w:rPr>
          <w:i/>
        </w:rPr>
        <w:t>Building Act 2011</w:t>
      </w:r>
      <w:r>
        <w:t xml:space="preserve"> section 3;</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strata titles scheme as defined in the </w:t>
      </w:r>
      <w:r>
        <w:rPr>
          <w:i/>
        </w:rPr>
        <w:t>Strata Titles Act 1985</w:t>
      </w:r>
      <w:r>
        <w:rPr>
          <w:iCs/>
        </w:rPr>
        <w:t xml:space="preserve"> section 3(1)</w:t>
      </w:r>
      <w:r>
        <w:t> — means common property as defined in that section; or</w:t>
      </w:r>
    </w:p>
    <w:p>
      <w:pPr>
        <w:pStyle w:val="Defpara"/>
      </w:pPr>
      <w:r>
        <w:tab/>
        <w:t>(aa)</w:t>
      </w:r>
      <w:r>
        <w:tab/>
        <w:t xml:space="preserve">if the premises are part of a community titles scheme as defined in the </w:t>
      </w:r>
      <w:r>
        <w:rPr>
          <w:i/>
        </w:rPr>
        <w:t>Community Titles Act 2018</w:t>
      </w:r>
      <w:r>
        <w:t xml:space="preserve"> section 3(1) — means common property as defined in that section; or</w:t>
      </w:r>
    </w:p>
    <w:p>
      <w:pPr>
        <w:pStyle w:val="Defpara"/>
      </w:pPr>
      <w:r>
        <w:tab/>
        <w:t>(b)</w:t>
      </w:r>
      <w:r>
        <w:tab/>
        <w:t xml:space="preserve">if those premises and other residential premises are situated on the same lot as defined in the </w:t>
      </w:r>
      <w:r>
        <w:rPr>
          <w:i/>
        </w:rPr>
        <w:t>Planning and Development Act 2005</w:t>
      </w:r>
      <w:r>
        <w:t xml:space="preserve"> section 4(1), or on 2 or more contiguous lots — means all the areas of the lot or lots that do not comprise or form part of any residential premises;</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premises</w:t>
      </w:r>
      <w:r>
        <w:t xml:space="preserve"> does not include a transportable structure or vehicle;</w:t>
      </w:r>
    </w:p>
    <w:p>
      <w:pPr>
        <w:pStyle w:val="Defstart"/>
      </w:pPr>
      <w:r>
        <w:tab/>
      </w:r>
      <w:r>
        <w:rPr>
          <w:rStyle w:val="CharDefText"/>
        </w:rPr>
        <w:t>prior owner</w:t>
      </w:r>
      <w:r>
        <w:t>, in relation to transferred residential premises, means the person from whom the title was transferred;</w:t>
      </w:r>
    </w:p>
    <w:p>
      <w:pPr>
        <w:pStyle w:val="Defstart"/>
      </w:pPr>
      <w:r>
        <w:lastRenderedPageBreak/>
        <w:tab/>
      </w:r>
      <w:r>
        <w:rPr>
          <w:rStyle w:val="CharDefText"/>
        </w:rPr>
        <w:t>properly installed</w:t>
      </w:r>
      <w:r>
        <w:t xml:space="preserve">, in relation to residential premises or common property relating to residential premises, means — </w:t>
      </w:r>
    </w:p>
    <w:p>
      <w:pPr>
        <w:pStyle w:val="Defpara"/>
      </w:pPr>
      <w:r>
        <w:tab/>
        <w:t>(a)</w:t>
      </w:r>
      <w:r>
        <w:tab/>
        <w:t>installed in accordance with regulation 12A in relation to those premises or that property; and</w:t>
      </w:r>
    </w:p>
    <w:p>
      <w:pPr>
        <w:pStyle w:val="Defpara"/>
      </w:pPr>
      <w:r>
        <w:tab/>
        <w:t>(b)</w:t>
      </w:r>
      <w:r>
        <w:tab/>
        <w:t>not installed in relation to any other premises or property;</w:t>
      </w:r>
    </w:p>
    <w:p>
      <w:pPr>
        <w:pStyle w:val="Defstart"/>
      </w:pPr>
      <w:r>
        <w:tab/>
      </w:r>
      <w:r>
        <w:rPr>
          <w:rStyle w:val="CharDefText"/>
        </w:rPr>
        <w:t>residential premises</w:t>
      </w:r>
      <w:r>
        <w:t xml:space="preserve"> means premises that constitute or are intended to constitute a place of residence or accommodation, whether short or long</w:t>
      </w:r>
      <w:r>
        <w:noBreakHyphen/>
        <w:t>term,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residual current device</w:t>
      </w:r>
      <w:r>
        <w:t xml:space="preserve"> means a device designed to isolate supply to protected circuits, socket outlets or electrical equipment in the event of a current flow to earth that exceeds a particular value;</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Gazette 8 May 2009 p. 1493</w:t>
      </w:r>
      <w:r>
        <w:noBreakHyphen/>
        <w:t>4; amended: Gazette 5 Mar 2010 p. 842; 10 May 2011 p. 1663; 2 Oct 2018 p. 3786.]</w:t>
      </w:r>
    </w:p>
    <w:p>
      <w:pPr>
        <w:pStyle w:val="Footnotesection"/>
        <w:ind w:left="890" w:hanging="890"/>
      </w:pPr>
      <w:r>
        <w:tab/>
        <w:t>[Regulation 12 amended: Gazette 31 Dec 2019 p. 4641; SL 2021/71 r. 4.]</w:t>
      </w:r>
    </w:p>
    <w:p>
      <w:pPr>
        <w:pStyle w:val="Heading5"/>
      </w:pPr>
      <w:bookmarkStart w:id="12" w:name="_Toc97900734"/>
      <w:r>
        <w:rPr>
          <w:rStyle w:val="CharSectno"/>
        </w:rPr>
        <w:t>12A</w:t>
      </w:r>
      <w:r>
        <w:t>.</w:t>
      </w:r>
      <w:r>
        <w:tab/>
        <w:t>Installation of residual current devices</w:t>
      </w:r>
      <w:bookmarkEnd w:id="12"/>
    </w:p>
    <w:p>
      <w:pPr>
        <w:pStyle w:val="Subsection"/>
      </w:pPr>
      <w:r>
        <w:tab/>
        <w:t>(1)</w:t>
      </w:r>
      <w:r>
        <w:tab/>
        <w:t xml:space="preserve">In this regulation — </w:t>
      </w:r>
    </w:p>
    <w:p>
      <w:pPr>
        <w:pStyle w:val="Defstart"/>
      </w:pPr>
      <w:r>
        <w:tab/>
      </w:r>
      <w:r>
        <w:rPr>
          <w:rStyle w:val="CharDefText"/>
        </w:rPr>
        <w:t>final subcircuit</w:t>
      </w:r>
      <w:r>
        <w:t xml:space="preserve"> means a final subcircuit to which a socket outlet, lighting point or directly</w:t>
      </w:r>
      <w:r>
        <w:noBreakHyphen/>
        <w:t>connected hand</w:t>
      </w:r>
      <w:r>
        <w:noBreakHyphen/>
        <w:t>held appliance is connected.</w:t>
      </w:r>
    </w:p>
    <w:p>
      <w:pPr>
        <w:pStyle w:val="Subsection"/>
        <w:keepNext/>
      </w:pPr>
      <w:r>
        <w:tab/>
        <w:t>(2)</w:t>
      </w:r>
      <w:r>
        <w:tab/>
        <w:t xml:space="preserve">Residual current devices are installed in accordance with this regulation in relation to residential premises, or common </w:t>
      </w:r>
      <w:r>
        <w:lastRenderedPageBreak/>
        <w:t xml:space="preserve">property relating to residential premises, if all of the following apply — </w:t>
      </w:r>
    </w:p>
    <w:p>
      <w:pPr>
        <w:pStyle w:val="Indenta"/>
      </w:pPr>
      <w:r>
        <w:tab/>
        <w:t>(a)</w:t>
      </w:r>
      <w:r>
        <w:tab/>
        <w:t xml:space="preserve">the number of residual current devices installed on the premises is at least — </w:t>
      </w:r>
    </w:p>
    <w:p>
      <w:pPr>
        <w:pStyle w:val="Indenti"/>
      </w:pPr>
      <w:r>
        <w:tab/>
        <w:t>(i)</w:t>
      </w:r>
      <w:r>
        <w:tab/>
        <w:t>1, if the premises have 1 final subcircuit; and</w:t>
      </w:r>
    </w:p>
    <w:p>
      <w:pPr>
        <w:pStyle w:val="Indenti"/>
      </w:pPr>
      <w:r>
        <w:tab/>
        <w:t>(ii)</w:t>
      </w:r>
      <w:r>
        <w:tab/>
        <w:t>2, if the premises have more than 1 final subcircuit;</w:t>
      </w:r>
    </w:p>
    <w:p>
      <w:pPr>
        <w:pStyle w:val="Indenta"/>
      </w:pPr>
      <w:r>
        <w:tab/>
        <w:t>(b)</w:t>
      </w:r>
      <w:r>
        <w:tab/>
        <w:t>if 2 or more residual current devices are installed on the premises, lighting points connected to final subcircuits are distributed between the devices;</w:t>
      </w:r>
    </w:p>
    <w:p>
      <w:pPr>
        <w:pStyle w:val="Indenta"/>
      </w:pPr>
      <w:r>
        <w:tab/>
        <w:t>(c)</w:t>
      </w:r>
      <w:r>
        <w:tab/>
        <w:t>each residual current device complies with AS/NZS 3190:2016 Approval and test specification — Residual current devices (current</w:t>
      </w:r>
      <w:r>
        <w:noBreakHyphen/>
        <w:t>operated earth</w:t>
      </w:r>
      <w:r>
        <w:noBreakHyphen/>
        <w:t>leakage devices);</w:t>
      </w:r>
    </w:p>
    <w:p>
      <w:pPr>
        <w:pStyle w:val="Indenta"/>
      </w:pPr>
      <w:r>
        <w:tab/>
        <w:t>(d)</w:t>
      </w:r>
      <w:r>
        <w:tab/>
        <w:t>each residual current device has a maximum rated residual current of 30 mA;</w:t>
      </w:r>
    </w:p>
    <w:p>
      <w:pPr>
        <w:pStyle w:val="Indenta"/>
      </w:pPr>
      <w:r>
        <w:tab/>
        <w:t>(e)</w:t>
      </w:r>
      <w:r>
        <w:tab/>
        <w:t xml:space="preserve">each residual current device protects not more than 3 final subcircuits; </w:t>
      </w:r>
    </w:p>
    <w:p>
      <w:pPr>
        <w:pStyle w:val="Indenta"/>
      </w:pPr>
      <w:r>
        <w:tab/>
        <w:t>(f)</w:t>
      </w:r>
      <w:r>
        <w:tab/>
        <w:t>each residual current device is installed at the switchboard at which each final subcircuit protected by it originates.</w:t>
      </w:r>
    </w:p>
    <w:p>
      <w:pPr>
        <w:pStyle w:val="Footnotesection"/>
      </w:pPr>
      <w:r>
        <w:tab/>
        <w:t>[Regulation 12A inserted: Gazette 2 Oct 2018 p. 3787.]</w:t>
      </w:r>
    </w:p>
    <w:p>
      <w:pPr>
        <w:pStyle w:val="Heading5"/>
      </w:pPr>
      <w:bookmarkStart w:id="13" w:name="_Toc97900735"/>
      <w:r>
        <w:rPr>
          <w:rStyle w:val="CharSectno"/>
        </w:rPr>
        <w:t>13</w:t>
      </w:r>
      <w:r>
        <w:t>.</w:t>
      </w:r>
      <w:r>
        <w:tab/>
        <w:t>Residential premises occupied by owner</w:t>
      </w:r>
      <w:bookmarkEnd w:id="13"/>
    </w:p>
    <w:p>
      <w:pPr>
        <w:pStyle w:val="Subsection"/>
      </w:pPr>
      <w:r>
        <w:tab/>
      </w:r>
      <w:r>
        <w:tab/>
        <w:t>Subject to any exemption under regulation 18, an owner of residential premises that are occupied by an owner must ensure that residual current devices are properly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keepNext/>
      </w:pPr>
      <w:r>
        <w:lastRenderedPageBreak/>
        <w:tab/>
        <w:t>(c)</w:t>
      </w:r>
      <w:r>
        <w:tab/>
        <w:t>before the owner makes some or all of the premises available for hire.</w:t>
      </w:r>
    </w:p>
    <w:p>
      <w:pPr>
        <w:pStyle w:val="Penstart"/>
        <w:keepNex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Gazette 8 May 2009 p. 1494; amended: Gazette 10 May 2011 p. 1663; 13 Apr 2012 p. 1647; 2 Oct 2018 p. 3787.]</w:t>
      </w:r>
    </w:p>
    <w:p>
      <w:pPr>
        <w:pStyle w:val="Heading5"/>
      </w:pPr>
      <w:bookmarkStart w:id="14" w:name="_Toc97900736"/>
      <w:r>
        <w:rPr>
          <w:rStyle w:val="CharSectno"/>
        </w:rPr>
        <w:t>14</w:t>
      </w:r>
      <w:r>
        <w:t>.</w:t>
      </w:r>
      <w:r>
        <w:tab/>
        <w:t>Residential premises not occupied by owner</w:t>
      </w:r>
      <w:bookmarkEnd w:id="14"/>
    </w:p>
    <w:p>
      <w:pPr>
        <w:pStyle w:val="Subsection"/>
      </w:pPr>
      <w:r>
        <w:tab/>
      </w:r>
      <w:r>
        <w:tab/>
        <w:t>Subject to any exemption under regulation 18, an owner of residential premises that are not occupied by an owner must ensure that residual current devices are properly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9 August 2009; or</w:t>
      </w:r>
    </w:p>
    <w:p>
      <w:pPr>
        <w:pStyle w:val="Indenta"/>
      </w:pPr>
      <w:r>
        <w:tab/>
        <w:t>(c)</w:t>
      </w:r>
      <w:r>
        <w:tab/>
        <w:t>before the completion of any building works on the premises, if those works require the grant of a building permit.</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Gazette 8 May 2009 p. 1494; amended: Gazette 10 May 2011 p. 1663; 2 Oct 2018 p. 3788.]</w:t>
      </w:r>
    </w:p>
    <w:p>
      <w:pPr>
        <w:pStyle w:val="Heading5"/>
      </w:pPr>
      <w:bookmarkStart w:id="15" w:name="_Toc97900737"/>
      <w:r>
        <w:rPr>
          <w:rStyle w:val="CharSectno"/>
        </w:rPr>
        <w:lastRenderedPageBreak/>
        <w:t>15A</w:t>
      </w:r>
      <w:r>
        <w:t>.</w:t>
      </w:r>
      <w:r>
        <w:tab/>
        <w:t>New owner’s obligation to install residual current devices and right to recover costs</w:t>
      </w:r>
      <w:bookmarkEnd w:id="15"/>
    </w:p>
    <w:p>
      <w:pPr>
        <w:pStyle w:val="Subsection"/>
        <w:keepNext/>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residual current devices are properly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Gazette 10 May 2011 p. 1664; amended: Gazette 2 Oct 2018 p. 3788.]</w:t>
      </w:r>
    </w:p>
    <w:p>
      <w:pPr>
        <w:pStyle w:val="Heading5"/>
      </w:pPr>
      <w:bookmarkStart w:id="16" w:name="_Toc97900738"/>
      <w:r>
        <w:rPr>
          <w:rStyle w:val="CharSectno"/>
        </w:rPr>
        <w:lastRenderedPageBreak/>
        <w:t>15</w:t>
      </w:r>
      <w:r>
        <w:t>.</w:t>
      </w:r>
      <w:r>
        <w:tab/>
        <w:t>Common property relating to residential premises</w:t>
      </w:r>
      <w:bookmarkEnd w:id="16"/>
    </w:p>
    <w:p>
      <w:pPr>
        <w:pStyle w:val="Subsection"/>
      </w:pPr>
      <w:r>
        <w:tab/>
      </w:r>
      <w:r>
        <w:tab/>
        <w:t>Subject to any exemption under regulation 18, an owner of common property relating to residential premises must ensure that residual current devices are properly installed in relation to the common property.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Gazette 2 Oct 2018 p. 3788.</w:t>
      </w:r>
    </w:p>
    <w:p>
      <w:pPr>
        <w:pStyle w:val="Heading5"/>
      </w:pPr>
      <w:bookmarkStart w:id="17" w:name="_Toc97900739"/>
      <w:r>
        <w:rPr>
          <w:rStyle w:val="CharSectno"/>
        </w:rPr>
        <w:t>16</w:t>
      </w:r>
      <w:r>
        <w:t>.</w:t>
      </w:r>
      <w:r>
        <w:tab/>
        <w:t>Defences in case of demolition</w:t>
      </w:r>
      <w:bookmarkEnd w:id="17"/>
    </w:p>
    <w:p>
      <w:pPr>
        <w:pStyle w:val="Subsection"/>
      </w:pPr>
      <w:r>
        <w:tab/>
        <w:t>(1)</w:t>
      </w:r>
      <w:r>
        <w:tab/>
        <w:t>It is a defence to a charge of an offence under regulation 13(a) or 14(a) for the person charged to prove that the new owner of the transferred residential premises gave a notice of intended demolition.</w:t>
      </w:r>
    </w:p>
    <w:p>
      <w:pPr>
        <w:pStyle w:val="Subsection"/>
      </w:pPr>
      <w:r>
        <w:tab/>
        <w:t>(2)</w:t>
      </w:r>
      <w:r>
        <w:tab/>
        <w:t>It is a defence to a charge of an offence under regulation 15 for the person charged to prove that the person had, before the charge was laid, arranged for the demolition of the premises.</w:t>
      </w:r>
    </w:p>
    <w:p>
      <w:pPr>
        <w:pStyle w:val="Footnotesection"/>
      </w:pPr>
      <w:r>
        <w:tab/>
        <w:t>[Regulation 16 inserted: Gazette 10 May 2011 p. 1665; amended: Gazette 2 Oct 2018 p. 3788</w:t>
      </w:r>
      <w:r>
        <w:noBreakHyphen/>
        <w:t>9.]</w:t>
      </w:r>
    </w:p>
    <w:p>
      <w:pPr>
        <w:pStyle w:val="Heading5"/>
      </w:pPr>
      <w:bookmarkStart w:id="18" w:name="_Toc97900740"/>
      <w:r>
        <w:rPr>
          <w:rStyle w:val="CharSectno"/>
        </w:rPr>
        <w:t>17</w:t>
      </w:r>
      <w:r>
        <w:t>.</w:t>
      </w:r>
      <w:r>
        <w:tab/>
        <w:t>Transportable structures or vehicles used for accommodation</w:t>
      </w:r>
      <w:bookmarkEnd w:id="18"/>
    </w:p>
    <w:p>
      <w:pPr>
        <w:pStyle w:val="Subsection"/>
      </w:pPr>
      <w:r>
        <w:tab/>
      </w:r>
      <w:r>
        <w:tab/>
        <w:t>Subject to any exemption under regulation 18, an owner of a transportable structure or vehicle that constitutes or is intended to constitute a place of residence or accommodation, whether short or long</w:t>
      </w:r>
      <w:r>
        <w:noBreakHyphen/>
        <w:t>term, must ensure that at least 1 residual current device is installed in relation to the structure or vehicle in accordance with AS/NZS 3001:2008 Electrical installations — Transportable structures and vehicles including their site supplies.</w:t>
      </w:r>
    </w:p>
    <w:p>
      <w:pPr>
        <w:pStyle w:val="Penstart"/>
      </w:pPr>
      <w:r>
        <w:tab/>
        <w:t>Penalty:</w:t>
      </w:r>
    </w:p>
    <w:p>
      <w:pPr>
        <w:pStyle w:val="Penpara"/>
      </w:pPr>
      <w:r>
        <w:tab/>
        <w:t>(a)</w:t>
      </w:r>
      <w:r>
        <w:tab/>
        <w:t>in the case of an individual — a fine of $15 000;</w:t>
      </w:r>
    </w:p>
    <w:p>
      <w:pPr>
        <w:pStyle w:val="Penpara"/>
      </w:pPr>
      <w:r>
        <w:lastRenderedPageBreak/>
        <w:tab/>
        <w:t>(b)</w:t>
      </w:r>
      <w:r>
        <w:tab/>
        <w:t>in the case of a body corporate — a fine of $100 000.</w:t>
      </w:r>
    </w:p>
    <w:p>
      <w:pPr>
        <w:pStyle w:val="Footnotesection"/>
      </w:pPr>
      <w:r>
        <w:tab/>
        <w:t>[Regulation 17 inserted: Gazette 2 Oct 2018 p. 3789.</w:t>
      </w:r>
    </w:p>
    <w:p>
      <w:pPr>
        <w:pStyle w:val="Heading5"/>
      </w:pPr>
      <w:bookmarkStart w:id="19" w:name="_Toc97900741"/>
      <w:r>
        <w:rPr>
          <w:rStyle w:val="CharSectno"/>
        </w:rPr>
        <w:t>18</w:t>
      </w:r>
      <w:r>
        <w:t>.</w:t>
      </w:r>
      <w:r>
        <w:tab/>
        <w:t>Director may grant temporary exemptions</w:t>
      </w:r>
      <w:bookmarkEnd w:id="19"/>
    </w:p>
    <w:p>
      <w:pPr>
        <w:pStyle w:val="Subsection"/>
      </w:pPr>
      <w:r>
        <w:tab/>
        <w:t>(1)</w:t>
      </w:r>
      <w:r>
        <w:tab/>
        <w:t>The Director may, by notice in writing, exempt an owner of residential premises or a transportable structure or vehicle from the requirements of regulation 13, 14, 15 or 17, for such period, and on such conditions, as the Director considers appropriate and are set out in that notice.</w:t>
      </w:r>
    </w:p>
    <w:p>
      <w:pPr>
        <w:pStyle w:val="Subsection"/>
        <w:keepNext/>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15 or 17,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Gazette 5 Mar 2010 p. 842; amended: Gazette 2 Oct 2018 p. 3789.]</w:t>
      </w:r>
    </w:p>
    <w:p>
      <w:pPr>
        <w:pStyle w:val="Heading2"/>
      </w:pPr>
      <w:bookmarkStart w:id="20" w:name="_Toc97807679"/>
      <w:bookmarkStart w:id="21" w:name="_Toc97808038"/>
      <w:bookmarkStart w:id="22" w:name="_Toc97900742"/>
      <w:r>
        <w:rPr>
          <w:rStyle w:val="CharPartNo"/>
        </w:rPr>
        <w:lastRenderedPageBreak/>
        <w:t>Part V</w:t>
      </w:r>
      <w:r>
        <w:t xml:space="preserve"> — </w:t>
      </w:r>
      <w:r>
        <w:rPr>
          <w:rStyle w:val="CharPartText"/>
        </w:rPr>
        <w:t>Interfering with electrical installations</w:t>
      </w:r>
      <w:bookmarkEnd w:id="20"/>
      <w:bookmarkEnd w:id="21"/>
      <w:bookmarkEnd w:id="22"/>
    </w:p>
    <w:p>
      <w:pPr>
        <w:pStyle w:val="Footnoteheading"/>
      </w:pPr>
      <w:r>
        <w:tab/>
        <w:t>[Heading inserted: Gazette 13 Apr 2012 p. 1648.]</w:t>
      </w:r>
    </w:p>
    <w:p>
      <w:pPr>
        <w:pStyle w:val="Heading5"/>
      </w:pPr>
      <w:bookmarkStart w:id="23" w:name="_Toc97900743"/>
      <w:r>
        <w:rPr>
          <w:rStyle w:val="CharSectno"/>
        </w:rPr>
        <w:t>19</w:t>
      </w:r>
      <w:r>
        <w:t>.</w:t>
      </w:r>
      <w:r>
        <w:tab/>
        <w:t>Interfering with electrical installations</w:t>
      </w:r>
      <w:bookmarkEnd w:id="23"/>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i/>
          <w:vertAlign w:val="superscript"/>
        </w:rPr>
        <w:t> 1</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Gazette 13 Apr 2012 p. 1648.]</w:t>
      </w:r>
    </w:p>
    <w:p>
      <w:pPr>
        <w:pStyle w:val="Ednotesection"/>
      </w:pPr>
      <w:r>
        <w:t>[</w:t>
      </w:r>
      <w:r>
        <w:rPr>
          <w:b/>
          <w:bCs/>
        </w:rPr>
        <w:t>20</w:t>
      </w:r>
      <w:r>
        <w:rPr>
          <w:b/>
          <w:bCs/>
        </w:rPr>
        <w:noBreakHyphen/>
        <w:t>70.</w:t>
      </w:r>
      <w:r>
        <w:tab/>
        <w:t>Deleted: Gazette 14 Oct 1991 p. 5294.]</w:t>
      </w:r>
    </w:p>
    <w:p>
      <w:pPr>
        <w:pStyle w:val="Ednotesection"/>
      </w:pPr>
      <w:r>
        <w:t>[</w:t>
      </w:r>
      <w:r>
        <w:rPr>
          <w:b/>
          <w:bCs/>
        </w:rPr>
        <w:t>71</w:t>
      </w:r>
      <w:r>
        <w:rPr>
          <w:b/>
          <w:bCs/>
        </w:rPr>
        <w:noBreakHyphen/>
        <w:t>107.</w:t>
      </w:r>
      <w:r>
        <w:tab/>
        <w:t>Deleted: Gazette 20 Dec 1985 p. 4881.]</w:t>
      </w:r>
    </w:p>
    <w:p>
      <w:pPr>
        <w:pStyle w:val="Ednotesection"/>
      </w:pPr>
      <w:r>
        <w:t>[</w:t>
      </w:r>
      <w:r>
        <w:rPr>
          <w:b/>
          <w:bCs/>
        </w:rPr>
        <w:t>108</w:t>
      </w:r>
      <w:r>
        <w:rPr>
          <w:b/>
          <w:bCs/>
        </w:rPr>
        <w:noBreakHyphen/>
        <w:t xml:space="preserve">142. </w:t>
      </w:r>
      <w:r>
        <w:t>Deleted: Gazette 12 Sep 1956 p. 2294.]</w:t>
      </w:r>
    </w:p>
    <w:p>
      <w:pPr>
        <w:pStyle w:val="Ednotepart"/>
      </w:pPr>
      <w:r>
        <w:t>[Parts V1 and VII (r. 143</w:t>
      </w:r>
      <w:r>
        <w:noBreakHyphen/>
        <w:t>236) deleted: Gazette 14 Oct 1991 p. 5294.]</w:t>
      </w:r>
    </w:p>
    <w:p>
      <w:pPr>
        <w:pStyle w:val="Heading2"/>
      </w:pPr>
      <w:bookmarkStart w:id="24" w:name="_Toc97807681"/>
      <w:bookmarkStart w:id="25" w:name="_Toc97808040"/>
      <w:bookmarkStart w:id="26" w:name="_Toc97900744"/>
      <w:r>
        <w:rPr>
          <w:rStyle w:val="CharPartNo"/>
        </w:rPr>
        <w:lastRenderedPageBreak/>
        <w:t>Part VIII</w:t>
      </w:r>
      <w:r>
        <w:t xml:space="preserve"> — </w:t>
      </w:r>
      <w:r>
        <w:rPr>
          <w:rStyle w:val="CharPartText"/>
        </w:rPr>
        <w:t>Supply of electricity to consumers</w:t>
      </w:r>
      <w:bookmarkEnd w:id="24"/>
      <w:bookmarkEnd w:id="25"/>
      <w:bookmarkEnd w:id="26"/>
    </w:p>
    <w:p>
      <w:pPr>
        <w:pStyle w:val="Footnoteheading"/>
      </w:pPr>
      <w:r>
        <w:tab/>
        <w:t>[Heading inserted: Gazette 30 May 2000 p. 2571.]</w:t>
      </w:r>
    </w:p>
    <w:p>
      <w:pPr>
        <w:pStyle w:val="Ednotesection"/>
        <w:spacing w:before="240"/>
      </w:pPr>
      <w:r>
        <w:t>[</w:t>
      </w:r>
      <w:r>
        <w:rPr>
          <w:b/>
          <w:bCs/>
        </w:rPr>
        <w:t>237.</w:t>
      </w:r>
      <w:r>
        <w:tab/>
        <w:t>Deleted: Gazette 31 Mar 2006 p. 1348.]</w:t>
      </w:r>
    </w:p>
    <w:p>
      <w:pPr>
        <w:pStyle w:val="Ednotesection"/>
        <w:spacing w:before="240"/>
      </w:pPr>
      <w:r>
        <w:t>[</w:t>
      </w:r>
      <w:r>
        <w:rPr>
          <w:b/>
          <w:bCs/>
        </w:rPr>
        <w:t>238</w:t>
      </w:r>
      <w:r>
        <w:rPr>
          <w:b/>
          <w:bCs/>
        </w:rPr>
        <w:noBreakHyphen/>
        <w:t>240.</w:t>
      </w:r>
      <w:r>
        <w:tab/>
        <w:t>Deleted: Gazette 31 Oct 2006 p. 4597.]</w:t>
      </w:r>
    </w:p>
    <w:p>
      <w:pPr>
        <w:pStyle w:val="Heading5"/>
        <w:spacing w:before="240"/>
      </w:pPr>
      <w:bookmarkStart w:id="27" w:name="_Toc97900745"/>
      <w:r>
        <w:rPr>
          <w:rStyle w:val="CharSectno"/>
        </w:rPr>
        <w:t>241</w:t>
      </w:r>
      <w:r>
        <w:t>.</w:t>
      </w:r>
      <w:r>
        <w:tab/>
        <w:t>Terms used</w:t>
      </w:r>
      <w:bookmarkEnd w:id="27"/>
    </w:p>
    <w:p>
      <w:pPr>
        <w:pStyle w:val="Subsection"/>
      </w:pPr>
      <w:r>
        <w:tab/>
        <w:t>(1)</w:t>
      </w:r>
      <w:r>
        <w:tab/>
        <w:t>In this Part —</w:t>
      </w:r>
    </w:p>
    <w:p>
      <w:pPr>
        <w:pStyle w:val="Defstart"/>
      </w:pPr>
      <w:r>
        <w:tab/>
      </w:r>
      <w:r>
        <w:rPr>
          <w:rStyle w:val="CharDefText"/>
        </w:rPr>
        <w:t>fuse</w:t>
      </w:r>
      <w:r>
        <w:t xml:space="preserve"> means a device to protect a circuit against damage from an excessive current by opening the circuit when the current melts an element in the device;</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Gazette 31 Oct 2006 p. 4597</w:t>
      </w:r>
      <w:r>
        <w:noBreakHyphen/>
        <w:t>8; amended: Gazette 2 Oct 2018 p. 3790.]</w:t>
      </w:r>
    </w:p>
    <w:p>
      <w:pPr>
        <w:pStyle w:val="Heading5"/>
        <w:spacing w:before="240"/>
        <w:rPr>
          <w:snapToGrid w:val="0"/>
        </w:rPr>
      </w:pPr>
      <w:bookmarkStart w:id="28" w:name="_Toc97900746"/>
      <w:r>
        <w:rPr>
          <w:rStyle w:val="CharSectno"/>
        </w:rPr>
        <w:t>242</w:t>
      </w:r>
      <w:r>
        <w:rPr>
          <w:snapToGrid w:val="0"/>
        </w:rPr>
        <w:t>.</w:t>
      </w:r>
      <w:r>
        <w:rPr>
          <w:snapToGrid w:val="0"/>
        </w:rPr>
        <w:tab/>
        <w:t>Connection of supply</w:t>
      </w:r>
      <w:bookmarkEnd w:id="28"/>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lastRenderedPageBreak/>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Gazette 23 Dec 1994 p. 7125; amended: Gazette 19 Dec 2000 p. 7274; 31 Oct 2006 p. 4598; 10 May 2011 p. 1665</w:t>
      </w:r>
      <w:r>
        <w:noBreakHyphen/>
        <w:t>6.]</w:t>
      </w:r>
    </w:p>
    <w:p>
      <w:pPr>
        <w:pStyle w:val="Heading5"/>
      </w:pPr>
      <w:bookmarkStart w:id="29" w:name="_Toc97900747"/>
      <w:r>
        <w:rPr>
          <w:rStyle w:val="CharSectno"/>
        </w:rPr>
        <w:t>243</w:t>
      </w:r>
      <w:r>
        <w:t>.</w:t>
      </w:r>
      <w:r>
        <w:tab/>
        <w:t>Voltage on neutral conductor</w:t>
      </w:r>
      <w:bookmarkEnd w:id="29"/>
    </w:p>
    <w:p>
      <w:pPr>
        <w:pStyle w:val="Subsection"/>
      </w:pPr>
      <w:r>
        <w:tab/>
        <w:t>(1)</w:t>
      </w:r>
      <w:r>
        <w:tab/>
        <w:t>The voltage on the neutral conductor of a consumer’s installation must be below 6 volts AC.</w:t>
      </w:r>
    </w:p>
    <w:p>
      <w:pPr>
        <w:pStyle w:val="Subsection"/>
      </w:pPr>
      <w:r>
        <w:tab/>
        <w:t>(2)</w:t>
      </w:r>
      <w:r>
        <w:tab/>
        <w:t>The voltage on the neutral conductor is to be measured in accordance with AS 4741</w:t>
      </w:r>
      <w:r>
        <w:noBreakHyphen/>
        <w:t>2010 Appendix A.</w:t>
      </w:r>
    </w:p>
    <w:p>
      <w:pPr>
        <w:pStyle w:val="Subsection"/>
        <w:keepNext/>
      </w:pPr>
      <w:r>
        <w:lastRenderedPageBreak/>
        <w:tab/>
        <w:t>(3)</w:t>
      </w:r>
      <w:r>
        <w:tab/>
        <w:t xml:space="preserve">If a network operator becomes aware that the voltage on the neutral conductor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conductor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keepNext/>
      </w:pPr>
      <w:r>
        <w:lastRenderedPageBreak/>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Gazette 13 Apr 2012 p. 1648</w:t>
      </w:r>
      <w:r>
        <w:noBreakHyphen/>
        <w:t>9; amended: Gazette 2 Oct 2018 p. 3790.]</w:t>
      </w:r>
    </w:p>
    <w:p>
      <w:pPr>
        <w:pStyle w:val="Heading5"/>
        <w:spacing w:before="180"/>
      </w:pPr>
      <w:bookmarkStart w:id="30" w:name="_Toc97900748"/>
      <w:r>
        <w:rPr>
          <w:rStyle w:val="CharSectno"/>
        </w:rPr>
        <w:t>244</w:t>
      </w:r>
      <w:r>
        <w:t>.</w:t>
      </w:r>
      <w:r>
        <w:tab/>
        <w:t>Damage by overloading to network operator’s apparatus</w:t>
      </w:r>
      <w:bookmarkEnd w:id="30"/>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Gazette 31 Oct 2006 p. 4598.]</w:t>
      </w:r>
    </w:p>
    <w:p>
      <w:pPr>
        <w:pStyle w:val="Ednotesection"/>
        <w:spacing w:before="180"/>
        <w:rPr>
          <w:b/>
        </w:rPr>
      </w:pPr>
      <w:r>
        <w:t>[</w:t>
      </w:r>
      <w:r>
        <w:rPr>
          <w:b/>
        </w:rPr>
        <w:t>245</w:t>
      </w:r>
      <w:r>
        <w:rPr>
          <w:b/>
        </w:rPr>
        <w:noBreakHyphen/>
        <w:t xml:space="preserve">248. </w:t>
      </w:r>
      <w:r>
        <w:t>Deleted: Gazette 19 Dec 2000 p. 7274.]</w:t>
      </w:r>
    </w:p>
    <w:p>
      <w:pPr>
        <w:pStyle w:val="Heading5"/>
        <w:spacing w:before="180"/>
        <w:rPr>
          <w:snapToGrid w:val="0"/>
        </w:rPr>
      </w:pPr>
      <w:bookmarkStart w:id="31" w:name="_Toc97900749"/>
      <w:r>
        <w:rPr>
          <w:rStyle w:val="CharSectno"/>
        </w:rPr>
        <w:t>249</w:t>
      </w:r>
      <w:r>
        <w:rPr>
          <w:snapToGrid w:val="0"/>
        </w:rPr>
        <w:t>.</w:t>
      </w:r>
      <w:r>
        <w:rPr>
          <w:snapToGrid w:val="0"/>
        </w:rPr>
        <w:tab/>
        <w:t>Fixing leads in fuses, meters etc.</w:t>
      </w:r>
      <w:bookmarkEnd w:id="31"/>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Gazette 23 Dec 1994 p. 7125; 31 Oct 2006 p. 4598.]</w:t>
      </w:r>
    </w:p>
    <w:p>
      <w:pPr>
        <w:pStyle w:val="Ednotesection"/>
        <w:spacing w:before="180"/>
      </w:pPr>
      <w:r>
        <w:t>[</w:t>
      </w:r>
      <w:r>
        <w:rPr>
          <w:b/>
          <w:bCs/>
        </w:rPr>
        <w:t>250.</w:t>
      </w:r>
      <w:r>
        <w:rPr>
          <w:b/>
          <w:bCs/>
        </w:rPr>
        <w:tab/>
      </w:r>
      <w:r>
        <w:t>Deleted: Gazette 31 Oct 2006 p. 4598.]</w:t>
      </w:r>
    </w:p>
    <w:p>
      <w:pPr>
        <w:pStyle w:val="Ednotesection"/>
        <w:spacing w:before="180"/>
        <w:rPr>
          <w:b/>
        </w:rPr>
      </w:pPr>
      <w:r>
        <w:t>[</w:t>
      </w:r>
      <w:r>
        <w:rPr>
          <w:b/>
        </w:rPr>
        <w:t>251.</w:t>
      </w:r>
      <w:r>
        <w:rPr>
          <w:b/>
        </w:rPr>
        <w:tab/>
      </w:r>
      <w:r>
        <w:t>Deleted: Gazette 19 Dec 2000 p. 7274.]</w:t>
      </w:r>
    </w:p>
    <w:p>
      <w:pPr>
        <w:pStyle w:val="Ednotesection"/>
        <w:spacing w:before="180"/>
      </w:pPr>
      <w:r>
        <w:t>[</w:t>
      </w:r>
      <w:r>
        <w:rPr>
          <w:b/>
          <w:bCs/>
        </w:rPr>
        <w:t>252.</w:t>
      </w:r>
      <w:r>
        <w:rPr>
          <w:b/>
          <w:bCs/>
        </w:rPr>
        <w:tab/>
      </w:r>
      <w:r>
        <w:t>Deleted: Gazette 31 Oct 2006 p. 4598.]</w:t>
      </w:r>
    </w:p>
    <w:p>
      <w:pPr>
        <w:pStyle w:val="Heading5"/>
        <w:spacing w:before="180"/>
        <w:rPr>
          <w:snapToGrid w:val="0"/>
        </w:rPr>
      </w:pPr>
      <w:bookmarkStart w:id="32" w:name="_Toc97900750"/>
      <w:r>
        <w:rPr>
          <w:rStyle w:val="CharSectno"/>
        </w:rPr>
        <w:t>253</w:t>
      </w:r>
      <w:r>
        <w:rPr>
          <w:snapToGrid w:val="0"/>
        </w:rPr>
        <w:t>.</w:t>
      </w:r>
      <w:r>
        <w:rPr>
          <w:snapToGrid w:val="0"/>
        </w:rPr>
        <w:tab/>
        <w:t>Systems of inspection</w:t>
      </w:r>
      <w:bookmarkEnd w:id="32"/>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w:t>
      </w:r>
      <w:r>
        <w:rPr>
          <w:snapToGrid w:val="0"/>
        </w:rPr>
        <w:lastRenderedPageBreak/>
        <w:t xml:space="preserve">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lastRenderedPageBreak/>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keepNext/>
        <w:rPr>
          <w:snapToGrid w:val="0"/>
        </w:rPr>
      </w:pPr>
      <w:r>
        <w:rPr>
          <w:snapToGrid w:val="0"/>
        </w:rPr>
        <w:lastRenderedPageBreak/>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 xml:space="preserve">if it is found by the Director not to </w:t>
      </w:r>
      <w:r>
        <w:rPr>
          <w:snapToGrid w:val="0"/>
        </w:rPr>
        <w:lastRenderedPageBreak/>
        <w:t>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 xml:space="preserve">under subregulation (1), relating to any system of </w:t>
      </w:r>
      <w:r>
        <w:rPr>
          <w:snapToGrid w:val="0"/>
        </w:rPr>
        <w:lastRenderedPageBreak/>
        <w:t>inspection approved by the Director under this regulation.</w:t>
      </w:r>
    </w:p>
    <w:p>
      <w:pPr>
        <w:pStyle w:val="Footnotesection"/>
        <w:ind w:left="890" w:hanging="890"/>
      </w:pPr>
      <w:r>
        <w:tab/>
        <w:t>[Regulation 253 inserted: Gazette 23 Dec 1994 p. 7126</w:t>
      </w:r>
      <w:r>
        <w:noBreakHyphen/>
        <w:t>8; amended: Gazette 31 Oct 2006 p. 4599; 27 Oct 2009 p. 4211</w:t>
      </w:r>
      <w:r>
        <w:noBreakHyphen/>
        <w:t>12.]</w:t>
      </w:r>
    </w:p>
    <w:p>
      <w:pPr>
        <w:pStyle w:val="Heading5"/>
      </w:pPr>
      <w:bookmarkStart w:id="33" w:name="_Toc97900751"/>
      <w:r>
        <w:rPr>
          <w:rStyle w:val="CharSectno"/>
        </w:rPr>
        <w:t>254</w:t>
      </w:r>
      <w:r>
        <w:t>.</w:t>
      </w:r>
      <w:r>
        <w:tab/>
        <w:t>Individual inspection and reporting for electric installation</w:t>
      </w:r>
      <w:bookmarkEnd w:id="33"/>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lastRenderedPageBreak/>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Gazette 31 Oct 2006 p. 4599</w:t>
      </w:r>
      <w:r>
        <w:noBreakHyphen/>
        <w:t>600; amended: Gazette 27 Oct 2009 p. 4212.]</w:t>
      </w:r>
    </w:p>
    <w:p>
      <w:pPr>
        <w:pStyle w:val="Ednotesection"/>
      </w:pPr>
      <w:r>
        <w:t>[</w:t>
      </w:r>
      <w:r>
        <w:rPr>
          <w:b/>
          <w:bCs/>
        </w:rPr>
        <w:t>255.</w:t>
      </w:r>
      <w:r>
        <w:rPr>
          <w:b/>
          <w:bCs/>
        </w:rPr>
        <w:tab/>
      </w:r>
      <w:r>
        <w:t>Deleted: Gazette 31 Oct 2006 p. 4600.]</w:t>
      </w:r>
    </w:p>
    <w:p>
      <w:pPr>
        <w:pStyle w:val="Ednotesection"/>
        <w:rPr>
          <w:b/>
        </w:rPr>
      </w:pPr>
      <w:r>
        <w:t>[</w:t>
      </w:r>
      <w:r>
        <w:rPr>
          <w:b/>
        </w:rPr>
        <w:t>256.</w:t>
      </w:r>
      <w:r>
        <w:rPr>
          <w:b/>
        </w:rPr>
        <w:tab/>
      </w:r>
      <w:r>
        <w:t>Deleted: Gazette 19 Dec 2000 p. 7274.]</w:t>
      </w:r>
    </w:p>
    <w:p>
      <w:pPr>
        <w:pStyle w:val="Heading5"/>
      </w:pPr>
      <w:bookmarkStart w:id="34" w:name="_Toc97900752"/>
      <w:r>
        <w:rPr>
          <w:rStyle w:val="CharSectno"/>
        </w:rPr>
        <w:t>257</w:t>
      </w:r>
      <w:r>
        <w:t>.</w:t>
      </w:r>
      <w:r>
        <w:tab/>
        <w:t>Supply to premises requiring transformers</w:t>
      </w:r>
      <w:bookmarkEnd w:id="34"/>
    </w:p>
    <w:p>
      <w:pPr>
        <w:pStyle w:val="Subsection"/>
      </w:pPr>
      <w:r>
        <w:tab/>
        <w:t>(1)</w:t>
      </w:r>
      <w:r>
        <w:tab/>
        <w:t xml:space="preserve">If a network operator considers it necessary to install transformers in relation to premises, the owner of the premises must — </w:t>
      </w:r>
    </w:p>
    <w:p>
      <w:pPr>
        <w:pStyle w:val="Indenta"/>
      </w:pPr>
      <w:r>
        <w:tab/>
        <w:t>(a)</w:t>
      </w:r>
      <w:r>
        <w:tab/>
        <w:t xml:space="preserve">at the site where the transformers are installed, provide the following — </w:t>
      </w:r>
    </w:p>
    <w:p>
      <w:pPr>
        <w:pStyle w:val="Indenti"/>
      </w:pPr>
      <w:r>
        <w:tab/>
        <w:t>(i)</w:t>
      </w:r>
      <w:r>
        <w:tab/>
        <w:t>an accessible space, to the satisfaction of the network operator, for electrical equipment;</w:t>
      </w:r>
    </w:p>
    <w:p>
      <w:pPr>
        <w:pStyle w:val="Indenti"/>
      </w:pPr>
      <w:r>
        <w:tab/>
        <w:t>(ii)</w:t>
      </w:r>
      <w:r>
        <w:tab/>
        <w:t>an enclosure, to the satisfaction of the network operator, for the protection of electrical equipment against external influences and contact with live parts;</w:t>
      </w:r>
    </w:p>
    <w:p>
      <w:pPr>
        <w:pStyle w:val="Indenta"/>
      </w:pPr>
      <w:r>
        <w:tab/>
      </w:r>
      <w:r>
        <w:tab/>
        <w:t>and</w:t>
      </w:r>
    </w:p>
    <w:p>
      <w:pPr>
        <w:pStyle w:val="Indenta"/>
      </w:pPr>
      <w:r>
        <w:tab/>
        <w:t>(b)</w:t>
      </w:r>
      <w:r>
        <w:tab/>
        <w:t>ensure that circuit breakers and fuses on the premises have a fault rating to the satisfaction of the network operator.</w:t>
      </w:r>
    </w:p>
    <w:p>
      <w:pPr>
        <w:pStyle w:val="Penstart"/>
      </w:pPr>
      <w:r>
        <w:tab/>
        <w:t>Penalty for this subregulation:</w:t>
      </w:r>
    </w:p>
    <w:p>
      <w:pPr>
        <w:pStyle w:val="Penpara"/>
      </w:pPr>
      <w:r>
        <w:tab/>
        <w:t>(a)</w:t>
      </w:r>
      <w:r>
        <w:tab/>
        <w:t>in the case of an individual — a fine of $50 000;</w:t>
      </w:r>
    </w:p>
    <w:p>
      <w:pPr>
        <w:pStyle w:val="Penpara"/>
      </w:pPr>
      <w:r>
        <w:tab/>
        <w:t>(b)</w:t>
      </w:r>
      <w:r>
        <w:tab/>
        <w:t>in the case of a body corporate — a fine of $250 000.</w:t>
      </w:r>
    </w:p>
    <w:p>
      <w:pPr>
        <w:pStyle w:val="Subsection"/>
      </w:pPr>
      <w:r>
        <w:lastRenderedPageBreak/>
        <w:tab/>
        <w:t>(2)</w:t>
      </w:r>
      <w:r>
        <w:tab/>
        <w:t>The network operator may use electrical equipment referred to in subregulation (1) for the supply of electricity to consumers other than the occupier of the premises.</w:t>
      </w:r>
    </w:p>
    <w:p>
      <w:pPr>
        <w:pStyle w:val="Footnotesection"/>
      </w:pPr>
      <w:r>
        <w:tab/>
        <w:t>[Regulation 257 inserted: Gazette 2 Oct 2018 p. 3790.]</w:t>
      </w:r>
    </w:p>
    <w:p>
      <w:pPr>
        <w:pStyle w:val="Ednotesection"/>
        <w:rPr>
          <w:b/>
        </w:rPr>
      </w:pPr>
      <w:r>
        <w:t>[</w:t>
      </w:r>
      <w:r>
        <w:rPr>
          <w:b/>
        </w:rPr>
        <w:t>258</w:t>
      </w:r>
      <w:r>
        <w:rPr>
          <w:b/>
        </w:rPr>
        <w:noBreakHyphen/>
        <w:t>264.</w:t>
      </w:r>
      <w:r>
        <w:rPr>
          <w:b/>
        </w:rPr>
        <w:tab/>
      </w:r>
      <w:r>
        <w:t>Deleted: Gazette 19 Dec 2000 p. 7274.]</w:t>
      </w:r>
    </w:p>
    <w:p>
      <w:pPr>
        <w:pStyle w:val="Heading5"/>
        <w:rPr>
          <w:snapToGrid w:val="0"/>
        </w:rPr>
      </w:pPr>
      <w:bookmarkStart w:id="35" w:name="_Toc97900753"/>
      <w:r>
        <w:rPr>
          <w:rStyle w:val="CharSectno"/>
        </w:rPr>
        <w:t>265</w:t>
      </w:r>
      <w:r>
        <w:rPr>
          <w:snapToGrid w:val="0"/>
        </w:rPr>
        <w:t>.</w:t>
      </w:r>
      <w:r>
        <w:rPr>
          <w:snapToGrid w:val="0"/>
        </w:rPr>
        <w:tab/>
        <w:t>Interference with supply to other consumers</w:t>
      </w:r>
      <w:bookmarkEnd w:id="35"/>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Gazette 31 Oct 2006 p. 4601.]</w:t>
      </w:r>
    </w:p>
    <w:p>
      <w:pPr>
        <w:pStyle w:val="Ednotesection"/>
        <w:rPr>
          <w:b/>
        </w:rPr>
      </w:pPr>
      <w:r>
        <w:t>[</w:t>
      </w:r>
      <w:r>
        <w:rPr>
          <w:b/>
        </w:rPr>
        <w:t>266, 267.</w:t>
      </w:r>
      <w:r>
        <w:rPr>
          <w:b/>
        </w:rPr>
        <w:tab/>
      </w:r>
      <w:r>
        <w:rPr>
          <w:bCs/>
        </w:rPr>
        <w:t>Deleted</w:t>
      </w:r>
      <w:r>
        <w:t>: Gazette 19 Dec 2000 p. 7274.]</w:t>
      </w:r>
    </w:p>
    <w:p>
      <w:pPr>
        <w:pStyle w:val="Ednotesection"/>
      </w:pPr>
      <w:r>
        <w:t>[</w:t>
      </w:r>
      <w:r>
        <w:rPr>
          <w:b/>
          <w:bCs/>
        </w:rPr>
        <w:t>268.</w:t>
      </w:r>
      <w:r>
        <w:rPr>
          <w:b/>
          <w:bCs/>
        </w:rPr>
        <w:tab/>
      </w:r>
      <w:r>
        <w:t>Deleted: Gazette 31 Oct 2006 p. 4601.]</w:t>
      </w:r>
    </w:p>
    <w:p>
      <w:pPr>
        <w:pStyle w:val="Ednotesection"/>
      </w:pPr>
      <w:r>
        <w:t>[</w:t>
      </w:r>
      <w:r>
        <w:rPr>
          <w:b/>
        </w:rPr>
        <w:t>269, 270.</w:t>
      </w:r>
      <w:r>
        <w:rPr>
          <w:b/>
        </w:rPr>
        <w:tab/>
      </w:r>
      <w:r>
        <w:t>Deleted: Gazette 23 Dec 1994 p. 7128.]</w:t>
      </w:r>
    </w:p>
    <w:p>
      <w:pPr>
        <w:pStyle w:val="Heading5"/>
      </w:pPr>
      <w:bookmarkStart w:id="36" w:name="_Toc97900754"/>
      <w:r>
        <w:rPr>
          <w:rStyle w:val="CharSectno"/>
        </w:rPr>
        <w:t>271</w:t>
      </w:r>
      <w:r>
        <w:t>.</w:t>
      </w:r>
      <w:r>
        <w:tab/>
        <w:t>Apparatus, interruptions, responsibility</w:t>
      </w:r>
      <w:bookmarkEnd w:id="36"/>
    </w:p>
    <w:p>
      <w:pPr>
        <w:pStyle w:val="Subsection"/>
        <w:rPr>
          <w:snapToGrid w:val="0"/>
        </w:rPr>
      </w:pPr>
      <w:r>
        <w:rPr>
          <w:snapToGrid w:val="0"/>
        </w:rPr>
        <w:tab/>
      </w:r>
      <w:r>
        <w:rPr>
          <w:snapToGrid w:val="0"/>
        </w:rPr>
        <w:tab/>
        <w:t>The supply authority</w:t>
      </w:r>
      <w:r>
        <w:t> —</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lastRenderedPageBreak/>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Gazette 31 Oct 2006 p. 4601.]</w:t>
      </w:r>
    </w:p>
    <w:p>
      <w:pPr>
        <w:pStyle w:val="Heading5"/>
      </w:pPr>
      <w:bookmarkStart w:id="37" w:name="_Toc97900755"/>
      <w:r>
        <w:rPr>
          <w:rStyle w:val="CharSectno"/>
        </w:rPr>
        <w:t>272</w:t>
      </w:r>
      <w:r>
        <w:t>.</w:t>
      </w:r>
      <w:r>
        <w:tab/>
        <w:t>Disconnections</w:t>
      </w:r>
      <w:bookmarkEnd w:id="37"/>
    </w:p>
    <w:p>
      <w:pPr>
        <w:pStyle w:val="Subsection"/>
        <w:keepNext/>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Gazette 31 Oct 2006 p. 4601</w:t>
      </w:r>
      <w:r>
        <w:noBreakHyphen/>
        <w:t>2.]</w:t>
      </w:r>
    </w:p>
    <w:p>
      <w:pPr>
        <w:pStyle w:val="Ednotesection"/>
      </w:pPr>
      <w:r>
        <w:t>[</w:t>
      </w:r>
      <w:r>
        <w:rPr>
          <w:b/>
          <w:bCs/>
        </w:rPr>
        <w:t>273.</w:t>
      </w:r>
      <w:r>
        <w:rPr>
          <w:b/>
          <w:bCs/>
        </w:rPr>
        <w:tab/>
      </w:r>
      <w:r>
        <w:t>Deleted: Gazette 31 Oct 2006 p. 4602.]</w:t>
      </w:r>
    </w:p>
    <w:p>
      <w:pPr>
        <w:pStyle w:val="Heading5"/>
      </w:pPr>
      <w:bookmarkStart w:id="38" w:name="_Toc97900756"/>
      <w:r>
        <w:rPr>
          <w:rStyle w:val="CharSectno"/>
        </w:rPr>
        <w:t>274</w:t>
      </w:r>
      <w:r>
        <w:t>.</w:t>
      </w:r>
      <w:r>
        <w:tab/>
        <w:t>Consumer’s liability for loss</w:t>
      </w:r>
      <w:bookmarkEnd w:id="38"/>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Gazette 31 Oct 2006 p. 4602.]</w:t>
      </w:r>
    </w:p>
    <w:p>
      <w:pPr>
        <w:pStyle w:val="Ednotesection"/>
      </w:pPr>
      <w:r>
        <w:lastRenderedPageBreak/>
        <w:t>[</w:t>
      </w:r>
      <w:r>
        <w:rPr>
          <w:b/>
          <w:bCs/>
        </w:rPr>
        <w:t>275.</w:t>
      </w:r>
      <w:r>
        <w:rPr>
          <w:b/>
          <w:bCs/>
        </w:rPr>
        <w:tab/>
      </w:r>
      <w:r>
        <w:t>Deleted: Gazette 31 Oct 2006 p. 4602.]</w:t>
      </w:r>
    </w:p>
    <w:p>
      <w:pPr>
        <w:pStyle w:val="Heading5"/>
      </w:pPr>
      <w:bookmarkStart w:id="39" w:name="_Toc97900757"/>
      <w:r>
        <w:rPr>
          <w:rStyle w:val="CharSectno"/>
        </w:rPr>
        <w:t>276</w:t>
      </w:r>
      <w:r>
        <w:t>.</w:t>
      </w:r>
      <w:r>
        <w:tab/>
        <w:t>Alteration to system</w:t>
      </w:r>
      <w:bookmarkEnd w:id="39"/>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Gazette 23 Dec 1994 p. 7125; 31 Oct 2006 p. 4602.]</w:t>
      </w:r>
    </w:p>
    <w:p>
      <w:pPr>
        <w:pStyle w:val="Ednotesection"/>
      </w:pPr>
      <w:r>
        <w:t>[</w:t>
      </w:r>
      <w:r>
        <w:rPr>
          <w:b/>
          <w:bCs/>
        </w:rPr>
        <w:t>277.</w:t>
      </w:r>
      <w:r>
        <w:rPr>
          <w:b/>
          <w:bCs/>
        </w:rPr>
        <w:tab/>
      </w:r>
      <w:r>
        <w:t>Deleted: Gazette 31 Oct 2006 p. 4602.]</w:t>
      </w:r>
    </w:p>
    <w:p>
      <w:pPr>
        <w:pStyle w:val="Ednotesection"/>
      </w:pPr>
      <w:r>
        <w:t>[</w:t>
      </w:r>
      <w:r>
        <w:rPr>
          <w:b/>
        </w:rPr>
        <w:t>278.</w:t>
      </w:r>
      <w:r>
        <w:tab/>
        <w:t>Disallowed: Gazette 1 Oct 1948 p. 2375.]</w:t>
      </w:r>
    </w:p>
    <w:p>
      <w:pPr>
        <w:pStyle w:val="Ednotesection"/>
      </w:pPr>
      <w:r>
        <w:t>[</w:t>
      </w:r>
      <w:r>
        <w:rPr>
          <w:b/>
          <w:bCs/>
        </w:rPr>
        <w:t>279.</w:t>
      </w:r>
      <w:r>
        <w:rPr>
          <w:b/>
          <w:bCs/>
        </w:rPr>
        <w:tab/>
      </w:r>
      <w:r>
        <w:t>Deleted: Gazette 31 Oct 2006 p. 4602.]</w:t>
      </w:r>
    </w:p>
    <w:p>
      <w:pPr>
        <w:pStyle w:val="Heading5"/>
      </w:pPr>
      <w:bookmarkStart w:id="40" w:name="_Toc97900758"/>
      <w:r>
        <w:rPr>
          <w:rStyle w:val="CharSectno"/>
        </w:rPr>
        <w:t>280</w:t>
      </w:r>
      <w:r>
        <w:t>.</w:t>
      </w:r>
      <w:r>
        <w:tab/>
        <w:t>Charges for services</w:t>
      </w:r>
      <w:bookmarkEnd w:id="40"/>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Gazette 31 Oct 2006 p. 4602.]</w:t>
      </w:r>
    </w:p>
    <w:p>
      <w:pPr>
        <w:pStyle w:val="Heading2"/>
      </w:pPr>
      <w:bookmarkStart w:id="41" w:name="_Toc97807696"/>
      <w:bookmarkStart w:id="42" w:name="_Toc97808055"/>
      <w:bookmarkStart w:id="43" w:name="_Toc97900759"/>
      <w:r>
        <w:rPr>
          <w:rStyle w:val="CharPartNo"/>
        </w:rPr>
        <w:lastRenderedPageBreak/>
        <w:t>Part IX</w:t>
      </w:r>
      <w:r>
        <w:rPr>
          <w:b w:val="0"/>
        </w:rPr>
        <w:t> </w:t>
      </w:r>
      <w:r>
        <w:t>—</w:t>
      </w:r>
      <w:r>
        <w:rPr>
          <w:b w:val="0"/>
        </w:rPr>
        <w:t> </w:t>
      </w:r>
      <w:r>
        <w:rPr>
          <w:rStyle w:val="CharPartText"/>
        </w:rPr>
        <w:t>Vegetation control safety requirements</w:t>
      </w:r>
      <w:bookmarkEnd w:id="41"/>
      <w:bookmarkEnd w:id="42"/>
      <w:bookmarkEnd w:id="43"/>
    </w:p>
    <w:p>
      <w:pPr>
        <w:pStyle w:val="Footnoteheading"/>
      </w:pPr>
      <w:r>
        <w:tab/>
        <w:t>[Heading inserted: Gazette 27 Oct 2009 p. 4212.]</w:t>
      </w:r>
    </w:p>
    <w:p>
      <w:pPr>
        <w:pStyle w:val="Ednotesection"/>
      </w:pPr>
      <w:r>
        <w:t>[</w:t>
      </w:r>
      <w:r>
        <w:rPr>
          <w:b/>
          <w:bCs/>
        </w:rPr>
        <w:t>281</w:t>
      </w:r>
      <w:r>
        <w:rPr>
          <w:b/>
          <w:bCs/>
        </w:rPr>
        <w:noBreakHyphen/>
        <w:t>316.</w:t>
      </w:r>
      <w:r>
        <w:rPr>
          <w:b/>
          <w:bCs/>
        </w:rPr>
        <w:tab/>
      </w:r>
      <w:r>
        <w:t>Deleted: Gazette 27 Oct 2009 p. 4212.]</w:t>
      </w:r>
    </w:p>
    <w:p>
      <w:pPr>
        <w:pStyle w:val="Heading5"/>
        <w:rPr>
          <w:snapToGrid w:val="0"/>
        </w:rPr>
      </w:pPr>
      <w:bookmarkStart w:id="44" w:name="_Toc97900760"/>
      <w:r>
        <w:rPr>
          <w:rStyle w:val="CharSectno"/>
        </w:rPr>
        <w:t>316A</w:t>
      </w:r>
      <w:r>
        <w:rPr>
          <w:snapToGrid w:val="0"/>
        </w:rPr>
        <w:t>.</w:t>
      </w:r>
      <w:r>
        <w:rPr>
          <w:snapToGrid w:val="0"/>
        </w:rPr>
        <w:tab/>
        <w:t>Vegetation control work near overhead power lines</w:t>
      </w:r>
      <w:bookmarkEnd w:id="44"/>
    </w:p>
    <w:p>
      <w:pPr>
        <w:pStyle w:val="Subsection"/>
      </w:pPr>
      <w:r>
        <w:tab/>
        <w:t>(1A)</w:t>
      </w:r>
      <w:r>
        <w:tab/>
        <w:t>In this regulation —</w:t>
      </w:r>
    </w:p>
    <w:p>
      <w:pPr>
        <w:pStyle w:val="Defstart"/>
      </w:pPr>
      <w:r>
        <w:tab/>
      </w:r>
      <w:r>
        <w:rPr>
          <w:rStyle w:val="CharDefText"/>
        </w:rPr>
        <w:t>conductor</w:t>
      </w:r>
      <w:r>
        <w:t xml:space="preserve"> includes any of the following — </w:t>
      </w:r>
    </w:p>
    <w:p>
      <w:pPr>
        <w:pStyle w:val="Defpara"/>
      </w:pPr>
      <w:r>
        <w:tab/>
        <w:t>(a)</w:t>
      </w:r>
      <w:r>
        <w:tab/>
        <w:t>an active conductor;</w:t>
      </w:r>
    </w:p>
    <w:p>
      <w:pPr>
        <w:pStyle w:val="Defpara"/>
      </w:pPr>
      <w:r>
        <w:tab/>
        <w:t>(b)</w:t>
      </w:r>
      <w:r>
        <w:tab/>
        <w:t xml:space="preserve">a neutral conductor; </w:t>
      </w:r>
    </w:p>
    <w:p>
      <w:pPr>
        <w:pStyle w:val="Defpara"/>
      </w:pPr>
      <w:r>
        <w:tab/>
        <w:t>(c)</w:t>
      </w:r>
      <w:r>
        <w:tab/>
        <w:t>a catenary supported conductor;</w:t>
      </w:r>
    </w:p>
    <w:p>
      <w:pPr>
        <w:pStyle w:val="Defpara"/>
      </w:pPr>
      <w:r>
        <w:tab/>
        <w:t>(d)</w:t>
      </w:r>
      <w:r>
        <w:tab/>
        <w:t>a neutral screened conductor;</w:t>
      </w:r>
    </w:p>
    <w:p>
      <w:pPr>
        <w:pStyle w:val="Defpara"/>
      </w:pPr>
      <w:r>
        <w:tab/>
        <w:t>(e)</w:t>
      </w:r>
      <w:r>
        <w:tab/>
        <w:t>a stranded conductor (whether bundled or not) that is supported by insulators or purpose</w:t>
      </w:r>
      <w:r>
        <w:noBreakHyphen/>
        <w:t>designed fittings so that it remains above the ground and is directly exposed to the weather;</w:t>
      </w:r>
    </w:p>
    <w:p>
      <w:pPr>
        <w:pStyle w:val="Defstart"/>
      </w:pPr>
      <w:r>
        <w:tab/>
      </w:r>
      <w:r>
        <w:rPr>
          <w:rStyle w:val="CharDefText"/>
        </w:rPr>
        <w:t>overhead power lines</w:t>
      </w:r>
      <w:r>
        <w:t xml:space="preserve"> means overhead lines for the transmission of electrical energy.</w:t>
      </w:r>
    </w:p>
    <w:p>
      <w:pPr>
        <w:pStyle w:val="Subsection"/>
      </w:pPr>
      <w:r>
        <w:tab/>
        <w:t>(1B)</w:t>
      </w:r>
      <w:r>
        <w:tab/>
        <w:t xml:space="preserve">In this regulation — </w:t>
      </w:r>
    </w:p>
    <w:p>
      <w:pPr>
        <w:pStyle w:val="Defpara"/>
      </w:pPr>
      <w:r>
        <w:tab/>
        <w:t>(a)</w:t>
      </w:r>
      <w:r>
        <w:tab/>
        <w:t>a reference to performing work includes a reference to assisting to perform work; and</w:t>
      </w:r>
    </w:p>
    <w:p>
      <w:pPr>
        <w:pStyle w:val="Defpara"/>
      </w:pPr>
      <w:r>
        <w:tab/>
        <w:t>(b)</w:t>
      </w:r>
      <w:r>
        <w:tab/>
        <w:t>performing work in the course of employment is to be regarded as being for reward; and</w:t>
      </w:r>
    </w:p>
    <w:p>
      <w:pPr>
        <w:pStyle w:val="Defpara"/>
      </w:pPr>
      <w:r>
        <w:tab/>
        <w:t>(c)</w:t>
      </w:r>
      <w:r>
        <w:tab/>
        <w:t>vegetation control work is performed within a danger zone if any part of the following comes within the danger zone at any time while the work is being performed —</w:t>
      </w:r>
    </w:p>
    <w:p>
      <w:pPr>
        <w:pStyle w:val="Defsubpara"/>
      </w:pPr>
      <w:r>
        <w:tab/>
        <w:t>(i)</w:t>
      </w:r>
      <w:r>
        <w:tab/>
        <w:t>the vegetation;</w:t>
      </w:r>
    </w:p>
    <w:p>
      <w:pPr>
        <w:pStyle w:val="Defsubpara"/>
      </w:pPr>
      <w:r>
        <w:tab/>
        <w:t>(ii)</w:t>
      </w:r>
      <w:r>
        <w:tab/>
        <w:t>the body of, or any tool, vehicle, or other equipment used by, a person performing the work.</w:t>
      </w:r>
    </w:p>
    <w:p>
      <w:pPr>
        <w:pStyle w:val="Subsection"/>
        <w:rPr>
          <w:snapToGrid w:val="0"/>
        </w:rPr>
      </w:pPr>
      <w:r>
        <w:rPr>
          <w:snapToGrid w:val="0"/>
        </w:rPr>
        <w:lastRenderedPageBreak/>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keepNext/>
        <w:rPr>
          <w:snapToGrid w:val="0"/>
        </w:rPr>
      </w:pPr>
      <w:r>
        <w:rPr>
          <w:snapToGrid w:val="0"/>
        </w:rPr>
        <w:lastRenderedPageBreak/>
        <w:tab/>
        <w:t>(ii)</w:t>
      </w:r>
      <w:r>
        <w:rPr>
          <w:snapToGrid w:val="0"/>
        </w:rPr>
        <w:tab/>
        <w:t>such other safety requirements as the Director has approved in writing.</w:t>
      </w:r>
    </w:p>
    <w:p>
      <w:pPr>
        <w:pStyle w:val="Ednotesubsection"/>
      </w:pPr>
      <w:r>
        <w:tab/>
        <w:t>[(5)</w:t>
      </w:r>
      <w:r>
        <w:tab/>
        <w:t>deleted]</w:t>
      </w:r>
    </w:p>
    <w:p>
      <w:pPr>
        <w:pStyle w:val="Footnotesection"/>
      </w:pPr>
      <w:r>
        <w:tab/>
        <w:t>[Regulation 316A inserted: Gazette 30 Aug 1996 p. 4316</w:t>
      </w:r>
      <w:r>
        <w:noBreakHyphen/>
        <w:t>17; 2 Oct 2018 p. 3791.]</w:t>
      </w:r>
    </w:p>
    <w:p>
      <w:pPr>
        <w:pStyle w:val="Ednotesection"/>
      </w:pPr>
      <w:r>
        <w:t>[</w:t>
      </w:r>
      <w:r>
        <w:rPr>
          <w:b/>
          <w:bCs/>
        </w:rPr>
        <w:t>317</w:t>
      </w:r>
      <w:r>
        <w:rPr>
          <w:b/>
          <w:bCs/>
        </w:rPr>
        <w:noBreakHyphen/>
        <w:t>319.</w:t>
      </w:r>
      <w:r>
        <w:rPr>
          <w:b/>
          <w:bCs/>
        </w:rPr>
        <w:tab/>
      </w:r>
      <w:r>
        <w:t>Deleted: Gazette 27 Oct 2009 p. 4212.]</w:t>
      </w:r>
    </w:p>
    <w:p>
      <w:pPr>
        <w:pStyle w:val="Heading2"/>
      </w:pPr>
      <w:bookmarkStart w:id="45" w:name="_Toc97807698"/>
      <w:bookmarkStart w:id="46" w:name="_Toc97808057"/>
      <w:bookmarkStart w:id="47" w:name="_Toc97900761"/>
      <w:r>
        <w:rPr>
          <w:rStyle w:val="CharPartNo"/>
        </w:rPr>
        <w:lastRenderedPageBreak/>
        <w:t>Part X</w:t>
      </w:r>
      <w:r>
        <w:rPr>
          <w:rStyle w:val="CharDivNo"/>
        </w:rPr>
        <w:t> </w:t>
      </w:r>
      <w:r>
        <w:t>—</w:t>
      </w:r>
      <w:r>
        <w:rPr>
          <w:rStyle w:val="CharDivText"/>
        </w:rPr>
        <w:t> </w:t>
      </w:r>
      <w:r>
        <w:rPr>
          <w:rStyle w:val="CharPartText"/>
        </w:rPr>
        <w:t>Approval of electrical appliances</w:t>
      </w:r>
      <w:bookmarkEnd w:id="45"/>
      <w:bookmarkEnd w:id="46"/>
      <w:bookmarkEnd w:id="47"/>
    </w:p>
    <w:p>
      <w:pPr>
        <w:pStyle w:val="Footnoteheading"/>
        <w:rPr>
          <w:snapToGrid w:val="0"/>
        </w:rPr>
      </w:pPr>
      <w:r>
        <w:rPr>
          <w:snapToGrid w:val="0"/>
        </w:rPr>
        <w:tab/>
        <w:t>[Heading inserted: Gazette 7 Sep 1955 p. 2143.]</w:t>
      </w:r>
    </w:p>
    <w:p>
      <w:pPr>
        <w:pStyle w:val="Ednotesection"/>
      </w:pPr>
      <w:r>
        <w:t>[</w:t>
      </w:r>
      <w:r>
        <w:rPr>
          <w:b/>
        </w:rPr>
        <w:t>320.</w:t>
      </w:r>
      <w:r>
        <w:tab/>
        <w:t>Deleted: Gazette 23 Dec 1994 p. 7128.]</w:t>
      </w:r>
    </w:p>
    <w:p>
      <w:pPr>
        <w:pStyle w:val="Heading5"/>
      </w:pPr>
      <w:bookmarkStart w:id="48" w:name="_Toc97900762"/>
      <w:r>
        <w:rPr>
          <w:rStyle w:val="CharSectno"/>
        </w:rPr>
        <w:t>321</w:t>
      </w:r>
      <w:r>
        <w:t>.</w:t>
      </w:r>
      <w:r>
        <w:tab/>
        <w:t>Terms used</w:t>
      </w:r>
      <w:bookmarkEnd w:id="48"/>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lastRenderedPageBreak/>
        <w:tab/>
      </w:r>
      <w:r>
        <w:rPr>
          <w:rStyle w:val="CharDefText"/>
        </w:rPr>
        <w:t>duly constituted authority in another State of the Commonwealth</w:t>
      </w:r>
      <w:r>
        <w:t xml:space="preserve"> means —</w:t>
      </w:r>
    </w:p>
    <w:p>
      <w:pPr>
        <w:pStyle w:val="Defpara"/>
      </w:pPr>
      <w:r>
        <w:tab/>
        <w:t>(a)</w:t>
      </w:r>
      <w:r>
        <w:tab/>
        <w:t>the Department of Mines and Energy, Queensland; or</w:t>
      </w:r>
    </w:p>
    <w:p>
      <w:pPr>
        <w:pStyle w:val="Defpara"/>
      </w:pPr>
      <w:r>
        <w:tab/>
        <w:t>(b)</w:t>
      </w:r>
      <w:r>
        <w:tab/>
        <w:t>the Department of Energy, New South Wales; or</w:t>
      </w:r>
    </w:p>
    <w:p>
      <w:pPr>
        <w:pStyle w:val="Defpara"/>
      </w:pPr>
      <w:r>
        <w:tab/>
        <w:t>(c)</w:t>
      </w:r>
      <w:r>
        <w:tab/>
        <w:t>the Office of the Chief Electrical Inspector, Victoria; or</w:t>
      </w:r>
    </w:p>
    <w:p>
      <w:pPr>
        <w:pStyle w:val="Defpara"/>
      </w:pPr>
      <w:r>
        <w:tab/>
        <w:t>(d)</w:t>
      </w:r>
      <w:r>
        <w:tab/>
        <w:t>the Office of Energy Policy, South Australia; or</w:t>
      </w:r>
    </w:p>
    <w:p>
      <w:pPr>
        <w:pStyle w:val="Defpara"/>
      </w:pPr>
      <w:r>
        <w:tab/>
        <w:t>(e)</w:t>
      </w:r>
      <w:r>
        <w:tab/>
        <w:t>the Hydro Electric Corporation of Tasmania; or</w:t>
      </w:r>
    </w:p>
    <w:p>
      <w:pPr>
        <w:pStyle w:val="Defpara"/>
      </w:pPr>
      <w:r>
        <w:tab/>
        <w:t>(f)</w:t>
      </w:r>
      <w:r>
        <w:tab/>
        <w:t>the Department of Urban Services, Australian Capital Territory;</w:t>
      </w:r>
    </w:p>
    <w:p>
      <w:pPr>
        <w:pStyle w:val="Defstart"/>
      </w:pPr>
      <w:r>
        <w:tab/>
      </w:r>
      <w:r>
        <w:rPr>
          <w:rStyle w:val="CharDefText"/>
        </w:rPr>
        <w:t>published specification</w:t>
      </w:r>
      <w:r>
        <w:t xml:space="preserve"> means the relevant Approval and Test Specification published by Standards Australia and which is that relating to prescribed appliances which are prescribed in a notification published in the </w:t>
      </w:r>
      <w:r>
        <w:rPr>
          <w:i/>
        </w:rPr>
        <w:t>Gazette</w:t>
      </w:r>
      <w:r>
        <w:t xml:space="preserve"> by direction of the Director by reference to the following —</w:t>
      </w:r>
    </w:p>
    <w:p>
      <w:pPr>
        <w:pStyle w:val="Defpara"/>
      </w:pPr>
      <w:r>
        <w:tab/>
        <w:t>(a)</w:t>
      </w:r>
      <w:r>
        <w:tab/>
        <w:t>the classification letters, numbers, month (if any) and year of publication or title of Approval and Test Specifications published by Standards Australia;</w:t>
      </w:r>
    </w:p>
    <w:p>
      <w:pPr>
        <w:pStyle w:val="Defpara"/>
      </w:pPr>
      <w:r>
        <w:tab/>
        <w:t>(b)</w:t>
      </w:r>
      <w:r>
        <w:tab/>
        <w:t>any amendment of the Approval and Test Specifications published by Standards Australia;</w:t>
      </w:r>
    </w:p>
    <w:p>
      <w:pPr>
        <w:pStyle w:val="Defpara"/>
      </w:pPr>
      <w:r>
        <w:tab/>
        <w:t>(c)</w:t>
      </w:r>
      <w:r>
        <w:tab/>
        <w:t>any part of the Approval and Test Specifications or any amendment thereof published by Standards Australia.</w:t>
      </w:r>
    </w:p>
    <w:p>
      <w:pPr>
        <w:pStyle w:val="Footnotesection"/>
      </w:pPr>
      <w:r>
        <w:tab/>
        <w:t>[Regulation 321 inserted: Gazette 7 Sep 1955 p. 2144; amended: Gazette 22 May 1987 p. 2189; 23 Dec 1994 p. 7128</w:t>
      </w:r>
      <w:r>
        <w:noBreakHyphen/>
        <w:t>9; 23 May 1997 p. 2418; 2 Oct 2018 p. 3791.]</w:t>
      </w:r>
    </w:p>
    <w:p>
      <w:pPr>
        <w:pStyle w:val="Heading5"/>
        <w:rPr>
          <w:snapToGrid w:val="0"/>
        </w:rPr>
      </w:pPr>
      <w:bookmarkStart w:id="49" w:name="_Toc97900763"/>
      <w:r>
        <w:rPr>
          <w:rStyle w:val="CharSectno"/>
        </w:rPr>
        <w:t>322</w:t>
      </w:r>
      <w:r>
        <w:rPr>
          <w:snapToGrid w:val="0"/>
        </w:rPr>
        <w:t>.</w:t>
      </w:r>
      <w:r>
        <w:rPr>
          <w:snapToGrid w:val="0"/>
        </w:rPr>
        <w:tab/>
        <w:t>Application for approval</w:t>
      </w:r>
      <w:bookmarkEnd w:id="49"/>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lastRenderedPageBreak/>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keepNext/>
        <w:rPr>
          <w:snapToGrid w:val="0"/>
        </w:rPr>
      </w:pPr>
      <w:r>
        <w:rPr>
          <w:snapToGrid w:val="0"/>
        </w:rPr>
        <w:lastRenderedPageBreak/>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Gazette 7 Sep 1955 p. 2145; amended: Gazette 22 Dec 1964 p. 4081; 23 Dec 1994 p. 7125 and 7129</w:t>
      </w:r>
      <w:r>
        <w:noBreakHyphen/>
        <w:t>30; 23 May 1997 p. 2418.]</w:t>
      </w:r>
    </w:p>
    <w:p>
      <w:pPr>
        <w:pStyle w:val="Heading5"/>
        <w:rPr>
          <w:snapToGrid w:val="0"/>
        </w:rPr>
      </w:pPr>
      <w:bookmarkStart w:id="50" w:name="_Toc97900764"/>
      <w:r>
        <w:rPr>
          <w:rStyle w:val="CharSectno"/>
        </w:rPr>
        <w:t>323</w:t>
      </w:r>
      <w:r>
        <w:rPr>
          <w:snapToGrid w:val="0"/>
        </w:rPr>
        <w:t>.</w:t>
      </w:r>
      <w:r>
        <w:rPr>
          <w:snapToGrid w:val="0"/>
        </w:rPr>
        <w:tab/>
        <w:t>Further testing of electrical appliances approved</w:t>
      </w:r>
      <w:bookmarkEnd w:id="50"/>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 xml:space="preserve">for the submission of evidence, additional to, or in verification of, the test report, if so required by the </w:t>
      </w:r>
      <w:r>
        <w:rPr>
          <w:snapToGrid w:val="0"/>
        </w:rPr>
        <w:lastRenderedPageBreak/>
        <w:t>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Gazette 23 Dec 1994 p. 7130</w:t>
      </w:r>
      <w:r>
        <w:noBreakHyphen/>
        <w:t>1.]</w:t>
      </w:r>
    </w:p>
    <w:p>
      <w:pPr>
        <w:pStyle w:val="Ednotesection"/>
      </w:pPr>
      <w:r>
        <w:t>[</w:t>
      </w:r>
      <w:r>
        <w:rPr>
          <w:b/>
        </w:rPr>
        <w:t>324, 325.</w:t>
      </w:r>
      <w:r>
        <w:rPr>
          <w:b/>
        </w:rPr>
        <w:tab/>
      </w:r>
      <w:r>
        <w:t>Deleted: Gazette 23 Dec 1994 p. 7130.]</w:t>
      </w:r>
    </w:p>
    <w:p>
      <w:pPr>
        <w:pStyle w:val="Heading5"/>
        <w:rPr>
          <w:snapToGrid w:val="0"/>
        </w:rPr>
      </w:pPr>
      <w:bookmarkStart w:id="51" w:name="_Toc97900765"/>
      <w:r>
        <w:rPr>
          <w:rStyle w:val="CharSectno"/>
        </w:rPr>
        <w:t>326</w:t>
      </w:r>
      <w:r>
        <w:rPr>
          <w:snapToGrid w:val="0"/>
        </w:rPr>
        <w:t>.</w:t>
      </w:r>
      <w:r>
        <w:rPr>
          <w:snapToGrid w:val="0"/>
        </w:rPr>
        <w:tab/>
        <w:t>Certificate of approval</w:t>
      </w:r>
      <w:bookmarkEnd w:id="51"/>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 xml:space="preserve">Approval of an electrical appliance may be granted unconditionally or may at the discretion of the Director be </w:t>
      </w:r>
      <w:r>
        <w:rPr>
          <w:snapToGrid w:val="0"/>
        </w:rPr>
        <w:lastRenderedPageBreak/>
        <w:t>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lastRenderedPageBreak/>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pPr>
      <w:r>
        <w:tab/>
        <w:t>(b)</w:t>
      </w:r>
      <w:r>
        <w:tab/>
        <w:t>cannot be renewed.</w:t>
      </w:r>
    </w:p>
    <w:p>
      <w:pPr>
        <w:pStyle w:val="Footnotesection"/>
      </w:pPr>
      <w:r>
        <w:tab/>
        <w:t>[Regulation 326 inserted: Gazette 7 Sep 1955 p. 2146</w:t>
      </w:r>
      <w:r>
        <w:noBreakHyphen/>
        <w:t>7; amended: Gazette 22 Dec 1964 p. 4081; 23 Dec 1994 p. 7125 and 7131; 31 Oct 2006 p. 4602; 31 Dec 2010 p. 6888; 5 Jan 2016 p. 3.]</w:t>
      </w:r>
    </w:p>
    <w:p>
      <w:pPr>
        <w:pStyle w:val="Heading5"/>
        <w:spacing w:before="180"/>
        <w:rPr>
          <w:snapToGrid w:val="0"/>
        </w:rPr>
      </w:pPr>
      <w:bookmarkStart w:id="52" w:name="_Toc97900766"/>
      <w:r>
        <w:rPr>
          <w:rStyle w:val="CharSectno"/>
        </w:rPr>
        <w:t>327</w:t>
      </w:r>
      <w:r>
        <w:rPr>
          <w:snapToGrid w:val="0"/>
        </w:rPr>
        <w:t>.</w:t>
      </w:r>
      <w:r>
        <w:rPr>
          <w:snapToGrid w:val="0"/>
        </w:rPr>
        <w:tab/>
        <w:t>Stamping and labelling of approved electrical appliances</w:t>
      </w:r>
      <w:bookmarkEnd w:id="52"/>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 xml:space="preserve">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w:t>
      </w:r>
      <w:r>
        <w:rPr>
          <w:snapToGrid w:val="0"/>
        </w:rPr>
        <w:lastRenderedPageBreak/>
        <w:t>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Gazette 7 Sep 1955 p. 2147</w:t>
      </w:r>
      <w:r>
        <w:noBreakHyphen/>
        <w:t>8; amended: Gazette 23 Dec 1994 p. 7125.]</w:t>
      </w:r>
    </w:p>
    <w:p>
      <w:pPr>
        <w:pStyle w:val="Heading5"/>
        <w:pageBreakBefore/>
        <w:spacing w:before="0"/>
        <w:rPr>
          <w:snapToGrid w:val="0"/>
        </w:rPr>
      </w:pPr>
      <w:bookmarkStart w:id="53" w:name="_Toc97900767"/>
      <w:r>
        <w:rPr>
          <w:rStyle w:val="CharSectno"/>
        </w:rPr>
        <w:lastRenderedPageBreak/>
        <w:t>328</w:t>
      </w:r>
      <w:r>
        <w:rPr>
          <w:snapToGrid w:val="0"/>
        </w:rPr>
        <w:t>.</w:t>
      </w:r>
      <w:r>
        <w:rPr>
          <w:snapToGrid w:val="0"/>
        </w:rPr>
        <w:tab/>
        <w:t>Modification of design or construction</w:t>
      </w:r>
      <w:bookmarkEnd w:id="53"/>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Gazette 7 Sep 1955 p. 2148; amended: Gazette 23 Dec 1994 p. 7125 and 7131.]</w:t>
      </w:r>
    </w:p>
    <w:p>
      <w:pPr>
        <w:pStyle w:val="Heading5"/>
        <w:rPr>
          <w:snapToGrid w:val="0"/>
        </w:rPr>
      </w:pPr>
      <w:bookmarkStart w:id="54" w:name="_Toc97900768"/>
      <w:r>
        <w:rPr>
          <w:rStyle w:val="CharSectno"/>
        </w:rPr>
        <w:t>329</w:t>
      </w:r>
      <w:r>
        <w:rPr>
          <w:snapToGrid w:val="0"/>
        </w:rPr>
        <w:t>.</w:t>
      </w:r>
      <w:r>
        <w:rPr>
          <w:snapToGrid w:val="0"/>
        </w:rPr>
        <w:tab/>
        <w:t>Transfer of certificate of approval</w:t>
      </w:r>
      <w:bookmarkEnd w:id="54"/>
    </w:p>
    <w:p>
      <w:pPr>
        <w:pStyle w:val="Subsection"/>
        <w:rPr>
          <w:snapToGrid w:val="0"/>
        </w:rPr>
      </w:pPr>
      <w:r>
        <w:rPr>
          <w:snapToGrid w:val="0"/>
        </w:rPr>
        <w:tab/>
        <w:t>(1)</w:t>
      </w:r>
      <w:r>
        <w:rPr>
          <w:snapToGrid w:val="0"/>
        </w:rPr>
        <w:tab/>
        <w:t xml:space="preserve">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w:t>
      </w:r>
      <w:r>
        <w:rPr>
          <w:snapToGrid w:val="0"/>
        </w:rPr>
        <w:lastRenderedPageBreak/>
        <w:t>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Gazette 7 Sep 1955 p. 2148; amended: Gazette 23 Dec 1994 p. 7125 and 7131.]</w:t>
      </w:r>
    </w:p>
    <w:p>
      <w:pPr>
        <w:pStyle w:val="Heading5"/>
        <w:spacing w:before="180"/>
        <w:rPr>
          <w:snapToGrid w:val="0"/>
        </w:rPr>
      </w:pPr>
      <w:bookmarkStart w:id="55" w:name="_Toc97900769"/>
      <w:r>
        <w:rPr>
          <w:rStyle w:val="CharSectno"/>
        </w:rPr>
        <w:t>330</w:t>
      </w:r>
      <w:r>
        <w:rPr>
          <w:snapToGrid w:val="0"/>
        </w:rPr>
        <w:t>.</w:t>
      </w:r>
      <w:r>
        <w:rPr>
          <w:snapToGrid w:val="0"/>
        </w:rPr>
        <w:tab/>
        <w:t>Lost or destroyed certificates of approval</w:t>
      </w:r>
      <w:bookmarkEnd w:id="55"/>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Gazette 7 Sep 1955 p. 2149; amended: Gazette 23 Dec 1994 p. 7125 and 7131; 20 Mar 2007 p. 1038.]</w:t>
      </w:r>
    </w:p>
    <w:p>
      <w:pPr>
        <w:pStyle w:val="Heading5"/>
        <w:spacing w:before="180"/>
        <w:rPr>
          <w:snapToGrid w:val="0"/>
        </w:rPr>
      </w:pPr>
      <w:bookmarkStart w:id="56" w:name="_Toc97900770"/>
      <w:r>
        <w:rPr>
          <w:rStyle w:val="CharSectno"/>
        </w:rPr>
        <w:t>331</w:t>
      </w:r>
      <w:r>
        <w:rPr>
          <w:snapToGrid w:val="0"/>
        </w:rPr>
        <w:t>.</w:t>
      </w:r>
      <w:r>
        <w:rPr>
          <w:snapToGrid w:val="0"/>
        </w:rPr>
        <w:tab/>
        <w:t>Delegation by Director</w:t>
      </w:r>
      <w:bookmarkEnd w:id="56"/>
    </w:p>
    <w:p>
      <w:pPr>
        <w:pStyle w:val="Subsection"/>
        <w:rPr>
          <w:snapToGrid w:val="0"/>
        </w:rPr>
      </w:pPr>
      <w:r>
        <w:rPr>
          <w:snapToGrid w:val="0"/>
        </w:rPr>
        <w:tab/>
        <w:t>(1)</w:t>
      </w:r>
      <w:r>
        <w:rPr>
          <w:snapToGrid w:val="0"/>
        </w:rPr>
        <w:tab/>
        <w:t xml:space="preserve">The Director may, either generally or as otherwise provided by the instrument of delegation, by writing signed by the Director, delegate to a person authorised by the Director the power of making any assessment, examination or test for the purposes of </w:t>
      </w:r>
      <w:r>
        <w:rPr>
          <w:snapToGrid w:val="0"/>
        </w:rPr>
        <w:lastRenderedPageBreak/>
        <w:t>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Gazette 23 Dec 1994 p. 7132.]</w:t>
      </w:r>
    </w:p>
    <w:p>
      <w:pPr>
        <w:pStyle w:val="Heading5"/>
        <w:rPr>
          <w:snapToGrid w:val="0"/>
        </w:rPr>
      </w:pPr>
      <w:bookmarkStart w:id="57" w:name="_Toc97900771"/>
      <w:r>
        <w:rPr>
          <w:rStyle w:val="CharSectno"/>
        </w:rPr>
        <w:t>332</w:t>
      </w:r>
      <w:r>
        <w:rPr>
          <w:snapToGrid w:val="0"/>
        </w:rPr>
        <w:t>.</w:t>
      </w:r>
      <w:r>
        <w:rPr>
          <w:snapToGrid w:val="0"/>
        </w:rPr>
        <w:tab/>
        <w:t>Refusal or withdrawal of approval</w:t>
      </w:r>
      <w:bookmarkEnd w:id="57"/>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 xml:space="preserve">if an electrical appliance of the same type or of the same class for which approval is sought when examined and tested in accordance with the provisions of the relevant </w:t>
      </w:r>
      <w:r>
        <w:rPr>
          <w:snapToGrid w:val="0"/>
        </w:rPr>
        <w:lastRenderedPageBreak/>
        <w:t>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 xml:space="preserve">if in the opinion of the Director representations are made by the applicant or advertisements are employed by the applicant in connection with the selling or hiring of electrical appliances of the type or class for which approval has been granted which would mislead as to </w:t>
      </w:r>
      <w:r>
        <w:rPr>
          <w:snapToGrid w:val="0"/>
        </w:rPr>
        <w:lastRenderedPageBreak/>
        <w:t>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Gazette 7 Sep 1955 p. 2149</w:t>
      </w:r>
      <w:r>
        <w:noBreakHyphen/>
        <w:t>50; amended: Gazette 23 Dec 1994 p. 7125; 23 May 1997 p. 2418.]</w:t>
      </w:r>
    </w:p>
    <w:p>
      <w:pPr>
        <w:pStyle w:val="Heading5"/>
        <w:rPr>
          <w:snapToGrid w:val="0"/>
        </w:rPr>
      </w:pPr>
      <w:bookmarkStart w:id="58" w:name="_Toc97900772"/>
      <w:r>
        <w:rPr>
          <w:rStyle w:val="CharSectno"/>
        </w:rPr>
        <w:t>333</w:t>
      </w:r>
      <w:r>
        <w:rPr>
          <w:snapToGrid w:val="0"/>
        </w:rPr>
        <w:t>.</w:t>
      </w:r>
      <w:r>
        <w:rPr>
          <w:snapToGrid w:val="0"/>
        </w:rPr>
        <w:tab/>
        <w:t>Notification of withdrawal of approval</w:t>
      </w:r>
      <w:bookmarkEnd w:id="58"/>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lastRenderedPageBreak/>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Gazette 7 Sep 1955 p. 2150; amended: Gazette 23 Dec 1994 p. 7125; 23 May 1997 p. 2418.]</w:t>
      </w:r>
    </w:p>
    <w:p>
      <w:pPr>
        <w:pStyle w:val="Heading5"/>
        <w:rPr>
          <w:snapToGrid w:val="0"/>
        </w:rPr>
      </w:pPr>
      <w:bookmarkStart w:id="59" w:name="_Toc97900773"/>
      <w:r>
        <w:rPr>
          <w:rStyle w:val="CharSectno"/>
        </w:rPr>
        <w:t>334</w:t>
      </w:r>
      <w:r>
        <w:rPr>
          <w:snapToGrid w:val="0"/>
        </w:rPr>
        <w:t>.</w:t>
      </w:r>
      <w:r>
        <w:rPr>
          <w:snapToGrid w:val="0"/>
        </w:rPr>
        <w:tab/>
        <w:t>Deferment of approval</w:t>
      </w:r>
      <w:bookmarkEnd w:id="59"/>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Gazette 7 Sep 1955 p. 2150; amended: Gazette 23 Dec 1994 p. 7125 and 7132.]</w:t>
      </w:r>
    </w:p>
    <w:p>
      <w:pPr>
        <w:pStyle w:val="Heading5"/>
        <w:rPr>
          <w:snapToGrid w:val="0"/>
        </w:rPr>
      </w:pPr>
      <w:bookmarkStart w:id="60" w:name="_Toc97900774"/>
      <w:r>
        <w:rPr>
          <w:rStyle w:val="CharSectno"/>
        </w:rPr>
        <w:t>335</w:t>
      </w:r>
      <w:r>
        <w:rPr>
          <w:snapToGrid w:val="0"/>
        </w:rPr>
        <w:t>.</w:t>
      </w:r>
      <w:r>
        <w:rPr>
          <w:snapToGrid w:val="0"/>
        </w:rPr>
        <w:tab/>
        <w:t>Purchase of electrical appliances for inspection</w:t>
      </w:r>
      <w:bookmarkEnd w:id="60"/>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lastRenderedPageBreak/>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Gazette 7 Sep 1955 p. 2150</w:t>
      </w:r>
      <w:r>
        <w:noBreakHyphen/>
        <w:t>1; amended: Gazette 23 Dec 1994 p. 7132.]</w:t>
      </w:r>
    </w:p>
    <w:p>
      <w:pPr>
        <w:pStyle w:val="Heading5"/>
        <w:spacing w:before="180"/>
        <w:rPr>
          <w:snapToGrid w:val="0"/>
        </w:rPr>
      </w:pPr>
      <w:bookmarkStart w:id="61" w:name="_Toc97900775"/>
      <w:r>
        <w:rPr>
          <w:rStyle w:val="CharSectno"/>
        </w:rPr>
        <w:t>336</w:t>
      </w:r>
      <w:r>
        <w:rPr>
          <w:snapToGrid w:val="0"/>
        </w:rPr>
        <w:t>.</w:t>
      </w:r>
      <w:r>
        <w:rPr>
          <w:snapToGrid w:val="0"/>
        </w:rPr>
        <w:tab/>
        <w:t>Obstruction of officers</w:t>
      </w:r>
      <w:bookmarkEnd w:id="61"/>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 xml:space="preserve">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w:t>
      </w:r>
      <w:r>
        <w:rPr>
          <w:snapToGrid w:val="0"/>
        </w:rPr>
        <w:lastRenderedPageBreak/>
        <w:t>to the marking or labelling of any container or wrapping in which it is sold or hired or exposed for sale or hire.</w:t>
      </w:r>
    </w:p>
    <w:p>
      <w:pPr>
        <w:pStyle w:val="Footnotesection"/>
        <w:ind w:left="890" w:hanging="890"/>
      </w:pPr>
      <w:r>
        <w:tab/>
        <w:t>[Regulation 336 inserted: Gazette 7 Sep 1955 p. 2151; amended: Gazette 23 Dec 1994 p. 7125 and 7132.]</w:t>
      </w:r>
    </w:p>
    <w:p>
      <w:pPr>
        <w:pStyle w:val="Heading5"/>
        <w:rPr>
          <w:snapToGrid w:val="0"/>
        </w:rPr>
      </w:pPr>
      <w:bookmarkStart w:id="62" w:name="_Toc97900776"/>
      <w:r>
        <w:rPr>
          <w:rStyle w:val="CharSectno"/>
        </w:rPr>
        <w:t>337</w:t>
      </w:r>
      <w:r>
        <w:rPr>
          <w:snapToGrid w:val="0"/>
        </w:rPr>
        <w:t>.</w:t>
      </w:r>
      <w:r>
        <w:rPr>
          <w:snapToGrid w:val="0"/>
        </w:rPr>
        <w:tab/>
        <w:t>Register of Prescribed Electrical Appliances and Register of Approved Electrical Appliances</w:t>
      </w:r>
      <w:bookmarkEnd w:id="62"/>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lastRenderedPageBreak/>
        <w:tab/>
        <w:t>(b)</w:t>
      </w:r>
      <w:r>
        <w:rPr>
          <w:snapToGrid w:val="0"/>
        </w:rPr>
        <w:tab/>
        <w:t>obtain certified copies of entries in the registers.</w:t>
      </w:r>
    </w:p>
    <w:p>
      <w:pPr>
        <w:pStyle w:val="Footnotesection"/>
      </w:pPr>
      <w:r>
        <w:tab/>
        <w:t>[Regulation 337 inserted: Gazette 7 Sep 1955 p. 2151; amended: Gazette 23 Dec 1994 p. 7125.]</w:t>
      </w:r>
    </w:p>
    <w:p>
      <w:pPr>
        <w:pStyle w:val="Heading5"/>
        <w:rPr>
          <w:snapToGrid w:val="0"/>
        </w:rPr>
      </w:pPr>
      <w:bookmarkStart w:id="63" w:name="_Toc97900777"/>
      <w:r>
        <w:rPr>
          <w:rStyle w:val="CharSectno"/>
        </w:rPr>
        <w:t>338</w:t>
      </w:r>
      <w:r>
        <w:rPr>
          <w:snapToGrid w:val="0"/>
        </w:rPr>
        <w:t>.</w:t>
      </w:r>
      <w:r>
        <w:rPr>
          <w:snapToGrid w:val="0"/>
        </w:rPr>
        <w:tab/>
        <w:t>Change of address</w:t>
      </w:r>
      <w:bookmarkEnd w:id="63"/>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Gazette 7 Sep 1955 p. 2152; amended: Gazette 23 Dec 1994 p. 7125.]</w:t>
      </w:r>
    </w:p>
    <w:p>
      <w:pPr>
        <w:pStyle w:val="Ednotesection"/>
      </w:pPr>
      <w:r>
        <w:t>[</w:t>
      </w:r>
      <w:r>
        <w:rPr>
          <w:b/>
        </w:rPr>
        <w:t>339.</w:t>
      </w:r>
      <w:r>
        <w:rPr>
          <w:b/>
        </w:rPr>
        <w:tab/>
      </w:r>
      <w:r>
        <w:t>Deleted: Gazette 23 Dec 1994 p. 7133.]</w:t>
      </w:r>
    </w:p>
    <w:p>
      <w:pPr>
        <w:pStyle w:val="Heading2"/>
      </w:pPr>
      <w:bookmarkStart w:id="64" w:name="_Toc97807715"/>
      <w:bookmarkStart w:id="65" w:name="_Toc97808074"/>
      <w:bookmarkStart w:id="66" w:name="_Toc97900778"/>
      <w:r>
        <w:rPr>
          <w:rStyle w:val="CharPartNo"/>
        </w:rPr>
        <w:lastRenderedPageBreak/>
        <w:t>Part XI</w:t>
      </w:r>
      <w:r>
        <w:rPr>
          <w:rStyle w:val="CharDivNo"/>
        </w:rPr>
        <w:t> </w:t>
      </w:r>
      <w:r>
        <w:t>—</w:t>
      </w:r>
      <w:r>
        <w:rPr>
          <w:rStyle w:val="CharDivText"/>
        </w:rPr>
        <w:t> </w:t>
      </w:r>
      <w:r>
        <w:rPr>
          <w:rStyle w:val="CharPartText"/>
        </w:rPr>
        <w:t>Penalties and enforcement</w:t>
      </w:r>
      <w:bookmarkEnd w:id="64"/>
      <w:bookmarkEnd w:id="65"/>
      <w:bookmarkEnd w:id="66"/>
    </w:p>
    <w:p>
      <w:pPr>
        <w:pStyle w:val="Footnoteheading"/>
        <w:rPr>
          <w:snapToGrid w:val="0"/>
        </w:rPr>
      </w:pPr>
      <w:r>
        <w:rPr>
          <w:snapToGrid w:val="0"/>
        </w:rPr>
        <w:tab/>
        <w:t>[Heading inserted: Gazette 23 Dec 1994 p. 7133; amended: Gazette 20 Mar 2007 p. 1038.]</w:t>
      </w:r>
    </w:p>
    <w:p>
      <w:pPr>
        <w:pStyle w:val="Heading5"/>
        <w:rPr>
          <w:snapToGrid w:val="0"/>
        </w:rPr>
      </w:pPr>
      <w:bookmarkStart w:id="67" w:name="_Toc97900779"/>
      <w:r>
        <w:rPr>
          <w:rStyle w:val="CharSectno"/>
        </w:rPr>
        <w:t>340</w:t>
      </w:r>
      <w:r>
        <w:rPr>
          <w:snapToGrid w:val="0"/>
        </w:rPr>
        <w:t>.</w:t>
      </w:r>
      <w:r>
        <w:rPr>
          <w:snapToGrid w:val="0"/>
        </w:rPr>
        <w:tab/>
        <w:t>Penalties</w:t>
      </w:r>
      <w:bookmarkEnd w:id="67"/>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Gazette 23 May 1997 p. 2419; amended: Gazette 27 Oct 2009 p. 4213.]</w:t>
      </w:r>
    </w:p>
    <w:p>
      <w:pPr>
        <w:pStyle w:val="Heading5"/>
        <w:rPr>
          <w:snapToGrid w:val="0"/>
        </w:rPr>
      </w:pPr>
      <w:bookmarkStart w:id="68" w:name="_Toc97900780"/>
      <w:r>
        <w:rPr>
          <w:rStyle w:val="CharSectno"/>
        </w:rPr>
        <w:t>341</w:t>
      </w:r>
      <w:r>
        <w:rPr>
          <w:snapToGrid w:val="0"/>
        </w:rPr>
        <w:t>.</w:t>
      </w:r>
      <w:r>
        <w:rPr>
          <w:snapToGrid w:val="0"/>
        </w:rPr>
        <w:tab/>
        <w:t>Proceedings</w:t>
      </w:r>
      <w:bookmarkEnd w:id="68"/>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Gazette 7 Sep 1955 p. 2152; amended: Gazette 23 Dec 1994 p. 7125.]</w:t>
      </w:r>
    </w:p>
    <w:p>
      <w:pPr>
        <w:pStyle w:val="Heading5"/>
      </w:pPr>
      <w:bookmarkStart w:id="69" w:name="_Toc97900781"/>
      <w:r>
        <w:rPr>
          <w:rStyle w:val="CharSectno"/>
        </w:rPr>
        <w:t>342</w:t>
      </w:r>
      <w:r>
        <w:t>.</w:t>
      </w:r>
      <w:r>
        <w:tab/>
        <w:t>Prescribed offences and modified penalties</w:t>
      </w:r>
      <w:bookmarkEnd w:id="69"/>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Gazette 20 Mar 2007 p. 1039.]</w:t>
      </w:r>
    </w:p>
    <w:p>
      <w:pPr>
        <w:pStyle w:val="Heading5"/>
      </w:pPr>
      <w:bookmarkStart w:id="70" w:name="_Toc97900782"/>
      <w:r>
        <w:rPr>
          <w:rStyle w:val="CharSectno"/>
        </w:rPr>
        <w:t>343</w:t>
      </w:r>
      <w:r>
        <w:t>.</w:t>
      </w:r>
      <w:r>
        <w:tab/>
        <w:t>Authorised officers and approved officers</w:t>
      </w:r>
      <w:bookmarkEnd w:id="70"/>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lastRenderedPageBreak/>
        <w:tab/>
        <w:t>(2)</w:t>
      </w:r>
      <w:r>
        <w:tab/>
        <w:t>The Director is to issue to each authorised officer a certificate of his or her appointment.</w:t>
      </w:r>
    </w:p>
    <w:p>
      <w:pPr>
        <w:pStyle w:val="Footnotesection"/>
      </w:pPr>
      <w:r>
        <w:tab/>
        <w:t>[Regulation 343 inserted: Gazette 20 Mar 2007 p. 1039.]</w:t>
      </w:r>
    </w:p>
    <w:p>
      <w:pPr>
        <w:pStyle w:val="Heading5"/>
      </w:pPr>
      <w:bookmarkStart w:id="71" w:name="_Toc97900783"/>
      <w:r>
        <w:rPr>
          <w:rStyle w:val="CharSectno"/>
        </w:rPr>
        <w:t>344</w:t>
      </w:r>
      <w:r>
        <w:t>.</w:t>
      </w:r>
      <w:r>
        <w:tab/>
        <w:t>Forms</w:t>
      </w:r>
      <w:bookmarkEnd w:id="71"/>
    </w:p>
    <w:p>
      <w:pPr>
        <w:pStyle w:val="Subsection"/>
      </w:pPr>
      <w:r>
        <w:tab/>
      </w:r>
      <w:r>
        <w:tab/>
        <w:t>The forms set out in Schedule 2 are prescribed in relation to the matters specified in those forms.</w:t>
      </w:r>
    </w:p>
    <w:p>
      <w:pPr>
        <w:pStyle w:val="Footnotesection"/>
      </w:pPr>
      <w:r>
        <w:tab/>
        <w:t>[Regulation 344 inserted: Gazette 20 Mar 2007 p. 1039.]</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72" w:name="_Toc97807721"/>
      <w:bookmarkStart w:id="73" w:name="_Toc97808080"/>
      <w:bookmarkStart w:id="74" w:name="_Toc97900784"/>
      <w:r>
        <w:rPr>
          <w:rStyle w:val="CharSchNo"/>
        </w:rPr>
        <w:lastRenderedPageBreak/>
        <w:t>Schedule 1</w:t>
      </w:r>
      <w:r>
        <w:rPr>
          <w:rStyle w:val="CharSDivNo"/>
        </w:rPr>
        <w:t> </w:t>
      </w:r>
      <w:r>
        <w:t>—</w:t>
      </w:r>
      <w:r>
        <w:rPr>
          <w:rStyle w:val="CharSDivText"/>
        </w:rPr>
        <w:t> </w:t>
      </w:r>
      <w:r>
        <w:rPr>
          <w:rStyle w:val="CharSchText"/>
        </w:rPr>
        <w:t>Prescribed offences and modified penalties</w:t>
      </w:r>
      <w:bookmarkEnd w:id="72"/>
      <w:bookmarkEnd w:id="73"/>
      <w:bookmarkEnd w:id="74"/>
    </w:p>
    <w:p>
      <w:pPr>
        <w:pStyle w:val="yShoulderClause"/>
      </w:pPr>
      <w:r>
        <w:t>[r. 342]</w:t>
      </w:r>
    </w:p>
    <w:p>
      <w:pPr>
        <w:pStyle w:val="yFootnoteheading"/>
      </w:pPr>
      <w:r>
        <w:tab/>
        <w:t>[Heading inserted: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lastRenderedPageBreak/>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residual current devices are properly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residual current devices are properly installed in relation to the common property</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MiscellaneousBody"/>
      </w:pPr>
    </w:p>
    <w:p>
      <w:pPr>
        <w:pStyle w:val="yTHeadingNAm"/>
        <w:keepLines/>
      </w:pPr>
      <w:r>
        <w:lastRenderedPageBreak/>
        <w:t xml:space="preserve">Table 3 — </w:t>
      </w:r>
      <w:r>
        <w:rPr>
          <w:i/>
          <w:iCs/>
        </w:rPr>
        <w:t xml:space="preserve">Electricity (Licensing) Regulations 1991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contact details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37(1)</w:t>
            </w:r>
          </w:p>
        </w:tc>
        <w:tc>
          <w:tcPr>
            <w:tcW w:w="3515" w:type="dxa"/>
            <w:tcBorders>
              <w:top w:val="single" w:sz="4" w:space="0" w:color="auto"/>
              <w:bottom w:val="single" w:sz="4" w:space="0" w:color="auto"/>
            </w:tcBorders>
          </w:tcPr>
          <w:p>
            <w:pPr>
              <w:pStyle w:val="yTableNAm"/>
              <w:spacing w:before="0"/>
              <w:rPr>
                <w:sz w:val="20"/>
              </w:rPr>
            </w:pPr>
            <w:r>
              <w:rPr>
                <w:sz w:val="20"/>
              </w:rPr>
              <w:t>Carrying out any in</w:t>
            </w:r>
            <w:r>
              <w:rPr>
                <w:sz w:val="20"/>
              </w:rPr>
              <w:noBreakHyphen/>
              <w:t>house electrical installing work without a qualified employee or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lastRenderedPageBreak/>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47C</w:t>
            </w:r>
          </w:p>
        </w:tc>
        <w:tc>
          <w:tcPr>
            <w:tcW w:w="3515" w:type="dxa"/>
            <w:tcBorders>
              <w:top w:val="single" w:sz="4" w:space="0" w:color="auto"/>
              <w:bottom w:val="single" w:sz="4" w:space="0" w:color="auto"/>
            </w:tcBorders>
          </w:tcPr>
          <w:p>
            <w:pPr>
              <w:pStyle w:val="yTableNAm"/>
              <w:spacing w:before="0"/>
              <w:rPr>
                <w:sz w:val="20"/>
              </w:rPr>
            </w:pPr>
            <w:r>
              <w:rPr>
                <w:sz w:val="20"/>
              </w:rPr>
              <w:t>Failing to notify nominees of cancellation or suspension of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lastRenderedPageBreak/>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lastRenderedPageBreak/>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lastRenderedPageBreak/>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Gazette 31 Dec 2010 p. 6888-92; amended: Gazette 13 Apr 2012 p. 1649</w:t>
      </w:r>
      <w:r>
        <w:noBreakHyphen/>
        <w:t xml:space="preserve">51; 14 Apr 2015 p. 1324; 5 Aug 2015 p. 3185-6; 2 Oct 2018 p. 3792; SL 2022/36 r. 19.] </w:t>
      </w:r>
    </w:p>
    <w:p>
      <w:pPr>
        <w:pStyle w:val="yFootnotesection"/>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76" w:name="_Toc97807722"/>
      <w:bookmarkStart w:id="77" w:name="_Toc97808081"/>
      <w:bookmarkStart w:id="78" w:name="_Toc97900785"/>
      <w:r>
        <w:rPr>
          <w:rStyle w:val="CharSchNo"/>
        </w:rPr>
        <w:lastRenderedPageBreak/>
        <w:t>Schedule 2</w:t>
      </w:r>
      <w:r>
        <w:t> — </w:t>
      </w:r>
      <w:r>
        <w:rPr>
          <w:rStyle w:val="CharSchText"/>
        </w:rPr>
        <w:t>Forms</w:t>
      </w:r>
      <w:bookmarkEnd w:id="76"/>
      <w:bookmarkEnd w:id="77"/>
      <w:bookmarkEnd w:id="78"/>
    </w:p>
    <w:p>
      <w:pPr>
        <w:pStyle w:val="yShoulderClause"/>
      </w:pPr>
      <w:r>
        <w:t>[r. 344]</w:t>
      </w:r>
    </w:p>
    <w:p>
      <w:pPr>
        <w:pStyle w:val="yFootnoteheading"/>
        <w:spacing w:after="120"/>
      </w:pPr>
      <w:r>
        <w:tab/>
        <w:t>[Heading inserted: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left" w:pos="1168"/>
                <w:tab w:val="right" w:pos="2765"/>
                <w:tab w:val="left" w:pos="3053"/>
              </w:tabs>
              <w:spacing w:before="40" w:line="260" w:lineRule="atLeast"/>
              <w:ind w:left="720" w:hanging="720"/>
              <w:rPr>
                <w:sz w:val="20"/>
              </w:rPr>
            </w:pPr>
            <w:r>
              <w:rPr>
                <w:b/>
                <w:sz w:val="20"/>
              </w:rPr>
              <w:tab/>
              <w:t>By post:</w:t>
            </w:r>
            <w:r>
              <w:rPr>
                <w:sz w:val="20"/>
              </w:rPr>
              <w:tab/>
            </w:r>
            <w:r>
              <w:rPr>
                <w:sz w:val="20"/>
              </w:rPr>
              <w:tab/>
              <w:t xml:space="preserve">Send a cheque or money order (payable to </w:t>
            </w:r>
            <w:r>
              <w:rPr>
                <w:sz w:val="20"/>
              </w:rPr>
              <w:tab/>
              <w:t xml:space="preserve">‘Director of Energy Safety’) to: </w:t>
            </w:r>
          </w:p>
          <w:p>
            <w:pPr>
              <w:pStyle w:val="yTableNAm"/>
              <w:tabs>
                <w:tab w:val="clear" w:pos="567"/>
                <w:tab w:val="left" w:pos="274"/>
                <w:tab w:val="left" w:pos="514"/>
                <w:tab w:val="left" w:pos="1168"/>
              </w:tabs>
              <w:spacing w:before="0"/>
              <w:rPr>
                <w:sz w:val="20"/>
              </w:rPr>
            </w:pPr>
            <w:r>
              <w:rPr>
                <w:sz w:val="20"/>
              </w:rPr>
              <w:tab/>
            </w:r>
            <w:r>
              <w:rPr>
                <w:sz w:val="20"/>
              </w:rPr>
              <w:tab/>
            </w:r>
            <w:r>
              <w:rPr>
                <w:sz w:val="20"/>
              </w:rPr>
              <w:tab/>
              <w:t>Director of Energy Safety</w:t>
            </w:r>
          </w:p>
          <w:p>
            <w:pPr>
              <w:pStyle w:val="yTableNAm"/>
              <w:tabs>
                <w:tab w:val="clear" w:pos="567"/>
                <w:tab w:val="left" w:pos="274"/>
                <w:tab w:val="left" w:pos="514"/>
                <w:tab w:val="left" w:pos="1168"/>
              </w:tabs>
              <w:spacing w:before="0"/>
              <w:rPr>
                <w:i/>
                <w:iCs/>
                <w:sz w:val="20"/>
              </w:rPr>
            </w:pPr>
            <w:r>
              <w:rPr>
                <w:sz w:val="20"/>
              </w:rPr>
              <w:t xml:space="preserve">   </w:t>
            </w:r>
            <w:r>
              <w:rPr>
                <w:sz w:val="20"/>
              </w:rPr>
              <w:tab/>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Gazette 20 Mar 2007 p. 1042; amended: Gazette 20 Aug 2013 p. 3829; 5 Aug 2015 p. 3186; SL 2020/163 r. 22.]</w:t>
      </w:r>
    </w:p>
    <w:p>
      <w:pPr>
        <w:pStyle w:val="yMiscellaneousHeading"/>
        <w:pageBreakBefore/>
        <w:tabs>
          <w:tab w:val="left" w:pos="600"/>
        </w:tabs>
        <w:spacing w:before="0" w:after="60"/>
        <w:jc w:val="left"/>
        <w:rPr>
          <w:b/>
          <w:bCs/>
        </w:rPr>
      </w:pPr>
      <w:r>
        <w:lastRenderedPageBreak/>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Gazette 20 Mar 2007 p. 1043; amended: Gazette 5 Aug 2015 p. 3186.]</w:t>
      </w:r>
    </w:p>
    <w:p>
      <w:pPr>
        <w:pStyle w:val="CentredBaseLine"/>
        <w:spacing w:before="80"/>
        <w:jc w:val="center"/>
        <w:sectPr>
          <w:headerReference w:type="even" r:id="rId26"/>
          <w:headerReference w:type="default" r:id="rId27"/>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79" w:name="_Toc97807723"/>
      <w:bookmarkStart w:id="80" w:name="_Toc97808082"/>
      <w:bookmarkStart w:id="81" w:name="_Toc97900786"/>
      <w:r>
        <w:lastRenderedPageBreak/>
        <w:t>Notes</w:t>
      </w:r>
      <w:bookmarkEnd w:id="79"/>
      <w:bookmarkEnd w:id="80"/>
      <w:bookmarkEnd w:id="81"/>
    </w:p>
    <w:p>
      <w:pPr>
        <w:pStyle w:val="nStatement"/>
      </w:pPr>
      <w:r>
        <w:t xml:space="preserve">This is a compilation of the </w:t>
      </w:r>
      <w:r>
        <w:rPr>
          <w:i/>
          <w:noProof/>
        </w:rPr>
        <w:t>Electricity Regulations 1947</w:t>
      </w:r>
      <w:r>
        <w:t xml:space="preserve"> and includes amendments made by other written laws. For provisions that have come into operation, and for information about any reprints, see the compilation table.</w:t>
      </w:r>
    </w:p>
    <w:p>
      <w:pPr>
        <w:pStyle w:val="nHeading3"/>
      </w:pPr>
      <w:bookmarkStart w:id="82" w:name="_Toc97900787"/>
      <w:r>
        <w:t>Compilation table</w:t>
      </w:r>
      <w:bookmarkEnd w:id="82"/>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Act Regulations 1947</w:t>
            </w:r>
            <w:r>
              <w:rPr>
                <w:snapToGrid w:val="0"/>
              </w:rPr>
              <w:t> </w:t>
            </w:r>
            <w:r>
              <w:rPr>
                <w:vertAlign w:val="superscript"/>
              </w:rPr>
              <w:t>3, 4</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t>Untitled regulations</w:t>
            </w:r>
            <w:r>
              <w:rPr>
                <w:vertAlign w:val="superscript"/>
              </w:rPr>
              <w:t> 5</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lastRenderedPageBreak/>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6</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lastRenderedPageBreak/>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iCs/>
              </w:rPr>
            </w:pPr>
            <w:r>
              <w:rPr>
                <w:i/>
              </w:rPr>
              <w:t>Electricity Amendment Regulations 2000</w:t>
            </w:r>
            <w:r>
              <w:rPr>
                <w:iCs/>
                <w:vertAlign w:val="superscript"/>
              </w:rPr>
              <w:t> 7</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2007</w:t>
            </w:r>
            <w:r>
              <w:t> </w:t>
            </w:r>
            <w:r>
              <w:rPr>
                <w:vertAlign w:val="superscript"/>
              </w:rPr>
              <w:t>8</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lastRenderedPageBreak/>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snapToGrid w:val="0"/>
                <w:spacing w:val="-2"/>
              </w:rPr>
            </w:pPr>
            <w:r>
              <w:rPr>
                <w:snapToGrid w:val="0"/>
                <w:spacing w:val="-2"/>
              </w:rPr>
              <w:t>r. 1 and 2: 14 Apr 2015 (see r. 2(a));</w:t>
            </w:r>
            <w:r>
              <w:rPr>
                <w:snapToGrid w:val="0"/>
                <w:spacing w:val="-2"/>
              </w:rPr>
              <w:br/>
              <w:t>Regulations other than r. 1 and 2: 15 Apr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lastRenderedPageBreak/>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Electricity Amendment Regulations (No. 2) 2015</w:t>
            </w:r>
          </w:p>
        </w:tc>
        <w:tc>
          <w:tcPr>
            <w:tcW w:w="1276" w:type="dxa"/>
          </w:tcPr>
          <w:p>
            <w:pPr>
              <w:pStyle w:val="nTable"/>
              <w:spacing w:after="40"/>
            </w:pPr>
            <w:r>
              <w:t>5 Jan 2016 p. 3</w:t>
            </w:r>
          </w:p>
        </w:tc>
        <w:tc>
          <w:tcPr>
            <w:tcW w:w="2693" w:type="dxa"/>
          </w:tcPr>
          <w:p>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Electricity Regulations 1947</w:t>
            </w:r>
            <w:r>
              <w:rPr>
                <w:b/>
                <w:snapToGrid w:val="0"/>
                <w:spacing w:val="-2"/>
              </w:rPr>
              <w:t xml:space="preserve"> as at 21 Oct 2016</w:t>
            </w:r>
            <w:r>
              <w:rPr>
                <w:snapToGrid w:val="0"/>
                <w:spacing w:val="-2"/>
              </w:rPr>
              <w:t xml:space="preserve"> (includes amendments listed above)</w:t>
            </w:r>
          </w:p>
        </w:tc>
      </w:tr>
      <w:tr>
        <w:trPr>
          <w:cantSplit/>
        </w:trPr>
        <w:tc>
          <w:tcPr>
            <w:tcW w:w="3119" w:type="dxa"/>
            <w:tcBorders>
              <w:top w:val="nil"/>
              <w:bottom w:val="nil"/>
            </w:tcBorders>
          </w:tcPr>
          <w:p>
            <w:pPr>
              <w:pStyle w:val="nTable"/>
              <w:spacing w:after="40"/>
              <w:ind w:right="170"/>
              <w:rPr>
                <w:i/>
              </w:rPr>
            </w:pPr>
            <w:r>
              <w:rPr>
                <w:i/>
              </w:rPr>
              <w:t xml:space="preserve">Electricity Amendment Regulations 2018 </w:t>
            </w:r>
            <w:r>
              <w:t>Pt. 2</w:t>
            </w:r>
          </w:p>
        </w:tc>
        <w:tc>
          <w:tcPr>
            <w:tcW w:w="1276" w:type="dxa"/>
            <w:tcBorders>
              <w:top w:val="nil"/>
              <w:bottom w:val="nil"/>
            </w:tcBorders>
          </w:tcPr>
          <w:p>
            <w:pPr>
              <w:pStyle w:val="nTable"/>
              <w:spacing w:after="40"/>
            </w:pPr>
            <w:r>
              <w:t>2 Oct 2018 p. 3784-94</w:t>
            </w:r>
          </w:p>
        </w:tc>
        <w:tc>
          <w:tcPr>
            <w:tcW w:w="2693" w:type="dxa"/>
            <w:tcBorders>
              <w:top w:val="nil"/>
              <w:bottom w:val="nil"/>
            </w:tcBorders>
          </w:tcPr>
          <w:p>
            <w:pPr>
              <w:pStyle w:val="nTable"/>
              <w:spacing w:after="40"/>
              <w:rPr>
                <w:snapToGrid w:val="0"/>
                <w:spacing w:val="-2"/>
              </w:rPr>
            </w:pPr>
            <w:r>
              <w:rPr>
                <w:snapToGrid w:val="0"/>
                <w:spacing w:val="-2"/>
              </w:rPr>
              <w:t>1 Jan 2019 (see r. 2(b))</w:t>
            </w:r>
          </w:p>
        </w:tc>
      </w:tr>
      <w:tr>
        <w:trPr>
          <w:cantSplit/>
        </w:trPr>
        <w:tc>
          <w:tcPr>
            <w:tcW w:w="3119" w:type="dxa"/>
            <w:tcBorders>
              <w:top w:val="nil"/>
              <w:bottom w:val="nil"/>
            </w:tcBorders>
          </w:tcPr>
          <w:p>
            <w:pPr>
              <w:pStyle w:val="nTable"/>
              <w:spacing w:after="40"/>
              <w:ind w:right="170"/>
              <w:rPr>
                <w:i/>
              </w:rPr>
            </w:pPr>
            <w:r>
              <w:rPr>
                <w:i/>
              </w:rPr>
              <w:t>Commerce Regulations Amendment (Strata Titles) Regulations 2019</w:t>
            </w:r>
            <w:r>
              <w:t xml:space="preserve"> Pt. 3</w:t>
            </w:r>
          </w:p>
        </w:tc>
        <w:tc>
          <w:tcPr>
            <w:tcW w:w="1276" w:type="dxa"/>
            <w:tcBorders>
              <w:top w:val="nil"/>
              <w:bottom w:val="nil"/>
            </w:tcBorders>
          </w:tcPr>
          <w:p>
            <w:pPr>
              <w:pStyle w:val="nTable"/>
              <w:spacing w:after="40"/>
            </w:pPr>
            <w:r>
              <w:t>31 Dec 2019 p. 4637-46</w:t>
            </w:r>
          </w:p>
        </w:tc>
        <w:tc>
          <w:tcPr>
            <w:tcW w:w="2693" w:type="dxa"/>
            <w:tcBorders>
              <w:top w:val="nil"/>
              <w:bottom w:val="nil"/>
            </w:tcBorders>
          </w:tcPr>
          <w:p>
            <w:pPr>
              <w:pStyle w:val="nTable"/>
              <w:spacing w:after="40"/>
              <w:rPr>
                <w:snapToGrid w:val="0"/>
                <w:spacing w:val="-2"/>
              </w:rPr>
            </w:pPr>
            <w:r>
              <w:t>1 May 2020 (see r. 2(b) and SL 2020/39 cl. 2)</w:t>
            </w:r>
          </w:p>
        </w:tc>
      </w:tr>
      <w:tr>
        <w:trPr>
          <w:cantSplit/>
        </w:trPr>
        <w:tc>
          <w:tcPr>
            <w:tcW w:w="3119" w:type="dxa"/>
            <w:tcBorders>
              <w:top w:val="nil"/>
              <w:bottom w:val="nil"/>
            </w:tcBorders>
          </w:tcPr>
          <w:p>
            <w:pPr>
              <w:pStyle w:val="nTable"/>
              <w:spacing w:after="40"/>
              <w:ind w:right="170"/>
              <w:rPr>
                <w:i/>
              </w:rPr>
            </w:pPr>
            <w:r>
              <w:rPr>
                <w:i/>
              </w:rPr>
              <w:t>Commerce Regulations Amendment (Infringement Notices) Regulations 2020</w:t>
            </w:r>
            <w:r>
              <w:t xml:space="preserve"> Pt. 11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rPr>
          <w:cantSplit/>
        </w:trPr>
        <w:tc>
          <w:tcPr>
            <w:tcW w:w="3119" w:type="dxa"/>
            <w:tcBorders>
              <w:top w:val="nil"/>
              <w:bottom w:val="nil"/>
            </w:tcBorders>
          </w:tcPr>
          <w:p>
            <w:pPr>
              <w:pStyle w:val="nTable"/>
              <w:spacing w:after="40"/>
              <w:ind w:right="170"/>
              <w:rPr>
                <w:i/>
              </w:rPr>
            </w:pPr>
            <w:r>
              <w:rPr>
                <w:i/>
              </w:rPr>
              <w:t xml:space="preserve">Commerce Regulations Amendment (Community Titles) Regulations 2021 </w:t>
            </w:r>
            <w:r>
              <w:t>Pt. 2</w:t>
            </w:r>
          </w:p>
        </w:tc>
        <w:tc>
          <w:tcPr>
            <w:tcW w:w="1276" w:type="dxa"/>
            <w:tcBorders>
              <w:top w:val="nil"/>
              <w:bottom w:val="nil"/>
            </w:tcBorders>
          </w:tcPr>
          <w:p>
            <w:pPr>
              <w:pStyle w:val="nTable"/>
              <w:spacing w:after="40"/>
            </w:pPr>
            <w:r>
              <w:t>SL 2021/71 18 Jun 2021</w:t>
            </w:r>
          </w:p>
        </w:tc>
        <w:tc>
          <w:tcPr>
            <w:tcW w:w="2693" w:type="dxa"/>
            <w:tcBorders>
              <w:top w:val="nil"/>
              <w:bottom w:val="nil"/>
            </w:tcBorders>
          </w:tcPr>
          <w:p>
            <w:pPr>
              <w:pStyle w:val="nTable"/>
              <w:spacing w:after="40"/>
            </w:pPr>
            <w:r>
              <w:t>30 Jun 2021 (see r. 2(b) and SL 2021/69 cl. 2)</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70"/>
            </w:pPr>
            <w:r>
              <w:rPr>
                <w:i/>
              </w:rPr>
              <w:t>Energy Regulations Amendment (Electricity Licensing) Regulations 2022</w:t>
            </w:r>
            <w:r>
              <w:t xml:space="preserve"> Pt. 3</w:t>
            </w:r>
          </w:p>
        </w:tc>
        <w:tc>
          <w:tcPr>
            <w:tcW w:w="1276" w:type="dxa"/>
            <w:tcBorders>
              <w:bottom w:val="single" w:sz="4" w:space="0" w:color="auto"/>
            </w:tcBorders>
          </w:tcPr>
          <w:p>
            <w:pPr>
              <w:pStyle w:val="nTable"/>
              <w:spacing w:after="40"/>
            </w:pPr>
            <w:r>
              <w:t>SL 2022/36 15 Mar 2022</w:t>
            </w:r>
          </w:p>
        </w:tc>
        <w:tc>
          <w:tcPr>
            <w:tcW w:w="2693" w:type="dxa"/>
            <w:tcBorders>
              <w:bottom w:val="single" w:sz="4" w:space="0" w:color="auto"/>
            </w:tcBorders>
          </w:tcPr>
          <w:p>
            <w:pPr>
              <w:pStyle w:val="nTable"/>
              <w:spacing w:after="40"/>
            </w:pPr>
            <w:r>
              <w:t>16 Mar 2022 (see r. 2(b))</w:t>
            </w:r>
          </w:p>
        </w:tc>
      </w:tr>
    </w:tbl>
    <w:p>
      <w:pPr>
        <w:pStyle w:val="nHeading3"/>
      </w:pPr>
      <w:bookmarkStart w:id="83" w:name="_Toc97900788"/>
      <w:r>
        <w:t>Other notes</w:t>
      </w:r>
      <w:bookmarkEnd w:id="83"/>
    </w:p>
    <w:p>
      <w:pPr>
        <w:pStyle w:val="nNote"/>
        <w:spacing w:before="160"/>
        <w:rPr>
          <w:snapToGrid w:val="0"/>
          <w:vertAlign w:val="superscript"/>
        </w:rPr>
      </w:pPr>
      <w:r>
        <w:rPr>
          <w:snapToGrid w:val="0"/>
          <w:vertAlign w:val="superscript"/>
        </w:rPr>
        <w:t>1</w:t>
      </w:r>
      <w:r>
        <w:rPr>
          <w:snapToGrid w:val="0"/>
        </w:rPr>
        <w:tab/>
        <w:t xml:space="preserve">The </w:t>
      </w:r>
      <w:r>
        <w:rPr>
          <w:i/>
          <w:snapToGrid w:val="0"/>
        </w:rPr>
        <w:t>Electricity (Licensing) Regulations 1991</w:t>
      </w:r>
      <w:r>
        <w:rPr>
          <w:snapToGrid w:val="0"/>
        </w:rPr>
        <w:t xml:space="preserve"> r. 49 commenced 1 Nov 1991.</w:t>
      </w:r>
    </w:p>
    <w:p>
      <w:pPr>
        <w:pStyle w:val="nNote"/>
        <w:rPr>
          <w:snapToGrid w:val="0"/>
        </w:rPr>
      </w:pPr>
      <w:r>
        <w:rPr>
          <w:snapToGrid w:val="0"/>
          <w:vertAlign w:val="superscript"/>
        </w:rPr>
        <w:t>2</w:t>
      </w:r>
      <w:r>
        <w:rPr>
          <w:snapToGrid w:val="0"/>
        </w:rPr>
        <w:tab/>
        <w:t xml:space="preserve">Footnote no longer applicable. </w:t>
      </w:r>
    </w:p>
    <w:p>
      <w:pPr>
        <w:pStyle w:val="nNote"/>
        <w:rPr>
          <w:snapToGrid w:val="0"/>
        </w:rPr>
      </w:pPr>
      <w:r>
        <w:rPr>
          <w:snapToGrid w:val="0"/>
          <w:vertAlign w:val="superscript"/>
        </w:rPr>
        <w:t>3</w:t>
      </w:r>
      <w:r>
        <w:rPr>
          <w:snapToGrid w:val="0"/>
        </w:rPr>
        <w:tab/>
        <w:t xml:space="preserve">Now known as the </w:t>
      </w:r>
      <w:r>
        <w:rPr>
          <w:i/>
          <w:iCs/>
          <w:snapToGrid w:val="0"/>
        </w:rPr>
        <w:t>Electricity Regulations 1947</w:t>
      </w:r>
      <w:r>
        <w:rPr>
          <w:snapToGrid w:val="0"/>
        </w:rPr>
        <w:t>; citation changed (see note under r. 1).</w:t>
      </w:r>
    </w:p>
    <w:p>
      <w:pPr>
        <w:pStyle w:val="nNote"/>
        <w:rPr>
          <w:snapToGrid w:val="0"/>
        </w:rPr>
      </w:pPr>
      <w:r>
        <w:rPr>
          <w:snapToGrid w:val="0"/>
          <w:vertAlign w:val="superscript"/>
        </w:rPr>
        <w:t>4</w:t>
      </w:r>
      <w:r>
        <w:rPr>
          <w:snapToGrid w:val="0"/>
        </w:rPr>
        <w:tab/>
        <w:t xml:space="preserve">Regulations 180 and 278 disallowed on 24 Sep 1947, see </w:t>
      </w:r>
      <w:r>
        <w:rPr>
          <w:i/>
          <w:iCs/>
          <w:snapToGrid w:val="0"/>
        </w:rPr>
        <w:t>Gazette</w:t>
      </w:r>
      <w:r>
        <w:rPr>
          <w:snapToGrid w:val="0"/>
        </w:rPr>
        <w:t xml:space="preserve"> 5 Dec 1947 p. 2209.</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Note"/>
        <w:rPr>
          <w:snapToGrid w:val="0"/>
        </w:rPr>
      </w:pPr>
      <w:r>
        <w:rPr>
          <w:snapToGrid w:val="0"/>
          <w:vertAlign w:val="superscript"/>
        </w:rPr>
        <w:t>5</w:t>
      </w:r>
      <w:r>
        <w:rPr>
          <w:snapToGrid w:val="0"/>
        </w:rPr>
        <w:tab/>
        <w:t>The amendments to regulations 71, 80, 86 and 104 disallowed on 21 Sep 1948, see </w:t>
      </w:r>
      <w:r>
        <w:rPr>
          <w:i/>
          <w:iCs/>
          <w:snapToGrid w:val="0"/>
        </w:rPr>
        <w:t>Gazette</w:t>
      </w:r>
      <w:r>
        <w:rPr>
          <w:snapToGrid w:val="0"/>
        </w:rPr>
        <w:t xml:space="preserve"> 25 Feb 1949 p. 340.</w:t>
      </w:r>
    </w:p>
    <w:p>
      <w:pPr>
        <w:pStyle w:val="nNote"/>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Note"/>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Note"/>
        <w:rPr>
          <w:snapToGrid w:val="0"/>
        </w:rPr>
      </w:pPr>
      <w:r>
        <w:rPr>
          <w:snapToGrid w:val="0"/>
          <w:vertAlign w:val="superscript"/>
        </w:rPr>
        <w:lastRenderedPageBreak/>
        <w:t>6</w:t>
      </w:r>
      <w:r>
        <w:rPr>
          <w:snapToGrid w:val="0"/>
        </w:rPr>
        <w:tab/>
        <w:t>The commencement date of 1 Jun 1979 that was specified was before the date of gazettal.</w:t>
      </w:r>
    </w:p>
    <w:p>
      <w:pPr>
        <w:pStyle w:val="nNote"/>
        <w:rPr>
          <w:i/>
          <w:snapToGrid w:val="0"/>
        </w:rPr>
      </w:pPr>
      <w:r>
        <w:rPr>
          <w:snapToGrid w:val="0"/>
          <w:vertAlign w:val="superscript"/>
        </w:rPr>
        <w:t>7</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Note"/>
      </w:pPr>
      <w:r>
        <w:rPr>
          <w:vertAlign w:val="superscript"/>
        </w:rPr>
        <w:t>8</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85" w:name="_Toc97807726"/>
      <w:bookmarkStart w:id="86" w:name="_Toc97808085"/>
      <w:bookmarkStart w:id="87" w:name="_Toc97900789"/>
      <w:r>
        <w:rPr>
          <w:sz w:val="28"/>
        </w:rPr>
        <w:lastRenderedPageBreak/>
        <w:t>Defined terms</w:t>
      </w:r>
      <w:bookmarkEnd w:id="85"/>
      <w:bookmarkEnd w:id="86"/>
      <w:bookmarkEnd w:id="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321</w:t>
      </w:r>
    </w:p>
    <w:p>
      <w:pPr>
        <w:pStyle w:val="DefinedTerms"/>
      </w:pPr>
      <w:r>
        <w:t>active conductor</w:t>
      </w:r>
      <w:r>
        <w:tab/>
        <w:t>2</w:t>
      </w:r>
    </w:p>
    <w:p>
      <w:pPr>
        <w:pStyle w:val="DefinedTerms"/>
      </w:pPr>
      <w:r>
        <w:t>appliance</w:t>
      </w:r>
      <w:r>
        <w:tab/>
        <w:t>2</w:t>
      </w:r>
    </w:p>
    <w:p>
      <w:pPr>
        <w:pStyle w:val="DefinedTerms"/>
      </w:pPr>
      <w:r>
        <w:t>appliances of the same class</w:t>
      </w:r>
      <w:r>
        <w:tab/>
        <w:t>321</w:t>
      </w:r>
    </w:p>
    <w:p>
      <w:pPr>
        <w:pStyle w:val="DefinedTerms"/>
      </w:pPr>
      <w:r>
        <w:t>appliances of the same type</w:t>
      </w:r>
      <w:r>
        <w:tab/>
        <w:t>321</w:t>
      </w:r>
    </w:p>
    <w:p>
      <w:pPr>
        <w:pStyle w:val="DefinedTerms"/>
      </w:pPr>
      <w:r>
        <w:t>applicant</w:t>
      </w:r>
      <w:r>
        <w:tab/>
        <w:t>321</w:t>
      </w:r>
    </w:p>
    <w:p>
      <w:pPr>
        <w:pStyle w:val="DefinedTerms"/>
      </w:pPr>
      <w:r>
        <w:t>approvals marking</w:t>
      </w:r>
      <w:r>
        <w:tab/>
        <w:t>321</w:t>
      </w:r>
    </w:p>
    <w:p>
      <w:pPr>
        <w:pStyle w:val="DefinedTerms"/>
      </w:pPr>
      <w:r>
        <w:t>approved</w:t>
      </w:r>
      <w:r>
        <w:tab/>
        <w:t>321</w:t>
      </w:r>
    </w:p>
    <w:p>
      <w:pPr>
        <w:pStyle w:val="DefinedTerms"/>
      </w:pPr>
      <w:r>
        <w:t>Australian/New Zealand Wiring Rules</w:t>
      </w:r>
      <w:r>
        <w:tab/>
        <w:t>2(1)</w:t>
      </w:r>
    </w:p>
    <w:p>
      <w:pPr>
        <w:pStyle w:val="DefinedTerms"/>
      </w:pPr>
      <w:r>
        <w:t>building permit</w:t>
      </w:r>
      <w:r>
        <w:tab/>
        <w:t>12</w:t>
      </w:r>
    </w:p>
    <w:p>
      <w:pPr>
        <w:pStyle w:val="DefinedTerms"/>
      </w:pPr>
      <w:r>
        <w:t>common property</w:t>
      </w:r>
      <w:r>
        <w:tab/>
        <w:t>12</w:t>
      </w:r>
    </w:p>
    <w:p>
      <w:pPr>
        <w:pStyle w:val="DefinedTerms"/>
      </w:pPr>
      <w:r>
        <w:t>conductor</w:t>
      </w:r>
      <w:r>
        <w:tab/>
        <w:t>2, 316A(1A)</w:t>
      </w:r>
    </w:p>
    <w:p>
      <w:pPr>
        <w:pStyle w:val="DefinedTerms"/>
      </w:pPr>
      <w:r>
        <w:t>duly constituted authority in another State of the Commonwealth</w:t>
      </w:r>
      <w:r>
        <w:tab/>
        <w:t>321</w:t>
      </w:r>
    </w:p>
    <w:p>
      <w:pPr>
        <w:pStyle w:val="DefinedTerms"/>
      </w:pPr>
      <w:r>
        <w:t>electrical equipment</w:t>
      </w:r>
      <w:r>
        <w:tab/>
        <w:t>2</w:t>
      </w:r>
    </w:p>
    <w:p>
      <w:pPr>
        <w:pStyle w:val="DefinedTerms"/>
      </w:pPr>
      <w:r>
        <w:t>final subcircuit</w:t>
      </w:r>
      <w:r>
        <w:tab/>
        <w:t>12A(1)</w:t>
      </w:r>
    </w:p>
    <w:p>
      <w:pPr>
        <w:pStyle w:val="DefinedTerms"/>
      </w:pPr>
      <w:r>
        <w:t>fuse</w:t>
      </w:r>
      <w:r>
        <w:tab/>
        <w:t>241(1)</w:t>
      </w:r>
    </w:p>
    <w:p>
      <w:pPr>
        <w:pStyle w:val="DefinedTerms"/>
      </w:pPr>
      <w:r>
        <w:t>inspection plan</w:t>
      </w:r>
      <w:r>
        <w:tab/>
        <w:t>242(1A)</w:t>
      </w:r>
    </w:p>
    <w:p>
      <w:pPr>
        <w:pStyle w:val="DefinedTerms"/>
      </w:pPr>
      <w:r>
        <w:t>network</w:t>
      </w:r>
      <w:r>
        <w:tab/>
        <w:t>241(2)</w:t>
      </w:r>
    </w:p>
    <w:p>
      <w:pPr>
        <w:pStyle w:val="DefinedTerms"/>
      </w:pPr>
      <w:r>
        <w:t>network operator</w:t>
      </w:r>
      <w:r>
        <w:tab/>
        <w:t>241(1) and (3)</w:t>
      </w:r>
    </w:p>
    <w:p>
      <w:pPr>
        <w:pStyle w:val="DefinedTerms"/>
      </w:pPr>
      <w:r>
        <w:t>neutral conductor</w:t>
      </w:r>
      <w:r>
        <w:tab/>
        <w:t>2</w:t>
      </w:r>
    </w:p>
    <w:p>
      <w:pPr>
        <w:pStyle w:val="DefinedTerms"/>
      </w:pPr>
      <w:r>
        <w:t>new owner</w:t>
      </w:r>
      <w:r>
        <w:tab/>
        <w:t>12</w:t>
      </w:r>
    </w:p>
    <w:p>
      <w:pPr>
        <w:pStyle w:val="DefinedTerms"/>
      </w:pPr>
      <w:r>
        <w:t>notice of completion</w:t>
      </w:r>
      <w:r>
        <w:tab/>
        <w:t>242(1A)</w:t>
      </w:r>
    </w:p>
    <w:p>
      <w:pPr>
        <w:pStyle w:val="DefinedTerms"/>
      </w:pPr>
      <w:r>
        <w:t>notice of intended demolition</w:t>
      </w:r>
      <w:r>
        <w:tab/>
        <w:t>12</w:t>
      </w:r>
    </w:p>
    <w:p>
      <w:pPr>
        <w:pStyle w:val="DefinedTerms"/>
      </w:pPr>
      <w:r>
        <w:t>occupied by an owner</w:t>
      </w:r>
      <w:r>
        <w:tab/>
        <w:t>12</w:t>
      </w:r>
    </w:p>
    <w:p>
      <w:pPr>
        <w:pStyle w:val="DefinedTerms"/>
      </w:pPr>
      <w:r>
        <w:t>overhead power lines</w:t>
      </w:r>
      <w:r>
        <w:tab/>
        <w:t>316A(1A)</w:t>
      </w:r>
    </w:p>
    <w:p>
      <w:pPr>
        <w:pStyle w:val="DefinedTerms"/>
      </w:pPr>
      <w:r>
        <w:t>post</w:t>
      </w:r>
      <w:r>
        <w:noBreakHyphen/>
        <w:t>transfer period,</w:t>
      </w:r>
      <w:r>
        <w:tab/>
        <w:t>15A(1)</w:t>
      </w:r>
    </w:p>
    <w:p>
      <w:pPr>
        <w:pStyle w:val="DefinedTerms"/>
      </w:pPr>
      <w:r>
        <w:t>premises</w:t>
      </w:r>
      <w:r>
        <w:tab/>
        <w:t>12</w:t>
      </w:r>
    </w:p>
    <w:p>
      <w:pPr>
        <w:pStyle w:val="DefinedTerms"/>
      </w:pPr>
      <w:r>
        <w:t>prior owner</w:t>
      </w:r>
      <w:r>
        <w:tab/>
        <w:t>12</w:t>
      </w:r>
    </w:p>
    <w:p>
      <w:pPr>
        <w:pStyle w:val="DefinedTerms"/>
      </w:pPr>
      <w:r>
        <w:t>properly installed</w:t>
      </w:r>
      <w:r>
        <w:tab/>
        <w:t>12</w:t>
      </w:r>
    </w:p>
    <w:p>
      <w:pPr>
        <w:pStyle w:val="DefinedTerms"/>
      </w:pPr>
      <w:r>
        <w:t>published specification</w:t>
      </w:r>
      <w:r>
        <w:tab/>
        <w:t>321</w:t>
      </w:r>
    </w:p>
    <w:p>
      <w:pPr>
        <w:pStyle w:val="DefinedTerms"/>
      </w:pPr>
      <w:r>
        <w:t>residential premises</w:t>
      </w:r>
      <w:r>
        <w:tab/>
        <w:t>12</w:t>
      </w:r>
    </w:p>
    <w:p>
      <w:pPr>
        <w:pStyle w:val="DefinedTerms"/>
      </w:pPr>
      <w:r>
        <w:t>residential tenancy agreement</w:t>
      </w:r>
      <w:r>
        <w:tab/>
        <w:t>12</w:t>
      </w:r>
    </w:p>
    <w:p>
      <w:pPr>
        <w:pStyle w:val="DefinedTerms"/>
      </w:pPr>
      <w:r>
        <w:t>residual current device</w:t>
      </w:r>
      <w:r>
        <w:tab/>
        <w:t>12</w:t>
      </w:r>
    </w:p>
    <w:p>
      <w:pPr>
        <w:pStyle w:val="DefinedTerms"/>
      </w:pPr>
      <w:r>
        <w:t>transferred residential premises</w:t>
      </w:r>
      <w:r>
        <w:tab/>
        <w:t>12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 w:name="DefinedTerms"/>
    <w:bookmarkEnd w:id="88"/>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 w:name="Coversheet"/>
    <w:bookmarkEnd w:id="8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F8E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4844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C60454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CC04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20B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0113137"/>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 w:name="WAFER_20160803145017" w:val="RemoveTocBookmarks,RemoveUnusedBookmarks,RemoveLanguageTags,UsedStyles,ResetPageSize,RemoveCustomizations"/>
    <w:docVar w:name="WAFER_20160803145017_GUID" w:val="b896b21e-37d0-4678-92de-df6c96a7c913"/>
    <w:docVar w:name="WAFER_20160927160706" w:val="RemoveTocBookmarks,RemoveUnusedBookmarks,RemoveLanguageTags,UsedStyles,RemoveTrackChanges"/>
    <w:docVar w:name="WAFER_20160927160706_GUID" w:val="291109d7-b50a-4852-9c98-78e0e74cf87b"/>
    <w:docVar w:name="WAFER_20160927160720" w:val="RemoveTocBookmarks,RemoveLanguageTags,RemoveTrackChanges,RunningHeaders"/>
    <w:docVar w:name="WAFER_20160927160720_GUID" w:val="a6453a93-2630-4e76-8f21-d445fd5ddf28"/>
    <w:docVar w:name="WAFER_20170125143805" w:val="RemoveTocBookmarks,RemoveUnusedBookmarks,RemoveLanguageTags,UsedStyles,ResetPageSize"/>
    <w:docVar w:name="WAFER_20170125143805_GUID" w:val="3a2cc22f-af06-41bc-b891-6049f824f2b5"/>
    <w:docVar w:name="WAFER_20181001135734" w:val="RemoveTocBookmarks,RemoveUnusedBookmarks,RemoveLanguageTags,UsedStyles,ResetPageSize"/>
    <w:docVar w:name="WAFER_20181001135734_GUID" w:val="9ff9fe85-9c29-4030-bc53-83d665a0a5b8"/>
    <w:docVar w:name="WAFER_20181203140108" w:val="RemoveTocBookmarks,RemoveUnusedBookmarks,RemoveLanguageTags,UsedStyles,ResetPageSize"/>
    <w:docVar w:name="WAFER_20181203140108_GUID" w:val="e955eb2e-5488-4a00-ab8c-2fc778f3b0d1"/>
    <w:docVar w:name="WAFER_20191218135557" w:val="RemoveTocBookmarks,RemoveUnusedBookmarks,RemoveLanguageTags,ResetPageSize,RunningHeaders,UpdateStyles,UsedStyles"/>
    <w:docVar w:name="WAFER_20191218135557_GUID" w:val="81d9a638-3dfb-47e3-95b4-11118793bd70"/>
    <w:docVar w:name="WAFER_2020021014394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947_GUID" w:val="4cac5c2a-200f-441d-8f71-39acab28c388"/>
    <w:docVar w:name="WAFER_202004171357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35715_GUID" w:val="f81d3ab2-9606-4c7c-ad0e-d2e54f7d3287"/>
    <w:docVar w:name="WAFER_202004200936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632_GUID" w:val="48191fe2-da89-44dc-8109-de2b63137d65"/>
    <w:docVar w:name="WAFER_20200923122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17_GUID" w:val="a3007ed1-6f71-457d-bf0a-acbde37efd60"/>
    <w:docVar w:name="WAFER_202106150953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095358_GUID" w:val="f25b12fc-0855-4b39-b3ed-c00b8fba6159"/>
    <w:docVar w:name="WAFER_20210621113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1113220_GUID" w:val="c18768b2-09bf-4eec-8f97-ffcdce0845d4"/>
    <w:docVar w:name="WAFER_202203101131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13137_GUID" w:val="4d6d1b3e-b0a4-422e-a219-cd300edc5a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4268130B-06E6-4AB3-8F21-9CD2BDC51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26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428DE-39FF-4928-8AC2-5A5C2B4B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14949</Words>
  <Characters>74599</Characters>
  <Application>Microsoft Office Word</Application>
  <DocSecurity>0</DocSecurity>
  <Lines>2664</Lines>
  <Paragraphs>1492</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1947 - 07-i0-00</dc:title>
  <dc:subject/>
  <dc:creator/>
  <cp:keywords/>
  <dc:description/>
  <cp:lastModifiedBy>Master Repository Process</cp:lastModifiedBy>
  <cp:revision>4</cp:revision>
  <cp:lastPrinted>2019-12-18T06:16:00Z</cp:lastPrinted>
  <dcterms:created xsi:type="dcterms:W3CDTF">2022-03-14T04:25:00Z</dcterms:created>
  <dcterms:modified xsi:type="dcterms:W3CDTF">2022-03-14T04:25:00Z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edAsAt">
    <vt:filetime>2016-10-20T16:00:00Z</vt:filetime>
  </property>
  <property fmtid="{D5CDD505-2E9C-101B-9397-08002B2CF9AE}" pid="6" name="ReprintNo">
    <vt:lpwstr>7</vt:lpwstr>
  </property>
  <property fmtid="{D5CDD505-2E9C-101B-9397-08002B2CF9AE}" pid="7" name="AsAtDate">
    <vt:lpwstr>16 Mar 2022</vt:lpwstr>
  </property>
  <property fmtid="{D5CDD505-2E9C-101B-9397-08002B2CF9AE}" pid="8" name="Suffix">
    <vt:lpwstr>07-i0-00</vt:lpwstr>
  </property>
  <property fmtid="{D5CDD505-2E9C-101B-9397-08002B2CF9AE}" pid="9" name="CommencementDate">
    <vt:lpwstr>20220316</vt:lpwstr>
  </property>
</Properties>
</file>