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_Toc98849179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_Toc98849180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_Toc98849181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_Toc98849182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_Toc98849183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non-residential property on which generating works are located</w:t>
      </w:r>
      <w:r>
        <w:tab/>
      </w:r>
      <w:r>
        <w:fldChar w:fldCharType="begin"/>
      </w:r>
      <w:r>
        <w:instrText xml:space="preserve"> PAGEREF _Toc98849184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non-residential property occupied by supplier</w:t>
      </w:r>
      <w:r>
        <w:tab/>
      </w:r>
      <w:r>
        <w:fldChar w:fldCharType="begin"/>
      </w:r>
      <w:r>
        <w:instrText xml:space="preserve"> PAGEREF _Toc98849185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_Toc98849186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_Toc98849187 \h </w:instrText>
      </w:r>
      <w:r>
        <w:fldChar w:fldCharType="separate"/>
      </w:r>
      <w:r>
        <w:t>5</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_Toc98849188 \h </w:instrText>
      </w:r>
      <w:r>
        <w:fldChar w:fldCharType="separate"/>
      </w:r>
      <w:r>
        <w:t>8</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_Toc98849189 \h </w:instrText>
      </w:r>
      <w:r>
        <w:fldChar w:fldCharType="separate"/>
      </w:r>
      <w:r>
        <w:t>11</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_Toc98849190 \h </w:instrText>
      </w:r>
      <w:r>
        <w:fldChar w:fldCharType="separate"/>
      </w:r>
      <w:r>
        <w:t>11</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_Toc98849191 \h </w:instrText>
      </w:r>
      <w:r>
        <w:fldChar w:fldCharType="separate"/>
      </w:r>
      <w:r>
        <w:t>12</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_Toc98849192 \h </w:instrText>
      </w:r>
      <w:r>
        <w:fldChar w:fldCharType="separate"/>
      </w:r>
      <w:r>
        <w:t>12</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_Toc98849193 \h </w:instrText>
      </w:r>
      <w:r>
        <w:fldChar w:fldCharType="separate"/>
      </w:r>
      <w:r>
        <w:t>13</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_Toc98849194 \h </w:instrText>
      </w:r>
      <w:r>
        <w:fldChar w:fldCharType="separate"/>
      </w:r>
      <w:r>
        <w:t>15</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_Toc98849195 \h </w:instrText>
      </w:r>
      <w:r>
        <w:fldChar w:fldCharType="separate"/>
      </w:r>
      <w:r>
        <w:t>15</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_Toc98849196 \h </w:instrText>
      </w:r>
      <w:r>
        <w:fldChar w:fldCharType="separate"/>
      </w:r>
      <w:r>
        <w:t>16</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_Toc98849197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Exemption for distribution systems of less than 1 km connecting to network other than SWIS</w:t>
      </w:r>
      <w:r>
        <w:tab/>
      </w:r>
      <w:r>
        <w:fldChar w:fldCharType="begin"/>
      </w:r>
      <w:r>
        <w:instrText xml:space="preserve"> PAGEREF _Toc98849198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_Toc98849199 \h </w:instrText>
      </w:r>
      <w:r>
        <w:fldChar w:fldCharType="separate"/>
      </w:r>
      <w:r>
        <w:t>17</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_Toc98849200 \h </w:instrText>
      </w:r>
      <w:r>
        <w:fldChar w:fldCharType="separate"/>
      </w:r>
      <w:r>
        <w:t>18</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_Toc98849201 \h </w:instrText>
      </w:r>
      <w:r>
        <w:fldChar w:fldCharType="separate"/>
      </w:r>
      <w:r>
        <w:t>18</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_Toc98849202 \h </w:instrText>
      </w:r>
      <w:r>
        <w:fldChar w:fldCharType="separate"/>
      </w:r>
      <w:r>
        <w:t>19</w:t>
      </w:r>
      <w:r>
        <w:fldChar w:fldCharType="end"/>
      </w:r>
    </w:p>
    <w:p>
      <w:pPr>
        <w:pStyle w:val="TOC8"/>
        <w:rPr>
          <w:rFonts w:asciiTheme="minorHAnsi" w:eastAsiaTheme="minorEastAsia" w:hAnsiTheme="minorHAnsi" w:cstheme="minorBidi"/>
          <w:szCs w:val="22"/>
        </w:rPr>
      </w:pPr>
      <w:r>
        <w:t>21.</w:t>
      </w:r>
      <w:r>
        <w:tab/>
        <w:t>Exemptions for EMR Golden Grove and Minjar Gold — supply to Minjar Gold</w:t>
      </w:r>
      <w:r>
        <w:tab/>
      </w:r>
      <w:r>
        <w:fldChar w:fldCharType="begin"/>
      </w:r>
      <w:r>
        <w:instrText xml:space="preserve"> PAGEREF _Toc98849203 \h </w:instrText>
      </w:r>
      <w:r>
        <w:fldChar w:fldCharType="separate"/>
      </w:r>
      <w:r>
        <w:t>19</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_Toc98849204 \h </w:instrText>
      </w:r>
      <w:r>
        <w:fldChar w:fldCharType="separate"/>
      </w:r>
      <w:r>
        <w:t>20</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_Toc98849205 \h </w:instrText>
      </w:r>
      <w:r>
        <w:fldChar w:fldCharType="separate"/>
      </w:r>
      <w:r>
        <w:t>20</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_Toc98849206 \h </w:instrText>
      </w:r>
      <w:r>
        <w:fldChar w:fldCharType="separate"/>
      </w:r>
      <w:r>
        <w:t>21</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_Toc98849207 \h </w:instrText>
      </w:r>
      <w:r>
        <w:fldChar w:fldCharType="separate"/>
      </w:r>
      <w:r>
        <w:t>21</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_Toc98849208 \h </w:instrText>
      </w:r>
      <w:r>
        <w:fldChar w:fldCharType="separate"/>
      </w:r>
      <w:r>
        <w:t>22</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_Toc98849209 \h </w:instrText>
      </w:r>
      <w:r>
        <w:fldChar w:fldCharType="separate"/>
      </w:r>
      <w:r>
        <w:t>23</w:t>
      </w:r>
      <w:r>
        <w:fldChar w:fldCharType="end"/>
      </w:r>
    </w:p>
    <w:p>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_Toc98849210 \h </w:instrText>
      </w:r>
      <w:r>
        <w:fldChar w:fldCharType="separate"/>
      </w:r>
      <w:r>
        <w:t>23</w:t>
      </w:r>
      <w:r>
        <w:fldChar w:fldCharType="end"/>
      </w:r>
    </w:p>
    <w:p>
      <w:pPr>
        <w:pStyle w:val="TOC8"/>
        <w:rPr>
          <w:rFonts w:asciiTheme="minorHAnsi" w:eastAsiaTheme="minorEastAsia" w:hAnsiTheme="minorHAnsi" w:cstheme="minorBidi"/>
          <w:szCs w:val="22"/>
        </w:rPr>
      </w:pPr>
      <w:r>
        <w:t>29.</w:t>
      </w:r>
      <w:r>
        <w:tab/>
        <w:t>Exemption for generating works connecting to Pilbara Energy Connection</w:t>
      </w:r>
      <w:r>
        <w:tab/>
      </w:r>
      <w:r>
        <w:fldChar w:fldCharType="begin"/>
      </w:r>
      <w:r>
        <w:instrText xml:space="preserve"> PAGEREF _Toc98849211 \h </w:instrText>
      </w:r>
      <w:r>
        <w:fldChar w:fldCharType="separate"/>
      </w:r>
      <w:r>
        <w:t>23</w:t>
      </w:r>
      <w:r>
        <w:fldChar w:fldCharType="end"/>
      </w:r>
    </w:p>
    <w:p>
      <w:pPr>
        <w:pStyle w:val="TOC8"/>
        <w:rPr>
          <w:rFonts w:asciiTheme="minorHAnsi" w:eastAsiaTheme="minorEastAsia" w:hAnsiTheme="minorHAnsi" w:cstheme="minorBidi"/>
          <w:szCs w:val="22"/>
        </w:rPr>
      </w:pPr>
      <w:r>
        <w:t>30.</w:t>
      </w:r>
      <w:r>
        <w:tab/>
        <w:t>Exemption for sale of electricity — Pilbara Energy Connection</w:t>
      </w:r>
      <w:r>
        <w:tab/>
      </w:r>
      <w:r>
        <w:fldChar w:fldCharType="begin"/>
      </w:r>
      <w:r>
        <w:instrText xml:space="preserve"> PAGEREF _Toc98849212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_Toc98849216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Exemption Order 2005</w:t>
      </w:r>
    </w:p>
    <w:p>
      <w:pPr>
        <w:pStyle w:val="Heading5"/>
      </w:pPr>
      <w:bookmarkStart w:id="3" w:name="_Toc98849179"/>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98849180"/>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98849181"/>
      <w:r>
        <w:t>3A.</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lastRenderedPageBreak/>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w:t>
      </w:r>
    </w:p>
    <w:p>
      <w:pPr>
        <w:pStyle w:val="Heading5"/>
      </w:pPr>
      <w:bookmarkStart w:id="7" w:name="_Toc98849182"/>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8" w:name="_Toc98849183"/>
      <w:r>
        <w:rPr>
          <w:rStyle w:val="CharSectno"/>
        </w:rPr>
        <w:t>3</w:t>
      </w:r>
      <w:r>
        <w:t>.</w:t>
      </w:r>
      <w:r>
        <w:tab/>
        <w:t>Exemption for generating works under 30 MW</w:t>
      </w:r>
      <w:bookmarkEnd w:id="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lastRenderedPageBreak/>
        <w:tab/>
        <w:t>[Clause 3 amended: Gazette 9 Oct 2009 p. 3992; 29 Jun 2012 p. 2934; 25 Sep 2018 p. 3557.]</w:t>
      </w:r>
    </w:p>
    <w:p>
      <w:pPr>
        <w:pStyle w:val="Heading5"/>
      </w:pPr>
      <w:bookmarkStart w:id="9" w:name="_Toc98849184"/>
      <w:r>
        <w:rPr>
          <w:rStyle w:val="CharSectno"/>
        </w:rPr>
        <w:t>4A</w:t>
      </w:r>
      <w:r>
        <w:t>.</w:t>
      </w:r>
      <w:r>
        <w:tab/>
        <w:t>Exemptions for supply to non-residential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0" w:name="_Toc98849185"/>
      <w:r>
        <w:rPr>
          <w:rStyle w:val="CharSectno"/>
        </w:rPr>
        <w:lastRenderedPageBreak/>
        <w:t>4B</w:t>
      </w:r>
      <w:r>
        <w:t>.</w:t>
      </w:r>
      <w:r>
        <w:tab/>
        <w:t>Exemption for supply to non-residential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1" w:name="_Toc98849186"/>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w:t>
      </w:r>
      <w:r>
        <w:lastRenderedPageBreak/>
        <w:t>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2" w:name="_Toc98849187"/>
      <w:r>
        <w:rPr>
          <w:rStyle w:val="CharSectno"/>
        </w:rPr>
        <w:t>6</w:t>
      </w:r>
      <w:r>
        <w:t>.</w:t>
      </w:r>
      <w:r>
        <w:tab/>
        <w:t>Conditions applying to certain exemptions under cl. 4: fees and charges</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lastRenderedPageBreak/>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lastRenderedPageBreak/>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lastRenderedPageBreak/>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3" w:name="_Toc98849188"/>
      <w:r>
        <w:rPr>
          <w:rStyle w:val="CharSectno"/>
        </w:rPr>
        <w:t>6A</w:t>
      </w:r>
      <w:r>
        <w:t>.</w:t>
      </w:r>
      <w:r>
        <w:tab/>
        <w:t>Conditions applying to certain exemptions under cl. 4: life support equipment</w:t>
      </w:r>
      <w:bookmarkEnd w:id="13"/>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lastRenderedPageBreak/>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lastRenderedPageBreak/>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14" w:name="_Toc98849189"/>
      <w:r>
        <w:rPr>
          <w:rStyle w:val="CharSectno"/>
        </w:rPr>
        <w:lastRenderedPageBreak/>
        <w:t>7</w:t>
      </w:r>
      <w:r>
        <w:t>.</w:t>
      </w:r>
      <w:r>
        <w:tab/>
        <w:t>Exemptions for supply to Aboriginal communities</w:t>
      </w:r>
      <w:bookmarkEnd w:id="1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15" w:name="_Toc98849190"/>
      <w:r>
        <w:rPr>
          <w:rStyle w:val="CharSectno"/>
        </w:rPr>
        <w:t>8</w:t>
      </w:r>
      <w:r>
        <w:t>.</w:t>
      </w:r>
      <w:r>
        <w:tab/>
        <w:t>Exemptions for operations under Pilbara Energy Project Agreement</w:t>
      </w:r>
      <w:bookmarkEnd w:id="15"/>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lastRenderedPageBreak/>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6" w:name="_Toc98849191"/>
      <w:r>
        <w:rPr>
          <w:rStyle w:val="CharSectno"/>
        </w:rPr>
        <w:t>9</w:t>
      </w:r>
      <w:r>
        <w:t>.</w:t>
      </w:r>
      <w:r>
        <w:tab/>
        <w:t xml:space="preserve">Exemption for sale to certain customers under </w:t>
      </w:r>
      <w:r>
        <w:rPr>
          <w:iCs/>
        </w:rPr>
        <w:t>Iron Ore Beneficiation (BHP) Agreement</w:t>
      </w:r>
      <w:bookmarkEnd w:id="1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7" w:name="_Toc98849192"/>
      <w:r>
        <w:rPr>
          <w:rStyle w:val="CharSectno"/>
        </w:rPr>
        <w:t>10</w:t>
      </w:r>
      <w:r>
        <w:t>.</w:t>
      </w:r>
      <w:r>
        <w:tab/>
        <w:t>Exemptions for operations under various government agreements</w:t>
      </w:r>
      <w:bookmarkEnd w:id="1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lastRenderedPageBreak/>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8" w:name="_Toc98849193"/>
      <w:r>
        <w:rPr>
          <w:rStyle w:val="CharSectno"/>
        </w:rPr>
        <w:t>11</w:t>
      </w:r>
      <w:r>
        <w:t>.</w:t>
      </w:r>
      <w:r>
        <w:tab/>
        <w:t>Conditions applying to exemptions under clause 10</w:t>
      </w:r>
      <w:bookmarkEnd w:id="1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lastRenderedPageBreak/>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19" w:name="_Toc98849194"/>
      <w:r>
        <w:rPr>
          <w:rStyle w:val="CharSectno"/>
        </w:rPr>
        <w:lastRenderedPageBreak/>
        <w:t>12</w:t>
      </w:r>
      <w:r>
        <w:t>.</w:t>
      </w:r>
      <w:r>
        <w:tab/>
        <w:t>Exemptions for operations in DBNGP corridor</w:t>
      </w:r>
      <w:bookmarkEnd w:id="1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0" w:name="_Toc98849195"/>
      <w:r>
        <w:rPr>
          <w:rStyle w:val="CharSectno"/>
        </w:rPr>
        <w:t>13</w:t>
      </w:r>
      <w:r>
        <w:t>.</w:t>
      </w:r>
      <w:r>
        <w:tab/>
        <w:t>Exemptions for Electricity Generation and Retail Corporation</w:t>
      </w:r>
      <w:bookmarkEnd w:id="2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 xml:space="preserve">Billiton Aluminium (Worsley) Pty Ltd (ACN 088 336 921), Kobe Alumina Associates (Australia) Pty Ltd (ACN 008 907 524) and Nissho Iwai Alumina Pty Ltd </w:t>
      </w:r>
      <w:r>
        <w:lastRenderedPageBreak/>
        <w:t>(ACN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1" w:name="_Toc98849196"/>
      <w:r>
        <w:rPr>
          <w:rStyle w:val="CharSectno"/>
        </w:rPr>
        <w:t>14</w:t>
      </w:r>
      <w:r>
        <w:t>.</w:t>
      </w:r>
      <w:r>
        <w:tab/>
        <w:t>Exemptions for Fremantle Port Authority</w:t>
      </w:r>
      <w:bookmarkEnd w:id="21"/>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2" w:name="_Toc98849197"/>
      <w:r>
        <w:rPr>
          <w:rStyle w:val="CharSectno"/>
        </w:rPr>
        <w:lastRenderedPageBreak/>
        <w:t>15</w:t>
      </w:r>
      <w:r>
        <w:t>.</w:t>
      </w:r>
      <w:r>
        <w:tab/>
        <w:t>Exemptions for supply in Eucla</w:t>
      </w:r>
      <w:bookmarkEnd w:id="22"/>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3" w:name="_Toc98849198"/>
      <w:r>
        <w:rPr>
          <w:rStyle w:val="CharSectno"/>
        </w:rPr>
        <w:t>16</w:t>
      </w:r>
      <w:r>
        <w:t>.</w:t>
      </w:r>
      <w:r>
        <w:tab/>
        <w:t>Exemption for distribution systems of less than 1 km connecting to network other than SWIS</w:t>
      </w:r>
      <w:bookmarkEnd w:id="2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24" w:name="_Toc98849199"/>
      <w:r>
        <w:rPr>
          <w:rStyle w:val="CharSectno"/>
        </w:rPr>
        <w:t>17</w:t>
      </w:r>
      <w:r>
        <w:t>.</w:t>
      </w:r>
      <w:r>
        <w:tab/>
        <w:t>Exemptions for holders of generation licence connecting to SWIS</w:t>
      </w:r>
      <w:bookmarkEnd w:id="2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w:t>
      </w:r>
      <w:r>
        <w:lastRenderedPageBreak/>
        <w:t>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5" w:name="_Toc98849200"/>
      <w:r>
        <w:rPr>
          <w:rStyle w:val="CharSectno"/>
        </w:rPr>
        <w:t>18</w:t>
      </w:r>
      <w:r>
        <w:t>.</w:t>
      </w:r>
      <w:r>
        <w:tab/>
        <w:t>Exemption for EDL NGD (WA)</w:t>
      </w:r>
      <w:bookmarkEnd w:id="2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6" w:name="_Toc98849201"/>
      <w:r>
        <w:rPr>
          <w:rStyle w:val="CharSectno"/>
        </w:rPr>
        <w:t>19</w:t>
      </w:r>
      <w:r>
        <w:t>.</w:t>
      </w:r>
      <w:r>
        <w:tab/>
        <w:t>Exemptions for electric vehicle charging stations</w:t>
      </w:r>
      <w:bookmarkEnd w:id="2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lastRenderedPageBreak/>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27" w:name="_Toc98849202"/>
      <w:r>
        <w:rPr>
          <w:rStyle w:val="CharSectno"/>
        </w:rPr>
        <w:t>20</w:t>
      </w:r>
      <w:r>
        <w:t>.</w:t>
      </w:r>
      <w:r>
        <w:tab/>
        <w:t>Exemptions for Blair Fox — Karakin Wind Farm</w:t>
      </w:r>
      <w:bookmarkEnd w:id="2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28" w:name="_Toc98849203"/>
      <w:r>
        <w:rPr>
          <w:rStyle w:val="CharSectno"/>
        </w:rPr>
        <w:t>21</w:t>
      </w:r>
      <w:r>
        <w:t>.</w:t>
      </w:r>
      <w:r>
        <w:tab/>
        <w:t>Exemptions for EMR Golden Grove and Minjar Gold — supply to Minjar Gold</w:t>
      </w:r>
      <w:bookmarkEnd w:id="28"/>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w:t>
      </w:r>
      <w:r>
        <w:lastRenderedPageBreak/>
        <w:t>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29" w:name="_Toc98849204"/>
      <w:r>
        <w:rPr>
          <w:rStyle w:val="CharSectno"/>
        </w:rPr>
        <w:t>22</w:t>
      </w:r>
      <w:r>
        <w:t>.</w:t>
      </w:r>
      <w:r>
        <w:tab/>
        <w:t>Exemption for Power Rental Op Co Australia — South Hedland Power Station</w:t>
      </w:r>
      <w:bookmarkEnd w:id="2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30" w:name="_Toc98849205"/>
      <w:r>
        <w:rPr>
          <w:rStyle w:val="CharSectno"/>
        </w:rPr>
        <w:t>23</w:t>
      </w:r>
      <w:r>
        <w:t>.</w:t>
      </w:r>
      <w:r>
        <w:tab/>
        <w:t>Exemption for CSBP — Kwinana manufacturing facility</w:t>
      </w:r>
      <w:bookmarkEnd w:id="3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lastRenderedPageBreak/>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31" w:name="_Toc98849206"/>
      <w:r>
        <w:rPr>
          <w:rStyle w:val="CharSectno"/>
        </w:rPr>
        <w:t>24</w:t>
      </w:r>
      <w:r>
        <w:t>.</w:t>
      </w:r>
      <w:r>
        <w:tab/>
        <w:t>Exemption for Kwinana WTE Project — Kwinana power station</w:t>
      </w:r>
      <w:bookmarkEnd w:id="31"/>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32" w:name="_Toc98849207"/>
      <w:r>
        <w:rPr>
          <w:rStyle w:val="CharSectno"/>
        </w:rPr>
        <w:t>25</w:t>
      </w:r>
      <w:r>
        <w:t>.</w:t>
      </w:r>
      <w:r>
        <w:tab/>
        <w:t>Exemptions for Eastern Metropolitan Regional Council: supply to Perth Airport</w:t>
      </w:r>
      <w:bookmarkEnd w:id="32"/>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lastRenderedPageBreak/>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33" w:name="_Toc98849208"/>
      <w:r>
        <w:rPr>
          <w:rStyle w:val="CharSectno"/>
        </w:rPr>
        <w:t>26</w:t>
      </w:r>
      <w:r>
        <w:t>.</w:t>
      </w:r>
      <w:r>
        <w:tab/>
        <w:t>Exemption for certain connections to internet networks</w:t>
      </w:r>
      <w:bookmarkEnd w:id="33"/>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4" w:name="_Toc98849209"/>
      <w:r>
        <w:rPr>
          <w:rStyle w:val="CharSectno"/>
        </w:rPr>
        <w:lastRenderedPageBreak/>
        <w:t>27</w:t>
      </w:r>
      <w:r>
        <w:t>.</w:t>
      </w:r>
      <w:r>
        <w:tab/>
        <w:t>Exemption for Woodside Energy — Mt Wongama communications facility</w:t>
      </w:r>
      <w:bookmarkEnd w:id="34"/>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35" w:name="_Toc98849210"/>
      <w:r>
        <w:rPr>
          <w:rStyle w:val="CharSectno"/>
        </w:rPr>
        <w:t>28</w:t>
      </w:r>
      <w:r>
        <w:t>.</w:t>
      </w:r>
      <w:r>
        <w:tab/>
        <w:t>Exemption for Pilbara Energy Company — Pilbara Energy Connection</w:t>
      </w:r>
      <w:bookmarkEnd w:id="35"/>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36" w:name="_Toc98849211"/>
      <w:r>
        <w:rPr>
          <w:rStyle w:val="CharSectno"/>
        </w:rPr>
        <w:t>29</w:t>
      </w:r>
      <w:r>
        <w:t>.</w:t>
      </w:r>
      <w:r>
        <w:tab/>
        <w:t>Exemption for generating works connecting to Pilbara Energy Connection</w:t>
      </w:r>
      <w:bookmarkEnd w:id="36"/>
    </w:p>
    <w:p>
      <w:pPr>
        <w:pStyle w:val="Subsection"/>
        <w:keepNext/>
      </w:pPr>
      <w:r>
        <w:tab/>
      </w:r>
      <w:r>
        <w:tab/>
        <w:t xml:space="preserve">The following are exempt from the </w:t>
      </w:r>
      <w:r>
        <w:rPr>
          <w:i/>
        </w:rPr>
        <w:t>Electricity Industry Act 2004</w:t>
      </w:r>
      <w:r>
        <w:t xml:space="preserve"> section 7(1) in relation to the construction and operation of </w:t>
      </w:r>
      <w:r>
        <w:lastRenderedPageBreak/>
        <w:t xml:space="preserve">generating works that connect to, or will connect to, the Pilbara Energy Connection — </w:t>
      </w:r>
    </w:p>
    <w:p>
      <w:pPr>
        <w:pStyle w:val="Indenta"/>
      </w:pPr>
      <w:r>
        <w:tab/>
        <w:t>(a)</w:t>
      </w:r>
      <w:r>
        <w:tab/>
        <w:t>Pilbara Energy (Generation) Pty Ltd (ACN 631 303 305);</w:t>
      </w:r>
    </w:p>
    <w:p>
      <w:pPr>
        <w:pStyle w:val="Indenta"/>
      </w:pPr>
      <w:r>
        <w:tab/>
        <w:t>(b)</w:t>
      </w:r>
      <w:r>
        <w:tab/>
        <w:t>FMG Solomon Pty Ltd (ACN 128 959 179).</w:t>
      </w:r>
    </w:p>
    <w:p>
      <w:pPr>
        <w:pStyle w:val="Footnotesection"/>
      </w:pPr>
      <w:r>
        <w:tab/>
        <w:t>[Clause 29 inserted: SL 2020/180 cl. 6.]</w:t>
      </w:r>
    </w:p>
    <w:p>
      <w:pPr>
        <w:pStyle w:val="Heading5"/>
      </w:pPr>
      <w:bookmarkStart w:id="37" w:name="_Toc96335682"/>
      <w:bookmarkStart w:id="38" w:name="_Toc98843984"/>
      <w:bookmarkStart w:id="39" w:name="_Toc98849212"/>
      <w:r>
        <w:rPr>
          <w:rStyle w:val="CharSectno"/>
        </w:rPr>
        <w:t>30</w:t>
      </w:r>
      <w:r>
        <w:t>.</w:t>
      </w:r>
      <w:r>
        <w:tab/>
        <w:t>Exemption for sale of electricity — Pilbara Energy Connection</w:t>
      </w:r>
      <w:bookmarkEnd w:id="37"/>
      <w:bookmarkEnd w:id="38"/>
      <w:bookmarkEnd w:id="39"/>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0" w:name="_Toc98845258"/>
      <w:bookmarkStart w:id="41" w:name="_Toc98845296"/>
      <w:bookmarkStart w:id="42" w:name="_Toc98845720"/>
      <w:bookmarkStart w:id="43" w:name="_Toc98849213"/>
      <w:r>
        <w:rPr>
          <w:rStyle w:val="CharSchNo"/>
        </w:rPr>
        <w:lastRenderedPageBreak/>
        <w:t>Schedule 1</w:t>
      </w:r>
      <w:r>
        <w:rPr>
          <w:rStyle w:val="CharSDivNo"/>
        </w:rPr>
        <w:t> </w:t>
      </w:r>
      <w:r>
        <w:t>—</w:t>
      </w:r>
      <w:r>
        <w:rPr>
          <w:rStyle w:val="CharSDivText"/>
        </w:rPr>
        <w:t> </w:t>
      </w:r>
      <w:r>
        <w:rPr>
          <w:rStyle w:val="CharSchText"/>
        </w:rPr>
        <w:t>Depiction of EDL NGD (WA) exempt distribution system</w:t>
      </w:r>
      <w:bookmarkEnd w:id="40"/>
      <w:bookmarkEnd w:id="41"/>
      <w:bookmarkEnd w:id="42"/>
      <w:bookmarkEnd w:id="43"/>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44" w:name="_Toc98845259"/>
      <w:bookmarkStart w:id="45" w:name="_Toc98845297"/>
      <w:bookmarkStart w:id="46" w:name="_Toc98845721"/>
      <w:bookmarkStart w:id="47" w:name="_Toc98849214"/>
      <w:r>
        <w:rPr>
          <w:rStyle w:val="CharSchNo"/>
        </w:rPr>
        <w:lastRenderedPageBreak/>
        <w:t>Schedule 2</w:t>
      </w:r>
      <w:r>
        <w:rPr>
          <w:rStyle w:val="CharSDivNo"/>
        </w:rPr>
        <w:t> </w:t>
      </w:r>
      <w:r>
        <w:t>—</w:t>
      </w:r>
      <w:r>
        <w:rPr>
          <w:rStyle w:val="CharSDivText"/>
        </w:rPr>
        <w:t> </w:t>
      </w:r>
      <w:r>
        <w:rPr>
          <w:rStyle w:val="CharSchText"/>
        </w:rPr>
        <w:t>Description of Kwinana site boundary line</w:t>
      </w:r>
      <w:bookmarkEnd w:id="44"/>
      <w:bookmarkEnd w:id="45"/>
      <w:bookmarkEnd w:id="46"/>
      <w:bookmarkEnd w:id="47"/>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9" w:name="_Toc98845260"/>
      <w:bookmarkStart w:id="50" w:name="_Toc98845298"/>
      <w:bookmarkStart w:id="51" w:name="_Toc98845722"/>
      <w:bookmarkStart w:id="52" w:name="_Toc98849215"/>
      <w:r>
        <w:lastRenderedPageBreak/>
        <w:t>Notes</w:t>
      </w:r>
      <w:bookmarkEnd w:id="49"/>
      <w:bookmarkEnd w:id="50"/>
      <w:bookmarkEnd w:id="51"/>
      <w:bookmarkEnd w:id="52"/>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53" w:name="_Toc98849216"/>
      <w:r>
        <w:t>Compilation table</w:t>
      </w:r>
      <w:bookmarkEnd w:id="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2022</w:t>
            </w:r>
          </w:p>
        </w:tc>
        <w:tc>
          <w:tcPr>
            <w:tcW w:w="1276" w:type="dxa"/>
            <w:tcBorders>
              <w:top w:val="nil"/>
              <w:bottom w:val="single" w:sz="4" w:space="0" w:color="auto"/>
            </w:tcBorders>
          </w:tcPr>
          <w:p>
            <w:pPr>
              <w:pStyle w:val="nTable"/>
              <w:keepNext/>
              <w:spacing w:after="40"/>
            </w:pPr>
            <w:r>
              <w:t>SL 2022/44 25 Mar 2022</w:t>
            </w:r>
          </w:p>
        </w:tc>
        <w:tc>
          <w:tcPr>
            <w:tcW w:w="2693" w:type="dxa"/>
            <w:tcBorders>
              <w:top w:val="nil"/>
              <w:bottom w:val="single" w:sz="4" w:space="0" w:color="auto"/>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5" w:name="_Toc98845262"/>
      <w:bookmarkStart w:id="56" w:name="_Toc98845300"/>
      <w:bookmarkStart w:id="57" w:name="_Toc98845724"/>
      <w:bookmarkStart w:id="58" w:name="_Toc98849217"/>
      <w:r>
        <w:rPr>
          <w:sz w:val="28"/>
        </w:rPr>
        <w:lastRenderedPageBreak/>
        <w:t>Defined terms</w:t>
      </w:r>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appropriately qualified medical practitioner</w:t>
      </w:r>
      <w:r>
        <w:tab/>
        <w:t>6A(1)</w:t>
      </w:r>
    </w:p>
    <w:p>
      <w:pPr>
        <w:pStyle w:val="DefinedTerms"/>
      </w:pPr>
      <w:r>
        <w:t>Blair Fox</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 vehicle</w:t>
      </w:r>
      <w:r>
        <w:tab/>
        <w:t>19(1)</w:t>
      </w:r>
    </w:p>
    <w:p>
      <w:pPr>
        <w:pStyle w:val="DefinedTerms"/>
      </w:pPr>
      <w:r>
        <w:t>electricity reticulation system</w:t>
      </w:r>
      <w:r>
        <w:tab/>
        <w:t>6(1)</w:t>
      </w:r>
    </w:p>
    <w:p>
      <w:pPr>
        <w:pStyle w:val="DefinedTerms"/>
      </w:pPr>
      <w:r>
        <w:t>EMR Golden Grove</w:t>
      </w:r>
      <w:r>
        <w:tab/>
        <w:t>21(1)</w:t>
      </w:r>
    </w:p>
    <w:p>
      <w:pPr>
        <w:pStyle w:val="DefinedTerms"/>
      </w:pPr>
      <w:r>
        <w:t>Eucla</w:t>
      </w:r>
      <w:r>
        <w:tab/>
        <w:t>15(1)</w:t>
      </w:r>
    </w:p>
    <w:p>
      <w:pPr>
        <w:pStyle w:val="DefinedTerms"/>
      </w:pPr>
      <w:r>
        <w:t>exempt supplier</w:t>
      </w:r>
      <w:r>
        <w:tab/>
        <w:t>6(1), 6A(1)</w:t>
      </w:r>
    </w:p>
    <w:p>
      <w:pPr>
        <w:pStyle w:val="DefinedTerms"/>
      </w:pPr>
      <w:r>
        <w:t>Fremantle Port Authority</w:t>
      </w:r>
      <w:r>
        <w:tab/>
        <w:t>14(1)</w:t>
      </w:r>
    </w:p>
    <w:p>
      <w:pPr>
        <w:pStyle w:val="DefinedTerms"/>
      </w:pPr>
      <w:r>
        <w:t>generation capacity</w:t>
      </w:r>
      <w:r>
        <w:tab/>
        <w:t>3(1), 24(1)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life support equipment</w:t>
      </w:r>
      <w:r>
        <w:tab/>
        <w:t>6A(1)</w:t>
      </w:r>
    </w:p>
    <w:p>
      <w:pPr>
        <w:pStyle w:val="DefinedTerms"/>
      </w:pPr>
      <w:r>
        <w:t>Minjar Gold</w:t>
      </w:r>
      <w:r>
        <w:tab/>
        <w:t>21(1)</w:t>
      </w:r>
    </w:p>
    <w:p>
      <w:pPr>
        <w:pStyle w:val="DefinedTerms"/>
      </w:pPr>
      <w:r>
        <w:t>Mt Wongama communications facility</w:t>
      </w:r>
      <w:r>
        <w:tab/>
        <w:t>27(1)</w:t>
      </w:r>
    </w:p>
    <w:p>
      <w:pPr>
        <w:pStyle w:val="DefinedTerms"/>
      </w:pPr>
      <w:r>
        <w:t>non</w:t>
      </w:r>
      <w:r>
        <w:noBreakHyphen/>
        <w:t>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Pilbara Energy Company</w:t>
      </w:r>
      <w:r>
        <w:tab/>
        <w:t>28(1)</w:t>
      </w:r>
    </w:p>
    <w:p>
      <w:pPr>
        <w:pStyle w:val="DefinedTerms"/>
      </w:pPr>
      <w:r>
        <w:t>Pilbara Energy Connection</w:t>
      </w:r>
      <w:r>
        <w:tab/>
        <w:t>28(1)</w:t>
      </w:r>
    </w:p>
    <w:p>
      <w:pPr>
        <w:pStyle w:val="DefinedTerms"/>
      </w:pPr>
      <w:r>
        <w:t>Power Rental Op Co Australia</w:t>
      </w:r>
      <w:r>
        <w:tab/>
        <w:t>22(1)</w:t>
      </w:r>
    </w:p>
    <w:p>
      <w:pPr>
        <w:pStyle w:val="DefinedTerms"/>
      </w:pPr>
      <w:r>
        <w:t>property</w:t>
      </w:r>
      <w:r>
        <w:tab/>
        <w:t>3A</w:t>
      </w:r>
    </w:p>
    <w:p>
      <w:pPr>
        <w:pStyle w:val="DefinedTerms"/>
      </w:pPr>
      <w:r>
        <w:t>registered property</w:t>
      </w:r>
      <w:r>
        <w:tab/>
        <w:t>6A(1)</w:t>
      </w:r>
    </w:p>
    <w:p>
      <w:pPr>
        <w:pStyle w:val="DefinedTerms"/>
      </w:pPr>
      <w:r>
        <w:t>relevant agreement</w:t>
      </w:r>
      <w:r>
        <w:tab/>
        <w:t>10(1)</w:t>
      </w:r>
    </w:p>
    <w:p>
      <w:pPr>
        <w:pStyle w:val="DefinedTerms"/>
      </w:pPr>
      <w:r>
        <w:t>residential property</w:t>
      </w:r>
      <w:r>
        <w:tab/>
        <w:t>3A</w:t>
      </w:r>
    </w:p>
    <w:p>
      <w:pPr>
        <w:pStyle w:val="DefinedTerms"/>
      </w:pPr>
      <w:r>
        <w:t>retailer</w:t>
      </w:r>
      <w:r>
        <w:tab/>
        <w:t>6A(1)</w:t>
      </w:r>
    </w:p>
    <w:p>
      <w:pPr>
        <w:pStyle w:val="DefinedTerms"/>
      </w:pPr>
      <w:r>
        <w:lastRenderedPageBreak/>
        <w:t>South Hedland Power Station site</w:t>
      </w:r>
      <w:r>
        <w:tab/>
        <w:t>22(1)</w:t>
      </w:r>
    </w:p>
    <w:p>
      <w:pPr>
        <w:pStyle w:val="DefinedTerms"/>
      </w:pPr>
      <w:r>
        <w:t>supplier</w:t>
      </w:r>
      <w:r>
        <w:tab/>
        <w:t>4A(1), 4A(2), 4B</w:t>
      </w:r>
    </w:p>
    <w:p>
      <w:pPr>
        <w:pStyle w:val="DefinedTerms"/>
      </w:pPr>
      <w:r>
        <w:t>supply address</w:t>
      </w:r>
      <w:r>
        <w:tab/>
        <w:t>6A(1)</w:t>
      </w:r>
    </w:p>
    <w:p>
      <w:pPr>
        <w:pStyle w:val="DefinedTerms"/>
      </w:pPr>
      <w:r>
        <w:t>SWIS</w:t>
      </w:r>
      <w:r>
        <w:tab/>
        <w:t>3A</w:t>
      </w:r>
    </w:p>
    <w:p>
      <w:pPr>
        <w:pStyle w:val="DefinedTerms"/>
      </w:pPr>
      <w:r>
        <w:t>Woodside Energy</w:t>
      </w:r>
      <w:r>
        <w:tab/>
        <w:t>27(1)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23834"/>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1E2E-80B2-4139-A345-09332DFE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7494</Words>
  <Characters>37398</Characters>
  <Application>Microsoft Office Word</Application>
  <DocSecurity>0</DocSecurity>
  <Lines>1133</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2005 - 00-z0-00</dc:title>
  <dc:subject/>
  <dc:creator/>
  <cp:keywords/>
  <dc:description/>
  <cp:lastModifiedBy>Master Repository Process</cp:lastModifiedBy>
  <cp:revision>4</cp:revision>
  <cp:lastPrinted>2017-02-10T03:48:00Z</cp:lastPrinted>
  <dcterms:created xsi:type="dcterms:W3CDTF">2022-03-24T08:18:00Z</dcterms:created>
  <dcterms:modified xsi:type="dcterms:W3CDTF">2022-03-24T08:18:00Z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26 Mar 2022</vt:lpwstr>
  </property>
  <property fmtid="{D5CDD505-2E9C-101B-9397-08002B2CF9AE}" pid="6" name="Suffix">
    <vt:lpwstr>00-z0-00</vt:lpwstr>
  </property>
  <property fmtid="{D5CDD505-2E9C-101B-9397-08002B2CF9AE}" pid="7" name="CommencementDate">
    <vt:lpwstr>20220326</vt:lpwstr>
  </property>
</Properties>
</file>