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_Toc106096530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_Toc106096531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_Toc106096532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_Toc106096533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_Toc106096534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_Toc106096536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_Toc106096537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_Toc106096538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_Toc106096539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_Toc106096540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_Toc106096541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_Toc106096542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_Toc106096543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_Toc106096544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_Toc106096545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_Toc106096546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_Toc106096548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_Toc106096549 \h </w:instrText>
      </w:r>
      <w:r>
        <w:fldChar w:fldCharType="separate"/>
      </w:r>
      <w:r>
        <w:t>22</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_Toc106096550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_Toc106096552 \h </w:instrText>
      </w:r>
      <w:r>
        <w:fldChar w:fldCharType="separate"/>
      </w:r>
      <w:r>
        <w:t>24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_Toc106096553 \h </w:instrText>
      </w:r>
      <w:r>
        <w:fldChar w:fldCharType="separate"/>
      </w:r>
      <w:r>
        <w:t>24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_Toc106096554 \h </w:instrText>
      </w:r>
      <w:r>
        <w:fldChar w:fldCharType="separate"/>
      </w:r>
      <w:r>
        <w:t>26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_Toc106096555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_Toc106096557 \h </w:instrText>
      </w:r>
      <w:r>
        <w:fldChar w:fldCharType="separate"/>
      </w:r>
      <w:r>
        <w:t>28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_Toc106096558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_Toc106096560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_Toc106096561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_Toc106096562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_Toc106096563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_Toc106096564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_Toc106096565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_Toc106096566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_Toc106096567 \h </w:instrText>
      </w:r>
      <w:r>
        <w:fldChar w:fldCharType="separate"/>
      </w:r>
      <w:r>
        <w:t>34</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_Toc106096568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_Toc106096569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_Toc106096570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_Toc106096571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_Toc106096572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_Toc106096573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_Toc106096574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_Toc106096575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_Toc106096576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General penalty</w:t>
      </w:r>
      <w:r>
        <w:tab/>
      </w:r>
      <w:r>
        <w:fldChar w:fldCharType="begin"/>
      </w:r>
      <w:r>
        <w:instrText xml:space="preserve"> PAGEREF _Toc106096577 \h </w:instrText>
      </w:r>
      <w:r>
        <w:fldChar w:fldCharType="separate"/>
      </w:r>
      <w:r>
        <w:t>41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_Toc106096578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_Toc106096580 \h </w:instrText>
      </w:r>
      <w:r>
        <w:fldChar w:fldCharType="separate"/>
      </w:r>
      <w:r>
        <w:t>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_Toc106096581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_Toc106096582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3" w:name="_Toc106006001"/>
      <w:bookmarkStart w:id="4" w:name="_Toc106006076"/>
      <w:bookmarkStart w:id="5" w:name="_Toc10609652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106096530"/>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7" w:name="_Toc106096531"/>
      <w:r>
        <w:rPr>
          <w:rStyle w:val="CharSectno"/>
        </w:rPr>
        <w:t>3</w:t>
      </w:r>
      <w:r>
        <w:rPr>
          <w:snapToGrid w:val="0"/>
        </w:rPr>
        <w:t>.</w:t>
      </w:r>
      <w:r>
        <w:rPr>
          <w:snapToGrid w:val="0"/>
        </w:rPr>
        <w:tab/>
        <w:t>Act repealed</w:t>
      </w:r>
      <w:bookmarkEnd w:id="7"/>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8" w:name="_Toc106096532"/>
      <w:r>
        <w:rPr>
          <w:rStyle w:val="CharSectno"/>
        </w:rPr>
        <w:t>4A</w:t>
      </w:r>
      <w:r>
        <w:rPr>
          <w:snapToGrid w:val="0"/>
        </w:rPr>
        <w:t>.</w:t>
      </w:r>
      <w:r>
        <w:rPr>
          <w:snapToGrid w:val="0"/>
        </w:rPr>
        <w:tab/>
        <w:t>Act not to apply to Government electric railways</w:t>
      </w:r>
      <w:bookmarkEnd w:id="8"/>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9" w:name="_Toc106096533"/>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w:t>
      </w:r>
      <w:r>
        <w:lastRenderedPageBreak/>
        <w:t>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lastRenderedPageBreak/>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w:t>
      </w:r>
      <w:r>
        <w:lastRenderedPageBreak/>
        <w:t>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lastRenderedPageBreak/>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10" w:name="_Toc106096534"/>
      <w:r>
        <w:rPr>
          <w:rStyle w:val="CharSectno"/>
        </w:rPr>
        <w:t>6</w:t>
      </w:r>
      <w:r>
        <w:t>.</w:t>
      </w:r>
      <w:r>
        <w:tab/>
        <w:t>Application of Act to supply authorities</w:t>
      </w:r>
      <w:bookmarkEnd w:id="10"/>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11" w:name="_Toc106006007"/>
      <w:bookmarkStart w:id="12" w:name="_Toc106006082"/>
      <w:bookmarkStart w:id="13" w:name="_Toc106096535"/>
      <w:r>
        <w:rPr>
          <w:rStyle w:val="CharPartNo"/>
        </w:rPr>
        <w:lastRenderedPageBreak/>
        <w:t>Part II</w:t>
      </w:r>
      <w:r>
        <w:t> — </w:t>
      </w:r>
      <w:r>
        <w:rPr>
          <w:rStyle w:val="CharPartText"/>
        </w:rPr>
        <w:t>Powers, rights and obligations</w:t>
      </w:r>
      <w:bookmarkEnd w:id="11"/>
      <w:bookmarkEnd w:id="12"/>
      <w:bookmarkEnd w:id="13"/>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14" w:name="_Toc106096536"/>
      <w:r>
        <w:rPr>
          <w:rStyle w:val="CharSectno"/>
        </w:rPr>
        <w:t>11</w:t>
      </w:r>
      <w:r>
        <w:rPr>
          <w:snapToGrid w:val="0"/>
        </w:rPr>
        <w:t>.</w:t>
      </w:r>
      <w:r>
        <w:rPr>
          <w:snapToGrid w:val="0"/>
        </w:rPr>
        <w:tab/>
        <w:t>Supply authority to pay compensation for damage done</w:t>
      </w:r>
      <w:bookmarkEnd w:id="14"/>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15" w:name="_Toc106096537"/>
      <w:r>
        <w:rPr>
          <w:rStyle w:val="CharSectno"/>
        </w:rPr>
        <w:t>12</w:t>
      </w:r>
      <w:r>
        <w:rPr>
          <w:snapToGrid w:val="0"/>
        </w:rPr>
        <w:t>.</w:t>
      </w:r>
      <w:r>
        <w:rPr>
          <w:snapToGrid w:val="0"/>
        </w:rPr>
        <w:tab/>
        <w:t>Crossing the district of local government with transmission works</w:t>
      </w:r>
      <w:bookmarkEnd w:id="15"/>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lastRenderedPageBreak/>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16" w:name="_Toc106096538"/>
      <w:r>
        <w:rPr>
          <w:rStyle w:val="CharSectno"/>
        </w:rPr>
        <w:t>14</w:t>
      </w:r>
      <w:r>
        <w:rPr>
          <w:snapToGrid w:val="0"/>
        </w:rPr>
        <w:t>.</w:t>
      </w:r>
      <w:r>
        <w:rPr>
          <w:snapToGrid w:val="0"/>
        </w:rPr>
        <w:tab/>
        <w:t>Method of metering bulk supplies</w:t>
      </w:r>
      <w:bookmarkEnd w:id="16"/>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17" w:name="_Toc106096539"/>
      <w:r>
        <w:rPr>
          <w:rStyle w:val="CharSectno"/>
        </w:rPr>
        <w:t>18</w:t>
      </w:r>
      <w:r>
        <w:rPr>
          <w:snapToGrid w:val="0"/>
        </w:rPr>
        <w:t>.</w:t>
      </w:r>
      <w:r>
        <w:rPr>
          <w:snapToGrid w:val="0"/>
        </w:rPr>
        <w:tab/>
        <w:t>General powers</w:t>
      </w:r>
      <w:bookmarkEnd w:id="17"/>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lastRenderedPageBreak/>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w:t>
      </w:r>
      <w:r>
        <w:rPr>
          <w:snapToGrid w:val="0"/>
        </w:rPr>
        <w:lastRenderedPageBreak/>
        <w:t xml:space="preserve">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 xml:space="preserve">or shall not submit any plan for opening up or breaking up the same or shall refuse or fail to </w:t>
      </w:r>
      <w:r>
        <w:rPr>
          <w:snapToGrid w:val="0"/>
        </w:rPr>
        <w:lastRenderedPageBreak/>
        <w:t>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18" w:name="_Toc106096540"/>
      <w:r>
        <w:rPr>
          <w:rStyle w:val="CharSectno"/>
        </w:rPr>
        <w:t>19</w:t>
      </w:r>
      <w:r>
        <w:rPr>
          <w:snapToGrid w:val="0"/>
        </w:rPr>
        <w:t>.</w:t>
      </w:r>
      <w:r>
        <w:rPr>
          <w:snapToGrid w:val="0"/>
        </w:rPr>
        <w:tab/>
        <w:t>Supply authority to reinstate works of public authority</w:t>
      </w:r>
      <w:bookmarkEnd w:id="18"/>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 xml:space="preserve">keep any streets which have been broken up or disturbed in the course of the works carried out by the supply authority in good repair and condition for a period of 3 months after reinstating and making good any damage done to the same and for any further period, not </w:t>
      </w:r>
      <w:r>
        <w:rPr>
          <w:snapToGrid w:val="0"/>
        </w:rPr>
        <w:lastRenderedPageBreak/>
        <w:t>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19" w:name="_Toc106096541"/>
      <w:r>
        <w:rPr>
          <w:rStyle w:val="CharSectno"/>
        </w:rPr>
        <w:t>20</w:t>
      </w:r>
      <w:r>
        <w:rPr>
          <w:snapToGrid w:val="0"/>
        </w:rPr>
        <w:t>.</w:t>
      </w:r>
      <w:r>
        <w:rPr>
          <w:snapToGrid w:val="0"/>
        </w:rPr>
        <w:tab/>
        <w:t>Interference by supply authority with works of public authority or by public authority with works of supply authority</w:t>
      </w:r>
      <w:bookmarkEnd w:id="19"/>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 xml:space="preserve">The supply authority shall make or secure to the public authority affected such amount of compensation and expenses as may be reasonably necessary to compensate the public authority in respect of the alteration of the </w:t>
      </w:r>
      <w:r>
        <w:rPr>
          <w:snapToGrid w:val="0"/>
        </w:rPr>
        <w:lastRenderedPageBreak/>
        <w:t>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20" w:name="_Toc106096542"/>
      <w:r>
        <w:rPr>
          <w:rStyle w:val="CharSectno"/>
        </w:rPr>
        <w:t>21</w:t>
      </w:r>
      <w:r>
        <w:rPr>
          <w:snapToGrid w:val="0"/>
        </w:rPr>
        <w:t>.</w:t>
      </w:r>
      <w:r>
        <w:rPr>
          <w:snapToGrid w:val="0"/>
        </w:rPr>
        <w:tab/>
        <w:t>Supply authority may let meters and apparatus</w:t>
      </w:r>
      <w:bookmarkEnd w:id="20"/>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21" w:name="_Toc106096543"/>
      <w:r>
        <w:rPr>
          <w:rStyle w:val="CharSectno"/>
        </w:rPr>
        <w:t>22</w:t>
      </w:r>
      <w:r>
        <w:rPr>
          <w:snapToGrid w:val="0"/>
        </w:rPr>
        <w:t>.</w:t>
      </w:r>
      <w:r>
        <w:rPr>
          <w:snapToGrid w:val="0"/>
        </w:rPr>
        <w:tab/>
        <w:t>Power to contract to supply electricity</w:t>
      </w:r>
      <w:bookmarkEnd w:id="21"/>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lastRenderedPageBreak/>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22" w:name="_Toc106096544"/>
      <w:r>
        <w:rPr>
          <w:rStyle w:val="CharSectno"/>
        </w:rPr>
        <w:t>23</w:t>
      </w:r>
      <w:r>
        <w:rPr>
          <w:snapToGrid w:val="0"/>
        </w:rPr>
        <w:t>.</w:t>
      </w:r>
      <w:r>
        <w:rPr>
          <w:snapToGrid w:val="0"/>
        </w:rPr>
        <w:tab/>
        <w:t>Power to cut off supply in case of illegal or fraudulent interference with works</w:t>
      </w:r>
      <w:bookmarkEnd w:id="22"/>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23" w:name="_Toc106096545"/>
      <w:r>
        <w:rPr>
          <w:rStyle w:val="CharSectno"/>
        </w:rPr>
        <w:t>24</w:t>
      </w:r>
      <w:r>
        <w:rPr>
          <w:snapToGrid w:val="0"/>
        </w:rPr>
        <w:t>.</w:t>
      </w:r>
      <w:r>
        <w:rPr>
          <w:snapToGrid w:val="0"/>
        </w:rPr>
        <w:tab/>
        <w:t>Power of officer of supply authority to enter premises</w:t>
      </w:r>
      <w:bookmarkEnd w:id="23"/>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 xml:space="preserve">If the occupier or other person for the time being in charge of such place, building or premises shall request such officer so to do, he shall before making any entry as aforesaid produce to </w:t>
      </w:r>
      <w:r>
        <w:rPr>
          <w:snapToGrid w:val="0"/>
        </w:rPr>
        <w:lastRenderedPageBreak/>
        <w:t>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24" w:name="_Toc106096546"/>
      <w:r>
        <w:rPr>
          <w:rStyle w:val="CharSectno"/>
        </w:rPr>
        <w:t>25</w:t>
      </w:r>
      <w:r>
        <w:rPr>
          <w:snapToGrid w:val="0"/>
        </w:rPr>
        <w:t>.</w:t>
      </w:r>
      <w:r>
        <w:rPr>
          <w:snapToGrid w:val="0"/>
        </w:rPr>
        <w:tab/>
        <w:t>Duties as to supply of electricity</w:t>
      </w:r>
      <w:bookmarkEnd w:id="24"/>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lastRenderedPageBreak/>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25" w:name="_Toc106006019"/>
      <w:bookmarkStart w:id="26" w:name="_Toc106006094"/>
      <w:bookmarkStart w:id="27" w:name="_Toc106096547"/>
      <w:r>
        <w:rPr>
          <w:rStyle w:val="CharPartNo"/>
        </w:rPr>
        <w:lastRenderedPageBreak/>
        <w:t>Part IV</w:t>
      </w:r>
      <w:r>
        <w:rPr>
          <w:rStyle w:val="CharDivNo"/>
        </w:rPr>
        <w:t> </w:t>
      </w:r>
      <w:r>
        <w:t>—</w:t>
      </w:r>
      <w:r>
        <w:rPr>
          <w:rStyle w:val="CharDivText"/>
        </w:rPr>
        <w:t> </w:t>
      </w:r>
      <w:r>
        <w:rPr>
          <w:rStyle w:val="CharPartText"/>
        </w:rPr>
        <w:t>Regulations</w:t>
      </w:r>
      <w:bookmarkEnd w:id="25"/>
      <w:bookmarkEnd w:id="26"/>
      <w:bookmarkEnd w:id="27"/>
    </w:p>
    <w:p>
      <w:pPr>
        <w:pStyle w:val="Footnoteheading"/>
        <w:ind w:left="890"/>
        <w:rPr>
          <w:snapToGrid w:val="0"/>
        </w:rPr>
      </w:pPr>
      <w:r>
        <w:rPr>
          <w:snapToGrid w:val="0"/>
        </w:rPr>
        <w:tab/>
        <w:t>[Heading amended: No. 14 of 1996 s. 4.]</w:t>
      </w:r>
    </w:p>
    <w:p>
      <w:pPr>
        <w:pStyle w:val="Heading5"/>
        <w:rPr>
          <w:snapToGrid w:val="0"/>
        </w:rPr>
      </w:pPr>
      <w:bookmarkStart w:id="28" w:name="_Toc106096548"/>
      <w:r>
        <w:rPr>
          <w:rStyle w:val="CharSectno"/>
        </w:rPr>
        <w:t>32</w:t>
      </w:r>
      <w:r>
        <w:rPr>
          <w:snapToGrid w:val="0"/>
        </w:rPr>
        <w:t>.</w:t>
      </w:r>
      <w:r>
        <w:rPr>
          <w:snapToGrid w:val="0"/>
        </w:rPr>
        <w:tab/>
        <w:t>Regulations</w:t>
      </w:r>
      <w:bookmarkEnd w:id="28"/>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lastRenderedPageBreak/>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lastRenderedPageBreak/>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spacing w:before="60"/>
        <w:rPr>
          <w:snapToGrid w:val="0"/>
        </w:rPr>
      </w:pPr>
      <w:r>
        <w:rPr>
          <w:snapToGrid w:val="0"/>
        </w:rPr>
        <w:lastRenderedPageBreak/>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lastRenderedPageBreak/>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 xml:space="preserve">provide that where by reason of unavailability of materials or other reason that the Director considers valid any requirement imposed by the Director cannot be conformed to, the Director may dispense with that requirement and in lieu authorise in writing in any </w:t>
      </w:r>
      <w:r>
        <w:rPr>
          <w:snapToGrid w:val="0"/>
        </w:rPr>
        <w:lastRenderedPageBreak/>
        <w:t>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29" w:name="_Toc106096549"/>
      <w:r>
        <w:rPr>
          <w:rStyle w:val="CharSectno"/>
        </w:rPr>
        <w:t>33</w:t>
      </w:r>
      <w:r>
        <w:rPr>
          <w:snapToGrid w:val="0"/>
        </w:rPr>
        <w:t>.</w:t>
      </w:r>
      <w:r>
        <w:rPr>
          <w:snapToGrid w:val="0"/>
        </w:rPr>
        <w:tab/>
        <w:t>Annual reporting</w:t>
      </w:r>
      <w:bookmarkEnd w:id="29"/>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lastRenderedPageBreak/>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30" w:name="_Toc106096550"/>
      <w:r>
        <w:rPr>
          <w:rStyle w:val="CharSectno"/>
        </w:rPr>
        <w:t>33AA</w:t>
      </w:r>
      <w:r>
        <w:rPr>
          <w:snapToGrid w:val="0"/>
        </w:rPr>
        <w:t>.</w:t>
      </w:r>
      <w:r>
        <w:rPr>
          <w:snapToGrid w:val="0"/>
        </w:rPr>
        <w:tab/>
        <w:t>Guidelines</w:t>
      </w:r>
      <w:bookmarkEnd w:id="30"/>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31" w:name="_Toc106006023"/>
      <w:bookmarkStart w:id="32" w:name="_Toc106006098"/>
      <w:bookmarkStart w:id="33" w:name="_Toc106096551"/>
      <w:r>
        <w:rPr>
          <w:rStyle w:val="CharPartNo"/>
        </w:rPr>
        <w:lastRenderedPageBreak/>
        <w:t>Part IVA</w:t>
      </w:r>
      <w:r>
        <w:rPr>
          <w:rStyle w:val="CharDivNo"/>
        </w:rPr>
        <w:t> </w:t>
      </w:r>
      <w:r>
        <w:t>—</w:t>
      </w:r>
      <w:r>
        <w:rPr>
          <w:rStyle w:val="CharDivText"/>
        </w:rPr>
        <w:t> </w:t>
      </w:r>
      <w:r>
        <w:rPr>
          <w:rStyle w:val="CharPartText"/>
        </w:rPr>
        <w:t>Approval of electrical appliances</w:t>
      </w:r>
      <w:bookmarkEnd w:id="31"/>
      <w:bookmarkEnd w:id="32"/>
      <w:bookmarkEnd w:id="33"/>
    </w:p>
    <w:p>
      <w:pPr>
        <w:pStyle w:val="Footnoteheading"/>
        <w:ind w:left="890"/>
        <w:rPr>
          <w:snapToGrid w:val="0"/>
        </w:rPr>
      </w:pPr>
      <w:r>
        <w:rPr>
          <w:snapToGrid w:val="0"/>
        </w:rPr>
        <w:tab/>
        <w:t>[Heading inserted: No. 72 of 1953 s. 4.]</w:t>
      </w:r>
    </w:p>
    <w:p>
      <w:pPr>
        <w:pStyle w:val="Heading5"/>
        <w:rPr>
          <w:snapToGrid w:val="0"/>
        </w:rPr>
      </w:pPr>
      <w:bookmarkStart w:id="34" w:name="_Toc106096552"/>
      <w:r>
        <w:rPr>
          <w:rStyle w:val="CharSectno"/>
        </w:rPr>
        <w:t>33A</w:t>
      </w:r>
      <w:r>
        <w:rPr>
          <w:snapToGrid w:val="0"/>
        </w:rPr>
        <w:t>.</w:t>
      </w:r>
      <w:r>
        <w:rPr>
          <w:snapToGrid w:val="0"/>
        </w:rPr>
        <w:tab/>
        <w:t>Terms used</w:t>
      </w:r>
      <w:bookmarkEnd w:id="34"/>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35" w:name="_Toc106096553"/>
      <w:r>
        <w:rPr>
          <w:rStyle w:val="CharSectno"/>
        </w:rPr>
        <w:t>33B</w:t>
      </w:r>
      <w:r>
        <w:rPr>
          <w:snapToGrid w:val="0"/>
        </w:rPr>
        <w:t>.</w:t>
      </w:r>
      <w:r>
        <w:rPr>
          <w:snapToGrid w:val="0"/>
        </w:rPr>
        <w:tab/>
        <w:t>Power of Director to prescribe classes or types of electrical apparatus etc., which shall not be sold etc., unless approved by Director</w:t>
      </w:r>
      <w:bookmarkEnd w:id="35"/>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lastRenderedPageBreak/>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36" w:name="_Toc106096554"/>
      <w:r>
        <w:rPr>
          <w:rStyle w:val="CharSectno"/>
        </w:rPr>
        <w:t>33C</w:t>
      </w:r>
      <w:r>
        <w:rPr>
          <w:snapToGrid w:val="0"/>
        </w:rPr>
        <w:t>.</w:t>
      </w:r>
      <w:r>
        <w:rPr>
          <w:snapToGrid w:val="0"/>
        </w:rPr>
        <w:tab/>
        <w:t>Power of Director to prohibit sale etc. or use of unsafe or dangerous electrical apparatus etc.</w:t>
      </w:r>
      <w:bookmarkEnd w:id="36"/>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lastRenderedPageBreak/>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37" w:name="_Toc106096555"/>
      <w:r>
        <w:rPr>
          <w:rStyle w:val="CharSectno"/>
        </w:rPr>
        <w:t>33D</w:t>
      </w:r>
      <w:r>
        <w:rPr>
          <w:snapToGrid w:val="0"/>
        </w:rPr>
        <w:t>.</w:t>
      </w:r>
      <w:r>
        <w:rPr>
          <w:snapToGrid w:val="0"/>
        </w:rPr>
        <w:tab/>
        <w:t>Penalties</w:t>
      </w:r>
      <w:bookmarkEnd w:id="37"/>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38" w:name="_Toc106006028"/>
      <w:bookmarkStart w:id="39" w:name="_Toc106006103"/>
      <w:bookmarkStart w:id="40" w:name="_Toc106096556"/>
      <w:r>
        <w:rPr>
          <w:rStyle w:val="CharPartNo"/>
        </w:rPr>
        <w:lastRenderedPageBreak/>
        <w:t>Part IVB</w:t>
      </w:r>
      <w:r>
        <w:rPr>
          <w:rStyle w:val="CharDivNo"/>
        </w:rPr>
        <w:t> </w:t>
      </w:r>
      <w:r>
        <w:t>—</w:t>
      </w:r>
      <w:r>
        <w:rPr>
          <w:rStyle w:val="CharDivText"/>
        </w:rPr>
        <w:t> </w:t>
      </w:r>
      <w:r>
        <w:rPr>
          <w:rStyle w:val="CharPartText"/>
        </w:rPr>
        <w:t>Energy efficiency</w:t>
      </w:r>
      <w:bookmarkEnd w:id="38"/>
      <w:bookmarkEnd w:id="39"/>
      <w:bookmarkEnd w:id="40"/>
    </w:p>
    <w:p>
      <w:pPr>
        <w:pStyle w:val="Footnoteheading"/>
        <w:ind w:left="890"/>
        <w:rPr>
          <w:snapToGrid w:val="0"/>
        </w:rPr>
      </w:pPr>
      <w:r>
        <w:rPr>
          <w:snapToGrid w:val="0"/>
        </w:rPr>
        <w:tab/>
        <w:t>[Heading inserted: No. 63 of 1996 s. 13.]</w:t>
      </w:r>
    </w:p>
    <w:p>
      <w:pPr>
        <w:pStyle w:val="Heading5"/>
        <w:rPr>
          <w:snapToGrid w:val="0"/>
        </w:rPr>
      </w:pPr>
      <w:bookmarkStart w:id="41" w:name="_Toc106096557"/>
      <w:r>
        <w:rPr>
          <w:rStyle w:val="CharSectno"/>
        </w:rPr>
        <w:t>33E</w:t>
      </w:r>
      <w:r>
        <w:rPr>
          <w:snapToGrid w:val="0"/>
        </w:rPr>
        <w:t>.</w:t>
      </w:r>
      <w:r>
        <w:rPr>
          <w:snapToGrid w:val="0"/>
        </w:rPr>
        <w:tab/>
        <w:t>Energy efficiency standards</w:t>
      </w:r>
      <w:bookmarkEnd w:id="41"/>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lastRenderedPageBreak/>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42" w:name="_Toc106096558"/>
      <w:r>
        <w:rPr>
          <w:rStyle w:val="CharSectno"/>
        </w:rPr>
        <w:lastRenderedPageBreak/>
        <w:t>33F</w:t>
      </w:r>
      <w:r>
        <w:rPr>
          <w:snapToGrid w:val="0"/>
        </w:rPr>
        <w:t>.</w:t>
      </w:r>
      <w:r>
        <w:rPr>
          <w:snapToGrid w:val="0"/>
        </w:rPr>
        <w:tab/>
        <w:t>Offences related to energy efficiency labelling</w:t>
      </w:r>
      <w:bookmarkEnd w:id="42"/>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43" w:name="_Toc106006031"/>
      <w:bookmarkStart w:id="44" w:name="_Toc106006106"/>
      <w:bookmarkStart w:id="45" w:name="_Toc106096559"/>
      <w:r>
        <w:rPr>
          <w:rStyle w:val="CharPartNo"/>
        </w:rPr>
        <w:lastRenderedPageBreak/>
        <w:t>Part V</w:t>
      </w:r>
      <w:r>
        <w:rPr>
          <w:rStyle w:val="CharDivNo"/>
        </w:rPr>
        <w:t> </w:t>
      </w:r>
      <w:r>
        <w:t>—</w:t>
      </w:r>
      <w:r>
        <w:rPr>
          <w:rStyle w:val="CharDivText"/>
        </w:rPr>
        <w:t> </w:t>
      </w:r>
      <w:r>
        <w:rPr>
          <w:rStyle w:val="CharPartText"/>
        </w:rPr>
        <w:t>Miscellaneous</w:t>
      </w:r>
      <w:bookmarkEnd w:id="43"/>
      <w:bookmarkEnd w:id="44"/>
      <w:bookmarkEnd w:id="45"/>
    </w:p>
    <w:p>
      <w:pPr>
        <w:pStyle w:val="Heading5"/>
        <w:rPr>
          <w:snapToGrid w:val="0"/>
        </w:rPr>
      </w:pPr>
      <w:bookmarkStart w:id="46" w:name="_Toc106096560"/>
      <w:r>
        <w:rPr>
          <w:rStyle w:val="CharSectno"/>
        </w:rPr>
        <w:t>34</w:t>
      </w:r>
      <w:r>
        <w:rPr>
          <w:snapToGrid w:val="0"/>
        </w:rPr>
        <w:t>.</w:t>
      </w:r>
      <w:r>
        <w:rPr>
          <w:snapToGrid w:val="0"/>
        </w:rPr>
        <w:tab/>
        <w:t>Service apparatus etc. of supply authority not subject to seizure etc.</w:t>
      </w:r>
      <w:bookmarkEnd w:id="46"/>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47" w:name="_Toc106096561"/>
      <w:r>
        <w:rPr>
          <w:rStyle w:val="CharSectno"/>
        </w:rPr>
        <w:t>35</w:t>
      </w:r>
      <w:r>
        <w:rPr>
          <w:snapToGrid w:val="0"/>
        </w:rPr>
        <w:t>.</w:t>
      </w:r>
      <w:r>
        <w:rPr>
          <w:snapToGrid w:val="0"/>
        </w:rPr>
        <w:tab/>
        <w:t>Power to cut off supply</w:t>
      </w:r>
      <w:bookmarkEnd w:id="47"/>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48" w:name="_Toc106096562"/>
      <w:r>
        <w:rPr>
          <w:rStyle w:val="CharSectno"/>
        </w:rPr>
        <w:t>36</w:t>
      </w:r>
      <w:r>
        <w:rPr>
          <w:snapToGrid w:val="0"/>
        </w:rPr>
        <w:t>.</w:t>
      </w:r>
      <w:r>
        <w:rPr>
          <w:snapToGrid w:val="0"/>
        </w:rPr>
        <w:tab/>
        <w:t>Powers where electricity wasted or misused</w:t>
      </w:r>
      <w:bookmarkEnd w:id="48"/>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 xml:space="preserve">disconnect such electric line and discontinue the supply of electricity to the consumer during such time as the </w:t>
      </w:r>
      <w:r>
        <w:rPr>
          <w:snapToGrid w:val="0"/>
        </w:rPr>
        <w:lastRenderedPageBreak/>
        <w:t>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49" w:name="_Toc106096563"/>
      <w:r>
        <w:rPr>
          <w:rStyle w:val="CharSectno"/>
        </w:rPr>
        <w:t>37</w:t>
      </w:r>
      <w:r>
        <w:rPr>
          <w:snapToGrid w:val="0"/>
        </w:rPr>
        <w:t>.</w:t>
      </w:r>
      <w:r>
        <w:rPr>
          <w:snapToGrid w:val="0"/>
        </w:rPr>
        <w:tab/>
        <w:t>Power to remove appliances</w:t>
      </w:r>
      <w:bookmarkEnd w:id="49"/>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50" w:name="_Toc106096564"/>
      <w:r>
        <w:rPr>
          <w:rStyle w:val="CharSectno"/>
        </w:rPr>
        <w:lastRenderedPageBreak/>
        <w:t>38</w:t>
      </w:r>
      <w:r>
        <w:rPr>
          <w:snapToGrid w:val="0"/>
        </w:rPr>
        <w:t>.</w:t>
      </w:r>
      <w:r>
        <w:rPr>
          <w:snapToGrid w:val="0"/>
        </w:rPr>
        <w:tab/>
        <w:t>Incoming tenant must be supplied although outgoing tenant in arrears</w:t>
      </w:r>
      <w:bookmarkEnd w:id="50"/>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51" w:name="_Toc106096565"/>
      <w:r>
        <w:rPr>
          <w:rStyle w:val="CharSectno"/>
        </w:rPr>
        <w:t>39</w:t>
      </w:r>
      <w:r>
        <w:rPr>
          <w:snapToGrid w:val="0"/>
        </w:rPr>
        <w:t>.</w:t>
      </w:r>
      <w:r>
        <w:rPr>
          <w:snapToGrid w:val="0"/>
        </w:rPr>
        <w:tab/>
        <w:t>Supply authority to keep meter in order</w:t>
      </w:r>
      <w:bookmarkEnd w:id="51"/>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52" w:name="_Toc106096566"/>
      <w:r>
        <w:rPr>
          <w:rStyle w:val="CharSectno"/>
        </w:rPr>
        <w:t>40</w:t>
      </w:r>
      <w:r>
        <w:rPr>
          <w:snapToGrid w:val="0"/>
        </w:rPr>
        <w:t>.</w:t>
      </w:r>
      <w:r>
        <w:rPr>
          <w:snapToGrid w:val="0"/>
        </w:rPr>
        <w:tab/>
        <w:t>Control of meters and fittings</w:t>
      </w:r>
      <w:bookmarkEnd w:id="52"/>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lastRenderedPageBreak/>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53" w:name="_Toc106096567"/>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53"/>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 xml:space="preserve">Subject to subsection (4) a consumer shall, upon payment of the prescribed testing fee, be entitled to demand a test of any meter or other device used for ascertaining the quantity of electricity </w:t>
      </w:r>
      <w:r>
        <w:rPr>
          <w:snapToGrid w:val="0"/>
        </w:rPr>
        <w:lastRenderedPageBreak/>
        <w:t>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54" w:name="_Toc106096568"/>
      <w:r>
        <w:rPr>
          <w:rStyle w:val="CharSectno"/>
        </w:rPr>
        <w:lastRenderedPageBreak/>
        <w:t>42</w:t>
      </w:r>
      <w:r>
        <w:t>.</w:t>
      </w:r>
      <w:r>
        <w:tab/>
        <w:t>Apparatus</w:t>
      </w:r>
      <w:bookmarkEnd w:id="54"/>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55" w:name="_Toc106096569"/>
      <w:r>
        <w:rPr>
          <w:rStyle w:val="CharSectno"/>
        </w:rPr>
        <w:t>43</w:t>
      </w:r>
      <w:r>
        <w:rPr>
          <w:snapToGrid w:val="0"/>
        </w:rPr>
        <w:t>.</w:t>
      </w:r>
      <w:r>
        <w:rPr>
          <w:snapToGrid w:val="0"/>
        </w:rPr>
        <w:tab/>
        <w:t>Uniform charges and zoning</w:t>
      </w:r>
      <w:bookmarkEnd w:id="55"/>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 xml:space="preserve">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w:t>
      </w:r>
      <w:r>
        <w:rPr>
          <w:snapToGrid w:val="0"/>
        </w:rPr>
        <w:lastRenderedPageBreak/>
        <w:t>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56" w:name="_Toc106096570"/>
      <w:r>
        <w:rPr>
          <w:rStyle w:val="CharSectno"/>
        </w:rPr>
        <w:t>44</w:t>
      </w:r>
      <w:r>
        <w:rPr>
          <w:snapToGrid w:val="0"/>
        </w:rPr>
        <w:t>.</w:t>
      </w:r>
      <w:r>
        <w:rPr>
          <w:snapToGrid w:val="0"/>
        </w:rPr>
        <w:tab/>
        <w:t>Obligation to supply</w:t>
      </w:r>
      <w:bookmarkEnd w:id="56"/>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57" w:name="_Toc106096571"/>
      <w:r>
        <w:rPr>
          <w:rStyle w:val="CharSectno"/>
        </w:rPr>
        <w:t>45</w:t>
      </w:r>
      <w:r>
        <w:rPr>
          <w:snapToGrid w:val="0"/>
        </w:rPr>
        <w:t>.</w:t>
      </w:r>
      <w:r>
        <w:rPr>
          <w:snapToGrid w:val="0"/>
        </w:rPr>
        <w:tab/>
        <w:t>Compensation, damages etc.</w:t>
      </w:r>
      <w:bookmarkEnd w:id="57"/>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58" w:name="_Toc106096572"/>
      <w:r>
        <w:rPr>
          <w:rStyle w:val="CharSectno"/>
        </w:rPr>
        <w:t>47</w:t>
      </w:r>
      <w:r>
        <w:rPr>
          <w:snapToGrid w:val="0"/>
        </w:rPr>
        <w:t>.</w:t>
      </w:r>
      <w:r>
        <w:rPr>
          <w:snapToGrid w:val="0"/>
        </w:rPr>
        <w:tab/>
        <w:t>Illegal interference with works etc.</w:t>
      </w:r>
      <w:bookmarkEnd w:id="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lastRenderedPageBreak/>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59" w:name="_Toc106096573"/>
      <w:r>
        <w:rPr>
          <w:rStyle w:val="CharSectno"/>
        </w:rPr>
        <w:t>48</w:t>
      </w:r>
      <w:r>
        <w:rPr>
          <w:snapToGrid w:val="0"/>
        </w:rPr>
        <w:t>.</w:t>
      </w:r>
      <w:r>
        <w:rPr>
          <w:snapToGrid w:val="0"/>
        </w:rPr>
        <w:tab/>
        <w:t>Obtaining supply under false name</w:t>
      </w:r>
      <w:bookmarkEnd w:id="59"/>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60" w:name="_Toc106096574"/>
      <w:r>
        <w:rPr>
          <w:rStyle w:val="CharSectno"/>
        </w:rPr>
        <w:t>49</w:t>
      </w:r>
      <w:r>
        <w:rPr>
          <w:snapToGrid w:val="0"/>
        </w:rPr>
        <w:t>.</w:t>
      </w:r>
      <w:r>
        <w:rPr>
          <w:snapToGrid w:val="0"/>
        </w:rPr>
        <w:tab/>
        <w:t>Unauthorised use</w:t>
      </w:r>
      <w:bookmarkEnd w:id="60"/>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lastRenderedPageBreak/>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61" w:name="_Toc106096575"/>
      <w:r>
        <w:rPr>
          <w:rStyle w:val="CharSectno"/>
        </w:rPr>
        <w:t>50</w:t>
      </w:r>
      <w:r>
        <w:rPr>
          <w:snapToGrid w:val="0"/>
        </w:rPr>
        <w:t>.</w:t>
      </w:r>
      <w:r>
        <w:rPr>
          <w:snapToGrid w:val="0"/>
        </w:rPr>
        <w:tab/>
        <w:t>Alteration of meter</w:t>
      </w:r>
      <w:bookmarkEnd w:id="61"/>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 xml:space="preserve">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w:t>
      </w:r>
      <w:r>
        <w:rPr>
          <w:snapToGrid w:val="0"/>
        </w:rPr>
        <w:lastRenderedPageBreak/>
        <w:t>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62" w:name="_Toc106096576"/>
      <w:r>
        <w:rPr>
          <w:rStyle w:val="CharSectno"/>
        </w:rPr>
        <w:t>51</w:t>
      </w:r>
      <w:r>
        <w:rPr>
          <w:snapToGrid w:val="0"/>
        </w:rPr>
        <w:t>.</w:t>
      </w:r>
      <w:r>
        <w:rPr>
          <w:snapToGrid w:val="0"/>
        </w:rPr>
        <w:tab/>
        <w:t>Summary remedy for damage to electric works</w:t>
      </w:r>
      <w:bookmarkEnd w:id="62"/>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63" w:name="_Toc106096577"/>
      <w:r>
        <w:rPr>
          <w:rStyle w:val="CharSectno"/>
        </w:rPr>
        <w:lastRenderedPageBreak/>
        <w:t>52</w:t>
      </w:r>
      <w:r>
        <w:rPr>
          <w:snapToGrid w:val="0"/>
        </w:rPr>
        <w:t>.</w:t>
      </w:r>
      <w:r>
        <w:rPr>
          <w:snapToGrid w:val="0"/>
        </w:rPr>
        <w:tab/>
        <w:t>General penalty</w:t>
      </w:r>
      <w:bookmarkEnd w:id="63"/>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64" w:name="_Toc106096578"/>
      <w:r>
        <w:rPr>
          <w:rStyle w:val="CharSectno"/>
        </w:rPr>
        <w:t>53</w:t>
      </w:r>
      <w:r>
        <w:t>.</w:t>
      </w:r>
      <w:r>
        <w:tab/>
        <w:t>Limitation period for offences</w:t>
      </w:r>
      <w:bookmarkEnd w:id="6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5" w:name="_Toc106006051"/>
      <w:bookmarkStart w:id="66" w:name="_Toc106006126"/>
      <w:bookmarkStart w:id="67" w:name="_Toc106096579"/>
      <w:r>
        <w:lastRenderedPageBreak/>
        <w:t>Notes</w:t>
      </w:r>
      <w:bookmarkEnd w:id="65"/>
      <w:bookmarkEnd w:id="66"/>
      <w:bookmarkEnd w:id="67"/>
    </w:p>
    <w:p>
      <w:pPr>
        <w:pStyle w:val="nStatement"/>
      </w:pPr>
      <w:r>
        <w:t xml:space="preserve">This is a compilation of the </w:t>
      </w:r>
      <w:r>
        <w:rPr>
          <w:i/>
          <w:noProof/>
        </w:rPr>
        <w:t>Electricity Act 1945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 w:name="_Toc106096580"/>
      <w:r>
        <w:t>Compilation table</w:t>
      </w:r>
      <w:bookmarkEnd w:id="68"/>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lastRenderedPageBreak/>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lastRenderedPageBreak/>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Borders>
              <w:bottom w:val="single" w:sz="8" w:space="0" w:color="auto"/>
            </w:tcBorders>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bl>
    <w:p>
      <w:pPr>
        <w:pStyle w:val="nHeading3"/>
      </w:pPr>
      <w:bookmarkStart w:id="69" w:name="_Toc106096581"/>
      <w:r>
        <w:lastRenderedPageBreak/>
        <w:t>Uncommenced provisions table</w:t>
      </w:r>
      <w:bookmarkEnd w:id="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Mutual Recognition (Western Australia) Amendment Act 2022 </w:t>
            </w:r>
            <w:r>
              <w:t>Pt. 3 Div. 4</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1 Jul 2022 (see s. 2(b) and SL 2022/80 cl. 2)</w:t>
            </w:r>
          </w:p>
        </w:tc>
      </w:tr>
    </w:tbl>
    <w:p>
      <w:pPr>
        <w:pStyle w:val="nHeading3"/>
      </w:pPr>
      <w:bookmarkStart w:id="70" w:name="_Toc106096582"/>
      <w:r>
        <w:t>Other notes</w:t>
      </w:r>
      <w:bookmarkEnd w:id="70"/>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72" w:name="_Toc106006055"/>
      <w:bookmarkStart w:id="73" w:name="_Toc106006130"/>
      <w:bookmarkStart w:id="74" w:name="_Toc106096583"/>
      <w:r>
        <w:rPr>
          <w:sz w:val="28"/>
        </w:rPr>
        <w:lastRenderedPageBreak/>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106"/>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77D8-6FB9-4938-9DFD-27C1A42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12947</Words>
  <Characters>61889</Characters>
  <Application>Microsoft Office Word</Application>
  <DocSecurity>0</DocSecurity>
  <Lines>1672</Lines>
  <Paragraphs>771</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1945 - 08-b0-01</dc:title>
  <dc:subject/>
  <dc:creator/>
  <cp:keywords/>
  <dc:description/>
  <cp:lastModifiedBy>Master Repository Process</cp:lastModifiedBy>
  <cp:revision>4</cp:revision>
  <cp:lastPrinted>2013-12-19T00:08:00Z</cp:lastPrinted>
  <dcterms:created xsi:type="dcterms:W3CDTF">2022-06-17T02:47:00Z</dcterms:created>
  <dcterms:modified xsi:type="dcterms:W3CDTF">2022-06-17T02:47:00Z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AsAtDate">
    <vt:lpwstr>29 Mar 2022</vt:lpwstr>
  </property>
  <property fmtid="{D5CDD505-2E9C-101B-9397-08002B2CF9AE}" pid="8" name="Suffix">
    <vt:lpwstr>08-b0-01</vt:lpwstr>
  </property>
  <property fmtid="{D5CDD505-2E9C-101B-9397-08002B2CF9AE}" pid="9" name="CommencementDate">
    <vt:lpwstr>20220329</vt:lpwstr>
  </property>
</Properties>
</file>