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Wittenoom Closure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Wittenoom Closure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_Toc99522284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_Toc99522285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_Toc99522286 \h </w:instrText>
      </w:r>
      <w:r>
        <w:fldChar w:fldCharType="separate"/>
      </w:r>
      <w:r>
        <w:t>2</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_Toc99522287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_Toc99522288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Compulsory acquisition of Wittenoom land</w:t>
      </w:r>
    </w:p>
    <w:p>
      <w:pPr>
        <w:pStyle w:val="TOC8"/>
        <w:rPr>
          <w:rFonts w:asciiTheme="minorHAnsi" w:eastAsiaTheme="minorEastAsia" w:hAnsiTheme="minorHAnsi" w:cstheme="minorBidi"/>
          <w:szCs w:val="22"/>
        </w:rPr>
      </w:pPr>
      <w:r>
        <w:t>6.</w:t>
      </w:r>
      <w:r>
        <w:tab/>
        <w:t>Wittenoom land may be taken under LA Act Pt. 9</w:t>
      </w:r>
      <w:r>
        <w:tab/>
      </w:r>
      <w:r>
        <w:fldChar w:fldCharType="begin"/>
      </w:r>
      <w:r>
        <w:instrText xml:space="preserve"> PAGEREF _Toc99522290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of LA Act Pt. 9</w:t>
      </w:r>
      <w:r>
        <w:tab/>
      </w:r>
      <w:r>
        <w:fldChar w:fldCharType="begin"/>
      </w:r>
      <w:r>
        <w:instrText xml:space="preserve"> PAGEREF _Toc99522291 \h </w:instrText>
      </w:r>
      <w:r>
        <w:fldChar w:fldCharType="separate"/>
      </w:r>
      <w:r>
        <w:t>4</w:t>
      </w:r>
      <w:r>
        <w:fldChar w:fldCharType="end"/>
      </w:r>
    </w:p>
    <w:p>
      <w:pPr>
        <w:pStyle w:val="TOC8"/>
        <w:rPr>
          <w:rFonts w:asciiTheme="minorHAnsi" w:eastAsiaTheme="minorEastAsia" w:hAnsiTheme="minorHAnsi" w:cstheme="minorBidi"/>
          <w:szCs w:val="22"/>
        </w:rPr>
      </w:pPr>
      <w:r>
        <w:t>8.</w:t>
      </w:r>
      <w:r>
        <w:tab/>
        <w:t>Notice of intention in relation to Wittenoom land</w:t>
      </w:r>
      <w:r>
        <w:tab/>
      </w:r>
      <w:r>
        <w:fldChar w:fldCharType="begin"/>
      </w:r>
      <w:r>
        <w:instrText xml:space="preserve"> PAGEREF _Toc99522292 \h </w:instrText>
      </w:r>
      <w:r>
        <w:fldChar w:fldCharType="separate"/>
      </w:r>
      <w:r>
        <w:t>5</w:t>
      </w:r>
      <w:r>
        <w:fldChar w:fldCharType="end"/>
      </w:r>
    </w:p>
    <w:p>
      <w:pPr>
        <w:pStyle w:val="TOC8"/>
        <w:rPr>
          <w:rFonts w:asciiTheme="minorHAnsi" w:eastAsiaTheme="minorEastAsia" w:hAnsiTheme="minorHAnsi" w:cstheme="minorBidi"/>
          <w:szCs w:val="22"/>
        </w:rPr>
      </w:pPr>
      <w:r>
        <w:t>9.</w:t>
      </w:r>
      <w:r>
        <w:tab/>
        <w:t>Taking order in relation to Wittenoom land</w:t>
      </w:r>
      <w:r>
        <w:tab/>
      </w:r>
      <w:r>
        <w:fldChar w:fldCharType="begin"/>
      </w:r>
      <w:r>
        <w:instrText xml:space="preserve"> PAGEREF _Toc99522293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Disclosure under </w:t>
      </w:r>
      <w:r>
        <w:rPr>
          <w:i/>
        </w:rPr>
        <w:t>Contaminated Sites Act 2003</w:t>
      </w:r>
      <w:r>
        <w:t xml:space="preserve"> s. 68 not required</w:t>
      </w:r>
      <w:r>
        <w:tab/>
      </w:r>
      <w:r>
        <w:fldChar w:fldCharType="begin"/>
      </w:r>
      <w:r>
        <w:instrText xml:space="preserve"> PAGEREF _Toc99522294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Compensation</w:t>
      </w:r>
    </w:p>
    <w:p>
      <w:pPr>
        <w:pStyle w:val="TOC8"/>
        <w:rPr>
          <w:rFonts w:asciiTheme="minorHAnsi" w:eastAsiaTheme="minorEastAsia" w:hAnsiTheme="minorHAnsi" w:cstheme="minorBidi"/>
          <w:szCs w:val="22"/>
        </w:rPr>
      </w:pPr>
      <w:r>
        <w:t>11.</w:t>
      </w:r>
      <w:r>
        <w:tab/>
        <w:t>No compensation except as provided in this Part</w:t>
      </w:r>
      <w:r>
        <w:tab/>
      </w:r>
      <w:r>
        <w:fldChar w:fldCharType="begin"/>
      </w:r>
      <w:r>
        <w:instrText xml:space="preserve"> PAGEREF _Toc99522296 \h </w:instrText>
      </w:r>
      <w:r>
        <w:fldChar w:fldCharType="separate"/>
      </w:r>
      <w:r>
        <w:t>7</w:t>
      </w:r>
      <w:r>
        <w:fldChar w:fldCharType="end"/>
      </w:r>
    </w:p>
    <w:p>
      <w:pPr>
        <w:pStyle w:val="TOC8"/>
        <w:rPr>
          <w:rFonts w:asciiTheme="minorHAnsi" w:eastAsiaTheme="minorEastAsia" w:hAnsiTheme="minorHAnsi" w:cstheme="minorBidi"/>
          <w:szCs w:val="22"/>
        </w:rPr>
      </w:pPr>
      <w:r>
        <w:t>12.</w:t>
      </w:r>
      <w:r>
        <w:tab/>
        <w:t>Compensation for fee simple in Wittenoom land</w:t>
      </w:r>
      <w:r>
        <w:tab/>
      </w:r>
      <w:r>
        <w:fldChar w:fldCharType="begin"/>
      </w:r>
      <w:r>
        <w:instrText xml:space="preserve"> PAGEREF _Toc99522297 \h </w:instrText>
      </w:r>
      <w:r>
        <w:fldChar w:fldCharType="separate"/>
      </w:r>
      <w:r>
        <w:t>7</w:t>
      </w:r>
      <w:r>
        <w:fldChar w:fldCharType="end"/>
      </w:r>
    </w:p>
    <w:p>
      <w:pPr>
        <w:pStyle w:val="TOC8"/>
        <w:rPr>
          <w:rFonts w:asciiTheme="minorHAnsi" w:eastAsiaTheme="minorEastAsia" w:hAnsiTheme="minorHAnsi" w:cstheme="minorBidi"/>
          <w:szCs w:val="22"/>
        </w:rPr>
      </w:pPr>
      <w:r>
        <w:t>13.</w:t>
      </w:r>
      <w:r>
        <w:tab/>
        <w:t>Apportionment of rates and taxes</w:t>
      </w:r>
      <w:r>
        <w:tab/>
      </w:r>
      <w:r>
        <w:fldChar w:fldCharType="begin"/>
      </w:r>
      <w:r>
        <w:instrText xml:space="preserve"> PAGEREF _Toc99522298 \h </w:instrText>
      </w:r>
      <w:r>
        <w:fldChar w:fldCharType="separate"/>
      </w:r>
      <w:r>
        <w:t>7</w:t>
      </w:r>
      <w:r>
        <w:fldChar w:fldCharType="end"/>
      </w:r>
    </w:p>
    <w:p>
      <w:pPr>
        <w:pStyle w:val="TOC8"/>
        <w:rPr>
          <w:rFonts w:asciiTheme="minorHAnsi" w:eastAsiaTheme="minorEastAsia" w:hAnsiTheme="minorHAnsi" w:cstheme="minorBidi"/>
          <w:szCs w:val="22"/>
        </w:rPr>
      </w:pPr>
      <w:r>
        <w:t>14.</w:t>
      </w:r>
      <w:r>
        <w:tab/>
        <w:t>Payment of compensation</w:t>
      </w:r>
      <w:r>
        <w:tab/>
      </w:r>
      <w:r>
        <w:fldChar w:fldCharType="begin"/>
      </w:r>
      <w:r>
        <w:instrText xml:space="preserve"> PAGEREF _Toc99522299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Wittenoom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_Toc99522302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Wittenoom Closure Act 2022</w:t>
      </w:r>
    </w:p>
    <w:p>
      <w:pPr>
        <w:pStyle w:val="LongTitle"/>
      </w:pPr>
      <w:bookmarkStart w:id="3" w:name="BillCited"/>
      <w:bookmarkEnd w:id="3"/>
      <w:r>
        <w:t>An Act to facilitate the closure of the former townsite of Wittenoom by providing for the compulsory acquisition of land,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9464276"/>
      <w:bookmarkStart w:id="5" w:name="_Toc99464309"/>
      <w:bookmarkStart w:id="6" w:name="_Toc99464388"/>
      <w:bookmarkStart w:id="7" w:name="_Toc99466546"/>
      <w:bookmarkStart w:id="8" w:name="_Toc9952228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99522284"/>
      <w:r>
        <w:rPr>
          <w:rStyle w:val="CharSectno"/>
        </w:rPr>
        <w:t>1</w:t>
      </w:r>
      <w:r>
        <w:t>.</w:t>
      </w:r>
      <w:r>
        <w:tab/>
        <w:t>Short title</w:t>
      </w:r>
      <w:bookmarkEnd w:id="9"/>
    </w:p>
    <w:p>
      <w:pPr>
        <w:pStyle w:val="Subsection"/>
      </w:pPr>
      <w:r>
        <w:tab/>
      </w:r>
      <w:r>
        <w:tab/>
        <w:t>This is the</w:t>
      </w:r>
      <w:r>
        <w:rPr>
          <w:i/>
        </w:rPr>
        <w:t xml:space="preserve"> Wittenoom Closure Act 2022</w:t>
      </w:r>
      <w:r>
        <w:t>.</w:t>
      </w:r>
    </w:p>
    <w:p>
      <w:pPr>
        <w:pStyle w:val="Heading5"/>
      </w:pPr>
      <w:bookmarkStart w:id="10" w:name="_Toc99522285"/>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1" w:name="_Toc99522286"/>
      <w:r>
        <w:rPr>
          <w:rStyle w:val="CharSectno"/>
        </w:rPr>
        <w:t>3</w:t>
      </w:r>
      <w:r>
        <w:t>.</w:t>
      </w:r>
      <w:r>
        <w:tab/>
        <w:t>Terms used</w:t>
      </w:r>
      <w:bookmarkEnd w:id="11"/>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2" w:name="_Toc99522287"/>
      <w:r>
        <w:rPr>
          <w:rStyle w:val="CharSectno"/>
        </w:rPr>
        <w:t>4</w:t>
      </w:r>
      <w:r>
        <w:t>.</w:t>
      </w:r>
      <w:r>
        <w:tab/>
        <w:t>Purpose of Act</w:t>
      </w:r>
      <w:bookmarkEnd w:id="12"/>
    </w:p>
    <w:p>
      <w:pPr>
        <w:pStyle w:val="Subsection"/>
      </w:pPr>
      <w:r>
        <w:tab/>
        <w:t>(1)</w:t>
      </w:r>
      <w:r>
        <w:tab/>
        <w:t>The purpose of this Act is to facilitate the closure of the former townsite of Wittenoom.</w:t>
      </w:r>
    </w:p>
    <w:p>
      <w:pPr>
        <w:pStyle w:val="Subsection"/>
      </w:pPr>
      <w:r>
        <w:lastRenderedPageBreak/>
        <w:tab/>
        <w:t>(2)</w:t>
      </w:r>
      <w:r>
        <w:tab/>
        <w:t>The purpose is to be achieved by providing for land to be compulsorily acquired under the LA Act Part 9.</w:t>
      </w:r>
    </w:p>
    <w:p>
      <w:pPr>
        <w:pStyle w:val="Heading5"/>
      </w:pPr>
      <w:bookmarkStart w:id="13" w:name="_Toc99522288"/>
      <w:r>
        <w:rPr>
          <w:rStyle w:val="CharSectno"/>
        </w:rPr>
        <w:t>5</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2"/>
      </w:pPr>
      <w:bookmarkStart w:id="14" w:name="_Toc99464282"/>
      <w:bookmarkStart w:id="15" w:name="_Toc99464315"/>
      <w:bookmarkStart w:id="16" w:name="_Toc99464394"/>
      <w:bookmarkStart w:id="17" w:name="_Toc99466552"/>
      <w:bookmarkStart w:id="18" w:name="_Toc99522289"/>
      <w:r>
        <w:rPr>
          <w:rStyle w:val="CharPartNo"/>
        </w:rPr>
        <w:lastRenderedPageBreak/>
        <w:t>Part 2</w:t>
      </w:r>
      <w:r>
        <w:rPr>
          <w:rStyle w:val="CharDivNo"/>
        </w:rPr>
        <w:t> </w:t>
      </w:r>
      <w:r>
        <w:t>—</w:t>
      </w:r>
      <w:r>
        <w:rPr>
          <w:rStyle w:val="CharDivText"/>
        </w:rPr>
        <w:t> </w:t>
      </w:r>
      <w:r>
        <w:rPr>
          <w:rStyle w:val="CharPartText"/>
        </w:rPr>
        <w:t>Compulsory acquisition of Wittenoom land</w:t>
      </w:r>
      <w:bookmarkEnd w:id="14"/>
      <w:bookmarkEnd w:id="15"/>
      <w:bookmarkEnd w:id="16"/>
      <w:bookmarkEnd w:id="17"/>
      <w:bookmarkEnd w:id="18"/>
    </w:p>
    <w:p>
      <w:pPr>
        <w:pStyle w:val="Heading5"/>
      </w:pPr>
      <w:bookmarkStart w:id="19" w:name="_Toc99522290"/>
      <w:r>
        <w:rPr>
          <w:rStyle w:val="CharSectno"/>
        </w:rPr>
        <w:t>6</w:t>
      </w:r>
      <w:r>
        <w:t>.</w:t>
      </w:r>
      <w:r>
        <w:tab/>
        <w:t>Wittenoom land may be taken under LA Act Pt. 9</w:t>
      </w:r>
      <w:bookmarkEnd w:id="19"/>
    </w:p>
    <w:p>
      <w:pPr>
        <w:pStyle w:val="Subsection"/>
      </w:pPr>
      <w:r>
        <w:tab/>
        <w:t>(1)</w:t>
      </w:r>
      <w:r>
        <w:tab/>
        <w:t>Wittenoom land may be taken under the LA Act Part 9 for the purposes of this Act as if for a public work as defined in the LA Act section 151(1).</w:t>
      </w:r>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Heading5"/>
      </w:pPr>
      <w:bookmarkStart w:id="20" w:name="_Toc99522291"/>
      <w:r>
        <w:rPr>
          <w:rStyle w:val="CharSectno"/>
        </w:rPr>
        <w:t>7</w:t>
      </w:r>
      <w:r>
        <w:t>.</w:t>
      </w:r>
      <w:r>
        <w:tab/>
        <w:t>Application of LA Act Pt. 9</w:t>
      </w:r>
      <w:bookmarkEnd w:id="20"/>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 xml:space="preserve">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t>
      </w:r>
      <w:r>
        <w:lastRenderedPageBreak/>
        <w:t>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21" w:name="_Toc99522292"/>
      <w:r>
        <w:rPr>
          <w:rStyle w:val="CharSectno"/>
        </w:rPr>
        <w:t>8</w:t>
      </w:r>
      <w:r>
        <w:t>.</w:t>
      </w:r>
      <w:r>
        <w:tab/>
        <w:t>Notice of intention in relation to Wittenoom land</w:t>
      </w:r>
      <w:bookmarkEnd w:id="21"/>
    </w:p>
    <w:p>
      <w:pPr>
        <w:pStyle w:val="Subsection"/>
      </w:pPr>
      <w:r>
        <w:tab/>
      </w:r>
      <w:r>
        <w:tab/>
        <w:t>For the purposes of the LA Act sections 177 and 184(1) and (2), a notice of intention is taken to be registered in relation to Wittenoom land.</w:t>
      </w:r>
    </w:p>
    <w:p>
      <w:pPr>
        <w:pStyle w:val="Heading5"/>
      </w:pPr>
      <w:bookmarkStart w:id="22" w:name="_Toc99522293"/>
      <w:r>
        <w:rPr>
          <w:rStyle w:val="CharSectno"/>
        </w:rPr>
        <w:t>9</w:t>
      </w:r>
      <w:r>
        <w:t>.</w:t>
      </w:r>
      <w:r>
        <w:tab/>
        <w:t>Taking order in relation to Wittenoom land</w:t>
      </w:r>
      <w:bookmarkEnd w:id="22"/>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23" w:name="_Toc99522294"/>
      <w:r>
        <w:rPr>
          <w:rStyle w:val="CharSectno"/>
        </w:rPr>
        <w:lastRenderedPageBreak/>
        <w:t>10</w:t>
      </w:r>
      <w:r>
        <w:t>.</w:t>
      </w:r>
      <w:r>
        <w:tab/>
        <w:t xml:space="preserve">Disclosure under </w:t>
      </w:r>
      <w:r>
        <w:rPr>
          <w:i/>
        </w:rPr>
        <w:t>Contaminated Sites Act 2003</w:t>
      </w:r>
      <w:r>
        <w:t xml:space="preserve"> s. 68 not required</w:t>
      </w:r>
      <w:bookmarkEnd w:id="23"/>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24" w:name="_Toc99464288"/>
      <w:bookmarkStart w:id="25" w:name="_Toc99464321"/>
      <w:bookmarkStart w:id="26" w:name="_Toc99464400"/>
      <w:bookmarkStart w:id="27" w:name="_Toc99466558"/>
      <w:bookmarkStart w:id="28" w:name="_Toc99522295"/>
      <w:r>
        <w:rPr>
          <w:rStyle w:val="CharPartNo"/>
        </w:rPr>
        <w:lastRenderedPageBreak/>
        <w:t>Part 3</w:t>
      </w:r>
      <w:r>
        <w:rPr>
          <w:rStyle w:val="CharDivNo"/>
        </w:rPr>
        <w:t> </w:t>
      </w:r>
      <w:r>
        <w:t>—</w:t>
      </w:r>
      <w:r>
        <w:rPr>
          <w:rStyle w:val="CharDivText"/>
        </w:rPr>
        <w:t> </w:t>
      </w:r>
      <w:r>
        <w:rPr>
          <w:rStyle w:val="CharPartText"/>
        </w:rPr>
        <w:t>Compensation</w:t>
      </w:r>
      <w:bookmarkEnd w:id="24"/>
      <w:bookmarkEnd w:id="25"/>
      <w:bookmarkEnd w:id="26"/>
      <w:bookmarkEnd w:id="27"/>
      <w:bookmarkEnd w:id="28"/>
    </w:p>
    <w:p>
      <w:pPr>
        <w:pStyle w:val="Heading5"/>
      </w:pPr>
      <w:bookmarkStart w:id="29" w:name="_Toc99522296"/>
      <w:r>
        <w:rPr>
          <w:rStyle w:val="CharSectno"/>
        </w:rPr>
        <w:t>11</w:t>
      </w:r>
      <w:r>
        <w:t>.</w:t>
      </w:r>
      <w:r>
        <w:tab/>
        <w:t>No compensation except as provided in this Part</w:t>
      </w:r>
      <w:bookmarkEnd w:id="29"/>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30" w:name="_Toc99522297"/>
      <w:r>
        <w:rPr>
          <w:rStyle w:val="CharSectno"/>
        </w:rPr>
        <w:t>12.</w:t>
      </w:r>
      <w:r>
        <w:rPr>
          <w:rStyle w:val="CharSectno"/>
        </w:rPr>
        <w:tab/>
        <w:t>Compensation for fee simple in Wittenoom land</w:t>
      </w:r>
      <w:bookmarkEnd w:id="30"/>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31" w:name="_Toc99522298"/>
      <w:r>
        <w:rPr>
          <w:rStyle w:val="CharSectno"/>
        </w:rPr>
        <w:t>13</w:t>
      </w:r>
      <w:r>
        <w:t>.</w:t>
      </w:r>
      <w:r>
        <w:tab/>
        <w:t>Apportionment of rates and taxes</w:t>
      </w:r>
      <w:bookmarkEnd w:id="31"/>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w:t>
      </w:r>
      <w:r>
        <w:rPr>
          <w:snapToGrid w:val="0"/>
        </w:rPr>
        <w:lastRenderedPageBreak/>
        <w:t>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32" w:name="_Toc99522299"/>
      <w:r>
        <w:rPr>
          <w:rStyle w:val="CharSectno"/>
        </w:rPr>
        <w:t>14</w:t>
      </w:r>
      <w:r>
        <w:t>.</w:t>
      </w:r>
      <w:r>
        <w:tab/>
        <w:t>Payment of compensation</w:t>
      </w:r>
      <w:bookmarkEnd w:id="32"/>
    </w:p>
    <w:p>
      <w:pPr>
        <w:pStyle w:val="Subsection"/>
      </w:pPr>
      <w:r>
        <w:tab/>
        <w:t>(1)</w:t>
      </w:r>
      <w:r>
        <w:tab/>
        <w:t>The Minister must pay a person who is entitled to compensation the amount of compensation payable to the person under this Part.</w:t>
      </w:r>
    </w:p>
    <w:p>
      <w:pPr>
        <w:pStyle w:val="Subsection"/>
      </w:pPr>
      <w:r>
        <w:lastRenderedPageBreak/>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3" w:name="_Toc99464293"/>
      <w:bookmarkStart w:id="34" w:name="_Toc99464326"/>
      <w:bookmarkStart w:id="35" w:name="_Toc99464405"/>
      <w:bookmarkStart w:id="36" w:name="_Toc99466563"/>
      <w:bookmarkStart w:id="37" w:name="_Toc99522300"/>
      <w:r>
        <w:rPr>
          <w:rStyle w:val="CharSchNo"/>
        </w:rPr>
        <w:lastRenderedPageBreak/>
        <w:t>Schedule 1</w:t>
      </w:r>
      <w:r>
        <w:t> — </w:t>
      </w:r>
      <w:r>
        <w:rPr>
          <w:rStyle w:val="CharSchText"/>
        </w:rPr>
        <w:t>Wittenoom land</w:t>
      </w:r>
      <w:bookmarkEnd w:id="33"/>
      <w:bookmarkEnd w:id="34"/>
      <w:bookmarkEnd w:id="35"/>
      <w:bookmarkEnd w:id="36"/>
      <w:bookmarkEnd w:id="37"/>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8" w:name="_Toc99466564"/>
      <w:bookmarkStart w:id="39" w:name="_Toc99522301"/>
      <w:bookmarkStart w:id="40" w:name="_Toc99464294"/>
      <w:bookmarkStart w:id="41" w:name="_Toc99464327"/>
      <w:bookmarkStart w:id="42" w:name="_Toc99464406"/>
      <w:r>
        <w:lastRenderedPageBreak/>
        <w:t>Notes</w:t>
      </w:r>
      <w:bookmarkEnd w:id="38"/>
      <w:bookmarkEnd w:id="39"/>
    </w:p>
    <w:p>
      <w:pPr>
        <w:pStyle w:val="nStatement"/>
      </w:pPr>
      <w:r>
        <w:t xml:space="preserve">This is a compilation of the </w:t>
      </w:r>
      <w:r>
        <w:rPr>
          <w:i/>
          <w:noProof/>
        </w:rPr>
        <w:t>Wittenoom Closure Act 2022</w:t>
      </w:r>
      <w:r>
        <w:t>.  For provisions that have come into operation see the compilation table.</w:t>
      </w:r>
    </w:p>
    <w:p>
      <w:pPr>
        <w:pStyle w:val="nHeading3"/>
      </w:pPr>
      <w:bookmarkStart w:id="43" w:name="_Toc99522302"/>
      <w:r>
        <w:t>Compilation table</w:t>
      </w:r>
      <w:bookmarkEnd w:id="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Wittenoom Closure Act 2022</w:t>
            </w:r>
          </w:p>
        </w:tc>
        <w:tc>
          <w:tcPr>
            <w:tcW w:w="1134" w:type="dxa"/>
          </w:tcPr>
          <w:p>
            <w:pPr>
              <w:pStyle w:val="nTable"/>
              <w:spacing w:after="40"/>
            </w:pPr>
            <w:r>
              <w:t>6 of 2022</w:t>
            </w:r>
          </w:p>
        </w:tc>
        <w:tc>
          <w:tcPr>
            <w:tcW w:w="1134" w:type="dxa"/>
          </w:tcPr>
          <w:p>
            <w:pPr>
              <w:pStyle w:val="nTable"/>
              <w:spacing w:after="40"/>
            </w:pPr>
            <w:r>
              <w:t>29 Mar 2022</w:t>
            </w:r>
          </w:p>
        </w:tc>
        <w:tc>
          <w:tcPr>
            <w:tcW w:w="2552" w:type="dxa"/>
          </w:tcPr>
          <w:p>
            <w:pPr>
              <w:pStyle w:val="nTable"/>
              <w:spacing w:after="40"/>
            </w:pPr>
            <w:r>
              <w:t>Pt. 1: 29 Mar 2022 (see s. 2(a));</w:t>
            </w:r>
            <w:r>
              <w:br/>
              <w:t>Act other than Pt. 1: 30 Mar 2022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5" w:name="_Toc99466566"/>
      <w:bookmarkStart w:id="46" w:name="_Toc99522303"/>
      <w:r>
        <w:rPr>
          <w:sz w:val="28"/>
        </w:rPr>
        <w:lastRenderedPageBreak/>
        <w:t>Defined terms</w:t>
      </w:r>
      <w:bookmarkEnd w:id="40"/>
      <w:bookmarkEnd w:id="41"/>
      <w:bookmarkEnd w:id="42"/>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date of taking</w:t>
      </w:r>
      <w:r>
        <w:tab/>
        <w:t>3</w:t>
      </w:r>
    </w:p>
    <w:p>
      <w:pPr>
        <w:pStyle w:val="DefinedTerms"/>
      </w:pPr>
      <w:r>
        <w:t>former principal proprietor</w:t>
      </w:r>
      <w:r>
        <w:tab/>
        <w:t>3, 12(1)</w:t>
      </w:r>
    </w:p>
    <w:p>
      <w:pPr>
        <w:pStyle w:val="DefinedTerms"/>
      </w:pPr>
      <w:r>
        <w:t>LA Act</w:t>
      </w:r>
      <w:r>
        <w:tab/>
        <w:t>3</w:t>
      </w:r>
    </w:p>
    <w:p>
      <w:pPr>
        <w:pStyle w:val="DefinedTerms"/>
      </w:pPr>
      <w:r>
        <w:t>Minister</w:t>
      </w:r>
      <w:r>
        <w:tab/>
        <w:t>3</w:t>
      </w:r>
    </w:p>
    <w:p>
      <w:pPr>
        <w:pStyle w:val="DefinedTerms"/>
      </w:pPr>
      <w:r>
        <w:t>native title rights and interests</w:t>
      </w:r>
      <w:r>
        <w:tab/>
        <w:t>3</w:t>
      </w:r>
    </w:p>
    <w:p>
      <w:pPr>
        <w:pStyle w:val="DefinedTerms"/>
      </w:pPr>
      <w:r>
        <w:t>notice of intention</w:t>
      </w:r>
      <w:r>
        <w:tab/>
        <w:t>3</w:t>
      </w:r>
    </w:p>
    <w:p>
      <w:pPr>
        <w:pStyle w:val="DefinedTerms"/>
      </w:pPr>
      <w:r>
        <w:t>registered</w:t>
      </w:r>
      <w:r>
        <w:tab/>
        <w:t>3</w:t>
      </w:r>
    </w:p>
    <w:p>
      <w:pPr>
        <w:pStyle w:val="DefinedTerms"/>
      </w:pPr>
      <w:r>
        <w:t>Wittenoom land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291636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3E84-3E2A-499A-91EA-AACB67ED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2066</Words>
  <Characters>9401</Characters>
  <Application>Microsoft Office Word</Application>
  <DocSecurity>0</DocSecurity>
  <Lines>284</Lines>
  <Paragraphs>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2022 - 00-b0-00</dc:title>
  <dc:subject/>
  <dc:creator/>
  <cp:keywords/>
  <dc:description/>
  <cp:lastModifiedBy>Master Repository Process</cp:lastModifiedBy>
  <cp:revision>4</cp:revision>
  <cp:lastPrinted>2021-04-16T02:39:00Z</cp:lastPrinted>
  <dcterms:created xsi:type="dcterms:W3CDTF">2022-03-30T01:46:00Z</dcterms:created>
  <dcterms:modified xsi:type="dcterms:W3CDTF">2022-03-30T01:46:00Z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AsAtDate">
    <vt:lpwstr>30 Mar 2022</vt:lpwstr>
  </property>
  <property fmtid="{D5CDD505-2E9C-101B-9397-08002B2CF9AE}" pid="5" name="Suffix">
    <vt:lpwstr>00-b0-00</vt:lpwstr>
  </property>
  <property fmtid="{D5CDD505-2E9C-101B-9397-08002B2CF9AE}" pid="6" name="CommencementDate">
    <vt:lpwstr>20220330</vt:lpwstr>
  </property>
</Properties>
</file>