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(Miscellaneous Provisions) Act 1911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(Miscellaneous Provisions) Act 1911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_Toc98767781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_Toc98767782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Savings</w:t>
      </w:r>
      <w:r>
        <w:tab/>
      </w:r>
      <w:r>
        <w:fldChar w:fldCharType="begin"/>
      </w:r>
      <w:r>
        <w:instrText xml:space="preserve"> PAGEREF _Toc98767783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to suspend operation of Act</w:t>
      </w:r>
      <w:r>
        <w:tab/>
      </w:r>
      <w:r>
        <w:fldChar w:fldCharType="begin"/>
      </w:r>
      <w:r>
        <w:instrText xml:space="preserve"> PAGEREF _Toc98767784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Minister, CEO and Chief Health Officer</w:t>
      </w:r>
    </w:p>
    <w:p>
      <w:pPr>
        <w:pStyle w:val="TOC8"/>
        <w:rPr>
          <w:rFonts w:asciiTheme="minorHAnsi" w:eastAsiaTheme="minorEastAsia" w:hAnsiTheme="minorHAnsi" w:cstheme="minorBidi"/>
          <w:szCs w:val="22"/>
        </w:rPr>
      </w:pPr>
      <w:r>
        <w:t>7</w:t>
      </w:r>
      <w:r>
        <w:rPr>
          <w:snapToGrid w:val="0"/>
        </w:rPr>
        <w:t>.</w:t>
      </w:r>
      <w:r>
        <w:rPr>
          <w:snapToGrid w:val="0"/>
        </w:rPr>
        <w:tab/>
        <w:t>Minister</w:t>
      </w:r>
      <w:r>
        <w:tab/>
      </w:r>
      <w:r>
        <w:fldChar w:fldCharType="begin"/>
      </w:r>
      <w:r>
        <w:instrText xml:space="preserve"> PAGEREF _Toc98767787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Minister to be body corporate</w:t>
      </w:r>
      <w:r>
        <w:tab/>
      </w:r>
      <w:r>
        <w:fldChar w:fldCharType="begin"/>
      </w:r>
      <w:r>
        <w:instrText xml:space="preserve"> PAGEREF _Toc98767788 \h </w:instrText>
      </w:r>
      <w:r>
        <w:fldChar w:fldCharType="separate"/>
      </w:r>
      <w:r>
        <w:t>12</w:t>
      </w:r>
      <w:r>
        <w:fldChar w:fldCharType="end"/>
      </w:r>
    </w:p>
    <w:p>
      <w:pPr>
        <w:pStyle w:val="TOC8"/>
        <w:rPr>
          <w:rFonts w:asciiTheme="minorHAnsi" w:eastAsiaTheme="minorEastAsia" w:hAnsiTheme="minorHAnsi" w:cstheme="minorBidi"/>
          <w:szCs w:val="22"/>
        </w:rPr>
      </w:pPr>
      <w:r>
        <w:t>12.</w:t>
      </w:r>
      <w:r>
        <w:tab/>
        <w:t>Powers of Chief Health Officer and authorised officers</w:t>
      </w:r>
      <w:r>
        <w:tab/>
      </w:r>
      <w:r>
        <w:fldChar w:fldCharType="begin"/>
      </w:r>
      <w:r>
        <w:instrText xml:space="preserve"> PAGEREF _Toc98767789 \h </w:instrText>
      </w:r>
      <w:r>
        <w:fldChar w:fldCharType="separate"/>
      </w:r>
      <w:r>
        <w:t>13</w:t>
      </w:r>
      <w:r>
        <w:fldChar w:fldCharType="end"/>
      </w:r>
    </w:p>
    <w:p>
      <w:pPr>
        <w:pStyle w:val="TOC8"/>
        <w:rPr>
          <w:rFonts w:asciiTheme="minorHAnsi" w:eastAsiaTheme="minorEastAsia" w:hAnsiTheme="minorHAnsi" w:cstheme="minorBidi"/>
          <w:szCs w:val="22"/>
        </w:rPr>
      </w:pPr>
      <w:r>
        <w:t>13A.</w:t>
      </w:r>
      <w:r>
        <w:tab/>
        <w:t>CEO and Chief Health Officer may delegate</w:t>
      </w:r>
      <w:r>
        <w:tab/>
      </w:r>
      <w:r>
        <w:fldChar w:fldCharType="begin"/>
      </w:r>
      <w:r>
        <w:instrText xml:space="preserve"> PAGEREF _Toc98767790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Chief Health Officer may act where no local government</w:t>
      </w:r>
      <w:r>
        <w:tab/>
      </w:r>
      <w:r>
        <w:fldChar w:fldCharType="begin"/>
      </w:r>
      <w:r>
        <w:instrText xml:space="preserve"> PAGEREF _Toc98767791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Expenditure to be paid out of appropriated moneys</w:t>
      </w:r>
      <w:r>
        <w:tab/>
      </w:r>
      <w:r>
        <w:fldChar w:fldCharType="begin"/>
      </w:r>
      <w:r>
        <w:instrText xml:space="preserve"> PAGEREF _Toc98767792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Local governments</w:t>
      </w:r>
    </w:p>
    <w:p>
      <w:pPr>
        <w:pStyle w:val="TOC8"/>
        <w:rPr>
          <w:rFonts w:asciiTheme="minorHAnsi" w:eastAsiaTheme="minorEastAsia" w:hAnsiTheme="minorHAnsi" w:cstheme="minorBidi"/>
          <w:szCs w:val="22"/>
        </w:rPr>
      </w:pPr>
      <w:r>
        <w:t>22</w:t>
      </w:r>
      <w:r>
        <w:rPr>
          <w:snapToGrid w:val="0"/>
        </w:rPr>
        <w:t>.</w:t>
      </w:r>
      <w:r>
        <w:rPr>
          <w:snapToGrid w:val="0"/>
        </w:rPr>
        <w:tab/>
        <w:t>Annexation</w:t>
      </w:r>
      <w:r>
        <w:tab/>
      </w:r>
      <w:r>
        <w:fldChar w:fldCharType="begin"/>
      </w:r>
      <w:r>
        <w:instrText xml:space="preserve"> PAGEREF _Toc98767794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District may include water</w:t>
      </w:r>
      <w:r>
        <w:tab/>
      </w:r>
      <w:r>
        <w:fldChar w:fldCharType="begin"/>
      </w:r>
      <w:r>
        <w:instrText xml:space="preserve"> PAGEREF _Toc98767795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local government</w:t>
      </w:r>
      <w:r>
        <w:tab/>
      </w:r>
      <w:r>
        <w:fldChar w:fldCharType="begin"/>
      </w:r>
      <w:r>
        <w:instrText xml:space="preserve"> PAGEREF _Toc98767796 \h </w:instrText>
      </w:r>
      <w:r>
        <w:fldChar w:fldCharType="separate"/>
      </w:r>
      <w:r>
        <w:t>16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Proceedings on default of local government</w:t>
      </w:r>
      <w:r>
        <w:tab/>
      </w:r>
      <w:r>
        <w:fldChar w:fldCharType="begin"/>
      </w:r>
      <w:r>
        <w:instrText xml:space="preserve"> PAGEREF _Toc98767797 \h </w:instrText>
      </w:r>
      <w:r>
        <w:fldChar w:fldCharType="separate"/>
      </w:r>
      <w:r>
        <w:t>16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orders and decisions of local governments by SAT</w:t>
      </w:r>
      <w:r>
        <w:tab/>
      </w:r>
      <w:r>
        <w:fldChar w:fldCharType="begin"/>
      </w:r>
      <w:r>
        <w:instrText xml:space="preserve"> PAGEREF _Toc98767798 \h </w:instrText>
      </w:r>
      <w:r>
        <w:fldChar w:fldCharType="separate"/>
      </w:r>
      <w:r>
        <w:t>18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Local governments to report annually</w:t>
      </w:r>
      <w:r>
        <w:tab/>
      </w:r>
      <w:r>
        <w:fldChar w:fldCharType="begin"/>
      </w:r>
      <w:r>
        <w:instrText xml:space="preserve"> PAGEREF _Toc98767799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exercise of ministerial control</w:t>
      </w:r>
    </w:p>
    <w:p>
      <w:pPr>
        <w:pStyle w:val="TOC8"/>
        <w:rPr>
          <w:rFonts w:asciiTheme="minorHAnsi" w:eastAsiaTheme="minorEastAsia" w:hAnsiTheme="minorHAnsi" w:cstheme="minorBidi"/>
          <w:szCs w:val="22"/>
        </w:rPr>
      </w:pPr>
      <w:r>
        <w:t>39</w:t>
      </w:r>
      <w:r>
        <w:rPr>
          <w:snapToGrid w:val="0"/>
        </w:rPr>
        <w:t>.</w:t>
      </w:r>
      <w:r>
        <w:rPr>
          <w:snapToGrid w:val="0"/>
        </w:rPr>
        <w:tab/>
        <w:t>Powers of Minister</w:t>
      </w:r>
      <w:r>
        <w:tab/>
      </w:r>
      <w:r>
        <w:fldChar w:fldCharType="begin"/>
      </w:r>
      <w:r>
        <w:instrText xml:space="preserve"> PAGEREF _Toc98767801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Financial</w:t>
      </w:r>
    </w:p>
    <w:p>
      <w:pPr>
        <w:pStyle w:val="TOC8"/>
        <w:rPr>
          <w:rFonts w:asciiTheme="minorHAnsi" w:eastAsiaTheme="minorEastAsia" w:hAnsiTheme="minorHAnsi" w:cstheme="minorBidi"/>
          <w:szCs w:val="22"/>
        </w:rPr>
      </w:pPr>
      <w:r>
        <w:t>40</w:t>
      </w:r>
      <w:r>
        <w:rPr>
          <w:snapToGrid w:val="0"/>
        </w:rPr>
        <w:t>.</w:t>
      </w:r>
      <w:r>
        <w:rPr>
          <w:snapToGrid w:val="0"/>
        </w:rPr>
        <w:tab/>
        <w:t>Power to levy general health rate</w:t>
      </w:r>
      <w:r>
        <w:tab/>
      </w:r>
      <w:r>
        <w:fldChar w:fldCharType="begin"/>
      </w:r>
      <w:r>
        <w:instrText xml:space="preserve"> PAGEREF _Toc98767803 \h </w:instrText>
      </w:r>
      <w:r>
        <w:fldChar w:fldCharType="separate"/>
      </w:r>
      <w:r>
        <w:t>21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Sanitary rate</w:t>
      </w:r>
      <w:r>
        <w:tab/>
      </w:r>
      <w:r>
        <w:fldChar w:fldCharType="begin"/>
      </w:r>
      <w:r>
        <w:instrText xml:space="preserve"> PAGEREF _Toc98767804 \h </w:instrText>
      </w:r>
      <w:r>
        <w:fldChar w:fldCharType="separate"/>
      </w:r>
      <w:r>
        <w:t>22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Supplementary rates</w:t>
      </w:r>
      <w:r>
        <w:tab/>
      </w:r>
      <w:r>
        <w:fldChar w:fldCharType="begin"/>
      </w:r>
      <w:r>
        <w:instrText xml:space="preserve"> PAGEREF _Toc98767805 \h </w:instrText>
      </w:r>
      <w:r>
        <w:fldChar w:fldCharType="separate"/>
      </w:r>
      <w:r>
        <w:t>23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Borrowing powers</w:t>
      </w:r>
      <w:r>
        <w:tab/>
      </w:r>
      <w:r>
        <w:fldChar w:fldCharType="begin"/>
      </w:r>
      <w:r>
        <w:instrText xml:space="preserve"> PAGEREF _Toc98767806 \h </w:instrText>
      </w:r>
      <w:r>
        <w:fldChar w:fldCharType="separate"/>
      </w:r>
      <w:r>
        <w:t>23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Special loan rate</w:t>
      </w:r>
      <w:r>
        <w:tab/>
      </w:r>
      <w:r>
        <w:fldChar w:fldCharType="begin"/>
      </w:r>
      <w:r>
        <w:instrText xml:space="preserve"> PAGEREF _Toc98767807 \h </w:instrText>
      </w:r>
      <w:r>
        <w:fldChar w:fldCharType="separate"/>
      </w:r>
      <w:r>
        <w:t>24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Application of rating provisions of </w:t>
      </w:r>
      <w:r>
        <w:rPr>
          <w:i/>
          <w:iCs/>
          <w:snapToGrid w:val="0"/>
        </w:rPr>
        <w:t>Local Government Act 1995</w:t>
      </w:r>
      <w:r>
        <w:tab/>
      </w:r>
      <w:r>
        <w:fldChar w:fldCharType="begin"/>
      </w:r>
      <w:r>
        <w:instrText xml:space="preserve"> PAGEREF _Toc98767808 \h </w:instrText>
      </w:r>
      <w:r>
        <w:fldChar w:fldCharType="separate"/>
      </w:r>
      <w:r>
        <w:t>25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Health rate to be regarded in determining borrowing powers</w:t>
      </w:r>
      <w:r>
        <w:tab/>
      </w:r>
      <w:r>
        <w:fldChar w:fldCharType="begin"/>
      </w:r>
      <w:r>
        <w:instrText xml:space="preserve"> PAGEREF _Toc98767809 \h </w:instrText>
      </w:r>
      <w:r>
        <w:fldChar w:fldCharType="separate"/>
      </w:r>
      <w:r>
        <w:t>26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Time for giving notice of rate may be extended</w:t>
      </w:r>
      <w:r>
        <w:tab/>
      </w:r>
      <w:r>
        <w:fldChar w:fldCharType="begin"/>
      </w:r>
      <w:r>
        <w:instrText xml:space="preserve"> PAGEREF _Toc98767810 \h </w:instrText>
      </w:r>
      <w:r>
        <w:fldChar w:fldCharType="separate"/>
      </w:r>
      <w:r>
        <w:t>26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Accounts and audit</w:t>
      </w:r>
      <w:r>
        <w:tab/>
      </w:r>
      <w:r>
        <w:fldChar w:fldCharType="begin"/>
      </w:r>
      <w:r>
        <w:instrText xml:space="preserve"> PAGEREF _Toc98767811 \h </w:instrText>
      </w:r>
      <w:r>
        <w:fldChar w:fldCharType="separate"/>
      </w:r>
      <w:r>
        <w:t>27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Financial adjustment</w:t>
      </w:r>
      <w:r>
        <w:tab/>
      </w:r>
      <w:r>
        <w:fldChar w:fldCharType="begin"/>
      </w:r>
      <w:r>
        <w:instrText xml:space="preserve"> PAGEREF _Toc98767812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IV — Sanitary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Sewerage and drainage schemes</w:t>
      </w:r>
    </w:p>
    <w:p>
      <w:pPr>
        <w:pStyle w:val="TOC8"/>
        <w:rPr>
          <w:rFonts w:asciiTheme="minorHAnsi" w:eastAsiaTheme="minorEastAsia" w:hAnsiTheme="minorHAnsi" w:cstheme="minorBidi"/>
          <w:szCs w:val="22"/>
        </w:rPr>
      </w:pPr>
      <w:r>
        <w:t>53</w:t>
      </w:r>
      <w:r>
        <w:rPr>
          <w:snapToGrid w:val="0"/>
        </w:rPr>
        <w:t>.</w:t>
      </w:r>
      <w:r>
        <w:rPr>
          <w:snapToGrid w:val="0"/>
        </w:rPr>
        <w:tab/>
        <w:t>Sewers vested in local government</w:t>
      </w:r>
      <w:r>
        <w:tab/>
      </w:r>
      <w:r>
        <w:fldChar w:fldCharType="begin"/>
      </w:r>
      <w:r>
        <w:instrText xml:space="preserve"> PAGEREF _Toc98767815 \h </w:instrText>
      </w:r>
      <w:r>
        <w:fldChar w:fldCharType="separate"/>
      </w:r>
      <w:r>
        <w:t>29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Power of local government to construct and maintain sewers</w:t>
      </w:r>
      <w:r>
        <w:tab/>
      </w:r>
      <w:r>
        <w:fldChar w:fldCharType="begin"/>
      </w:r>
      <w:r>
        <w:instrText xml:space="preserve"> PAGEREF _Toc98767816 \h </w:instrText>
      </w:r>
      <w:r>
        <w:fldChar w:fldCharType="separate"/>
      </w:r>
      <w:r>
        <w:t>29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Governor’s approval necessary to all schemes</w:t>
      </w:r>
      <w:r>
        <w:tab/>
      </w:r>
      <w:r>
        <w:fldChar w:fldCharType="begin"/>
      </w:r>
      <w:r>
        <w:instrText xml:space="preserve"> PAGEREF _Toc98767817 \h </w:instrText>
      </w:r>
      <w:r>
        <w:fldChar w:fldCharType="separate"/>
      </w:r>
      <w:r>
        <w:t>30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Power to do acts preliminary to formulating scheme</w:t>
      </w:r>
      <w:r>
        <w:tab/>
      </w:r>
      <w:r>
        <w:fldChar w:fldCharType="begin"/>
      </w:r>
      <w:r>
        <w:instrText xml:space="preserve"> PAGEREF _Toc98767818 \h </w:instrText>
      </w:r>
      <w:r>
        <w:fldChar w:fldCharType="separate"/>
      </w:r>
      <w:r>
        <w:t>31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Notice of plans and specifications</w:t>
      </w:r>
      <w:r>
        <w:tab/>
      </w:r>
      <w:r>
        <w:fldChar w:fldCharType="begin"/>
      </w:r>
      <w:r>
        <w:instrText xml:space="preserve"> PAGEREF _Toc98767819 \h </w:instrText>
      </w:r>
      <w:r>
        <w:fldChar w:fldCharType="separate"/>
      </w:r>
      <w:r>
        <w:t>31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Objections</w:t>
      </w:r>
      <w:r>
        <w:tab/>
      </w:r>
      <w:r>
        <w:fldChar w:fldCharType="begin"/>
      </w:r>
      <w:r>
        <w:instrText xml:space="preserve"> PAGEREF _Toc98767820 \h </w:instrText>
      </w:r>
      <w:r>
        <w:fldChar w:fldCharType="separate"/>
      </w:r>
      <w:r>
        <w:t>32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r>
      <w:r>
        <w:rPr>
          <w:snapToGrid w:val="0"/>
          <w:spacing w:val="-4"/>
        </w:rPr>
        <w:t>Copies of plans and specifications to be available for inspection</w:t>
      </w:r>
      <w:r>
        <w:tab/>
      </w:r>
      <w:r>
        <w:fldChar w:fldCharType="begin"/>
      </w:r>
      <w:r>
        <w:instrText xml:space="preserve"> PAGEREF _Toc98767821 \h </w:instrText>
      </w:r>
      <w:r>
        <w:fldChar w:fldCharType="separate"/>
      </w:r>
      <w:r>
        <w:t>33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Conditions on which Minister may recommend scheme to Governor</w:t>
      </w:r>
      <w:r>
        <w:tab/>
      </w:r>
      <w:r>
        <w:fldChar w:fldCharType="begin"/>
      </w:r>
      <w:r>
        <w:instrText xml:space="preserve"> PAGEREF _Toc98767822 \h </w:instrText>
      </w:r>
      <w:r>
        <w:fldChar w:fldCharType="separate"/>
      </w:r>
      <w:r>
        <w:t>33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Apportionment of costs and maintenance of joint schemes</w:t>
      </w:r>
      <w:r>
        <w:tab/>
      </w:r>
      <w:r>
        <w:fldChar w:fldCharType="begin"/>
      </w:r>
      <w:r>
        <w:instrText xml:space="preserve"> PAGEREF _Toc98767823 \h </w:instrText>
      </w:r>
      <w:r>
        <w:fldChar w:fldCharType="separate"/>
      </w:r>
      <w:r>
        <w:t>34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Powers of local government in carrying out works</w:t>
      </w:r>
      <w:r>
        <w:tab/>
      </w:r>
      <w:r>
        <w:fldChar w:fldCharType="begin"/>
      </w:r>
      <w:r>
        <w:instrText xml:space="preserve"> PAGEREF _Toc98767824 \h </w:instrText>
      </w:r>
      <w:r>
        <w:fldChar w:fldCharType="separate"/>
      </w:r>
      <w:r>
        <w:t>34</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Recovery of cost of limited schemes from owners of premises served</w:t>
      </w:r>
      <w:r>
        <w:tab/>
      </w:r>
      <w:r>
        <w:fldChar w:fldCharType="begin"/>
      </w:r>
      <w:r>
        <w:instrText xml:space="preserve"> PAGEREF _Toc98767825 \h </w:instrText>
      </w:r>
      <w:r>
        <w:fldChar w:fldCharType="separate"/>
      </w:r>
      <w:r>
        <w:t>36</w:t>
      </w:r>
      <w:r>
        <w:fldChar w:fldCharType="end"/>
      </w:r>
    </w:p>
    <w:p>
      <w:pPr>
        <w:pStyle w:val="TOC8"/>
        <w:rPr>
          <w:rFonts w:asciiTheme="minorHAnsi" w:eastAsiaTheme="minorEastAsia" w:hAnsiTheme="minorHAnsi" w:cstheme="minorBidi"/>
          <w:szCs w:val="22"/>
        </w:rPr>
      </w:pPr>
      <w:r>
        <w:t>63A</w:t>
      </w:r>
      <w:r>
        <w:rPr>
          <w:snapToGrid w:val="0"/>
        </w:rPr>
        <w:t xml:space="preserve">. </w:t>
      </w:r>
      <w:r>
        <w:rPr>
          <w:snapToGrid w:val="0"/>
        </w:rPr>
        <w:tab/>
        <w:t>Interpretation</w:t>
      </w:r>
      <w:r>
        <w:tab/>
      </w:r>
      <w:r>
        <w:fldChar w:fldCharType="begin"/>
      </w:r>
      <w:r>
        <w:instrText xml:space="preserve"> PAGEREF _Toc98767826 \h </w:instrText>
      </w:r>
      <w:r>
        <w:fldChar w:fldCharType="separate"/>
      </w:r>
      <w:r>
        <w:t>36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Agreements for recouping costs and paying maintenance in case of limited schemes</w:t>
      </w:r>
      <w:r>
        <w:tab/>
      </w:r>
      <w:r>
        <w:fldChar w:fldCharType="begin"/>
      </w:r>
      <w:r>
        <w:instrText xml:space="preserve"> PAGEREF _Toc98767827 \h </w:instrText>
      </w:r>
      <w:r>
        <w:fldChar w:fldCharType="separate"/>
      </w:r>
      <w:r>
        <w:t>37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Power to acquire land</w:t>
      </w:r>
      <w:r>
        <w:tab/>
      </w:r>
      <w:r>
        <w:fldChar w:fldCharType="begin"/>
      </w:r>
      <w:r>
        <w:instrText xml:space="preserve"> PAGEREF _Toc98767828 \h </w:instrText>
      </w:r>
      <w:r>
        <w:fldChar w:fldCharType="separate"/>
      </w:r>
      <w:r>
        <w:t>39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Duty of local government where street broken up</w:t>
      </w:r>
      <w:r>
        <w:tab/>
      </w:r>
      <w:r>
        <w:fldChar w:fldCharType="begin"/>
      </w:r>
      <w:r>
        <w:instrText xml:space="preserve"> PAGEREF _Toc98767829 \h </w:instrText>
      </w:r>
      <w:r>
        <w:fldChar w:fldCharType="separate"/>
      </w:r>
      <w:r>
        <w:t>40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Interfering with works of other authorities</w:t>
      </w:r>
      <w:r>
        <w:tab/>
      </w:r>
      <w:r>
        <w:fldChar w:fldCharType="begin"/>
      </w:r>
      <w:r>
        <w:instrText xml:space="preserve"> PAGEREF _Toc98767830 \h </w:instrText>
      </w:r>
      <w:r>
        <w:fldChar w:fldCharType="separate"/>
      </w:r>
      <w:r>
        <w:t>40</w:t>
      </w:r>
      <w:r>
        <w:fldChar w:fldCharType="end"/>
      </w:r>
    </w:p>
    <w:p>
      <w:pPr>
        <w:pStyle w:val="TOC8"/>
        <w:rPr>
          <w:rFonts w:asciiTheme="minorHAnsi" w:eastAsiaTheme="minorEastAsia" w:hAnsiTheme="minorHAnsi" w:cstheme="minorBidi"/>
          <w:szCs w:val="22"/>
        </w:rPr>
      </w:pPr>
      <w:r>
        <w:lastRenderedPageBreak/>
        <w:t>68</w:t>
      </w:r>
      <w:r>
        <w:rPr>
          <w:snapToGrid w:val="0"/>
        </w:rPr>
        <w:t>.</w:t>
      </w:r>
      <w:r>
        <w:rPr>
          <w:snapToGrid w:val="0"/>
        </w:rPr>
        <w:tab/>
        <w:t>Alteration of sewerage works</w:t>
      </w:r>
      <w:r>
        <w:tab/>
      </w:r>
      <w:r>
        <w:fldChar w:fldCharType="begin"/>
      </w:r>
      <w:r>
        <w:instrText xml:space="preserve"> PAGEREF _Toc98767831 \h </w:instrText>
      </w:r>
      <w:r>
        <w:fldChar w:fldCharType="separate"/>
      </w:r>
      <w:r>
        <w:t>41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Ventilating shafts etc. may be attached to walls and buildings</w:t>
      </w:r>
      <w:r>
        <w:tab/>
      </w:r>
      <w:r>
        <w:fldChar w:fldCharType="begin"/>
      </w:r>
      <w:r>
        <w:instrText xml:space="preserve"> PAGEREF _Toc98767832 \h </w:instrText>
      </w:r>
      <w:r>
        <w:fldChar w:fldCharType="separate"/>
      </w:r>
      <w:r>
        <w:t>41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Maps of systems to be kept</w:t>
      </w:r>
      <w:r>
        <w:tab/>
      </w:r>
      <w:r>
        <w:fldChar w:fldCharType="begin"/>
      </w:r>
      <w:r>
        <w:instrText xml:space="preserve"> PAGEREF _Toc98767833 \h </w:instrText>
      </w:r>
      <w:r>
        <w:fldChar w:fldCharType="separate"/>
      </w:r>
      <w:r>
        <w:t>42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Sewers to be kept cleansed</w:t>
      </w:r>
      <w:r>
        <w:tab/>
      </w:r>
      <w:r>
        <w:fldChar w:fldCharType="begin"/>
      </w:r>
      <w:r>
        <w:instrText xml:space="preserve"> PAGEREF _Toc98767834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Connection of premises to drains and sewers of local government</w:t>
      </w:r>
    </w:p>
    <w:p>
      <w:pPr>
        <w:pStyle w:val="TOC8"/>
        <w:rPr>
          <w:rFonts w:asciiTheme="minorHAnsi" w:eastAsiaTheme="minorEastAsia" w:hAnsiTheme="minorHAnsi" w:cstheme="minorBidi"/>
          <w:szCs w:val="22"/>
        </w:rPr>
      </w:pPr>
      <w:r>
        <w:t>72</w:t>
      </w:r>
      <w:r>
        <w:rPr>
          <w:snapToGrid w:val="0"/>
        </w:rPr>
        <w:t>.</w:t>
      </w:r>
      <w:r>
        <w:rPr>
          <w:snapToGrid w:val="0"/>
        </w:rPr>
        <w:tab/>
        <w:t>Owners or occupiers may be compelled to connect premises when works complete</w:t>
      </w:r>
      <w:r>
        <w:tab/>
      </w:r>
      <w:r>
        <w:fldChar w:fldCharType="begin"/>
      </w:r>
      <w:r>
        <w:instrText xml:space="preserve"> PAGEREF _Toc98767836 \h </w:instrText>
      </w:r>
      <w:r>
        <w:fldChar w:fldCharType="separate"/>
      </w:r>
      <w:r>
        <w:t>43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Notice to owner or occupier to carry out installation of fittings</w:t>
      </w:r>
      <w:r>
        <w:tab/>
      </w:r>
      <w:r>
        <w:fldChar w:fldCharType="begin"/>
      </w:r>
      <w:r>
        <w:instrText xml:space="preserve"> PAGEREF _Toc98767837 \h </w:instrText>
      </w:r>
      <w:r>
        <w:fldChar w:fldCharType="separate"/>
      </w:r>
      <w:r>
        <w:t>43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Where local government makes installations it may enter into agreements with persons responsible for payment of cost</w:t>
      </w:r>
      <w:r>
        <w:tab/>
      </w:r>
      <w:r>
        <w:fldChar w:fldCharType="begin"/>
      </w:r>
      <w:r>
        <w:instrText xml:space="preserve"> PAGEREF _Toc98767838 \h </w:instrText>
      </w:r>
      <w:r>
        <w:fldChar w:fldCharType="separate"/>
      </w:r>
      <w:r>
        <w:t>44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Right of owner or occupier to connect drains with sewer</w:t>
      </w:r>
      <w:r>
        <w:tab/>
      </w:r>
      <w:r>
        <w:fldChar w:fldCharType="begin"/>
      </w:r>
      <w:r>
        <w:instrText xml:space="preserve"> PAGEREF _Toc98767839 \h </w:instrText>
      </w:r>
      <w:r>
        <w:fldChar w:fldCharType="separate"/>
      </w:r>
      <w:r>
        <w:t>45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Owner or occupier of land outside district may connect sewer on conditions imposed by local government</w:t>
      </w:r>
      <w:r>
        <w:tab/>
      </w:r>
      <w:r>
        <w:fldChar w:fldCharType="begin"/>
      </w:r>
      <w:r>
        <w:instrText xml:space="preserve"> PAGEREF _Toc98767840 \h </w:instrText>
      </w:r>
      <w:r>
        <w:fldChar w:fldCharType="separate"/>
      </w:r>
      <w:r>
        <w:t>45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Restrictions on construction or alteration of certain drains and fittings</w:t>
      </w:r>
      <w:r>
        <w:tab/>
      </w:r>
      <w:r>
        <w:fldChar w:fldCharType="begin"/>
      </w:r>
      <w:r>
        <w:instrText xml:space="preserve"> PAGEREF _Toc98767841 \h </w:instrText>
      </w:r>
      <w:r>
        <w:fldChar w:fldCharType="separate"/>
      </w:r>
      <w:r>
        <w:t>46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Owner or occupier responsible for cleaning private drains</w:t>
      </w:r>
      <w:r>
        <w:tab/>
      </w:r>
      <w:r>
        <w:fldChar w:fldCharType="begin"/>
      </w:r>
      <w:r>
        <w:instrText xml:space="preserve"> PAGEREF _Toc98767842 \h </w:instrText>
      </w:r>
      <w:r>
        <w:fldChar w:fldCharType="separate"/>
      </w:r>
      <w:r>
        <w:t>46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Obstructing or encroaching on sewers</w:t>
      </w:r>
      <w:r>
        <w:tab/>
      </w:r>
      <w:r>
        <w:fldChar w:fldCharType="begin"/>
      </w:r>
      <w:r>
        <w:instrText xml:space="preserve"> PAGEREF _Toc98767843 \h </w:instrText>
      </w:r>
      <w:r>
        <w:fldChar w:fldCharType="separate"/>
      </w:r>
      <w:r>
        <w:t>47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Local government may enforce drainage of undrained houses</w:t>
      </w:r>
      <w:r>
        <w:tab/>
      </w:r>
      <w:r>
        <w:fldChar w:fldCharType="begin"/>
      </w:r>
      <w:r>
        <w:instrText xml:space="preserve"> PAGEREF _Toc98767844 \h </w:instrText>
      </w:r>
      <w:r>
        <w:fldChar w:fldCharType="separate"/>
      </w:r>
      <w:r>
        <w:t>47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Owner may be required to connect premises with public sewer</w:t>
      </w:r>
      <w:r>
        <w:tab/>
      </w:r>
      <w:r>
        <w:fldChar w:fldCharType="begin"/>
      </w:r>
      <w:r>
        <w:instrText xml:space="preserve"> PAGEREF _Toc98767845 \h </w:instrText>
      </w:r>
      <w:r>
        <w:fldChar w:fldCharType="separate"/>
      </w:r>
      <w:r>
        <w:t>48</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Buildings without drains</w:t>
      </w:r>
      <w:r>
        <w:tab/>
      </w:r>
      <w:r>
        <w:fldChar w:fldCharType="begin"/>
      </w:r>
      <w:r>
        <w:instrText xml:space="preserve"> PAGEREF _Toc98767846 \h </w:instrText>
      </w:r>
      <w:r>
        <w:fldChar w:fldCharType="separate"/>
      </w:r>
      <w:r>
        <w:t>50</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Where local government makes connections with sewers it may enter into agreement with person responsible for payment of cost</w:t>
      </w:r>
      <w:r>
        <w:tab/>
      </w:r>
      <w:r>
        <w:fldChar w:fldCharType="begin"/>
      </w:r>
      <w:r>
        <w:instrText xml:space="preserve"> PAGEREF _Toc98767847 \h </w:instrText>
      </w:r>
      <w:r>
        <w:fldChar w:fldCharType="separate"/>
      </w:r>
      <w:r>
        <w:t>50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Making sewers and drains under private land</w:t>
      </w:r>
      <w:r>
        <w:tab/>
      </w:r>
      <w:r>
        <w:fldChar w:fldCharType="begin"/>
      </w:r>
      <w:r>
        <w:instrText xml:space="preserve"> PAGEREF _Toc98767848 \h </w:instrText>
      </w:r>
      <w:r>
        <w:fldChar w:fldCharType="separate"/>
      </w:r>
      <w:r>
        <w:t>51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Recovery of expenses incurred by local government</w:t>
      </w:r>
      <w:r>
        <w:tab/>
      </w:r>
      <w:r>
        <w:fldChar w:fldCharType="begin"/>
      </w:r>
      <w:r>
        <w:instrText xml:space="preserve"> PAGEREF _Toc98767849 \h </w:instrText>
      </w:r>
      <w:r>
        <w:fldChar w:fldCharType="separate"/>
      </w:r>
      <w:r>
        <w:t>53</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Dwelling</w:t>
      </w:r>
      <w:r>
        <w:rPr>
          <w:snapToGrid w:val="0"/>
        </w:rPr>
        <w:noBreakHyphen/>
        <w:t>houses on low lying land</w:t>
      </w:r>
      <w:r>
        <w:tab/>
      </w:r>
      <w:r>
        <w:fldChar w:fldCharType="begin"/>
      </w:r>
      <w:r>
        <w:instrText xml:space="preserve"> PAGEREF _Toc98767850 \h </w:instrText>
      </w:r>
      <w:r>
        <w:fldChar w:fldCharType="separate"/>
      </w:r>
      <w:r>
        <w:t>53</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Filling up low lying land</w:t>
      </w:r>
      <w:r>
        <w:tab/>
      </w:r>
      <w:r>
        <w:fldChar w:fldCharType="begin"/>
      </w:r>
      <w:r>
        <w:instrText xml:space="preserve"> PAGEREF _Toc98767851 \h </w:instrText>
      </w:r>
      <w:r>
        <w:fldChar w:fldCharType="separate"/>
      </w:r>
      <w:r>
        <w:t>54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Stagnant water holes</w:t>
      </w:r>
      <w:r>
        <w:tab/>
      </w:r>
      <w:r>
        <w:fldChar w:fldCharType="begin"/>
      </w:r>
      <w:r>
        <w:instrText xml:space="preserve"> PAGEREF _Toc98767852 \h </w:instrText>
      </w:r>
      <w:r>
        <w:fldChar w:fldCharType="separate"/>
      </w:r>
      <w:r>
        <w:t>54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Stagnant water in cellars etc.</w:t>
      </w:r>
      <w:r>
        <w:tab/>
      </w:r>
      <w:r>
        <w:fldChar w:fldCharType="begin"/>
      </w:r>
      <w:r>
        <w:instrText xml:space="preserve"> PAGEREF _Toc98767853 \h </w:instrText>
      </w:r>
      <w:r>
        <w:fldChar w:fldCharType="separate"/>
      </w:r>
      <w:r>
        <w:t>55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Paving and asphalting of cellars</w:t>
      </w:r>
      <w:r>
        <w:tab/>
      </w:r>
      <w:r>
        <w:fldChar w:fldCharType="begin"/>
      </w:r>
      <w:r>
        <w:instrText xml:space="preserve"> PAGEREF _Toc98767854 \h </w:instrText>
      </w:r>
      <w:r>
        <w:fldChar w:fldCharType="separate"/>
      </w:r>
      <w:r>
        <w:t>56</w:t>
      </w:r>
      <w:r>
        <w:fldChar w:fldCharType="end"/>
      </w:r>
    </w:p>
    <w:p>
      <w:pPr>
        <w:pStyle w:val="TOC8"/>
        <w:rPr>
          <w:rFonts w:asciiTheme="minorHAnsi" w:eastAsiaTheme="minorEastAsia" w:hAnsiTheme="minorHAnsi" w:cstheme="minorBidi"/>
          <w:szCs w:val="22"/>
        </w:rPr>
      </w:pPr>
      <w:r>
        <w:lastRenderedPageBreak/>
        <w:t>90</w:t>
      </w:r>
      <w:r>
        <w:rPr>
          <w:snapToGrid w:val="0"/>
        </w:rPr>
        <w:t>.</w:t>
      </w:r>
      <w:r>
        <w:rPr>
          <w:snapToGrid w:val="0"/>
        </w:rPr>
        <w:tab/>
        <w:t>Brickmaking and other excavations to be fenced</w:t>
      </w:r>
      <w:r>
        <w:tab/>
      </w:r>
      <w:r>
        <w:fldChar w:fldCharType="begin"/>
      </w:r>
      <w:r>
        <w:instrText xml:space="preserve"> PAGEREF _Toc98767855 \h </w:instrText>
      </w:r>
      <w:r>
        <w:fldChar w:fldCharType="separate"/>
      </w:r>
      <w:r>
        <w:t>56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Storm water to be allowed its natural channel</w:t>
      </w:r>
      <w:r>
        <w:tab/>
      </w:r>
      <w:r>
        <w:fldChar w:fldCharType="begin"/>
      </w:r>
      <w:r>
        <w:instrText xml:space="preserve"> PAGEREF _Toc98767856 \h </w:instrText>
      </w:r>
      <w:r>
        <w:fldChar w:fldCharType="separate"/>
      </w:r>
      <w:r>
        <w:t>57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Unauthorised building over sewers and under streets</w:t>
      </w:r>
      <w:r>
        <w:tab/>
      </w:r>
      <w:r>
        <w:fldChar w:fldCharType="begin"/>
      </w:r>
      <w:r>
        <w:instrText xml:space="preserve"> PAGEREF _Toc98767857 \h </w:instrText>
      </w:r>
      <w:r>
        <w:fldChar w:fldCharType="separate"/>
      </w:r>
      <w:r>
        <w:t>57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Injurious matter not to pass into sewers</w:t>
      </w:r>
      <w:r>
        <w:tab/>
      </w:r>
      <w:r>
        <w:fldChar w:fldCharType="begin"/>
      </w:r>
      <w:r>
        <w:instrText xml:space="preserve"> PAGEREF _Toc98767858 \h </w:instrText>
      </w:r>
      <w:r>
        <w:fldChar w:fldCharType="separate"/>
      </w:r>
      <w:r>
        <w:t>58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Chemical refuse, steam etc. not to be turned into sewers</w:t>
      </w:r>
      <w:r>
        <w:tab/>
      </w:r>
      <w:r>
        <w:fldChar w:fldCharType="begin"/>
      </w:r>
      <w:r>
        <w:instrText xml:space="preserve"> PAGEREF _Toc98767859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Disposal of sewage</w:t>
      </w:r>
    </w:p>
    <w:p>
      <w:pPr>
        <w:pStyle w:val="TOC8"/>
        <w:rPr>
          <w:rFonts w:asciiTheme="minorHAnsi" w:eastAsiaTheme="minorEastAsia" w:hAnsiTheme="minorHAnsi" w:cstheme="minorBidi"/>
          <w:szCs w:val="22"/>
        </w:rPr>
      </w:pPr>
      <w:r>
        <w:t>95</w:t>
      </w:r>
      <w:r>
        <w:rPr>
          <w:snapToGrid w:val="0"/>
        </w:rPr>
        <w:t>.</w:t>
      </w:r>
      <w:r>
        <w:rPr>
          <w:snapToGrid w:val="0"/>
        </w:rPr>
        <w:tab/>
        <w:t>Disposing of sewage</w:t>
      </w:r>
      <w:r>
        <w:tab/>
      </w:r>
      <w:r>
        <w:fldChar w:fldCharType="begin"/>
      </w:r>
      <w:r>
        <w:instrText xml:space="preserve"> PAGEREF _Toc98767861 \h </w:instrText>
      </w:r>
      <w:r>
        <w:fldChar w:fldCharType="separate"/>
      </w:r>
      <w:r>
        <w:t>59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Communication of sewers with sewers of adjoining district</w:t>
      </w:r>
      <w:r>
        <w:tab/>
      </w:r>
      <w:r>
        <w:fldChar w:fldCharType="begin"/>
      </w:r>
      <w:r>
        <w:instrText xml:space="preserve"> PAGEREF _Toc98767862 \h </w:instrText>
      </w:r>
      <w:r>
        <w:fldChar w:fldCharType="separate"/>
      </w:r>
      <w:r>
        <w:t>59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Dealing with land appropriated to sewage purposes</w:t>
      </w:r>
      <w:r>
        <w:tab/>
      </w:r>
      <w:r>
        <w:fldChar w:fldCharType="begin"/>
      </w:r>
      <w:r>
        <w:instrText xml:space="preserve"> PAGEREF _Toc98767863 \h </w:instrText>
      </w:r>
      <w:r>
        <w:fldChar w:fldCharType="separate"/>
      </w:r>
      <w:r>
        <w:t>60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Punishment for placing sewage in streets etc.</w:t>
      </w:r>
      <w:r>
        <w:tab/>
      </w:r>
      <w:r>
        <w:fldChar w:fldCharType="begin"/>
      </w:r>
      <w:r>
        <w:instrText xml:space="preserve"> PAGEREF _Toc98767864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Sanitary conveniences</w:t>
      </w:r>
    </w:p>
    <w:p>
      <w:pPr>
        <w:pStyle w:val="TOC8"/>
        <w:rPr>
          <w:rFonts w:asciiTheme="minorHAnsi" w:eastAsiaTheme="minorEastAsia" w:hAnsiTheme="minorHAnsi" w:cstheme="minorBidi"/>
          <w:szCs w:val="22"/>
        </w:rPr>
      </w:pPr>
      <w:r>
        <w:t>99</w:t>
      </w:r>
      <w:r>
        <w:rPr>
          <w:snapToGrid w:val="0"/>
        </w:rPr>
        <w:t>.</w:t>
      </w:r>
      <w:r>
        <w:rPr>
          <w:snapToGrid w:val="0"/>
        </w:rPr>
        <w:tab/>
        <w:t>Houses to have sanitary conveniences</w:t>
      </w:r>
      <w:r>
        <w:tab/>
      </w:r>
      <w:r>
        <w:fldChar w:fldCharType="begin"/>
      </w:r>
      <w:r>
        <w:instrText xml:space="preserve"> PAGEREF _Toc98767866 \h </w:instrText>
      </w:r>
      <w:r>
        <w:fldChar w:fldCharType="separate"/>
      </w:r>
      <w:r>
        <w:t>61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Provision of apparatus for treatment of sewage</w:t>
      </w:r>
      <w:r>
        <w:tab/>
      </w:r>
      <w:r>
        <w:fldChar w:fldCharType="begin"/>
      </w:r>
      <w:r>
        <w:instrText xml:space="preserve"> PAGEREF _Toc98767867 \h </w:instrText>
      </w:r>
      <w:r>
        <w:fldChar w:fldCharType="separate"/>
      </w:r>
      <w:r>
        <w:t>62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Sanitary conveniences for workshops etc.</w:t>
      </w:r>
      <w:r>
        <w:tab/>
      </w:r>
      <w:r>
        <w:fldChar w:fldCharType="begin"/>
      </w:r>
      <w:r>
        <w:instrText xml:space="preserve"> PAGEREF _Toc98767868 \h </w:instrText>
      </w:r>
      <w:r>
        <w:fldChar w:fldCharType="separate"/>
      </w:r>
      <w:r>
        <w:t>64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Sanitary conveniences in connection with works</w:t>
      </w:r>
      <w:r>
        <w:tab/>
      </w:r>
      <w:r>
        <w:fldChar w:fldCharType="begin"/>
      </w:r>
      <w:r>
        <w:instrText xml:space="preserve"> PAGEREF _Toc98767869 \h </w:instrText>
      </w:r>
      <w:r>
        <w:fldChar w:fldCharType="separate"/>
      </w:r>
      <w:r>
        <w:t>64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Persons to carry out sanitary work in certain cases</w:t>
      </w:r>
      <w:r>
        <w:tab/>
      </w:r>
      <w:r>
        <w:fldChar w:fldCharType="begin"/>
      </w:r>
      <w:r>
        <w:instrText xml:space="preserve"> PAGEREF _Toc98767870 \h </w:instrText>
      </w:r>
      <w:r>
        <w:fldChar w:fldCharType="separate"/>
      </w:r>
      <w:r>
        <w:t>65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Earth</w:t>
      </w:r>
      <w:r>
        <w:rPr>
          <w:snapToGrid w:val="0"/>
        </w:rPr>
        <w:noBreakHyphen/>
        <w:t>closets</w:t>
      </w:r>
      <w:r>
        <w:tab/>
      </w:r>
      <w:r>
        <w:fldChar w:fldCharType="begin"/>
      </w:r>
      <w:r>
        <w:instrText xml:space="preserve"> PAGEREF _Toc98767871 \h </w:instrText>
      </w:r>
      <w:r>
        <w:fldChar w:fldCharType="separate"/>
      </w:r>
      <w:r>
        <w:t>65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Public sanitary conveniences</w:t>
      </w:r>
      <w:r>
        <w:tab/>
      </w:r>
      <w:r>
        <w:fldChar w:fldCharType="begin"/>
      </w:r>
      <w:r>
        <w:instrText xml:space="preserve"> PAGEREF _Toc98767872 \h </w:instrText>
      </w:r>
      <w:r>
        <w:fldChar w:fldCharType="separate"/>
      </w:r>
      <w:r>
        <w:t>66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Power to make pan charges</w:t>
      </w:r>
      <w:r>
        <w:tab/>
      </w:r>
      <w:r>
        <w:fldChar w:fldCharType="begin"/>
      </w:r>
      <w:r>
        <w:instrText xml:space="preserve"> PAGEREF _Toc98767873 \h </w:instrText>
      </w:r>
      <w:r>
        <w:fldChar w:fldCharType="separate"/>
      </w:r>
      <w:r>
        <w:t>66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Drains, privies etc. to be properly kept</w:t>
      </w:r>
      <w:r>
        <w:tab/>
      </w:r>
      <w:r>
        <w:fldChar w:fldCharType="begin"/>
      </w:r>
      <w:r>
        <w:instrText xml:space="preserve"> PAGEREF _Toc98767874 \h </w:instrText>
      </w:r>
      <w:r>
        <w:fldChar w:fldCharType="separate"/>
      </w:r>
      <w:r>
        <w:t>67</w:t>
      </w:r>
      <w:r>
        <w:fldChar w:fldCharType="end"/>
      </w:r>
    </w:p>
    <w:p>
      <w:pPr>
        <w:pStyle w:val="TOC8"/>
        <w:rPr>
          <w:rFonts w:asciiTheme="minorHAnsi" w:eastAsiaTheme="minorEastAsia" w:hAnsiTheme="minorHAnsi" w:cstheme="minorBidi"/>
          <w:szCs w:val="22"/>
        </w:rPr>
      </w:pPr>
      <w:r>
        <w:t>107A</w:t>
      </w:r>
      <w:r>
        <w:rPr>
          <w:snapToGrid w:val="0"/>
        </w:rPr>
        <w:t xml:space="preserve">. </w:t>
      </w:r>
      <w:r>
        <w:rPr>
          <w:snapToGrid w:val="0"/>
        </w:rPr>
        <w:tab/>
        <w:t>Articles in use in construction or operation of sewers etc. to be of prescribed standard</w:t>
      </w:r>
      <w:r>
        <w:tab/>
      </w:r>
      <w:r>
        <w:fldChar w:fldCharType="begin"/>
      </w:r>
      <w:r>
        <w:instrText xml:space="preserve"> PAGEREF _Toc98767875 \h </w:instrText>
      </w:r>
      <w:r>
        <w:fldChar w:fldCharType="separate"/>
      </w:r>
      <w:r>
        <w:t>69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Examination of drains etc.</w:t>
      </w:r>
      <w:r>
        <w:tab/>
      </w:r>
      <w:r>
        <w:fldChar w:fldCharType="begin"/>
      </w:r>
      <w:r>
        <w:instrText xml:space="preserve"> PAGEREF _Toc98767876 \h </w:instrText>
      </w:r>
      <w:r>
        <w:fldChar w:fldCharType="separate"/>
      </w:r>
      <w:r>
        <w:t>69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Local government may require filling up of certain cesspools</w:t>
      </w:r>
      <w:r>
        <w:tab/>
      </w:r>
      <w:r>
        <w:fldChar w:fldCharType="begin"/>
      </w:r>
      <w:r>
        <w:instrText xml:space="preserve"> PAGEREF _Toc98767877 \h </w:instrText>
      </w:r>
      <w:r>
        <w:fldChar w:fldCharType="separate"/>
      </w:r>
      <w:r>
        <w:t>71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New cesspools for nightsoil forbidden</w:t>
      </w:r>
      <w:r>
        <w:tab/>
      </w:r>
      <w:r>
        <w:fldChar w:fldCharType="begin"/>
      </w:r>
      <w:r>
        <w:instrText xml:space="preserve"> PAGEREF _Toc98767878 \h </w:instrText>
      </w:r>
      <w:r>
        <w:fldChar w:fldCharType="separate"/>
      </w:r>
      <w:r>
        <w:t>71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Local government may supply receptacles</w:t>
      </w:r>
      <w:r>
        <w:tab/>
      </w:r>
      <w:r>
        <w:fldChar w:fldCharType="begin"/>
      </w:r>
      <w:r>
        <w:instrText xml:space="preserve"> PAGEREF _Toc98767879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Scavenging, cleansing, etc.</w:t>
      </w:r>
    </w:p>
    <w:p>
      <w:pPr>
        <w:pStyle w:val="TOC8"/>
        <w:rPr>
          <w:rFonts w:asciiTheme="minorHAnsi" w:eastAsiaTheme="minorEastAsia" w:hAnsiTheme="minorHAnsi" w:cstheme="minorBidi"/>
          <w:szCs w:val="22"/>
        </w:rPr>
      </w:pPr>
      <w:r>
        <w:t>112</w:t>
      </w:r>
      <w:r>
        <w:rPr>
          <w:snapToGrid w:val="0"/>
        </w:rPr>
        <w:t>.</w:t>
      </w:r>
      <w:r>
        <w:rPr>
          <w:snapToGrid w:val="0"/>
        </w:rPr>
        <w:tab/>
        <w:t>Local government to provide for removal of refuse and cleansing works</w:t>
      </w:r>
      <w:r>
        <w:tab/>
      </w:r>
      <w:r>
        <w:fldChar w:fldCharType="begin"/>
      </w:r>
      <w:r>
        <w:instrText xml:space="preserve"> PAGEREF _Toc98767881 \h </w:instrText>
      </w:r>
      <w:r>
        <w:fldChar w:fldCharType="separate"/>
      </w:r>
      <w:r>
        <w:t>72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Power of contractor to recover</w:t>
      </w:r>
      <w:r>
        <w:tab/>
      </w:r>
      <w:r>
        <w:fldChar w:fldCharType="begin"/>
      </w:r>
      <w:r>
        <w:instrText xml:space="preserve"> PAGEREF _Toc98767882 \h </w:instrText>
      </w:r>
      <w:r>
        <w:fldChar w:fldCharType="separate"/>
      </w:r>
      <w:r>
        <w:t>73</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Obstruction or hindrance of certain works penalised</w:t>
      </w:r>
      <w:r>
        <w:tab/>
      </w:r>
      <w:r>
        <w:fldChar w:fldCharType="begin"/>
      </w:r>
      <w:r>
        <w:instrText xml:space="preserve"> PAGEREF _Toc98767883 \h </w:instrText>
      </w:r>
      <w:r>
        <w:fldChar w:fldCharType="separate"/>
      </w:r>
      <w:r>
        <w:t>73</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Procedure when local government undertakes work</w:t>
      </w:r>
      <w:r>
        <w:tab/>
      </w:r>
      <w:r>
        <w:fldChar w:fldCharType="begin"/>
      </w:r>
      <w:r>
        <w:instrText xml:space="preserve"> PAGEREF _Toc98767884 \h </w:instrText>
      </w:r>
      <w:r>
        <w:fldChar w:fldCharType="separate"/>
      </w:r>
      <w:r>
        <w:t>74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Cleansing common courts and passages</w:t>
      </w:r>
      <w:r>
        <w:tab/>
      </w:r>
      <w:r>
        <w:fldChar w:fldCharType="begin"/>
      </w:r>
      <w:r>
        <w:instrText xml:space="preserve"> PAGEREF _Toc98767885 \h </w:instrText>
      </w:r>
      <w:r>
        <w:fldChar w:fldCharType="separate"/>
      </w:r>
      <w:r>
        <w:t>74</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Reserves for deposit of sewage, rubbish or refuse</w:t>
      </w:r>
      <w:r>
        <w:tab/>
      </w:r>
      <w:r>
        <w:fldChar w:fldCharType="begin"/>
      </w:r>
      <w:r>
        <w:instrText xml:space="preserve"> PAGEREF _Toc98767886 \h </w:instrText>
      </w:r>
      <w:r>
        <w:fldChar w:fldCharType="separate"/>
      </w:r>
      <w:r>
        <w:t>75</w:t>
      </w:r>
      <w:r>
        <w:fldChar w:fldCharType="end"/>
      </w:r>
    </w:p>
    <w:p>
      <w:pPr>
        <w:pStyle w:val="TOC8"/>
        <w:rPr>
          <w:rFonts w:asciiTheme="minorHAnsi" w:eastAsiaTheme="minorEastAsia" w:hAnsiTheme="minorHAnsi" w:cstheme="minorBidi"/>
          <w:szCs w:val="22"/>
        </w:rPr>
      </w:pPr>
      <w:r>
        <w:lastRenderedPageBreak/>
        <w:t>120</w:t>
      </w:r>
      <w:r>
        <w:rPr>
          <w:snapToGrid w:val="0"/>
        </w:rPr>
        <w:t>.</w:t>
      </w:r>
      <w:r>
        <w:rPr>
          <w:snapToGrid w:val="0"/>
        </w:rPr>
        <w:tab/>
        <w:t>Power to close depots</w:t>
      </w:r>
      <w:r>
        <w:tab/>
      </w:r>
      <w:r>
        <w:fldChar w:fldCharType="begin"/>
      </w:r>
      <w:r>
        <w:instrText xml:space="preserve"> PAGEREF _Toc98767887 \h </w:instrText>
      </w:r>
      <w:r>
        <w:fldChar w:fldCharType="separate"/>
      </w:r>
      <w:r>
        <w:t>75</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Building on sanitary depots</w:t>
      </w:r>
      <w:r>
        <w:tab/>
      </w:r>
      <w:r>
        <w:fldChar w:fldCharType="begin"/>
      </w:r>
      <w:r>
        <w:instrText xml:space="preserve"> PAGEREF _Toc98767888 \h </w:instrText>
      </w:r>
      <w:r>
        <w:fldChar w:fldCharType="separate"/>
      </w:r>
      <w:r>
        <w:t>76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Provision for obtaining order for cleansing offensive watercourse or ditch on boundaries of districts</w:t>
      </w:r>
      <w:r>
        <w:tab/>
      </w:r>
      <w:r>
        <w:fldChar w:fldCharType="begin"/>
      </w:r>
      <w:r>
        <w:instrText xml:space="preserve"> PAGEREF _Toc98767889 \h </w:instrText>
      </w:r>
      <w:r>
        <w:fldChar w:fldCharType="separate"/>
      </w:r>
      <w:r>
        <w:t>76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Access to sanitary reserves</w:t>
      </w:r>
      <w:r>
        <w:tab/>
      </w:r>
      <w:r>
        <w:fldChar w:fldCharType="begin"/>
      </w:r>
      <w:r>
        <w:instrText xml:space="preserve"> PAGEREF _Toc98767890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Pollution of water</w:t>
      </w:r>
    </w:p>
    <w:p>
      <w:pPr>
        <w:pStyle w:val="TOC8"/>
        <w:rPr>
          <w:rFonts w:asciiTheme="minorHAnsi" w:eastAsiaTheme="minorEastAsia" w:hAnsiTheme="minorHAnsi" w:cstheme="minorBidi"/>
          <w:szCs w:val="22"/>
        </w:rPr>
      </w:pPr>
      <w:r>
        <w:t>129</w:t>
      </w:r>
      <w:r>
        <w:rPr>
          <w:snapToGrid w:val="0"/>
        </w:rPr>
        <w:t>.</w:t>
      </w:r>
      <w:r>
        <w:rPr>
          <w:snapToGrid w:val="0"/>
        </w:rPr>
        <w:tab/>
        <w:t>Pollution of water supply</w:t>
      </w:r>
      <w:r>
        <w:tab/>
      </w:r>
      <w:r>
        <w:fldChar w:fldCharType="begin"/>
      </w:r>
      <w:r>
        <w:instrText xml:space="preserve"> PAGEREF _Toc98767892 \h </w:instrText>
      </w:r>
      <w:r>
        <w:fldChar w:fldCharType="separate"/>
      </w:r>
      <w:r>
        <w:t>79</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Riparian rights</w:t>
      </w:r>
      <w:r>
        <w:tab/>
      </w:r>
      <w:r>
        <w:fldChar w:fldCharType="begin"/>
      </w:r>
      <w:r>
        <w:instrText xml:space="preserve"> PAGEREF _Toc98767893 \h </w:instrText>
      </w:r>
      <w:r>
        <w:fldChar w:fldCharType="separate"/>
      </w:r>
      <w:r>
        <w:t>80</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Sources of water supply may be closed</w:t>
      </w:r>
      <w:r>
        <w:tab/>
      </w:r>
      <w:r>
        <w:fldChar w:fldCharType="begin"/>
      </w:r>
      <w:r>
        <w:instrText xml:space="preserve"> PAGEREF _Toc98767894 \h </w:instrText>
      </w:r>
      <w:r>
        <w:fldChar w:fldCharType="separate"/>
      </w:r>
      <w:r>
        <w:t>80</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Power to seize and destroy pigs etc. trespassing on rivers etc.</w:t>
      </w:r>
      <w:r>
        <w:tab/>
      </w:r>
      <w:r>
        <w:fldChar w:fldCharType="begin"/>
      </w:r>
      <w:r>
        <w:instrText xml:space="preserve"> PAGEREF _Toc98767895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Morgues</w:t>
      </w:r>
    </w:p>
    <w:p>
      <w:pPr>
        <w:pStyle w:val="TOC8"/>
        <w:rPr>
          <w:rFonts w:asciiTheme="minorHAnsi" w:eastAsiaTheme="minorEastAsia" w:hAnsiTheme="minorHAnsi" w:cstheme="minorBidi"/>
          <w:szCs w:val="22"/>
        </w:rPr>
      </w:pPr>
      <w:r>
        <w:t>133</w:t>
      </w:r>
      <w:r>
        <w:rPr>
          <w:snapToGrid w:val="0"/>
        </w:rPr>
        <w:t>.</w:t>
      </w:r>
      <w:r>
        <w:rPr>
          <w:snapToGrid w:val="0"/>
        </w:rPr>
        <w:tab/>
        <w:t>Local government may license morgues</w:t>
      </w:r>
      <w:r>
        <w:tab/>
      </w:r>
      <w:r>
        <w:fldChar w:fldCharType="begin"/>
      </w:r>
      <w:r>
        <w:instrText xml:space="preserve"> PAGEREF _Toc98767897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Local laws</w:t>
      </w:r>
    </w:p>
    <w:p>
      <w:pPr>
        <w:pStyle w:val="TOC8"/>
        <w:rPr>
          <w:rFonts w:asciiTheme="minorHAnsi" w:eastAsiaTheme="minorEastAsia" w:hAnsiTheme="minorHAnsi" w:cstheme="minorBidi"/>
          <w:szCs w:val="22"/>
        </w:rPr>
      </w:pPr>
      <w:r>
        <w:t>134</w:t>
      </w:r>
      <w:r>
        <w:rPr>
          <w:snapToGrid w:val="0"/>
        </w:rPr>
        <w:t>.</w:t>
      </w:r>
      <w:r>
        <w:rPr>
          <w:snapToGrid w:val="0"/>
        </w:rPr>
        <w:tab/>
        <w:t>Purposes for which local laws may be made</w:t>
      </w:r>
      <w:r>
        <w:tab/>
      </w:r>
      <w:r>
        <w:fldChar w:fldCharType="begin"/>
      </w:r>
      <w:r>
        <w:instrText xml:space="preserve"> PAGEREF _Toc98767899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V — Dwellings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Houses unfit for occupation</w:t>
      </w:r>
    </w:p>
    <w:p>
      <w:pPr>
        <w:pStyle w:val="TOC8"/>
        <w:rPr>
          <w:rFonts w:asciiTheme="minorHAnsi" w:eastAsiaTheme="minorEastAsia" w:hAnsiTheme="minorHAnsi" w:cstheme="minorBidi"/>
          <w:szCs w:val="22"/>
        </w:rPr>
      </w:pPr>
      <w:r>
        <w:t>135</w:t>
      </w:r>
      <w:r>
        <w:rPr>
          <w:snapToGrid w:val="0"/>
        </w:rPr>
        <w:t>.</w:t>
      </w:r>
      <w:r>
        <w:rPr>
          <w:snapToGrid w:val="0"/>
        </w:rPr>
        <w:tab/>
        <w:t>Dwellings unfit for habitation</w:t>
      </w:r>
      <w:r>
        <w:tab/>
      </w:r>
      <w:r>
        <w:fldChar w:fldCharType="begin"/>
      </w:r>
      <w:r>
        <w:instrText xml:space="preserve"> PAGEREF _Toc98767902 \h </w:instrText>
      </w:r>
      <w:r>
        <w:fldChar w:fldCharType="separate"/>
      </w:r>
      <w:r>
        <w:t>89</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Such house not to be let or occupied</w:t>
      </w:r>
      <w:r>
        <w:tab/>
      </w:r>
      <w:r>
        <w:fldChar w:fldCharType="begin"/>
      </w:r>
      <w:r>
        <w:instrText xml:space="preserve"> PAGEREF _Toc98767903 \h </w:instrText>
      </w:r>
      <w:r>
        <w:fldChar w:fldCharType="separate"/>
      </w:r>
      <w:r>
        <w:t>89</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Condemned building to be amended or removed</w:t>
      </w:r>
      <w:r>
        <w:tab/>
      </w:r>
      <w:r>
        <w:fldChar w:fldCharType="begin"/>
      </w:r>
      <w:r>
        <w:instrText xml:space="preserve"> PAGEREF _Toc98767904 \h </w:instrText>
      </w:r>
      <w:r>
        <w:fldChar w:fldCharType="separate"/>
      </w:r>
      <w:r>
        <w:t>89</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Land to be cleaned up after removal of house or building therefrom</w:t>
      </w:r>
      <w:r>
        <w:tab/>
      </w:r>
      <w:r>
        <w:fldChar w:fldCharType="begin"/>
      </w:r>
      <w:r>
        <w:instrText xml:space="preserve"> PAGEREF _Toc98767905 \h </w:instrText>
      </w:r>
      <w:r>
        <w:fldChar w:fldCharType="separate"/>
      </w:r>
      <w:r>
        <w:t>90</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Owner may be required to clean or repair house</w:t>
      </w:r>
      <w:r>
        <w:tab/>
      </w:r>
      <w:r>
        <w:fldChar w:fldCharType="begin"/>
      </w:r>
      <w:r>
        <w:instrText xml:space="preserve"> PAGEREF _Toc98767906 \h </w:instrText>
      </w:r>
      <w:r>
        <w:fldChar w:fldCharType="separate"/>
      </w:r>
      <w:r>
        <w:t>90</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Local government may act in default of owner</w:t>
      </w:r>
      <w:r>
        <w:tab/>
      </w:r>
      <w:r>
        <w:fldChar w:fldCharType="begin"/>
      </w:r>
      <w:r>
        <w:instrText xml:space="preserve"> PAGEREF _Toc98767907 \h </w:instrText>
      </w:r>
      <w:r>
        <w:fldChar w:fldCharType="separate"/>
      </w:r>
      <w:r>
        <w:t>90</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Penalty for erecting buildings on ground filled up with offensive matter</w:t>
      </w:r>
      <w:r>
        <w:tab/>
      </w:r>
      <w:r>
        <w:fldChar w:fldCharType="begin"/>
      </w:r>
      <w:r>
        <w:instrText xml:space="preserve"> PAGEREF _Toc98767908 \h </w:instrText>
      </w:r>
      <w:r>
        <w:fldChar w:fldCharType="separate"/>
      </w:r>
      <w:r>
        <w:t>91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Occupying cellar dwellings</w:t>
      </w:r>
      <w:r>
        <w:tab/>
      </w:r>
      <w:r>
        <w:fldChar w:fldCharType="begin"/>
      </w:r>
      <w:r>
        <w:instrText xml:space="preserve"> PAGEREF _Toc98767909 \h </w:instrText>
      </w:r>
      <w:r>
        <w:fldChar w:fldCharType="separate"/>
      </w:r>
      <w:r>
        <w:t>92</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Plans of buildings to be submitted to local government</w:t>
      </w:r>
      <w:r>
        <w:tab/>
      </w:r>
      <w:r>
        <w:fldChar w:fldCharType="begin"/>
      </w:r>
      <w:r>
        <w:instrText xml:space="preserve"> PAGEREF _Toc98767910 \h </w:instrText>
      </w:r>
      <w:r>
        <w:fldChar w:fldCharType="separate"/>
      </w:r>
      <w:r>
        <w:t>92</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Building not erected as dwelling not to be converted into one</w:t>
      </w:r>
      <w:r>
        <w:tab/>
      </w:r>
      <w:r>
        <w:fldChar w:fldCharType="begin"/>
      </w:r>
      <w:r>
        <w:instrText xml:space="preserve"> PAGEREF _Toc98767911 \h </w:instrText>
      </w:r>
      <w:r>
        <w:fldChar w:fldCharType="separate"/>
      </w:r>
      <w:r>
        <w:t>93</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Authorised officer may order house or things to be cleansed</w:t>
      </w:r>
      <w:r>
        <w:tab/>
      </w:r>
      <w:r>
        <w:fldChar w:fldCharType="begin"/>
      </w:r>
      <w:r>
        <w:instrText xml:space="preserve"> PAGEREF _Toc98767912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Lodging</w:t>
      </w:r>
      <w:r>
        <w:noBreakHyphen/>
        <w:t>houses</w:t>
      </w:r>
    </w:p>
    <w:p>
      <w:pPr>
        <w:pStyle w:val="TOC8"/>
        <w:rPr>
          <w:rFonts w:asciiTheme="minorHAnsi" w:eastAsiaTheme="minorEastAsia" w:hAnsiTheme="minorHAnsi" w:cstheme="minorBidi"/>
          <w:szCs w:val="22"/>
        </w:rPr>
      </w:pPr>
      <w:r>
        <w:t>146</w:t>
      </w:r>
      <w:r>
        <w:rPr>
          <w:snapToGrid w:val="0"/>
        </w:rPr>
        <w:t>.</w:t>
      </w:r>
      <w:r>
        <w:rPr>
          <w:snapToGrid w:val="0"/>
        </w:rPr>
        <w:tab/>
        <w:t>Registers of lodging</w:t>
      </w:r>
      <w:r>
        <w:rPr>
          <w:snapToGrid w:val="0"/>
        </w:rPr>
        <w:noBreakHyphen/>
        <w:t>houses</w:t>
      </w:r>
      <w:r>
        <w:tab/>
      </w:r>
      <w:r>
        <w:fldChar w:fldCharType="begin"/>
      </w:r>
      <w:r>
        <w:instrText xml:space="preserve"> PAGEREF _Toc98767914 \h </w:instrText>
      </w:r>
      <w:r>
        <w:fldChar w:fldCharType="separate"/>
      </w:r>
      <w:r>
        <w:t>94</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Registration</w:t>
      </w:r>
      <w:r>
        <w:tab/>
      </w:r>
      <w:r>
        <w:fldChar w:fldCharType="begin"/>
      </w:r>
      <w:r>
        <w:instrText xml:space="preserve"> PAGEREF _Toc98767915 \h </w:instrText>
      </w:r>
      <w:r>
        <w:fldChar w:fldCharType="separate"/>
      </w:r>
      <w:r>
        <w:t>94</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Conditions of registration</w:t>
      </w:r>
      <w:r>
        <w:tab/>
      </w:r>
      <w:r>
        <w:fldChar w:fldCharType="begin"/>
      </w:r>
      <w:r>
        <w:instrText xml:space="preserve"> PAGEREF _Toc98767916 \h </w:instrText>
      </w:r>
      <w:r>
        <w:fldChar w:fldCharType="separate"/>
      </w:r>
      <w:r>
        <w:t>95</w:t>
      </w:r>
      <w:r>
        <w:fldChar w:fldCharType="end"/>
      </w:r>
    </w:p>
    <w:p>
      <w:pPr>
        <w:pStyle w:val="TOC8"/>
        <w:rPr>
          <w:rFonts w:asciiTheme="minorHAnsi" w:eastAsiaTheme="minorEastAsia" w:hAnsiTheme="minorHAnsi" w:cstheme="minorBidi"/>
          <w:szCs w:val="22"/>
        </w:rPr>
      </w:pPr>
      <w:r>
        <w:lastRenderedPageBreak/>
        <w:t>149</w:t>
      </w:r>
      <w:r>
        <w:rPr>
          <w:snapToGrid w:val="0"/>
        </w:rPr>
        <w:t>.</w:t>
      </w:r>
      <w:r>
        <w:rPr>
          <w:snapToGrid w:val="0"/>
        </w:rPr>
        <w:tab/>
        <w:t>Notice of registration to be affixed</w:t>
      </w:r>
      <w:r>
        <w:tab/>
      </w:r>
      <w:r>
        <w:fldChar w:fldCharType="begin"/>
      </w:r>
      <w:r>
        <w:instrText xml:space="preserve"> PAGEREF _Toc98767917 \h </w:instrText>
      </w:r>
      <w:r>
        <w:fldChar w:fldCharType="separate"/>
      </w:r>
      <w:r>
        <w:t>95</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Supply of water</w:t>
      </w:r>
      <w:r>
        <w:tab/>
      </w:r>
      <w:r>
        <w:fldChar w:fldCharType="begin"/>
      </w:r>
      <w:r>
        <w:instrText xml:space="preserve"> PAGEREF _Toc98767918 \h </w:instrText>
      </w:r>
      <w:r>
        <w:fldChar w:fldCharType="separate"/>
      </w:r>
      <w:r>
        <w:t>95</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Cleansing of walls etc.</w:t>
      </w:r>
      <w:r>
        <w:tab/>
      </w:r>
      <w:r>
        <w:fldChar w:fldCharType="begin"/>
      </w:r>
      <w:r>
        <w:instrText xml:space="preserve"> PAGEREF _Toc98767919 \h </w:instrText>
      </w:r>
      <w:r>
        <w:fldChar w:fldCharType="separate"/>
      </w:r>
      <w:r>
        <w:t>96</w:t>
      </w:r>
      <w:r>
        <w:fldChar w:fldCharType="end"/>
      </w:r>
    </w:p>
    <w:p>
      <w:pPr>
        <w:pStyle w:val="TOC8"/>
        <w:rPr>
          <w:rFonts w:asciiTheme="minorHAnsi" w:eastAsiaTheme="minorEastAsia" w:hAnsiTheme="minorHAnsi" w:cstheme="minorBidi"/>
          <w:szCs w:val="22"/>
        </w:rPr>
      </w:pPr>
      <w:r>
        <w:rPr>
          <w:snapToGrid w:val="0"/>
        </w:rPr>
        <w:t>152.</w:t>
      </w:r>
      <w:r>
        <w:rPr>
          <w:snapToGrid w:val="0"/>
        </w:rPr>
        <w:tab/>
        <w:t>Notification of disease</w:t>
      </w:r>
      <w:r>
        <w:tab/>
      </w:r>
      <w:r>
        <w:fldChar w:fldCharType="begin"/>
      </w:r>
      <w:r>
        <w:instrText xml:space="preserve"> PAGEREF _Toc98767920 \h </w:instrText>
      </w:r>
      <w:r>
        <w:fldChar w:fldCharType="separate"/>
      </w:r>
      <w:r>
        <w:t>96</w:t>
      </w:r>
      <w:r>
        <w:fldChar w:fldCharType="end"/>
      </w:r>
    </w:p>
    <w:p>
      <w:pPr>
        <w:pStyle w:val="TOC8"/>
        <w:rPr>
          <w:rFonts w:asciiTheme="minorHAnsi" w:eastAsiaTheme="minorEastAsia" w:hAnsiTheme="minorHAnsi" w:cstheme="minorBidi"/>
          <w:szCs w:val="22"/>
        </w:rPr>
      </w:pPr>
      <w:r>
        <w:rPr>
          <w:snapToGrid w:val="0"/>
        </w:rPr>
        <w:t>153.</w:t>
      </w:r>
      <w:r>
        <w:rPr>
          <w:snapToGrid w:val="0"/>
        </w:rPr>
        <w:tab/>
        <w:t>Inspection</w:t>
      </w:r>
      <w:r>
        <w:tab/>
      </w:r>
      <w:r>
        <w:fldChar w:fldCharType="begin"/>
      </w:r>
      <w:r>
        <w:instrText xml:space="preserve"> PAGEREF _Toc98767921 \h </w:instrText>
      </w:r>
      <w:r>
        <w:fldChar w:fldCharType="separate"/>
      </w:r>
      <w:r>
        <w:t>96</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Offences by keepers</w:t>
      </w:r>
      <w:r>
        <w:tab/>
      </w:r>
      <w:r>
        <w:fldChar w:fldCharType="begin"/>
      </w:r>
      <w:r>
        <w:instrText xml:space="preserve"> PAGEREF _Toc98767922 \h </w:instrText>
      </w:r>
      <w:r>
        <w:fldChar w:fldCharType="separate"/>
      </w:r>
      <w:r>
        <w:t>96</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Conviction for third offence</w:t>
      </w:r>
      <w:r>
        <w:tab/>
      </w:r>
      <w:r>
        <w:fldChar w:fldCharType="begin"/>
      </w:r>
      <w:r>
        <w:instrText xml:space="preserve"> PAGEREF _Toc98767923 \h </w:instrText>
      </w:r>
      <w:r>
        <w:fldChar w:fldCharType="separate"/>
      </w:r>
      <w:r>
        <w:t>97</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Lodging</w:t>
      </w:r>
      <w:r>
        <w:rPr>
          <w:snapToGrid w:val="0"/>
        </w:rPr>
        <w:noBreakHyphen/>
        <w:t>house keepers to report deaths</w:t>
      </w:r>
      <w:r>
        <w:tab/>
      </w:r>
      <w:r>
        <w:fldChar w:fldCharType="begin"/>
      </w:r>
      <w:r>
        <w:instrText xml:space="preserve"> PAGEREF _Toc98767924 \h </w:instrText>
      </w:r>
      <w:r>
        <w:fldChar w:fldCharType="separate"/>
      </w:r>
      <w:r>
        <w:t>97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Register of lodgers to be kept</w:t>
      </w:r>
      <w:r>
        <w:tab/>
      </w:r>
      <w:r>
        <w:fldChar w:fldCharType="begin"/>
      </w:r>
      <w:r>
        <w:instrText xml:space="preserve"> PAGEREF _Toc98767925 \h </w:instrText>
      </w:r>
      <w:r>
        <w:fldChar w:fldCharType="separate"/>
      </w:r>
      <w:r>
        <w:t>97</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Local laws in respect of lodging</w:t>
      </w:r>
      <w:r>
        <w:rPr>
          <w:snapToGrid w:val="0"/>
        </w:rPr>
        <w:noBreakHyphen/>
        <w:t>house</w:t>
      </w:r>
      <w:r>
        <w:tab/>
      </w:r>
      <w:r>
        <w:fldChar w:fldCharType="begin"/>
      </w:r>
      <w:r>
        <w:instrText xml:space="preserve"> PAGEREF _Toc98767926 \h </w:instrText>
      </w:r>
      <w:r>
        <w:fldChar w:fldCharType="separate"/>
      </w:r>
      <w:r>
        <w:t>98</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Evidence as to family in proceedings</w:t>
      </w:r>
      <w:r>
        <w:tab/>
      </w:r>
      <w:r>
        <w:fldChar w:fldCharType="begin"/>
      </w:r>
      <w:r>
        <w:instrText xml:space="preserve"> PAGEREF _Toc98767927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VI — Public buildings</w:t>
      </w:r>
    </w:p>
    <w:p>
      <w:pPr>
        <w:pStyle w:val="TOC8"/>
        <w:rPr>
          <w:rFonts w:asciiTheme="minorHAnsi" w:eastAsiaTheme="minorEastAsia" w:hAnsiTheme="minorHAnsi" w:cstheme="minorBidi"/>
          <w:szCs w:val="22"/>
        </w:rPr>
      </w:pPr>
      <w:r>
        <w:t>173</w:t>
      </w:r>
      <w:r>
        <w:rPr>
          <w:snapToGrid w:val="0"/>
        </w:rPr>
        <w:t>.</w:t>
      </w:r>
      <w:r>
        <w:rPr>
          <w:snapToGrid w:val="0"/>
        </w:rPr>
        <w:tab/>
        <w:t>Terms used</w:t>
      </w:r>
      <w:r>
        <w:tab/>
      </w:r>
      <w:r>
        <w:fldChar w:fldCharType="begin"/>
      </w:r>
      <w:r>
        <w:instrText xml:space="preserve"> PAGEREF _Toc98767929 \h </w:instrText>
      </w:r>
      <w:r>
        <w:fldChar w:fldCharType="separate"/>
      </w:r>
      <w:r>
        <w:t>101</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Application to Crown</w:t>
      </w:r>
      <w:r>
        <w:tab/>
      </w:r>
      <w:r>
        <w:fldChar w:fldCharType="begin"/>
      </w:r>
      <w:r>
        <w:instrText xml:space="preserve"> PAGEREF _Toc98767930 \h </w:instrText>
      </w:r>
      <w:r>
        <w:fldChar w:fldCharType="separate"/>
      </w:r>
      <w:r>
        <w:t>102</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Relationship to other laws</w:t>
      </w:r>
      <w:r>
        <w:tab/>
      </w:r>
      <w:r>
        <w:fldChar w:fldCharType="begin"/>
      </w:r>
      <w:r>
        <w:instrText xml:space="preserve"> PAGEREF _Toc98767931 \h </w:instrText>
      </w:r>
      <w:r>
        <w:fldChar w:fldCharType="separate"/>
      </w:r>
      <w:r>
        <w:t>102</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Approval of plans</w:t>
      </w:r>
      <w:r>
        <w:tab/>
      </w:r>
      <w:r>
        <w:fldChar w:fldCharType="begin"/>
      </w:r>
      <w:r>
        <w:instrText xml:space="preserve"> PAGEREF _Toc98767932 \h </w:instrText>
      </w:r>
      <w:r>
        <w:fldChar w:fldCharType="separate"/>
      </w:r>
      <w:r>
        <w:t>102</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Approval</w:t>
      </w:r>
      <w:r>
        <w:tab/>
      </w:r>
      <w:r>
        <w:fldChar w:fldCharType="begin"/>
      </w:r>
      <w:r>
        <w:instrText xml:space="preserve"> PAGEREF _Toc98767933 \h </w:instrText>
      </w:r>
      <w:r>
        <w:fldChar w:fldCharType="separate"/>
      </w:r>
      <w:r>
        <w:t>103</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Certificate of approval</w:t>
      </w:r>
      <w:r>
        <w:tab/>
      </w:r>
      <w:r>
        <w:fldChar w:fldCharType="begin"/>
      </w:r>
      <w:r>
        <w:instrText xml:space="preserve"> PAGEREF _Toc98767934 \h </w:instrText>
      </w:r>
      <w:r>
        <w:fldChar w:fldCharType="separate"/>
      </w:r>
      <w:r>
        <w:t>103</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Inspection and control of public buildings</w:t>
      </w:r>
      <w:r>
        <w:tab/>
      </w:r>
      <w:r>
        <w:fldChar w:fldCharType="begin"/>
      </w:r>
      <w:r>
        <w:instrText xml:space="preserve"> PAGEREF _Toc98767935 \h </w:instrText>
      </w:r>
      <w:r>
        <w:fldChar w:fldCharType="separate"/>
      </w:r>
      <w:r>
        <w:t>104</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Regulations</w:t>
      </w:r>
      <w:r>
        <w:tab/>
      </w:r>
      <w:r>
        <w:fldChar w:fldCharType="begin"/>
      </w:r>
      <w:r>
        <w:instrText xml:space="preserve"> PAGEREF _Toc98767936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VII — Nuisances and offensive trades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Nuisances</w:t>
      </w:r>
    </w:p>
    <w:p>
      <w:pPr>
        <w:pStyle w:val="TOC8"/>
        <w:rPr>
          <w:rFonts w:asciiTheme="minorHAnsi" w:eastAsiaTheme="minorEastAsia" w:hAnsiTheme="minorHAnsi" w:cstheme="minorBidi"/>
          <w:szCs w:val="22"/>
        </w:rPr>
      </w:pPr>
      <w:r>
        <w:t>181</w:t>
      </w:r>
      <w:r>
        <w:rPr>
          <w:snapToGrid w:val="0"/>
        </w:rPr>
        <w:t>.</w:t>
      </w:r>
      <w:r>
        <w:rPr>
          <w:snapToGrid w:val="0"/>
        </w:rPr>
        <w:tab/>
        <w:t>Removal of offensive matter</w:t>
      </w:r>
      <w:r>
        <w:tab/>
      </w:r>
      <w:r>
        <w:fldChar w:fldCharType="begin"/>
      </w:r>
      <w:r>
        <w:instrText xml:space="preserve"> PAGEREF _Toc98767939 \h </w:instrText>
      </w:r>
      <w:r>
        <w:fldChar w:fldCharType="separate"/>
      </w:r>
      <w:r>
        <w:t>109</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Definition of nuisances</w:t>
      </w:r>
      <w:r>
        <w:tab/>
      </w:r>
      <w:r>
        <w:fldChar w:fldCharType="begin"/>
      </w:r>
      <w:r>
        <w:instrText xml:space="preserve"> PAGEREF _Toc98767940 \h </w:instrText>
      </w:r>
      <w:r>
        <w:fldChar w:fldCharType="separate"/>
      </w:r>
      <w:r>
        <w:t>110</w:t>
      </w:r>
      <w:r>
        <w:fldChar w:fldCharType="end"/>
      </w:r>
    </w:p>
    <w:p>
      <w:pPr>
        <w:pStyle w:val="TOC8"/>
        <w:rPr>
          <w:rFonts w:asciiTheme="minorHAnsi" w:eastAsiaTheme="minorEastAsia" w:hAnsiTheme="minorHAnsi" w:cstheme="minorBidi"/>
          <w:szCs w:val="22"/>
        </w:rPr>
      </w:pPr>
      <w:r>
        <w:t>182A</w:t>
      </w:r>
      <w:r>
        <w:rPr>
          <w:snapToGrid w:val="0"/>
        </w:rPr>
        <w:t>.</w:t>
      </w:r>
      <w:r>
        <w:rPr>
          <w:snapToGrid w:val="0"/>
        </w:rPr>
        <w:tab/>
        <w:t>Regulations as to section 182(13)</w:t>
      </w:r>
      <w:r>
        <w:tab/>
      </w:r>
      <w:r>
        <w:fldChar w:fldCharType="begin"/>
      </w:r>
      <w:r>
        <w:instrText xml:space="preserve"> PAGEREF _Toc98767941 \h </w:instrText>
      </w:r>
      <w:r>
        <w:fldChar w:fldCharType="separate"/>
      </w:r>
      <w:r>
        <w:t>112</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Immediate action in respect of nuisances</w:t>
      </w:r>
      <w:r>
        <w:tab/>
      </w:r>
      <w:r>
        <w:fldChar w:fldCharType="begin"/>
      </w:r>
      <w:r>
        <w:instrText xml:space="preserve"> PAGEREF _Toc98767942 \h </w:instrText>
      </w:r>
      <w:r>
        <w:fldChar w:fldCharType="separate"/>
      </w:r>
      <w:r>
        <w:t>113</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Mode of dealing with nuisances</w:t>
      </w:r>
      <w:r>
        <w:tab/>
      </w:r>
      <w:r>
        <w:fldChar w:fldCharType="begin"/>
      </w:r>
      <w:r>
        <w:instrText xml:space="preserve"> PAGEREF _Toc98767943 \h </w:instrText>
      </w:r>
      <w:r>
        <w:fldChar w:fldCharType="separate"/>
      </w:r>
      <w:r>
        <w:t>113</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Proceedings when nuisance caused by default outside district</w:t>
      </w:r>
      <w:r>
        <w:tab/>
      </w:r>
      <w:r>
        <w:fldChar w:fldCharType="begin"/>
      </w:r>
      <w:r>
        <w:instrText xml:space="preserve"> PAGEREF _Toc98767944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Offensive trades</w:t>
      </w:r>
    </w:p>
    <w:p>
      <w:pPr>
        <w:pStyle w:val="TOC8"/>
        <w:rPr>
          <w:rFonts w:asciiTheme="minorHAnsi" w:eastAsiaTheme="minorEastAsia" w:hAnsiTheme="minorHAnsi" w:cstheme="minorBidi"/>
          <w:szCs w:val="22"/>
        </w:rPr>
      </w:pPr>
      <w:r>
        <w:t>186</w:t>
      </w:r>
      <w:r>
        <w:rPr>
          <w:snapToGrid w:val="0"/>
        </w:rPr>
        <w:t>.</w:t>
      </w:r>
      <w:r>
        <w:rPr>
          <w:snapToGrid w:val="0"/>
        </w:rPr>
        <w:tab/>
        <w:t>Term used: offensive trade</w:t>
      </w:r>
      <w:r>
        <w:tab/>
      </w:r>
      <w:r>
        <w:fldChar w:fldCharType="begin"/>
      </w:r>
      <w:r>
        <w:instrText xml:space="preserve"> PAGEREF _Toc98767946 \h </w:instrText>
      </w:r>
      <w:r>
        <w:fldChar w:fldCharType="separate"/>
      </w:r>
      <w:r>
        <w:t>114</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Consent necessary for establishing offensive trade</w:t>
      </w:r>
      <w:r>
        <w:tab/>
      </w:r>
      <w:r>
        <w:fldChar w:fldCharType="begin"/>
      </w:r>
      <w:r>
        <w:instrText xml:space="preserve"> PAGEREF _Toc98767947 \h </w:instrText>
      </w:r>
      <w:r>
        <w:fldChar w:fldCharType="separate"/>
      </w:r>
      <w:r>
        <w:t>115</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Penalty for breach</w:t>
      </w:r>
      <w:r>
        <w:tab/>
      </w:r>
      <w:r>
        <w:fldChar w:fldCharType="begin"/>
      </w:r>
      <w:r>
        <w:instrText xml:space="preserve"> PAGEREF _Toc98767948 \h </w:instrText>
      </w:r>
      <w:r>
        <w:fldChar w:fldCharType="separate"/>
      </w:r>
      <w:r>
        <w:t>115</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Penalty for illegally carrying on offensive trade</w:t>
      </w:r>
      <w:r>
        <w:tab/>
      </w:r>
      <w:r>
        <w:fldChar w:fldCharType="begin"/>
      </w:r>
      <w:r>
        <w:instrText xml:space="preserve"> PAGEREF _Toc98767949 \h </w:instrText>
      </w:r>
      <w:r>
        <w:fldChar w:fldCharType="separate"/>
      </w:r>
      <w:r>
        <w:t>115</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Local laws regulating offensive trades</w:t>
      </w:r>
      <w:r>
        <w:tab/>
      </w:r>
      <w:r>
        <w:fldChar w:fldCharType="begin"/>
      </w:r>
      <w:r>
        <w:instrText xml:space="preserve"> PAGEREF _Toc98767950 \h </w:instrText>
      </w:r>
      <w:r>
        <w:fldChar w:fldCharType="separate"/>
      </w:r>
      <w:r>
        <w:t>116</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Offensive trades to be registered</w:t>
      </w:r>
      <w:r>
        <w:tab/>
      </w:r>
      <w:r>
        <w:fldChar w:fldCharType="begin"/>
      </w:r>
      <w:r>
        <w:instrText xml:space="preserve"> PAGEREF _Toc98767951 \h </w:instrText>
      </w:r>
      <w:r>
        <w:fldChar w:fldCharType="separate"/>
      </w:r>
      <w:r>
        <w:t>116</w:t>
      </w:r>
      <w:r>
        <w:fldChar w:fldCharType="end"/>
      </w:r>
    </w:p>
    <w:p>
      <w:pPr>
        <w:pStyle w:val="TOC8"/>
        <w:rPr>
          <w:rFonts w:asciiTheme="minorHAnsi" w:eastAsiaTheme="minorEastAsia" w:hAnsiTheme="minorHAnsi" w:cstheme="minorBidi"/>
          <w:szCs w:val="22"/>
        </w:rPr>
      </w:pPr>
      <w:r>
        <w:lastRenderedPageBreak/>
        <w:t>192</w:t>
      </w:r>
      <w:r>
        <w:rPr>
          <w:snapToGrid w:val="0"/>
        </w:rPr>
        <w:t>.</w:t>
      </w:r>
      <w:r>
        <w:rPr>
          <w:snapToGrid w:val="0"/>
        </w:rPr>
        <w:tab/>
        <w:t>Local government may refuse to register or to renew registration</w:t>
      </w:r>
      <w:r>
        <w:tab/>
      </w:r>
      <w:r>
        <w:fldChar w:fldCharType="begin"/>
      </w:r>
      <w:r>
        <w:instrText xml:space="preserve"> PAGEREF _Toc98767952 \h </w:instrText>
      </w:r>
      <w:r>
        <w:fldChar w:fldCharType="separate"/>
      </w:r>
      <w:r>
        <w:t>117</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 to restrict offensive trades to certain portions of proclaimed areas</w:t>
      </w:r>
      <w:r>
        <w:tab/>
      </w:r>
      <w:r>
        <w:fldChar w:fldCharType="begin"/>
      </w:r>
      <w:r>
        <w:instrText xml:space="preserve"> PAGEREF _Toc98767953 \h </w:instrText>
      </w:r>
      <w:r>
        <w:fldChar w:fldCharType="separate"/>
      </w:r>
      <w:r>
        <w:t>117</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Offensive trades</w:t>
      </w:r>
      <w:r>
        <w:tab/>
      </w:r>
      <w:r>
        <w:fldChar w:fldCharType="begin"/>
      </w:r>
      <w:r>
        <w:instrText xml:space="preserve"> PAGEREF _Toc98767954 \h </w:instrText>
      </w:r>
      <w:r>
        <w:fldChar w:fldCharType="separate"/>
      </w:r>
      <w:r>
        <w:t>118</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Construction, drainage and equipment of slaughter</w:t>
      </w:r>
      <w:r>
        <w:rPr>
          <w:snapToGrid w:val="0"/>
        </w:rPr>
        <w:noBreakHyphen/>
        <w:t>houses</w:t>
      </w:r>
      <w:r>
        <w:tab/>
      </w:r>
      <w:r>
        <w:fldChar w:fldCharType="begin"/>
      </w:r>
      <w:r>
        <w:instrText xml:space="preserve"> PAGEREF _Toc98767955 \h </w:instrText>
      </w:r>
      <w:r>
        <w:fldChar w:fldCharType="separate"/>
      </w:r>
      <w:r>
        <w:t>119</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Slaughter</w:t>
      </w:r>
      <w:r>
        <w:rPr>
          <w:snapToGrid w:val="0"/>
        </w:rPr>
        <w:noBreakHyphen/>
        <w:t>houses to be kept in accordance with Act</w:t>
      </w:r>
      <w:r>
        <w:tab/>
      </w:r>
      <w:r>
        <w:fldChar w:fldCharType="begin"/>
      </w:r>
      <w:r>
        <w:instrText xml:space="preserve"> PAGEREF _Toc98767956 \h </w:instrText>
      </w:r>
      <w:r>
        <w:fldChar w:fldCharType="separate"/>
      </w:r>
      <w:r>
        <w:t>119</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No swine, dog or poultry to be kept at slaughter</w:t>
      </w:r>
      <w:r>
        <w:rPr>
          <w:snapToGrid w:val="0"/>
        </w:rPr>
        <w:noBreakHyphen/>
        <w:t>house</w:t>
      </w:r>
      <w:r>
        <w:tab/>
      </w:r>
      <w:r>
        <w:fldChar w:fldCharType="begin"/>
      </w:r>
      <w:r>
        <w:instrText xml:space="preserve"> PAGEREF _Toc98767957 \h </w:instrText>
      </w:r>
      <w:r>
        <w:fldChar w:fldCharType="separate"/>
      </w:r>
      <w:r>
        <w:t>120</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Swine not to be fed on raw offal etc.</w:t>
      </w:r>
      <w:r>
        <w:tab/>
      </w:r>
      <w:r>
        <w:fldChar w:fldCharType="begin"/>
      </w:r>
      <w:r>
        <w:instrText xml:space="preserve"> PAGEREF _Toc98767958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Local laws</w:t>
      </w:r>
    </w:p>
    <w:p>
      <w:pPr>
        <w:pStyle w:val="TOC8"/>
        <w:rPr>
          <w:rFonts w:asciiTheme="minorHAnsi" w:eastAsiaTheme="minorEastAsia" w:hAnsiTheme="minorHAnsi" w:cstheme="minorBidi"/>
          <w:szCs w:val="22"/>
        </w:rPr>
      </w:pPr>
      <w:r>
        <w:t>199</w:t>
      </w:r>
      <w:r>
        <w:rPr>
          <w:snapToGrid w:val="0"/>
        </w:rPr>
        <w:t>.</w:t>
      </w:r>
      <w:r>
        <w:rPr>
          <w:snapToGrid w:val="0"/>
        </w:rPr>
        <w:tab/>
        <w:t>Local laws in respect of nuisances and offensive trades</w:t>
      </w:r>
      <w:r>
        <w:tab/>
      </w:r>
      <w:r>
        <w:fldChar w:fldCharType="begin"/>
      </w:r>
      <w:r>
        <w:instrText xml:space="preserve"> PAGEREF _Toc98767960 \h </w:instrText>
      </w:r>
      <w:r>
        <w:fldChar w:fldCharType="separate"/>
      </w:r>
      <w:r>
        <w:t>120</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Regulations as to medical examinations for persons in prescribed industries</w:t>
      </w:r>
      <w:r>
        <w:tab/>
      </w:r>
      <w:r>
        <w:fldChar w:fldCharType="begin"/>
      </w:r>
      <w:r>
        <w:instrText xml:space="preserve"> PAGEREF _Toc98767961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VIIA</w:t>
      </w:r>
      <w:r>
        <w:rPr>
          <w:b w:val="0"/>
        </w:rPr>
        <w:t> </w:t>
      </w:r>
      <w:r>
        <w:t>—</w:t>
      </w:r>
      <w:r>
        <w:rPr>
          <w:b w:val="0"/>
        </w:rPr>
        <w:t> </w:t>
      </w:r>
      <w:r>
        <w:t>Pesticides</w:t>
      </w:r>
    </w:p>
    <w:p>
      <w:pPr>
        <w:pStyle w:val="TOC4"/>
        <w:tabs>
          <w:tab w:val="right" w:leader="dot" w:pos="7077"/>
        </w:tabs>
        <w:rPr>
          <w:rFonts w:asciiTheme="minorHAnsi" w:eastAsiaTheme="minorEastAsia" w:hAnsiTheme="minorHAnsi" w:cstheme="minorBidi"/>
          <w:b w:val="0"/>
          <w:szCs w:val="22"/>
        </w:rPr>
      </w:pPr>
      <w:r>
        <w:t>Division 1 — Registration of analysts</w:t>
      </w:r>
    </w:p>
    <w:p>
      <w:pPr>
        <w:pStyle w:val="TOC8"/>
        <w:rPr>
          <w:rFonts w:asciiTheme="minorHAnsi" w:eastAsiaTheme="minorEastAsia" w:hAnsiTheme="minorHAnsi" w:cstheme="minorBidi"/>
          <w:szCs w:val="22"/>
        </w:rPr>
      </w:pPr>
      <w:r>
        <w:t>203</w:t>
      </w:r>
      <w:r>
        <w:rPr>
          <w:snapToGrid w:val="0"/>
        </w:rPr>
        <w:t>.</w:t>
      </w:r>
      <w:r>
        <w:rPr>
          <w:snapToGrid w:val="0"/>
        </w:rPr>
        <w:tab/>
        <w:t>Registration of analysts</w:t>
      </w:r>
      <w:r>
        <w:tab/>
      </w:r>
      <w:r>
        <w:fldChar w:fldCharType="begin"/>
      </w:r>
      <w:r>
        <w:instrText xml:space="preserve"> PAGEREF _Toc98767964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Pesticides</w:t>
      </w:r>
    </w:p>
    <w:p>
      <w:pPr>
        <w:pStyle w:val="TOC8"/>
        <w:rPr>
          <w:rFonts w:asciiTheme="minorHAnsi" w:eastAsiaTheme="minorEastAsia" w:hAnsiTheme="minorHAnsi" w:cstheme="minorBidi"/>
          <w:szCs w:val="22"/>
        </w:rPr>
      </w:pPr>
      <w:r>
        <w:t>246</w:t>
      </w:r>
      <w:r>
        <w:rPr>
          <w:snapToGrid w:val="0"/>
        </w:rPr>
        <w:t>.</w:t>
      </w:r>
      <w:r>
        <w:rPr>
          <w:snapToGrid w:val="0"/>
        </w:rPr>
        <w:tab/>
        <w:t>Term used: Pesticides Advisory Committee</w:t>
      </w:r>
      <w:r>
        <w:tab/>
      </w:r>
      <w:r>
        <w:fldChar w:fldCharType="begin"/>
      </w:r>
      <w:r>
        <w:instrText xml:space="preserve"> PAGEREF _Toc98767966 \h </w:instrText>
      </w:r>
      <w:r>
        <w:fldChar w:fldCharType="separate"/>
      </w:r>
      <w:r>
        <w:t>125</w:t>
      </w:r>
      <w:r>
        <w:fldChar w:fldCharType="end"/>
      </w:r>
    </w:p>
    <w:p>
      <w:pPr>
        <w:pStyle w:val="TOC8"/>
        <w:rPr>
          <w:rFonts w:asciiTheme="minorHAnsi" w:eastAsiaTheme="minorEastAsia" w:hAnsiTheme="minorHAnsi" w:cstheme="minorBidi"/>
          <w:szCs w:val="22"/>
        </w:rPr>
      </w:pPr>
      <w:r>
        <w:t>246A</w:t>
      </w:r>
      <w:r>
        <w:rPr>
          <w:snapToGrid w:val="0"/>
        </w:rPr>
        <w:t>.</w:t>
      </w:r>
      <w:r>
        <w:rPr>
          <w:snapToGrid w:val="0"/>
        </w:rPr>
        <w:tab/>
      </w:r>
      <w:r>
        <w:t>C</w:t>
      </w:r>
      <w:r>
        <w:rPr>
          <w:bCs/>
          <w:iCs/>
        </w:rPr>
        <w:t xml:space="preserve">rown bound, but </w:t>
      </w:r>
      <w:r>
        <w:rPr>
          <w:bCs/>
          <w:i/>
          <w:iCs/>
        </w:rPr>
        <w:t>Health Practitioner Regulation National Law (Western Australia)</w:t>
      </w:r>
      <w:r>
        <w:rPr>
          <w:bCs/>
          <w:iCs/>
        </w:rPr>
        <w:t xml:space="preserve"> and </w:t>
      </w:r>
      <w:r>
        <w:rPr>
          <w:i/>
          <w:snapToGrid w:val="0"/>
        </w:rPr>
        <w:t xml:space="preserve">Medicines and Poisons Act 2014 </w:t>
      </w:r>
      <w:r>
        <w:rPr>
          <w:bCs/>
          <w:iCs/>
        </w:rPr>
        <w:t>not affected by Division 8</w:t>
      </w:r>
      <w:r>
        <w:tab/>
      </w:r>
      <w:r>
        <w:fldChar w:fldCharType="begin"/>
      </w:r>
      <w:r>
        <w:instrText xml:space="preserve"> PAGEREF _Toc98767967 \h </w:instrText>
      </w:r>
      <w:r>
        <w:fldChar w:fldCharType="separate"/>
      </w:r>
      <w:r>
        <w:t>125</w:t>
      </w:r>
      <w:r>
        <w:fldChar w:fldCharType="end"/>
      </w:r>
    </w:p>
    <w:p>
      <w:pPr>
        <w:pStyle w:val="TOC8"/>
        <w:rPr>
          <w:rFonts w:asciiTheme="minorHAnsi" w:eastAsiaTheme="minorEastAsia" w:hAnsiTheme="minorHAnsi" w:cstheme="minorBidi"/>
          <w:szCs w:val="22"/>
        </w:rPr>
      </w:pPr>
      <w:r>
        <w:t>246B</w:t>
      </w:r>
      <w:r>
        <w:rPr>
          <w:snapToGrid w:val="0"/>
        </w:rPr>
        <w:t xml:space="preserve">. </w:t>
      </w:r>
      <w:r>
        <w:rPr>
          <w:snapToGrid w:val="0"/>
        </w:rPr>
        <w:tab/>
        <w:t>Pesticides Advisory Committee</w:t>
      </w:r>
      <w:r>
        <w:tab/>
      </w:r>
      <w:r>
        <w:fldChar w:fldCharType="begin"/>
      </w:r>
      <w:r>
        <w:instrText xml:space="preserve"> PAGEREF _Toc98767968 \h </w:instrText>
      </w:r>
      <w:r>
        <w:fldChar w:fldCharType="separate"/>
      </w:r>
      <w:r>
        <w:t>125</w:t>
      </w:r>
      <w:r>
        <w:fldChar w:fldCharType="end"/>
      </w:r>
    </w:p>
    <w:p>
      <w:pPr>
        <w:pStyle w:val="TOC8"/>
        <w:rPr>
          <w:rFonts w:asciiTheme="minorHAnsi" w:eastAsiaTheme="minorEastAsia" w:hAnsiTheme="minorHAnsi" w:cstheme="minorBidi"/>
          <w:szCs w:val="22"/>
        </w:rPr>
      </w:pPr>
      <w:r>
        <w:t>246BA</w:t>
      </w:r>
      <w:r>
        <w:rPr>
          <w:snapToGrid w:val="0"/>
        </w:rPr>
        <w:t xml:space="preserve">. </w:t>
      </w:r>
      <w:r>
        <w:rPr>
          <w:snapToGrid w:val="0"/>
        </w:rPr>
        <w:tab/>
        <w:t>General powers of Pesticides Advisory Committee</w:t>
      </w:r>
      <w:r>
        <w:tab/>
      </w:r>
      <w:r>
        <w:fldChar w:fldCharType="begin"/>
      </w:r>
      <w:r>
        <w:instrText xml:space="preserve"> PAGEREF _Toc98767969 \h </w:instrText>
      </w:r>
      <w:r>
        <w:fldChar w:fldCharType="separate"/>
      </w:r>
      <w:r>
        <w:t>128</w:t>
      </w:r>
      <w:r>
        <w:fldChar w:fldCharType="end"/>
      </w:r>
    </w:p>
    <w:p>
      <w:pPr>
        <w:pStyle w:val="TOC8"/>
        <w:rPr>
          <w:rFonts w:asciiTheme="minorHAnsi" w:eastAsiaTheme="minorEastAsia" w:hAnsiTheme="minorHAnsi" w:cstheme="minorBidi"/>
          <w:szCs w:val="22"/>
        </w:rPr>
      </w:pPr>
      <w:r>
        <w:t>246C</w:t>
      </w:r>
      <w:r>
        <w:rPr>
          <w:snapToGrid w:val="0"/>
        </w:rPr>
        <w:t xml:space="preserve">. </w:t>
      </w:r>
      <w:r>
        <w:rPr>
          <w:snapToGrid w:val="0"/>
        </w:rPr>
        <w:tab/>
        <w:t>Regulations relating to pesticides</w:t>
      </w:r>
      <w:r>
        <w:tab/>
      </w:r>
      <w:r>
        <w:fldChar w:fldCharType="begin"/>
      </w:r>
      <w:r>
        <w:instrText xml:space="preserve"> PAGEREF _Toc98767970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Part VIIIA — Analytical services</w:t>
      </w:r>
    </w:p>
    <w:p>
      <w:pPr>
        <w:pStyle w:val="TOC8"/>
        <w:rPr>
          <w:rFonts w:asciiTheme="minorHAnsi" w:eastAsiaTheme="minorEastAsia" w:hAnsiTheme="minorHAnsi" w:cstheme="minorBidi"/>
          <w:szCs w:val="22"/>
        </w:rPr>
      </w:pPr>
      <w:r>
        <w:t>247AA.</w:t>
      </w:r>
      <w:r>
        <w:tab/>
        <w:t>Terms used</w:t>
      </w:r>
      <w:r>
        <w:tab/>
      </w:r>
      <w:r>
        <w:fldChar w:fldCharType="begin"/>
      </w:r>
      <w:r>
        <w:instrText xml:space="preserve"> PAGEREF _Toc98767972 \h </w:instrText>
      </w:r>
      <w:r>
        <w:fldChar w:fldCharType="separate"/>
      </w:r>
      <w:r>
        <w:t>132</w:t>
      </w:r>
      <w:r>
        <w:fldChar w:fldCharType="end"/>
      </w:r>
    </w:p>
    <w:p>
      <w:pPr>
        <w:pStyle w:val="TOC8"/>
        <w:rPr>
          <w:rFonts w:asciiTheme="minorHAnsi" w:eastAsiaTheme="minorEastAsia" w:hAnsiTheme="minorHAnsi" w:cstheme="minorBidi"/>
          <w:szCs w:val="22"/>
        </w:rPr>
      </w:pPr>
      <w:r>
        <w:t>247A</w:t>
      </w:r>
      <w:r>
        <w:rPr>
          <w:snapToGrid w:val="0"/>
        </w:rPr>
        <w:t xml:space="preserve">. </w:t>
      </w:r>
      <w:r>
        <w:rPr>
          <w:snapToGrid w:val="0"/>
        </w:rPr>
        <w:tab/>
        <w:t>Local Health Authorities Analytical Committee</w:t>
      </w:r>
      <w:r>
        <w:tab/>
      </w:r>
      <w:r>
        <w:fldChar w:fldCharType="begin"/>
      </w:r>
      <w:r>
        <w:instrText xml:space="preserve"> PAGEREF _Toc98767973 \h </w:instrText>
      </w:r>
      <w:r>
        <w:fldChar w:fldCharType="separate"/>
      </w:r>
      <w:r>
        <w:t>132</w:t>
      </w:r>
      <w:r>
        <w:fldChar w:fldCharType="end"/>
      </w:r>
    </w:p>
    <w:p>
      <w:pPr>
        <w:pStyle w:val="TOC8"/>
        <w:rPr>
          <w:rFonts w:asciiTheme="minorHAnsi" w:eastAsiaTheme="minorEastAsia" w:hAnsiTheme="minorHAnsi" w:cstheme="minorBidi"/>
          <w:szCs w:val="22"/>
        </w:rPr>
      </w:pPr>
      <w:r>
        <w:t>247BA.</w:t>
      </w:r>
      <w:r>
        <w:tab/>
        <w:t>Term of office and vacation of office</w:t>
      </w:r>
      <w:r>
        <w:tab/>
      </w:r>
      <w:r>
        <w:fldChar w:fldCharType="begin"/>
      </w:r>
      <w:r>
        <w:instrText xml:space="preserve"> PAGEREF _Toc98767974 \h </w:instrText>
      </w:r>
      <w:r>
        <w:fldChar w:fldCharType="separate"/>
      </w:r>
      <w:r>
        <w:t>133</w:t>
      </w:r>
      <w:r>
        <w:fldChar w:fldCharType="end"/>
      </w:r>
    </w:p>
    <w:p>
      <w:pPr>
        <w:pStyle w:val="TOC8"/>
        <w:rPr>
          <w:rFonts w:asciiTheme="minorHAnsi" w:eastAsiaTheme="minorEastAsia" w:hAnsiTheme="minorHAnsi" w:cstheme="minorBidi"/>
          <w:szCs w:val="22"/>
        </w:rPr>
      </w:pPr>
      <w:r>
        <w:t>247B</w:t>
      </w:r>
      <w:r>
        <w:rPr>
          <w:snapToGrid w:val="0"/>
        </w:rPr>
        <w:t xml:space="preserve">. </w:t>
      </w:r>
      <w:r>
        <w:rPr>
          <w:snapToGrid w:val="0"/>
        </w:rPr>
        <w:tab/>
        <w:t>Meetings and procedure of Analytical Committee</w:t>
      </w:r>
      <w:r>
        <w:tab/>
      </w:r>
      <w:r>
        <w:fldChar w:fldCharType="begin"/>
      </w:r>
      <w:r>
        <w:instrText xml:space="preserve"> PAGEREF _Toc98767975 \h </w:instrText>
      </w:r>
      <w:r>
        <w:fldChar w:fldCharType="separate"/>
      </w:r>
      <w:r>
        <w:t>134</w:t>
      </w:r>
      <w:r>
        <w:fldChar w:fldCharType="end"/>
      </w:r>
    </w:p>
    <w:p>
      <w:pPr>
        <w:pStyle w:val="TOC8"/>
        <w:rPr>
          <w:rFonts w:asciiTheme="minorHAnsi" w:eastAsiaTheme="minorEastAsia" w:hAnsiTheme="minorHAnsi" w:cstheme="minorBidi"/>
          <w:szCs w:val="22"/>
        </w:rPr>
      </w:pPr>
      <w:r>
        <w:t>247C</w:t>
      </w:r>
      <w:r>
        <w:rPr>
          <w:snapToGrid w:val="0"/>
        </w:rPr>
        <w:t xml:space="preserve">. </w:t>
      </w:r>
      <w:r>
        <w:rPr>
          <w:snapToGrid w:val="0"/>
        </w:rPr>
        <w:tab/>
        <w:t>Powers and functions of Analytical Committee</w:t>
      </w:r>
      <w:r>
        <w:tab/>
      </w:r>
      <w:r>
        <w:fldChar w:fldCharType="begin"/>
      </w:r>
      <w:r>
        <w:instrText xml:space="preserve"> PAGEREF _Toc98767976 \h </w:instrText>
      </w:r>
      <w:r>
        <w:fldChar w:fldCharType="separate"/>
      </w:r>
      <w:r>
        <w:t>136</w:t>
      </w:r>
      <w:r>
        <w:fldChar w:fldCharType="end"/>
      </w:r>
    </w:p>
    <w:p>
      <w:pPr>
        <w:pStyle w:val="TOC8"/>
        <w:rPr>
          <w:rFonts w:asciiTheme="minorHAnsi" w:eastAsiaTheme="minorEastAsia" w:hAnsiTheme="minorHAnsi" w:cstheme="minorBidi"/>
          <w:szCs w:val="22"/>
        </w:rPr>
      </w:pPr>
      <w:r>
        <w:t>247D</w:t>
      </w:r>
      <w:r>
        <w:rPr>
          <w:snapToGrid w:val="0"/>
        </w:rPr>
        <w:t>.</w:t>
      </w:r>
      <w:r>
        <w:rPr>
          <w:snapToGrid w:val="0"/>
        </w:rPr>
        <w:tab/>
        <w:t>Participation in scheme by local governments</w:t>
      </w:r>
      <w:r>
        <w:tab/>
      </w:r>
      <w:r>
        <w:fldChar w:fldCharType="begin"/>
      </w:r>
      <w:r>
        <w:instrText xml:space="preserve"> PAGEREF _Toc98767977 \h </w:instrText>
      </w:r>
      <w:r>
        <w:fldChar w:fldCharType="separate"/>
      </w:r>
      <w:r>
        <w:t>136</w:t>
      </w:r>
      <w:r>
        <w:fldChar w:fldCharType="end"/>
      </w:r>
    </w:p>
    <w:p>
      <w:pPr>
        <w:pStyle w:val="TOC8"/>
        <w:rPr>
          <w:rFonts w:asciiTheme="minorHAnsi" w:eastAsiaTheme="minorEastAsia" w:hAnsiTheme="minorHAnsi" w:cstheme="minorBidi"/>
          <w:szCs w:val="22"/>
        </w:rPr>
      </w:pPr>
      <w: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_Toc98767978 \h </w:instrText>
      </w:r>
      <w:r>
        <w:fldChar w:fldCharType="separate"/>
      </w:r>
      <w:r>
        <w:t>137</w:t>
      </w:r>
      <w:r>
        <w:fldChar w:fldCharType="end"/>
      </w:r>
    </w:p>
    <w:p>
      <w:pPr>
        <w:pStyle w:val="TOC8"/>
        <w:rPr>
          <w:rFonts w:asciiTheme="minorHAnsi" w:eastAsiaTheme="minorEastAsia" w:hAnsiTheme="minorHAnsi" w:cstheme="minorBidi"/>
          <w:szCs w:val="22"/>
        </w:rPr>
      </w:pPr>
      <w:r>
        <w:t>247F</w:t>
      </w:r>
      <w:r>
        <w:rPr>
          <w:snapToGrid w:val="0"/>
        </w:rPr>
        <w:t xml:space="preserve">. </w:t>
      </w:r>
      <w:r>
        <w:rPr>
          <w:snapToGrid w:val="0"/>
        </w:rPr>
        <w:tab/>
        <w:t>Regulations as to Part VIIIA</w:t>
      </w:r>
      <w:r>
        <w:tab/>
      </w:r>
      <w:r>
        <w:fldChar w:fldCharType="begin"/>
      </w:r>
      <w:r>
        <w:instrText xml:space="preserve"> PAGEREF _Toc98767979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IX — Infectious diseases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provisions</w:t>
      </w:r>
    </w:p>
    <w:p>
      <w:pPr>
        <w:pStyle w:val="TOC8"/>
        <w:rPr>
          <w:rFonts w:asciiTheme="minorHAnsi" w:eastAsiaTheme="minorEastAsia" w:hAnsiTheme="minorHAnsi" w:cstheme="minorBidi"/>
          <w:szCs w:val="22"/>
        </w:rPr>
      </w:pPr>
      <w:r>
        <w:t>249</w:t>
      </w:r>
      <w:r>
        <w:rPr>
          <w:snapToGrid w:val="0"/>
        </w:rPr>
        <w:t>.</w:t>
      </w:r>
      <w:r>
        <w:rPr>
          <w:snapToGrid w:val="0"/>
        </w:rPr>
        <w:tab/>
        <w:t>Local laws to prevent spread of infectious disease</w:t>
      </w:r>
      <w:r>
        <w:tab/>
      </w:r>
      <w:r>
        <w:fldChar w:fldCharType="begin"/>
      </w:r>
      <w:r>
        <w:instrText xml:space="preserve"> PAGEREF _Toc98767982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IXA — Prevention and alleviation of certain non</w:t>
      </w:r>
      <w:r>
        <w:noBreakHyphen/>
        <w:t>infectious disease processes and physical or functional abnormalities</w:t>
      </w:r>
    </w:p>
    <w:p>
      <w:pPr>
        <w:pStyle w:val="TOC8"/>
        <w:rPr>
          <w:rFonts w:asciiTheme="minorHAnsi" w:eastAsiaTheme="minorEastAsia" w:hAnsiTheme="minorHAnsi" w:cstheme="minorBidi"/>
          <w:szCs w:val="22"/>
        </w:rPr>
      </w:pPr>
      <w:r>
        <w:t>289A</w:t>
      </w:r>
      <w:r>
        <w:rPr>
          <w:snapToGrid w:val="0"/>
        </w:rPr>
        <w:t>.</w:t>
      </w:r>
      <w:r>
        <w:rPr>
          <w:snapToGrid w:val="0"/>
        </w:rPr>
        <w:tab/>
        <w:t>Objects of this Part</w:t>
      </w:r>
      <w:r>
        <w:tab/>
      </w:r>
      <w:r>
        <w:fldChar w:fldCharType="begin"/>
      </w:r>
      <w:r>
        <w:instrText xml:space="preserve"> PAGEREF _Toc98767984 \h </w:instrText>
      </w:r>
      <w:r>
        <w:fldChar w:fldCharType="separate"/>
      </w:r>
      <w:r>
        <w:t>141</w:t>
      </w:r>
      <w:r>
        <w:fldChar w:fldCharType="end"/>
      </w:r>
    </w:p>
    <w:p>
      <w:pPr>
        <w:pStyle w:val="TOC8"/>
        <w:rPr>
          <w:rFonts w:asciiTheme="minorHAnsi" w:eastAsiaTheme="minorEastAsia" w:hAnsiTheme="minorHAnsi" w:cstheme="minorBidi"/>
          <w:szCs w:val="22"/>
        </w:rPr>
      </w:pPr>
      <w:r>
        <w:t>289B</w:t>
      </w:r>
      <w:r>
        <w:rPr>
          <w:snapToGrid w:val="0"/>
        </w:rPr>
        <w:t>.</w:t>
      </w:r>
      <w:r>
        <w:rPr>
          <w:snapToGrid w:val="0"/>
        </w:rPr>
        <w:tab/>
        <w:t>Term used: prescribed condition of health</w:t>
      </w:r>
      <w:r>
        <w:tab/>
      </w:r>
      <w:r>
        <w:fldChar w:fldCharType="begin"/>
      </w:r>
      <w:r>
        <w:instrText xml:space="preserve"> PAGEREF _Toc98767985 \h </w:instrText>
      </w:r>
      <w:r>
        <w:fldChar w:fldCharType="separate"/>
      </w:r>
      <w:r>
        <w:t>141</w:t>
      </w:r>
      <w:r>
        <w:fldChar w:fldCharType="end"/>
      </w:r>
    </w:p>
    <w:p>
      <w:pPr>
        <w:pStyle w:val="TOC8"/>
        <w:rPr>
          <w:rFonts w:asciiTheme="minorHAnsi" w:eastAsiaTheme="minorEastAsia" w:hAnsiTheme="minorHAnsi" w:cstheme="minorBidi"/>
          <w:szCs w:val="22"/>
        </w:rPr>
      </w:pPr>
      <w:r>
        <w:t>289C</w:t>
      </w:r>
      <w:r>
        <w:rPr>
          <w:snapToGrid w:val="0"/>
        </w:rPr>
        <w:t>.</w:t>
      </w:r>
      <w:r>
        <w:rPr>
          <w:snapToGrid w:val="0"/>
        </w:rPr>
        <w:tab/>
        <w:t>Regulation as to Part IXA</w:t>
      </w:r>
      <w:r>
        <w:tab/>
      </w:r>
      <w:r>
        <w:fldChar w:fldCharType="begin"/>
      </w:r>
      <w:r>
        <w:instrText xml:space="preserve"> PAGEREF _Toc98767986 \h </w:instrText>
      </w:r>
      <w:r>
        <w:fldChar w:fldCharType="separate"/>
      </w:r>
      <w:r>
        <w:t>141</w:t>
      </w:r>
      <w:r>
        <w:fldChar w:fldCharType="end"/>
      </w:r>
    </w:p>
    <w:p>
      <w:pPr>
        <w:pStyle w:val="TOC8"/>
        <w:rPr>
          <w:rFonts w:asciiTheme="minorHAnsi" w:eastAsiaTheme="minorEastAsia" w:hAnsiTheme="minorHAnsi" w:cstheme="minorBidi"/>
          <w:szCs w:val="22"/>
        </w:rPr>
      </w:pPr>
      <w:r>
        <w:t>289D</w:t>
      </w:r>
      <w:r>
        <w:rPr>
          <w:snapToGrid w:val="0"/>
        </w:rPr>
        <w:t xml:space="preserve">. </w:t>
      </w:r>
      <w:r>
        <w:rPr>
          <w:snapToGrid w:val="0"/>
        </w:rPr>
        <w:tab/>
        <w:t>Powers conferred by this Part are cumulative</w:t>
      </w:r>
      <w:r>
        <w:tab/>
      </w:r>
      <w:r>
        <w:fldChar w:fldCharType="begin"/>
      </w:r>
      <w:r>
        <w:instrText xml:space="preserve"> PAGEREF _Toc98767987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XII — Hospitals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Public hospital</w:t>
      </w:r>
    </w:p>
    <w:p>
      <w:pPr>
        <w:pStyle w:val="TOC8"/>
        <w:rPr>
          <w:rFonts w:asciiTheme="minorHAnsi" w:eastAsiaTheme="minorEastAsia" w:hAnsiTheme="minorHAnsi" w:cstheme="minorBidi"/>
          <w:szCs w:val="22"/>
        </w:rPr>
      </w:pPr>
      <w:r>
        <w:t>324</w:t>
      </w:r>
      <w:r>
        <w:rPr>
          <w:snapToGrid w:val="0"/>
        </w:rPr>
        <w:t>.</w:t>
      </w:r>
      <w:r>
        <w:rPr>
          <w:snapToGrid w:val="0"/>
        </w:rPr>
        <w:tab/>
        <w:t>Local governments may establish or subsidise hospitals</w:t>
      </w:r>
      <w:r>
        <w:tab/>
      </w:r>
      <w:r>
        <w:fldChar w:fldCharType="begin"/>
      </w:r>
      <w:r>
        <w:instrText xml:space="preserve"> PAGEREF _Toc98767990 \h </w:instrText>
      </w:r>
      <w:r>
        <w:fldChar w:fldCharType="separate"/>
      </w:r>
      <w:r>
        <w:t>143</w:t>
      </w:r>
      <w:r>
        <w:fldChar w:fldCharType="end"/>
      </w:r>
    </w:p>
    <w:p>
      <w:pPr>
        <w:pStyle w:val="TOC8"/>
        <w:rPr>
          <w:rFonts w:asciiTheme="minorHAnsi" w:eastAsiaTheme="minorEastAsia" w:hAnsiTheme="minorHAnsi" w:cstheme="minorBidi"/>
          <w:szCs w:val="22"/>
        </w:rPr>
      </w:pPr>
      <w: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r>
        <w:tab/>
      </w:r>
      <w:r>
        <w:fldChar w:fldCharType="begin"/>
      </w:r>
      <w:r>
        <w:instrText xml:space="preserve"> PAGEREF _Toc98767991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XIIA — Community health centres, etc.</w:t>
      </w:r>
    </w:p>
    <w:p>
      <w:pPr>
        <w:pStyle w:val="TOC8"/>
        <w:rPr>
          <w:rFonts w:asciiTheme="minorHAnsi" w:eastAsiaTheme="minorEastAsia" w:hAnsiTheme="minorHAnsi" w:cstheme="minorBidi"/>
          <w:szCs w:val="22"/>
        </w:rPr>
      </w:pPr>
      <w:r>
        <w:t>330A</w:t>
      </w:r>
      <w:r>
        <w:rPr>
          <w:snapToGrid w:val="0"/>
        </w:rPr>
        <w:t xml:space="preserve">. </w:t>
      </w:r>
      <w:r>
        <w:rPr>
          <w:snapToGrid w:val="0"/>
        </w:rPr>
        <w:tab/>
        <w:t>Land may be acquired or leased for community health centres</w:t>
      </w:r>
      <w:r>
        <w:tab/>
      </w:r>
      <w:r>
        <w:fldChar w:fldCharType="begin"/>
      </w:r>
      <w:r>
        <w:instrText xml:space="preserve"> PAGEREF _Toc98767993 \h </w:instrText>
      </w:r>
      <w:r>
        <w:fldChar w:fldCharType="separate"/>
      </w:r>
      <w:r>
        <w:t>145</w:t>
      </w:r>
      <w:r>
        <w:fldChar w:fldCharType="end"/>
      </w:r>
    </w:p>
    <w:p>
      <w:pPr>
        <w:pStyle w:val="TOC8"/>
        <w:rPr>
          <w:rFonts w:asciiTheme="minorHAnsi" w:eastAsiaTheme="minorEastAsia" w:hAnsiTheme="minorHAnsi" w:cstheme="minorBidi"/>
          <w:szCs w:val="22"/>
        </w:rPr>
      </w:pPr>
      <w:r>
        <w:t>330B</w:t>
      </w:r>
      <w:r>
        <w:rPr>
          <w:snapToGrid w:val="0"/>
        </w:rPr>
        <w:t xml:space="preserve">. </w:t>
      </w:r>
      <w:r>
        <w:rPr>
          <w:snapToGrid w:val="0"/>
        </w:rPr>
        <w:tab/>
        <w:t>Local governments may subsidise certain medical centres</w:t>
      </w:r>
      <w:r>
        <w:tab/>
      </w:r>
      <w:r>
        <w:fldChar w:fldCharType="begin"/>
      </w:r>
      <w:r>
        <w:instrText xml:space="preserve"> PAGEREF _Toc98767994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XIII — Child health and preventive medicine</w:t>
      </w:r>
    </w:p>
    <w:p>
      <w:pPr>
        <w:pStyle w:val="TOC8"/>
        <w:rPr>
          <w:rFonts w:asciiTheme="minorHAnsi" w:eastAsiaTheme="minorEastAsia" w:hAnsiTheme="minorHAnsi" w:cstheme="minorBidi"/>
          <w:szCs w:val="22"/>
        </w:rPr>
      </w:pPr>
      <w:r>
        <w:t>331.</w:t>
      </w:r>
      <w:r>
        <w:tab/>
        <w:t>Terms used</w:t>
      </w:r>
      <w:r>
        <w:tab/>
      </w:r>
      <w:r>
        <w:fldChar w:fldCharType="begin"/>
      </w:r>
      <w:r>
        <w:instrText xml:space="preserve"> PAGEREF _Toc98767996 \h </w:instrText>
      </w:r>
      <w:r>
        <w:fldChar w:fldCharType="separate"/>
      </w:r>
      <w:r>
        <w:t>147</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Regulations</w:t>
      </w:r>
      <w:r>
        <w:tab/>
      </w:r>
      <w:r>
        <w:fldChar w:fldCharType="begin"/>
      </w:r>
      <w:r>
        <w:instrText xml:space="preserve"> PAGEREF _Toc98767997 \h </w:instrText>
      </w:r>
      <w:r>
        <w:fldChar w:fldCharType="separate"/>
      </w:r>
      <w:r>
        <w:t>147</w:t>
      </w:r>
      <w:r>
        <w:fldChar w:fldCharType="end"/>
      </w:r>
    </w:p>
    <w:p>
      <w:pPr>
        <w:pStyle w:val="TOC8"/>
        <w:rPr>
          <w:rFonts w:asciiTheme="minorHAnsi" w:eastAsiaTheme="minorEastAsia" w:hAnsiTheme="minorHAnsi" w:cstheme="minorBidi"/>
          <w:szCs w:val="22"/>
        </w:rPr>
      </w:pPr>
      <w:r>
        <w:t>334.</w:t>
      </w:r>
      <w:r>
        <w:tab/>
        <w:t>Performance of abortions</w:t>
      </w:r>
      <w:r>
        <w:tab/>
      </w:r>
      <w:r>
        <w:fldChar w:fldCharType="begin"/>
      </w:r>
      <w:r>
        <w:instrText xml:space="preserve"> PAGEREF _Toc98767998 \h </w:instrText>
      </w:r>
      <w:r>
        <w:fldChar w:fldCharType="separate"/>
      </w:r>
      <w:r>
        <w:t>147</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Reports to be furnished</w:t>
      </w:r>
      <w:r>
        <w:tab/>
      </w:r>
      <w:r>
        <w:fldChar w:fldCharType="begin"/>
      </w:r>
      <w:r>
        <w:instrText xml:space="preserve"> PAGEREF _Toc98767999 \h </w:instrText>
      </w:r>
      <w:r>
        <w:fldChar w:fldCharType="separate"/>
      </w:r>
      <w:r>
        <w:t>150</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Death of woman as result of pregnancy or childbirth to be reported to Chief Health Officer</w:t>
      </w:r>
      <w:r>
        <w:tab/>
      </w:r>
      <w:r>
        <w:fldChar w:fldCharType="begin"/>
      </w:r>
      <w:r>
        <w:instrText xml:space="preserve"> PAGEREF _Toc98768000 \h </w:instrText>
      </w:r>
      <w:r>
        <w:fldChar w:fldCharType="separate"/>
      </w:r>
      <w:r>
        <w:t>152</w:t>
      </w:r>
      <w:r>
        <w:fldChar w:fldCharType="end"/>
      </w:r>
    </w:p>
    <w:p>
      <w:pPr>
        <w:pStyle w:val="TOC8"/>
        <w:rPr>
          <w:rFonts w:asciiTheme="minorHAnsi" w:eastAsiaTheme="minorEastAsia" w:hAnsiTheme="minorHAnsi" w:cstheme="minorBidi"/>
          <w:szCs w:val="22"/>
        </w:rPr>
      </w:pPr>
      <w:r>
        <w:lastRenderedPageBreak/>
        <w:t>336A</w:t>
      </w:r>
      <w:r>
        <w:rPr>
          <w:snapToGrid w:val="0"/>
        </w:rPr>
        <w:t xml:space="preserve">. </w:t>
      </w:r>
      <w:r>
        <w:rPr>
          <w:snapToGrid w:val="0"/>
        </w:rPr>
        <w:tab/>
        <w:t>Certain deaths of children to be reported to Chief Health Officer</w:t>
      </w:r>
      <w:r>
        <w:tab/>
      </w:r>
      <w:r>
        <w:fldChar w:fldCharType="begin"/>
      </w:r>
      <w:r>
        <w:instrText xml:space="preserve"> PAGEREF _Toc98768001 \h </w:instrText>
      </w:r>
      <w:r>
        <w:fldChar w:fldCharType="separate"/>
      </w:r>
      <w:r>
        <w:t>154</w:t>
      </w:r>
      <w:r>
        <w:fldChar w:fldCharType="end"/>
      </w:r>
    </w:p>
    <w:p>
      <w:pPr>
        <w:pStyle w:val="TOC8"/>
        <w:rPr>
          <w:rFonts w:asciiTheme="minorHAnsi" w:eastAsiaTheme="minorEastAsia" w:hAnsiTheme="minorHAnsi" w:cstheme="minorBidi"/>
          <w:szCs w:val="22"/>
        </w:rPr>
      </w:pPr>
      <w:r>
        <w:t>336B</w:t>
      </w:r>
      <w:r>
        <w:rPr>
          <w:snapToGrid w:val="0"/>
        </w:rPr>
        <w:t xml:space="preserve">. </w:t>
      </w:r>
      <w:r>
        <w:rPr>
          <w:snapToGrid w:val="0"/>
        </w:rPr>
        <w:tab/>
        <w:t>Death of persons under anaesthetic to be reported to Chief Health Officer</w:t>
      </w:r>
      <w:r>
        <w:tab/>
      </w:r>
      <w:r>
        <w:fldChar w:fldCharType="begin"/>
      </w:r>
      <w:r>
        <w:instrText xml:space="preserve"> PAGEREF _Toc98768002 \h </w:instrText>
      </w:r>
      <w:r>
        <w:fldChar w:fldCharType="separate"/>
      </w:r>
      <w:r>
        <w:t>156</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Examination of school children</w:t>
      </w:r>
      <w:r>
        <w:tab/>
      </w:r>
      <w:r>
        <w:fldChar w:fldCharType="begin"/>
      </w:r>
      <w:r>
        <w:instrText xml:space="preserve"> PAGEREF _Toc98768003 \h </w:instrText>
      </w:r>
      <w:r>
        <w:fldChar w:fldCharType="separate"/>
      </w:r>
      <w:r>
        <w:t>158</w:t>
      </w:r>
      <w:r>
        <w:fldChar w:fldCharType="end"/>
      </w:r>
    </w:p>
    <w:p>
      <w:pPr>
        <w:pStyle w:val="TOC8"/>
        <w:rPr>
          <w:rFonts w:asciiTheme="minorHAnsi" w:eastAsiaTheme="minorEastAsia" w:hAnsiTheme="minorHAnsi" w:cstheme="minorBidi"/>
          <w:szCs w:val="22"/>
        </w:rPr>
      </w:pPr>
      <w:r>
        <w:t>337A</w:t>
      </w:r>
      <w:r>
        <w:rPr>
          <w:snapToGrid w:val="0"/>
        </w:rPr>
        <w:t xml:space="preserve">. </w:t>
      </w:r>
      <w:r>
        <w:rPr>
          <w:snapToGrid w:val="0"/>
        </w:rPr>
        <w:tab/>
        <w:t>Schools dental service</w:t>
      </w:r>
      <w:r>
        <w:tab/>
      </w:r>
      <w:r>
        <w:fldChar w:fldCharType="begin"/>
      </w:r>
      <w:r>
        <w:instrText xml:space="preserve"> PAGEREF _Toc98768004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XIIIA — Maternal Mortality Committee</w:t>
      </w:r>
    </w:p>
    <w:p>
      <w:pPr>
        <w:pStyle w:val="TOC8"/>
        <w:rPr>
          <w:rFonts w:asciiTheme="minorHAnsi" w:eastAsiaTheme="minorEastAsia" w:hAnsiTheme="minorHAnsi" w:cstheme="minorBidi"/>
          <w:szCs w:val="22"/>
        </w:rPr>
      </w:pPr>
      <w:r>
        <w:t>340A</w:t>
      </w:r>
      <w:r>
        <w:rPr>
          <w:snapToGrid w:val="0"/>
        </w:rPr>
        <w:t>.</w:t>
      </w:r>
      <w:r>
        <w:rPr>
          <w:snapToGrid w:val="0"/>
        </w:rPr>
        <w:tab/>
        <w:t>Terms used</w:t>
      </w:r>
      <w:r>
        <w:tab/>
      </w:r>
      <w:r>
        <w:fldChar w:fldCharType="begin"/>
      </w:r>
      <w:r>
        <w:instrText xml:space="preserve"> PAGEREF _Toc98768006 \h </w:instrText>
      </w:r>
      <w:r>
        <w:fldChar w:fldCharType="separate"/>
      </w:r>
      <w:r>
        <w:t>161</w:t>
      </w:r>
      <w:r>
        <w:fldChar w:fldCharType="end"/>
      </w:r>
    </w:p>
    <w:p>
      <w:pPr>
        <w:pStyle w:val="TOC8"/>
        <w:rPr>
          <w:rFonts w:asciiTheme="minorHAnsi" w:eastAsiaTheme="minorEastAsia" w:hAnsiTheme="minorHAnsi" w:cstheme="minorBidi"/>
          <w:szCs w:val="22"/>
        </w:rPr>
      </w:pPr>
      <w:r>
        <w:t>340B</w:t>
      </w:r>
      <w:r>
        <w:rPr>
          <w:snapToGrid w:val="0"/>
        </w:rPr>
        <w:t>.</w:t>
      </w:r>
      <w:r>
        <w:rPr>
          <w:snapToGrid w:val="0"/>
        </w:rPr>
        <w:tab/>
        <w:t>Constitution and offices of Committee</w:t>
      </w:r>
      <w:r>
        <w:tab/>
      </w:r>
      <w:r>
        <w:fldChar w:fldCharType="begin"/>
      </w:r>
      <w:r>
        <w:instrText xml:space="preserve"> PAGEREF _Toc98768007 \h </w:instrText>
      </w:r>
      <w:r>
        <w:fldChar w:fldCharType="separate"/>
      </w:r>
      <w:r>
        <w:t>161</w:t>
      </w:r>
      <w:r>
        <w:fldChar w:fldCharType="end"/>
      </w:r>
    </w:p>
    <w:p>
      <w:pPr>
        <w:pStyle w:val="TOC8"/>
        <w:rPr>
          <w:rFonts w:asciiTheme="minorHAnsi" w:eastAsiaTheme="minorEastAsia" w:hAnsiTheme="minorHAnsi" w:cstheme="minorBidi"/>
          <w:szCs w:val="22"/>
        </w:rPr>
      </w:pPr>
      <w:r>
        <w:t>340C</w:t>
      </w:r>
      <w:r>
        <w:rPr>
          <w:snapToGrid w:val="0"/>
        </w:rPr>
        <w:t xml:space="preserve">. </w:t>
      </w:r>
      <w:r>
        <w:rPr>
          <w:snapToGrid w:val="0"/>
        </w:rPr>
        <w:tab/>
        <w:t>Appointment of deputies</w:t>
      </w:r>
      <w:r>
        <w:tab/>
      </w:r>
      <w:r>
        <w:fldChar w:fldCharType="begin"/>
      </w:r>
      <w:r>
        <w:instrText xml:space="preserve"> PAGEREF _Toc98768008 \h </w:instrText>
      </w:r>
      <w:r>
        <w:fldChar w:fldCharType="separate"/>
      </w:r>
      <w:r>
        <w:t>162</w:t>
      </w:r>
      <w:r>
        <w:fldChar w:fldCharType="end"/>
      </w:r>
    </w:p>
    <w:p>
      <w:pPr>
        <w:pStyle w:val="TOC8"/>
        <w:rPr>
          <w:rFonts w:asciiTheme="minorHAnsi" w:eastAsiaTheme="minorEastAsia" w:hAnsiTheme="minorHAnsi" w:cstheme="minorBidi"/>
          <w:szCs w:val="22"/>
        </w:rPr>
      </w:pPr>
      <w:r>
        <w:t>340D</w:t>
      </w:r>
      <w:r>
        <w:rPr>
          <w:snapToGrid w:val="0"/>
        </w:rPr>
        <w:t xml:space="preserve">. </w:t>
      </w:r>
      <w:r>
        <w:rPr>
          <w:snapToGrid w:val="0"/>
        </w:rPr>
        <w:tab/>
        <w:t>Nominations to be made to Minister</w:t>
      </w:r>
      <w:r>
        <w:tab/>
      </w:r>
      <w:r>
        <w:fldChar w:fldCharType="begin"/>
      </w:r>
      <w:r>
        <w:instrText xml:space="preserve"> PAGEREF _Toc98768009 \h </w:instrText>
      </w:r>
      <w:r>
        <w:fldChar w:fldCharType="separate"/>
      </w:r>
      <w:r>
        <w:t>162</w:t>
      </w:r>
      <w:r>
        <w:fldChar w:fldCharType="end"/>
      </w:r>
    </w:p>
    <w:p>
      <w:pPr>
        <w:pStyle w:val="TOC8"/>
        <w:rPr>
          <w:rFonts w:asciiTheme="minorHAnsi" w:eastAsiaTheme="minorEastAsia" w:hAnsiTheme="minorHAnsi" w:cstheme="minorBidi"/>
          <w:szCs w:val="22"/>
        </w:rPr>
      </w:pPr>
      <w:r>
        <w:t>340E</w:t>
      </w:r>
      <w:r>
        <w:rPr>
          <w:snapToGrid w:val="0"/>
        </w:rPr>
        <w:t xml:space="preserve">. </w:t>
      </w:r>
      <w:r>
        <w:rPr>
          <w:snapToGrid w:val="0"/>
        </w:rPr>
        <w:tab/>
        <w:t>Tenure of office</w:t>
      </w:r>
      <w:r>
        <w:tab/>
      </w:r>
      <w:r>
        <w:fldChar w:fldCharType="begin"/>
      </w:r>
      <w:r>
        <w:instrText xml:space="preserve"> PAGEREF _Toc98768010 \h </w:instrText>
      </w:r>
      <w:r>
        <w:fldChar w:fldCharType="separate"/>
      </w:r>
      <w:r>
        <w:t>163</w:t>
      </w:r>
      <w:r>
        <w:fldChar w:fldCharType="end"/>
      </w:r>
    </w:p>
    <w:p>
      <w:pPr>
        <w:pStyle w:val="TOC8"/>
        <w:rPr>
          <w:rFonts w:asciiTheme="minorHAnsi" w:eastAsiaTheme="minorEastAsia" w:hAnsiTheme="minorHAnsi" w:cstheme="minorBidi"/>
          <w:szCs w:val="22"/>
        </w:rPr>
      </w:pPr>
      <w:r>
        <w:t>340F.</w:t>
      </w:r>
      <w:r>
        <w:tab/>
        <w:t>When office of member becomes vacant</w:t>
      </w:r>
      <w:r>
        <w:tab/>
      </w:r>
      <w:r>
        <w:fldChar w:fldCharType="begin"/>
      </w:r>
      <w:r>
        <w:instrText xml:space="preserve"> PAGEREF _Toc98768011 \h </w:instrText>
      </w:r>
      <w:r>
        <w:fldChar w:fldCharType="separate"/>
      </w:r>
      <w:r>
        <w:t>163</w:t>
      </w:r>
      <w:r>
        <w:fldChar w:fldCharType="end"/>
      </w:r>
    </w:p>
    <w:p>
      <w:pPr>
        <w:pStyle w:val="TOC8"/>
        <w:rPr>
          <w:rFonts w:asciiTheme="minorHAnsi" w:eastAsiaTheme="minorEastAsia" w:hAnsiTheme="minorHAnsi" w:cstheme="minorBidi"/>
          <w:szCs w:val="22"/>
        </w:rPr>
      </w:pPr>
      <w:r>
        <w:t>340G</w:t>
      </w:r>
      <w:r>
        <w:rPr>
          <w:snapToGrid w:val="0"/>
        </w:rPr>
        <w:t xml:space="preserve">. </w:t>
      </w:r>
      <w:r>
        <w:rPr>
          <w:snapToGrid w:val="0"/>
        </w:rPr>
        <w:tab/>
        <w:t>Vacancies in offices of members to be filled</w:t>
      </w:r>
      <w:r>
        <w:tab/>
      </w:r>
      <w:r>
        <w:fldChar w:fldCharType="begin"/>
      </w:r>
      <w:r>
        <w:instrText xml:space="preserve"> PAGEREF _Toc98768012 \h </w:instrText>
      </w:r>
      <w:r>
        <w:fldChar w:fldCharType="separate"/>
      </w:r>
      <w:r>
        <w:t>165</w:t>
      </w:r>
      <w:r>
        <w:fldChar w:fldCharType="end"/>
      </w:r>
    </w:p>
    <w:p>
      <w:pPr>
        <w:pStyle w:val="TOC8"/>
        <w:rPr>
          <w:rFonts w:asciiTheme="minorHAnsi" w:eastAsiaTheme="minorEastAsia" w:hAnsiTheme="minorHAnsi" w:cstheme="minorBidi"/>
          <w:szCs w:val="22"/>
        </w:rPr>
      </w:pPr>
      <w:r>
        <w:t>340H.</w:t>
      </w:r>
      <w:r>
        <w:tab/>
        <w:t>Meetings and procedure of Committee</w:t>
      </w:r>
      <w:r>
        <w:tab/>
      </w:r>
      <w:r>
        <w:fldChar w:fldCharType="begin"/>
      </w:r>
      <w:r>
        <w:instrText xml:space="preserve"> PAGEREF _Toc98768013 \h </w:instrText>
      </w:r>
      <w:r>
        <w:fldChar w:fldCharType="separate"/>
      </w:r>
      <w:r>
        <w:t>165</w:t>
      </w:r>
      <w:r>
        <w:fldChar w:fldCharType="end"/>
      </w:r>
    </w:p>
    <w:p>
      <w:pPr>
        <w:pStyle w:val="TOC8"/>
        <w:rPr>
          <w:rFonts w:asciiTheme="minorHAnsi" w:eastAsiaTheme="minorEastAsia" w:hAnsiTheme="minorHAnsi" w:cstheme="minorBidi"/>
          <w:szCs w:val="22"/>
        </w:rPr>
      </w:pPr>
      <w:r>
        <w:t>340I</w:t>
      </w:r>
      <w:r>
        <w:rPr>
          <w:snapToGrid w:val="0"/>
        </w:rPr>
        <w:t xml:space="preserve">. </w:t>
      </w:r>
      <w:r>
        <w:rPr>
          <w:snapToGrid w:val="0"/>
        </w:rPr>
        <w:tab/>
        <w:t>Reimbursement of expenses of members of Committee</w:t>
      </w:r>
      <w:r>
        <w:tab/>
      </w:r>
      <w:r>
        <w:fldChar w:fldCharType="begin"/>
      </w:r>
      <w:r>
        <w:instrText xml:space="preserve"> PAGEREF _Toc98768014 \h </w:instrText>
      </w:r>
      <w:r>
        <w:fldChar w:fldCharType="separate"/>
      </w:r>
      <w:r>
        <w:t>166</w:t>
      </w:r>
      <w:r>
        <w:fldChar w:fldCharType="end"/>
      </w:r>
    </w:p>
    <w:p>
      <w:pPr>
        <w:pStyle w:val="TOC8"/>
        <w:rPr>
          <w:rFonts w:asciiTheme="minorHAnsi" w:eastAsiaTheme="minorEastAsia" w:hAnsiTheme="minorHAnsi" w:cstheme="minorBidi"/>
          <w:szCs w:val="22"/>
        </w:rPr>
      </w:pPr>
      <w:r>
        <w:t>340J</w:t>
      </w:r>
      <w:r>
        <w:rPr>
          <w:snapToGrid w:val="0"/>
        </w:rPr>
        <w:t xml:space="preserve">. </w:t>
      </w:r>
      <w:r>
        <w:rPr>
          <w:snapToGrid w:val="0"/>
        </w:rPr>
        <w:tab/>
        <w:t>Appointment of investigator</w:t>
      </w:r>
      <w:r>
        <w:tab/>
      </w:r>
      <w:r>
        <w:fldChar w:fldCharType="begin"/>
      </w:r>
      <w:r>
        <w:instrText xml:space="preserve"> PAGEREF _Toc98768015 \h </w:instrText>
      </w:r>
      <w:r>
        <w:fldChar w:fldCharType="separate"/>
      </w:r>
      <w:r>
        <w:t>166</w:t>
      </w:r>
      <w:r>
        <w:fldChar w:fldCharType="end"/>
      </w:r>
    </w:p>
    <w:p>
      <w:pPr>
        <w:pStyle w:val="TOC8"/>
        <w:rPr>
          <w:rFonts w:asciiTheme="minorHAnsi" w:eastAsiaTheme="minorEastAsia" w:hAnsiTheme="minorHAnsi" w:cstheme="minorBidi"/>
          <w:szCs w:val="22"/>
        </w:rPr>
      </w:pPr>
      <w:r>
        <w:t>340K.</w:t>
      </w:r>
      <w:r>
        <w:tab/>
        <w:t>Functions of Committee</w:t>
      </w:r>
      <w:r>
        <w:tab/>
      </w:r>
      <w:r>
        <w:fldChar w:fldCharType="begin"/>
      </w:r>
      <w:r>
        <w:instrText xml:space="preserve"> PAGEREF _Toc98768016 \h </w:instrText>
      </w:r>
      <w:r>
        <w:fldChar w:fldCharType="separate"/>
      </w:r>
      <w:r>
        <w:t>167</w:t>
      </w:r>
      <w:r>
        <w:fldChar w:fldCharType="end"/>
      </w:r>
    </w:p>
    <w:p>
      <w:pPr>
        <w:pStyle w:val="TOC8"/>
        <w:rPr>
          <w:rFonts w:asciiTheme="minorHAnsi" w:eastAsiaTheme="minorEastAsia" w:hAnsiTheme="minorHAnsi" w:cstheme="minorBidi"/>
          <w:szCs w:val="22"/>
        </w:rPr>
      </w:pPr>
      <w:r>
        <w:t>340LA.</w:t>
      </w:r>
      <w:r>
        <w:tab/>
        <w:t>Further provisions relating to proceedings of Committee</w:t>
      </w:r>
      <w:r>
        <w:tab/>
      </w:r>
      <w:r>
        <w:fldChar w:fldCharType="begin"/>
      </w:r>
      <w:r>
        <w:instrText xml:space="preserve"> PAGEREF _Toc98768017 \h </w:instrText>
      </w:r>
      <w:r>
        <w:fldChar w:fldCharType="separate"/>
      </w:r>
      <w:r>
        <w:t>168</w:t>
      </w:r>
      <w:r>
        <w:fldChar w:fldCharType="end"/>
      </w:r>
    </w:p>
    <w:p>
      <w:pPr>
        <w:pStyle w:val="TOC8"/>
        <w:rPr>
          <w:rFonts w:asciiTheme="minorHAnsi" w:eastAsiaTheme="minorEastAsia" w:hAnsiTheme="minorHAnsi" w:cstheme="minorBidi"/>
          <w:szCs w:val="22"/>
        </w:rPr>
      </w:pPr>
      <w:r>
        <w:t>340LB.</w:t>
      </w:r>
      <w:r>
        <w:tab/>
        <w:t>Contents of notification confidential</w:t>
      </w:r>
      <w:r>
        <w:tab/>
      </w:r>
      <w:r>
        <w:fldChar w:fldCharType="begin"/>
      </w:r>
      <w:r>
        <w:instrText xml:space="preserve"> PAGEREF _Toc98768018 \h </w:instrText>
      </w:r>
      <w:r>
        <w:fldChar w:fldCharType="separate"/>
      </w:r>
      <w:r>
        <w:t>169</w:t>
      </w:r>
      <w:r>
        <w:fldChar w:fldCharType="end"/>
      </w:r>
    </w:p>
    <w:p>
      <w:pPr>
        <w:pStyle w:val="TOC8"/>
        <w:rPr>
          <w:rFonts w:asciiTheme="minorHAnsi" w:eastAsiaTheme="minorEastAsia" w:hAnsiTheme="minorHAnsi" w:cstheme="minorBidi"/>
          <w:szCs w:val="22"/>
        </w:rPr>
      </w:pPr>
      <w:r>
        <w:t>340L</w:t>
      </w:r>
      <w:r>
        <w:rPr>
          <w:snapToGrid w:val="0"/>
        </w:rPr>
        <w:t xml:space="preserve">. </w:t>
      </w:r>
      <w:r>
        <w:rPr>
          <w:snapToGrid w:val="0"/>
        </w:rPr>
        <w:tab/>
        <w:t>When report of investigator may be published</w:t>
      </w:r>
      <w:r>
        <w:tab/>
      </w:r>
      <w:r>
        <w:fldChar w:fldCharType="begin"/>
      </w:r>
      <w:r>
        <w:instrText xml:space="preserve"> PAGEREF _Toc98768019 \h </w:instrText>
      </w:r>
      <w:r>
        <w:fldChar w:fldCharType="separate"/>
      </w:r>
      <w:r>
        <w:t>169</w:t>
      </w:r>
      <w:r>
        <w:fldChar w:fldCharType="end"/>
      </w:r>
    </w:p>
    <w:p>
      <w:pPr>
        <w:pStyle w:val="TOC8"/>
        <w:rPr>
          <w:rFonts w:asciiTheme="minorHAnsi" w:eastAsiaTheme="minorEastAsia" w:hAnsiTheme="minorHAnsi" w:cstheme="minorBidi"/>
          <w:szCs w:val="22"/>
        </w:rPr>
      </w:pPr>
      <w:r>
        <w:t>340M</w:t>
      </w:r>
      <w:r>
        <w:rPr>
          <w:snapToGrid w:val="0"/>
        </w:rPr>
        <w:t xml:space="preserve">. </w:t>
      </w:r>
      <w:r>
        <w:rPr>
          <w:snapToGrid w:val="0"/>
        </w:rPr>
        <w:tab/>
        <w:t>Information given for research not to be disclosed</w:t>
      </w:r>
      <w:r>
        <w:tab/>
      </w:r>
      <w:r>
        <w:fldChar w:fldCharType="begin"/>
      </w:r>
      <w:r>
        <w:instrText xml:space="preserve"> PAGEREF _Toc98768020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XIIIB — Perinatal and Infant Mortality Committee</w:t>
      </w:r>
    </w:p>
    <w:p>
      <w:pPr>
        <w:pStyle w:val="TOC8"/>
        <w:rPr>
          <w:rFonts w:asciiTheme="minorHAnsi" w:eastAsiaTheme="minorEastAsia" w:hAnsiTheme="minorHAnsi" w:cstheme="minorBidi"/>
          <w:szCs w:val="22"/>
        </w:rPr>
      </w:pPr>
      <w:r>
        <w:t>340AA</w:t>
      </w:r>
      <w:r>
        <w:rPr>
          <w:snapToGrid w:val="0"/>
        </w:rPr>
        <w:t>.</w:t>
      </w:r>
      <w:r>
        <w:rPr>
          <w:snapToGrid w:val="0"/>
        </w:rPr>
        <w:tab/>
        <w:t>Terms used</w:t>
      </w:r>
      <w:r>
        <w:tab/>
      </w:r>
      <w:r>
        <w:fldChar w:fldCharType="begin"/>
      </w:r>
      <w:r>
        <w:instrText xml:space="preserve"> PAGEREF _Toc98768022 \h </w:instrText>
      </w:r>
      <w:r>
        <w:fldChar w:fldCharType="separate"/>
      </w:r>
      <w:r>
        <w:t>171</w:t>
      </w:r>
      <w:r>
        <w:fldChar w:fldCharType="end"/>
      </w:r>
    </w:p>
    <w:p>
      <w:pPr>
        <w:pStyle w:val="TOC8"/>
        <w:rPr>
          <w:rFonts w:asciiTheme="minorHAnsi" w:eastAsiaTheme="minorEastAsia" w:hAnsiTheme="minorHAnsi" w:cstheme="minorBidi"/>
          <w:szCs w:val="22"/>
        </w:rPr>
      </w:pPr>
      <w:r>
        <w:t>340AB</w:t>
      </w:r>
      <w:r>
        <w:rPr>
          <w:snapToGrid w:val="0"/>
        </w:rPr>
        <w:t>.</w:t>
      </w:r>
      <w:r>
        <w:rPr>
          <w:snapToGrid w:val="0"/>
        </w:rPr>
        <w:tab/>
        <w:t>Constitution and offices of Committee</w:t>
      </w:r>
      <w:r>
        <w:tab/>
      </w:r>
      <w:r>
        <w:fldChar w:fldCharType="begin"/>
      </w:r>
      <w:r>
        <w:instrText xml:space="preserve"> PAGEREF _Toc98768023 \h </w:instrText>
      </w:r>
      <w:r>
        <w:fldChar w:fldCharType="separate"/>
      </w:r>
      <w:r>
        <w:t>171</w:t>
      </w:r>
      <w:r>
        <w:fldChar w:fldCharType="end"/>
      </w:r>
    </w:p>
    <w:p>
      <w:pPr>
        <w:pStyle w:val="TOC8"/>
        <w:rPr>
          <w:rFonts w:asciiTheme="minorHAnsi" w:eastAsiaTheme="minorEastAsia" w:hAnsiTheme="minorHAnsi" w:cstheme="minorBidi"/>
          <w:szCs w:val="22"/>
        </w:rPr>
      </w:pPr>
      <w:r>
        <w:t>340AC</w:t>
      </w:r>
      <w:r>
        <w:rPr>
          <w:snapToGrid w:val="0"/>
        </w:rPr>
        <w:t>.</w:t>
      </w:r>
      <w:r>
        <w:rPr>
          <w:snapToGrid w:val="0"/>
        </w:rPr>
        <w:tab/>
        <w:t>Appointment of deputies</w:t>
      </w:r>
      <w:r>
        <w:tab/>
      </w:r>
      <w:r>
        <w:fldChar w:fldCharType="begin"/>
      </w:r>
      <w:r>
        <w:instrText xml:space="preserve"> PAGEREF _Toc98768024 \h </w:instrText>
      </w:r>
      <w:r>
        <w:fldChar w:fldCharType="separate"/>
      </w:r>
      <w:r>
        <w:t>173</w:t>
      </w:r>
      <w:r>
        <w:fldChar w:fldCharType="end"/>
      </w:r>
    </w:p>
    <w:p>
      <w:pPr>
        <w:pStyle w:val="TOC8"/>
        <w:rPr>
          <w:rFonts w:asciiTheme="minorHAnsi" w:eastAsiaTheme="minorEastAsia" w:hAnsiTheme="minorHAnsi" w:cstheme="minorBidi"/>
          <w:szCs w:val="22"/>
        </w:rPr>
      </w:pPr>
      <w:r>
        <w:t>340AD</w:t>
      </w:r>
      <w:r>
        <w:rPr>
          <w:snapToGrid w:val="0"/>
        </w:rPr>
        <w:t xml:space="preserve">. </w:t>
      </w:r>
      <w:r>
        <w:rPr>
          <w:snapToGrid w:val="0"/>
        </w:rPr>
        <w:tab/>
        <w:t>Nominations to be made to Minister</w:t>
      </w:r>
      <w:r>
        <w:tab/>
      </w:r>
      <w:r>
        <w:fldChar w:fldCharType="begin"/>
      </w:r>
      <w:r>
        <w:instrText xml:space="preserve"> PAGEREF _Toc98768025 \h </w:instrText>
      </w:r>
      <w:r>
        <w:fldChar w:fldCharType="separate"/>
      </w:r>
      <w:r>
        <w:t>173</w:t>
      </w:r>
      <w:r>
        <w:fldChar w:fldCharType="end"/>
      </w:r>
    </w:p>
    <w:p>
      <w:pPr>
        <w:pStyle w:val="TOC8"/>
        <w:rPr>
          <w:rFonts w:asciiTheme="minorHAnsi" w:eastAsiaTheme="minorEastAsia" w:hAnsiTheme="minorHAnsi" w:cstheme="minorBidi"/>
          <w:szCs w:val="22"/>
        </w:rPr>
      </w:pPr>
      <w:r>
        <w:t>340AE</w:t>
      </w:r>
      <w:r>
        <w:rPr>
          <w:snapToGrid w:val="0"/>
        </w:rPr>
        <w:t xml:space="preserve">. </w:t>
      </w:r>
      <w:r>
        <w:rPr>
          <w:snapToGrid w:val="0"/>
        </w:rPr>
        <w:tab/>
        <w:t>Tenure of office</w:t>
      </w:r>
      <w:r>
        <w:tab/>
      </w:r>
      <w:r>
        <w:fldChar w:fldCharType="begin"/>
      </w:r>
      <w:r>
        <w:instrText xml:space="preserve"> PAGEREF _Toc98768026 \h </w:instrText>
      </w:r>
      <w:r>
        <w:fldChar w:fldCharType="separate"/>
      </w:r>
      <w:r>
        <w:t>174</w:t>
      </w:r>
      <w:r>
        <w:fldChar w:fldCharType="end"/>
      </w:r>
    </w:p>
    <w:p>
      <w:pPr>
        <w:pStyle w:val="TOC8"/>
        <w:rPr>
          <w:rFonts w:asciiTheme="minorHAnsi" w:eastAsiaTheme="minorEastAsia" w:hAnsiTheme="minorHAnsi" w:cstheme="minorBidi"/>
          <w:szCs w:val="22"/>
        </w:rPr>
      </w:pPr>
      <w:r>
        <w:t>340AF.</w:t>
      </w:r>
      <w:r>
        <w:tab/>
        <w:t>When office of member becomes vacant</w:t>
      </w:r>
      <w:r>
        <w:tab/>
      </w:r>
      <w:r>
        <w:fldChar w:fldCharType="begin"/>
      </w:r>
      <w:r>
        <w:instrText xml:space="preserve"> PAGEREF _Toc98768027 \h </w:instrText>
      </w:r>
      <w:r>
        <w:fldChar w:fldCharType="separate"/>
      </w:r>
      <w:r>
        <w:t>174</w:t>
      </w:r>
      <w:r>
        <w:fldChar w:fldCharType="end"/>
      </w:r>
    </w:p>
    <w:p>
      <w:pPr>
        <w:pStyle w:val="TOC8"/>
        <w:rPr>
          <w:rFonts w:asciiTheme="minorHAnsi" w:eastAsiaTheme="minorEastAsia" w:hAnsiTheme="minorHAnsi" w:cstheme="minorBidi"/>
          <w:szCs w:val="22"/>
        </w:rPr>
      </w:pPr>
      <w:r>
        <w:t>340AG</w:t>
      </w:r>
      <w:r>
        <w:rPr>
          <w:snapToGrid w:val="0"/>
        </w:rPr>
        <w:t xml:space="preserve">. </w:t>
      </w:r>
      <w:r>
        <w:rPr>
          <w:snapToGrid w:val="0"/>
        </w:rPr>
        <w:tab/>
        <w:t>Vacancies in offices of members to be filled</w:t>
      </w:r>
      <w:r>
        <w:tab/>
      </w:r>
      <w:r>
        <w:fldChar w:fldCharType="begin"/>
      </w:r>
      <w:r>
        <w:instrText xml:space="preserve"> PAGEREF _Toc98768028 \h </w:instrText>
      </w:r>
      <w:r>
        <w:fldChar w:fldCharType="separate"/>
      </w:r>
      <w:r>
        <w:t>176</w:t>
      </w:r>
      <w:r>
        <w:fldChar w:fldCharType="end"/>
      </w:r>
    </w:p>
    <w:p>
      <w:pPr>
        <w:pStyle w:val="TOC8"/>
        <w:rPr>
          <w:rFonts w:asciiTheme="minorHAnsi" w:eastAsiaTheme="minorEastAsia" w:hAnsiTheme="minorHAnsi" w:cstheme="minorBidi"/>
          <w:szCs w:val="22"/>
        </w:rPr>
      </w:pPr>
      <w:r>
        <w:t>340AH.</w:t>
      </w:r>
      <w:r>
        <w:tab/>
        <w:t>Meetings and procedure of Committee</w:t>
      </w:r>
      <w:r>
        <w:tab/>
      </w:r>
      <w:r>
        <w:fldChar w:fldCharType="begin"/>
      </w:r>
      <w:r>
        <w:instrText xml:space="preserve"> PAGEREF _Toc98768029 \h </w:instrText>
      </w:r>
      <w:r>
        <w:fldChar w:fldCharType="separate"/>
      </w:r>
      <w:r>
        <w:t>176</w:t>
      </w:r>
      <w:r>
        <w:fldChar w:fldCharType="end"/>
      </w:r>
    </w:p>
    <w:p>
      <w:pPr>
        <w:pStyle w:val="TOC8"/>
        <w:rPr>
          <w:rFonts w:asciiTheme="minorHAnsi" w:eastAsiaTheme="minorEastAsia" w:hAnsiTheme="minorHAnsi" w:cstheme="minorBidi"/>
          <w:szCs w:val="22"/>
        </w:rPr>
      </w:pPr>
      <w:r>
        <w:t>340AI</w:t>
      </w:r>
      <w:r>
        <w:rPr>
          <w:snapToGrid w:val="0"/>
        </w:rPr>
        <w:t xml:space="preserve">. </w:t>
      </w:r>
      <w:r>
        <w:rPr>
          <w:snapToGrid w:val="0"/>
        </w:rPr>
        <w:tab/>
        <w:t>Reimbursement of expenses of members</w:t>
      </w:r>
      <w:r>
        <w:tab/>
      </w:r>
      <w:r>
        <w:fldChar w:fldCharType="begin"/>
      </w:r>
      <w:r>
        <w:instrText xml:space="preserve"> PAGEREF _Toc98768030 \h </w:instrText>
      </w:r>
      <w:r>
        <w:fldChar w:fldCharType="separate"/>
      </w:r>
      <w:r>
        <w:t>177</w:t>
      </w:r>
      <w:r>
        <w:fldChar w:fldCharType="end"/>
      </w:r>
    </w:p>
    <w:p>
      <w:pPr>
        <w:pStyle w:val="TOC8"/>
        <w:rPr>
          <w:rFonts w:asciiTheme="minorHAnsi" w:eastAsiaTheme="minorEastAsia" w:hAnsiTheme="minorHAnsi" w:cstheme="minorBidi"/>
          <w:szCs w:val="22"/>
        </w:rPr>
      </w:pPr>
      <w:r>
        <w:t>340AJ</w:t>
      </w:r>
      <w:r>
        <w:rPr>
          <w:snapToGrid w:val="0"/>
        </w:rPr>
        <w:t xml:space="preserve">. </w:t>
      </w:r>
      <w:r>
        <w:rPr>
          <w:snapToGrid w:val="0"/>
        </w:rPr>
        <w:tab/>
        <w:t>Appointment of investigator</w:t>
      </w:r>
      <w:r>
        <w:tab/>
      </w:r>
      <w:r>
        <w:fldChar w:fldCharType="begin"/>
      </w:r>
      <w:r>
        <w:instrText xml:space="preserve"> PAGEREF _Toc98768031 \h </w:instrText>
      </w:r>
      <w:r>
        <w:fldChar w:fldCharType="separate"/>
      </w:r>
      <w:r>
        <w:t>177</w:t>
      </w:r>
      <w:r>
        <w:fldChar w:fldCharType="end"/>
      </w:r>
    </w:p>
    <w:p>
      <w:pPr>
        <w:pStyle w:val="TOC8"/>
        <w:rPr>
          <w:rFonts w:asciiTheme="minorHAnsi" w:eastAsiaTheme="minorEastAsia" w:hAnsiTheme="minorHAnsi" w:cstheme="minorBidi"/>
          <w:szCs w:val="22"/>
        </w:rPr>
      </w:pPr>
      <w:r>
        <w:lastRenderedPageBreak/>
        <w:t>340AK.</w:t>
      </w:r>
      <w:r>
        <w:tab/>
        <w:t>Functions of Committee</w:t>
      </w:r>
      <w:r>
        <w:tab/>
      </w:r>
      <w:r>
        <w:fldChar w:fldCharType="begin"/>
      </w:r>
      <w:r>
        <w:instrText xml:space="preserve"> PAGEREF _Toc98768032 \h </w:instrText>
      </w:r>
      <w:r>
        <w:fldChar w:fldCharType="separate"/>
      </w:r>
      <w:r>
        <w:t>178</w:t>
      </w:r>
      <w:r>
        <w:fldChar w:fldCharType="end"/>
      </w:r>
    </w:p>
    <w:p>
      <w:pPr>
        <w:pStyle w:val="TOC8"/>
        <w:rPr>
          <w:rFonts w:asciiTheme="minorHAnsi" w:eastAsiaTheme="minorEastAsia" w:hAnsiTheme="minorHAnsi" w:cstheme="minorBidi"/>
          <w:szCs w:val="22"/>
        </w:rPr>
      </w:pPr>
      <w:r>
        <w:tab/>
        <w:t>340ALA. Further provisions relating to proceedings of Committee</w:t>
      </w:r>
      <w:r>
        <w:tab/>
      </w:r>
      <w:r>
        <w:fldChar w:fldCharType="begin"/>
      </w:r>
      <w:r>
        <w:instrText xml:space="preserve"> PAGEREF _Toc98768033 \h </w:instrText>
      </w:r>
      <w:r>
        <w:fldChar w:fldCharType="separate"/>
      </w:r>
      <w:r>
        <w:t>179</w:t>
      </w:r>
      <w:r>
        <w:fldChar w:fldCharType="end"/>
      </w:r>
    </w:p>
    <w:p>
      <w:pPr>
        <w:pStyle w:val="TOC8"/>
        <w:rPr>
          <w:rFonts w:asciiTheme="minorHAnsi" w:eastAsiaTheme="minorEastAsia" w:hAnsiTheme="minorHAnsi" w:cstheme="minorBidi"/>
          <w:szCs w:val="22"/>
        </w:rPr>
      </w:pPr>
      <w:r>
        <w:tab/>
        <w:t>340ALB. Contents of notification confidential</w:t>
      </w:r>
      <w:r>
        <w:tab/>
      </w:r>
      <w:r>
        <w:fldChar w:fldCharType="begin"/>
      </w:r>
      <w:r>
        <w:instrText xml:space="preserve"> PAGEREF _Toc98768034 \h </w:instrText>
      </w:r>
      <w:r>
        <w:fldChar w:fldCharType="separate"/>
      </w:r>
      <w:r>
        <w:t>180</w:t>
      </w:r>
      <w:r>
        <w:fldChar w:fldCharType="end"/>
      </w:r>
    </w:p>
    <w:p>
      <w:pPr>
        <w:pStyle w:val="TOC8"/>
        <w:rPr>
          <w:rFonts w:asciiTheme="minorHAnsi" w:eastAsiaTheme="minorEastAsia" w:hAnsiTheme="minorHAnsi" w:cstheme="minorBidi"/>
          <w:szCs w:val="22"/>
        </w:rPr>
      </w:pPr>
      <w:r>
        <w:t>340AL</w:t>
      </w:r>
      <w:r>
        <w:rPr>
          <w:snapToGrid w:val="0"/>
        </w:rPr>
        <w:t xml:space="preserve">. </w:t>
      </w:r>
      <w:r>
        <w:rPr>
          <w:snapToGrid w:val="0"/>
        </w:rPr>
        <w:tab/>
        <w:t>When report may be published</w:t>
      </w:r>
      <w:r>
        <w:tab/>
      </w:r>
      <w:r>
        <w:fldChar w:fldCharType="begin"/>
      </w:r>
      <w:r>
        <w:instrText xml:space="preserve"> PAGEREF _Toc98768035 \h </w:instrText>
      </w:r>
      <w:r>
        <w:fldChar w:fldCharType="separate"/>
      </w:r>
      <w:r>
        <w:t>180</w:t>
      </w:r>
      <w:r>
        <w:fldChar w:fldCharType="end"/>
      </w:r>
    </w:p>
    <w:p>
      <w:pPr>
        <w:pStyle w:val="TOC8"/>
        <w:rPr>
          <w:rFonts w:asciiTheme="minorHAnsi" w:eastAsiaTheme="minorEastAsia" w:hAnsiTheme="minorHAnsi" w:cstheme="minorBidi"/>
          <w:szCs w:val="22"/>
        </w:rPr>
      </w:pPr>
      <w:r>
        <w:t>340AM</w:t>
      </w:r>
      <w:r>
        <w:rPr>
          <w:snapToGrid w:val="0"/>
        </w:rPr>
        <w:t>.</w:t>
      </w:r>
      <w:r>
        <w:rPr>
          <w:snapToGrid w:val="0"/>
        </w:rPr>
        <w:tab/>
        <w:t>Information for research not to be disclosed</w:t>
      </w:r>
      <w:r>
        <w:tab/>
      </w:r>
      <w:r>
        <w:fldChar w:fldCharType="begin"/>
      </w:r>
      <w:r>
        <w:instrText xml:space="preserve"> PAGEREF _Toc98768036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Part XIIIC — Anaesthetic Mortality Committee</w:t>
      </w:r>
    </w:p>
    <w:p>
      <w:pPr>
        <w:pStyle w:val="TOC8"/>
        <w:rPr>
          <w:rFonts w:asciiTheme="minorHAnsi" w:eastAsiaTheme="minorEastAsia" w:hAnsiTheme="minorHAnsi" w:cstheme="minorBidi"/>
          <w:szCs w:val="22"/>
        </w:rPr>
      </w:pPr>
      <w:r>
        <w:t>340BA</w:t>
      </w:r>
      <w:r>
        <w:rPr>
          <w:snapToGrid w:val="0"/>
        </w:rPr>
        <w:t>.</w:t>
      </w:r>
      <w:r>
        <w:rPr>
          <w:snapToGrid w:val="0"/>
        </w:rPr>
        <w:tab/>
        <w:t>Terms used</w:t>
      </w:r>
      <w:r>
        <w:tab/>
      </w:r>
      <w:r>
        <w:fldChar w:fldCharType="begin"/>
      </w:r>
      <w:r>
        <w:instrText xml:space="preserve"> PAGEREF _Toc98768038 \h </w:instrText>
      </w:r>
      <w:r>
        <w:fldChar w:fldCharType="separate"/>
      </w:r>
      <w:r>
        <w:t>183</w:t>
      </w:r>
      <w:r>
        <w:fldChar w:fldCharType="end"/>
      </w:r>
    </w:p>
    <w:p>
      <w:pPr>
        <w:pStyle w:val="TOC8"/>
        <w:rPr>
          <w:rFonts w:asciiTheme="minorHAnsi" w:eastAsiaTheme="minorEastAsia" w:hAnsiTheme="minorHAnsi" w:cstheme="minorBidi"/>
          <w:szCs w:val="22"/>
        </w:rPr>
      </w:pPr>
      <w:r>
        <w:t>340BB</w:t>
      </w:r>
      <w:r>
        <w:rPr>
          <w:snapToGrid w:val="0"/>
        </w:rPr>
        <w:t xml:space="preserve">. </w:t>
      </w:r>
      <w:r>
        <w:rPr>
          <w:snapToGrid w:val="0"/>
        </w:rPr>
        <w:tab/>
        <w:t>Constitution and offices of Committee</w:t>
      </w:r>
      <w:r>
        <w:tab/>
      </w:r>
      <w:r>
        <w:fldChar w:fldCharType="begin"/>
      </w:r>
      <w:r>
        <w:instrText xml:space="preserve"> PAGEREF _Toc98768039 \h </w:instrText>
      </w:r>
      <w:r>
        <w:fldChar w:fldCharType="separate"/>
      </w:r>
      <w:r>
        <w:t>183</w:t>
      </w:r>
      <w:r>
        <w:fldChar w:fldCharType="end"/>
      </w:r>
    </w:p>
    <w:p>
      <w:pPr>
        <w:pStyle w:val="TOC8"/>
        <w:rPr>
          <w:rFonts w:asciiTheme="minorHAnsi" w:eastAsiaTheme="minorEastAsia" w:hAnsiTheme="minorHAnsi" w:cstheme="minorBidi"/>
          <w:szCs w:val="22"/>
        </w:rPr>
      </w:pPr>
      <w:r>
        <w:t>340BC</w:t>
      </w:r>
      <w:r>
        <w:rPr>
          <w:snapToGrid w:val="0"/>
        </w:rPr>
        <w:t xml:space="preserve">. </w:t>
      </w:r>
      <w:r>
        <w:rPr>
          <w:snapToGrid w:val="0"/>
        </w:rPr>
        <w:tab/>
        <w:t>Appointment of deputies</w:t>
      </w:r>
      <w:r>
        <w:tab/>
      </w:r>
      <w:r>
        <w:fldChar w:fldCharType="begin"/>
      </w:r>
      <w:r>
        <w:instrText xml:space="preserve"> PAGEREF _Toc98768040 \h </w:instrText>
      </w:r>
      <w:r>
        <w:fldChar w:fldCharType="separate"/>
      </w:r>
      <w:r>
        <w:t>185</w:t>
      </w:r>
      <w:r>
        <w:fldChar w:fldCharType="end"/>
      </w:r>
    </w:p>
    <w:p>
      <w:pPr>
        <w:pStyle w:val="TOC8"/>
        <w:rPr>
          <w:rFonts w:asciiTheme="minorHAnsi" w:eastAsiaTheme="minorEastAsia" w:hAnsiTheme="minorHAnsi" w:cstheme="minorBidi"/>
          <w:szCs w:val="22"/>
        </w:rPr>
      </w:pPr>
      <w:r>
        <w:t>340BD</w:t>
      </w:r>
      <w:r>
        <w:rPr>
          <w:snapToGrid w:val="0"/>
        </w:rPr>
        <w:t xml:space="preserve">. </w:t>
      </w:r>
      <w:r>
        <w:rPr>
          <w:snapToGrid w:val="0"/>
        </w:rPr>
        <w:tab/>
        <w:t>Nominations to be made to Minister</w:t>
      </w:r>
      <w:r>
        <w:tab/>
      </w:r>
      <w:r>
        <w:fldChar w:fldCharType="begin"/>
      </w:r>
      <w:r>
        <w:instrText xml:space="preserve"> PAGEREF _Toc98768041 \h </w:instrText>
      </w:r>
      <w:r>
        <w:fldChar w:fldCharType="separate"/>
      </w:r>
      <w:r>
        <w:t>185</w:t>
      </w:r>
      <w:r>
        <w:fldChar w:fldCharType="end"/>
      </w:r>
    </w:p>
    <w:p>
      <w:pPr>
        <w:pStyle w:val="TOC8"/>
        <w:rPr>
          <w:rFonts w:asciiTheme="minorHAnsi" w:eastAsiaTheme="minorEastAsia" w:hAnsiTheme="minorHAnsi" w:cstheme="minorBidi"/>
          <w:szCs w:val="22"/>
        </w:rPr>
      </w:pPr>
      <w:r>
        <w:t>340BE</w:t>
      </w:r>
      <w:r>
        <w:rPr>
          <w:snapToGrid w:val="0"/>
        </w:rPr>
        <w:t xml:space="preserve">. </w:t>
      </w:r>
      <w:r>
        <w:rPr>
          <w:snapToGrid w:val="0"/>
        </w:rPr>
        <w:tab/>
        <w:t>Tenure of office</w:t>
      </w:r>
      <w:r>
        <w:tab/>
      </w:r>
      <w:r>
        <w:fldChar w:fldCharType="begin"/>
      </w:r>
      <w:r>
        <w:instrText xml:space="preserve"> PAGEREF _Toc98768042 \h </w:instrText>
      </w:r>
      <w:r>
        <w:fldChar w:fldCharType="separate"/>
      </w:r>
      <w:r>
        <w:t>186</w:t>
      </w:r>
      <w:r>
        <w:fldChar w:fldCharType="end"/>
      </w:r>
    </w:p>
    <w:p>
      <w:pPr>
        <w:pStyle w:val="TOC8"/>
        <w:rPr>
          <w:rFonts w:asciiTheme="minorHAnsi" w:eastAsiaTheme="minorEastAsia" w:hAnsiTheme="minorHAnsi" w:cstheme="minorBidi"/>
          <w:szCs w:val="22"/>
        </w:rPr>
      </w:pPr>
      <w:r>
        <w:t>340BF.</w:t>
      </w:r>
      <w:r>
        <w:tab/>
        <w:t>When office of member becomes vacant</w:t>
      </w:r>
      <w:r>
        <w:tab/>
      </w:r>
      <w:r>
        <w:fldChar w:fldCharType="begin"/>
      </w:r>
      <w:r>
        <w:instrText xml:space="preserve"> PAGEREF _Toc98768043 \h </w:instrText>
      </w:r>
      <w:r>
        <w:fldChar w:fldCharType="separate"/>
      </w:r>
      <w:r>
        <w:t>186</w:t>
      </w:r>
      <w:r>
        <w:fldChar w:fldCharType="end"/>
      </w:r>
    </w:p>
    <w:p>
      <w:pPr>
        <w:pStyle w:val="TOC8"/>
        <w:rPr>
          <w:rFonts w:asciiTheme="minorHAnsi" w:eastAsiaTheme="minorEastAsia" w:hAnsiTheme="minorHAnsi" w:cstheme="minorBidi"/>
          <w:szCs w:val="22"/>
        </w:rPr>
      </w:pPr>
      <w:r>
        <w:t>340BG</w:t>
      </w:r>
      <w:r>
        <w:rPr>
          <w:snapToGrid w:val="0"/>
        </w:rPr>
        <w:t xml:space="preserve">. </w:t>
      </w:r>
      <w:r>
        <w:rPr>
          <w:snapToGrid w:val="0"/>
        </w:rPr>
        <w:tab/>
        <w:t>Vacancies in offices of members to be filled</w:t>
      </w:r>
      <w:r>
        <w:tab/>
      </w:r>
      <w:r>
        <w:fldChar w:fldCharType="begin"/>
      </w:r>
      <w:r>
        <w:instrText xml:space="preserve"> PAGEREF _Toc98768044 \h </w:instrText>
      </w:r>
      <w:r>
        <w:fldChar w:fldCharType="separate"/>
      </w:r>
      <w:r>
        <w:t>188</w:t>
      </w:r>
      <w:r>
        <w:fldChar w:fldCharType="end"/>
      </w:r>
    </w:p>
    <w:p>
      <w:pPr>
        <w:pStyle w:val="TOC8"/>
        <w:rPr>
          <w:rFonts w:asciiTheme="minorHAnsi" w:eastAsiaTheme="minorEastAsia" w:hAnsiTheme="minorHAnsi" w:cstheme="minorBidi"/>
          <w:szCs w:val="22"/>
        </w:rPr>
      </w:pPr>
      <w:r>
        <w:t>340BH.</w:t>
      </w:r>
      <w:r>
        <w:tab/>
        <w:t>Meetings and procedure of Committee</w:t>
      </w:r>
      <w:r>
        <w:tab/>
      </w:r>
      <w:r>
        <w:fldChar w:fldCharType="begin"/>
      </w:r>
      <w:r>
        <w:instrText xml:space="preserve"> PAGEREF _Toc98768045 \h </w:instrText>
      </w:r>
      <w:r>
        <w:fldChar w:fldCharType="separate"/>
      </w:r>
      <w:r>
        <w:t>188</w:t>
      </w:r>
      <w:r>
        <w:fldChar w:fldCharType="end"/>
      </w:r>
    </w:p>
    <w:p>
      <w:pPr>
        <w:pStyle w:val="TOC8"/>
        <w:rPr>
          <w:rFonts w:asciiTheme="minorHAnsi" w:eastAsiaTheme="minorEastAsia" w:hAnsiTheme="minorHAnsi" w:cstheme="minorBidi"/>
          <w:szCs w:val="22"/>
        </w:rPr>
      </w:pPr>
      <w:r>
        <w:t>340BI</w:t>
      </w:r>
      <w:r>
        <w:rPr>
          <w:snapToGrid w:val="0"/>
        </w:rPr>
        <w:t xml:space="preserve">. </w:t>
      </w:r>
      <w:r>
        <w:rPr>
          <w:snapToGrid w:val="0"/>
        </w:rPr>
        <w:tab/>
        <w:t>Reimbursement of expenses of members</w:t>
      </w:r>
      <w:r>
        <w:tab/>
      </w:r>
      <w:r>
        <w:fldChar w:fldCharType="begin"/>
      </w:r>
      <w:r>
        <w:instrText xml:space="preserve"> PAGEREF _Toc98768046 \h </w:instrText>
      </w:r>
      <w:r>
        <w:fldChar w:fldCharType="separate"/>
      </w:r>
      <w:r>
        <w:t>189</w:t>
      </w:r>
      <w:r>
        <w:fldChar w:fldCharType="end"/>
      </w:r>
    </w:p>
    <w:p>
      <w:pPr>
        <w:pStyle w:val="TOC8"/>
        <w:rPr>
          <w:rFonts w:asciiTheme="minorHAnsi" w:eastAsiaTheme="minorEastAsia" w:hAnsiTheme="minorHAnsi" w:cstheme="minorBidi"/>
          <w:szCs w:val="22"/>
        </w:rPr>
      </w:pPr>
      <w:r>
        <w:t>340BJ</w:t>
      </w:r>
      <w:r>
        <w:rPr>
          <w:snapToGrid w:val="0"/>
        </w:rPr>
        <w:t xml:space="preserve">. </w:t>
      </w:r>
      <w:r>
        <w:rPr>
          <w:snapToGrid w:val="0"/>
        </w:rPr>
        <w:tab/>
        <w:t>Appointment of investigator</w:t>
      </w:r>
      <w:r>
        <w:tab/>
      </w:r>
      <w:r>
        <w:fldChar w:fldCharType="begin"/>
      </w:r>
      <w:r>
        <w:instrText xml:space="preserve"> PAGEREF _Toc98768047 \h </w:instrText>
      </w:r>
      <w:r>
        <w:fldChar w:fldCharType="separate"/>
      </w:r>
      <w:r>
        <w:t>189</w:t>
      </w:r>
      <w:r>
        <w:fldChar w:fldCharType="end"/>
      </w:r>
    </w:p>
    <w:p>
      <w:pPr>
        <w:pStyle w:val="TOC8"/>
        <w:rPr>
          <w:rFonts w:asciiTheme="minorHAnsi" w:eastAsiaTheme="minorEastAsia" w:hAnsiTheme="minorHAnsi" w:cstheme="minorBidi"/>
          <w:szCs w:val="22"/>
        </w:rPr>
      </w:pPr>
      <w:r>
        <w:t>340BK.</w:t>
      </w:r>
      <w:r>
        <w:tab/>
        <w:t>Functions of Committee</w:t>
      </w:r>
      <w:r>
        <w:tab/>
      </w:r>
      <w:r>
        <w:fldChar w:fldCharType="begin"/>
      </w:r>
      <w:r>
        <w:instrText xml:space="preserve"> PAGEREF _Toc98768048 \h </w:instrText>
      </w:r>
      <w:r>
        <w:fldChar w:fldCharType="separate"/>
      </w:r>
      <w:r>
        <w:t>190</w:t>
      </w:r>
      <w:r>
        <w:fldChar w:fldCharType="end"/>
      </w:r>
    </w:p>
    <w:p>
      <w:pPr>
        <w:pStyle w:val="TOC8"/>
        <w:rPr>
          <w:rFonts w:asciiTheme="minorHAnsi" w:eastAsiaTheme="minorEastAsia" w:hAnsiTheme="minorHAnsi" w:cstheme="minorBidi"/>
          <w:szCs w:val="22"/>
        </w:rPr>
      </w:pPr>
      <w:r>
        <w:tab/>
        <w:t>340BLA. Further provisions relating to proceedings of Committee</w:t>
      </w:r>
      <w:r>
        <w:tab/>
      </w:r>
      <w:r>
        <w:fldChar w:fldCharType="begin"/>
      </w:r>
      <w:r>
        <w:instrText xml:space="preserve"> PAGEREF _Toc98768049 \h </w:instrText>
      </w:r>
      <w:r>
        <w:fldChar w:fldCharType="separate"/>
      </w:r>
      <w:r>
        <w:t>191</w:t>
      </w:r>
      <w:r>
        <w:fldChar w:fldCharType="end"/>
      </w:r>
    </w:p>
    <w:p>
      <w:pPr>
        <w:pStyle w:val="TOC8"/>
        <w:rPr>
          <w:rFonts w:asciiTheme="minorHAnsi" w:eastAsiaTheme="minorEastAsia" w:hAnsiTheme="minorHAnsi" w:cstheme="minorBidi"/>
          <w:szCs w:val="22"/>
        </w:rPr>
      </w:pPr>
      <w:r>
        <w:tab/>
        <w:t>340BLB. Contents of notification confidential</w:t>
      </w:r>
      <w:r>
        <w:tab/>
      </w:r>
      <w:r>
        <w:fldChar w:fldCharType="begin"/>
      </w:r>
      <w:r>
        <w:instrText xml:space="preserve"> PAGEREF _Toc98768050 \h </w:instrText>
      </w:r>
      <w:r>
        <w:fldChar w:fldCharType="separate"/>
      </w:r>
      <w:r>
        <w:t>192</w:t>
      </w:r>
      <w:r>
        <w:fldChar w:fldCharType="end"/>
      </w:r>
    </w:p>
    <w:p>
      <w:pPr>
        <w:pStyle w:val="TOC8"/>
        <w:rPr>
          <w:rFonts w:asciiTheme="minorHAnsi" w:eastAsiaTheme="minorEastAsia" w:hAnsiTheme="minorHAnsi" w:cstheme="minorBidi"/>
          <w:szCs w:val="22"/>
        </w:rPr>
      </w:pPr>
      <w:r>
        <w:t>340BL</w:t>
      </w:r>
      <w:r>
        <w:rPr>
          <w:snapToGrid w:val="0"/>
        </w:rPr>
        <w:t xml:space="preserve">. </w:t>
      </w:r>
      <w:r>
        <w:rPr>
          <w:snapToGrid w:val="0"/>
        </w:rPr>
        <w:tab/>
        <w:t>When report may be published</w:t>
      </w:r>
      <w:r>
        <w:tab/>
      </w:r>
      <w:r>
        <w:fldChar w:fldCharType="begin"/>
      </w:r>
      <w:r>
        <w:instrText xml:space="preserve"> PAGEREF _Toc98768051 \h </w:instrText>
      </w:r>
      <w:r>
        <w:fldChar w:fldCharType="separate"/>
      </w:r>
      <w:r>
        <w:t>192</w:t>
      </w:r>
      <w:r>
        <w:fldChar w:fldCharType="end"/>
      </w:r>
    </w:p>
    <w:p>
      <w:pPr>
        <w:pStyle w:val="TOC8"/>
        <w:rPr>
          <w:rFonts w:asciiTheme="minorHAnsi" w:eastAsiaTheme="minorEastAsia" w:hAnsiTheme="minorHAnsi" w:cstheme="minorBidi"/>
          <w:szCs w:val="22"/>
        </w:rPr>
      </w:pPr>
      <w:r>
        <w:t>340BM</w:t>
      </w:r>
      <w:r>
        <w:rPr>
          <w:snapToGrid w:val="0"/>
        </w:rPr>
        <w:t xml:space="preserve">. </w:t>
      </w:r>
      <w:r>
        <w:rPr>
          <w:snapToGrid w:val="0"/>
        </w:rPr>
        <w:tab/>
        <w:t>Information for research not to be disclosed</w:t>
      </w:r>
      <w:r>
        <w:tab/>
      </w:r>
      <w:r>
        <w:fldChar w:fldCharType="begin"/>
      </w:r>
      <w:r>
        <w:instrText xml:space="preserve"> PAGEREF _Toc98768052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Part XIV — Regulations and local laws</w:t>
      </w:r>
    </w:p>
    <w:p>
      <w:pPr>
        <w:pStyle w:val="TOC8"/>
        <w:rPr>
          <w:rFonts w:asciiTheme="minorHAnsi" w:eastAsiaTheme="minorEastAsia" w:hAnsiTheme="minorHAnsi" w:cstheme="minorBidi"/>
          <w:szCs w:val="22"/>
        </w:rPr>
      </w:pPr>
      <w:r>
        <w:t>341</w:t>
      </w:r>
      <w:r>
        <w:rPr>
          <w:snapToGrid w:val="0"/>
        </w:rPr>
        <w:t>.</w:t>
      </w:r>
      <w:r>
        <w:rPr>
          <w:snapToGrid w:val="0"/>
        </w:rPr>
        <w:tab/>
        <w:t>Regulations</w:t>
      </w:r>
      <w:r>
        <w:tab/>
      </w:r>
      <w:r>
        <w:fldChar w:fldCharType="begin"/>
      </w:r>
      <w:r>
        <w:instrText xml:space="preserve"> PAGEREF _Toc98768054 \h </w:instrText>
      </w:r>
      <w:r>
        <w:fldChar w:fldCharType="separate"/>
      </w:r>
      <w:r>
        <w:t>194</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Local laws</w:t>
      </w:r>
      <w:r>
        <w:tab/>
      </w:r>
      <w:r>
        <w:fldChar w:fldCharType="begin"/>
      </w:r>
      <w:r>
        <w:instrText xml:space="preserve"> PAGEREF _Toc98768055 \h </w:instrText>
      </w:r>
      <w:r>
        <w:fldChar w:fldCharType="separate"/>
      </w:r>
      <w:r>
        <w:t>194</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Model local laws</w:t>
      </w:r>
      <w:r>
        <w:tab/>
      </w:r>
      <w:r>
        <w:fldChar w:fldCharType="begin"/>
      </w:r>
      <w:r>
        <w:instrText xml:space="preserve"> PAGEREF _Toc98768056 \h </w:instrText>
      </w:r>
      <w:r>
        <w:fldChar w:fldCharType="separate"/>
      </w:r>
      <w:r>
        <w:t>195</w:t>
      </w:r>
      <w:r>
        <w:fldChar w:fldCharType="end"/>
      </w:r>
    </w:p>
    <w:p>
      <w:pPr>
        <w:pStyle w:val="TOC8"/>
        <w:rPr>
          <w:rFonts w:asciiTheme="minorHAnsi" w:eastAsiaTheme="minorEastAsia" w:hAnsiTheme="minorHAnsi" w:cstheme="minorBidi"/>
          <w:szCs w:val="22"/>
        </w:rPr>
      </w:pPr>
      <w:r>
        <w:t>343A</w:t>
      </w:r>
      <w:r>
        <w:rPr>
          <w:snapToGrid w:val="0"/>
        </w:rPr>
        <w:t xml:space="preserve">. </w:t>
      </w:r>
      <w:r>
        <w:rPr>
          <w:snapToGrid w:val="0"/>
        </w:rPr>
        <w:tab/>
        <w:t>Regulations to operate as local laws</w:t>
      </w:r>
      <w:r>
        <w:tab/>
      </w:r>
      <w:r>
        <w:fldChar w:fldCharType="begin"/>
      </w:r>
      <w:r>
        <w:instrText xml:space="preserve"> PAGEREF _Toc98768057 \h </w:instrText>
      </w:r>
      <w:r>
        <w:fldChar w:fldCharType="separate"/>
      </w:r>
      <w:r>
        <w:t>195</w:t>
      </w:r>
      <w:r>
        <w:fldChar w:fldCharType="end"/>
      </w:r>
    </w:p>
    <w:p>
      <w:pPr>
        <w:pStyle w:val="TOC8"/>
        <w:rPr>
          <w:rFonts w:asciiTheme="minorHAnsi" w:eastAsiaTheme="minorEastAsia" w:hAnsiTheme="minorHAnsi" w:cstheme="minorBidi"/>
          <w:szCs w:val="22"/>
        </w:rPr>
      </w:pPr>
      <w:r>
        <w:t>343B</w:t>
      </w:r>
      <w:r>
        <w:rPr>
          <w:snapToGrid w:val="0"/>
        </w:rPr>
        <w:t xml:space="preserve">. </w:t>
      </w:r>
      <w:r>
        <w:rPr>
          <w:snapToGrid w:val="0"/>
        </w:rPr>
        <w:tab/>
        <w:t>Governor may amend or repeal local laws</w:t>
      </w:r>
      <w:r>
        <w:tab/>
      </w:r>
      <w:r>
        <w:fldChar w:fldCharType="begin"/>
      </w:r>
      <w:r>
        <w:instrText xml:space="preserve"> PAGEREF _Toc98768058 \h </w:instrText>
      </w:r>
      <w:r>
        <w:fldChar w:fldCharType="separate"/>
      </w:r>
      <w:r>
        <w:t>196</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Penalties, fees etc.</w:t>
      </w:r>
      <w:r>
        <w:tab/>
      </w:r>
      <w:r>
        <w:fldChar w:fldCharType="begin"/>
      </w:r>
      <w:r>
        <w:instrText xml:space="preserve"> PAGEREF _Toc98768059 \h </w:instrText>
      </w:r>
      <w:r>
        <w:fldChar w:fldCharType="separate"/>
      </w:r>
      <w:r>
        <w:t>196</w:t>
      </w:r>
      <w:r>
        <w:fldChar w:fldCharType="end"/>
      </w:r>
    </w:p>
    <w:p>
      <w:pPr>
        <w:pStyle w:val="TOC8"/>
        <w:rPr>
          <w:rFonts w:asciiTheme="minorHAnsi" w:eastAsiaTheme="minorEastAsia" w:hAnsiTheme="minorHAnsi" w:cstheme="minorBidi"/>
          <w:szCs w:val="22"/>
        </w:rPr>
      </w:pPr>
      <w:r>
        <w:t>344A</w:t>
      </w:r>
      <w:r>
        <w:rPr>
          <w:snapToGrid w:val="0"/>
        </w:rPr>
        <w:t xml:space="preserve">. </w:t>
      </w:r>
      <w:r>
        <w:rPr>
          <w:snapToGrid w:val="0"/>
        </w:rPr>
        <w:tab/>
        <w:t>Incorporation by reference</w:t>
      </w:r>
      <w:r>
        <w:tab/>
      </w:r>
      <w:r>
        <w:fldChar w:fldCharType="begin"/>
      </w:r>
      <w:r>
        <w:instrText xml:space="preserve"> PAGEREF _Toc98768060 \h </w:instrText>
      </w:r>
      <w:r>
        <w:fldChar w:fldCharType="separate"/>
      </w:r>
      <w:r>
        <w:t>197</w:t>
      </w:r>
      <w:r>
        <w:fldChar w:fldCharType="end"/>
      </w:r>
    </w:p>
    <w:p>
      <w:pPr>
        <w:pStyle w:val="TOC8"/>
        <w:rPr>
          <w:rFonts w:asciiTheme="minorHAnsi" w:eastAsiaTheme="minorEastAsia" w:hAnsiTheme="minorHAnsi" w:cstheme="minorBidi"/>
          <w:szCs w:val="22"/>
        </w:rPr>
      </w:pPr>
      <w:r>
        <w:t>344B</w:t>
      </w:r>
      <w:r>
        <w:rPr>
          <w:snapToGrid w:val="0"/>
        </w:rPr>
        <w:t xml:space="preserve">. </w:t>
      </w:r>
      <w:r>
        <w:rPr>
          <w:snapToGrid w:val="0"/>
        </w:rPr>
        <w:tab/>
        <w:t>Evidence of contents of standard etc. adopted</w:t>
      </w:r>
      <w:r>
        <w:tab/>
      </w:r>
      <w:r>
        <w:fldChar w:fldCharType="begin"/>
      </w:r>
      <w:r>
        <w:instrText xml:space="preserve"> PAGEREF _Toc98768061 \h </w:instrText>
      </w:r>
      <w:r>
        <w:fldChar w:fldCharType="separate"/>
      </w:r>
      <w:r>
        <w:t>198</w:t>
      </w:r>
      <w:r>
        <w:fldChar w:fldCharType="end"/>
      </w:r>
    </w:p>
    <w:p>
      <w:pPr>
        <w:pStyle w:val="TOC8"/>
        <w:rPr>
          <w:rFonts w:asciiTheme="minorHAnsi" w:eastAsiaTheme="minorEastAsia" w:hAnsiTheme="minorHAnsi" w:cstheme="minorBidi"/>
          <w:szCs w:val="22"/>
        </w:rPr>
      </w:pPr>
      <w:r>
        <w:t>344C</w:t>
      </w:r>
      <w:r>
        <w:rPr>
          <w:snapToGrid w:val="0"/>
        </w:rPr>
        <w:t xml:space="preserve">. </w:t>
      </w:r>
      <w:r>
        <w:rPr>
          <w:snapToGrid w:val="0"/>
        </w:rPr>
        <w:tab/>
        <w:t>Fees and charges may be fixed by resolution</w:t>
      </w:r>
      <w:r>
        <w:tab/>
      </w:r>
      <w:r>
        <w:fldChar w:fldCharType="begin"/>
      </w:r>
      <w:r>
        <w:instrText xml:space="preserve"> PAGEREF _Toc98768062 \h </w:instrText>
      </w:r>
      <w:r>
        <w:fldChar w:fldCharType="separate"/>
      </w:r>
      <w:r>
        <w:t>198</w:t>
      </w:r>
      <w:r>
        <w:fldChar w:fldCharType="end"/>
      </w:r>
    </w:p>
    <w:p>
      <w:pPr>
        <w:pStyle w:val="TOC8"/>
        <w:rPr>
          <w:rFonts w:asciiTheme="minorHAnsi" w:eastAsiaTheme="minorEastAsia" w:hAnsiTheme="minorHAnsi" w:cstheme="minorBidi"/>
          <w:szCs w:val="22"/>
        </w:rPr>
      </w:pPr>
      <w:r>
        <w:t>345</w:t>
      </w:r>
      <w:r>
        <w:rPr>
          <w:snapToGrid w:val="0"/>
        </w:rPr>
        <w:t>.</w:t>
      </w:r>
      <w:r>
        <w:rPr>
          <w:snapToGrid w:val="0"/>
        </w:rPr>
        <w:tab/>
        <w:t>Regulations to be confirmed</w:t>
      </w:r>
      <w:r>
        <w:tab/>
      </w:r>
      <w:r>
        <w:fldChar w:fldCharType="begin"/>
      </w:r>
      <w:r>
        <w:instrText xml:space="preserve"> PAGEREF _Toc98768063 \h </w:instrText>
      </w:r>
      <w:r>
        <w:fldChar w:fldCharType="separate"/>
      </w:r>
      <w:r>
        <w:t>200</w:t>
      </w:r>
      <w:r>
        <w:fldChar w:fldCharType="end"/>
      </w:r>
    </w:p>
    <w:p>
      <w:pPr>
        <w:pStyle w:val="TOC8"/>
        <w:rPr>
          <w:rFonts w:asciiTheme="minorHAnsi" w:eastAsiaTheme="minorEastAsia" w:hAnsiTheme="minorHAnsi" w:cstheme="minorBidi"/>
          <w:szCs w:val="22"/>
        </w:rPr>
      </w:pPr>
      <w:r>
        <w:t>348</w:t>
      </w:r>
      <w:r>
        <w:rPr>
          <w:snapToGrid w:val="0"/>
        </w:rPr>
        <w:t>.</w:t>
      </w:r>
      <w:r>
        <w:rPr>
          <w:snapToGrid w:val="0"/>
        </w:rPr>
        <w:tab/>
        <w:t>Evidence of local laws</w:t>
      </w:r>
      <w:r>
        <w:tab/>
      </w:r>
      <w:r>
        <w:fldChar w:fldCharType="begin"/>
      </w:r>
      <w:r>
        <w:instrText xml:space="preserve"> PAGEREF _Toc98768064 \h </w:instrText>
      </w:r>
      <w:r>
        <w:fldChar w:fldCharType="separate"/>
      </w:r>
      <w:r>
        <w:t>200</w:t>
      </w:r>
      <w:r>
        <w:fldChar w:fldCharType="end"/>
      </w:r>
    </w:p>
    <w:p>
      <w:pPr>
        <w:pStyle w:val="TOC8"/>
        <w:rPr>
          <w:rFonts w:asciiTheme="minorHAnsi" w:eastAsiaTheme="minorEastAsia" w:hAnsiTheme="minorHAnsi" w:cstheme="minorBidi"/>
          <w:szCs w:val="22"/>
        </w:rPr>
      </w:pPr>
      <w:r>
        <w:lastRenderedPageBreak/>
        <w:t>348A</w:t>
      </w:r>
      <w:r>
        <w:rPr>
          <w:snapToGrid w:val="0"/>
        </w:rPr>
        <w:t xml:space="preserve">. </w:t>
      </w:r>
      <w:r>
        <w:rPr>
          <w:snapToGrid w:val="0"/>
        </w:rPr>
        <w:tab/>
        <w:t>Proclamations etc. may be revoked or varied</w:t>
      </w:r>
      <w:r>
        <w:tab/>
      </w:r>
      <w:r>
        <w:fldChar w:fldCharType="begin"/>
      </w:r>
      <w:r>
        <w:instrText xml:space="preserve"> PAGEREF _Toc98768065 \h </w:instrText>
      </w:r>
      <w:r>
        <w:fldChar w:fldCharType="separate"/>
      </w:r>
      <w:r>
        <w:t>200</w:t>
      </w:r>
      <w:r>
        <w:fldChar w:fldCharType="end"/>
      </w:r>
    </w:p>
    <w:p>
      <w:pPr>
        <w:pStyle w:val="TOC2"/>
        <w:tabs>
          <w:tab w:val="right" w:leader="dot" w:pos="7077"/>
        </w:tabs>
        <w:rPr>
          <w:rFonts w:asciiTheme="minorHAnsi" w:eastAsiaTheme="minorEastAsia" w:hAnsiTheme="minorHAnsi" w:cstheme="minorBidi"/>
          <w:b w:val="0"/>
          <w:sz w:val="22"/>
          <w:szCs w:val="22"/>
        </w:rPr>
      </w:pPr>
      <w:r>
        <w:t>Part XV — Miscellaneous provisions</w:t>
      </w:r>
    </w:p>
    <w:p>
      <w:pPr>
        <w:pStyle w:val="TOC8"/>
        <w:rPr>
          <w:rFonts w:asciiTheme="minorHAnsi" w:eastAsiaTheme="minorEastAsia" w:hAnsiTheme="minorHAnsi" w:cstheme="minorBidi"/>
          <w:szCs w:val="22"/>
        </w:rPr>
      </w:pPr>
      <w:r>
        <w:t>349</w:t>
      </w:r>
      <w:r>
        <w:rPr>
          <w:snapToGrid w:val="0"/>
        </w:rPr>
        <w:t>.</w:t>
      </w:r>
      <w:r>
        <w:rPr>
          <w:snapToGrid w:val="0"/>
        </w:rPr>
        <w:tab/>
        <w:t>Entry</w:t>
      </w:r>
      <w:r>
        <w:tab/>
      </w:r>
      <w:r>
        <w:fldChar w:fldCharType="begin"/>
      </w:r>
      <w:r>
        <w:instrText xml:space="preserve"> PAGEREF _Toc98768067 \h </w:instrText>
      </w:r>
      <w:r>
        <w:fldChar w:fldCharType="separate"/>
      </w:r>
      <w:r>
        <w:t>202</w:t>
      </w:r>
      <w:r>
        <w:fldChar w:fldCharType="end"/>
      </w:r>
    </w:p>
    <w:p>
      <w:pPr>
        <w:pStyle w:val="TOC8"/>
        <w:rPr>
          <w:rFonts w:asciiTheme="minorHAnsi" w:eastAsiaTheme="minorEastAsia" w:hAnsiTheme="minorHAnsi" w:cstheme="minorBidi"/>
          <w:szCs w:val="22"/>
        </w:rPr>
      </w:pPr>
      <w:r>
        <w:t>350</w:t>
      </w:r>
      <w:r>
        <w:rPr>
          <w:snapToGrid w:val="0"/>
        </w:rPr>
        <w:t>.</w:t>
      </w:r>
      <w:r>
        <w:rPr>
          <w:snapToGrid w:val="0"/>
        </w:rPr>
        <w:tab/>
        <w:t>Vessels</w:t>
      </w:r>
      <w:r>
        <w:tab/>
      </w:r>
      <w:r>
        <w:fldChar w:fldCharType="begin"/>
      </w:r>
      <w:r>
        <w:instrText xml:space="preserve"> PAGEREF _Toc98768068 \h </w:instrText>
      </w:r>
      <w:r>
        <w:fldChar w:fldCharType="separate"/>
      </w:r>
      <w:r>
        <w:t>202</w:t>
      </w:r>
      <w:r>
        <w:fldChar w:fldCharType="end"/>
      </w:r>
    </w:p>
    <w:p>
      <w:pPr>
        <w:pStyle w:val="TOC8"/>
        <w:rPr>
          <w:rFonts w:asciiTheme="minorHAnsi" w:eastAsiaTheme="minorEastAsia" w:hAnsiTheme="minorHAnsi" w:cstheme="minorBidi"/>
          <w:szCs w:val="22"/>
        </w:rPr>
      </w:pPr>
      <w:r>
        <w:t>351</w:t>
      </w:r>
      <w:r>
        <w:rPr>
          <w:snapToGrid w:val="0"/>
        </w:rPr>
        <w:t>.</w:t>
      </w:r>
      <w:r>
        <w:rPr>
          <w:snapToGrid w:val="0"/>
        </w:rPr>
        <w:tab/>
        <w:t>Obstructing execution of Act</w:t>
      </w:r>
      <w:r>
        <w:tab/>
      </w:r>
      <w:r>
        <w:fldChar w:fldCharType="begin"/>
      </w:r>
      <w:r>
        <w:instrText xml:space="preserve"> PAGEREF _Toc98768069 \h </w:instrText>
      </w:r>
      <w:r>
        <w:fldChar w:fldCharType="separate"/>
      </w:r>
      <w:r>
        <w:t>203</w:t>
      </w:r>
      <w:r>
        <w:fldChar w:fldCharType="end"/>
      </w:r>
    </w:p>
    <w:p>
      <w:pPr>
        <w:pStyle w:val="TOC8"/>
        <w:rPr>
          <w:rFonts w:asciiTheme="minorHAnsi" w:eastAsiaTheme="minorEastAsia" w:hAnsiTheme="minorHAnsi" w:cstheme="minorBidi"/>
          <w:szCs w:val="22"/>
        </w:rPr>
      </w:pPr>
      <w:r>
        <w:t>352</w:t>
      </w:r>
      <w:r>
        <w:rPr>
          <w:snapToGrid w:val="0"/>
        </w:rPr>
        <w:t>.</w:t>
      </w:r>
      <w:r>
        <w:rPr>
          <w:snapToGrid w:val="0"/>
        </w:rPr>
        <w:tab/>
        <w:t>Duty of police officers and authorised officers</w:t>
      </w:r>
      <w:r>
        <w:tab/>
      </w:r>
      <w:r>
        <w:fldChar w:fldCharType="begin"/>
      </w:r>
      <w:r>
        <w:instrText xml:space="preserve"> PAGEREF _Toc98768070 \h </w:instrText>
      </w:r>
      <w:r>
        <w:fldChar w:fldCharType="separate"/>
      </w:r>
      <w:r>
        <w:t>204</w:t>
      </w:r>
      <w:r>
        <w:fldChar w:fldCharType="end"/>
      </w:r>
    </w:p>
    <w:p>
      <w:pPr>
        <w:pStyle w:val="TOC8"/>
        <w:rPr>
          <w:rFonts w:asciiTheme="minorHAnsi" w:eastAsiaTheme="minorEastAsia" w:hAnsiTheme="minorHAnsi" w:cstheme="minorBidi"/>
          <w:szCs w:val="22"/>
        </w:rPr>
      </w:pPr>
      <w:r>
        <w:t>353</w:t>
      </w:r>
      <w:r>
        <w:rPr>
          <w:snapToGrid w:val="0"/>
        </w:rPr>
        <w:t>.</w:t>
      </w:r>
      <w:r>
        <w:rPr>
          <w:snapToGrid w:val="0"/>
        </w:rPr>
        <w:tab/>
        <w:t>Power to take possession of and lease land or premises on which expenses are due</w:t>
      </w:r>
      <w:r>
        <w:tab/>
      </w:r>
      <w:r>
        <w:fldChar w:fldCharType="begin"/>
      </w:r>
      <w:r>
        <w:instrText xml:space="preserve"> PAGEREF _Toc98768071 \h </w:instrText>
      </w:r>
      <w:r>
        <w:fldChar w:fldCharType="separate"/>
      </w:r>
      <w:r>
        <w:t>205</w:t>
      </w:r>
      <w:r>
        <w:fldChar w:fldCharType="end"/>
      </w:r>
    </w:p>
    <w:p>
      <w:pPr>
        <w:pStyle w:val="TOC8"/>
        <w:rPr>
          <w:rFonts w:asciiTheme="minorHAnsi" w:eastAsiaTheme="minorEastAsia" w:hAnsiTheme="minorHAnsi" w:cstheme="minorBidi"/>
          <w:szCs w:val="22"/>
        </w:rPr>
      </w:pPr>
      <w:r>
        <w:t>354</w:t>
      </w:r>
      <w:r>
        <w:rPr>
          <w:snapToGrid w:val="0"/>
        </w:rPr>
        <w:t>.</w:t>
      </w:r>
      <w:r>
        <w:rPr>
          <w:snapToGrid w:val="0"/>
        </w:rPr>
        <w:tab/>
        <w:t>Service of notice</w:t>
      </w:r>
      <w:r>
        <w:tab/>
      </w:r>
      <w:r>
        <w:fldChar w:fldCharType="begin"/>
      </w:r>
      <w:r>
        <w:instrText xml:space="preserve"> PAGEREF _Toc98768072 \h </w:instrText>
      </w:r>
      <w:r>
        <w:fldChar w:fldCharType="separate"/>
      </w:r>
      <w:r>
        <w:t>205</w:t>
      </w:r>
      <w:r>
        <w:fldChar w:fldCharType="end"/>
      </w:r>
    </w:p>
    <w:p>
      <w:pPr>
        <w:pStyle w:val="TOC8"/>
        <w:rPr>
          <w:rFonts w:asciiTheme="minorHAnsi" w:eastAsiaTheme="minorEastAsia" w:hAnsiTheme="minorHAnsi" w:cstheme="minorBidi"/>
          <w:szCs w:val="22"/>
        </w:rPr>
      </w:pPr>
      <w:r>
        <w:t>355</w:t>
      </w:r>
      <w:r>
        <w:rPr>
          <w:snapToGrid w:val="0"/>
        </w:rPr>
        <w:t>.</w:t>
      </w:r>
      <w:r>
        <w:rPr>
          <w:snapToGrid w:val="0"/>
        </w:rPr>
        <w:tab/>
        <w:t>Continued operation of notices and orders</w:t>
      </w:r>
      <w:r>
        <w:tab/>
      </w:r>
      <w:r>
        <w:fldChar w:fldCharType="begin"/>
      </w:r>
      <w:r>
        <w:instrText xml:space="preserve"> PAGEREF _Toc98768073 \h </w:instrText>
      </w:r>
      <w:r>
        <w:fldChar w:fldCharType="separate"/>
      </w:r>
      <w:r>
        <w:t>207</w:t>
      </w:r>
      <w:r>
        <w:fldChar w:fldCharType="end"/>
      </w:r>
    </w:p>
    <w:p>
      <w:pPr>
        <w:pStyle w:val="TOC8"/>
        <w:rPr>
          <w:rFonts w:asciiTheme="minorHAnsi" w:eastAsiaTheme="minorEastAsia" w:hAnsiTheme="minorHAnsi" w:cstheme="minorBidi"/>
          <w:szCs w:val="22"/>
        </w:rPr>
      </w:pPr>
      <w:r>
        <w:t>356</w:t>
      </w:r>
      <w:r>
        <w:rPr>
          <w:snapToGrid w:val="0"/>
        </w:rPr>
        <w:t>.</w:t>
      </w:r>
      <w:r>
        <w:rPr>
          <w:snapToGrid w:val="0"/>
        </w:rPr>
        <w:tab/>
        <w:t>Proof of ownership</w:t>
      </w:r>
      <w:r>
        <w:tab/>
      </w:r>
      <w:r>
        <w:fldChar w:fldCharType="begin"/>
      </w:r>
      <w:r>
        <w:instrText xml:space="preserve"> PAGEREF _Toc98768074 \h </w:instrText>
      </w:r>
      <w:r>
        <w:fldChar w:fldCharType="separate"/>
      </w:r>
      <w:r>
        <w:t>207</w:t>
      </w:r>
      <w:r>
        <w:fldChar w:fldCharType="end"/>
      </w:r>
    </w:p>
    <w:p>
      <w:pPr>
        <w:pStyle w:val="TOC8"/>
        <w:rPr>
          <w:rFonts w:asciiTheme="minorHAnsi" w:eastAsiaTheme="minorEastAsia" w:hAnsiTheme="minorHAnsi" w:cstheme="minorBidi"/>
          <w:szCs w:val="22"/>
        </w:rPr>
      </w:pPr>
      <w:r>
        <w:t>357</w:t>
      </w:r>
      <w:r>
        <w:rPr>
          <w:snapToGrid w:val="0"/>
        </w:rPr>
        <w:t>.</w:t>
      </w:r>
      <w:r>
        <w:rPr>
          <w:snapToGrid w:val="0"/>
        </w:rPr>
        <w:tab/>
        <w:t>Power to suspend or cancel licences</w:t>
      </w:r>
      <w:r>
        <w:tab/>
      </w:r>
      <w:r>
        <w:fldChar w:fldCharType="begin"/>
      </w:r>
      <w:r>
        <w:instrText xml:space="preserve"> PAGEREF _Toc98768075 \h </w:instrText>
      </w:r>
      <w:r>
        <w:fldChar w:fldCharType="separate"/>
      </w:r>
      <w:r>
        <w:t>209</w:t>
      </w:r>
      <w:r>
        <w:fldChar w:fldCharType="end"/>
      </w:r>
    </w:p>
    <w:p>
      <w:pPr>
        <w:pStyle w:val="TOC8"/>
        <w:rPr>
          <w:rFonts w:asciiTheme="minorHAnsi" w:eastAsiaTheme="minorEastAsia" w:hAnsiTheme="minorHAnsi" w:cstheme="minorBidi"/>
          <w:szCs w:val="22"/>
        </w:rPr>
      </w:pPr>
      <w:r>
        <w:t>358</w:t>
      </w:r>
      <w:r>
        <w:rPr>
          <w:snapToGrid w:val="0"/>
        </w:rPr>
        <w:t>.</w:t>
      </w:r>
      <w:r>
        <w:rPr>
          <w:snapToGrid w:val="0"/>
        </w:rPr>
        <w:tab/>
        <w:t>Prosecution of offences</w:t>
      </w:r>
      <w:r>
        <w:tab/>
      </w:r>
      <w:r>
        <w:fldChar w:fldCharType="begin"/>
      </w:r>
      <w:r>
        <w:instrText xml:space="preserve"> PAGEREF _Toc98768076 \h </w:instrText>
      </w:r>
      <w:r>
        <w:fldChar w:fldCharType="separate"/>
      </w:r>
      <w:r>
        <w:t>209</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No abatement</w:t>
      </w:r>
      <w:r>
        <w:tab/>
      </w:r>
      <w:r>
        <w:fldChar w:fldCharType="begin"/>
      </w:r>
      <w:r>
        <w:instrText xml:space="preserve"> PAGEREF _Toc98768077 \h </w:instrText>
      </w:r>
      <w:r>
        <w:fldChar w:fldCharType="separate"/>
      </w:r>
      <w:r>
        <w:t>209</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Penalties</w:t>
      </w:r>
      <w:r>
        <w:tab/>
      </w:r>
      <w:r>
        <w:fldChar w:fldCharType="begin"/>
      </w:r>
      <w:r>
        <w:instrText xml:space="preserve"> PAGEREF _Toc98768078 \h </w:instrText>
      </w:r>
      <w:r>
        <w:fldChar w:fldCharType="separate"/>
      </w:r>
      <w:r>
        <w:t>210</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General penalty</w:t>
      </w:r>
      <w:r>
        <w:tab/>
      </w:r>
      <w:r>
        <w:fldChar w:fldCharType="begin"/>
      </w:r>
      <w:r>
        <w:instrText xml:space="preserve"> PAGEREF _Toc98768079 \h </w:instrText>
      </w:r>
      <w:r>
        <w:fldChar w:fldCharType="separate"/>
      </w:r>
      <w:r>
        <w:t>214</w:t>
      </w:r>
      <w:r>
        <w:fldChar w:fldCharType="end"/>
      </w:r>
    </w:p>
    <w:p>
      <w:pPr>
        <w:pStyle w:val="TOC8"/>
        <w:rPr>
          <w:rFonts w:asciiTheme="minorHAnsi" w:eastAsiaTheme="minorEastAsia" w:hAnsiTheme="minorHAnsi" w:cstheme="minorBidi"/>
          <w:szCs w:val="22"/>
        </w:rPr>
      </w:pPr>
      <w:r>
        <w:t>362</w:t>
      </w:r>
      <w:r>
        <w:rPr>
          <w:snapToGrid w:val="0"/>
        </w:rPr>
        <w:t>.</w:t>
      </w:r>
      <w:r>
        <w:rPr>
          <w:snapToGrid w:val="0"/>
        </w:rPr>
        <w:tab/>
        <w:t>Proceedings for offence</w:t>
      </w:r>
      <w:r>
        <w:tab/>
      </w:r>
      <w:r>
        <w:fldChar w:fldCharType="begin"/>
      </w:r>
      <w:r>
        <w:instrText xml:space="preserve"> PAGEREF _Toc98768080 \h </w:instrText>
      </w:r>
      <w:r>
        <w:fldChar w:fldCharType="separate"/>
      </w:r>
      <w:r>
        <w:t>214</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Protection against personal liability</w:t>
      </w:r>
      <w:r>
        <w:tab/>
      </w:r>
      <w:r>
        <w:fldChar w:fldCharType="begin"/>
      </w:r>
      <w:r>
        <w:instrText xml:space="preserve"> PAGEREF _Toc98768081 \h </w:instrText>
      </w:r>
      <w:r>
        <w:fldChar w:fldCharType="separate"/>
      </w:r>
      <w:r>
        <w:t>215</w:t>
      </w:r>
      <w:r>
        <w:fldChar w:fldCharType="end"/>
      </w:r>
    </w:p>
    <w:p>
      <w:pPr>
        <w:pStyle w:val="TOC8"/>
        <w:rPr>
          <w:rFonts w:asciiTheme="minorHAnsi" w:eastAsiaTheme="minorEastAsia" w:hAnsiTheme="minorHAnsi" w:cstheme="minorBidi"/>
          <w:szCs w:val="22"/>
        </w:rPr>
      </w:pPr>
      <w:r>
        <w:t>366</w:t>
      </w:r>
      <w:r>
        <w:rPr>
          <w:snapToGrid w:val="0"/>
        </w:rPr>
        <w:t>.</w:t>
      </w:r>
      <w:r>
        <w:rPr>
          <w:snapToGrid w:val="0"/>
        </w:rPr>
        <w:tab/>
        <w:t>No officer to be concerned in contract</w:t>
      </w:r>
      <w:r>
        <w:tab/>
      </w:r>
      <w:r>
        <w:fldChar w:fldCharType="begin"/>
      </w:r>
      <w:r>
        <w:instrText xml:space="preserve"> PAGEREF _Toc98768082 \h </w:instrText>
      </w:r>
      <w:r>
        <w:fldChar w:fldCharType="separate"/>
      </w:r>
      <w:r>
        <w:t>215</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Recovery of expenses from local government</w:t>
      </w:r>
      <w:r>
        <w:tab/>
      </w:r>
      <w:r>
        <w:fldChar w:fldCharType="begin"/>
      </w:r>
      <w:r>
        <w:instrText xml:space="preserve"> PAGEREF _Toc98768083 \h </w:instrText>
      </w:r>
      <w:r>
        <w:fldChar w:fldCharType="separate"/>
      </w:r>
      <w:r>
        <w:t>216</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Contribution</w:t>
      </w:r>
      <w:r>
        <w:tab/>
      </w:r>
      <w:r>
        <w:fldChar w:fldCharType="begin"/>
      </w:r>
      <w:r>
        <w:instrText xml:space="preserve"> PAGEREF _Toc98768084 \h </w:instrText>
      </w:r>
      <w:r>
        <w:fldChar w:fldCharType="separate"/>
      </w:r>
      <w:r>
        <w:t>216</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t>Liability of owner and occupier under requisition or order</w:t>
      </w:r>
      <w:r>
        <w:tab/>
      </w:r>
      <w:r>
        <w:fldChar w:fldCharType="begin"/>
      </w:r>
      <w:r>
        <w:instrText xml:space="preserve"> PAGEREF _Toc98768085 \h </w:instrText>
      </w:r>
      <w:r>
        <w:fldChar w:fldCharType="separate"/>
      </w:r>
      <w:r>
        <w:t>217</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Penalty if owner or occupier hinders the other</w:t>
      </w:r>
      <w:r>
        <w:tab/>
      </w:r>
      <w:r>
        <w:fldChar w:fldCharType="begin"/>
      </w:r>
      <w:r>
        <w:instrText xml:space="preserve"> PAGEREF _Toc98768086 \h </w:instrText>
      </w:r>
      <w:r>
        <w:fldChar w:fldCharType="separate"/>
      </w:r>
      <w:r>
        <w:t>218</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Money owing to local government to be charge against land in certain cases</w:t>
      </w:r>
      <w:r>
        <w:tab/>
      </w:r>
      <w:r>
        <w:fldChar w:fldCharType="begin"/>
      </w:r>
      <w:r>
        <w:instrText xml:space="preserve"> PAGEREF _Toc98768087 \h </w:instrText>
      </w:r>
      <w:r>
        <w:fldChar w:fldCharType="separate"/>
      </w:r>
      <w:r>
        <w:t>218</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Provisions as to charge on land or premises</w:t>
      </w:r>
      <w:r>
        <w:tab/>
      </w:r>
      <w:r>
        <w:fldChar w:fldCharType="begin"/>
      </w:r>
      <w:r>
        <w:instrText xml:space="preserve"> PAGEREF _Toc98768088 \h </w:instrText>
      </w:r>
      <w:r>
        <w:fldChar w:fldCharType="separate"/>
      </w:r>
      <w:r>
        <w:t>218</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References to owner and occupier</w:t>
      </w:r>
      <w:r>
        <w:tab/>
      </w:r>
      <w:r>
        <w:fldChar w:fldCharType="begin"/>
      </w:r>
      <w:r>
        <w:instrText xml:space="preserve"> PAGEREF _Toc98768089 \h </w:instrText>
      </w:r>
      <w:r>
        <w:fldChar w:fldCharType="separate"/>
      </w:r>
      <w:r>
        <w:t>220</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Appearance of local governments in legal proceedings</w:t>
      </w:r>
      <w:r>
        <w:tab/>
      </w:r>
      <w:r>
        <w:fldChar w:fldCharType="begin"/>
      </w:r>
      <w:r>
        <w:instrText xml:space="preserve"> PAGEREF _Toc98768090 \h </w:instrText>
      </w:r>
      <w:r>
        <w:fldChar w:fldCharType="separate"/>
      </w:r>
      <w:r>
        <w:t>220</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Power to inspect register of births and deaths</w:t>
      </w:r>
      <w:r>
        <w:tab/>
      </w:r>
      <w:r>
        <w:fldChar w:fldCharType="begin"/>
      </w:r>
      <w:r>
        <w:instrText xml:space="preserve"> PAGEREF _Toc98768091 \h </w:instrText>
      </w:r>
      <w:r>
        <w:fldChar w:fldCharType="separate"/>
      </w:r>
      <w:r>
        <w:t>220</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Authentication of documents</w:t>
      </w:r>
      <w:r>
        <w:tab/>
      </w:r>
      <w:r>
        <w:fldChar w:fldCharType="begin"/>
      </w:r>
      <w:r>
        <w:instrText xml:space="preserve"> PAGEREF _Toc98768092 \h </w:instrText>
      </w:r>
      <w:r>
        <w:fldChar w:fldCharType="separate"/>
      </w:r>
      <w:r>
        <w:t>221</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Evidence</w:t>
      </w:r>
      <w:r>
        <w:tab/>
      </w:r>
      <w:r>
        <w:fldChar w:fldCharType="begin"/>
      </w:r>
      <w:r>
        <w:instrText xml:space="preserve"> PAGEREF _Toc98768093 \h </w:instrText>
      </w:r>
      <w:r>
        <w:fldChar w:fldCharType="separate"/>
      </w:r>
      <w:r>
        <w:t>221</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Regulations and local laws to be judicially noticed</w:t>
      </w:r>
      <w:r>
        <w:tab/>
      </w:r>
      <w:r>
        <w:fldChar w:fldCharType="begin"/>
      </w:r>
      <w:r>
        <w:instrText xml:space="preserve"> PAGEREF _Toc98768094 \h </w:instrText>
      </w:r>
      <w:r>
        <w:fldChar w:fldCharType="separate"/>
      </w:r>
      <w:r>
        <w:t>223</w:t>
      </w:r>
      <w:r>
        <w:fldChar w:fldCharType="end"/>
      </w:r>
    </w:p>
    <w:p>
      <w:pPr>
        <w:pStyle w:val="TOC8"/>
        <w:rPr>
          <w:rFonts w:asciiTheme="minorHAnsi" w:eastAsiaTheme="minorEastAsia" w:hAnsiTheme="minorHAnsi" w:cstheme="minorBidi"/>
          <w:szCs w:val="22"/>
        </w:rPr>
      </w:pPr>
      <w:r>
        <w:t>379.</w:t>
      </w:r>
      <w:r>
        <w:tab/>
        <w:t xml:space="preserve">Transitional provisions for </w:t>
      </w:r>
      <w:r>
        <w:rPr>
          <w:i/>
        </w:rPr>
        <w:t>Public Health (Consequential Provisions) Act 2016</w:t>
      </w:r>
      <w:r>
        <w:tab/>
      </w:r>
      <w:r>
        <w:fldChar w:fldCharType="begin"/>
      </w:r>
      <w:r>
        <w:instrText xml:space="preserve"> PAGEREF _Toc98768095 \h </w:instrText>
      </w:r>
      <w:r>
        <w:fldChar w:fldCharType="separate"/>
      </w:r>
      <w:r>
        <w:t>223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w:t>
      </w:r>
    </w:p>
    <w:p>
      <w:pPr>
        <w:pStyle w:val="TOC2"/>
        <w:tabs>
          <w:tab w:val="right" w:leader="dot" w:pos="7077"/>
        </w:tabs>
        <w:rPr>
          <w:rFonts w:asciiTheme="minorHAnsi" w:eastAsiaTheme="minorEastAsia" w:hAnsiTheme="minorHAnsi" w:cstheme="minorBidi"/>
          <w:b w:val="0"/>
          <w:sz w:val="22"/>
          <w:szCs w:val="22"/>
        </w:rPr>
      </w:pPr>
      <w:r>
        <w:t>Offensive trades</w:t>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Penalties</w:t>
      </w:r>
    </w:p>
    <w:p>
      <w:pPr>
        <w:pStyle w:val="TOC2"/>
        <w:tabs>
          <w:tab w:val="right" w:leader="dot" w:pos="7077"/>
        </w:tabs>
        <w:rPr>
          <w:rFonts w:asciiTheme="minorHAnsi" w:eastAsiaTheme="minorEastAsia" w:hAnsiTheme="minorHAnsi" w:cstheme="minorBidi"/>
          <w:b w:val="0"/>
          <w:sz w:val="22"/>
          <w:szCs w:val="22"/>
        </w:rPr>
      </w:pPr>
      <w:r>
        <w:t xml:space="preserve">Schedule 6 — Transitional provisions for </w:t>
      </w:r>
      <w:r>
        <w:rPr>
          <w:i/>
        </w:rPr>
        <w:t>Public Health (Consequential Provisions) Act 2016</w:t>
      </w:r>
    </w:p>
    <w:p>
      <w:pPr>
        <w:pStyle w:val="TOC8"/>
        <w:rPr>
          <w:rFonts w:asciiTheme="minorHAnsi" w:eastAsiaTheme="minorEastAsia" w:hAnsiTheme="minorHAnsi" w:cstheme="minorBidi"/>
          <w:szCs w:val="22"/>
        </w:rPr>
      </w:pPr>
      <w:r>
        <w:t>1.</w:t>
      </w:r>
      <w:r>
        <w:tab/>
        <w:t xml:space="preserve">References to </w:t>
      </w:r>
      <w:r>
        <w:rPr>
          <w:i/>
        </w:rPr>
        <w:t>Health Act 1911</w:t>
      </w:r>
      <w:r>
        <w:t xml:space="preserve"> may be taken to be references to </w:t>
      </w:r>
      <w:r>
        <w:rPr>
          <w:i/>
        </w:rPr>
        <w:t>Health (Miscellaneous Provisions) Act 1911</w:t>
      </w:r>
      <w:r>
        <w:tab/>
      </w:r>
      <w:r>
        <w:fldChar w:fldCharType="begin"/>
      </w:r>
      <w:r>
        <w:instrText xml:space="preserve"> PAGEREF _Toc98768101 \h </w:instrText>
      </w:r>
      <w:r>
        <w:fldChar w:fldCharType="separate"/>
      </w:r>
      <w:r>
        <w:t>228</w:t>
      </w:r>
      <w:r>
        <w:fldChar w:fldCharType="end"/>
      </w:r>
    </w:p>
    <w:p>
      <w:pPr>
        <w:pStyle w:val="TOC8"/>
        <w:rPr>
          <w:rFonts w:asciiTheme="minorHAnsi" w:eastAsiaTheme="minorEastAsia" w:hAnsiTheme="minorHAnsi" w:cstheme="minorBidi"/>
          <w:szCs w:val="22"/>
        </w:rPr>
      </w:pPr>
      <w:r>
        <w:t>2.</w:t>
      </w:r>
      <w:r>
        <w:tab/>
        <w:t>Continuing effect of things done by Executive Director, Public Health and Executive Director, Personal Health</w:t>
      </w:r>
      <w:r>
        <w:tab/>
      </w:r>
      <w:r>
        <w:fldChar w:fldCharType="begin"/>
      </w:r>
      <w:r>
        <w:instrText xml:space="preserve"> PAGEREF _Toc98768102 \h </w:instrText>
      </w:r>
      <w:r>
        <w:fldChar w:fldCharType="separate"/>
      </w:r>
      <w:r>
        <w:t>228</w:t>
      </w:r>
      <w:r>
        <w:fldChar w:fldCharType="end"/>
      </w:r>
    </w:p>
    <w:p>
      <w:pPr>
        <w:pStyle w:val="TOC8"/>
        <w:rPr>
          <w:rFonts w:asciiTheme="minorHAnsi" w:eastAsiaTheme="minorEastAsia" w:hAnsiTheme="minorHAnsi" w:cstheme="minorBidi"/>
          <w:szCs w:val="22"/>
        </w:rPr>
      </w:pPr>
      <w:r>
        <w:t>3.</w:t>
      </w:r>
      <w:r>
        <w:tab/>
        <w:t>References to former titles</w:t>
      </w:r>
      <w:r>
        <w:tab/>
      </w:r>
      <w:r>
        <w:fldChar w:fldCharType="begin"/>
      </w:r>
      <w:r>
        <w:instrText xml:space="preserve"> PAGEREF _Toc98768103 \h </w:instrText>
      </w:r>
      <w:r>
        <w:fldChar w:fldCharType="separate"/>
      </w:r>
      <w:r>
        <w:t>228</w:t>
      </w:r>
      <w:r>
        <w:fldChar w:fldCharType="end"/>
      </w:r>
    </w:p>
    <w:p>
      <w:pPr>
        <w:pStyle w:val="TOC8"/>
        <w:rPr>
          <w:rFonts w:asciiTheme="minorHAnsi" w:eastAsiaTheme="minorEastAsia" w:hAnsiTheme="minorHAnsi" w:cstheme="minorBidi"/>
          <w:szCs w:val="22"/>
        </w:rPr>
      </w:pPr>
      <w:r>
        <w:t>4.</w:t>
      </w:r>
      <w:r>
        <w:tab/>
        <w:t>Transitional provisions for Local Health Authorities Analytical Committee</w:t>
      </w:r>
      <w:r>
        <w:tab/>
      </w:r>
      <w:r>
        <w:fldChar w:fldCharType="begin"/>
      </w:r>
      <w:r>
        <w:instrText xml:space="preserve"> PAGEREF _Toc98768104 \h </w:instrText>
      </w:r>
      <w:r>
        <w:fldChar w:fldCharType="separate"/>
      </w:r>
      <w:r>
        <w:t>229</w:t>
      </w:r>
      <w:r>
        <w:fldChar w:fldCharType="end"/>
      </w:r>
    </w:p>
    <w:p>
      <w:pPr>
        <w:pStyle w:val="TOC8"/>
        <w:rPr>
          <w:rFonts w:asciiTheme="minorHAnsi" w:eastAsiaTheme="minorEastAsia" w:hAnsiTheme="minorHAnsi" w:cstheme="minorBidi"/>
          <w:szCs w:val="22"/>
        </w:rPr>
      </w:pPr>
      <w:r>
        <w:t>5.</w:t>
      </w:r>
      <w:r>
        <w:tab/>
        <w:t>Transitional provisions for Maternal Mortality Committee, Perinatal and Infant Mortality Committee and Anaesthetic Mortality Committee</w:t>
      </w:r>
      <w:r>
        <w:tab/>
      </w:r>
      <w:r>
        <w:fldChar w:fldCharType="begin"/>
      </w:r>
      <w:r>
        <w:instrText xml:space="preserve"> PAGEREF _Toc98768105 \h </w:instrText>
      </w:r>
      <w:r>
        <w:fldChar w:fldCharType="separate"/>
      </w:r>
      <w:r>
        <w:t>229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_Toc98768107 \h </w:instrText>
      </w:r>
      <w:r>
        <w:fldChar w:fldCharType="separate"/>
      </w:r>
      <w:r>
        <w:t>232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_Toc98768108 \h </w:instrText>
      </w:r>
      <w:r>
        <w:fldChar w:fldCharType="separate"/>
      </w:r>
      <w:r>
        <w:t>243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_Toc98768109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400" w:after="880"/>
      </w:pPr>
      <w:r>
        <w:t>Health (Miscellaneous Provisions) Act 1911</w:t>
      </w:r>
    </w:p>
    <w:p>
      <w:pPr>
        <w:pStyle w:val="LongTitle"/>
        <w:spacing w:before="400"/>
        <w:rPr>
          <w:snapToGrid w:val="0"/>
        </w:rPr>
      </w:pPr>
      <w:r>
        <w:rPr>
          <w:snapToGrid w:val="0"/>
        </w:rPr>
        <w:t xml:space="preserve">An Act to </w:t>
      </w:r>
      <w:r>
        <w:t>deal</w:t>
      </w:r>
      <w:r>
        <w:rPr>
          <w:bCs/>
        </w:rPr>
        <w:t xml:space="preserve"> with certain matters concerning</w:t>
      </w:r>
      <w:r>
        <w:rPr>
          <w:snapToGrid w:val="0"/>
        </w:rPr>
        <w:t xml:space="preserve"> public health.</w:t>
      </w:r>
    </w:p>
    <w:p>
      <w:pPr>
        <w:pStyle w:val="Footnotelongtitle"/>
      </w:pPr>
      <w:r>
        <w:tab/>
        <w:t>[Long title amended: No. 19 of 2016 s. 4.]</w:t>
      </w:r>
    </w:p>
    <w:p>
      <w:pPr>
        <w:pStyle w:val="Heading2"/>
      </w:pPr>
      <w:bookmarkStart w:id="3" w:name="_Toc98504051"/>
      <w:bookmarkStart w:id="4" w:name="_Toc98504382"/>
      <w:bookmarkStart w:id="5" w:name="_Toc98767780"/>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98767781"/>
      <w:r>
        <w:rPr>
          <w:rStyle w:val="CharSectno"/>
        </w:rPr>
        <w:t>1</w:t>
      </w:r>
      <w:r>
        <w:rPr>
          <w:snapToGrid w:val="0"/>
        </w:rPr>
        <w:t>.</w:t>
      </w:r>
      <w:r>
        <w:rPr>
          <w:snapToGrid w:val="0"/>
        </w:rPr>
        <w:tab/>
        <w:t>Short title and commencement</w:t>
      </w:r>
      <w:bookmarkEnd w:id="6"/>
    </w:p>
    <w:p>
      <w:pPr>
        <w:pStyle w:val="Subsection"/>
        <w:rPr>
          <w:snapToGrid w:val="0"/>
        </w:rPr>
      </w:pPr>
      <w:r>
        <w:rPr>
          <w:snapToGrid w:val="0"/>
        </w:rPr>
        <w:tab/>
        <w:t>(1)</w:t>
      </w:r>
      <w:r>
        <w:rPr>
          <w:snapToGrid w:val="0"/>
        </w:rPr>
        <w:tab/>
        <w:t xml:space="preserve">This Act may be cited as the </w:t>
      </w:r>
      <w:r>
        <w:rPr>
          <w:i/>
          <w:snapToGrid w:val="0"/>
        </w:rPr>
        <w:t xml:space="preserve">Health </w:t>
      </w:r>
      <w:r>
        <w:rPr>
          <w:i/>
          <w:iCs/>
        </w:rPr>
        <w:t xml:space="preserve">(Miscellaneous Provisions) </w:t>
      </w:r>
      <w:r>
        <w:rPr>
          <w:i/>
          <w:snapToGrid w:val="0"/>
        </w:rPr>
        <w:t>Act 1911</w:t>
      </w:r>
      <w:r>
        <w:rPr>
          <w:snapToGrid w:val="0"/>
        </w:rPr>
        <w:t>, and shall come into operation on a day to be fixed by proclamation, not being later than 6 months from the passing of this Act</w:t>
      </w:r>
      <w:r>
        <w:rPr>
          <w:snapToGrid w:val="0"/>
          <w:vertAlign w:val="superscript"/>
        </w:rPr>
        <w:t> 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Footnotesection"/>
      </w:pPr>
      <w:r>
        <w:tab/>
        <w:t>[Section 1 amended: No. 19 of 2016 s. 5.]</w:t>
      </w:r>
    </w:p>
    <w:p>
      <w:pPr>
        <w:pStyle w:val="Ednotesection"/>
        <w:ind w:left="890" w:hanging="890"/>
        <w:outlineLvl w:val="9"/>
      </w:pPr>
      <w:r>
        <w:t>[</w:t>
      </w:r>
      <w:r>
        <w:rPr>
          <w:b/>
        </w:rPr>
        <w:t>2.</w:t>
      </w:r>
      <w:r>
        <w:tab/>
        <w:t>Deleted: No. 26 of 1985 s. 3.]</w:t>
      </w:r>
    </w:p>
    <w:p>
      <w:pPr>
        <w:pStyle w:val="Heading5"/>
        <w:rPr>
          <w:snapToGrid w:val="0"/>
        </w:rPr>
      </w:pPr>
      <w:bookmarkStart w:id="7" w:name="_Toc98767782"/>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rPr>
          <w:b/>
        </w:rPr>
        <w:tab/>
      </w:r>
      <w:r>
        <w:rPr>
          <w:rStyle w:val="CharDefText"/>
        </w:rPr>
        <w:t>analyst</w:t>
      </w:r>
      <w:r>
        <w:t xml:space="preserve"> means analyst registered under section 203;</w:t>
      </w:r>
    </w:p>
    <w:p>
      <w:pPr>
        <w:pStyle w:val="Defstart"/>
      </w:pPr>
      <w:r>
        <w:tab/>
      </w:r>
      <w:r>
        <w:rPr>
          <w:rStyle w:val="CharDefText"/>
        </w:rPr>
        <w:t>Analytical Committee</w:t>
      </w:r>
      <w:r>
        <w:t xml:space="preserve"> has the meaning given in section 247AA;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Chief Health Officer and includes any buildings, fittings, works, or appliances used or required in connection with the bacteriolytic or aerobic treatment of sewage, and the disposal of effluent or any residue of such treatment;</w:t>
      </w:r>
    </w:p>
    <w:p>
      <w:pPr>
        <w:pStyle w:val="Defstart"/>
      </w:pPr>
      <w:r>
        <w:tab/>
      </w:r>
      <w:r>
        <w:rPr>
          <w:rStyle w:val="CharDefText"/>
        </w:rPr>
        <w:t>authorised officer</w:t>
      </w:r>
      <w:r>
        <w:t xml:space="preserve"> has the meaning given in subsection (2A);</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1 m </w:t>
      </w:r>
      <w:r>
        <w:lastRenderedPageBreak/>
        <w:t>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lastRenderedPageBreak/>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tab/>
      </w:r>
      <w:r>
        <w:rPr>
          <w:rStyle w:val="CharDefText"/>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lastRenderedPageBreak/>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 or</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means the flesh of any animal when killed which is intended to be used for the food of man, whether fresh, or prepared by freezing, chilling, preserving, salting, or by any other process;</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lastRenderedPageBreak/>
        <w:tab/>
      </w:r>
      <w:r>
        <w:rPr>
          <w:rStyle w:val="CharDefText"/>
        </w:rPr>
        <w:t>nurse</w:t>
      </w:r>
      <w:r>
        <w:t xml:space="preserve"> means a person registered under the </w:t>
      </w:r>
      <w:r>
        <w:rPr>
          <w:i/>
        </w:rPr>
        <w:t>Health Practitioner Regulation National Law (Western Australia)</w:t>
      </w:r>
      <w:r>
        <w:t xml:space="preserve"> in the nursing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w:t>
      </w:r>
      <w:r>
        <w:rPr>
          <w:b/>
          <w:bCs/>
          <w:i/>
          <w:iCs/>
        </w:rPr>
        <w:t>agricultural chemical product</w:t>
      </w:r>
      <w:r>
        <w:t xml:space="preserve"> has in the Agvet Code of Western Australia;</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lastRenderedPageBreak/>
        <w:tab/>
      </w:r>
      <w:r>
        <w:rPr>
          <w:rStyle w:val="CharDefText"/>
        </w:rPr>
        <w:t xml:space="preserve">premises </w:t>
      </w:r>
      <w:r>
        <w:t>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tab/>
      </w:r>
      <w:r>
        <w:rPr>
          <w:rStyle w:val="CharDefText"/>
        </w:rPr>
        <w:t>public place</w:t>
      </w:r>
      <w:r>
        <w:t xml:space="preserve">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lastRenderedPageBreak/>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spacing w:before="60"/>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keepNext/>
        <w:keepLines/>
      </w:pPr>
      <w:r>
        <w:rPr>
          <w:b/>
        </w:rPr>
        <w:tab/>
      </w:r>
      <w:r>
        <w:rPr>
          <w:rStyle w:val="CharDefText"/>
        </w:rPr>
        <w:t>therapeutic use</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lastRenderedPageBreak/>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spacing w:before="120"/>
      </w:pPr>
      <w:r>
        <w:tab/>
        <w:t>[(2)</w:t>
      </w:r>
      <w:r>
        <w:tab/>
        <w:t>deleted]</w:t>
      </w:r>
    </w:p>
    <w:p>
      <w:pPr>
        <w:pStyle w:val="Subsection"/>
      </w:pPr>
      <w:r>
        <w:tab/>
        <w:t>(2A)</w:t>
      </w:r>
      <w:r>
        <w:tab/>
        <w:t xml:space="preserve">A reference in a provision of this Act to an </w:t>
      </w:r>
      <w:r>
        <w:rPr>
          <w:rStyle w:val="CharDefText"/>
        </w:rPr>
        <w:t>authorised officer</w:t>
      </w:r>
      <w:r>
        <w:t xml:space="preserve"> is a reference to a person designated as an authorised officer under the </w:t>
      </w:r>
      <w:r>
        <w:rPr>
          <w:i/>
        </w:rPr>
        <w:t>Public Health Act 2016</w:t>
      </w:r>
      <w:r>
        <w:t xml:space="preserve"> section 24(1) whose designation has effect for the purposes of that provision.</w:t>
      </w:r>
    </w:p>
    <w:p>
      <w:pPr>
        <w:pStyle w:val="Footnotesection"/>
        <w:keepLines w:val="0"/>
      </w:pPr>
      <w:r>
        <w:tab/>
        <w:t>[Section 3 amended: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 No. 13 of 2014 s. 149; No. 17 of 2014 s. 23; No. 19 of 2016 s. 6 and 207; No. 4 of 2018 s. 111.]</w:t>
      </w:r>
    </w:p>
    <w:p>
      <w:pPr>
        <w:pStyle w:val="Ednotesection"/>
        <w:spacing w:before="180"/>
        <w:ind w:left="890" w:hanging="890"/>
        <w:outlineLvl w:val="9"/>
      </w:pPr>
      <w:r>
        <w:t>[</w:t>
      </w:r>
      <w:r>
        <w:rPr>
          <w:b/>
        </w:rPr>
        <w:t>4.</w:t>
      </w:r>
      <w:r>
        <w:tab/>
        <w:t>Deleted: No. 14 of 1996 s. 4.]</w:t>
      </w:r>
    </w:p>
    <w:p>
      <w:pPr>
        <w:pStyle w:val="Heading5"/>
        <w:rPr>
          <w:snapToGrid w:val="0"/>
        </w:rPr>
      </w:pPr>
      <w:bookmarkStart w:id="8" w:name="_Toc98767783"/>
      <w:r>
        <w:rPr>
          <w:rStyle w:val="CharSectno"/>
        </w:rPr>
        <w:t>5</w:t>
      </w:r>
      <w:r>
        <w:rPr>
          <w:snapToGrid w:val="0"/>
        </w:rPr>
        <w:t>.</w:t>
      </w:r>
      <w:r>
        <w:rPr>
          <w:snapToGrid w:val="0"/>
        </w:rPr>
        <w:tab/>
        <w:t>Savings</w:t>
      </w:r>
      <w:bookmarkEnd w:id="8"/>
    </w:p>
    <w:p>
      <w:pPr>
        <w:pStyle w:val="Subsection"/>
        <w:rPr>
          <w:snapToGrid w:val="0"/>
        </w:rPr>
      </w:pPr>
      <w:r>
        <w:rPr>
          <w:snapToGrid w:val="0"/>
        </w:rPr>
        <w:tab/>
        <w:t>(1)</w:t>
      </w:r>
      <w:r>
        <w:rPr>
          <w:snapToGrid w:val="0"/>
        </w:rPr>
        <w:tab/>
        <w:t xml:space="preserve">All powers given to a local government under the provisions of this Act shall be deemed to be in addition to and not in derogation of any other powers conferred upon such local </w:t>
      </w:r>
      <w:r>
        <w:rPr>
          <w:snapToGrid w:val="0"/>
        </w:rPr>
        <w:lastRenderedPageBreak/>
        <w:t>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Chief Health Officer </w:t>
      </w:r>
      <w:r>
        <w:rPr>
          <w:snapToGrid w:val="0"/>
        </w:rPr>
        <w:t xml:space="preserve">or any local government (with the approval of the Minister) may, if in </w:t>
      </w:r>
      <w:r>
        <w:t>the Chief Health Officer’s</w:t>
      </w:r>
      <w:r>
        <w:rPr>
          <w:snapToGrid w:val="0"/>
        </w:rPr>
        <w:t xml:space="preserve">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 xml:space="preserve">Provided that in any action brought by any person for a breach of contract on the sale of any food,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the subject of such conviction was sold to him as and for a food of the same nature, substance, and quality as that </w:t>
      </w:r>
      <w:r>
        <w:rPr>
          <w:snapToGrid w:val="0"/>
        </w:rPr>
        <w:lastRenderedPageBreak/>
        <w:t>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No. 14 of 1996 s. 4; No. 28 of 2006 s. 251; (correction: Gazette 14 Dec 2010 p. 6301); No. 13 of 2014 s. 150; No. 19 of 2016 s. 7.]</w:t>
      </w:r>
    </w:p>
    <w:p>
      <w:pPr>
        <w:pStyle w:val="Heading5"/>
        <w:rPr>
          <w:snapToGrid w:val="0"/>
        </w:rPr>
      </w:pPr>
      <w:bookmarkStart w:id="9" w:name="_Toc98767784"/>
      <w:r>
        <w:rPr>
          <w:rStyle w:val="CharSectno"/>
        </w:rPr>
        <w:t>6</w:t>
      </w:r>
      <w:r>
        <w:rPr>
          <w:snapToGrid w:val="0"/>
        </w:rPr>
        <w:t>.</w:t>
      </w:r>
      <w:r>
        <w:rPr>
          <w:snapToGrid w:val="0"/>
        </w:rPr>
        <w:tab/>
        <w:t>Power to suspend operation of Act</w:t>
      </w:r>
      <w:bookmarkEnd w:id="9"/>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10" w:name="_Toc98504056"/>
      <w:bookmarkStart w:id="11" w:name="_Toc98504387"/>
      <w:bookmarkStart w:id="12" w:name="_Toc98767785"/>
      <w:r>
        <w:rPr>
          <w:rStyle w:val="CharPartNo"/>
        </w:rPr>
        <w:lastRenderedPageBreak/>
        <w:t>Part II</w:t>
      </w:r>
      <w:r>
        <w:t> — </w:t>
      </w:r>
      <w:r>
        <w:rPr>
          <w:rStyle w:val="CharPartText"/>
        </w:rPr>
        <w:t>Administration</w:t>
      </w:r>
      <w:bookmarkEnd w:id="10"/>
      <w:bookmarkEnd w:id="11"/>
      <w:bookmarkEnd w:id="12"/>
    </w:p>
    <w:p>
      <w:pPr>
        <w:pStyle w:val="Heading3"/>
      </w:pPr>
      <w:bookmarkStart w:id="13" w:name="_Toc98504057"/>
      <w:bookmarkStart w:id="14" w:name="_Toc98504388"/>
      <w:bookmarkStart w:id="15" w:name="_Toc98767786"/>
      <w:r>
        <w:rPr>
          <w:rStyle w:val="CharDivNo"/>
        </w:rPr>
        <w:t>Division 1</w:t>
      </w:r>
      <w:r>
        <w:rPr>
          <w:snapToGrid w:val="0"/>
        </w:rPr>
        <w:t> — </w:t>
      </w:r>
      <w:r>
        <w:rPr>
          <w:rStyle w:val="CharDivText"/>
        </w:rPr>
        <w:t>The Minister, CEO and Chief Health Officer</w:t>
      </w:r>
      <w:bookmarkEnd w:id="13"/>
      <w:bookmarkEnd w:id="14"/>
      <w:bookmarkEnd w:id="15"/>
    </w:p>
    <w:p>
      <w:pPr>
        <w:pStyle w:val="Footnoteheading"/>
      </w:pPr>
      <w:r>
        <w:tab/>
        <w:t>[Heading amended: No. 28 of 2006 s. 250; No. 19 of 2016 s. 99.]</w:t>
      </w:r>
    </w:p>
    <w:p>
      <w:pPr>
        <w:pStyle w:val="Heading5"/>
        <w:rPr>
          <w:snapToGrid w:val="0"/>
        </w:rPr>
      </w:pPr>
      <w:bookmarkStart w:id="16" w:name="_Toc98767787"/>
      <w:r>
        <w:rPr>
          <w:rStyle w:val="CharSectno"/>
        </w:rPr>
        <w:t>7</w:t>
      </w:r>
      <w:r>
        <w:rPr>
          <w:snapToGrid w:val="0"/>
        </w:rPr>
        <w:t>.</w:t>
      </w:r>
      <w:r>
        <w:rPr>
          <w:snapToGrid w:val="0"/>
        </w:rPr>
        <w:tab/>
        <w:t>Minister</w:t>
      </w:r>
      <w:bookmarkEnd w:id="16"/>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7" w:name="_Toc98767788"/>
      <w:r>
        <w:rPr>
          <w:rStyle w:val="CharSectno"/>
        </w:rPr>
        <w:t>8</w:t>
      </w:r>
      <w:r>
        <w:rPr>
          <w:snapToGrid w:val="0"/>
        </w:rPr>
        <w:t>.</w:t>
      </w:r>
      <w:r>
        <w:rPr>
          <w:snapToGrid w:val="0"/>
        </w:rPr>
        <w:tab/>
        <w:t>Minister to be body corporate</w:t>
      </w:r>
      <w:bookmarkEnd w:id="17"/>
    </w:p>
    <w:p>
      <w:pPr>
        <w:pStyle w:val="Subsection"/>
        <w:spacing w:before="120"/>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spacing w:before="120"/>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spacing w:before="120"/>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No. 101 of 1976 s. 4; amended: No. 28 of 1984 s. 25.]</w:t>
      </w:r>
    </w:p>
    <w:p>
      <w:pPr>
        <w:pStyle w:val="Ednotesection"/>
        <w:outlineLvl w:val="9"/>
      </w:pPr>
      <w:r>
        <w:lastRenderedPageBreak/>
        <w:t>[</w:t>
      </w:r>
      <w:r>
        <w:rPr>
          <w:b/>
        </w:rPr>
        <w:t>9-11.</w:t>
      </w:r>
      <w:r>
        <w:tab/>
        <w:t>Deleted: No. 28 of 1984 s. 26.]</w:t>
      </w:r>
    </w:p>
    <w:p>
      <w:pPr>
        <w:pStyle w:val="Heading5"/>
      </w:pPr>
      <w:bookmarkStart w:id="18" w:name="_Toc98767789"/>
      <w:r>
        <w:rPr>
          <w:rStyle w:val="CharSectno"/>
        </w:rPr>
        <w:t>12</w:t>
      </w:r>
      <w:r>
        <w:t>.</w:t>
      </w:r>
      <w:r>
        <w:tab/>
        <w:t>Powers of Chief Health Officer and authorised officers</w:t>
      </w:r>
      <w:bookmarkEnd w:id="18"/>
    </w:p>
    <w:p>
      <w:pPr>
        <w:pStyle w:val="Subsection"/>
      </w:pPr>
      <w:r>
        <w:tab/>
        <w:t>(1)</w:t>
      </w:r>
      <w:r>
        <w:tab/>
        <w:t>The Chief Health Officer, and any authorised officer acting with the Chief Health Officer’s authority, has all the powers of an authorised officer of a local government, and may exercise those powers in any part of the State, and the Chief Health Officer has all the rights and powers that the local government would have in case its authorised officer exercised the power, or to enable its authorised officer to exercise the power.</w:t>
      </w:r>
    </w:p>
    <w:p>
      <w:pPr>
        <w:pStyle w:val="Subsection"/>
      </w:pPr>
      <w:r>
        <w:tab/>
        <w:t>(2)</w:t>
      </w:r>
      <w:r>
        <w:tab/>
        <w:t xml:space="preserve">Any provision of this Act conferring any power on an authorised officer of a local government, or relating to or connected with the exercise or intended exercise, or the consequences of the exercise of any power by an authorised officer of a local government, are to be construed and have effect for the purposes of this section as if — </w:t>
      </w:r>
    </w:p>
    <w:p>
      <w:pPr>
        <w:pStyle w:val="Indenta"/>
      </w:pPr>
      <w:r>
        <w:tab/>
        <w:t>(a)</w:t>
      </w:r>
      <w:r>
        <w:tab/>
        <w:t>the references in the provision to an authorised officer of the local government extended to the Chief Health Officer or any authorised officer acting with the Chief Health Officer’s authority; and</w:t>
      </w:r>
    </w:p>
    <w:p>
      <w:pPr>
        <w:pStyle w:val="Indenta"/>
      </w:pPr>
      <w:r>
        <w:tab/>
        <w:t>(b)</w:t>
      </w:r>
      <w:r>
        <w:tab/>
        <w:t>all references in the provision to a local government extended to the Chief Health Officer.</w:t>
      </w:r>
    </w:p>
    <w:p>
      <w:pPr>
        <w:pStyle w:val="Footnotesection"/>
      </w:pPr>
      <w:r>
        <w:tab/>
        <w:t>[Section 12 inserted: No. 19 of 2016 s. 8.]</w:t>
      </w:r>
    </w:p>
    <w:p>
      <w:pPr>
        <w:pStyle w:val="Heading5"/>
      </w:pPr>
      <w:bookmarkStart w:id="19" w:name="_Toc98767790"/>
      <w:r>
        <w:rPr>
          <w:rStyle w:val="CharSectno"/>
        </w:rPr>
        <w:t>13A</w:t>
      </w:r>
      <w:r>
        <w:t>.</w:t>
      </w:r>
      <w:r>
        <w:tab/>
        <w:t>CEO and Chief Health Officer may delegate</w:t>
      </w:r>
      <w:bookmarkEnd w:id="19"/>
    </w:p>
    <w:p>
      <w:pPr>
        <w:pStyle w:val="Subsection"/>
      </w:pPr>
      <w:r>
        <w:tab/>
        <w:t>(1)</w:t>
      </w:r>
      <w:r>
        <w:tab/>
        <w:t xml:space="preserve">In this section — </w:t>
      </w:r>
    </w:p>
    <w:p>
      <w:pPr>
        <w:pStyle w:val="Defstart"/>
      </w:pPr>
      <w:r>
        <w:tab/>
      </w:r>
      <w:r>
        <w:rPr>
          <w:rStyle w:val="CharDefText"/>
        </w:rPr>
        <w:t>departmental officer</w:t>
      </w:r>
      <w:r>
        <w:t xml:space="preserve"> — </w:t>
      </w:r>
    </w:p>
    <w:p>
      <w:pPr>
        <w:pStyle w:val="Defpara"/>
      </w:pPr>
      <w:r>
        <w:tab/>
        <w:t>(a)</w:t>
      </w:r>
      <w:r>
        <w:tab/>
        <w:t>means a public service officer employed in the Department; and</w:t>
      </w:r>
    </w:p>
    <w:p>
      <w:pPr>
        <w:pStyle w:val="Defpara"/>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pPr>
      <w:r>
        <w:lastRenderedPageBreak/>
        <w:tab/>
      </w:r>
      <w:r>
        <w:rPr>
          <w:rStyle w:val="CharDefText"/>
        </w:rPr>
        <w:t>employed in the Department</w:t>
      </w:r>
      <w:r>
        <w:t xml:space="preserve"> includes seconded to perform functions or services for, or duties in the service of, the Department.</w:t>
      </w:r>
    </w:p>
    <w:p>
      <w:pPr>
        <w:pStyle w:val="Subsection"/>
        <w:spacing w:before="120"/>
      </w:pPr>
      <w:r>
        <w:tab/>
        <w:t>(2)</w:t>
      </w:r>
      <w:r>
        <w:tab/>
        <w:t>The CEO may delegate to a departmental officer all or any of the functions that the CEO has under this Act, other than this power of delegation.</w:t>
      </w:r>
    </w:p>
    <w:p>
      <w:pPr>
        <w:pStyle w:val="Subsection"/>
        <w:spacing w:before="120"/>
      </w:pPr>
      <w:r>
        <w:tab/>
        <w:t>(3)</w:t>
      </w:r>
      <w:r>
        <w:tab/>
        <w:t>The Chief Health Officer may delegate to a departmental officer all or any of the functions that the Chief Health Officer has under this Act, other than this power of delegation.</w:t>
      </w:r>
    </w:p>
    <w:p>
      <w:pPr>
        <w:pStyle w:val="Subsection"/>
        <w:spacing w:before="120"/>
      </w:pPr>
      <w:r>
        <w:tab/>
        <w:t>(4)</w:t>
      </w:r>
      <w:r>
        <w:tab/>
        <w:t>A delegation made under subsection (2) or (3) may expressly authorise the delegate to further delegate the function to another person.</w:t>
      </w:r>
    </w:p>
    <w:p>
      <w:pPr>
        <w:pStyle w:val="Subsection"/>
        <w:spacing w:before="120"/>
      </w:pPr>
      <w:r>
        <w:tab/>
        <w:t>(5)</w:t>
      </w:r>
      <w:r>
        <w:tab/>
        <w:t>A delegation or subdelegation made under this section must be in writing and signed by the delegator.</w:t>
      </w:r>
    </w:p>
    <w:p>
      <w:pPr>
        <w:pStyle w:val="Subsection"/>
        <w:spacing w:before="120"/>
      </w:pPr>
      <w:r>
        <w:tab/>
        <w:t>(6)</w:t>
      </w:r>
      <w:r>
        <w:tab/>
        <w:t>A person performing a function that has been delegated to the person under, or as authorised under, this section is to be taken to do so in accordance with the terms of the delegation unless the contrary is shown.</w:t>
      </w:r>
    </w:p>
    <w:p>
      <w:pPr>
        <w:pStyle w:val="Subsection"/>
        <w:spacing w:before="120"/>
      </w:pPr>
      <w:r>
        <w:tab/>
        <w:t>(7)</w:t>
      </w:r>
      <w:r>
        <w:tab/>
        <w:t>Nothing in this section limits the ability of the CEO or the Chief Health Officer to act through an officer or agent.</w:t>
      </w:r>
    </w:p>
    <w:p>
      <w:pPr>
        <w:pStyle w:val="Footnotesection"/>
      </w:pPr>
      <w:r>
        <w:tab/>
        <w:t>[Section 13A inserted: No. 19 of 2016 s. 8.]</w:t>
      </w:r>
    </w:p>
    <w:p>
      <w:pPr>
        <w:pStyle w:val="Ednotesection"/>
        <w:spacing w:before="180"/>
        <w:ind w:left="890" w:hanging="890"/>
        <w:outlineLvl w:val="9"/>
      </w:pPr>
      <w:r>
        <w:t>[</w:t>
      </w:r>
      <w:r>
        <w:rPr>
          <w:b/>
        </w:rPr>
        <w:t>13, 14.</w:t>
      </w:r>
      <w:r>
        <w:tab/>
        <w:t>Deleted: No. 19 of 2016 s. 212.]</w:t>
      </w:r>
    </w:p>
    <w:p>
      <w:pPr>
        <w:pStyle w:val="Ednotesection"/>
        <w:spacing w:before="180"/>
        <w:ind w:left="890" w:hanging="890"/>
        <w:outlineLvl w:val="9"/>
      </w:pPr>
      <w:r>
        <w:t>[</w:t>
      </w:r>
      <w:r>
        <w:rPr>
          <w:b/>
        </w:rPr>
        <w:t>15.</w:t>
      </w:r>
      <w:r>
        <w:tab/>
        <w:t>Deleted: No. 19 of 2016 s. 213.]</w:t>
      </w:r>
    </w:p>
    <w:p>
      <w:pPr>
        <w:pStyle w:val="Heading5"/>
        <w:rPr>
          <w:snapToGrid w:val="0"/>
        </w:rPr>
      </w:pPr>
      <w:bookmarkStart w:id="20" w:name="_Toc98767791"/>
      <w:r>
        <w:rPr>
          <w:rStyle w:val="CharSectno"/>
        </w:rPr>
        <w:t>16</w:t>
      </w:r>
      <w:r>
        <w:rPr>
          <w:snapToGrid w:val="0"/>
        </w:rPr>
        <w:t>.</w:t>
      </w:r>
      <w:r>
        <w:rPr>
          <w:snapToGrid w:val="0"/>
        </w:rPr>
        <w:tab/>
        <w:t>Chief Health Officer may act where no local government</w:t>
      </w:r>
      <w:bookmarkEnd w:id="20"/>
    </w:p>
    <w:p>
      <w:pPr>
        <w:pStyle w:val="Subsection"/>
        <w:rPr>
          <w:snapToGrid w:val="0"/>
        </w:rPr>
      </w:pPr>
      <w:r>
        <w:rPr>
          <w:snapToGrid w:val="0"/>
        </w:rPr>
        <w:tab/>
      </w:r>
      <w:r>
        <w:rPr>
          <w:snapToGrid w:val="0"/>
        </w:rPr>
        <w:tab/>
        <w:t xml:space="preserve">The </w:t>
      </w:r>
      <w:r>
        <w:t xml:space="preserve">Chief Health Officer </w:t>
      </w:r>
      <w:r>
        <w:rPr>
          <w:snapToGrid w:val="0"/>
        </w:rPr>
        <w:t>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No. 28 of 1984 s. 45; No. 14 of 1996 s. 4; No. 19 of 2016 s. 100.]</w:t>
      </w:r>
    </w:p>
    <w:p>
      <w:pPr>
        <w:pStyle w:val="Heading5"/>
        <w:spacing w:before="180"/>
        <w:rPr>
          <w:snapToGrid w:val="0"/>
        </w:rPr>
      </w:pPr>
      <w:bookmarkStart w:id="21" w:name="_Toc98767792"/>
      <w:r>
        <w:rPr>
          <w:rStyle w:val="CharSectno"/>
        </w:rPr>
        <w:lastRenderedPageBreak/>
        <w:t>17</w:t>
      </w:r>
      <w:r>
        <w:rPr>
          <w:snapToGrid w:val="0"/>
        </w:rPr>
        <w:t>.</w:t>
      </w:r>
      <w:r>
        <w:rPr>
          <w:snapToGrid w:val="0"/>
        </w:rPr>
        <w:tab/>
        <w:t>Expenditure to be paid out of appropriated moneys</w:t>
      </w:r>
      <w:bookmarkEnd w:id="21"/>
    </w:p>
    <w:p>
      <w:pPr>
        <w:pStyle w:val="Subsection"/>
        <w:spacing w:before="100"/>
        <w:rPr>
          <w:snapToGrid w:val="0"/>
        </w:rPr>
      </w:pPr>
      <w:r>
        <w:rPr>
          <w:snapToGrid w:val="0"/>
        </w:rPr>
        <w:tab/>
      </w:r>
      <w:r>
        <w:rPr>
          <w:snapToGrid w:val="0"/>
        </w:rPr>
        <w:tab/>
        <w:t xml:space="preserve">All expenses incurred by the </w:t>
      </w:r>
      <w:r>
        <w:t xml:space="preserve">Chief Health Officer </w:t>
      </w:r>
      <w:r>
        <w:rPr>
          <w:snapToGrid w:val="0"/>
        </w:rPr>
        <w:t>or incurred with sanction of the Governor by any local government may be defrayed out of the moneys that may from time to time be appropriated by Parliament for the purpose.</w:t>
      </w:r>
    </w:p>
    <w:p>
      <w:pPr>
        <w:pStyle w:val="Footnotesection"/>
      </w:pPr>
      <w:r>
        <w:tab/>
        <w:t>[Section 17 amended: No. 28 of 1984 s. 45; No. 14 of 1996 s. 4; No. 19 of 2016 s. 100.]</w:t>
      </w:r>
    </w:p>
    <w:p>
      <w:pPr>
        <w:pStyle w:val="Heading3"/>
        <w:spacing w:before="120"/>
        <w:rPr>
          <w:snapToGrid w:val="0"/>
        </w:rPr>
      </w:pPr>
      <w:bookmarkStart w:id="22" w:name="_Toc98504064"/>
      <w:bookmarkStart w:id="23" w:name="_Toc98504395"/>
      <w:bookmarkStart w:id="24" w:name="_Toc98767793"/>
      <w:r>
        <w:rPr>
          <w:rStyle w:val="CharDivNo"/>
        </w:rPr>
        <w:t>Division 2</w:t>
      </w:r>
      <w:r>
        <w:rPr>
          <w:snapToGrid w:val="0"/>
        </w:rPr>
        <w:t> — </w:t>
      </w:r>
      <w:r>
        <w:rPr>
          <w:rStyle w:val="CharDivText"/>
        </w:rPr>
        <w:t>Local governments</w:t>
      </w:r>
      <w:bookmarkEnd w:id="22"/>
      <w:bookmarkEnd w:id="23"/>
      <w:bookmarkEnd w:id="24"/>
    </w:p>
    <w:p>
      <w:pPr>
        <w:pStyle w:val="Footnoteheading"/>
        <w:ind w:left="890" w:hanging="890"/>
        <w:rPr>
          <w:snapToGrid w:val="0"/>
        </w:rPr>
      </w:pPr>
      <w:r>
        <w:rPr>
          <w:snapToGrid w:val="0"/>
        </w:rPr>
        <w:tab/>
        <w:t>[Heading amended: No. 14 of 1996 s. 4.]</w:t>
      </w:r>
    </w:p>
    <w:p>
      <w:pPr>
        <w:pStyle w:val="Ednotesection"/>
        <w:spacing w:before="180"/>
        <w:ind w:left="890" w:hanging="890"/>
        <w:outlineLvl w:val="9"/>
      </w:pPr>
      <w:r>
        <w:t>[</w:t>
      </w:r>
      <w:r>
        <w:rPr>
          <w:b/>
        </w:rPr>
        <w:t>18, 19, 19A.</w:t>
      </w:r>
      <w:r>
        <w:tab/>
        <w:t>Deleted: No. 14 of 1996 s. 4.]</w:t>
      </w:r>
    </w:p>
    <w:p>
      <w:pPr>
        <w:pStyle w:val="Ednotesection"/>
        <w:spacing w:before="180"/>
        <w:ind w:left="890" w:hanging="890"/>
        <w:outlineLvl w:val="9"/>
      </w:pPr>
      <w:r>
        <w:t>[</w:t>
      </w:r>
      <w:r>
        <w:rPr>
          <w:b/>
        </w:rPr>
        <w:t>20, 21.</w:t>
      </w:r>
      <w:r>
        <w:tab/>
        <w:t>Deleted: No. 57 of 1985 s. 12.]</w:t>
      </w:r>
    </w:p>
    <w:p>
      <w:pPr>
        <w:pStyle w:val="Heading5"/>
        <w:spacing w:before="120"/>
        <w:rPr>
          <w:snapToGrid w:val="0"/>
        </w:rPr>
      </w:pPr>
      <w:bookmarkStart w:id="25" w:name="_Toc98767794"/>
      <w:r>
        <w:rPr>
          <w:rStyle w:val="CharSectno"/>
        </w:rPr>
        <w:t>22</w:t>
      </w:r>
      <w:r>
        <w:rPr>
          <w:snapToGrid w:val="0"/>
        </w:rPr>
        <w:t>.</w:t>
      </w:r>
      <w:r>
        <w:rPr>
          <w:snapToGrid w:val="0"/>
        </w:rPr>
        <w:tab/>
        <w:t>Annexation</w:t>
      </w:r>
      <w:bookmarkEnd w:id="25"/>
    </w:p>
    <w:p>
      <w:pPr>
        <w:pStyle w:val="Subsection"/>
        <w:spacing w:before="120"/>
        <w:rPr>
          <w:snapToGrid w:val="0"/>
        </w:rPr>
      </w:pPr>
      <w:r>
        <w:rPr>
          <w:snapToGrid w:val="0"/>
        </w:rPr>
        <w:tab/>
        <w:t>(1)</w:t>
      </w:r>
      <w:r>
        <w:rPr>
          <w:snapToGrid w:val="0"/>
        </w:rPr>
        <w:tab/>
        <w:t xml:space="preserve">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w:t>
      </w:r>
      <w:r>
        <w:t>Chief Health Officer</w:t>
      </w:r>
      <w:r>
        <w:rPr>
          <w:snapToGrid w:val="0"/>
        </w:rPr>
        <w:t xml:space="preserve"> considers necessary as consequential to such removal shall be made as and in the manner the </w:t>
      </w:r>
      <w:r>
        <w:t>Chief Health Officer</w:t>
      </w:r>
      <w:r>
        <w:rPr>
          <w:snapToGrid w:val="0"/>
        </w:rPr>
        <w:t xml:space="preserve">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spacing w:before="100"/>
        <w:ind w:left="890" w:hanging="890"/>
      </w:pPr>
      <w:r>
        <w:tab/>
        <w:t>[Section 22, formerly section 21, renumbered as section 22: No. 38 of 1933 s. 42; amended: No. 25 of 1950 s. 3; No. 28 of 1984 s. 45; No. 14 of 1996 s. 4; No. 19 of 2016 s. 100.]</w:t>
      </w:r>
    </w:p>
    <w:p>
      <w:pPr>
        <w:pStyle w:val="Ednotesection"/>
        <w:outlineLvl w:val="9"/>
      </w:pPr>
      <w:r>
        <w:lastRenderedPageBreak/>
        <w:t>[</w:t>
      </w:r>
      <w:r>
        <w:rPr>
          <w:b/>
        </w:rPr>
        <w:t>23, 24.</w:t>
      </w:r>
      <w:r>
        <w:tab/>
        <w:t>Deleted: No. 57 of 1985 s. 12.]</w:t>
      </w:r>
    </w:p>
    <w:p>
      <w:pPr>
        <w:pStyle w:val="Heading5"/>
        <w:rPr>
          <w:snapToGrid w:val="0"/>
        </w:rPr>
      </w:pPr>
      <w:bookmarkStart w:id="26" w:name="_Toc98767795"/>
      <w:r>
        <w:rPr>
          <w:rStyle w:val="CharSectno"/>
        </w:rPr>
        <w:t>25</w:t>
      </w:r>
      <w:r>
        <w:rPr>
          <w:snapToGrid w:val="0"/>
        </w:rPr>
        <w:t>.</w:t>
      </w:r>
      <w:r>
        <w:rPr>
          <w:snapToGrid w:val="0"/>
        </w:rPr>
        <w:tab/>
        <w:t>District may include water</w:t>
      </w:r>
      <w:bookmarkEnd w:id="26"/>
    </w:p>
    <w:p>
      <w:pPr>
        <w:pStyle w:val="Subsection"/>
        <w:spacing w:before="18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80"/>
        <w:rPr>
          <w:snapToGrid w:val="0"/>
        </w:rPr>
      </w:pPr>
      <w:r>
        <w:rPr>
          <w:snapToGrid w:val="0"/>
        </w:rPr>
        <w:tab/>
      </w:r>
      <w:r>
        <w:rPr>
          <w:snapToGrid w:val="0"/>
        </w:rPr>
        <w:tab/>
        <w:t>Provided that the Governor may revoke or vary any order made under this section.</w:t>
      </w:r>
    </w:p>
    <w:p>
      <w:pPr>
        <w:pStyle w:val="Footnoteheading"/>
        <w:rPr>
          <w:snapToGrid w:val="0"/>
        </w:rPr>
      </w:pPr>
      <w:r>
        <w:tab/>
        <w:t xml:space="preserve">[Section 25, formerly section 24, renumbered as section 25: No. 38 of 1933 s. 42.] </w:t>
      </w:r>
    </w:p>
    <w:p>
      <w:pPr>
        <w:pStyle w:val="Heading5"/>
        <w:rPr>
          <w:snapToGrid w:val="0"/>
        </w:rPr>
      </w:pPr>
      <w:bookmarkStart w:id="27" w:name="_Toc98767796"/>
      <w:r>
        <w:rPr>
          <w:rStyle w:val="CharSectno"/>
        </w:rPr>
        <w:t>26</w:t>
      </w:r>
      <w:r>
        <w:rPr>
          <w:snapToGrid w:val="0"/>
        </w:rPr>
        <w:t>.</w:t>
      </w:r>
      <w:r>
        <w:rPr>
          <w:snapToGrid w:val="0"/>
        </w:rPr>
        <w:tab/>
        <w:t>Powers of local government</w:t>
      </w:r>
      <w:bookmarkEnd w:id="27"/>
    </w:p>
    <w:p>
      <w:pPr>
        <w:pStyle w:val="Subsection"/>
        <w:spacing w:before="18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8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formerly section 25, amended: No. 17 of 1918 s. 5; renumbered as section 26: No. 38 of 1933 s. 42; amended: No. 14 of 1996 s. 4.]</w:t>
      </w:r>
    </w:p>
    <w:p>
      <w:pPr>
        <w:pStyle w:val="Ednotesection"/>
        <w:spacing w:before="180"/>
        <w:ind w:left="890" w:hanging="890"/>
        <w:outlineLvl w:val="9"/>
      </w:pPr>
      <w:r>
        <w:t>[</w:t>
      </w:r>
      <w:r>
        <w:rPr>
          <w:b/>
        </w:rPr>
        <w:t>27-34.</w:t>
      </w:r>
      <w:r>
        <w:tab/>
        <w:t>Deleted: No. 19 of 2016 s. 9.]</w:t>
      </w:r>
    </w:p>
    <w:p>
      <w:pPr>
        <w:pStyle w:val="Heading5"/>
        <w:rPr>
          <w:snapToGrid w:val="0"/>
        </w:rPr>
      </w:pPr>
      <w:bookmarkStart w:id="28" w:name="_Toc98767797"/>
      <w:r>
        <w:rPr>
          <w:rStyle w:val="CharSectno"/>
        </w:rPr>
        <w:t>35</w:t>
      </w:r>
      <w:r>
        <w:rPr>
          <w:snapToGrid w:val="0"/>
        </w:rPr>
        <w:t>.</w:t>
      </w:r>
      <w:r>
        <w:rPr>
          <w:snapToGrid w:val="0"/>
        </w:rPr>
        <w:tab/>
        <w:t>Proceedings on default of local government</w:t>
      </w:r>
      <w:bookmarkEnd w:id="28"/>
    </w:p>
    <w:p>
      <w:pPr>
        <w:pStyle w:val="Subsection"/>
        <w:spacing w:before="180"/>
        <w:rPr>
          <w:snapToGrid w:val="0"/>
        </w:rPr>
      </w:pPr>
      <w:r>
        <w:rPr>
          <w:snapToGrid w:val="0"/>
        </w:rPr>
        <w:tab/>
        <w:t>(1)</w:t>
      </w:r>
      <w:r>
        <w:rPr>
          <w:snapToGrid w:val="0"/>
        </w:rPr>
        <w:tab/>
        <w:t xml:space="preserve">Where in the opinion of the </w:t>
      </w:r>
      <w:r>
        <w:t>Chief Health Officer</w:t>
      </w:r>
      <w:r>
        <w:rPr>
          <w:snapToGrid w:val="0"/>
        </w:rPr>
        <w:t xml:space="preserve"> any local government has made default in enforcing or carrying out or complying with any provisions of or in the exercise of any power conferred by this Act, or any local law or regulation </w:t>
      </w:r>
      <w:r>
        <w:rPr>
          <w:snapToGrid w:val="0"/>
        </w:rPr>
        <w:lastRenderedPageBreak/>
        <w:t xml:space="preserve">thereunder, or of any order of the </w:t>
      </w:r>
      <w:r>
        <w:t>Chief Health Officer</w:t>
      </w:r>
      <w:r>
        <w:rPr>
          <w:snapToGrid w:val="0"/>
        </w:rPr>
        <w:t xml:space="preserve">, which it is the duty of such local government to enforce, carry out, comply with, or exercise, the </w:t>
      </w:r>
      <w:r>
        <w:t>Chief Health Officer</w:t>
      </w:r>
      <w:r>
        <w:rPr>
          <w:snapToGrid w:val="0"/>
        </w:rPr>
        <w:t xml:space="preserve"> may make an order limiting a time for the performance of the duty of the local government.</w:t>
      </w:r>
    </w:p>
    <w:p>
      <w:pPr>
        <w:pStyle w:val="Subsection"/>
        <w:spacing w:before="180"/>
        <w:rPr>
          <w:snapToGrid w:val="0"/>
        </w:rPr>
      </w:pPr>
      <w:r>
        <w:rPr>
          <w:snapToGrid w:val="0"/>
        </w:rPr>
        <w:tab/>
        <w:t>(2)</w:t>
      </w:r>
      <w:r>
        <w:rPr>
          <w:snapToGrid w:val="0"/>
        </w:rPr>
        <w:tab/>
        <w:t xml:space="preserve">If such duty is not performed within the time limited in such order, the performance of such duty may be enforced by writ of mandamus, or the </w:t>
      </w:r>
      <w:r>
        <w:t>Chief Health Officer</w:t>
      </w:r>
      <w:r>
        <w:rPr>
          <w:snapToGrid w:val="0"/>
        </w:rPr>
        <w:t xml:space="preserve">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180"/>
        <w:rPr>
          <w:snapToGrid w:val="0"/>
        </w:rPr>
      </w:pPr>
      <w:r>
        <w:rPr>
          <w:snapToGrid w:val="0"/>
        </w:rPr>
        <w:tab/>
        <w:t>(3)</w:t>
      </w:r>
      <w:r>
        <w:rPr>
          <w:snapToGrid w:val="0"/>
        </w:rPr>
        <w:tab/>
        <w:t xml:space="preserve">Any person appointed under this section to perform the duty of a defaulting local government shall, in the performance, and for the purposes of such duty, be invested with all the powers of such local government, and may enter into contracts on its behalf, and the </w:t>
      </w:r>
      <w:r>
        <w:t>Chief Health Officer</w:t>
      </w:r>
      <w:r>
        <w:rPr>
          <w:snapToGrid w:val="0"/>
        </w:rPr>
        <w:t xml:space="preserve"> may, from time to time, remove any person so appointed, and appoint another in his place.</w:t>
      </w:r>
    </w:p>
    <w:p>
      <w:pPr>
        <w:pStyle w:val="Subsection"/>
        <w:spacing w:before="180"/>
        <w:rPr>
          <w:snapToGrid w:val="0"/>
        </w:rPr>
      </w:pPr>
      <w:r>
        <w:rPr>
          <w:snapToGrid w:val="0"/>
        </w:rPr>
        <w:tab/>
        <w:t>(4)</w:t>
      </w:r>
      <w:r>
        <w:rPr>
          <w:snapToGrid w:val="0"/>
        </w:rPr>
        <w:tab/>
        <w:t xml:space="preserve">When the </w:t>
      </w:r>
      <w:r>
        <w:t xml:space="preserve">Chief Health </w:t>
      </w:r>
      <w:r>
        <w:rPr>
          <w:snapToGrid w:val="0"/>
        </w:rPr>
        <w:t xml:space="preserve">Officer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w:t>
      </w:r>
      <w:r>
        <w:t>Chief Health Officer</w:t>
      </w:r>
      <w:r>
        <w:rPr>
          <w:snapToGrid w:val="0"/>
        </w:rPr>
        <w:t xml:space="preserve"> is willing to confirm, then the </w:t>
      </w:r>
      <w:r>
        <w:t>Chief Health Officer</w:t>
      </w:r>
      <w:r>
        <w:rPr>
          <w:snapToGrid w:val="0"/>
        </w:rPr>
        <w:t xml:space="preserve"> may, in lieu of the local government, make such local law as he shall consider ought to be made regarding such matter, and any local law so made by the </w:t>
      </w:r>
      <w:r>
        <w:t>Chief Health Officer</w:t>
      </w:r>
      <w:r>
        <w:rPr>
          <w:snapToGrid w:val="0"/>
        </w:rPr>
        <w:t xml:space="preserve"> shall, subject to section 345, have effect as if made by the local government.</w:t>
      </w:r>
    </w:p>
    <w:p>
      <w:pPr>
        <w:pStyle w:val="Footnotesection"/>
        <w:spacing w:before="80"/>
        <w:ind w:left="890" w:hanging="890"/>
      </w:pPr>
      <w:r>
        <w:lastRenderedPageBreak/>
        <w:tab/>
        <w:t>[Section 35, formerly section 34, amended: No. 17 of 1918 s. 7; renumbered as section 35: No. 38 of 1933 s. 42; amended: No. 28 of 1984 s. 45; No. 14 of 1996 s. 4; No. 19 of 2016 s. 100.]</w:t>
      </w:r>
    </w:p>
    <w:p>
      <w:pPr>
        <w:pStyle w:val="Heading5"/>
        <w:spacing w:before="180"/>
        <w:rPr>
          <w:snapToGrid w:val="0"/>
        </w:rPr>
      </w:pPr>
      <w:bookmarkStart w:id="29" w:name="_Toc98767798"/>
      <w:r>
        <w:rPr>
          <w:rStyle w:val="CharSectno"/>
        </w:rPr>
        <w:t>36</w:t>
      </w:r>
      <w:r>
        <w:rPr>
          <w:snapToGrid w:val="0"/>
        </w:rPr>
        <w:t>.</w:t>
      </w:r>
      <w:r>
        <w:rPr>
          <w:snapToGrid w:val="0"/>
        </w:rPr>
        <w:tab/>
        <w:t>Review of orders and decisions of local governments by SAT</w:t>
      </w:r>
      <w:bookmarkEnd w:id="29"/>
    </w:p>
    <w:p>
      <w:pPr>
        <w:pStyle w:val="Subsection"/>
        <w:spacing w:before="120"/>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spacing w:before="120"/>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spacing w:before="80"/>
        <w:ind w:left="890" w:hanging="890"/>
      </w:pPr>
      <w:r>
        <w:tab/>
        <w:t>[Section 36, formerly section 35, renumbered as section 36: No. 38 of 1933 s. 42; amended: No. 14 of 1996 s. 4; No. 55 of 2004 s. 479.]</w:t>
      </w:r>
    </w:p>
    <w:p>
      <w:pPr>
        <w:pStyle w:val="Ednotesection"/>
        <w:spacing w:before="180"/>
        <w:outlineLvl w:val="9"/>
      </w:pPr>
      <w:r>
        <w:t>[</w:t>
      </w:r>
      <w:r>
        <w:rPr>
          <w:b/>
        </w:rPr>
        <w:t>37.</w:t>
      </w:r>
      <w:r>
        <w:tab/>
        <w:t>Deleted: No. 55 of 2004 s. 480.]</w:t>
      </w:r>
    </w:p>
    <w:p>
      <w:pPr>
        <w:pStyle w:val="Heading5"/>
        <w:spacing w:before="180"/>
        <w:rPr>
          <w:snapToGrid w:val="0"/>
        </w:rPr>
      </w:pPr>
      <w:bookmarkStart w:id="30" w:name="_Toc98767799"/>
      <w:r>
        <w:rPr>
          <w:rStyle w:val="CharSectno"/>
        </w:rPr>
        <w:t>38</w:t>
      </w:r>
      <w:r>
        <w:rPr>
          <w:snapToGrid w:val="0"/>
        </w:rPr>
        <w:t>.</w:t>
      </w:r>
      <w:r>
        <w:rPr>
          <w:snapToGrid w:val="0"/>
        </w:rPr>
        <w:tab/>
        <w:t>Local governments to report annually</w:t>
      </w:r>
      <w:bookmarkEnd w:id="30"/>
    </w:p>
    <w:p>
      <w:pPr>
        <w:pStyle w:val="Subsection"/>
        <w:spacing w:before="150"/>
        <w:rPr>
          <w:snapToGrid w:val="0"/>
        </w:rPr>
      </w:pPr>
      <w:r>
        <w:rPr>
          <w:snapToGrid w:val="0"/>
        </w:rPr>
        <w:tab/>
      </w:r>
      <w:r>
        <w:rPr>
          <w:snapToGrid w:val="0"/>
        </w:rPr>
        <w:tab/>
        <w:t xml:space="preserve">Every local government shall, in the prescribed form, during the month of February in every year, and at such other times as the </w:t>
      </w:r>
      <w:r>
        <w:t>Chief Health Officer</w:t>
      </w:r>
      <w:r>
        <w:rPr>
          <w:snapToGrid w:val="0"/>
        </w:rPr>
        <w:t xml:space="preserve"> may direct, report to the </w:t>
      </w:r>
      <w:r>
        <w:t>Chief Health Officer</w:t>
      </w:r>
      <w:r>
        <w:rPr>
          <w:snapToGrid w:val="0"/>
        </w:rPr>
        <w:t xml:space="preserve"> concerning the sanitary conditions of its district, and all works executed and proceedings taken by the local government.</w:t>
      </w:r>
    </w:p>
    <w:p>
      <w:pPr>
        <w:pStyle w:val="Footnotesection"/>
        <w:spacing w:before="80"/>
        <w:ind w:left="890" w:hanging="890"/>
      </w:pPr>
      <w:r>
        <w:tab/>
        <w:t>[Section 38, formerly section 37, renumbered as section 38: No. 38 of 1933 s. 42; amended: No. 28 of 1984 s. 45; No. 14 of 1996 s. 4; No. 19 of 2016 s. 100.]</w:t>
      </w:r>
    </w:p>
    <w:p>
      <w:pPr>
        <w:pStyle w:val="Heading3"/>
        <w:pageBreakBefore/>
        <w:widowControl w:val="0"/>
        <w:spacing w:before="0"/>
        <w:rPr>
          <w:snapToGrid w:val="0"/>
        </w:rPr>
      </w:pPr>
      <w:bookmarkStart w:id="31" w:name="_Toc98504071"/>
      <w:bookmarkStart w:id="32" w:name="_Toc98504402"/>
      <w:bookmarkStart w:id="33" w:name="_Toc98767800"/>
      <w:r>
        <w:rPr>
          <w:rStyle w:val="CharDivNo"/>
        </w:rPr>
        <w:lastRenderedPageBreak/>
        <w:t>Division 3</w:t>
      </w:r>
      <w:r>
        <w:rPr>
          <w:snapToGrid w:val="0"/>
        </w:rPr>
        <w:t> — </w:t>
      </w:r>
      <w:r>
        <w:rPr>
          <w:rStyle w:val="CharDivText"/>
        </w:rPr>
        <w:t>The exercise of ministerial control</w:t>
      </w:r>
      <w:bookmarkEnd w:id="31"/>
      <w:bookmarkEnd w:id="32"/>
      <w:bookmarkEnd w:id="33"/>
    </w:p>
    <w:p>
      <w:pPr>
        <w:pStyle w:val="Heading5"/>
        <w:keepNext w:val="0"/>
        <w:keepLines w:val="0"/>
        <w:widowControl w:val="0"/>
        <w:rPr>
          <w:snapToGrid w:val="0"/>
        </w:rPr>
      </w:pPr>
      <w:bookmarkStart w:id="34" w:name="_Toc98767801"/>
      <w:r>
        <w:rPr>
          <w:rStyle w:val="CharSectno"/>
        </w:rPr>
        <w:t>39</w:t>
      </w:r>
      <w:r>
        <w:rPr>
          <w:snapToGrid w:val="0"/>
        </w:rPr>
        <w:t>.</w:t>
      </w:r>
      <w:r>
        <w:rPr>
          <w:snapToGrid w:val="0"/>
        </w:rPr>
        <w:tab/>
        <w:t>Powers of Minister</w:t>
      </w:r>
      <w:bookmarkEnd w:id="34"/>
    </w:p>
    <w:p>
      <w:pPr>
        <w:pStyle w:val="Subsection"/>
        <w:widowControl w:val="0"/>
        <w:spacing w:before="200"/>
        <w:rPr>
          <w:snapToGrid w:val="0"/>
        </w:rPr>
      </w:pPr>
      <w:r>
        <w:rPr>
          <w:snapToGrid w:val="0"/>
        </w:rPr>
        <w:tab/>
        <w:t>(1)</w:t>
      </w:r>
      <w:r>
        <w:rPr>
          <w:snapToGrid w:val="0"/>
        </w:rPr>
        <w:tab/>
        <w:t>All the powers, rights, and authorities vested in the</w:t>
      </w:r>
      <w:r>
        <w:t xml:space="preserve"> CEO</w:t>
      </w:r>
      <w:r>
        <w:rPr>
          <w:snapToGrid w:val="0"/>
        </w:rPr>
        <w:t xml:space="preserve">, </w:t>
      </w:r>
      <w:r>
        <w:t xml:space="preserve">Chief Health Officer </w:t>
      </w:r>
      <w:r>
        <w:rPr>
          <w:snapToGrid w:val="0"/>
        </w:rPr>
        <w:t>or any local government shall, whenever he deems fit, be exercisable by the Minister, and when so exercised shall, if so ordered by the Minister, supersede any act, direction, notice, or order of the</w:t>
      </w:r>
      <w:r>
        <w:t xml:space="preserve"> CEO</w:t>
      </w:r>
      <w:r>
        <w:rPr>
          <w:snapToGrid w:val="0"/>
        </w:rPr>
        <w:t xml:space="preserve">, </w:t>
      </w:r>
      <w:r>
        <w:t xml:space="preserve">Chief Health Officer </w:t>
      </w:r>
      <w:r>
        <w:rPr>
          <w:snapToGrid w:val="0"/>
        </w:rPr>
        <w:t>or local government; and every officer, and employee of the local government (whether a member thereof or not) and the</w:t>
      </w:r>
      <w:r>
        <w:t xml:space="preserve"> CEO</w:t>
      </w:r>
      <w:r>
        <w:rPr>
          <w:snapToGrid w:val="0"/>
        </w:rPr>
        <w:t xml:space="preserve">, </w:t>
      </w:r>
      <w:r>
        <w:t xml:space="preserve">Chief Health Officer </w:t>
      </w:r>
      <w:r>
        <w:rPr>
          <w:snapToGrid w:val="0"/>
        </w:rPr>
        <w:t>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xml:space="preserve">, </w:t>
      </w:r>
      <w:r>
        <w:t xml:space="preserve">Chief Health Officer </w:t>
      </w:r>
      <w:r>
        <w:rPr>
          <w:snapToGrid w:val="0"/>
        </w:rPr>
        <w:t>or local government, whether conferred by Act, regulation, local law, or otherwise.</w:t>
      </w:r>
    </w:p>
    <w:p>
      <w:pPr>
        <w:pStyle w:val="Subsection"/>
        <w:spacing w:before="200"/>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xml:space="preserve">, </w:t>
      </w:r>
      <w:r>
        <w:t xml:space="preserve">Chief Health Officer </w:t>
      </w:r>
      <w:r>
        <w:rPr>
          <w:snapToGrid w:val="0"/>
        </w:rPr>
        <w:t>or local government.</w:t>
      </w:r>
    </w:p>
    <w:p>
      <w:pPr>
        <w:pStyle w:val="Subsection"/>
        <w:spacing w:before="200"/>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keepNext/>
        <w:spacing w:before="200"/>
        <w:rPr>
          <w:snapToGrid w:val="0"/>
        </w:rPr>
      </w:pPr>
      <w:r>
        <w:rPr>
          <w:snapToGrid w:val="0"/>
        </w:rPr>
        <w:tab/>
        <w:t>(4)</w:t>
      </w:r>
      <w:r>
        <w:rPr>
          <w:snapToGrid w:val="0"/>
        </w:rPr>
        <w:tab/>
        <w:t xml:space="preserve">When any such order has been made, a verified copy thereof may be filed in the office of the Master of the Supreme Court, </w:t>
      </w:r>
      <w:r>
        <w:rPr>
          <w:snapToGrid w:val="0"/>
        </w:rPr>
        <w:lastRenderedPageBreak/>
        <w:t>and may thereupon be enforced in the same manner as if it were an order of that Court.</w:t>
      </w:r>
    </w:p>
    <w:p>
      <w:pPr>
        <w:pStyle w:val="Footnotesection"/>
      </w:pPr>
      <w:r>
        <w:tab/>
        <w:t>[Section 39, formerly section 38, renumbered as section 39: No. 38 of 1933 s. 42; amended: No. 28 of 1984 s. 27; No. 14 of 1996 s. 4; No. 28 of 1996 s. 20; No. 28 of 2006 s. 251; No. 19 of 2016 s. 10.]</w:t>
      </w:r>
    </w:p>
    <w:p>
      <w:pPr>
        <w:pStyle w:val="Heading2"/>
      </w:pPr>
      <w:bookmarkStart w:id="35" w:name="_Toc98504073"/>
      <w:bookmarkStart w:id="36" w:name="_Toc98504404"/>
      <w:bookmarkStart w:id="37" w:name="_Toc98767802"/>
      <w:r>
        <w:rPr>
          <w:rStyle w:val="CharPartNo"/>
        </w:rPr>
        <w:lastRenderedPageBreak/>
        <w:t>Part III</w:t>
      </w:r>
      <w:r>
        <w:rPr>
          <w:rStyle w:val="CharDivNo"/>
        </w:rPr>
        <w:t> </w:t>
      </w:r>
      <w:r>
        <w:t>—</w:t>
      </w:r>
      <w:r>
        <w:rPr>
          <w:rStyle w:val="CharDivText"/>
        </w:rPr>
        <w:t> </w:t>
      </w:r>
      <w:r>
        <w:rPr>
          <w:rStyle w:val="CharPartText"/>
        </w:rPr>
        <w:t>Financial</w:t>
      </w:r>
      <w:bookmarkEnd w:id="35"/>
      <w:bookmarkEnd w:id="36"/>
      <w:bookmarkEnd w:id="37"/>
    </w:p>
    <w:p>
      <w:pPr>
        <w:pStyle w:val="Heading5"/>
        <w:rPr>
          <w:snapToGrid w:val="0"/>
        </w:rPr>
      </w:pPr>
      <w:bookmarkStart w:id="38" w:name="_Toc98767803"/>
      <w:r>
        <w:rPr>
          <w:rStyle w:val="CharSectno"/>
        </w:rPr>
        <w:t>40</w:t>
      </w:r>
      <w:r>
        <w:rPr>
          <w:snapToGrid w:val="0"/>
        </w:rPr>
        <w:t>.</w:t>
      </w:r>
      <w:r>
        <w:rPr>
          <w:snapToGrid w:val="0"/>
        </w:rPr>
        <w:tab/>
        <w:t>Power to levy general health rate</w:t>
      </w:r>
      <w:bookmarkEnd w:id="38"/>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w:t>
      </w:r>
      <w:r>
        <w:rPr>
          <w:snapToGrid w:val="0"/>
          <w:vertAlign w:val="superscript"/>
        </w:rPr>
        <w:t>1</w:t>
      </w:r>
      <w:r>
        <w:rPr>
          <w:snapToGrid w:val="0"/>
        </w:rPr>
        <w:t>/</w:t>
      </w:r>
      <w:r>
        <w:rPr>
          <w:snapToGrid w:val="0"/>
          <w:vertAlign w:val="subscript"/>
        </w:rPr>
        <w:t>3</w:t>
      </w:r>
      <w:r>
        <w:rPr>
          <w:snapToGrid w:val="0"/>
        </w:rPr>
        <w:t xml:space="preserve">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formerly section 39, renumbered as section 40: No. 38 of 1933 s. 42; amended: No. 25 of 1950 s. 4; No. 113 of 1965 s. 4(1); No. 76 of 1978 s. 50; No. 14 of 1996 s. 4.]</w:t>
      </w:r>
    </w:p>
    <w:p>
      <w:pPr>
        <w:pStyle w:val="Heading5"/>
        <w:rPr>
          <w:snapToGrid w:val="0"/>
        </w:rPr>
      </w:pPr>
      <w:bookmarkStart w:id="39" w:name="_Toc98767804"/>
      <w:r>
        <w:rPr>
          <w:rStyle w:val="CharSectno"/>
        </w:rPr>
        <w:lastRenderedPageBreak/>
        <w:t>41</w:t>
      </w:r>
      <w:r>
        <w:rPr>
          <w:snapToGrid w:val="0"/>
        </w:rPr>
        <w:t>.</w:t>
      </w:r>
      <w:r>
        <w:rPr>
          <w:snapToGrid w:val="0"/>
        </w:rPr>
        <w:tab/>
        <w:t>Sanitary rate</w:t>
      </w:r>
      <w:bookmarkEnd w:id="39"/>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formerly section 40, amended: No. 5 of 1933 s. 2; No. 38 of 1933 s. 2; renumbered as section 41: No. 38 of 1933 s. 42; amended: No. 25 of 1950 s. 5; No. 113 of 1965 s. 4(1); No. 2 of 1975 s. 3; No. 76 of 1978 s. 51; No. 14 of 1996 s. 4; No. 36 of 2007 Sch. 4 cl. 4(2).]</w:t>
      </w:r>
    </w:p>
    <w:p>
      <w:pPr>
        <w:pStyle w:val="Heading5"/>
        <w:keepLines w:val="0"/>
        <w:spacing w:before="180"/>
        <w:rPr>
          <w:snapToGrid w:val="0"/>
        </w:rPr>
      </w:pPr>
      <w:bookmarkStart w:id="40" w:name="_Toc98767805"/>
      <w:r>
        <w:rPr>
          <w:rStyle w:val="CharSectno"/>
        </w:rPr>
        <w:lastRenderedPageBreak/>
        <w:t>42</w:t>
      </w:r>
      <w:r>
        <w:rPr>
          <w:snapToGrid w:val="0"/>
        </w:rPr>
        <w:t>.</w:t>
      </w:r>
      <w:r>
        <w:rPr>
          <w:snapToGrid w:val="0"/>
        </w:rPr>
        <w:tab/>
        <w:t>Supplementary rates</w:t>
      </w:r>
      <w:bookmarkEnd w:id="40"/>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formerly section 41, renumbered as section 42: No. 38 of 1933 s. 42; amended: No. 14 of 1996 s. 4.]</w:t>
      </w:r>
    </w:p>
    <w:p>
      <w:pPr>
        <w:pStyle w:val="Ednotesection"/>
        <w:outlineLvl w:val="9"/>
      </w:pPr>
      <w:r>
        <w:t>[</w:t>
      </w:r>
      <w:r>
        <w:rPr>
          <w:b/>
        </w:rPr>
        <w:t>43.</w:t>
      </w:r>
      <w:r>
        <w:tab/>
        <w:t>Deleted: No. 57 of 1985 s. 12.]</w:t>
      </w:r>
    </w:p>
    <w:p>
      <w:pPr>
        <w:pStyle w:val="Heading5"/>
        <w:rPr>
          <w:snapToGrid w:val="0"/>
        </w:rPr>
      </w:pPr>
      <w:bookmarkStart w:id="41" w:name="_Toc98767806"/>
      <w:r>
        <w:rPr>
          <w:rStyle w:val="CharSectno"/>
        </w:rPr>
        <w:t>44</w:t>
      </w:r>
      <w:r>
        <w:rPr>
          <w:snapToGrid w:val="0"/>
        </w:rPr>
        <w:t>.</w:t>
      </w:r>
      <w:r>
        <w:rPr>
          <w:snapToGrid w:val="0"/>
        </w:rPr>
        <w:tab/>
        <w:t>Borrowing powers</w:t>
      </w:r>
      <w:bookmarkEnd w:id="41"/>
    </w:p>
    <w:p>
      <w:pPr>
        <w:pStyle w:val="Subsection"/>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 xml:space="preserve">The provisions of the preceding paragraph shall also apply to any loan which has been actually arranged by or made to any local government for the construction of sewerage or drainage </w:t>
      </w:r>
      <w:r>
        <w:rPr>
          <w:snapToGrid w:val="0"/>
        </w:rPr>
        <w:lastRenderedPageBreak/>
        <w:t>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formerly section 43, amended: No. 50 of 1926 s. 4; No. 30 of 1932 s. 7; No. 5 of 1933 s. 4; No. 38 of 1933 s. 3; renumbered as section 44: No. 38 of 1933 s. 42; amended: No. 16 of 1935 s. 2; No. 32 of 1937 s. 3; No. 59 of 1991 s. 7; No. 14 of 1996 s. 4.]</w:t>
      </w:r>
    </w:p>
    <w:p>
      <w:pPr>
        <w:pStyle w:val="Heading5"/>
        <w:rPr>
          <w:snapToGrid w:val="0"/>
        </w:rPr>
      </w:pPr>
      <w:bookmarkStart w:id="42" w:name="_Toc98767807"/>
      <w:r>
        <w:rPr>
          <w:rStyle w:val="CharSectno"/>
        </w:rPr>
        <w:t>45</w:t>
      </w:r>
      <w:r>
        <w:rPr>
          <w:snapToGrid w:val="0"/>
        </w:rPr>
        <w:t>.</w:t>
      </w:r>
      <w:r>
        <w:rPr>
          <w:snapToGrid w:val="0"/>
        </w:rPr>
        <w:tab/>
        <w:t>Special loan rate</w:t>
      </w:r>
      <w:bookmarkEnd w:id="42"/>
    </w:p>
    <w:p>
      <w:pPr>
        <w:pStyle w:val="Subsection"/>
        <w:rPr>
          <w:snapToGrid w:val="0"/>
        </w:rPr>
      </w:pPr>
      <w:r>
        <w:rPr>
          <w:snapToGrid w:val="0"/>
        </w:rPr>
        <w:tab/>
      </w:r>
      <w:r>
        <w:rPr>
          <w:snapToGrid w:val="0"/>
        </w:rPr>
        <w:tab/>
        <w:t xml:space="preserve">Where in any year it becomes necessary to strike a rate for the purpose of providing the interest and sinking fund of any such </w:t>
      </w:r>
      <w:r>
        <w:rPr>
          <w:snapToGrid w:val="0"/>
        </w:rPr>
        <w:lastRenderedPageBreak/>
        <w:t xml:space="preserve">loan, the local government shall, under the provisions of the </w:t>
      </w:r>
      <w:r>
        <w:rPr>
          <w:i/>
          <w:snapToGrid w:val="0"/>
        </w:rPr>
        <w:t>Local Government Act 1995</w:t>
      </w:r>
      <w:r>
        <w:rPr>
          <w:snapToGrid w:val="0"/>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No. 38 of 1933 s. 4 and 42; amended: No. 27 of 1994 s. 42; No. 14 of 1996 s. 4.]</w:t>
      </w:r>
    </w:p>
    <w:p>
      <w:pPr>
        <w:pStyle w:val="Heading5"/>
        <w:rPr>
          <w:iCs/>
          <w:snapToGrid w:val="0"/>
        </w:rPr>
      </w:pPr>
      <w:bookmarkStart w:id="43" w:name="_Toc98767808"/>
      <w:r>
        <w:rPr>
          <w:rStyle w:val="CharSectno"/>
        </w:rPr>
        <w:t>46</w:t>
      </w:r>
      <w:r>
        <w:rPr>
          <w:snapToGrid w:val="0"/>
        </w:rPr>
        <w:t>.</w:t>
      </w:r>
      <w:r>
        <w:rPr>
          <w:snapToGrid w:val="0"/>
        </w:rPr>
        <w:tab/>
        <w:t xml:space="preserve">Application of rating provisions of </w:t>
      </w:r>
      <w:r>
        <w:rPr>
          <w:i/>
          <w:iCs/>
          <w:snapToGrid w:val="0"/>
        </w:rPr>
        <w:t>Local Government Act 1995</w:t>
      </w:r>
      <w:bookmarkEnd w:id="43"/>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lastRenderedPageBreak/>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spacing w:before="180"/>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ind w:left="890" w:hanging="890"/>
      </w:pPr>
      <w:r>
        <w:tab/>
        <w:t>[Section 46 inserted: No. 38 of 1933 s. 5 and 42; amended: No. 38 of 1933 s. 5; No. 14 of 1996 s. 4.]</w:t>
      </w:r>
    </w:p>
    <w:p>
      <w:pPr>
        <w:pStyle w:val="Heading5"/>
        <w:spacing w:before="180"/>
        <w:rPr>
          <w:snapToGrid w:val="0"/>
        </w:rPr>
      </w:pPr>
      <w:bookmarkStart w:id="44" w:name="_Toc98767809"/>
      <w:r>
        <w:rPr>
          <w:rStyle w:val="CharSectno"/>
        </w:rPr>
        <w:t>47</w:t>
      </w:r>
      <w:r>
        <w:rPr>
          <w:snapToGrid w:val="0"/>
        </w:rPr>
        <w:t>.</w:t>
      </w:r>
      <w:r>
        <w:rPr>
          <w:snapToGrid w:val="0"/>
        </w:rPr>
        <w:tab/>
        <w:t>Health rate to be regarded in determining borrowing powers</w:t>
      </w:r>
      <w:bookmarkEnd w:id="44"/>
    </w:p>
    <w:p>
      <w:pPr>
        <w:pStyle w:val="Subsection"/>
        <w:spacing w:before="120"/>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ind w:left="890" w:hanging="890"/>
      </w:pPr>
      <w:r>
        <w:tab/>
        <w:t>[Section 47, formerly section 46, renumbered as section 47: No. 38 of 1933 s. 42; amended: No. 14 of 1996 s. 4.]</w:t>
      </w:r>
    </w:p>
    <w:p>
      <w:pPr>
        <w:pStyle w:val="Heading5"/>
        <w:spacing w:before="180"/>
        <w:rPr>
          <w:snapToGrid w:val="0"/>
        </w:rPr>
      </w:pPr>
      <w:bookmarkStart w:id="45" w:name="_Toc98767810"/>
      <w:r>
        <w:rPr>
          <w:rStyle w:val="CharSectno"/>
        </w:rPr>
        <w:t>48</w:t>
      </w:r>
      <w:r>
        <w:rPr>
          <w:snapToGrid w:val="0"/>
        </w:rPr>
        <w:t>.</w:t>
      </w:r>
      <w:r>
        <w:rPr>
          <w:snapToGrid w:val="0"/>
        </w:rPr>
        <w:tab/>
        <w:t>Time for giving notice of rate may be extended</w:t>
      </w:r>
      <w:bookmarkEnd w:id="45"/>
    </w:p>
    <w:p>
      <w:pPr>
        <w:pStyle w:val="Subsection"/>
        <w:spacing w:before="120"/>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ind w:left="890" w:hanging="890"/>
      </w:pPr>
      <w:r>
        <w:tab/>
        <w:t>[Section 48, formerly section 47, renumbered as section 48: No. 38 of 1933 s. 42; amended: No. 14 of 1996 s. 4.]</w:t>
      </w:r>
    </w:p>
    <w:p>
      <w:pPr>
        <w:pStyle w:val="Heading5"/>
        <w:spacing w:before="180"/>
        <w:rPr>
          <w:snapToGrid w:val="0"/>
        </w:rPr>
      </w:pPr>
      <w:bookmarkStart w:id="46" w:name="_Toc98767811"/>
      <w:r>
        <w:rPr>
          <w:rStyle w:val="CharSectno"/>
        </w:rPr>
        <w:lastRenderedPageBreak/>
        <w:t>49</w:t>
      </w:r>
      <w:r>
        <w:rPr>
          <w:snapToGrid w:val="0"/>
        </w:rPr>
        <w:t>.</w:t>
      </w:r>
      <w:r>
        <w:rPr>
          <w:snapToGrid w:val="0"/>
        </w:rPr>
        <w:tab/>
        <w:t>Accounts and audit</w:t>
      </w:r>
      <w:bookmarkEnd w:id="46"/>
    </w:p>
    <w:p>
      <w:pPr>
        <w:pStyle w:val="Ednotesubsection"/>
        <w:keepNext/>
        <w:spacing w:before="120"/>
      </w:pPr>
      <w:r>
        <w:tab/>
        <w:t>[(1)</w:t>
      </w:r>
      <w:r>
        <w:tab/>
        <w:t>deleted]</w:t>
      </w:r>
    </w:p>
    <w:p>
      <w:pPr>
        <w:pStyle w:val="Subsection"/>
        <w:spacing w:before="120"/>
        <w:rPr>
          <w:snapToGrid w:val="0"/>
        </w:rPr>
      </w:pPr>
      <w:r>
        <w:rPr>
          <w:snapToGrid w:val="0"/>
        </w:rPr>
        <w:tab/>
        <w:t>(2)</w:t>
      </w:r>
      <w:r>
        <w:rPr>
          <w:snapToGrid w:val="0"/>
        </w:rPr>
        <w:tab/>
        <w:t xml:space="preserve">Every local government shall, within one month from the close of its financial year, forward to the </w:t>
      </w:r>
      <w:r>
        <w:t xml:space="preserve">Chief Health Officer </w:t>
      </w:r>
      <w:r>
        <w:rPr>
          <w:snapToGrid w:val="0"/>
        </w:rPr>
        <w:t xml:space="preserve">a full statement of its accounts in the prescribed form, and shall furnish from time to time such information in regard to the state of the accounts and of its liabilities and of its assets as may be required by the </w:t>
      </w:r>
      <w:r>
        <w:t>Chief Health Officer</w:t>
      </w:r>
      <w:r>
        <w:rPr>
          <w:snapToGrid w:val="0"/>
        </w:rPr>
        <w:t>.</w:t>
      </w:r>
    </w:p>
    <w:p>
      <w:pPr>
        <w:pStyle w:val="Footnotesection"/>
        <w:keepLines w:val="0"/>
        <w:ind w:left="890" w:hanging="890"/>
      </w:pPr>
      <w:r>
        <w:tab/>
        <w:t>[Section 49, formerly section 48, renumbered as section 49: No. 38 of 1933 s. 42; amended: No. 28 of 1984 s. 45; No. 14 of 1996 s. 4; No. 19 of 2016 s. 100.]</w:t>
      </w:r>
    </w:p>
    <w:p>
      <w:pPr>
        <w:pStyle w:val="Ednotesection"/>
        <w:spacing w:before="240"/>
        <w:outlineLvl w:val="9"/>
      </w:pPr>
      <w:r>
        <w:t>[</w:t>
      </w:r>
      <w:r>
        <w:rPr>
          <w:b/>
        </w:rPr>
        <w:t>50.</w:t>
      </w:r>
      <w:r>
        <w:tab/>
        <w:t>Deleted: No. 57 of 1985 s. 12.]</w:t>
      </w:r>
    </w:p>
    <w:p>
      <w:pPr>
        <w:pStyle w:val="Ednotesection"/>
        <w:spacing w:before="240"/>
        <w:outlineLvl w:val="9"/>
      </w:pPr>
      <w:r>
        <w:t>[</w:t>
      </w:r>
      <w:r>
        <w:rPr>
          <w:b/>
        </w:rPr>
        <w:t>51.</w:t>
      </w:r>
      <w:r>
        <w:tab/>
        <w:t>Deleted: No. 14 of 1996 s. 4.]</w:t>
      </w:r>
    </w:p>
    <w:p>
      <w:pPr>
        <w:pStyle w:val="Heading5"/>
        <w:spacing w:before="240"/>
        <w:rPr>
          <w:snapToGrid w:val="0"/>
        </w:rPr>
      </w:pPr>
      <w:bookmarkStart w:id="47" w:name="_Toc98767812"/>
      <w:r>
        <w:rPr>
          <w:rStyle w:val="CharSectno"/>
        </w:rPr>
        <w:t>52</w:t>
      </w:r>
      <w:r>
        <w:rPr>
          <w:snapToGrid w:val="0"/>
        </w:rPr>
        <w:t>.</w:t>
      </w:r>
      <w:r>
        <w:rPr>
          <w:snapToGrid w:val="0"/>
        </w:rPr>
        <w:tab/>
        <w:t>Financial adjustment</w:t>
      </w:r>
      <w:bookmarkEnd w:id="47"/>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w:t>
      </w:r>
      <w:r>
        <w:rPr>
          <w:snapToGrid w:val="0"/>
          <w:vertAlign w:val="superscript"/>
        </w:rPr>
        <w:t> 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 xml:space="preserve">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w:t>
      </w:r>
      <w:r>
        <w:rPr>
          <w:snapToGrid w:val="0"/>
        </w:rPr>
        <w:lastRenderedPageBreak/>
        <w:t>local government as the Minister may determine, and shall be applied and disposed of as the Minister may direct.</w:t>
      </w:r>
    </w:p>
    <w:p>
      <w:pPr>
        <w:pStyle w:val="Footnotesection"/>
      </w:pPr>
      <w:r>
        <w:tab/>
        <w:t>[Section 52, formerly section 51, renumbered as section 52: No. 38 of 1933 s. 42; amended: No. 14 of 1996 s. 4.]</w:t>
      </w:r>
    </w:p>
    <w:p>
      <w:pPr>
        <w:pStyle w:val="Heading2"/>
      </w:pPr>
      <w:bookmarkStart w:id="48" w:name="_Toc98504084"/>
      <w:bookmarkStart w:id="49" w:name="_Toc98504415"/>
      <w:bookmarkStart w:id="50" w:name="_Toc98767813"/>
      <w:r>
        <w:rPr>
          <w:rStyle w:val="CharPartNo"/>
        </w:rPr>
        <w:lastRenderedPageBreak/>
        <w:t>Part IV</w:t>
      </w:r>
      <w:r>
        <w:t> — </w:t>
      </w:r>
      <w:r>
        <w:rPr>
          <w:rStyle w:val="CharPartText"/>
        </w:rPr>
        <w:t>Sanitary provisions</w:t>
      </w:r>
      <w:bookmarkEnd w:id="48"/>
      <w:bookmarkEnd w:id="49"/>
      <w:bookmarkEnd w:id="50"/>
    </w:p>
    <w:p>
      <w:pPr>
        <w:pStyle w:val="Heading3"/>
        <w:rPr>
          <w:snapToGrid w:val="0"/>
        </w:rPr>
      </w:pPr>
      <w:bookmarkStart w:id="51" w:name="_Toc98504085"/>
      <w:bookmarkStart w:id="52" w:name="_Toc98504416"/>
      <w:bookmarkStart w:id="53" w:name="_Toc98767814"/>
      <w:r>
        <w:rPr>
          <w:rStyle w:val="CharDivNo"/>
        </w:rPr>
        <w:t>Division 1</w:t>
      </w:r>
      <w:r>
        <w:rPr>
          <w:snapToGrid w:val="0"/>
        </w:rPr>
        <w:t> — </w:t>
      </w:r>
      <w:r>
        <w:rPr>
          <w:rStyle w:val="CharDivText"/>
        </w:rPr>
        <w:t>Sewerage and drainage schemes</w:t>
      </w:r>
      <w:bookmarkEnd w:id="51"/>
      <w:bookmarkEnd w:id="52"/>
      <w:bookmarkEnd w:id="53"/>
    </w:p>
    <w:p>
      <w:pPr>
        <w:pStyle w:val="Footnoteheading"/>
        <w:ind w:left="890" w:hanging="890"/>
        <w:rPr>
          <w:snapToGrid w:val="0"/>
        </w:rPr>
      </w:pPr>
      <w:r>
        <w:rPr>
          <w:snapToGrid w:val="0"/>
        </w:rPr>
        <w:tab/>
        <w:t>[Heading inserted: No. 38 of 1933 s. 42.]</w:t>
      </w:r>
    </w:p>
    <w:p>
      <w:pPr>
        <w:pStyle w:val="Heading5"/>
        <w:rPr>
          <w:snapToGrid w:val="0"/>
        </w:rPr>
      </w:pPr>
      <w:bookmarkStart w:id="54" w:name="_Toc98767815"/>
      <w:r>
        <w:rPr>
          <w:rStyle w:val="CharSectno"/>
        </w:rPr>
        <w:t>53</w:t>
      </w:r>
      <w:r>
        <w:rPr>
          <w:snapToGrid w:val="0"/>
        </w:rPr>
        <w:t>.</w:t>
      </w:r>
      <w:r>
        <w:rPr>
          <w:snapToGrid w:val="0"/>
        </w:rPr>
        <w:tab/>
        <w:t>Sewers vested in local government</w:t>
      </w:r>
      <w:bookmarkEnd w:id="54"/>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No. 38 of 1933 s. 10 and 42; amended: No. 14 of 1996 s. 4.]</w:t>
      </w:r>
    </w:p>
    <w:p>
      <w:pPr>
        <w:pStyle w:val="Heading5"/>
        <w:rPr>
          <w:snapToGrid w:val="0"/>
        </w:rPr>
      </w:pPr>
      <w:bookmarkStart w:id="55" w:name="_Toc98767816"/>
      <w:r>
        <w:rPr>
          <w:rStyle w:val="CharSectno"/>
        </w:rPr>
        <w:t>54</w:t>
      </w:r>
      <w:r>
        <w:rPr>
          <w:snapToGrid w:val="0"/>
        </w:rPr>
        <w:t>.</w:t>
      </w:r>
      <w:r>
        <w:rPr>
          <w:snapToGrid w:val="0"/>
        </w:rPr>
        <w:tab/>
        <w:t>Power of local government to construct and maintain sewers</w:t>
      </w:r>
      <w:bookmarkEnd w:id="55"/>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lastRenderedPageBreak/>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ind w:left="890" w:hanging="890"/>
      </w:pPr>
      <w:r>
        <w:tab/>
        <w:t>[Section 54 inserted: No. 38 of 1933 s. 11 and 42; amended: No. 14 of 1996 s. 4; No. 28 of 1996 s. 5.]</w:t>
      </w:r>
    </w:p>
    <w:p>
      <w:pPr>
        <w:pStyle w:val="Heading5"/>
        <w:rPr>
          <w:snapToGrid w:val="0"/>
        </w:rPr>
      </w:pPr>
      <w:bookmarkStart w:id="56" w:name="_Toc98767817"/>
      <w:r>
        <w:rPr>
          <w:rStyle w:val="CharSectno"/>
        </w:rPr>
        <w:t>55</w:t>
      </w:r>
      <w:r>
        <w:rPr>
          <w:snapToGrid w:val="0"/>
        </w:rPr>
        <w:t>.</w:t>
      </w:r>
      <w:r>
        <w:rPr>
          <w:snapToGrid w:val="0"/>
        </w:rPr>
        <w:tab/>
        <w:t>Governor</w:t>
      </w:r>
      <w:r>
        <w:rPr>
          <w:snapToGrid w:val="0"/>
          <w:sz w:val="22"/>
        </w:rPr>
        <w:t>’</w:t>
      </w:r>
      <w:r>
        <w:rPr>
          <w:snapToGrid w:val="0"/>
        </w:rPr>
        <w:t>s approval necessary to all schemes</w:t>
      </w:r>
      <w:bookmarkEnd w:id="56"/>
    </w:p>
    <w:p>
      <w:pPr>
        <w:pStyle w:val="Subsection"/>
        <w:rPr>
          <w:snapToGrid w:val="0"/>
        </w:rPr>
      </w:pPr>
      <w:r>
        <w:rPr>
          <w:snapToGrid w:val="0"/>
        </w:rPr>
        <w:tab/>
        <w:t>(1)</w:t>
      </w:r>
      <w:r>
        <w:rPr>
          <w:snapToGrid w:val="0"/>
        </w:rPr>
        <w:tab/>
        <w:t xml:space="preserve">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w:t>
      </w:r>
      <w:r>
        <w:t>Chief Health Officer</w:t>
      </w:r>
      <w:r>
        <w:rPr>
          <w:snapToGrid w:val="0"/>
        </w:rPr>
        <w:t xml:space="preserve">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lastRenderedPageBreak/>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 xml:space="preserve">The local government or authorities shall forward such general plan and description to the </w:t>
      </w:r>
      <w:r>
        <w:t>Chief Health Officer</w:t>
      </w:r>
      <w:r>
        <w:rPr>
          <w:snapToGrid w:val="0"/>
        </w:rPr>
        <w:t xml:space="preserve">. The </w:t>
      </w:r>
      <w:r>
        <w:t>Chief Health Officer</w:t>
      </w:r>
      <w:r>
        <w:rPr>
          <w:snapToGrid w:val="0"/>
        </w:rPr>
        <w:t xml:space="preserve">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 xml:space="preserve">The local government or authorities concerned, shall, if required by the </w:t>
      </w:r>
      <w:r>
        <w:t>Chief Health Officer</w:t>
      </w:r>
      <w:r>
        <w:rPr>
          <w:snapToGrid w:val="0"/>
        </w:rPr>
        <w:t>,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No. 38 of 1933 s. 12 and 42; amended: No. 113 of 1965 s. 4(1); No. 28 of 1984 s. 45; No. 59 of 1991 s. 8; No. 14 of 1996 s. 4; No. 8 of 2009 s. 71(2); No. 19 of 2016 s. 100.]</w:t>
      </w:r>
    </w:p>
    <w:p>
      <w:pPr>
        <w:pStyle w:val="Heading5"/>
        <w:rPr>
          <w:snapToGrid w:val="0"/>
        </w:rPr>
      </w:pPr>
      <w:bookmarkStart w:id="57" w:name="_Toc98767818"/>
      <w:r>
        <w:rPr>
          <w:rStyle w:val="CharSectno"/>
        </w:rPr>
        <w:t>56</w:t>
      </w:r>
      <w:r>
        <w:rPr>
          <w:snapToGrid w:val="0"/>
        </w:rPr>
        <w:t>.</w:t>
      </w:r>
      <w:r>
        <w:rPr>
          <w:snapToGrid w:val="0"/>
        </w:rPr>
        <w:tab/>
        <w:t>Power to do acts preliminary to formulating scheme</w:t>
      </w:r>
      <w:bookmarkEnd w:id="57"/>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No. 38 of 1933 s. 13 and 42; amended: No. 14 of 1996 s. 4; No. 28 of 1996 s. 20.]</w:t>
      </w:r>
    </w:p>
    <w:p>
      <w:pPr>
        <w:pStyle w:val="Heading5"/>
        <w:keepNext w:val="0"/>
        <w:keepLines w:val="0"/>
        <w:rPr>
          <w:snapToGrid w:val="0"/>
        </w:rPr>
      </w:pPr>
      <w:bookmarkStart w:id="58" w:name="_Toc98767819"/>
      <w:r>
        <w:rPr>
          <w:rStyle w:val="CharSectno"/>
        </w:rPr>
        <w:t>57</w:t>
      </w:r>
      <w:r>
        <w:rPr>
          <w:snapToGrid w:val="0"/>
        </w:rPr>
        <w:t>.</w:t>
      </w:r>
      <w:r>
        <w:rPr>
          <w:snapToGrid w:val="0"/>
        </w:rPr>
        <w:tab/>
        <w:t>Notice of plans and specifications</w:t>
      </w:r>
      <w:bookmarkEnd w:id="58"/>
    </w:p>
    <w:p>
      <w:pPr>
        <w:pStyle w:val="Subsection"/>
        <w:rPr>
          <w:snapToGrid w:val="0"/>
        </w:rPr>
      </w:pPr>
      <w:r>
        <w:rPr>
          <w:snapToGrid w:val="0"/>
        </w:rPr>
        <w:tab/>
        <w:t>(1)</w:t>
      </w:r>
      <w:r>
        <w:rPr>
          <w:snapToGrid w:val="0"/>
        </w:rPr>
        <w:tab/>
        <w:t xml:space="preserve">A notice stating that the application and general plan and description have been forwarded to the </w:t>
      </w:r>
      <w:r>
        <w:t>Chief Health Officer</w:t>
      </w:r>
      <w:r>
        <w:rPr>
          <w:snapToGrid w:val="0"/>
        </w:rPr>
        <w:t xml:space="preserve">, and stating in what place copies of the general plan and description have been deposited for inspection, shall be given </w:t>
      </w:r>
      <w:r>
        <w:rPr>
          <w:snapToGrid w:val="0"/>
        </w:rPr>
        <w:lastRenderedPageBreak/>
        <w:t>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ind w:left="890" w:hanging="890"/>
      </w:pPr>
      <w:r>
        <w:tab/>
        <w:t>[Section 57 inserted: No. 38 of 1933 s. 14 and 42; amended: No. 28 of 1984 s. 45; No. 14 of 1996 s. 4; No. 19 of 2016 s. 100.]</w:t>
      </w:r>
    </w:p>
    <w:p>
      <w:pPr>
        <w:pStyle w:val="Heading5"/>
        <w:rPr>
          <w:snapToGrid w:val="0"/>
        </w:rPr>
      </w:pPr>
      <w:bookmarkStart w:id="59" w:name="_Toc98767820"/>
      <w:r>
        <w:rPr>
          <w:rStyle w:val="CharSectno"/>
        </w:rPr>
        <w:t>58</w:t>
      </w:r>
      <w:r>
        <w:rPr>
          <w:snapToGrid w:val="0"/>
        </w:rPr>
        <w:t>.</w:t>
      </w:r>
      <w:r>
        <w:rPr>
          <w:snapToGrid w:val="0"/>
        </w:rPr>
        <w:tab/>
        <w:t>Objections</w:t>
      </w:r>
      <w:bookmarkEnd w:id="59"/>
    </w:p>
    <w:p>
      <w:pPr>
        <w:pStyle w:val="Subsection"/>
        <w:spacing w:before="12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keepNext/>
        <w:spacing w:before="120"/>
        <w:rPr>
          <w:snapToGrid w:val="0"/>
        </w:rPr>
      </w:pPr>
      <w:r>
        <w:rPr>
          <w:snapToGrid w:val="0"/>
        </w:rPr>
        <w:tab/>
        <w:t>(2)</w:t>
      </w:r>
      <w:r>
        <w:rPr>
          <w:snapToGrid w:val="0"/>
        </w:rPr>
        <w:tab/>
        <w:t xml:space="preserve">Every execution of a petition other than by the common seal of a local government shall be verified by the statutory declaration of some person signing the petition, and no petition shall be </w:t>
      </w:r>
      <w:r>
        <w:rPr>
          <w:snapToGrid w:val="0"/>
        </w:rPr>
        <w:lastRenderedPageBreak/>
        <w:t>received by the Minister unless the same is accompanied by such declaration.</w:t>
      </w:r>
    </w:p>
    <w:p>
      <w:pPr>
        <w:pStyle w:val="Footnotesection"/>
        <w:ind w:left="890" w:hanging="890"/>
      </w:pPr>
      <w:r>
        <w:tab/>
        <w:t>[Section 58 inserted: No. 38 of 1933 s. 15 and 42; amended: No. 14 of 1996 s. 4.]</w:t>
      </w:r>
    </w:p>
    <w:p>
      <w:pPr>
        <w:pStyle w:val="Heading5"/>
        <w:rPr>
          <w:snapToGrid w:val="0"/>
          <w:spacing w:val="-4"/>
        </w:rPr>
      </w:pPr>
      <w:bookmarkStart w:id="60" w:name="_Toc98767821"/>
      <w:r>
        <w:rPr>
          <w:rStyle w:val="CharSectno"/>
        </w:rPr>
        <w:t>59</w:t>
      </w:r>
      <w:r>
        <w:rPr>
          <w:snapToGrid w:val="0"/>
        </w:rPr>
        <w:t>.</w:t>
      </w:r>
      <w:r>
        <w:rPr>
          <w:snapToGrid w:val="0"/>
        </w:rPr>
        <w:tab/>
      </w:r>
      <w:r>
        <w:rPr>
          <w:snapToGrid w:val="0"/>
          <w:spacing w:val="-4"/>
        </w:rPr>
        <w:t>Copies of plans and specifications to be available for inspection</w:t>
      </w:r>
      <w:bookmarkEnd w:id="60"/>
    </w:p>
    <w:p>
      <w:pPr>
        <w:pStyle w:val="Subsection"/>
        <w:rPr>
          <w:snapToGrid w:val="0"/>
        </w:rPr>
      </w:pPr>
      <w:r>
        <w:rPr>
          <w:snapToGrid w:val="0"/>
        </w:rPr>
        <w:tab/>
      </w:r>
      <w:r>
        <w:rPr>
          <w:snapToGrid w:val="0"/>
        </w:rPr>
        <w:tab/>
        <w:t xml:space="preserve">A true copy of the application, and of the general plan and description forwarded to the </w:t>
      </w:r>
      <w:r>
        <w:t>Chief Health Officer</w:t>
      </w:r>
      <w:r>
        <w:rPr>
          <w:snapToGrid w:val="0"/>
        </w:rPr>
        <w:t xml:space="preserve">, shall be deposited for the inspection, without payment, of any person who desires to inspect the same, at the office of the local government and also at the office of the </w:t>
      </w:r>
      <w:r>
        <w:t>Chief Health Officer</w:t>
      </w:r>
      <w:r>
        <w:rPr>
          <w:snapToGrid w:val="0"/>
        </w:rPr>
        <w:t>.</w:t>
      </w:r>
    </w:p>
    <w:p>
      <w:pPr>
        <w:pStyle w:val="Footnotesection"/>
      </w:pPr>
      <w:r>
        <w:tab/>
        <w:t>[Section 59 inserted: No. 38 of 1933 s. 16 and 42; amended: No. 28 of 1984 s. 45; No. 14 of 1996 s. 4; No. 19 of 2016 s. 100.]</w:t>
      </w:r>
    </w:p>
    <w:p>
      <w:pPr>
        <w:pStyle w:val="Heading5"/>
        <w:spacing w:before="180"/>
        <w:rPr>
          <w:snapToGrid w:val="0"/>
        </w:rPr>
      </w:pPr>
      <w:bookmarkStart w:id="61" w:name="_Toc98767822"/>
      <w:r>
        <w:rPr>
          <w:rStyle w:val="CharSectno"/>
        </w:rPr>
        <w:t>60</w:t>
      </w:r>
      <w:r>
        <w:rPr>
          <w:snapToGrid w:val="0"/>
        </w:rPr>
        <w:t>.</w:t>
      </w:r>
      <w:r>
        <w:rPr>
          <w:snapToGrid w:val="0"/>
        </w:rPr>
        <w:tab/>
        <w:t>Conditions on which Minister may recommend scheme to Governor</w:t>
      </w:r>
      <w:bookmarkEnd w:id="61"/>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keepNext/>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w:t>
      </w:r>
      <w:r>
        <w:rPr>
          <w:snapToGrid w:val="0"/>
        </w:rPr>
        <w:lastRenderedPageBreak/>
        <w:t xml:space="preserve">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No. 38 of 1933 s. 17 and 42; amended: No. 16 of 1935 s. 3; No. 14 of 1996 s. 4.]</w:t>
      </w:r>
    </w:p>
    <w:p>
      <w:pPr>
        <w:pStyle w:val="Heading5"/>
        <w:rPr>
          <w:snapToGrid w:val="0"/>
        </w:rPr>
      </w:pPr>
      <w:bookmarkStart w:id="62" w:name="_Toc98767823"/>
      <w:r>
        <w:rPr>
          <w:rStyle w:val="CharSectno"/>
        </w:rPr>
        <w:t>61</w:t>
      </w:r>
      <w:r>
        <w:rPr>
          <w:snapToGrid w:val="0"/>
        </w:rPr>
        <w:t>.</w:t>
      </w:r>
      <w:r>
        <w:rPr>
          <w:snapToGrid w:val="0"/>
        </w:rPr>
        <w:tab/>
        <w:t>Apportionment of costs and maintenance of joint schemes</w:t>
      </w:r>
      <w:bookmarkEnd w:id="62"/>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No. 38 of 1933 s. 18 and 42; amended: No. 14 of 1996 s. 4.]</w:t>
      </w:r>
    </w:p>
    <w:p>
      <w:pPr>
        <w:pStyle w:val="Heading5"/>
        <w:rPr>
          <w:snapToGrid w:val="0"/>
        </w:rPr>
      </w:pPr>
      <w:bookmarkStart w:id="63" w:name="_Toc98767824"/>
      <w:r>
        <w:rPr>
          <w:rStyle w:val="CharSectno"/>
        </w:rPr>
        <w:t>62</w:t>
      </w:r>
      <w:r>
        <w:rPr>
          <w:snapToGrid w:val="0"/>
        </w:rPr>
        <w:t>.</w:t>
      </w:r>
      <w:r>
        <w:rPr>
          <w:snapToGrid w:val="0"/>
        </w:rPr>
        <w:tab/>
        <w:t>Powers of local government in carrying out works</w:t>
      </w:r>
      <w:bookmarkEnd w:id="63"/>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lastRenderedPageBreak/>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0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w:t>
      </w:r>
      <w:r>
        <w:rPr>
          <w:snapToGrid w:val="0"/>
        </w:rPr>
        <w:lastRenderedPageBreak/>
        <w:t xml:space="preserve">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No. 38 of 1933 s. 19 and 42; amended: No. 14 of 1996 s. 4; No. 31 of 1997 s. 32(1); No. 55 of 2004 s. 481.]</w:t>
      </w:r>
    </w:p>
    <w:p>
      <w:pPr>
        <w:pStyle w:val="MiscellaneousHeading"/>
        <w:keepNext w:val="0"/>
        <w:spacing w:before="120"/>
        <w:outlineLvl w:val="0"/>
        <w:rPr>
          <w:i/>
          <w:snapToGrid w:val="0"/>
        </w:rPr>
      </w:pPr>
      <w:r>
        <w:rPr>
          <w:i/>
          <w:snapToGrid w:val="0"/>
        </w:rPr>
        <w:t>Limited or party schemes</w:t>
      </w:r>
    </w:p>
    <w:p>
      <w:pPr>
        <w:pStyle w:val="Footnoteheading"/>
        <w:keepNext/>
        <w:keepLines/>
        <w:spacing w:before="140"/>
        <w:ind w:left="890" w:hanging="890"/>
        <w:rPr>
          <w:snapToGrid w:val="0"/>
        </w:rPr>
      </w:pPr>
      <w:r>
        <w:rPr>
          <w:snapToGrid w:val="0"/>
        </w:rPr>
        <w:tab/>
        <w:t>[Heading inserted: No. 38 of 1933 s. 19.]</w:t>
      </w:r>
    </w:p>
    <w:p>
      <w:pPr>
        <w:pStyle w:val="Heading5"/>
        <w:spacing w:before="120"/>
        <w:rPr>
          <w:snapToGrid w:val="0"/>
        </w:rPr>
      </w:pPr>
      <w:bookmarkStart w:id="64" w:name="_Toc98767825"/>
      <w:r>
        <w:rPr>
          <w:rStyle w:val="CharSectno"/>
        </w:rPr>
        <w:t>63</w:t>
      </w:r>
      <w:r>
        <w:rPr>
          <w:snapToGrid w:val="0"/>
        </w:rPr>
        <w:t>.</w:t>
      </w:r>
      <w:r>
        <w:rPr>
          <w:snapToGrid w:val="0"/>
        </w:rPr>
        <w:tab/>
        <w:t>Recovery of cost of limited schemes from owners of premises served</w:t>
      </w:r>
      <w:bookmarkEnd w:id="64"/>
    </w:p>
    <w:p>
      <w:pPr>
        <w:pStyle w:val="Subsection"/>
        <w:spacing w:before="100"/>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spacing w:before="140"/>
        <w:ind w:left="890" w:hanging="890"/>
      </w:pPr>
      <w:r>
        <w:tab/>
        <w:t>[Section 63 inserted: No. 38 of 1933 s. 20 and 42; amended: No. 14 of 1996 s. 4; No. 55 of 2004 s. 482.]</w:t>
      </w:r>
    </w:p>
    <w:p>
      <w:pPr>
        <w:pStyle w:val="Heading5"/>
        <w:spacing w:before="240"/>
        <w:rPr>
          <w:snapToGrid w:val="0"/>
        </w:rPr>
      </w:pPr>
      <w:bookmarkStart w:id="65" w:name="_Toc98767826"/>
      <w:r>
        <w:rPr>
          <w:rStyle w:val="CharSectno"/>
        </w:rPr>
        <w:t>63A</w:t>
      </w:r>
      <w:r>
        <w:rPr>
          <w:snapToGrid w:val="0"/>
        </w:rPr>
        <w:t xml:space="preserve">. </w:t>
      </w:r>
      <w:r>
        <w:rPr>
          <w:snapToGrid w:val="0"/>
        </w:rPr>
        <w:tab/>
        <w:t>Interpretation</w:t>
      </w:r>
      <w:bookmarkEnd w:id="65"/>
    </w:p>
    <w:p>
      <w:pPr>
        <w:pStyle w:val="Subsection"/>
        <w:spacing w:before="180"/>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w:t>
      </w:r>
      <w:r>
        <w:rPr>
          <w:snapToGrid w:val="0"/>
        </w:rPr>
        <w:lastRenderedPageBreak/>
        <w:t>government, are sewerage or drainage works, or is a sewer, carried out by or constructed by the local government for the purposes of those sections, notwithstanding that those works or that sewer are or is connected to a sewer or drain vested in a</w:t>
      </w:r>
      <w:r>
        <w:t xml:space="preserve"> licensee as defined in the </w:t>
      </w:r>
      <w:r>
        <w:rPr>
          <w:i/>
          <w:iCs/>
        </w:rPr>
        <w:t xml:space="preserve">Water Services Act 2012 </w:t>
      </w:r>
      <w:r>
        <w:t xml:space="preserve">section 3(1) </w:t>
      </w:r>
      <w:r>
        <w:rPr>
          <w:snapToGrid w:val="0"/>
        </w:rPr>
        <w:t>and notwithstanding that the works or the sewer may not have been actually carried out or constructed by the local government.</w:t>
      </w:r>
    </w:p>
    <w:p>
      <w:pPr>
        <w:pStyle w:val="Footnotesection"/>
        <w:keepLines w:val="0"/>
        <w:spacing w:line="200" w:lineRule="atLeast"/>
        <w:ind w:left="890" w:hanging="890"/>
      </w:pPr>
      <w:r>
        <w:tab/>
        <w:t>[Section 63A inserted: No. 52 of 1968 s. 2; amended: No. 73 of 1995 s. 188; No. 14 of 1996 s. 4; No. 25 of 2012 s. 216.]</w:t>
      </w:r>
    </w:p>
    <w:p>
      <w:pPr>
        <w:pStyle w:val="Heading5"/>
        <w:spacing w:before="180"/>
        <w:rPr>
          <w:snapToGrid w:val="0"/>
        </w:rPr>
      </w:pPr>
      <w:bookmarkStart w:id="66" w:name="_Toc98767827"/>
      <w:r>
        <w:rPr>
          <w:rStyle w:val="CharSectno"/>
        </w:rPr>
        <w:t>64</w:t>
      </w:r>
      <w:r>
        <w:rPr>
          <w:snapToGrid w:val="0"/>
        </w:rPr>
        <w:t>.</w:t>
      </w:r>
      <w:r>
        <w:rPr>
          <w:snapToGrid w:val="0"/>
        </w:rPr>
        <w:tab/>
        <w:t>Agreements for recouping costs and paying maintenance in case of limited schemes</w:t>
      </w:r>
      <w:bookmarkEnd w:id="66"/>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rPr>
          <w:snapToGrid w:val="0"/>
        </w:rPr>
      </w:pPr>
      <w:r>
        <w:rPr>
          <w:snapToGrid w:val="0"/>
        </w:rPr>
        <w:lastRenderedPageBreak/>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rPr>
        <w:t>Commercial Arbitration Act 2012</w:t>
      </w:r>
      <w: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rPr>
        <w:t>Commercial Arbitration Act 2012</w:t>
      </w:r>
      <w:r>
        <w:rPr>
          <w:snapToGrid w:val="0"/>
        </w:rPr>
        <w:t>, shall apply as if the parties had agreed to a reference of such question.</w:t>
      </w:r>
    </w:p>
    <w:p>
      <w:pPr>
        <w:pStyle w:val="Subsection"/>
        <w:keepLines/>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lastRenderedPageBreak/>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spacing w:after="240"/>
        <w:ind w:left="890" w:hanging="890"/>
      </w:pPr>
      <w:r>
        <w:tab/>
        <w:t>[Section 64 inserted: No. 38 of 1933 s. 21 and 42; amended: No. 16 of 1935 s. 4; No. 109 of 1985 s. 3(1); No. 14 of 1996 s. 4; No. 23 of 2012 s. 45.]</w:t>
      </w:r>
    </w:p>
    <w:p>
      <w:pPr>
        <w:pStyle w:val="Heading5"/>
        <w:spacing w:before="180"/>
        <w:rPr>
          <w:snapToGrid w:val="0"/>
        </w:rPr>
      </w:pPr>
      <w:bookmarkStart w:id="67" w:name="_Toc98767828"/>
      <w:r>
        <w:rPr>
          <w:rStyle w:val="CharSectno"/>
        </w:rPr>
        <w:t>65</w:t>
      </w:r>
      <w:r>
        <w:rPr>
          <w:snapToGrid w:val="0"/>
        </w:rPr>
        <w:t>.</w:t>
      </w:r>
      <w:r>
        <w:rPr>
          <w:snapToGrid w:val="0"/>
        </w:rPr>
        <w:tab/>
        <w:t>Power to acquire land</w:t>
      </w:r>
      <w:bookmarkEnd w:id="67"/>
    </w:p>
    <w:p>
      <w:pPr>
        <w:pStyle w:val="Subsection"/>
        <w:spacing w:before="180"/>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spacing w:before="180"/>
        <w:rPr>
          <w:snapToGrid w:val="0"/>
        </w:rPr>
      </w:pPr>
      <w:r>
        <w:rPr>
          <w:snapToGrid w:val="0"/>
        </w:rPr>
        <w:lastRenderedPageBreak/>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spacing w:before="80"/>
        <w:ind w:left="890" w:hanging="890"/>
      </w:pPr>
      <w:r>
        <w:tab/>
        <w:t>[Section 65 inserted: No. 38 of 1933 s. 22 and 42; amended: No. 14 of 1996 s. 4; No. 31 of 1997 s. 142.]</w:t>
      </w:r>
    </w:p>
    <w:p>
      <w:pPr>
        <w:pStyle w:val="Heading5"/>
        <w:rPr>
          <w:snapToGrid w:val="0"/>
        </w:rPr>
      </w:pPr>
      <w:bookmarkStart w:id="68" w:name="_Toc98767829"/>
      <w:r>
        <w:rPr>
          <w:rStyle w:val="CharSectno"/>
        </w:rPr>
        <w:t>66</w:t>
      </w:r>
      <w:r>
        <w:rPr>
          <w:snapToGrid w:val="0"/>
        </w:rPr>
        <w:t>.</w:t>
      </w:r>
      <w:r>
        <w:rPr>
          <w:snapToGrid w:val="0"/>
        </w:rPr>
        <w:tab/>
        <w:t>Duty of local government where street broken up</w:t>
      </w:r>
      <w:bookmarkEnd w:id="68"/>
    </w:p>
    <w:p>
      <w:pPr>
        <w:pStyle w:val="Subsection"/>
        <w:spacing w:before="180"/>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ind w:left="890" w:hanging="890"/>
      </w:pPr>
      <w:r>
        <w:tab/>
        <w:t>[Section 66 inserted: No. 38 of 1933 s. 23 and 42; amended: No. 14 of 1996 s. 4.]</w:t>
      </w:r>
    </w:p>
    <w:p>
      <w:pPr>
        <w:pStyle w:val="Heading5"/>
        <w:rPr>
          <w:snapToGrid w:val="0"/>
        </w:rPr>
      </w:pPr>
      <w:bookmarkStart w:id="69" w:name="_Toc98767830"/>
      <w:r>
        <w:rPr>
          <w:rStyle w:val="CharSectno"/>
        </w:rPr>
        <w:t>67</w:t>
      </w:r>
      <w:r>
        <w:rPr>
          <w:snapToGrid w:val="0"/>
        </w:rPr>
        <w:t>.</w:t>
      </w:r>
      <w:r>
        <w:rPr>
          <w:snapToGrid w:val="0"/>
        </w:rPr>
        <w:tab/>
        <w:t>Interfering with works of other authorities</w:t>
      </w:r>
      <w:bookmarkEnd w:id="69"/>
    </w:p>
    <w:p>
      <w:pPr>
        <w:pStyle w:val="Subsection"/>
        <w:spacing w:before="180"/>
        <w:rPr>
          <w:snapToGrid w:val="0"/>
        </w:rPr>
      </w:pPr>
      <w:r>
        <w:rPr>
          <w:snapToGrid w:val="0"/>
        </w:rPr>
        <w:tab/>
      </w:r>
      <w:r>
        <w:rPr>
          <w:snapToGrid w:val="0"/>
        </w:rPr>
        <w:tab/>
        <w:t xml:space="preserve">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w:t>
      </w:r>
      <w:r>
        <w:rPr>
          <w:snapToGrid w:val="0"/>
        </w:rPr>
        <w:lastRenderedPageBreak/>
        <w:t>complied with, the local government may make the alterations required.</w:t>
      </w:r>
    </w:p>
    <w:p>
      <w:pPr>
        <w:pStyle w:val="Footnotesection"/>
        <w:ind w:left="890" w:hanging="890"/>
      </w:pPr>
      <w:r>
        <w:tab/>
        <w:t>[Section 67 inserted: No. 38 of 1933 s. 24 and 42; amended: No. 14 of 1996 s. 4.]</w:t>
      </w:r>
    </w:p>
    <w:p>
      <w:pPr>
        <w:pStyle w:val="Heading5"/>
        <w:rPr>
          <w:snapToGrid w:val="0"/>
        </w:rPr>
      </w:pPr>
      <w:bookmarkStart w:id="70" w:name="_Toc98767831"/>
      <w:r>
        <w:rPr>
          <w:rStyle w:val="CharSectno"/>
        </w:rPr>
        <w:t>68</w:t>
      </w:r>
      <w:r>
        <w:rPr>
          <w:snapToGrid w:val="0"/>
        </w:rPr>
        <w:t>.</w:t>
      </w:r>
      <w:r>
        <w:rPr>
          <w:snapToGrid w:val="0"/>
        </w:rPr>
        <w:tab/>
        <w:t>Alteration of sewerage works</w:t>
      </w:r>
      <w:bookmarkEnd w:id="70"/>
    </w:p>
    <w:p>
      <w:pPr>
        <w:pStyle w:val="Subsection"/>
        <w:spacing w:before="180"/>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No. 38 of 1933 s. 25 and 42; amended: No. 14 of 1996 s. 4.]</w:t>
      </w:r>
    </w:p>
    <w:p>
      <w:pPr>
        <w:pStyle w:val="Heading5"/>
        <w:rPr>
          <w:snapToGrid w:val="0"/>
        </w:rPr>
      </w:pPr>
      <w:bookmarkStart w:id="71" w:name="_Toc98767832"/>
      <w:r>
        <w:rPr>
          <w:rStyle w:val="CharSectno"/>
        </w:rPr>
        <w:t>69</w:t>
      </w:r>
      <w:r>
        <w:rPr>
          <w:snapToGrid w:val="0"/>
        </w:rPr>
        <w:t>.</w:t>
      </w:r>
      <w:r>
        <w:rPr>
          <w:snapToGrid w:val="0"/>
        </w:rPr>
        <w:tab/>
        <w:t>Ventilating shafts etc. may be attached to walls and buildings</w:t>
      </w:r>
      <w:bookmarkEnd w:id="71"/>
    </w:p>
    <w:p>
      <w:pPr>
        <w:pStyle w:val="Subsection"/>
        <w:spacing w:before="180"/>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 higher than any window or door situated at a distance of 9 m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No. 38 of 1933 s. 26 and 42; amended: No. 94 of 1972 s. 4(1) (as amended: No. 83 of 1973 s. 3); No. 14 of 1996 s. 4.]</w:t>
      </w:r>
    </w:p>
    <w:p>
      <w:pPr>
        <w:pStyle w:val="Heading5"/>
        <w:spacing w:before="180"/>
        <w:rPr>
          <w:snapToGrid w:val="0"/>
        </w:rPr>
      </w:pPr>
      <w:bookmarkStart w:id="72" w:name="_Toc98767833"/>
      <w:r>
        <w:rPr>
          <w:rStyle w:val="CharSectno"/>
        </w:rPr>
        <w:lastRenderedPageBreak/>
        <w:t>70</w:t>
      </w:r>
      <w:r>
        <w:rPr>
          <w:snapToGrid w:val="0"/>
        </w:rPr>
        <w:t>.</w:t>
      </w:r>
      <w:r>
        <w:rPr>
          <w:snapToGrid w:val="0"/>
        </w:rPr>
        <w:tab/>
        <w:t>Maps of systems to be kept</w:t>
      </w:r>
      <w:bookmarkEnd w:id="72"/>
    </w:p>
    <w:p>
      <w:pPr>
        <w:pStyle w:val="Subsection"/>
        <w:spacing w:before="120"/>
        <w:rPr>
          <w:snapToGrid w:val="0"/>
        </w:rPr>
      </w:pPr>
      <w:r>
        <w:rPr>
          <w:snapToGrid w:val="0"/>
        </w:rPr>
        <w:tab/>
      </w:r>
      <w:r>
        <w:rPr>
          <w:snapToGrid w:val="0"/>
        </w:rPr>
        <w:tab/>
        <w:t xml:space="preserve">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w:t>
      </w:r>
      <w:r>
        <w:t>Chief Health Officer</w:t>
      </w:r>
      <w:r>
        <w:rPr>
          <w:snapToGrid w:val="0"/>
        </w:rPr>
        <w:t>,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No. 38 of 1933 s. 27 and 42; amended: No. 28 of 1984 s. 45; No. 14 of 1996 s. 4; No. 19 of 2016 s. 100.]</w:t>
      </w:r>
    </w:p>
    <w:p>
      <w:pPr>
        <w:pStyle w:val="Heading5"/>
        <w:rPr>
          <w:snapToGrid w:val="0"/>
        </w:rPr>
      </w:pPr>
      <w:bookmarkStart w:id="73" w:name="_Toc98767834"/>
      <w:r>
        <w:rPr>
          <w:rStyle w:val="CharSectno"/>
        </w:rPr>
        <w:t>71</w:t>
      </w:r>
      <w:r>
        <w:rPr>
          <w:snapToGrid w:val="0"/>
        </w:rPr>
        <w:t>.</w:t>
      </w:r>
      <w:r>
        <w:rPr>
          <w:snapToGrid w:val="0"/>
        </w:rPr>
        <w:tab/>
        <w:t>Sewers to be kept cleansed</w:t>
      </w:r>
      <w:bookmarkEnd w:id="73"/>
    </w:p>
    <w:p>
      <w:pPr>
        <w:pStyle w:val="Subsection"/>
        <w:spacing w:before="1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No. 38 of 1933 s. 28 and 42; amended: No. 14 of 1996 s. 4.]</w:t>
      </w:r>
    </w:p>
    <w:p>
      <w:pPr>
        <w:pStyle w:val="Heading3"/>
        <w:spacing w:before="280"/>
        <w:rPr>
          <w:snapToGrid w:val="0"/>
        </w:rPr>
      </w:pPr>
      <w:bookmarkStart w:id="74" w:name="_Toc98504106"/>
      <w:bookmarkStart w:id="75" w:name="_Toc98504437"/>
      <w:bookmarkStart w:id="76" w:name="_Toc98767835"/>
      <w:r>
        <w:rPr>
          <w:rStyle w:val="CharDivNo"/>
        </w:rPr>
        <w:lastRenderedPageBreak/>
        <w:t>Division 2</w:t>
      </w:r>
      <w:r>
        <w:rPr>
          <w:snapToGrid w:val="0"/>
        </w:rPr>
        <w:t> — </w:t>
      </w:r>
      <w:r>
        <w:rPr>
          <w:rStyle w:val="CharDivText"/>
        </w:rPr>
        <w:t>Connection of premises to drains and sewers of local government</w:t>
      </w:r>
      <w:bookmarkEnd w:id="74"/>
      <w:bookmarkEnd w:id="75"/>
      <w:bookmarkEnd w:id="76"/>
    </w:p>
    <w:p>
      <w:pPr>
        <w:pStyle w:val="Footnoteheading"/>
        <w:keepNext/>
        <w:keepLines/>
        <w:tabs>
          <w:tab w:val="clear" w:pos="879"/>
          <w:tab w:val="left" w:pos="890"/>
        </w:tabs>
        <w:ind w:left="890" w:hanging="890"/>
      </w:pPr>
      <w:r>
        <w:tab/>
        <w:t>[Heading inserted: No. 38 of 1933 s. 42; amended: No. 14 of 1996 s. 4.]</w:t>
      </w:r>
    </w:p>
    <w:p>
      <w:pPr>
        <w:pStyle w:val="Heading5"/>
        <w:keepNext w:val="0"/>
        <w:keepLines w:val="0"/>
        <w:rPr>
          <w:snapToGrid w:val="0"/>
        </w:rPr>
      </w:pPr>
      <w:bookmarkStart w:id="77" w:name="_Toc98767836"/>
      <w:r>
        <w:rPr>
          <w:rStyle w:val="CharSectno"/>
        </w:rPr>
        <w:t>72</w:t>
      </w:r>
      <w:r>
        <w:rPr>
          <w:snapToGrid w:val="0"/>
        </w:rPr>
        <w:t>.</w:t>
      </w:r>
      <w:r>
        <w:rPr>
          <w:snapToGrid w:val="0"/>
        </w:rPr>
        <w:tab/>
        <w:t>Owners or occupiers may be compelled to connect premises when works complete</w:t>
      </w:r>
      <w:bookmarkEnd w:id="77"/>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No. 38 of 1933 s. 29 and 42; amended: No. 14 of 1996 s. 4.]</w:t>
      </w:r>
    </w:p>
    <w:p>
      <w:pPr>
        <w:pStyle w:val="Heading5"/>
        <w:rPr>
          <w:snapToGrid w:val="0"/>
        </w:rPr>
      </w:pPr>
      <w:bookmarkStart w:id="78" w:name="_Toc98767837"/>
      <w:r>
        <w:rPr>
          <w:rStyle w:val="CharSectno"/>
        </w:rPr>
        <w:t>73</w:t>
      </w:r>
      <w:r>
        <w:rPr>
          <w:snapToGrid w:val="0"/>
        </w:rPr>
        <w:t>.</w:t>
      </w:r>
      <w:r>
        <w:rPr>
          <w:snapToGrid w:val="0"/>
        </w:rPr>
        <w:tab/>
        <w:t>Notice to owner or occupier to carry out installation of fittings</w:t>
      </w:r>
      <w:bookmarkEnd w:id="78"/>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 xml:space="preserve">If the same shall not be constructed within such time or according to such plans and directions as the local government shall think proper, the local government may construct and attach the same, and for that purpose may enter into or upon the </w:t>
      </w:r>
      <w:r>
        <w:rPr>
          <w:snapToGrid w:val="0"/>
        </w:rPr>
        <w:lastRenderedPageBreak/>
        <w:t>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No. 38 of 1933 s. 30 and 42; amended: No. 14 of 1996 s. 4.]</w:t>
      </w:r>
    </w:p>
    <w:p>
      <w:pPr>
        <w:pStyle w:val="Heading5"/>
        <w:spacing w:before="180"/>
        <w:rPr>
          <w:snapToGrid w:val="0"/>
        </w:rPr>
      </w:pPr>
      <w:bookmarkStart w:id="79" w:name="_Toc98767838"/>
      <w:r>
        <w:rPr>
          <w:rStyle w:val="CharSectno"/>
        </w:rPr>
        <w:t>74</w:t>
      </w:r>
      <w:r>
        <w:rPr>
          <w:snapToGrid w:val="0"/>
        </w:rPr>
        <w:t>.</w:t>
      </w:r>
      <w:r>
        <w:rPr>
          <w:snapToGrid w:val="0"/>
        </w:rPr>
        <w:tab/>
        <w:t>Where local government makes installations it may enter into agreements with persons responsible for payment of cost</w:t>
      </w:r>
      <w:bookmarkEnd w:id="79"/>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 xml:space="preserve">Interest from time to time on the amount remaining, to be paid at such rate per centum per annum, not exceeding by more </w:t>
      </w:r>
      <w:r>
        <w:rPr>
          <w:snapToGrid w:val="0"/>
        </w:rPr>
        <w:lastRenderedPageBreak/>
        <w:t>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No. 38 of 1933 s. 31 and 42; amended: No. 16 of 1935 s. 5; No. 14 of 1996 s. 4.]</w:t>
      </w:r>
    </w:p>
    <w:p>
      <w:pPr>
        <w:pStyle w:val="Heading5"/>
        <w:spacing w:before="180"/>
        <w:rPr>
          <w:snapToGrid w:val="0"/>
        </w:rPr>
      </w:pPr>
      <w:bookmarkStart w:id="80" w:name="_Toc98767839"/>
      <w:r>
        <w:rPr>
          <w:rStyle w:val="CharSectno"/>
        </w:rPr>
        <w:t>75</w:t>
      </w:r>
      <w:r>
        <w:rPr>
          <w:snapToGrid w:val="0"/>
        </w:rPr>
        <w:t>.</w:t>
      </w:r>
      <w:r>
        <w:rPr>
          <w:snapToGrid w:val="0"/>
        </w:rPr>
        <w:tab/>
        <w:t>Right of owner or occupier to connect drains with sewer</w:t>
      </w:r>
      <w:bookmarkEnd w:id="80"/>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No. 38 of 1933 s. 32 and 42; amended: No. 14 of 1996 s. 4.]</w:t>
      </w:r>
    </w:p>
    <w:p>
      <w:pPr>
        <w:pStyle w:val="Heading5"/>
        <w:spacing w:before="180"/>
        <w:rPr>
          <w:snapToGrid w:val="0"/>
        </w:rPr>
      </w:pPr>
      <w:bookmarkStart w:id="81" w:name="_Toc98767840"/>
      <w:r>
        <w:rPr>
          <w:rStyle w:val="CharSectno"/>
        </w:rPr>
        <w:t>76</w:t>
      </w:r>
      <w:r>
        <w:rPr>
          <w:snapToGrid w:val="0"/>
        </w:rPr>
        <w:t>.</w:t>
      </w:r>
      <w:r>
        <w:rPr>
          <w:snapToGrid w:val="0"/>
        </w:rPr>
        <w:tab/>
        <w:t>Owner or occupier of land outside district may connect sewer on conditions imposed by local government</w:t>
      </w:r>
      <w:bookmarkEnd w:id="81"/>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spacing w:before="80"/>
        <w:ind w:left="890" w:hanging="890"/>
      </w:pPr>
      <w:r>
        <w:tab/>
        <w:t>[Section 76 inserted: No. 38 of 1933 s. 33 and 42; amended: No. 14 of 1996 s. 4.]</w:t>
      </w:r>
    </w:p>
    <w:p>
      <w:pPr>
        <w:pStyle w:val="Heading5"/>
        <w:spacing w:before="180"/>
        <w:rPr>
          <w:snapToGrid w:val="0"/>
        </w:rPr>
      </w:pPr>
      <w:bookmarkStart w:id="82" w:name="_Toc98767841"/>
      <w:r>
        <w:rPr>
          <w:rStyle w:val="CharSectno"/>
        </w:rPr>
        <w:lastRenderedPageBreak/>
        <w:t>77</w:t>
      </w:r>
      <w:r>
        <w:rPr>
          <w:snapToGrid w:val="0"/>
        </w:rPr>
        <w:t>.</w:t>
      </w:r>
      <w:r>
        <w:rPr>
          <w:snapToGrid w:val="0"/>
        </w:rPr>
        <w:tab/>
        <w:t>Restrictions on construction or alteration of certain drains and fittings</w:t>
      </w:r>
      <w:bookmarkEnd w:id="82"/>
    </w:p>
    <w:p>
      <w:pPr>
        <w:pStyle w:val="Subsection"/>
        <w:rPr>
          <w:snapToGrid w:val="0"/>
        </w:rPr>
      </w:pPr>
      <w:r>
        <w:rPr>
          <w:snapToGrid w:val="0"/>
        </w:rPr>
        <w:tab/>
      </w:r>
      <w:r>
        <w:rPr>
          <w:snapToGrid w:val="0"/>
        </w:rPr>
        <w:tab/>
        <w:t>A person who constructs or alters any drain or fitting connected with a sewer —</w:t>
      </w:r>
    </w:p>
    <w:p>
      <w:pPr>
        <w:pStyle w:val="Indenta"/>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rPr>
          <w:snapToGrid w:val="0"/>
        </w:rPr>
      </w:pPr>
      <w:r>
        <w:rPr>
          <w:snapToGrid w:val="0"/>
        </w:rPr>
        <w:tab/>
        <w:t>(b)</w:t>
      </w:r>
      <w:r>
        <w:rPr>
          <w:snapToGrid w:val="0"/>
        </w:rPr>
        <w:tab/>
        <w:t>otherwise than in accordance with —</w:t>
      </w:r>
    </w:p>
    <w:p>
      <w:pPr>
        <w:pStyle w:val="Indenti"/>
        <w:rPr>
          <w:snapToGrid w:val="0"/>
        </w:rPr>
      </w:pPr>
      <w:r>
        <w:rPr>
          <w:snapToGrid w:val="0"/>
        </w:rPr>
        <w:tab/>
        <w:t>(i)</w:t>
      </w:r>
      <w:r>
        <w:rPr>
          <w:snapToGrid w:val="0"/>
        </w:rPr>
        <w:tab/>
        <w:t>the conditions laid down in the local laws of the local government; and</w:t>
      </w:r>
    </w:p>
    <w:p>
      <w:pPr>
        <w:pStyle w:val="Indenti"/>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No. 80 of 1987 s. 5; amended: No. 14 of 1996 s. 4.]</w:t>
      </w:r>
    </w:p>
    <w:p>
      <w:pPr>
        <w:pStyle w:val="Heading5"/>
        <w:spacing w:before="180"/>
        <w:rPr>
          <w:snapToGrid w:val="0"/>
        </w:rPr>
      </w:pPr>
      <w:bookmarkStart w:id="83" w:name="_Toc98767842"/>
      <w:r>
        <w:rPr>
          <w:rStyle w:val="CharSectno"/>
        </w:rPr>
        <w:t>78</w:t>
      </w:r>
      <w:r>
        <w:rPr>
          <w:snapToGrid w:val="0"/>
        </w:rPr>
        <w:t>.</w:t>
      </w:r>
      <w:r>
        <w:rPr>
          <w:snapToGrid w:val="0"/>
        </w:rPr>
        <w:tab/>
        <w:t>Owner or occupier responsible for cleaning private drains</w:t>
      </w:r>
      <w:bookmarkEnd w:id="83"/>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keepNext/>
        <w:rPr>
          <w:snapToGrid w:val="0"/>
        </w:rPr>
      </w:pPr>
      <w:r>
        <w:rPr>
          <w:snapToGrid w:val="0"/>
        </w:rPr>
        <w:tab/>
        <w:t>(b)</w:t>
      </w:r>
      <w:r>
        <w:rPr>
          <w:snapToGrid w:val="0"/>
        </w:rPr>
        <w:tab/>
        <w:t xml:space="preserve">gives him a direction in respect of the repair or cleansing of a drain or fitting referred to in that subsection, does </w:t>
      </w:r>
      <w:r>
        <w:rPr>
          <w:snapToGrid w:val="0"/>
        </w:rPr>
        <w:lastRenderedPageBreak/>
        <w:t>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ind w:left="890" w:hanging="890"/>
      </w:pPr>
      <w:r>
        <w:tab/>
        <w:t>[Section 78 inserted: No. 38 of 1933 s. 35 and 42; amended: No. 113 of 1965 s. 8(1); No. 80 of 1987 s. 6; No. 14 of 1996 s. 4.]</w:t>
      </w:r>
    </w:p>
    <w:p>
      <w:pPr>
        <w:pStyle w:val="Heading5"/>
        <w:rPr>
          <w:snapToGrid w:val="0"/>
        </w:rPr>
      </w:pPr>
      <w:bookmarkStart w:id="84" w:name="_Toc98767843"/>
      <w:r>
        <w:rPr>
          <w:rStyle w:val="CharSectno"/>
        </w:rPr>
        <w:t>79</w:t>
      </w:r>
      <w:r>
        <w:rPr>
          <w:snapToGrid w:val="0"/>
        </w:rPr>
        <w:t>.</w:t>
      </w:r>
      <w:r>
        <w:rPr>
          <w:snapToGrid w:val="0"/>
        </w:rPr>
        <w:tab/>
        <w:t>Obstructing or encroaching on sewers</w:t>
      </w:r>
      <w:bookmarkEnd w:id="84"/>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No. 38 of 1933 s. 36 and 42; amended: No. 113 of 1965 s. 8(1); No. 80 of 1987 s. 7; No. 14 of 1996 s. 4.]</w:t>
      </w:r>
    </w:p>
    <w:p>
      <w:pPr>
        <w:pStyle w:val="Heading5"/>
        <w:rPr>
          <w:snapToGrid w:val="0"/>
        </w:rPr>
      </w:pPr>
      <w:bookmarkStart w:id="85" w:name="_Toc98767844"/>
      <w:r>
        <w:rPr>
          <w:rStyle w:val="CharSectno"/>
        </w:rPr>
        <w:t>80</w:t>
      </w:r>
      <w:r>
        <w:rPr>
          <w:snapToGrid w:val="0"/>
        </w:rPr>
        <w:t>.</w:t>
      </w:r>
      <w:r>
        <w:rPr>
          <w:snapToGrid w:val="0"/>
        </w:rPr>
        <w:tab/>
        <w:t>Local government may enforce drainage of undrained houses</w:t>
      </w:r>
      <w:bookmarkEnd w:id="85"/>
    </w:p>
    <w:p>
      <w:pPr>
        <w:pStyle w:val="Subsection"/>
        <w:spacing w:before="120"/>
        <w:rPr>
          <w:snapToGrid w:val="0"/>
        </w:rPr>
      </w:pPr>
      <w:r>
        <w:rPr>
          <w:snapToGrid w:val="0"/>
        </w:rPr>
        <w:tab/>
        <w:t>(1)</w:t>
      </w:r>
      <w:r>
        <w:rPr>
          <w:snapToGrid w:val="0"/>
        </w:rPr>
        <w:tab/>
        <w:t xml:space="preserve">Subject to the express provisions of section 72, when any house in the district is without a drain sufficient for effectual drainage, the local government may, by written notice, require the owner </w:t>
      </w:r>
      <w:r>
        <w:rPr>
          <w:snapToGrid w:val="0"/>
        </w:rPr>
        <w:lastRenderedPageBreak/>
        <w:t>or occupier of such house, within a reasonable time therein specified, to make a drain or drains emptying into any sewer of the local government which is not more than 91 m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No. 38 of 1933 s. 37 and 42; amended: No. 94 of 1972 s. 4(1) (as amended: No. 83 of 1973 s. 4); No. 14 of 1996 s. 4.]</w:t>
      </w:r>
    </w:p>
    <w:p>
      <w:pPr>
        <w:pStyle w:val="Heading5"/>
        <w:rPr>
          <w:snapToGrid w:val="0"/>
        </w:rPr>
      </w:pPr>
      <w:bookmarkStart w:id="86" w:name="_Toc98767845"/>
      <w:r>
        <w:rPr>
          <w:rStyle w:val="CharSectno"/>
        </w:rPr>
        <w:t>81</w:t>
      </w:r>
      <w:r>
        <w:rPr>
          <w:snapToGrid w:val="0"/>
        </w:rPr>
        <w:t>.</w:t>
      </w:r>
      <w:r>
        <w:rPr>
          <w:snapToGrid w:val="0"/>
        </w:rPr>
        <w:tab/>
        <w:t>Owner may be required to connect premises with public sewer</w:t>
      </w:r>
      <w:bookmarkEnd w:id="86"/>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lastRenderedPageBreak/>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No. 38 of 1933 s. 38 and 42; amended: No. 8 of 1965 s. 2; No. 94 of 1972 s. 4(1) (as amended: No. 83 of 1973 s. 4); No. 14 of 1996 s. 4.]</w:t>
      </w:r>
    </w:p>
    <w:p>
      <w:pPr>
        <w:pStyle w:val="Heading5"/>
        <w:pageBreakBefore/>
        <w:spacing w:before="0"/>
        <w:rPr>
          <w:snapToGrid w:val="0"/>
        </w:rPr>
      </w:pPr>
      <w:bookmarkStart w:id="87" w:name="_Toc98767846"/>
      <w:r>
        <w:rPr>
          <w:rStyle w:val="CharSectno"/>
        </w:rPr>
        <w:lastRenderedPageBreak/>
        <w:t>82</w:t>
      </w:r>
      <w:r>
        <w:rPr>
          <w:snapToGrid w:val="0"/>
        </w:rPr>
        <w:t>.</w:t>
      </w:r>
      <w:r>
        <w:rPr>
          <w:snapToGrid w:val="0"/>
        </w:rPr>
        <w:tab/>
        <w:t>Buildings without drains</w:t>
      </w:r>
      <w:bookmarkEnd w:id="87"/>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 or</w:t>
      </w:r>
    </w:p>
    <w:p>
      <w:pPr>
        <w:pStyle w:val="Indenta"/>
        <w:keepNext/>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ind w:left="890" w:hanging="890"/>
      </w:pPr>
      <w:r>
        <w:tab/>
        <w:t>[Section 82 inserted: No. 38 of 1933 s. 39 and 42; amended: No. 113 of 1965 s. 8(1); No. 94 of 1972 s. 4(1) (as amended: No. 83 of 1973 s. 4); No. 80 of 1987 s. 8; No. 14 of 1996 s. 4.]</w:t>
      </w:r>
    </w:p>
    <w:p>
      <w:pPr>
        <w:pStyle w:val="Heading5"/>
        <w:rPr>
          <w:snapToGrid w:val="0"/>
        </w:rPr>
      </w:pPr>
      <w:bookmarkStart w:id="88" w:name="_Toc98767847"/>
      <w:r>
        <w:rPr>
          <w:rStyle w:val="CharSectno"/>
        </w:rPr>
        <w:t>82A</w:t>
      </w:r>
      <w:r>
        <w:rPr>
          <w:snapToGrid w:val="0"/>
        </w:rPr>
        <w:t>.</w:t>
      </w:r>
      <w:r>
        <w:rPr>
          <w:snapToGrid w:val="0"/>
        </w:rPr>
        <w:tab/>
        <w:t>Where local government makes connections with sewers it may enter into agreement with person responsible for payment of cost</w:t>
      </w:r>
      <w:bookmarkEnd w:id="88"/>
    </w:p>
    <w:p>
      <w:pPr>
        <w:pStyle w:val="Subsection"/>
        <w:rPr>
          <w:snapToGrid w:val="0"/>
        </w:rPr>
      </w:pPr>
      <w:r>
        <w:rPr>
          <w:snapToGrid w:val="0"/>
        </w:rPr>
        <w:tab/>
        <w:t>(1)</w:t>
      </w:r>
      <w:r>
        <w:rPr>
          <w:snapToGrid w:val="0"/>
        </w:rPr>
        <w:tab/>
        <w:t xml:space="preserve">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w:t>
      </w:r>
      <w:r>
        <w:rPr>
          <w:snapToGrid w:val="0"/>
        </w:rPr>
        <w:lastRenderedPageBreak/>
        <w:t>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keepLines/>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No. 29 of 1955 s. 2; amended: No. 38 of 1960 s. 2; No. 14 of 1996 s. 4.]</w:t>
      </w:r>
    </w:p>
    <w:p>
      <w:pPr>
        <w:pStyle w:val="Heading5"/>
        <w:rPr>
          <w:snapToGrid w:val="0"/>
        </w:rPr>
      </w:pPr>
      <w:bookmarkStart w:id="89" w:name="_Toc98767848"/>
      <w:r>
        <w:rPr>
          <w:rStyle w:val="CharSectno"/>
        </w:rPr>
        <w:t>83</w:t>
      </w:r>
      <w:r>
        <w:rPr>
          <w:snapToGrid w:val="0"/>
        </w:rPr>
        <w:t>.</w:t>
      </w:r>
      <w:r>
        <w:rPr>
          <w:snapToGrid w:val="0"/>
        </w:rPr>
        <w:tab/>
        <w:t>Making sewers and drains under private land</w:t>
      </w:r>
      <w:bookmarkEnd w:id="89"/>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lastRenderedPageBreak/>
        <w:tab/>
        <w:t>(c)</w:t>
      </w:r>
      <w:r>
        <w:rPr>
          <w:snapToGrid w:val="0"/>
        </w:rPr>
        <w:tab/>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rPr>
        <w:t>Land Administration Act 1997</w:t>
      </w:r>
      <w:r>
        <w:rPr>
          <w:snapToGrid w:val="0"/>
        </w:rPr>
        <w:t xml:space="preserve"> shall, with the necessary modifications, apply. There shall be payable to such owner in addition to any sum claimable under the last</w:t>
      </w:r>
      <w:r>
        <w:rPr>
          <w:snapToGrid w:val="0"/>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 and</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No. 38 of 1933 s. 40 and 42; amended: No. 14 of 1996 s. 4; No. 31 of 1997 s. 32(2).]</w:t>
      </w:r>
    </w:p>
    <w:p>
      <w:pPr>
        <w:pStyle w:val="Heading5"/>
        <w:pageBreakBefore/>
        <w:spacing w:before="0"/>
        <w:rPr>
          <w:snapToGrid w:val="0"/>
        </w:rPr>
      </w:pPr>
      <w:bookmarkStart w:id="90" w:name="_Toc98767849"/>
      <w:r>
        <w:rPr>
          <w:rStyle w:val="CharSectno"/>
        </w:rPr>
        <w:lastRenderedPageBreak/>
        <w:t>84</w:t>
      </w:r>
      <w:r>
        <w:rPr>
          <w:snapToGrid w:val="0"/>
        </w:rPr>
        <w:t>.</w:t>
      </w:r>
      <w:r>
        <w:rPr>
          <w:snapToGrid w:val="0"/>
        </w:rPr>
        <w:tab/>
        <w:t>Recovery of expenses incurred by local government</w:t>
      </w:r>
      <w:bookmarkEnd w:id="90"/>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 and</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keepLines/>
        <w:rPr>
          <w:snapToGrid w:val="0"/>
        </w:rPr>
      </w:pPr>
      <w:r>
        <w:rPr>
          <w:snapToGrid w:val="0"/>
        </w:rPr>
        <w:tab/>
        <w:t>(c)</w:t>
      </w:r>
      <w:r>
        <w:rPr>
          <w:snapToGrid w:val="0"/>
        </w:rPr>
        <w:tab/>
        <w:t>as between several owners, in such proportions as the local government may fix,</w:t>
      </w:r>
    </w:p>
    <w:p>
      <w:pPr>
        <w:pStyle w:val="Subsection"/>
        <w:keepNext/>
        <w:keepLines/>
        <w:rPr>
          <w:snapToGrid w:val="0"/>
        </w:rPr>
      </w:pPr>
      <w:r>
        <w:rPr>
          <w:snapToGrid w:val="0"/>
        </w:rPr>
        <w:tab/>
      </w:r>
      <w:r>
        <w:rPr>
          <w:snapToGrid w:val="0"/>
        </w:rPr>
        <w:tab/>
        <w:t>and shall be recoverable in a court of competent jurisdiction.</w:t>
      </w:r>
    </w:p>
    <w:p>
      <w:pPr>
        <w:pStyle w:val="Footnotesection"/>
        <w:ind w:left="890" w:hanging="890"/>
      </w:pPr>
      <w:r>
        <w:tab/>
        <w:t>[Section 84, formerly section 64, renumbered as section 84: No. 38 of 1933 s. 42; amended: No. 14 of 1996 s. 4; No. 59 of 2004 s. 141.]</w:t>
      </w:r>
    </w:p>
    <w:p>
      <w:pPr>
        <w:pStyle w:val="Heading5"/>
        <w:rPr>
          <w:snapToGrid w:val="0"/>
        </w:rPr>
      </w:pPr>
      <w:bookmarkStart w:id="91" w:name="_Toc98767850"/>
      <w:r>
        <w:rPr>
          <w:rStyle w:val="CharSectno"/>
        </w:rPr>
        <w:t>85</w:t>
      </w:r>
      <w:r>
        <w:rPr>
          <w:snapToGrid w:val="0"/>
        </w:rPr>
        <w:t>.</w:t>
      </w:r>
      <w:r>
        <w:rPr>
          <w:snapToGrid w:val="0"/>
        </w:rPr>
        <w:tab/>
        <w:t>Dwelling</w:t>
      </w:r>
      <w:r>
        <w:rPr>
          <w:snapToGrid w:val="0"/>
        </w:rPr>
        <w:noBreakHyphen/>
        <w:t>houses on low lying land</w:t>
      </w:r>
      <w:bookmarkEnd w:id="91"/>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lastRenderedPageBreak/>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ind w:left="890" w:hanging="890"/>
      </w:pPr>
      <w:r>
        <w:tab/>
        <w:t>[Section 85, formerly section 65, renumbered as section 85: No. 38 of 1933 s. 42; amended: No. 14 of 1996 s. 4.]</w:t>
      </w:r>
    </w:p>
    <w:p>
      <w:pPr>
        <w:pStyle w:val="Heading5"/>
        <w:keepLines w:val="0"/>
        <w:rPr>
          <w:snapToGrid w:val="0"/>
        </w:rPr>
      </w:pPr>
      <w:bookmarkStart w:id="92" w:name="_Toc98767851"/>
      <w:r>
        <w:rPr>
          <w:rStyle w:val="CharSectno"/>
        </w:rPr>
        <w:t>86</w:t>
      </w:r>
      <w:r>
        <w:rPr>
          <w:snapToGrid w:val="0"/>
        </w:rPr>
        <w:t>.</w:t>
      </w:r>
      <w:r>
        <w:rPr>
          <w:snapToGrid w:val="0"/>
        </w:rPr>
        <w:tab/>
        <w:t>Filling up low lying land</w:t>
      </w:r>
      <w:bookmarkEnd w:id="92"/>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0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00"/>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formerly section 66, renumbered as section 86: No. 38 of 1933 s. 42; amended: No. 113 of 1965 s. 8(1); No. 80 of 1987 s. 9; No. 14 of 1996 s. 4.]</w:t>
      </w:r>
    </w:p>
    <w:p>
      <w:pPr>
        <w:pStyle w:val="Heading5"/>
        <w:spacing w:before="120"/>
        <w:rPr>
          <w:snapToGrid w:val="0"/>
        </w:rPr>
      </w:pPr>
      <w:bookmarkStart w:id="93" w:name="_Toc98767852"/>
      <w:r>
        <w:rPr>
          <w:rStyle w:val="CharSectno"/>
        </w:rPr>
        <w:t>87</w:t>
      </w:r>
      <w:r>
        <w:rPr>
          <w:snapToGrid w:val="0"/>
        </w:rPr>
        <w:t>.</w:t>
      </w:r>
      <w:r>
        <w:rPr>
          <w:snapToGrid w:val="0"/>
        </w:rPr>
        <w:tab/>
        <w:t>Stagnant water holes</w:t>
      </w:r>
      <w:bookmarkEnd w:id="93"/>
    </w:p>
    <w:p>
      <w:pPr>
        <w:pStyle w:val="Subsection"/>
        <w:spacing w:before="100"/>
        <w:rPr>
          <w:snapToGrid w:val="0"/>
        </w:rPr>
      </w:pPr>
      <w:r>
        <w:rPr>
          <w:snapToGrid w:val="0"/>
        </w:rPr>
        <w:tab/>
      </w:r>
      <w:r>
        <w:rPr>
          <w:snapToGrid w:val="0"/>
        </w:rPr>
        <w:tab/>
        <w:t xml:space="preserve">The local government may, and, if required by the </w:t>
      </w:r>
      <w:r>
        <w:t>Chief Health Officer</w:t>
      </w:r>
      <w:r>
        <w:rPr>
          <w:snapToGrid w:val="0"/>
        </w:rPr>
        <w:t xml:space="preserve">,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w:t>
      </w:r>
      <w:r>
        <w:rPr>
          <w:snapToGrid w:val="0"/>
        </w:rPr>
        <w:lastRenderedPageBreak/>
        <w:t>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formerly section 67, renumbered as section 87: No. 38 of 1933 s. 42; amended: No. 28 of 1984 s. 45; No. 14 of 1996 s. 4; No. 19 of 2016 s. 100.]</w:t>
      </w:r>
    </w:p>
    <w:p>
      <w:pPr>
        <w:pStyle w:val="Heading5"/>
        <w:rPr>
          <w:snapToGrid w:val="0"/>
        </w:rPr>
      </w:pPr>
      <w:bookmarkStart w:id="94" w:name="_Toc98767853"/>
      <w:r>
        <w:rPr>
          <w:rStyle w:val="CharSectno"/>
        </w:rPr>
        <w:t>88</w:t>
      </w:r>
      <w:r>
        <w:rPr>
          <w:snapToGrid w:val="0"/>
        </w:rPr>
        <w:t>.</w:t>
      </w:r>
      <w:r>
        <w:rPr>
          <w:snapToGrid w:val="0"/>
        </w:rPr>
        <w:tab/>
        <w:t>Stagnant water in cellars etc.</w:t>
      </w:r>
      <w:bookmarkEnd w:id="94"/>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ind w:left="890" w:hanging="890"/>
      </w:pPr>
      <w:r>
        <w:tab/>
        <w:t>[Section 88, formerly section 68, renumbered as section 88: No. 38 of 1933 s. 42; amended: No. 14 of 1996 s. 4.]</w:t>
      </w:r>
    </w:p>
    <w:p>
      <w:pPr>
        <w:pStyle w:val="Heading5"/>
        <w:spacing w:before="180"/>
        <w:rPr>
          <w:snapToGrid w:val="0"/>
        </w:rPr>
      </w:pPr>
      <w:bookmarkStart w:id="95" w:name="_Toc98767854"/>
      <w:r>
        <w:rPr>
          <w:rStyle w:val="CharSectno"/>
        </w:rPr>
        <w:lastRenderedPageBreak/>
        <w:t>89</w:t>
      </w:r>
      <w:r>
        <w:rPr>
          <w:snapToGrid w:val="0"/>
        </w:rPr>
        <w:t>.</w:t>
      </w:r>
      <w:r>
        <w:rPr>
          <w:snapToGrid w:val="0"/>
        </w:rPr>
        <w:tab/>
        <w:t>Paving and asphalting of cellars</w:t>
      </w:r>
      <w:bookmarkEnd w:id="95"/>
    </w:p>
    <w:p>
      <w:pPr>
        <w:pStyle w:val="Subsection"/>
        <w:spacing w:before="200"/>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spacing w:before="200"/>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keepLines w:val="0"/>
        <w:spacing w:before="200"/>
        <w:ind w:left="890" w:hanging="890"/>
      </w:pPr>
      <w:r>
        <w:tab/>
        <w:t>[Section 89, formerly section 69, renumbered as section 89: No. 38 of 1933 s. 42; amended: No. 14 of 1996 s. 4; No. 59 of 2004 s. 141.]</w:t>
      </w:r>
    </w:p>
    <w:p>
      <w:pPr>
        <w:pStyle w:val="Heading5"/>
        <w:spacing w:before="240"/>
        <w:rPr>
          <w:snapToGrid w:val="0"/>
        </w:rPr>
      </w:pPr>
      <w:bookmarkStart w:id="96" w:name="_Toc98767855"/>
      <w:r>
        <w:rPr>
          <w:rStyle w:val="CharSectno"/>
        </w:rPr>
        <w:t>90</w:t>
      </w:r>
      <w:r>
        <w:rPr>
          <w:snapToGrid w:val="0"/>
        </w:rPr>
        <w:t>.</w:t>
      </w:r>
      <w:r>
        <w:rPr>
          <w:snapToGrid w:val="0"/>
        </w:rPr>
        <w:tab/>
        <w:t>Brickmaking and other excavations to be fenced</w:t>
      </w:r>
      <w:bookmarkEnd w:id="96"/>
    </w:p>
    <w:p>
      <w:pPr>
        <w:pStyle w:val="Subsection"/>
        <w:spacing w:before="200"/>
        <w:rPr>
          <w:snapToGrid w:val="0"/>
        </w:rPr>
      </w:pPr>
      <w:r>
        <w:rPr>
          <w:snapToGrid w:val="0"/>
        </w:rPr>
        <w:tab/>
      </w:r>
      <w:r>
        <w:rPr>
          <w:snapToGrid w:val="0"/>
        </w:rPr>
        <w:tab/>
        <w:t xml:space="preserve">Any local government may, and, when so required by the </w:t>
      </w:r>
      <w:r>
        <w:t>Chief Health Officer</w:t>
      </w:r>
      <w:r>
        <w:rPr>
          <w:snapToGrid w:val="0"/>
        </w:rPr>
        <w:t xml:space="preserve">, shall, by order addressed to the owner of any land which has been excavated for brickmaking, quarrying, mining, or other purposes, whether before or after the commencement of this Act,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w:t>
      </w:r>
      <w:r>
        <w:rPr>
          <w:snapToGrid w:val="0"/>
        </w:rPr>
        <w:lastRenderedPageBreak/>
        <w:t>for preventing any noxious or offensive drainage or other matter from flowing or being thrown into any such excavation.</w:t>
      </w:r>
    </w:p>
    <w:p>
      <w:pPr>
        <w:pStyle w:val="Footnotesection"/>
        <w:ind w:left="890" w:hanging="890"/>
      </w:pPr>
      <w:r>
        <w:tab/>
        <w:t>[Section 90, formerly section 70, renumbered as section 90: No. 38 of 1933 s. 42; amended: No. 28 of 1984 s. 45; No. 14 of 1996 s. 4; No. 19 of 2016 s. 100.]</w:t>
      </w:r>
    </w:p>
    <w:p>
      <w:pPr>
        <w:pStyle w:val="Heading5"/>
        <w:rPr>
          <w:snapToGrid w:val="0"/>
        </w:rPr>
      </w:pPr>
      <w:bookmarkStart w:id="97" w:name="_Toc98767856"/>
      <w:r>
        <w:rPr>
          <w:rStyle w:val="CharSectno"/>
        </w:rPr>
        <w:t>91</w:t>
      </w:r>
      <w:r>
        <w:rPr>
          <w:snapToGrid w:val="0"/>
        </w:rPr>
        <w:t>.</w:t>
      </w:r>
      <w:r>
        <w:rPr>
          <w:snapToGrid w:val="0"/>
        </w:rPr>
        <w:tab/>
        <w:t>Storm water to be allowed its natural channel</w:t>
      </w:r>
      <w:bookmarkEnd w:id="97"/>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ind w:left="890" w:hanging="890"/>
      </w:pPr>
      <w:r>
        <w:tab/>
        <w:t>[Section 91, formerly section 71, renumbered as section 91: No. 38 of 1933 s. 42; amended: No. 113 of 1965 s. 8(1); No. 80 of 1987 s. 10; No. 14 of 1996 s. 4.]</w:t>
      </w:r>
    </w:p>
    <w:p>
      <w:pPr>
        <w:pStyle w:val="Heading5"/>
        <w:spacing w:before="180"/>
        <w:rPr>
          <w:snapToGrid w:val="0"/>
        </w:rPr>
      </w:pPr>
      <w:bookmarkStart w:id="98" w:name="_Toc98767857"/>
      <w:r>
        <w:rPr>
          <w:rStyle w:val="CharSectno"/>
        </w:rPr>
        <w:t>92</w:t>
      </w:r>
      <w:r>
        <w:rPr>
          <w:snapToGrid w:val="0"/>
        </w:rPr>
        <w:t>.</w:t>
      </w:r>
      <w:r>
        <w:rPr>
          <w:snapToGrid w:val="0"/>
        </w:rPr>
        <w:tab/>
        <w:t>Unauthorised building over sewers and under streets</w:t>
      </w:r>
      <w:bookmarkEnd w:id="98"/>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lastRenderedPageBreak/>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ind w:left="890" w:hanging="890"/>
      </w:pPr>
      <w:r>
        <w:tab/>
        <w:t>[Section 92, formerly section 72, renumbered as section 92: No. 38 of 1933 s. 42; amended: No. 113 of 1965 s. 8(1); No. 80 of 1987 s. 11; No. 14 of 1996 s. 4.]</w:t>
      </w:r>
    </w:p>
    <w:p>
      <w:pPr>
        <w:pStyle w:val="Heading5"/>
        <w:spacing w:before="120"/>
        <w:rPr>
          <w:snapToGrid w:val="0"/>
        </w:rPr>
      </w:pPr>
      <w:bookmarkStart w:id="99" w:name="_Toc98767858"/>
      <w:r>
        <w:rPr>
          <w:rStyle w:val="CharSectno"/>
        </w:rPr>
        <w:t>93</w:t>
      </w:r>
      <w:r>
        <w:rPr>
          <w:snapToGrid w:val="0"/>
        </w:rPr>
        <w:t>.</w:t>
      </w:r>
      <w:r>
        <w:rPr>
          <w:snapToGrid w:val="0"/>
        </w:rPr>
        <w:tab/>
        <w:t>Injurious matter not to pass into sewers</w:t>
      </w:r>
      <w:bookmarkEnd w:id="99"/>
    </w:p>
    <w:p>
      <w:pPr>
        <w:pStyle w:val="Subsection"/>
        <w:spacing w:before="10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ind w:left="890" w:hanging="890"/>
      </w:pPr>
      <w:r>
        <w:tab/>
        <w:t>[Section 93, formerly section 73, renumbered as section 93: No. 38 of 1933 s. 42;</w:t>
      </w:r>
      <w:r>
        <w:rPr>
          <w:spacing w:val="-2"/>
        </w:rPr>
        <w:t xml:space="preserve"> </w:t>
      </w:r>
      <w:r>
        <w:t>amended: No. 113 of 1965 s. 8(1); No. 80 of 1987 s. 12; No. 14 of 1996 s. 4.]</w:t>
      </w:r>
    </w:p>
    <w:p>
      <w:pPr>
        <w:pStyle w:val="Heading5"/>
        <w:spacing w:before="120"/>
        <w:rPr>
          <w:snapToGrid w:val="0"/>
        </w:rPr>
      </w:pPr>
      <w:bookmarkStart w:id="100" w:name="_Toc98767859"/>
      <w:r>
        <w:rPr>
          <w:rStyle w:val="CharSectno"/>
        </w:rPr>
        <w:t>94</w:t>
      </w:r>
      <w:r>
        <w:rPr>
          <w:snapToGrid w:val="0"/>
        </w:rPr>
        <w:t>.</w:t>
      </w:r>
      <w:r>
        <w:rPr>
          <w:snapToGrid w:val="0"/>
        </w:rPr>
        <w:tab/>
        <w:t>Chemical refuse, steam etc. not to be turned into sewers</w:t>
      </w:r>
      <w:bookmarkEnd w:id="100"/>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keepLines w:val="0"/>
        <w:ind w:left="890" w:hanging="890"/>
      </w:pPr>
      <w:r>
        <w:tab/>
        <w:t>[Section 94, formerly section 74, renumbered as section 94:: No. 38 of 1933 s. 42;</w:t>
      </w:r>
      <w:r>
        <w:rPr>
          <w:spacing w:val="-2"/>
        </w:rPr>
        <w:t xml:space="preserve"> </w:t>
      </w:r>
      <w:r>
        <w:t xml:space="preserve">amended: No. 113 of 1965 </w:t>
      </w:r>
      <w:r>
        <w:lastRenderedPageBreak/>
        <w:t>s. 8(1); No. 94 of 1972 s. 4(1) (as amended: No. 83 of 1973 s. 4); No. 80 of 1987 s. 13; No. 14 of 1996 s. 4.]</w:t>
      </w:r>
    </w:p>
    <w:p>
      <w:pPr>
        <w:pStyle w:val="Heading3"/>
      </w:pPr>
      <w:bookmarkStart w:id="101" w:name="_Toc98504131"/>
      <w:bookmarkStart w:id="102" w:name="_Toc98504462"/>
      <w:bookmarkStart w:id="103" w:name="_Toc98767860"/>
      <w:r>
        <w:rPr>
          <w:rStyle w:val="CharDivNo"/>
        </w:rPr>
        <w:t>Division 3</w:t>
      </w:r>
      <w:r>
        <w:rPr>
          <w:snapToGrid w:val="0"/>
        </w:rPr>
        <w:t> — </w:t>
      </w:r>
      <w:r>
        <w:rPr>
          <w:rStyle w:val="CharDivText"/>
        </w:rPr>
        <w:t>Disposal of sewage</w:t>
      </w:r>
      <w:bookmarkEnd w:id="101"/>
      <w:bookmarkEnd w:id="102"/>
      <w:bookmarkEnd w:id="103"/>
    </w:p>
    <w:p>
      <w:pPr>
        <w:pStyle w:val="Footnoteheading"/>
        <w:keepNext/>
        <w:keepLines/>
        <w:tabs>
          <w:tab w:val="clear" w:pos="879"/>
          <w:tab w:val="left" w:pos="890"/>
        </w:tabs>
        <w:ind w:left="890" w:hanging="890"/>
      </w:pPr>
      <w:r>
        <w:tab/>
        <w:t>[Heading, formerly Divison 2, renumbered as Division 3: </w:t>
      </w:r>
      <w:r>
        <w:rPr>
          <w:snapToGrid w:val="0"/>
        </w:rPr>
        <w:t xml:space="preserve">No. 38 of 1933 </w:t>
      </w:r>
      <w:r>
        <w:t>s. 42.]</w:t>
      </w:r>
    </w:p>
    <w:p>
      <w:pPr>
        <w:pStyle w:val="Heading5"/>
        <w:spacing w:before="240"/>
        <w:rPr>
          <w:snapToGrid w:val="0"/>
        </w:rPr>
      </w:pPr>
      <w:bookmarkStart w:id="104" w:name="_Toc98767861"/>
      <w:r>
        <w:rPr>
          <w:rStyle w:val="CharSectno"/>
        </w:rPr>
        <w:t>95</w:t>
      </w:r>
      <w:r>
        <w:rPr>
          <w:snapToGrid w:val="0"/>
        </w:rPr>
        <w:t>.</w:t>
      </w:r>
      <w:r>
        <w:rPr>
          <w:snapToGrid w:val="0"/>
        </w:rPr>
        <w:tab/>
        <w:t>Disposing of sewage</w:t>
      </w:r>
      <w:bookmarkEnd w:id="104"/>
    </w:p>
    <w:p>
      <w:pPr>
        <w:pStyle w:val="Subsection"/>
        <w:spacing w:before="18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120"/>
        <w:rPr>
          <w:snapToGrid w:val="0"/>
        </w:rPr>
      </w:pPr>
      <w:r>
        <w:rPr>
          <w:snapToGrid w:val="0"/>
        </w:rPr>
        <w:tab/>
        <w:t>(1)</w:t>
      </w:r>
      <w:r>
        <w:rPr>
          <w:snapToGrid w:val="0"/>
        </w:rPr>
        <w:tab/>
        <w:t>construct any works in the district or (subject to the provisions of this Act) beyond the district;</w:t>
      </w:r>
    </w:p>
    <w:p>
      <w:pPr>
        <w:pStyle w:val="Indenta"/>
        <w:spacing w:before="12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12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spacing w:before="180"/>
        <w:rPr>
          <w:snapToGrid w:val="0"/>
        </w:rPr>
      </w:pPr>
      <w:r>
        <w:rPr>
          <w:snapToGrid w:val="0"/>
        </w:rPr>
        <w:tab/>
      </w:r>
      <w:r>
        <w:rPr>
          <w:snapToGrid w:val="0"/>
        </w:rPr>
        <w:tab/>
        <w:t>Provided that no nuisance shall be created in the exercise of any of the powers conferred by this section.</w:t>
      </w:r>
    </w:p>
    <w:p>
      <w:pPr>
        <w:pStyle w:val="Footnotesection"/>
        <w:ind w:left="890" w:hanging="890"/>
      </w:pPr>
      <w:r>
        <w:tab/>
        <w:t>[Section 95, formerly section 76, renumbered as section 95: No. 38 of 1933 s. 42; amended: No. 14 of 1996 s. 4.]</w:t>
      </w:r>
    </w:p>
    <w:p>
      <w:pPr>
        <w:pStyle w:val="Heading5"/>
        <w:spacing w:before="240"/>
        <w:rPr>
          <w:snapToGrid w:val="0"/>
        </w:rPr>
      </w:pPr>
      <w:bookmarkStart w:id="105" w:name="_Toc98767862"/>
      <w:r>
        <w:rPr>
          <w:rStyle w:val="CharSectno"/>
        </w:rPr>
        <w:t>96</w:t>
      </w:r>
      <w:r>
        <w:rPr>
          <w:snapToGrid w:val="0"/>
        </w:rPr>
        <w:t>.</w:t>
      </w:r>
      <w:r>
        <w:rPr>
          <w:snapToGrid w:val="0"/>
        </w:rPr>
        <w:tab/>
        <w:t>Communication of sewers with sewers of adjoining district</w:t>
      </w:r>
      <w:bookmarkEnd w:id="105"/>
    </w:p>
    <w:p>
      <w:pPr>
        <w:pStyle w:val="Subsection"/>
        <w:spacing w:before="180"/>
        <w:rPr>
          <w:snapToGrid w:val="0"/>
        </w:rPr>
      </w:pPr>
      <w:r>
        <w:rPr>
          <w:snapToGrid w:val="0"/>
        </w:rPr>
        <w:tab/>
      </w:r>
      <w:r>
        <w:rPr>
          <w:snapToGrid w:val="0"/>
        </w:rPr>
        <w:tab/>
        <w:t xml:space="preserve">A local government may, by agreement with the local government of any adjoining district, and with the sanction of the </w:t>
      </w:r>
      <w:r>
        <w:t>Chief Health Officer</w:t>
      </w:r>
      <w:r>
        <w:rPr>
          <w:snapToGrid w:val="0"/>
        </w:rPr>
        <w:t xml:space="preserve">, cause its sewers to communicate with the sewers of the local government of such adjoining district in such manner and on such terms, and subject to such conditions, as may be agreed upon between the local governments, or in </w:t>
      </w:r>
      <w:r>
        <w:rPr>
          <w:snapToGrid w:val="0"/>
        </w:rPr>
        <w:lastRenderedPageBreak/>
        <w:t xml:space="preserve">case of dispute, as may be settled by arbitration, under the provisions of the </w:t>
      </w:r>
      <w:r>
        <w:rPr>
          <w:i/>
        </w:rPr>
        <w:t>Commercial Arbitration Act 2012</w:t>
      </w:r>
      <w:r>
        <w:rPr>
          <w:snapToGrid w:val="0"/>
        </w:rPr>
        <w:t>.</w:t>
      </w:r>
    </w:p>
    <w:p>
      <w:pPr>
        <w:pStyle w:val="Footnotesection"/>
        <w:ind w:left="890" w:hanging="890"/>
      </w:pPr>
      <w:r>
        <w:tab/>
        <w:t>[Section 96, formerly section 77, renumbered as section 96: No. 38 of 1933 s. 42; amended: No. 28 of 1984 s. 45; No. 109 of 1985 s. 3(1); No. 14 of 1996 s. 4; No. 23 of 2012 s. 45; No. 19 of 2016 s. 100.]</w:t>
      </w:r>
    </w:p>
    <w:p>
      <w:pPr>
        <w:pStyle w:val="Heading5"/>
        <w:spacing w:before="240"/>
        <w:rPr>
          <w:snapToGrid w:val="0"/>
        </w:rPr>
      </w:pPr>
      <w:bookmarkStart w:id="106" w:name="_Toc98767863"/>
      <w:r>
        <w:rPr>
          <w:rStyle w:val="CharSectno"/>
        </w:rPr>
        <w:t>97</w:t>
      </w:r>
      <w:r>
        <w:rPr>
          <w:snapToGrid w:val="0"/>
        </w:rPr>
        <w:t>.</w:t>
      </w:r>
      <w:r>
        <w:rPr>
          <w:snapToGrid w:val="0"/>
        </w:rPr>
        <w:tab/>
        <w:t>Dealing with land appropriated to sewage purposes</w:t>
      </w:r>
      <w:bookmarkEnd w:id="106"/>
    </w:p>
    <w:p>
      <w:pPr>
        <w:pStyle w:val="Subsection"/>
        <w:spacing w:before="180"/>
        <w:rPr>
          <w:snapToGrid w:val="0"/>
        </w:rPr>
      </w:pPr>
      <w:r>
        <w:rPr>
          <w:snapToGrid w:val="0"/>
        </w:rPr>
        <w:tab/>
        <w:t>(1)</w:t>
      </w:r>
      <w:r>
        <w:rPr>
          <w:snapToGrid w:val="0"/>
        </w:rPr>
        <w:tab/>
        <w:t xml:space="preserve">The local government may, subject to the approval of the </w:t>
      </w:r>
      <w:r>
        <w:t>Chief Health Officer</w:t>
      </w:r>
      <w:r>
        <w:rPr>
          <w:snapToGrid w:val="0"/>
        </w:rPr>
        <w:t>, deal with any land held by it for the purpose of receiving, storing, disinfecting, or distributing sewage, in such manner as it deems most profitable —</w:t>
      </w:r>
    </w:p>
    <w:p>
      <w:pPr>
        <w:pStyle w:val="Indenta"/>
        <w:spacing w:before="100"/>
        <w:rPr>
          <w:snapToGrid w:val="0"/>
        </w:rPr>
      </w:pPr>
      <w:r>
        <w:rPr>
          <w:snapToGrid w:val="0"/>
        </w:rPr>
        <w:tab/>
        <w:t>(a)</w:t>
      </w:r>
      <w:r>
        <w:rPr>
          <w:snapToGrid w:val="0"/>
        </w:rPr>
        <w:tab/>
        <w:t>by leasing the same for a period not exceeding 25 years for agricultural purposes; or</w:t>
      </w:r>
    </w:p>
    <w:p>
      <w:pPr>
        <w:pStyle w:val="Indenta"/>
        <w:spacing w:before="100"/>
        <w:rPr>
          <w:snapToGrid w:val="0"/>
        </w:rPr>
      </w:pPr>
      <w:r>
        <w:rPr>
          <w:snapToGrid w:val="0"/>
        </w:rPr>
        <w:tab/>
        <w:t>(b)</w:t>
      </w:r>
      <w:r>
        <w:rPr>
          <w:snapToGrid w:val="0"/>
        </w:rPr>
        <w:tab/>
        <w:t>by contracting with some person to take the whole or a part of the produce of such land; or</w:t>
      </w:r>
    </w:p>
    <w:p>
      <w:pPr>
        <w:pStyle w:val="Indenta"/>
        <w:keepNext/>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 xml:space="preserve">When a local government, with the approval of the </w:t>
      </w:r>
      <w:r>
        <w:t>Chief Health Officer</w:t>
      </w:r>
      <w:r>
        <w:rPr>
          <w:snapToGrid w:val="0"/>
        </w:rPr>
        <w:t>,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formerly section 78, renumbered as section 97: No. 38 of 1933 s. 42; amended: No. 28 of 1984 s. 45; No. 14 of 1996 s. 4; No. 19 of 2016 s. 100.]</w:t>
      </w:r>
    </w:p>
    <w:p>
      <w:pPr>
        <w:pStyle w:val="Heading5"/>
        <w:rPr>
          <w:snapToGrid w:val="0"/>
        </w:rPr>
      </w:pPr>
      <w:bookmarkStart w:id="107" w:name="_Toc98767864"/>
      <w:r>
        <w:rPr>
          <w:rStyle w:val="CharSectno"/>
        </w:rPr>
        <w:lastRenderedPageBreak/>
        <w:t>98</w:t>
      </w:r>
      <w:r>
        <w:rPr>
          <w:snapToGrid w:val="0"/>
        </w:rPr>
        <w:t>.</w:t>
      </w:r>
      <w:r>
        <w:rPr>
          <w:snapToGrid w:val="0"/>
        </w:rPr>
        <w:tab/>
        <w:t>Punishment for placing sewage in streets etc.</w:t>
      </w:r>
      <w:bookmarkEnd w:id="107"/>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ind w:left="890" w:hanging="890"/>
      </w:pPr>
      <w:r>
        <w:tab/>
        <w:t>[Section 98, formerly section 79, amended: No. 17 of 1918 s. 8; renumbered as section 98: No. 38 of 1933 s. 42; amended: No. 113 of 1965 s. 8(1); No. 102 of 1973 s. 5; No. 80 of 1987 s. 14.]</w:t>
      </w:r>
    </w:p>
    <w:p>
      <w:pPr>
        <w:pStyle w:val="Heading3"/>
        <w:spacing w:before="200"/>
      </w:pPr>
      <w:bookmarkStart w:id="108" w:name="_Toc98504136"/>
      <w:bookmarkStart w:id="109" w:name="_Toc98504467"/>
      <w:bookmarkStart w:id="110" w:name="_Toc98767865"/>
      <w:r>
        <w:rPr>
          <w:rStyle w:val="CharDivNo"/>
        </w:rPr>
        <w:t>Division 4</w:t>
      </w:r>
      <w:r>
        <w:rPr>
          <w:snapToGrid w:val="0"/>
        </w:rPr>
        <w:t> — </w:t>
      </w:r>
      <w:r>
        <w:rPr>
          <w:rStyle w:val="CharDivText"/>
        </w:rPr>
        <w:t>Sanitary conveniences</w:t>
      </w:r>
      <w:bookmarkEnd w:id="108"/>
      <w:bookmarkEnd w:id="109"/>
      <w:bookmarkEnd w:id="110"/>
    </w:p>
    <w:p>
      <w:pPr>
        <w:pStyle w:val="Heading5"/>
        <w:rPr>
          <w:snapToGrid w:val="0"/>
        </w:rPr>
      </w:pPr>
      <w:bookmarkStart w:id="111" w:name="_Toc98767866"/>
      <w:r>
        <w:rPr>
          <w:rStyle w:val="CharSectno"/>
        </w:rPr>
        <w:t>99</w:t>
      </w:r>
      <w:r>
        <w:rPr>
          <w:snapToGrid w:val="0"/>
        </w:rPr>
        <w:t>.</w:t>
      </w:r>
      <w:r>
        <w:rPr>
          <w:snapToGrid w:val="0"/>
        </w:rPr>
        <w:tab/>
        <w:t>Houses to have sanitary conveniences</w:t>
      </w:r>
      <w:bookmarkEnd w:id="111"/>
    </w:p>
    <w:p>
      <w:pPr>
        <w:pStyle w:val="Subsection"/>
        <w:spacing w:before="18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80"/>
        <w:rPr>
          <w:snapToGrid w:val="0"/>
        </w:rPr>
      </w:pPr>
      <w:r>
        <w:rPr>
          <w:snapToGrid w:val="0"/>
        </w:rPr>
        <w:lastRenderedPageBreak/>
        <w:tab/>
        <w:t>(4)</w:t>
      </w:r>
      <w:r>
        <w:rPr>
          <w:snapToGrid w:val="0"/>
        </w:rPr>
        <w:tab/>
        <w:t>A person who neglects or refuses to comply with the requirements of a notice served on him under subsection (3) commits an offence.</w:t>
      </w:r>
    </w:p>
    <w:p>
      <w:pPr>
        <w:pStyle w:val="Subsection"/>
        <w:spacing w:before="18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8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spacing w:after="480"/>
        <w:ind w:left="890" w:hanging="890"/>
      </w:pPr>
      <w:r>
        <w:tab/>
        <w:t>[Section 99, inserted as section 81: No. 30 of 1932 s. 12; renumbered as section 99: No. 38 of 1933 s. 42; amended: No. 32 of 1937 s. 4; No. 21 of 1944 s. 4; No. 45 of 1954 s. 2; No. 49 of 1962 s. 2; No. 113 of 1965 s. 8(1); No. 80 of 1987 s. 15; No. 59 of 1991 s. 9; No. 14 of 1996 s. 4.]</w:t>
      </w:r>
    </w:p>
    <w:p>
      <w:pPr>
        <w:pStyle w:val="Heading5"/>
        <w:rPr>
          <w:snapToGrid w:val="0"/>
        </w:rPr>
      </w:pPr>
      <w:bookmarkStart w:id="112" w:name="_Toc98767867"/>
      <w:r>
        <w:rPr>
          <w:rStyle w:val="CharSectno"/>
        </w:rPr>
        <w:t>100</w:t>
      </w:r>
      <w:r>
        <w:rPr>
          <w:snapToGrid w:val="0"/>
        </w:rPr>
        <w:t>.</w:t>
      </w:r>
      <w:r>
        <w:rPr>
          <w:snapToGrid w:val="0"/>
        </w:rPr>
        <w:tab/>
        <w:t>Provision of apparatus for treatment of sewage</w:t>
      </w:r>
      <w:bookmarkEnd w:id="112"/>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rPr>
      </w:pPr>
      <w:r>
        <w:rPr>
          <w:snapToGrid w:val="0"/>
          <w:spacing w:val="-4"/>
        </w:rPr>
        <w:tab/>
        <w:t>(2)</w:t>
      </w:r>
      <w:r>
        <w:rPr>
          <w:snapToGrid w:val="0"/>
          <w:spacing w:val="-4"/>
        </w:rPr>
        <w:tab/>
      </w:r>
      <w:r>
        <w:rPr>
          <w:snapToGrid w:val="0"/>
        </w:rPr>
        <w:t xml:space="preserve">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w:t>
      </w:r>
      <w:r>
        <w:rPr>
          <w:snapToGrid w:val="0"/>
        </w:rPr>
        <w:lastRenderedPageBreak/>
        <w:t>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keepNext/>
        <w:rPr>
          <w:snapToGrid w:val="0"/>
        </w:rPr>
      </w:pPr>
      <w:r>
        <w:rPr>
          <w:snapToGrid w:val="0"/>
          <w:spacing w:val="-4"/>
        </w:rPr>
        <w:lastRenderedPageBreak/>
        <w:tab/>
        <w:t>(b)</w:t>
      </w:r>
      <w:r>
        <w:rPr>
          <w:snapToGrid w:val="0"/>
          <w:spacing w:val="-4"/>
        </w:rPr>
        <w:tab/>
      </w:r>
      <w:r>
        <w:rPr>
          <w:snapToGrid w:val="0"/>
        </w:rPr>
        <w:t>The reference to the Crown in this section does not imply that the Crown is bound by the other provisions of this Act.</w:t>
      </w:r>
    </w:p>
    <w:p>
      <w:pPr>
        <w:pStyle w:val="Footnotesection"/>
        <w:ind w:left="890" w:hanging="890"/>
      </w:pPr>
      <w:r>
        <w:tab/>
        <w:t>[Section 100, inserted as section 81a: No. 50 of 1926 s. 6; amended: No. 30 of 1932 s. 13; No. 38 of 1933 s. 8; renumbered as section 100: No. 38 of 1933 s. 42; amended: No. 22 of 1959 s. 2; No. 18 of 1964 s. 4; No. 59 of 1991 s. 10; No. 14 of 1996 s. 4.]</w:t>
      </w:r>
    </w:p>
    <w:p>
      <w:pPr>
        <w:pStyle w:val="Heading5"/>
        <w:rPr>
          <w:snapToGrid w:val="0"/>
        </w:rPr>
      </w:pPr>
      <w:bookmarkStart w:id="113" w:name="_Toc98767868"/>
      <w:r>
        <w:rPr>
          <w:rStyle w:val="CharSectno"/>
        </w:rPr>
        <w:t>101</w:t>
      </w:r>
      <w:r>
        <w:rPr>
          <w:snapToGrid w:val="0"/>
        </w:rPr>
        <w:t>.</w:t>
      </w:r>
      <w:r>
        <w:rPr>
          <w:snapToGrid w:val="0"/>
        </w:rPr>
        <w:tab/>
        <w:t>Sanitary conveniences for workshops etc.</w:t>
      </w:r>
      <w:bookmarkEnd w:id="113"/>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formerly section 82, renumbered as section 101: No. 38 of 1933 s. 42; amended: No. 18 of 1964 s. 5; No. 113 of 1965 s. 8(1); No. 80 of 1987 s. 16; No. 14 of 1996 s. 4.]</w:t>
      </w:r>
    </w:p>
    <w:p>
      <w:pPr>
        <w:pStyle w:val="Heading5"/>
        <w:keepNext w:val="0"/>
        <w:keepLines w:val="0"/>
        <w:rPr>
          <w:snapToGrid w:val="0"/>
        </w:rPr>
      </w:pPr>
      <w:bookmarkStart w:id="114" w:name="_Toc98767869"/>
      <w:r>
        <w:rPr>
          <w:rStyle w:val="CharSectno"/>
        </w:rPr>
        <w:t>102</w:t>
      </w:r>
      <w:r>
        <w:rPr>
          <w:snapToGrid w:val="0"/>
        </w:rPr>
        <w:t>.</w:t>
      </w:r>
      <w:r>
        <w:rPr>
          <w:snapToGrid w:val="0"/>
        </w:rPr>
        <w:tab/>
        <w:t>Sanitary conveniences in connection with works</w:t>
      </w:r>
      <w:bookmarkEnd w:id="114"/>
    </w:p>
    <w:p>
      <w:pPr>
        <w:pStyle w:val="Subsection"/>
        <w:rPr>
          <w:snapToGrid w:val="0"/>
        </w:rPr>
      </w:pPr>
      <w:r>
        <w:rPr>
          <w:snapToGrid w:val="0"/>
        </w:rPr>
        <w:lastRenderedPageBreak/>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No. 25 of 1952 s. 3; amended: No. 113 of 1965 s. 8(1); No. 80 of 1987 s. 17; No. 14 of 1996 s. 4.]</w:t>
      </w:r>
    </w:p>
    <w:p>
      <w:pPr>
        <w:pStyle w:val="Heading5"/>
        <w:keepNext w:val="0"/>
        <w:keepLines w:val="0"/>
        <w:rPr>
          <w:snapToGrid w:val="0"/>
        </w:rPr>
      </w:pPr>
      <w:bookmarkStart w:id="115" w:name="_Toc98767870"/>
      <w:r>
        <w:rPr>
          <w:rStyle w:val="CharSectno"/>
        </w:rPr>
        <w:t>103</w:t>
      </w:r>
      <w:r>
        <w:rPr>
          <w:snapToGrid w:val="0"/>
        </w:rPr>
        <w:t>.</w:t>
      </w:r>
      <w:r>
        <w:rPr>
          <w:snapToGrid w:val="0"/>
        </w:rPr>
        <w:tab/>
        <w:t>Persons to carry out sanitary work in certain cases</w:t>
      </w:r>
      <w:bookmarkEnd w:id="115"/>
    </w:p>
    <w:p>
      <w:pPr>
        <w:pStyle w:val="Subsection"/>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ind w:left="890" w:hanging="890"/>
      </w:pPr>
      <w:r>
        <w:tab/>
        <w:t>[Section 103, inserted as section 83A: No. 30 of 1932 s. 14; renumbered as section 103: No. 38 of 1933 s. 42; amended: No. 102 of 1973 s. 6; No. 14 of 1996 s. 4; No. 57 of 1997 s. 68(1).]</w:t>
      </w:r>
    </w:p>
    <w:p>
      <w:pPr>
        <w:pStyle w:val="Heading5"/>
        <w:spacing w:before="180"/>
        <w:rPr>
          <w:snapToGrid w:val="0"/>
        </w:rPr>
      </w:pPr>
      <w:bookmarkStart w:id="116" w:name="_Toc98767871"/>
      <w:r>
        <w:rPr>
          <w:rStyle w:val="CharSectno"/>
        </w:rPr>
        <w:t>104</w:t>
      </w:r>
      <w:r>
        <w:rPr>
          <w:snapToGrid w:val="0"/>
        </w:rPr>
        <w:t>.</w:t>
      </w:r>
      <w:r>
        <w:rPr>
          <w:snapToGrid w:val="0"/>
        </w:rPr>
        <w:tab/>
        <w:t>Earth</w:t>
      </w:r>
      <w:r>
        <w:rPr>
          <w:snapToGrid w:val="0"/>
        </w:rPr>
        <w:noBreakHyphen/>
        <w:t>closets</w:t>
      </w:r>
      <w:bookmarkEnd w:id="116"/>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ind w:left="890" w:hanging="890"/>
      </w:pPr>
      <w:r>
        <w:tab/>
        <w:t>[Section 104, formerly section 84, renumbered as section 104: No. 38 of 1933 s. 42; amended: No. 14 of 1996 s. 4.]</w:t>
      </w:r>
    </w:p>
    <w:p>
      <w:pPr>
        <w:pStyle w:val="Heading5"/>
        <w:spacing w:before="180"/>
        <w:rPr>
          <w:snapToGrid w:val="0"/>
        </w:rPr>
      </w:pPr>
      <w:bookmarkStart w:id="117" w:name="_Toc98767872"/>
      <w:r>
        <w:rPr>
          <w:rStyle w:val="CharSectno"/>
        </w:rPr>
        <w:lastRenderedPageBreak/>
        <w:t>105</w:t>
      </w:r>
      <w:r>
        <w:rPr>
          <w:snapToGrid w:val="0"/>
        </w:rPr>
        <w:t>.</w:t>
      </w:r>
      <w:r>
        <w:rPr>
          <w:snapToGrid w:val="0"/>
        </w:rPr>
        <w:tab/>
        <w:t>Public sanitary conveniences</w:t>
      </w:r>
      <w:bookmarkEnd w:id="117"/>
    </w:p>
    <w:p>
      <w:pPr>
        <w:pStyle w:val="Subsection"/>
        <w:spacing w:before="120"/>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spacing w:before="140"/>
        <w:rPr>
          <w:snapToGrid w:val="0"/>
        </w:rPr>
      </w:pPr>
      <w:r>
        <w:rPr>
          <w:snapToGrid w:val="0"/>
        </w:rPr>
        <w:tab/>
        <w:t>(2)</w:t>
      </w:r>
      <w:r>
        <w:rPr>
          <w:snapToGrid w:val="0"/>
        </w:rPr>
        <w:tab/>
        <w:t>The local government may levy and collect charges for the use of such conveniences and receptacles.</w:t>
      </w:r>
    </w:p>
    <w:p>
      <w:pPr>
        <w:pStyle w:val="Subsection"/>
        <w:spacing w:before="140"/>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ind w:left="890" w:hanging="890"/>
      </w:pPr>
      <w:r>
        <w:tab/>
        <w:t>[Section 105, formerly section 85, renumbered as section 105: No. 38 of 1933 s. 42; amended: No. 14 of 1996 s. 4.]</w:t>
      </w:r>
    </w:p>
    <w:p>
      <w:pPr>
        <w:pStyle w:val="Heading5"/>
        <w:spacing w:before="180"/>
        <w:rPr>
          <w:snapToGrid w:val="0"/>
        </w:rPr>
      </w:pPr>
      <w:bookmarkStart w:id="118" w:name="_Toc98767873"/>
      <w:r>
        <w:rPr>
          <w:rStyle w:val="CharSectno"/>
        </w:rPr>
        <w:t>106</w:t>
      </w:r>
      <w:r>
        <w:rPr>
          <w:snapToGrid w:val="0"/>
        </w:rPr>
        <w:t>.</w:t>
      </w:r>
      <w:r>
        <w:rPr>
          <w:snapToGrid w:val="0"/>
        </w:rPr>
        <w:tab/>
        <w:t>Power to make pan charges</w:t>
      </w:r>
      <w:bookmarkEnd w:id="118"/>
    </w:p>
    <w:p>
      <w:pPr>
        <w:pStyle w:val="Subsection"/>
        <w:spacing w:before="14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lastRenderedPageBreak/>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 xml:space="preserve">A local government may, with the approval of the </w:t>
      </w:r>
      <w:r>
        <w:t>Chief Health Officer</w:t>
      </w:r>
      <w:r>
        <w:rPr>
          <w:snapToGrid w:val="0"/>
        </w:rPr>
        <w:t>,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ind w:left="890" w:hanging="890"/>
      </w:pPr>
      <w:r>
        <w:tab/>
        <w:t>[Section 106, formerly section 86, amended: No. 17 of 1918 s. 10; No. 30 of 1932 s. 15; No. 38 of 1933 s. 9; renumbered as section 106: No. 38 of 1933 s. 42; amended: No. 32 of 1937 s. 5; No. 102 of 1973 s. 7; No. 28 of 1984 s. 45; No. 14 of 1996 s. 4; No. 28 of 1996 s. 6; No. 36 of 2007 Sch. 4 cl. 4(3); No. 19 of 2016 s. 100.]</w:t>
      </w:r>
    </w:p>
    <w:p>
      <w:pPr>
        <w:pStyle w:val="Heading5"/>
        <w:spacing w:before="180"/>
        <w:rPr>
          <w:snapToGrid w:val="0"/>
        </w:rPr>
      </w:pPr>
      <w:bookmarkStart w:id="119" w:name="_Toc98767874"/>
      <w:r>
        <w:rPr>
          <w:rStyle w:val="CharSectno"/>
        </w:rPr>
        <w:t>107</w:t>
      </w:r>
      <w:r>
        <w:rPr>
          <w:snapToGrid w:val="0"/>
        </w:rPr>
        <w:t>.</w:t>
      </w:r>
      <w:r>
        <w:rPr>
          <w:snapToGrid w:val="0"/>
        </w:rPr>
        <w:tab/>
        <w:t>Drains, privies etc. to be properly kept</w:t>
      </w:r>
      <w:bookmarkEnd w:id="119"/>
    </w:p>
    <w:p>
      <w:pPr>
        <w:pStyle w:val="Subsection"/>
        <w:spacing w:before="12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20"/>
        <w:rPr>
          <w:snapToGrid w:val="0"/>
        </w:rPr>
      </w:pPr>
      <w:r>
        <w:rPr>
          <w:snapToGrid w:val="0"/>
        </w:rPr>
        <w:lastRenderedPageBreak/>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 xml:space="preserve">the </w:t>
      </w:r>
      <w:r>
        <w:t>Chief Health Officer</w:t>
      </w:r>
      <w:r>
        <w:rPr>
          <w:snapToGrid w:val="0"/>
        </w:rPr>
        <w:t xml:space="preserve"> has approved of that construction or installation, where it is prescribed by regulation that the apparatus is to be approved for the purposes of this paragraph by the </w:t>
      </w:r>
      <w:r>
        <w:t>Chief Health Officer</w:t>
      </w:r>
      <w:r>
        <w:rPr>
          <w:snapToGrid w:val="0"/>
        </w:rPr>
        <w:t>.</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rPr>
      </w:pPr>
      <w:r>
        <w:rPr>
          <w:snapToGrid w:val="0"/>
        </w:rPr>
        <w:tab/>
        <w:t>(5)</w:t>
      </w:r>
      <w:r>
        <w:rPr>
          <w:snapToGrid w:val="0"/>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 xml:space="preserve">The provisions of this section shall apply, so far as capable of application, to contractors, officers, and others acting on behalf of or under contract with a local government in or about the </w:t>
      </w:r>
      <w:r>
        <w:rPr>
          <w:snapToGrid w:val="0"/>
        </w:rPr>
        <w:lastRenderedPageBreak/>
        <w:t>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keepLines w:val="0"/>
        <w:ind w:left="890" w:hanging="890"/>
      </w:pPr>
      <w:r>
        <w:tab/>
        <w:t>[Section 107, formerly section 88, amended: No. 50 of 1926 s. 7; renumbered as section 107: No. 38 of 1933 s. 42; amended: No. 21 of 1957 s. 6; No. 113 of 1965 s. 8(1); No. 28 of 1984 s. 45; No. 80 of 1987 s. 18; No. 59 of 1991 s. 11 and 20; No. 14 of 1996 s. 4; No. 28 of 1996 s. 7; No. 19 of 2016 s. 100.]</w:t>
      </w:r>
    </w:p>
    <w:p>
      <w:pPr>
        <w:pStyle w:val="Heading5"/>
        <w:spacing w:before="180"/>
        <w:rPr>
          <w:snapToGrid w:val="0"/>
        </w:rPr>
      </w:pPr>
      <w:bookmarkStart w:id="120" w:name="_Toc98767875"/>
      <w:r>
        <w:rPr>
          <w:rStyle w:val="CharSectno"/>
        </w:rPr>
        <w:t>107A</w:t>
      </w:r>
      <w:r>
        <w:rPr>
          <w:snapToGrid w:val="0"/>
        </w:rPr>
        <w:t xml:space="preserve">. </w:t>
      </w:r>
      <w:r>
        <w:rPr>
          <w:snapToGrid w:val="0"/>
        </w:rPr>
        <w:tab/>
        <w:t>Articles in use in construction or operation of sewers etc. to be of prescribed standard</w:t>
      </w:r>
      <w:bookmarkEnd w:id="120"/>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No. 35 of 1966 s. 3.]</w:t>
      </w:r>
    </w:p>
    <w:p>
      <w:pPr>
        <w:pStyle w:val="Heading5"/>
        <w:keepNext w:val="0"/>
        <w:keepLines w:val="0"/>
        <w:spacing w:before="180"/>
        <w:rPr>
          <w:snapToGrid w:val="0"/>
        </w:rPr>
      </w:pPr>
      <w:bookmarkStart w:id="121" w:name="_Toc98767876"/>
      <w:r>
        <w:rPr>
          <w:rStyle w:val="CharSectno"/>
        </w:rPr>
        <w:t>108</w:t>
      </w:r>
      <w:r>
        <w:rPr>
          <w:snapToGrid w:val="0"/>
        </w:rPr>
        <w:t>.</w:t>
      </w:r>
      <w:r>
        <w:rPr>
          <w:snapToGrid w:val="0"/>
        </w:rPr>
        <w:tab/>
        <w:t>Examination of drains etc.</w:t>
      </w:r>
      <w:bookmarkEnd w:id="121"/>
    </w:p>
    <w:p>
      <w:pPr>
        <w:pStyle w:val="Subsection"/>
        <w:spacing w:before="120"/>
        <w:rPr>
          <w:snapToGrid w:val="0"/>
        </w:rPr>
      </w:pPr>
      <w:r>
        <w:rPr>
          <w:snapToGrid w:val="0"/>
        </w:rPr>
        <w:tab/>
        <w:t>(1)</w:t>
      </w:r>
      <w:r>
        <w:rPr>
          <w:snapToGrid w:val="0"/>
        </w:rPr>
        <w:tab/>
        <w:t xml:space="preserve">If the local government suspects that any drain, sanitary convenience, or apparatus for the treatment of sewage in the district is a nuisance or injurious to health, the local government </w:t>
      </w:r>
      <w:r>
        <w:rPr>
          <w:snapToGrid w:val="0"/>
        </w:rPr>
        <w:lastRenderedPageBreak/>
        <w:t>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2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2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2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2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spacing w:before="120"/>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keepLines w:val="0"/>
        <w:spacing w:before="80"/>
        <w:ind w:left="890" w:hanging="890"/>
      </w:pPr>
      <w:r>
        <w:tab/>
        <w:t xml:space="preserve">[Section 108, formerly section 89, renumbered as section 108: No. 38 of 1933 s. 42; amended: No. 113 of 1965 s. 8(1); No. 80 </w:t>
      </w:r>
      <w:r>
        <w:lastRenderedPageBreak/>
        <w:t>of 1987 s. 19; No. 59 of 1991 s. 12; No. 14 of 1996 s. 4; No. 59 of 2004 s. 141.]</w:t>
      </w:r>
    </w:p>
    <w:p>
      <w:pPr>
        <w:pStyle w:val="Heading5"/>
        <w:rPr>
          <w:snapToGrid w:val="0"/>
        </w:rPr>
      </w:pPr>
      <w:bookmarkStart w:id="122" w:name="_Toc98767877"/>
      <w:r>
        <w:rPr>
          <w:rStyle w:val="CharSectno"/>
        </w:rPr>
        <w:t>109</w:t>
      </w:r>
      <w:r>
        <w:rPr>
          <w:snapToGrid w:val="0"/>
        </w:rPr>
        <w:t>.</w:t>
      </w:r>
      <w:r>
        <w:rPr>
          <w:snapToGrid w:val="0"/>
        </w:rPr>
        <w:tab/>
        <w:t>Local government may require filling up of certain cesspools</w:t>
      </w:r>
      <w:bookmarkEnd w:id="122"/>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ind w:left="890" w:hanging="890"/>
      </w:pPr>
      <w:r>
        <w:tab/>
        <w:t>[Section 109 inserted: No. 80 of 1987 s. 20; amended: No 14 of 1996 s. 4.]</w:t>
      </w:r>
    </w:p>
    <w:p>
      <w:pPr>
        <w:pStyle w:val="Heading5"/>
        <w:rPr>
          <w:snapToGrid w:val="0"/>
        </w:rPr>
      </w:pPr>
      <w:bookmarkStart w:id="123" w:name="_Toc98767878"/>
      <w:r>
        <w:rPr>
          <w:rStyle w:val="CharSectno"/>
        </w:rPr>
        <w:t>110</w:t>
      </w:r>
      <w:r>
        <w:rPr>
          <w:snapToGrid w:val="0"/>
        </w:rPr>
        <w:t>.</w:t>
      </w:r>
      <w:r>
        <w:rPr>
          <w:snapToGrid w:val="0"/>
        </w:rPr>
        <w:tab/>
        <w:t>New cesspools for nightsoil forbidden</w:t>
      </w:r>
      <w:bookmarkEnd w:id="123"/>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ind w:left="890" w:hanging="890"/>
      </w:pPr>
      <w:r>
        <w:tab/>
        <w:t>[Section 110, formerly section 91, renumbered as section 110: No. 38 of 1933 s. 42; amended: No. 14 of 1996 s. 4.]</w:t>
      </w:r>
    </w:p>
    <w:p>
      <w:pPr>
        <w:pStyle w:val="Heading5"/>
        <w:rPr>
          <w:snapToGrid w:val="0"/>
        </w:rPr>
      </w:pPr>
      <w:bookmarkStart w:id="124" w:name="_Toc98767879"/>
      <w:r>
        <w:rPr>
          <w:rStyle w:val="CharSectno"/>
        </w:rPr>
        <w:t>111</w:t>
      </w:r>
      <w:r>
        <w:rPr>
          <w:snapToGrid w:val="0"/>
        </w:rPr>
        <w:t>.</w:t>
      </w:r>
      <w:r>
        <w:rPr>
          <w:snapToGrid w:val="0"/>
        </w:rPr>
        <w:tab/>
        <w:t>Local government may supply receptacles</w:t>
      </w:r>
      <w:bookmarkEnd w:id="124"/>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ind w:left="890" w:hanging="890"/>
      </w:pPr>
      <w:r>
        <w:tab/>
        <w:t>[Section 111, formerly section 92, renumbered as section 111: No. 38 of 1933 s. 42; amended: No. 102 of 1973 s. 8; No. 14 of 1996 s. 4; No. 36 of 2007 Sch. 4 cl. 4(4).]</w:t>
      </w:r>
    </w:p>
    <w:p>
      <w:pPr>
        <w:pStyle w:val="Heading3"/>
      </w:pPr>
      <w:bookmarkStart w:id="125" w:name="_Toc98504151"/>
      <w:bookmarkStart w:id="126" w:name="_Toc98504482"/>
      <w:bookmarkStart w:id="127" w:name="_Toc98767880"/>
      <w:r>
        <w:rPr>
          <w:rStyle w:val="CharDivNo"/>
        </w:rPr>
        <w:lastRenderedPageBreak/>
        <w:t>Division 5</w:t>
      </w:r>
      <w:r>
        <w:rPr>
          <w:snapToGrid w:val="0"/>
        </w:rPr>
        <w:t> — </w:t>
      </w:r>
      <w:r>
        <w:rPr>
          <w:rStyle w:val="CharDivText"/>
        </w:rPr>
        <w:t>Scavenging, cleansing, etc.</w:t>
      </w:r>
      <w:bookmarkEnd w:id="125"/>
      <w:bookmarkEnd w:id="126"/>
      <w:bookmarkEnd w:id="127"/>
    </w:p>
    <w:p>
      <w:pPr>
        <w:pStyle w:val="Heading5"/>
        <w:spacing w:before="180"/>
        <w:rPr>
          <w:snapToGrid w:val="0"/>
        </w:rPr>
      </w:pPr>
      <w:bookmarkStart w:id="128" w:name="_Toc98767881"/>
      <w:r>
        <w:rPr>
          <w:rStyle w:val="CharSectno"/>
        </w:rPr>
        <w:t>112</w:t>
      </w:r>
      <w:r>
        <w:rPr>
          <w:snapToGrid w:val="0"/>
        </w:rPr>
        <w:t>.</w:t>
      </w:r>
      <w:r>
        <w:rPr>
          <w:snapToGrid w:val="0"/>
        </w:rPr>
        <w:tab/>
        <w:t>Local government to provide for removal of refuse and cleansing works</w:t>
      </w:r>
      <w:bookmarkEnd w:id="128"/>
    </w:p>
    <w:p>
      <w:pPr>
        <w:pStyle w:val="Subsection"/>
        <w:spacing w:before="120"/>
        <w:rPr>
          <w:snapToGrid w:val="0"/>
        </w:rPr>
      </w:pPr>
      <w:r>
        <w:rPr>
          <w:snapToGrid w:val="0"/>
        </w:rPr>
        <w:tab/>
        <w:t>(1)</w:t>
      </w:r>
      <w:r>
        <w:rPr>
          <w:snapToGrid w:val="0"/>
        </w:rPr>
        <w:tab/>
        <w:t xml:space="preserve">A local government may, and when the </w:t>
      </w:r>
      <w:r>
        <w:t>Chief Health Officer</w:t>
      </w:r>
      <w:r>
        <w:rPr>
          <w:snapToGrid w:val="0"/>
        </w:rPr>
        <w:t xml:space="preserve">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spacing w:before="140"/>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spacing w:before="120"/>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20"/>
        <w:rPr>
          <w:snapToGrid w:val="0"/>
        </w:rPr>
      </w:pPr>
      <w:r>
        <w:rPr>
          <w:snapToGrid w:val="0"/>
        </w:rPr>
        <w:tab/>
        <w:t>(3)</w:t>
      </w:r>
      <w:r>
        <w:rPr>
          <w:snapToGrid w:val="0"/>
        </w:rPr>
        <w:tab/>
        <w:t xml:space="preserve">After the end of the year 1934 no nightsoil collected in one district shall be deposited in any other district, except with the consent of the local government of such other district, or of the </w:t>
      </w:r>
      <w:r>
        <w:t>Chief Health Officer</w:t>
      </w:r>
      <w:r>
        <w:rPr>
          <w:snapToGrid w:val="0"/>
        </w:rPr>
        <w:t>.</w:t>
      </w:r>
    </w:p>
    <w:p>
      <w:pPr>
        <w:pStyle w:val="Footnotesection"/>
        <w:keepLines w:val="0"/>
        <w:spacing w:before="100"/>
        <w:ind w:left="890" w:hanging="890"/>
      </w:pPr>
      <w:r>
        <w:tab/>
        <w:t xml:space="preserve">[Section 112, formerly section 93, amended: No. 17 of 1918 s. 11; No. 30 of 1932 s. 17; renumbered as section 112: No. 38 of 1933 s. 42; amended: No. 45 of 1954 s. 3; No. 38 of 1960 s. 3; No. 102 of 1972 s. 9; No. 28 of 1984 s. 45; No. 14 of 1996 </w:t>
      </w:r>
      <w:r>
        <w:lastRenderedPageBreak/>
        <w:t>s. 4; No. 28 of 1996 s. 8; No. 36 of 2007 Sch. 4 cl. 4(5); No. 19 of 2016 s. 100.]</w:t>
      </w:r>
    </w:p>
    <w:p>
      <w:pPr>
        <w:pStyle w:val="Ednotesection"/>
        <w:spacing w:before="240"/>
      </w:pPr>
      <w:r>
        <w:t>[</w:t>
      </w:r>
      <w:r>
        <w:rPr>
          <w:b/>
          <w:bCs/>
        </w:rPr>
        <w:t>112A.</w:t>
      </w:r>
      <w:r>
        <w:tab/>
        <w:t>Deleted: No. 36 of 2007 Sch. 4 cl. 4(6).]</w:t>
      </w:r>
    </w:p>
    <w:p>
      <w:pPr>
        <w:pStyle w:val="Heading5"/>
        <w:spacing w:before="240"/>
        <w:rPr>
          <w:snapToGrid w:val="0"/>
        </w:rPr>
      </w:pPr>
      <w:bookmarkStart w:id="129" w:name="_Toc98767882"/>
      <w:r>
        <w:rPr>
          <w:rStyle w:val="CharSectno"/>
        </w:rPr>
        <w:t>113</w:t>
      </w:r>
      <w:r>
        <w:rPr>
          <w:snapToGrid w:val="0"/>
        </w:rPr>
        <w:t>.</w:t>
      </w:r>
      <w:r>
        <w:rPr>
          <w:snapToGrid w:val="0"/>
        </w:rPr>
        <w:tab/>
        <w:t>Power of contractor to recover</w:t>
      </w:r>
      <w:bookmarkEnd w:id="129"/>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ind w:left="890" w:hanging="890"/>
      </w:pPr>
      <w:r>
        <w:tab/>
        <w:t>[Section 113, formerly section 94, amended: No. 30 of 1932 s. 18; renumbered as section 113: No. 38 of 1933 s. 42; amended: No. 102 of 1973 s. 10; No. 14 of 1996 s. 4; No. 28 of 1996 s. 9.]</w:t>
      </w:r>
    </w:p>
    <w:p>
      <w:pPr>
        <w:pStyle w:val="Heading5"/>
        <w:rPr>
          <w:snapToGrid w:val="0"/>
        </w:rPr>
      </w:pPr>
      <w:bookmarkStart w:id="130" w:name="_Toc98767883"/>
      <w:r>
        <w:rPr>
          <w:rStyle w:val="CharSectno"/>
        </w:rPr>
        <w:t>114</w:t>
      </w:r>
      <w:r>
        <w:rPr>
          <w:snapToGrid w:val="0"/>
        </w:rPr>
        <w:t>.</w:t>
      </w:r>
      <w:r>
        <w:rPr>
          <w:snapToGrid w:val="0"/>
        </w:rPr>
        <w:tab/>
        <w:t>Obstruction or hindrance of certain works penalised</w:t>
      </w:r>
      <w:bookmarkEnd w:id="130"/>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No. 80 of 1987 s. 21; amended: No. 59 of 1991 s. 5; No. 14 of 1996 s. 4; No. 28 of 1996 s. 21; No. 36 of 2007 Sch. 4 cl. 4(6).]</w:t>
      </w:r>
    </w:p>
    <w:p>
      <w:pPr>
        <w:pStyle w:val="Ednotesection"/>
      </w:pPr>
      <w:r>
        <w:t>[</w:t>
      </w:r>
      <w:r>
        <w:rPr>
          <w:b/>
          <w:bCs/>
        </w:rPr>
        <w:t>115.</w:t>
      </w:r>
      <w:r>
        <w:tab/>
        <w:t>Deleted: No. 36 of 2007 Sch. 4 cl. 4(6).]</w:t>
      </w:r>
    </w:p>
    <w:p>
      <w:pPr>
        <w:pStyle w:val="Heading5"/>
        <w:rPr>
          <w:snapToGrid w:val="0"/>
        </w:rPr>
      </w:pPr>
      <w:bookmarkStart w:id="131" w:name="_Toc98767884"/>
      <w:r>
        <w:rPr>
          <w:rStyle w:val="CharSectno"/>
        </w:rPr>
        <w:lastRenderedPageBreak/>
        <w:t>116</w:t>
      </w:r>
      <w:r>
        <w:rPr>
          <w:snapToGrid w:val="0"/>
        </w:rPr>
        <w:t>.</w:t>
      </w:r>
      <w:r>
        <w:rPr>
          <w:snapToGrid w:val="0"/>
        </w:rPr>
        <w:tab/>
        <w:t>Procedure when local government undertakes work</w:t>
      </w:r>
      <w:bookmarkEnd w:id="131"/>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 xml:space="preserve">The work shall be executed promptly, efficiently, and at regular and prescribed intervals, to the satisfaction of the </w:t>
      </w:r>
      <w:r>
        <w:t>Chief Health Officer</w:t>
      </w:r>
      <w:r>
        <w:rPr>
          <w:snapToGrid w:val="0"/>
        </w:rPr>
        <w:t xml:space="preserve">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keepNext/>
        <w:rPr>
          <w:snapToGrid w:val="0"/>
        </w:rPr>
      </w:pPr>
      <w:r>
        <w:rPr>
          <w:snapToGrid w:val="0"/>
        </w:rPr>
        <w:tab/>
        <w:t>(e)</w:t>
      </w:r>
      <w:r>
        <w:rPr>
          <w:snapToGrid w:val="0"/>
        </w:rPr>
        <w:tab/>
        <w:t>In paragraph (d) the</w:t>
      </w:r>
      <w:r>
        <w:rPr>
          <w:b/>
          <w:i/>
          <w:snapToGrid w:val="0"/>
        </w:rPr>
        <w:t xml:space="preserve"> </w:t>
      </w:r>
      <w:r>
        <w:rPr>
          <w:rStyle w:val="CharDefText"/>
        </w:rPr>
        <w:t>person in default</w:t>
      </w:r>
      <w:r>
        <w:rPr>
          <w:snapToGrid w:val="0"/>
        </w:rPr>
        <w:t xml:space="preserve"> means the contractor if the work is being executed by contract, or the officer in charge of the work if it is being executed by the local government.</w:t>
      </w:r>
    </w:p>
    <w:p>
      <w:pPr>
        <w:pStyle w:val="Footnotesection"/>
        <w:ind w:left="890" w:hanging="890"/>
      </w:pPr>
      <w:r>
        <w:tab/>
        <w:t>[Section 116, formerly section 97, renumbered as section 116: No. 38 of 1933 s. 42; amended: No. 113 of 1965 s. 8(1); No. 102 of 1973 s. 13; No. 28 of 1984 s. 45; No. 80 of 1987 s. 22; No. 14 of 1996 s. 4; No. 19 of 2016 s. 100.]</w:t>
      </w:r>
    </w:p>
    <w:p>
      <w:pPr>
        <w:pStyle w:val="Heading5"/>
        <w:rPr>
          <w:snapToGrid w:val="0"/>
        </w:rPr>
      </w:pPr>
      <w:bookmarkStart w:id="132" w:name="_Toc98767885"/>
      <w:r>
        <w:rPr>
          <w:rStyle w:val="CharSectno"/>
        </w:rPr>
        <w:t>117</w:t>
      </w:r>
      <w:r>
        <w:rPr>
          <w:snapToGrid w:val="0"/>
        </w:rPr>
        <w:t>.</w:t>
      </w:r>
      <w:r>
        <w:rPr>
          <w:snapToGrid w:val="0"/>
        </w:rPr>
        <w:tab/>
        <w:t>Cleansing common courts and passages</w:t>
      </w:r>
      <w:bookmarkEnd w:id="132"/>
    </w:p>
    <w:p>
      <w:pPr>
        <w:pStyle w:val="Subsection"/>
        <w:rPr>
          <w:snapToGrid w:val="0"/>
        </w:rPr>
      </w:pPr>
      <w:r>
        <w:rPr>
          <w:snapToGrid w:val="0"/>
        </w:rPr>
        <w:tab/>
        <w:t>(1)</w:t>
      </w:r>
      <w:r>
        <w:rPr>
          <w:snapToGrid w:val="0"/>
        </w:rPr>
        <w:tab/>
        <w:t xml:space="preserve">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w:t>
      </w:r>
      <w:r>
        <w:rPr>
          <w:snapToGrid w:val="0"/>
        </w:rPr>
        <w:lastRenderedPageBreak/>
        <w:t>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ind w:left="890" w:hanging="890"/>
      </w:pPr>
      <w:r>
        <w:tab/>
        <w:t>[Section 117, formerly section 98, renumbered as section 117: No. 38 of 1933 s. 42; amended: No. 14 of 1996 s. 4; No. 59 of 2004 s. 141.]</w:t>
      </w:r>
    </w:p>
    <w:p>
      <w:pPr>
        <w:pStyle w:val="Ednotesection"/>
      </w:pPr>
      <w:r>
        <w:t>[</w:t>
      </w:r>
      <w:r>
        <w:rPr>
          <w:b/>
          <w:bCs/>
        </w:rPr>
        <w:t>118.</w:t>
      </w:r>
      <w:r>
        <w:tab/>
        <w:t>Deleted: No. 36 of 2007 Sch. 4 cl. 4(6).]</w:t>
      </w:r>
    </w:p>
    <w:p>
      <w:pPr>
        <w:pStyle w:val="Heading5"/>
        <w:rPr>
          <w:snapToGrid w:val="0"/>
        </w:rPr>
      </w:pPr>
      <w:bookmarkStart w:id="133" w:name="_Toc98767886"/>
      <w:r>
        <w:rPr>
          <w:rStyle w:val="CharSectno"/>
        </w:rPr>
        <w:t>119</w:t>
      </w:r>
      <w:r>
        <w:rPr>
          <w:snapToGrid w:val="0"/>
        </w:rPr>
        <w:t>.</w:t>
      </w:r>
      <w:r>
        <w:rPr>
          <w:snapToGrid w:val="0"/>
        </w:rPr>
        <w:tab/>
        <w:t>Reserves for deposit of sewage, rubbish or refuse</w:t>
      </w:r>
      <w:bookmarkEnd w:id="133"/>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 xml:space="preserve">Provided that, in using any land for such purpose, the local government shall in every case conform to the requirements of the </w:t>
      </w:r>
      <w:r>
        <w:t>Chief Health Officer</w:t>
      </w:r>
      <w:r>
        <w:rPr>
          <w:snapToGrid w:val="0"/>
        </w:rPr>
        <w:t>, and if it fails or neglects so to do, then the Governor may revoke his consent, whereupon it shall be unlawful for the local government to use the land for such purpose.</w:t>
      </w:r>
    </w:p>
    <w:p>
      <w:pPr>
        <w:pStyle w:val="Footnotesection"/>
      </w:pPr>
      <w:r>
        <w:tab/>
        <w:t>[Section 119, formerly section 100, renumbered as section 119: No. 38 of 1933 s. 42; amended: No. 102 of 1973 s. 15; No. 28 of 1984 s. 45; No. 14 of 1996 s. 4; No. 19 of 2016 s. 100.]</w:t>
      </w:r>
    </w:p>
    <w:p>
      <w:pPr>
        <w:pStyle w:val="Heading5"/>
        <w:rPr>
          <w:snapToGrid w:val="0"/>
        </w:rPr>
      </w:pPr>
      <w:bookmarkStart w:id="134" w:name="_Toc98767887"/>
      <w:r>
        <w:rPr>
          <w:rStyle w:val="CharSectno"/>
        </w:rPr>
        <w:t>120</w:t>
      </w:r>
      <w:r>
        <w:rPr>
          <w:snapToGrid w:val="0"/>
        </w:rPr>
        <w:t>.</w:t>
      </w:r>
      <w:r>
        <w:rPr>
          <w:snapToGrid w:val="0"/>
        </w:rPr>
        <w:tab/>
        <w:t>Power to close depots</w:t>
      </w:r>
      <w:bookmarkEnd w:id="134"/>
    </w:p>
    <w:p>
      <w:pPr>
        <w:pStyle w:val="Subsection"/>
        <w:rPr>
          <w:snapToGrid w:val="0"/>
        </w:rPr>
      </w:pPr>
      <w:r>
        <w:rPr>
          <w:snapToGrid w:val="0"/>
        </w:rPr>
        <w:tab/>
        <w:t>(1)</w:t>
      </w:r>
      <w:r>
        <w:rPr>
          <w:snapToGrid w:val="0"/>
        </w:rPr>
        <w:tab/>
        <w:t xml:space="preserve">The </w:t>
      </w:r>
      <w:r>
        <w:t>Chief Health Officer</w:t>
      </w:r>
      <w:r>
        <w:rPr>
          <w:snapToGrid w:val="0"/>
        </w:rPr>
        <w:t xml:space="preserve"> may make such orders as he may think fit for improving the condition of, or for closing and prohibiting </w:t>
      </w:r>
      <w:r>
        <w:rPr>
          <w:snapToGrid w:val="0"/>
        </w:rPr>
        <w:lastRenderedPageBreak/>
        <w:t>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 xml:space="preserve">Where the </w:t>
      </w:r>
      <w:r>
        <w:t>Chief Health Officer</w:t>
      </w:r>
      <w:r>
        <w:rPr>
          <w:snapToGrid w:val="0"/>
        </w:rPr>
        <w:t xml:space="preserve"> makes an order prohibiting the further use of any such place, he may also order the surface of such place to be covered with a layer of clean earth, not less than 230 mm in depth.</w:t>
      </w:r>
    </w:p>
    <w:p>
      <w:pPr>
        <w:pStyle w:val="Subsection"/>
        <w:rPr>
          <w:snapToGrid w:val="0"/>
        </w:rPr>
      </w:pPr>
      <w:r>
        <w:rPr>
          <w:snapToGrid w:val="0"/>
        </w:rPr>
        <w:tab/>
        <w:t>(4)</w:t>
      </w:r>
      <w:r>
        <w:rPr>
          <w:snapToGrid w:val="0"/>
        </w:rPr>
        <w:tab/>
        <w:t xml:space="preserve">It shall be the duty of the owner of such place, and of any person, local government, or other authority by whom such place shall have been used for the deposit of sewage, refuse matter, or rubbish, to carry out the order of the </w:t>
      </w:r>
      <w:r>
        <w:t>Chief Health Officer</w:t>
      </w:r>
      <w:r>
        <w:rPr>
          <w:snapToGrid w:val="0"/>
        </w:rPr>
        <w:t>.</w:t>
      </w:r>
    </w:p>
    <w:p>
      <w:pPr>
        <w:pStyle w:val="Footnotesection"/>
        <w:keepLines w:val="0"/>
        <w:ind w:left="890" w:hanging="890"/>
      </w:pPr>
      <w:r>
        <w:tab/>
        <w:t>[Section 120, formerly section 101, amended: No. 17 of 1918 s. 12; renumbered as section 120: No. 38 of 1933 s. 42; amended: No. 94 of 1972 s. 4(1) (as amended: No. 93 of 1973 s. 4); No. 102 of 1973 s. 16; No. 28 of 1984 s. 45; No. 80 of 1987 s. 23; No. 14 of 1996 s. 4; No. 19 of 2016 s. 100.]</w:t>
      </w:r>
    </w:p>
    <w:p>
      <w:pPr>
        <w:pStyle w:val="Heading5"/>
        <w:spacing w:before="180"/>
        <w:rPr>
          <w:snapToGrid w:val="0"/>
        </w:rPr>
      </w:pPr>
      <w:bookmarkStart w:id="135" w:name="_Toc98767888"/>
      <w:r>
        <w:rPr>
          <w:rStyle w:val="CharSectno"/>
        </w:rPr>
        <w:t>121</w:t>
      </w:r>
      <w:r>
        <w:rPr>
          <w:snapToGrid w:val="0"/>
        </w:rPr>
        <w:t>.</w:t>
      </w:r>
      <w:r>
        <w:rPr>
          <w:snapToGrid w:val="0"/>
        </w:rPr>
        <w:tab/>
        <w:t>Building on sanitary depots</w:t>
      </w:r>
      <w:bookmarkEnd w:id="135"/>
    </w:p>
    <w:p>
      <w:pPr>
        <w:pStyle w:val="Subsection"/>
        <w:spacing w:before="120"/>
        <w:rPr>
          <w:snapToGrid w:val="0"/>
        </w:rPr>
      </w:pPr>
      <w:r>
        <w:rPr>
          <w:snapToGrid w:val="0"/>
        </w:rPr>
        <w:tab/>
        <w:t>(1)</w:t>
      </w:r>
      <w:r>
        <w:rPr>
          <w:snapToGrid w:val="0"/>
        </w:rPr>
        <w:tab/>
        <w:t xml:space="preserve">The </w:t>
      </w:r>
      <w:r>
        <w:t>Chief Health Officer</w:t>
      </w:r>
      <w:r>
        <w:rPr>
          <w:snapToGrid w:val="0"/>
        </w:rPr>
        <w:t xml:space="preserve"> may order that no building shall be erected on any such place until the whole surface is rendered impervious by asphalt or other means.</w:t>
      </w:r>
    </w:p>
    <w:p>
      <w:pPr>
        <w:pStyle w:val="Subsection"/>
        <w:spacing w:before="120"/>
        <w:rPr>
          <w:snapToGrid w:val="0"/>
        </w:rPr>
      </w:pPr>
      <w:r>
        <w:rPr>
          <w:snapToGrid w:val="0"/>
        </w:rPr>
        <w:tab/>
        <w:t>(2)</w:t>
      </w:r>
      <w:r>
        <w:rPr>
          <w:snapToGrid w:val="0"/>
        </w:rPr>
        <w:tab/>
        <w:t xml:space="preserve">Any person who, without the consent of the </w:t>
      </w:r>
      <w:r>
        <w:t>Chief Health Officer</w:t>
      </w:r>
      <w:r>
        <w:rPr>
          <w:snapToGrid w:val="0"/>
        </w:rPr>
        <w:t>, erects any building on such place, and who fails to remove the same when ordered so to do, commits an offence.</w:t>
      </w:r>
    </w:p>
    <w:p>
      <w:pPr>
        <w:pStyle w:val="Footnotesection"/>
      </w:pPr>
      <w:r>
        <w:tab/>
        <w:t>[Section 121, formerly section 102, renumbered as section 121: No. 38 of 1933 s. 42; amended: No. 113 of 1965 s. 8(1); No. 28 of 1984 s. 45; No. 80 of 1987 s. 24; No. 19 of 2016 s. 100.]</w:t>
      </w:r>
    </w:p>
    <w:p>
      <w:pPr>
        <w:pStyle w:val="Heading5"/>
        <w:spacing w:before="180"/>
        <w:rPr>
          <w:snapToGrid w:val="0"/>
        </w:rPr>
      </w:pPr>
      <w:bookmarkStart w:id="136" w:name="_Toc98767889"/>
      <w:r>
        <w:rPr>
          <w:rStyle w:val="CharSectno"/>
        </w:rPr>
        <w:t>122</w:t>
      </w:r>
      <w:r>
        <w:rPr>
          <w:snapToGrid w:val="0"/>
        </w:rPr>
        <w:t>.</w:t>
      </w:r>
      <w:r>
        <w:rPr>
          <w:snapToGrid w:val="0"/>
        </w:rPr>
        <w:tab/>
        <w:t>Provision for obtaining order for cleansing offensive watercourse or ditch on boundaries of districts</w:t>
      </w:r>
      <w:bookmarkEnd w:id="136"/>
    </w:p>
    <w:p>
      <w:pPr>
        <w:pStyle w:val="Subsection"/>
        <w:spacing w:before="120"/>
        <w:rPr>
          <w:snapToGrid w:val="0"/>
        </w:rPr>
      </w:pPr>
      <w:r>
        <w:rPr>
          <w:snapToGrid w:val="0"/>
        </w:rPr>
        <w:tab/>
      </w:r>
      <w:r>
        <w:rPr>
          <w:snapToGrid w:val="0"/>
        </w:rPr>
        <w:tab/>
        <w:t xml:space="preserve">In any case where any river (whether tidal or otherwise), watercourse, stream, or open ditch or drain, lying near to or on </w:t>
      </w:r>
      <w:r>
        <w:rPr>
          <w:snapToGrid w:val="0"/>
        </w:rPr>
        <w:lastRenderedPageBreak/>
        <w:t>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 xml:space="preserve">On the application of the </w:t>
      </w:r>
      <w:r>
        <w:t>Chief Health Officer</w:t>
      </w:r>
      <w:r>
        <w:rPr>
          <w:snapToGrid w:val="0"/>
        </w:rPr>
        <w:t xml:space="preserve">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spacing w:before="60"/>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spacing w:before="60"/>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spacing w:before="60"/>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spacing w:before="60"/>
        <w:rPr>
          <w:snapToGrid w:val="0"/>
        </w:rPr>
      </w:pPr>
      <w:r>
        <w:rPr>
          <w:snapToGrid w:val="0"/>
        </w:rPr>
        <w:tab/>
        <w:t>(d)</w:t>
      </w:r>
      <w:r>
        <w:rPr>
          <w:snapToGrid w:val="0"/>
        </w:rPr>
        <w:tab/>
        <w:t>prohibit the recurrence of the defect;</w:t>
      </w:r>
    </w:p>
    <w:p>
      <w:pPr>
        <w:pStyle w:val="Indenti"/>
        <w:spacing w:before="60"/>
        <w:rPr>
          <w:snapToGrid w:val="0"/>
        </w:rPr>
      </w:pPr>
      <w:r>
        <w:rPr>
          <w:snapToGrid w:val="0"/>
        </w:rPr>
        <w:tab/>
        <w:t>(e)</w:t>
      </w:r>
      <w:r>
        <w:rPr>
          <w:snapToGrid w:val="0"/>
        </w:rPr>
        <w:tab/>
        <w:t>give such other directions in the premises as it thinks fit.</w:t>
      </w:r>
    </w:p>
    <w:p>
      <w:pPr>
        <w:pStyle w:val="Indenta"/>
        <w:keepNext/>
        <w:keepLines/>
        <w:spacing w:before="160"/>
        <w:rPr>
          <w:snapToGrid w:val="0"/>
        </w:rPr>
      </w:pPr>
      <w:r>
        <w:rPr>
          <w:snapToGrid w:val="0"/>
        </w:rPr>
        <w:lastRenderedPageBreak/>
        <w:tab/>
        <w:t>(3)</w:t>
      </w:r>
      <w:r>
        <w:rPr>
          <w:snapToGrid w:val="0"/>
        </w:rPr>
        <w:tab/>
        <w:t xml:space="preserve">The court’s order may be varied or amended from time to time by subsequent order made by it on the application of the </w:t>
      </w:r>
      <w:r>
        <w:t>Chief Health Officer</w:t>
      </w:r>
      <w:r>
        <w:rPr>
          <w:snapToGrid w:val="0"/>
        </w:rPr>
        <w:t xml:space="preserve"> or any of the local governments, and after summons to show cause.</w:t>
      </w:r>
    </w:p>
    <w:p>
      <w:pPr>
        <w:pStyle w:val="Indenta"/>
        <w:spacing w:before="160"/>
        <w:rPr>
          <w:snapToGrid w:val="0"/>
        </w:rPr>
      </w:pPr>
      <w:r>
        <w:rPr>
          <w:snapToGrid w:val="0"/>
        </w:rPr>
        <w:tab/>
        <w:t>(4)</w:t>
      </w:r>
      <w:r>
        <w:rPr>
          <w:snapToGrid w:val="0"/>
        </w:rPr>
        <w:tab/>
        <w:t>Every order made by the court under this section shall, according to its tenor, bind all the local governments concerned.</w:t>
      </w:r>
    </w:p>
    <w:p>
      <w:pPr>
        <w:pStyle w:val="Indenta"/>
        <w:spacing w:before="160"/>
        <w:rPr>
          <w:snapToGrid w:val="0"/>
        </w:rPr>
      </w:pPr>
      <w:r>
        <w:rPr>
          <w:snapToGrid w:val="0"/>
        </w:rPr>
        <w:tab/>
        <w:t>(5)</w:t>
      </w:r>
      <w:r>
        <w:rPr>
          <w:snapToGrid w:val="0"/>
        </w:rPr>
        <w:tab/>
        <w:t xml:space="preserve">The </w:t>
      </w:r>
      <w:r>
        <w:t>Chief Health Officer</w:t>
      </w:r>
      <w:r>
        <w:rPr>
          <w:snapToGrid w:val="0"/>
        </w:rPr>
        <w:t xml:space="preserve"> may appoint an engineer or other competent person to supervise the execution of the works, and the expenses of such supervision shall be deemed to be part of the cost of the works.</w:t>
      </w:r>
    </w:p>
    <w:p>
      <w:pPr>
        <w:pStyle w:val="Indenta"/>
        <w:spacing w:before="160"/>
        <w:rPr>
          <w:snapToGrid w:val="0"/>
        </w:rPr>
      </w:pPr>
      <w:r>
        <w:rPr>
          <w:snapToGrid w:val="0"/>
        </w:rPr>
        <w:tab/>
        <w:t>(6)</w:t>
      </w:r>
      <w:r>
        <w:rPr>
          <w:snapToGrid w:val="0"/>
        </w:rPr>
        <w:tab/>
        <w:t xml:space="preserve">The works shall be executed with all reasonable diligence, and to the satisfaction of the </w:t>
      </w:r>
      <w:r>
        <w:t>Chief Health Officer</w:t>
      </w:r>
      <w:r>
        <w:rPr>
          <w:snapToGrid w:val="0"/>
        </w:rPr>
        <w:t xml:space="preserve"> or the person appointed to supervise as aforesaid; and if default is made in so doing, the </w:t>
      </w:r>
      <w:r>
        <w:t>Chief Health Officer</w:t>
      </w:r>
      <w:r>
        <w:rPr>
          <w:snapToGrid w:val="0"/>
        </w:rPr>
        <w:t xml:space="preserve"> may cause the works or any portion thereof to be executed at the cost in all things of the local government in default.</w:t>
      </w:r>
    </w:p>
    <w:p>
      <w:pPr>
        <w:pStyle w:val="Indenta"/>
        <w:spacing w:before="160"/>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spacing w:before="160"/>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spacing w:before="160"/>
        <w:rPr>
          <w:snapToGrid w:val="0"/>
        </w:rPr>
      </w:pPr>
      <w:r>
        <w:rPr>
          <w:snapToGrid w:val="0"/>
        </w:rPr>
        <w:tab/>
        <w:t>(9)</w:t>
      </w:r>
      <w:r>
        <w:rPr>
          <w:snapToGrid w:val="0"/>
        </w:rPr>
        <w:tab/>
        <w:t xml:space="preserve">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t>
      </w:r>
      <w:r>
        <w:rPr>
          <w:snapToGrid w:val="0"/>
        </w:rPr>
        <w:lastRenderedPageBreak/>
        <w:t>whole or a duly proportionate part of the costs incurred by it under this section.</w:t>
      </w:r>
    </w:p>
    <w:p>
      <w:pPr>
        <w:pStyle w:val="Footnotesection"/>
        <w:ind w:left="890" w:hanging="890"/>
      </w:pPr>
      <w:r>
        <w:tab/>
        <w:t>[Section 122, formerly section 103, renumbered as section 122: No. 38 of 1933 s. 42; amended: No. 28 of 1984 s. 45; No. 14 of 1996 s. 4; No. 59 of 2004 s. 141; No. 19 of 2016 s. 100.]</w:t>
      </w:r>
    </w:p>
    <w:p>
      <w:pPr>
        <w:pStyle w:val="Heading5"/>
        <w:rPr>
          <w:snapToGrid w:val="0"/>
        </w:rPr>
      </w:pPr>
      <w:bookmarkStart w:id="137" w:name="_Toc98767890"/>
      <w:r>
        <w:rPr>
          <w:rStyle w:val="CharSectno"/>
        </w:rPr>
        <w:t>123</w:t>
      </w:r>
      <w:r>
        <w:rPr>
          <w:snapToGrid w:val="0"/>
        </w:rPr>
        <w:t>.</w:t>
      </w:r>
      <w:r>
        <w:rPr>
          <w:snapToGrid w:val="0"/>
        </w:rPr>
        <w:tab/>
        <w:t>Access to sanitary reserves</w:t>
      </w:r>
      <w:bookmarkEnd w:id="137"/>
    </w:p>
    <w:p>
      <w:pPr>
        <w:pStyle w:val="Subsection"/>
        <w:rPr>
          <w:snapToGrid w:val="0"/>
        </w:rPr>
      </w:pPr>
      <w:r>
        <w:rPr>
          <w:snapToGrid w:val="0"/>
        </w:rPr>
        <w:tab/>
      </w:r>
      <w:r>
        <w:rPr>
          <w:snapToGrid w:val="0"/>
        </w:rPr>
        <w:tab/>
        <w:t>The local government may, with the approval of the Chief Health Officer, apply its funds in the construction and maintenance of roads or tramways outside its district so far as necessary to afford access to any sanitary reserve.</w:t>
      </w:r>
    </w:p>
    <w:p>
      <w:pPr>
        <w:pStyle w:val="Footnotesection"/>
        <w:ind w:left="890" w:hanging="890"/>
      </w:pPr>
      <w:r>
        <w:tab/>
        <w:t>[Section 123, formerly section 104, renumbered as section 123: No. 38 of 1933 s. 42; amended: No. 28 of 1984 s. 45; No. 14 of 1996 s. 4; No. 19 of 2016 s. 100.]</w:t>
      </w:r>
    </w:p>
    <w:p>
      <w:pPr>
        <w:pStyle w:val="Ednotedivision"/>
      </w:pPr>
      <w:r>
        <w:t>[Division 6</w:t>
      </w:r>
      <w:r>
        <w:rPr>
          <w:b/>
        </w:rPr>
        <w:t xml:space="preserve"> </w:t>
      </w:r>
      <w:r>
        <w:t>(124-128) deleted: No. 19 of 2016 s. 11.]</w:t>
      </w:r>
    </w:p>
    <w:p>
      <w:pPr>
        <w:pStyle w:val="Heading3"/>
      </w:pPr>
      <w:bookmarkStart w:id="138" w:name="_Toc98504162"/>
      <w:bookmarkStart w:id="139" w:name="_Toc98504493"/>
      <w:bookmarkStart w:id="140" w:name="_Toc98767891"/>
      <w:r>
        <w:rPr>
          <w:rStyle w:val="CharDivNo"/>
        </w:rPr>
        <w:t>Division 7</w:t>
      </w:r>
      <w:r>
        <w:rPr>
          <w:snapToGrid w:val="0"/>
        </w:rPr>
        <w:t> — </w:t>
      </w:r>
      <w:r>
        <w:rPr>
          <w:rStyle w:val="CharDivText"/>
        </w:rPr>
        <w:t>Pollution of water</w:t>
      </w:r>
      <w:bookmarkEnd w:id="138"/>
      <w:bookmarkEnd w:id="139"/>
      <w:bookmarkEnd w:id="140"/>
    </w:p>
    <w:p>
      <w:pPr>
        <w:pStyle w:val="Heading5"/>
        <w:rPr>
          <w:snapToGrid w:val="0"/>
        </w:rPr>
      </w:pPr>
      <w:bookmarkStart w:id="141" w:name="_Toc98767892"/>
      <w:r>
        <w:rPr>
          <w:rStyle w:val="CharSectno"/>
        </w:rPr>
        <w:t>129</w:t>
      </w:r>
      <w:r>
        <w:rPr>
          <w:snapToGrid w:val="0"/>
        </w:rPr>
        <w:t>.</w:t>
      </w:r>
      <w:r>
        <w:rPr>
          <w:snapToGrid w:val="0"/>
        </w:rPr>
        <w:tab/>
        <w:t>Pollution of water supply</w:t>
      </w:r>
      <w:bookmarkEnd w:id="14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keepNext/>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spacing w:before="160"/>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formerly section 110, amended: No. 17 of 1918 s. 13; renumbered as section 129: No. 38 of 1933 s. 42; amended: No. 113 of 1965 s. 8(1); No. 80 of 1987 s. 26.]</w:t>
      </w:r>
    </w:p>
    <w:p>
      <w:pPr>
        <w:pStyle w:val="Heading5"/>
        <w:rPr>
          <w:snapToGrid w:val="0"/>
        </w:rPr>
      </w:pPr>
      <w:bookmarkStart w:id="142" w:name="_Toc98767893"/>
      <w:r>
        <w:rPr>
          <w:rStyle w:val="CharSectno"/>
        </w:rPr>
        <w:lastRenderedPageBreak/>
        <w:t>130</w:t>
      </w:r>
      <w:r>
        <w:rPr>
          <w:snapToGrid w:val="0"/>
        </w:rPr>
        <w:t>.</w:t>
      </w:r>
      <w:r>
        <w:rPr>
          <w:snapToGrid w:val="0"/>
        </w:rPr>
        <w:tab/>
        <w:t>Riparian rights</w:t>
      </w:r>
      <w:bookmarkEnd w:id="142"/>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ind w:left="890" w:hanging="890"/>
      </w:pPr>
      <w:r>
        <w:tab/>
        <w:t>[Section 130, formerly section 111, renumbered as section 130: No. 38 of 1933 s. 42; amended: No. 14 of 1996 s. 4.]</w:t>
      </w:r>
    </w:p>
    <w:p>
      <w:pPr>
        <w:pStyle w:val="Heading5"/>
        <w:rPr>
          <w:snapToGrid w:val="0"/>
        </w:rPr>
      </w:pPr>
      <w:bookmarkStart w:id="143" w:name="_Toc98767894"/>
      <w:r>
        <w:rPr>
          <w:rStyle w:val="CharSectno"/>
        </w:rPr>
        <w:t>131</w:t>
      </w:r>
      <w:r>
        <w:rPr>
          <w:snapToGrid w:val="0"/>
        </w:rPr>
        <w:t>.</w:t>
      </w:r>
      <w:r>
        <w:rPr>
          <w:snapToGrid w:val="0"/>
        </w:rPr>
        <w:tab/>
        <w:t>Sources of water supply may be closed</w:t>
      </w:r>
      <w:bookmarkEnd w:id="143"/>
    </w:p>
    <w:p>
      <w:pPr>
        <w:pStyle w:val="Subsection"/>
        <w:rPr>
          <w:snapToGrid w:val="0"/>
        </w:rPr>
      </w:pPr>
      <w:r>
        <w:rPr>
          <w:snapToGrid w:val="0"/>
        </w:rPr>
        <w:tab/>
        <w:t>(1)</w:t>
      </w:r>
      <w:r>
        <w:rPr>
          <w:snapToGrid w:val="0"/>
        </w:rPr>
        <w:tab/>
        <w:t xml:space="preserve">The local government may, and if so required by the </w:t>
      </w:r>
      <w:r>
        <w:t>Chief Health Officer</w:t>
      </w:r>
      <w:r>
        <w:rPr>
          <w:snapToGrid w:val="0"/>
        </w:rPr>
        <w:t xml:space="preserve"> shall, direct that any water supply, which in the opinion of </w:t>
      </w:r>
      <w:r>
        <w:t>the Chief Health Officer</w:t>
      </w:r>
      <w:r>
        <w:rPr>
          <w:snapToGrid w:val="0"/>
        </w:rPr>
        <w:t>,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 xml:space="preserve">When any water supply has been directed to be closed the local government may, and shall, if the </w:t>
      </w:r>
      <w:r>
        <w:t>Chief Health Officer</w:t>
      </w:r>
      <w:r>
        <w:rPr>
          <w:snapToGrid w:val="0"/>
        </w:rPr>
        <w:t xml:space="preserve"> so directs, take all such steps, whether by filling in the water supply or otherwise, as shall be necessary to prevent the further use of such supply.</w:t>
      </w:r>
    </w:p>
    <w:p>
      <w:pPr>
        <w:pStyle w:val="Footnotesection"/>
        <w:ind w:left="890" w:hanging="890"/>
      </w:pPr>
      <w:r>
        <w:tab/>
        <w:t>[Section 131, formerly section 112, amended: No. 17 of 1918 s. 14; renumbered as section 131: No. 38 of 1933 s. 42; amended: No. 28 of 1984 s. 45; No. 80 of 1987 s. 27; No. 14 of 1996 s. 4; No. 19 of 2016 s. 99 and 100.]</w:t>
      </w:r>
    </w:p>
    <w:p>
      <w:pPr>
        <w:pStyle w:val="Heading5"/>
        <w:rPr>
          <w:snapToGrid w:val="0"/>
        </w:rPr>
      </w:pPr>
      <w:bookmarkStart w:id="144" w:name="_Toc98767895"/>
      <w:r>
        <w:rPr>
          <w:rStyle w:val="CharSectno"/>
        </w:rPr>
        <w:lastRenderedPageBreak/>
        <w:t>132</w:t>
      </w:r>
      <w:r>
        <w:rPr>
          <w:snapToGrid w:val="0"/>
        </w:rPr>
        <w:t>.</w:t>
      </w:r>
      <w:r>
        <w:rPr>
          <w:snapToGrid w:val="0"/>
        </w:rPr>
        <w:tab/>
        <w:t>Power to seize and destroy pigs etc. trespassing on rivers etc.</w:t>
      </w:r>
      <w:bookmarkEnd w:id="144"/>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ind w:left="890" w:hanging="890"/>
      </w:pPr>
      <w:r>
        <w:tab/>
        <w:t>[Section 132, formerly section 113, amended: No. 30 of 1932 s. 19; renumbered as section 132: No. 38 of 1933 s. 42; amended: No. 80 of 1987 s. 28; No. 14 of 1996 s. 4.]</w:t>
      </w:r>
    </w:p>
    <w:p>
      <w:pPr>
        <w:pStyle w:val="Heading3"/>
      </w:pPr>
      <w:bookmarkStart w:id="145" w:name="_Toc98504167"/>
      <w:bookmarkStart w:id="146" w:name="_Toc98504498"/>
      <w:bookmarkStart w:id="147" w:name="_Toc98767896"/>
      <w:r>
        <w:rPr>
          <w:rStyle w:val="CharDivNo"/>
        </w:rPr>
        <w:t>Division 8</w:t>
      </w:r>
      <w:r>
        <w:rPr>
          <w:snapToGrid w:val="0"/>
        </w:rPr>
        <w:t> — </w:t>
      </w:r>
      <w:r>
        <w:rPr>
          <w:rStyle w:val="CharDivText"/>
        </w:rPr>
        <w:t>Morgues</w:t>
      </w:r>
      <w:bookmarkEnd w:id="145"/>
      <w:bookmarkEnd w:id="146"/>
      <w:bookmarkEnd w:id="147"/>
    </w:p>
    <w:p>
      <w:pPr>
        <w:pStyle w:val="Heading5"/>
        <w:rPr>
          <w:snapToGrid w:val="0"/>
        </w:rPr>
      </w:pPr>
      <w:bookmarkStart w:id="148" w:name="_Toc98767897"/>
      <w:r>
        <w:rPr>
          <w:rStyle w:val="CharSectno"/>
        </w:rPr>
        <w:t>133</w:t>
      </w:r>
      <w:r>
        <w:rPr>
          <w:snapToGrid w:val="0"/>
        </w:rPr>
        <w:t>.</w:t>
      </w:r>
      <w:r>
        <w:rPr>
          <w:snapToGrid w:val="0"/>
        </w:rPr>
        <w:tab/>
        <w:t>Local government may license morgues</w:t>
      </w:r>
      <w:bookmarkEnd w:id="148"/>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keepNext/>
        <w:rPr>
          <w:snapToGrid w:val="0"/>
        </w:rPr>
      </w:pPr>
      <w:r>
        <w:rPr>
          <w:snapToGrid w:val="0"/>
        </w:rPr>
        <w:lastRenderedPageBreak/>
        <w:tab/>
        <w:t>(3)</w:t>
      </w:r>
      <w:r>
        <w:rPr>
          <w:snapToGrid w:val="0"/>
        </w:rPr>
        <w:tab/>
        <w:t>The provisions of this section shall not apply to any public hospital, or to any morgue established by the local government, or to any police morgue.</w:t>
      </w:r>
    </w:p>
    <w:p>
      <w:pPr>
        <w:pStyle w:val="Footnotesection"/>
        <w:ind w:left="890" w:hanging="890"/>
      </w:pPr>
      <w:r>
        <w:tab/>
        <w:t>[Section 133, formerly section 114, renumbered as section 133: No. 38 of 1933 s. 42; amended: No. 113 of 1965 s. 8(1); No. 80 of 1987 s. 29; No. 14 of 1996 s. 4.]</w:t>
      </w:r>
    </w:p>
    <w:p>
      <w:pPr>
        <w:pStyle w:val="Heading3"/>
        <w:keepLines/>
        <w:rPr>
          <w:snapToGrid w:val="0"/>
        </w:rPr>
      </w:pPr>
      <w:bookmarkStart w:id="149" w:name="_Toc98504169"/>
      <w:bookmarkStart w:id="150" w:name="_Toc98504500"/>
      <w:bookmarkStart w:id="151" w:name="_Toc98767898"/>
      <w:r>
        <w:rPr>
          <w:rStyle w:val="CharDivNo"/>
        </w:rPr>
        <w:t>Division 9</w:t>
      </w:r>
      <w:r>
        <w:rPr>
          <w:snapToGrid w:val="0"/>
        </w:rPr>
        <w:t> — </w:t>
      </w:r>
      <w:r>
        <w:rPr>
          <w:rStyle w:val="CharDivText"/>
        </w:rPr>
        <w:t>Local laws</w:t>
      </w:r>
      <w:bookmarkEnd w:id="149"/>
      <w:bookmarkEnd w:id="150"/>
      <w:bookmarkEnd w:id="151"/>
    </w:p>
    <w:p>
      <w:pPr>
        <w:pStyle w:val="Footnoteheading"/>
        <w:keepNext/>
        <w:keepLines/>
        <w:ind w:left="890" w:hanging="890"/>
        <w:rPr>
          <w:snapToGrid w:val="0"/>
        </w:rPr>
      </w:pPr>
      <w:r>
        <w:rPr>
          <w:snapToGrid w:val="0"/>
        </w:rPr>
        <w:tab/>
        <w:t>[Heading amended:</w:t>
      </w:r>
      <w:r>
        <w:t xml:space="preserve"> </w:t>
      </w:r>
      <w:r>
        <w:rPr>
          <w:snapToGrid w:val="0"/>
        </w:rPr>
        <w:t>No. 14 of 1996 s. 4.]</w:t>
      </w:r>
    </w:p>
    <w:p>
      <w:pPr>
        <w:pStyle w:val="Heading5"/>
        <w:rPr>
          <w:snapToGrid w:val="0"/>
        </w:rPr>
      </w:pPr>
      <w:bookmarkStart w:id="152" w:name="_Toc98767899"/>
      <w:r>
        <w:rPr>
          <w:rStyle w:val="CharSectno"/>
        </w:rPr>
        <w:t>134</w:t>
      </w:r>
      <w:r>
        <w:rPr>
          <w:snapToGrid w:val="0"/>
        </w:rPr>
        <w:t>.</w:t>
      </w:r>
      <w:r>
        <w:rPr>
          <w:snapToGrid w:val="0"/>
        </w:rPr>
        <w:tab/>
        <w:t>Purposes for which local laws may be made</w:t>
      </w:r>
      <w:bookmarkEnd w:id="152"/>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10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spacing w:before="100"/>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spacing w:before="100"/>
        <w:rPr>
          <w:snapToGrid w:val="0"/>
        </w:rPr>
      </w:pPr>
      <w:r>
        <w:rPr>
          <w:snapToGrid w:val="0"/>
        </w:rPr>
        <w:tab/>
        <w:t>(3)</w:t>
      </w:r>
      <w:r>
        <w:rPr>
          <w:snapToGrid w:val="0"/>
        </w:rPr>
        <w:tab/>
        <w:t>Prescribing the purposes for which any drains or sewers shall be used or applied.</w:t>
      </w:r>
    </w:p>
    <w:p>
      <w:pPr>
        <w:pStyle w:val="Indenta"/>
        <w:spacing w:before="100"/>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spacing w:before="100"/>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spacing w:before="100"/>
        <w:rPr>
          <w:snapToGrid w:val="0"/>
        </w:rPr>
      </w:pPr>
      <w:r>
        <w:rPr>
          <w:snapToGrid w:val="0"/>
        </w:rPr>
        <w:lastRenderedPageBreak/>
        <w:tab/>
        <w:t>(6)</w:t>
      </w:r>
      <w:r>
        <w:rPr>
          <w:snapToGrid w:val="0"/>
        </w:rPr>
        <w:tab/>
        <w:t>Prescribing the fees payable for tapping the mains or connecting with the sewers of the local government.</w:t>
      </w:r>
    </w:p>
    <w:p>
      <w:pPr>
        <w:pStyle w:val="Indenta"/>
        <w:spacing w:before="100"/>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spacing w:before="100"/>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spacing w:before="100"/>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100"/>
        <w:ind w:left="1610" w:hanging="1610"/>
      </w:pPr>
      <w:r>
        <w:tab/>
        <w:t>[(10), (11)</w:t>
      </w:r>
      <w:r>
        <w:tab/>
        <w:t>deleted]</w:t>
      </w:r>
    </w:p>
    <w:p>
      <w:pPr>
        <w:pStyle w:val="Indenta"/>
        <w:spacing w:before="100"/>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spacing w:before="100"/>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spacing w:before="100"/>
        <w:rPr>
          <w:snapToGrid w:val="0"/>
        </w:rPr>
      </w:pPr>
      <w:r>
        <w:rPr>
          <w:snapToGrid w:val="0"/>
        </w:rPr>
        <w:tab/>
        <w:t>(14)</w:t>
      </w:r>
      <w:r>
        <w:rPr>
          <w:snapToGrid w:val="0"/>
        </w:rPr>
        <w:tab/>
        <w:t>The provision of water for sanitation purposes by either of the following methods, namely —</w:t>
      </w:r>
    </w:p>
    <w:p>
      <w:pPr>
        <w:pStyle w:val="Indenti"/>
        <w:spacing w:before="100"/>
        <w:rPr>
          <w:snapToGrid w:val="0"/>
        </w:rPr>
      </w:pPr>
      <w:r>
        <w:rPr>
          <w:snapToGrid w:val="0"/>
        </w:rPr>
        <w:tab/>
        <w:t>(i)</w:t>
      </w:r>
      <w:r>
        <w:rPr>
          <w:snapToGrid w:val="0"/>
        </w:rPr>
        <w:tab/>
        <w:t>the supply of water from established water supplies and the reticulation thereof to bathrooms, kitchens and laundries; or</w:t>
      </w:r>
    </w:p>
    <w:p>
      <w:pPr>
        <w:pStyle w:val="Indenti"/>
        <w:spacing w:before="100"/>
        <w:rPr>
          <w:snapToGrid w:val="0"/>
        </w:rPr>
      </w:pPr>
      <w:r>
        <w:rPr>
          <w:snapToGrid w:val="0"/>
        </w:rPr>
        <w:tab/>
        <w:t>(ii)</w:t>
      </w:r>
      <w:r>
        <w:rPr>
          <w:snapToGrid w:val="0"/>
        </w:rPr>
        <w:tab/>
        <w:t>the provision of wells and equipment; or</w:t>
      </w:r>
    </w:p>
    <w:p>
      <w:pPr>
        <w:pStyle w:val="Indenti"/>
        <w:spacing w:before="100"/>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spacing w:before="100"/>
        <w:rPr>
          <w:snapToGrid w:val="0"/>
        </w:rPr>
      </w:pPr>
      <w:r>
        <w:rPr>
          <w:snapToGrid w:val="0"/>
        </w:rPr>
        <w:lastRenderedPageBreak/>
        <w:tab/>
      </w:r>
      <w:r>
        <w:rPr>
          <w:snapToGrid w:val="0"/>
        </w:rPr>
        <w:tab/>
        <w:t>Provided that a water storage tank used for sanitation purposes in connection with a house or other premises shall be deemed sufficient if it has a capacity of not less than 4.5 m</w:t>
      </w:r>
      <w:r>
        <w:rPr>
          <w:snapToGrid w:val="0"/>
          <w:vertAlign w:val="superscript"/>
        </w:rPr>
        <w:t>3</w:t>
      </w:r>
      <w:r>
        <w:rPr>
          <w:snapToGrid w:val="0"/>
        </w:rPr>
        <w:t>.</w:t>
      </w:r>
    </w:p>
    <w:p>
      <w:pPr>
        <w:pStyle w:val="Indenta"/>
        <w:spacing w:before="100"/>
        <w:rPr>
          <w:snapToGrid w:val="0"/>
        </w:rPr>
      </w:pPr>
      <w:r>
        <w:rPr>
          <w:snapToGrid w:val="0"/>
        </w:rPr>
        <w:tab/>
        <w:t>(15)</w:t>
      </w:r>
      <w:r>
        <w:rPr>
          <w:snapToGrid w:val="0"/>
        </w:rPr>
        <w:tab/>
        <w:t>Requiring the foundations of any new building, and the ground on which the same is erected, to be dry, sound, and well drained.</w:t>
      </w:r>
    </w:p>
    <w:p>
      <w:pPr>
        <w:pStyle w:val="Indenta"/>
        <w:spacing w:before="100"/>
        <w:rPr>
          <w:snapToGrid w:val="0"/>
        </w:rPr>
      </w:pPr>
      <w:r>
        <w:rPr>
          <w:snapToGrid w:val="0"/>
        </w:rPr>
        <w:tab/>
        <w:t>(16)</w:t>
      </w:r>
      <w:r>
        <w:rPr>
          <w:snapToGrid w:val="0"/>
        </w:rPr>
        <w:tab/>
        <w:t>The establishment, use, and control of sanitary conveniences for public accommodation.</w:t>
      </w:r>
    </w:p>
    <w:p>
      <w:pPr>
        <w:pStyle w:val="Indenta"/>
        <w:spacing w:before="100"/>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spacing w:before="100"/>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spacing w:before="100"/>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100"/>
        <w:ind w:left="1610" w:hanging="1610"/>
      </w:pPr>
      <w:r>
        <w:tab/>
        <w:t>[(20)-(24)</w:t>
      </w:r>
      <w:r>
        <w:tab/>
        <w:t>deleted]</w:t>
      </w:r>
    </w:p>
    <w:p>
      <w:pPr>
        <w:pStyle w:val="Indenta"/>
        <w:spacing w:before="100"/>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spacing w:before="100"/>
        <w:rPr>
          <w:snapToGrid w:val="0"/>
        </w:rPr>
      </w:pPr>
      <w:r>
        <w:rPr>
          <w:snapToGrid w:val="0"/>
        </w:rPr>
        <w:lastRenderedPageBreak/>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spacing w:before="100"/>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spacing w:before="100"/>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spacing w:before="100"/>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spacing w:before="100"/>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100"/>
        <w:ind w:left="1610" w:hanging="1610"/>
      </w:pPr>
      <w:r>
        <w:tab/>
        <w:t>[(30)</w:t>
      </w:r>
      <w:r>
        <w:tab/>
        <w:t>deleted]</w:t>
      </w:r>
    </w:p>
    <w:p>
      <w:pPr>
        <w:pStyle w:val="Indenta"/>
        <w:spacing w:before="100"/>
        <w:rPr>
          <w:snapToGrid w:val="0"/>
        </w:rPr>
      </w:pPr>
      <w:r>
        <w:rPr>
          <w:snapToGrid w:val="0"/>
        </w:rPr>
        <w:tab/>
        <w:t>(31)</w:t>
      </w:r>
      <w:r>
        <w:rPr>
          <w:snapToGrid w:val="0"/>
        </w:rPr>
        <w:tab/>
        <w:t>Determining to whom and on what conditions licences to remove nightsoil shall be issued.</w:t>
      </w:r>
    </w:p>
    <w:p>
      <w:pPr>
        <w:pStyle w:val="Indenta"/>
        <w:spacing w:before="100"/>
        <w:rPr>
          <w:snapToGrid w:val="0"/>
        </w:rPr>
      </w:pPr>
      <w:r>
        <w:rPr>
          <w:snapToGrid w:val="0"/>
        </w:rPr>
        <w:tab/>
        <w:t>(32)</w:t>
      </w:r>
      <w:r>
        <w:rPr>
          <w:snapToGrid w:val="0"/>
        </w:rPr>
        <w:tab/>
        <w:t>Imposing penalties on licensees for breach of conditions.</w:t>
      </w:r>
    </w:p>
    <w:p>
      <w:pPr>
        <w:pStyle w:val="Indenta"/>
        <w:spacing w:before="100"/>
        <w:rPr>
          <w:snapToGrid w:val="0"/>
        </w:rPr>
      </w:pPr>
      <w:r>
        <w:rPr>
          <w:snapToGrid w:val="0"/>
        </w:rPr>
        <w:tab/>
        <w:t>(33)</w:t>
      </w:r>
      <w:r>
        <w:rPr>
          <w:snapToGrid w:val="0"/>
        </w:rPr>
        <w:tab/>
        <w:t>Making the use of a sufficient quantity of suitable disinfectant or deodorant compulsory.</w:t>
      </w:r>
    </w:p>
    <w:p>
      <w:pPr>
        <w:pStyle w:val="Indenta"/>
        <w:spacing w:before="100"/>
        <w:rPr>
          <w:snapToGrid w:val="0"/>
        </w:rPr>
      </w:pPr>
      <w:r>
        <w:rPr>
          <w:snapToGrid w:val="0"/>
        </w:rPr>
        <w:tab/>
        <w:t>(34)</w:t>
      </w:r>
      <w:r>
        <w:rPr>
          <w:snapToGrid w:val="0"/>
        </w:rPr>
        <w:tab/>
        <w:t>Regulating the disposal of nightsoil, urine, and refuse.</w:t>
      </w:r>
    </w:p>
    <w:p>
      <w:pPr>
        <w:pStyle w:val="Indenta"/>
        <w:spacing w:before="100"/>
        <w:rPr>
          <w:snapToGrid w:val="0"/>
        </w:rPr>
      </w:pPr>
      <w:r>
        <w:rPr>
          <w:snapToGrid w:val="0"/>
        </w:rPr>
        <w:tab/>
        <w:t>(35)</w:t>
      </w:r>
      <w:r>
        <w:rPr>
          <w:snapToGrid w:val="0"/>
        </w:rPr>
        <w:tab/>
        <w:t xml:space="preserve">Regulating the collection and disposal of pig swill, providing for the annual registration of collectors of pig swill, prescribing the conditions of and fees for registration, prohibiting any unregistered person from </w:t>
      </w:r>
      <w:r>
        <w:rPr>
          <w:snapToGrid w:val="0"/>
        </w:rPr>
        <w:lastRenderedPageBreak/>
        <w:t>undertaking such collection or from disposing of pig swill, prescribing the mode, means and hours of collection, and compelling notification to the local government of the premises from which a collector has contracted to collect pig swill.</w:t>
      </w:r>
    </w:p>
    <w:p>
      <w:pPr>
        <w:pStyle w:val="Indenta"/>
        <w:spacing w:before="100"/>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spacing w:before="100"/>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lastRenderedPageBreak/>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100"/>
        <w:rPr>
          <w:snapToGrid w:val="0"/>
        </w:rPr>
      </w:pPr>
      <w:r>
        <w:rPr>
          <w:snapToGrid w:val="0"/>
        </w:rPr>
        <w:tab/>
        <w:t>(i)</w:t>
      </w:r>
      <w:r>
        <w:rPr>
          <w:snapToGrid w:val="0"/>
        </w:rPr>
        <w:tab/>
        <w:t>to prevent and abate any nuisance in such an amenity or facility; and</w:t>
      </w:r>
    </w:p>
    <w:p>
      <w:pPr>
        <w:pStyle w:val="Indenti"/>
        <w:spacing w:before="10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100"/>
        <w:rPr>
          <w:snapToGrid w:val="0"/>
        </w:rPr>
      </w:pPr>
      <w:r>
        <w:tab/>
        <w:t>[(49)</w:t>
      </w:r>
      <w:r>
        <w:tab/>
        <w:t>deleted]</w:t>
      </w:r>
    </w:p>
    <w:p>
      <w:pPr>
        <w:pStyle w:val="Indenta"/>
        <w:keepNext/>
        <w:keepLines/>
        <w:spacing w:before="100"/>
        <w:rPr>
          <w:snapToGrid w:val="0"/>
        </w:rPr>
      </w:pPr>
      <w:r>
        <w:rPr>
          <w:snapToGrid w:val="0"/>
        </w:rPr>
        <w:tab/>
        <w:t>(50)</w:t>
      </w:r>
      <w:r>
        <w:rPr>
          <w:snapToGrid w:val="0"/>
        </w:rPr>
        <w:tab/>
        <w:t>Prescribing what matters and things shall be observed and done and by what persons, for the purposes of —</w:t>
      </w:r>
    </w:p>
    <w:p>
      <w:pPr>
        <w:pStyle w:val="Indenti"/>
        <w:spacing w:before="100"/>
        <w:rPr>
          <w:snapToGrid w:val="0"/>
        </w:rPr>
      </w:pPr>
      <w:r>
        <w:rPr>
          <w:snapToGrid w:val="0"/>
        </w:rPr>
        <w:tab/>
        <w:t>(i)</w:t>
      </w:r>
      <w:r>
        <w:rPr>
          <w:snapToGrid w:val="0"/>
        </w:rPr>
        <w:tab/>
        <w:t>preventing rodents entering premises;</w:t>
      </w:r>
    </w:p>
    <w:p>
      <w:pPr>
        <w:pStyle w:val="Indenti"/>
        <w:spacing w:before="100"/>
        <w:rPr>
          <w:snapToGrid w:val="0"/>
        </w:rPr>
      </w:pPr>
      <w:r>
        <w:rPr>
          <w:snapToGrid w:val="0"/>
        </w:rPr>
        <w:tab/>
        <w:t>(ii)</w:t>
      </w:r>
      <w:r>
        <w:rPr>
          <w:snapToGrid w:val="0"/>
        </w:rPr>
        <w:tab/>
        <w:t>rendering premises free of rodents;</w:t>
      </w:r>
    </w:p>
    <w:p>
      <w:pPr>
        <w:pStyle w:val="Indenti"/>
        <w:spacing w:before="100"/>
        <w:rPr>
          <w:snapToGrid w:val="0"/>
        </w:rPr>
      </w:pPr>
      <w:r>
        <w:rPr>
          <w:snapToGrid w:val="0"/>
        </w:rPr>
        <w:tab/>
        <w:t>(iii)</w:t>
      </w:r>
      <w:r>
        <w:rPr>
          <w:snapToGrid w:val="0"/>
        </w:rPr>
        <w:tab/>
        <w:t>keeping premises free of rodents;</w:t>
      </w:r>
    </w:p>
    <w:p>
      <w:pPr>
        <w:pStyle w:val="Indenta"/>
        <w:spacing w:before="100"/>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spacing w:before="100"/>
        <w:rPr>
          <w:snapToGrid w:val="0"/>
        </w:rPr>
      </w:pPr>
      <w:r>
        <w:rPr>
          <w:snapToGrid w:val="0"/>
        </w:rPr>
        <w:lastRenderedPageBreak/>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spacing w:before="100"/>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formerly section 115, amended: No. 17 of 1918 s. 15; No. 50 of 1926 s. 8; No. 30 of 1932 s. 20; No. 38 of 1933 s. 41; renumbered as section 134: No. 38 of 1933 s. 42; amended: No. 16 of 1935 s. 6; No. 21 of 1944 s. 5; No. 71 of 1948 s. 4; No. 25 of 1952 s. 4; No. 45 of 1954 s. 6; No. 33 of 1962 s. 2; No. 113 of 1965 s. 8(1); No. 35 of 1966 s. 4; No. 94 of 1972 s. 4(1) (as amended: No. 83 of 1973 s. 4); No. 28 of 1984 s. 45; No. 80 of 1987 s. 30; No. 59 of 1991 s. 13 and 21; No. 14 of 1996 s. 4; No. 39 of 1999 s. 11(5); No. 36 of 2007 Sch. 4 cl. 4(6); No. 43 of 2008 s. 147(4).]</w:t>
      </w:r>
    </w:p>
    <w:p>
      <w:pPr>
        <w:pStyle w:val="Heading2"/>
      </w:pPr>
      <w:bookmarkStart w:id="153" w:name="_Toc98504171"/>
      <w:bookmarkStart w:id="154" w:name="_Toc98504502"/>
      <w:bookmarkStart w:id="155" w:name="_Toc98767900"/>
      <w:r>
        <w:rPr>
          <w:rStyle w:val="CharPartNo"/>
        </w:rPr>
        <w:lastRenderedPageBreak/>
        <w:t>Part V</w:t>
      </w:r>
      <w:r>
        <w:t> — </w:t>
      </w:r>
      <w:r>
        <w:rPr>
          <w:rStyle w:val="CharPartText"/>
        </w:rPr>
        <w:t>Dwellings</w:t>
      </w:r>
      <w:bookmarkEnd w:id="153"/>
      <w:bookmarkEnd w:id="154"/>
      <w:bookmarkEnd w:id="155"/>
    </w:p>
    <w:p>
      <w:pPr>
        <w:pStyle w:val="Heading3"/>
        <w:spacing w:before="180"/>
        <w:rPr>
          <w:snapToGrid w:val="0"/>
        </w:rPr>
      </w:pPr>
      <w:bookmarkStart w:id="156" w:name="_Toc98504172"/>
      <w:bookmarkStart w:id="157" w:name="_Toc98504503"/>
      <w:bookmarkStart w:id="158" w:name="_Toc98767901"/>
      <w:r>
        <w:rPr>
          <w:rStyle w:val="CharDivNo"/>
        </w:rPr>
        <w:t>Division 1</w:t>
      </w:r>
      <w:r>
        <w:rPr>
          <w:snapToGrid w:val="0"/>
        </w:rPr>
        <w:t> — </w:t>
      </w:r>
      <w:r>
        <w:rPr>
          <w:rStyle w:val="CharDivText"/>
        </w:rPr>
        <w:t>Houses unfit for occupation</w:t>
      </w:r>
      <w:bookmarkEnd w:id="156"/>
      <w:bookmarkEnd w:id="157"/>
      <w:bookmarkEnd w:id="158"/>
    </w:p>
    <w:p>
      <w:pPr>
        <w:pStyle w:val="Heading5"/>
        <w:spacing w:before="240"/>
        <w:rPr>
          <w:snapToGrid w:val="0"/>
        </w:rPr>
      </w:pPr>
      <w:bookmarkStart w:id="159" w:name="_Toc98767902"/>
      <w:r>
        <w:rPr>
          <w:rStyle w:val="CharSectno"/>
        </w:rPr>
        <w:t>135</w:t>
      </w:r>
      <w:r>
        <w:rPr>
          <w:snapToGrid w:val="0"/>
        </w:rPr>
        <w:t>.</w:t>
      </w:r>
      <w:r>
        <w:rPr>
          <w:snapToGrid w:val="0"/>
        </w:rPr>
        <w:tab/>
        <w:t>Dwellings unfit for habitation</w:t>
      </w:r>
      <w:bookmarkEnd w:id="159"/>
    </w:p>
    <w:p>
      <w:pPr>
        <w:pStyle w:val="Subsection"/>
        <w:rPr>
          <w:snapToGrid w:val="0"/>
        </w:rPr>
      </w:pPr>
      <w:r>
        <w:rPr>
          <w:snapToGrid w:val="0"/>
        </w:rPr>
        <w:tab/>
        <w:t>(1)</w:t>
      </w:r>
      <w:r>
        <w:rPr>
          <w:snapToGrid w:val="0"/>
        </w:rPr>
        <w:tab/>
        <w:t xml:space="preserve">Any local government may, of its own motion, and shall, when required by order of the </w:t>
      </w:r>
      <w:r>
        <w:t>Chief Health Officer</w:t>
      </w:r>
      <w:r>
        <w:rPr>
          <w:snapToGrid w:val="0"/>
        </w:rPr>
        <w:t xml:space="preserve">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ind w:left="890" w:hanging="890"/>
      </w:pPr>
      <w:r>
        <w:tab/>
        <w:t>[Section 135, formerly section 116, renumbered as section 135: No. 38 of 1933 s. 42; amended: No. 28 of 1984 s. 45; No. 14 of 1996 s. 4; No. 19 of 2016 s. 100.]</w:t>
      </w:r>
    </w:p>
    <w:p>
      <w:pPr>
        <w:pStyle w:val="Heading5"/>
        <w:spacing w:before="240"/>
        <w:rPr>
          <w:snapToGrid w:val="0"/>
        </w:rPr>
      </w:pPr>
      <w:bookmarkStart w:id="160" w:name="_Toc98767903"/>
      <w:r>
        <w:rPr>
          <w:rStyle w:val="CharSectno"/>
        </w:rPr>
        <w:t>136</w:t>
      </w:r>
      <w:r>
        <w:rPr>
          <w:snapToGrid w:val="0"/>
        </w:rPr>
        <w:t>.</w:t>
      </w:r>
      <w:r>
        <w:rPr>
          <w:snapToGrid w:val="0"/>
        </w:rPr>
        <w:tab/>
        <w:t>Such house not to be let or occupied</w:t>
      </w:r>
      <w:bookmarkEnd w:id="160"/>
    </w:p>
    <w:p>
      <w:pPr>
        <w:pStyle w:val="Subsection"/>
        <w:spacing w:before="18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ind w:left="890" w:hanging="890"/>
      </w:pPr>
      <w:r>
        <w:tab/>
        <w:t>[Section 136, formerly section 117, renumbered as section 136: No. 38 of 1933 s. 42; amended: No. 113 of 1965 s. 8(1); No. 80 of 1987 s. 31.]</w:t>
      </w:r>
    </w:p>
    <w:p>
      <w:pPr>
        <w:pStyle w:val="Heading5"/>
        <w:spacing w:before="240"/>
        <w:rPr>
          <w:snapToGrid w:val="0"/>
        </w:rPr>
      </w:pPr>
      <w:bookmarkStart w:id="161" w:name="_Toc98767904"/>
      <w:r>
        <w:rPr>
          <w:rStyle w:val="CharSectno"/>
        </w:rPr>
        <w:t>137</w:t>
      </w:r>
      <w:r>
        <w:rPr>
          <w:snapToGrid w:val="0"/>
        </w:rPr>
        <w:t>.</w:t>
      </w:r>
      <w:r>
        <w:rPr>
          <w:snapToGrid w:val="0"/>
        </w:rPr>
        <w:tab/>
        <w:t>Condemned building to be amended or removed</w:t>
      </w:r>
      <w:bookmarkEnd w:id="161"/>
    </w:p>
    <w:p>
      <w:pPr>
        <w:pStyle w:val="Subsection"/>
        <w:spacing w:before="18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keepNext/>
        <w:spacing w:before="180"/>
        <w:rPr>
          <w:snapToGrid w:val="0"/>
        </w:rPr>
      </w:pPr>
      <w:r>
        <w:rPr>
          <w:snapToGrid w:val="0"/>
        </w:rPr>
        <w:lastRenderedPageBreak/>
        <w:tab/>
      </w:r>
      <w:r>
        <w:rPr>
          <w:snapToGrid w:val="0"/>
        </w:rPr>
        <w:tab/>
        <w:t>Provided that —</w:t>
      </w:r>
    </w:p>
    <w:p>
      <w:pPr>
        <w:pStyle w:val="Indenta"/>
        <w:widowControl w:val="0"/>
        <w:spacing w:before="10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spacing w:before="100"/>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formerly section 118, amended: No. 30 of 1932 s. 21; renumbered as section 137: No. 38 of 1933 s. 42; amended: No. 14 of 1996 s. 4; No. 55 of 2004 s. 483.]</w:t>
      </w:r>
    </w:p>
    <w:p>
      <w:pPr>
        <w:pStyle w:val="Heading5"/>
        <w:spacing w:before="180"/>
        <w:rPr>
          <w:snapToGrid w:val="0"/>
        </w:rPr>
      </w:pPr>
      <w:bookmarkStart w:id="162" w:name="_Toc98767905"/>
      <w:r>
        <w:rPr>
          <w:rStyle w:val="CharSectno"/>
        </w:rPr>
        <w:t>138</w:t>
      </w:r>
      <w:r>
        <w:rPr>
          <w:snapToGrid w:val="0"/>
        </w:rPr>
        <w:t>.</w:t>
      </w:r>
      <w:r>
        <w:rPr>
          <w:snapToGrid w:val="0"/>
        </w:rPr>
        <w:tab/>
        <w:t>Land to be cleaned up after removal of house or building therefrom</w:t>
      </w:r>
      <w:bookmarkEnd w:id="162"/>
    </w:p>
    <w:p>
      <w:pPr>
        <w:pStyle w:val="Subsection"/>
        <w:spacing w:before="120"/>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as section 118A: No. 30 of 1932 s. 22; renumbered as section 138: No. 38 of 1933 s. 42; amended: No. 14 of 1996 s. 4.]</w:t>
      </w:r>
    </w:p>
    <w:p>
      <w:pPr>
        <w:pStyle w:val="Heading5"/>
        <w:spacing w:before="180"/>
        <w:rPr>
          <w:snapToGrid w:val="0"/>
        </w:rPr>
      </w:pPr>
      <w:bookmarkStart w:id="163" w:name="_Toc98767906"/>
      <w:r>
        <w:rPr>
          <w:rStyle w:val="CharSectno"/>
        </w:rPr>
        <w:t>139</w:t>
      </w:r>
      <w:r>
        <w:rPr>
          <w:snapToGrid w:val="0"/>
        </w:rPr>
        <w:t>.</w:t>
      </w:r>
      <w:r>
        <w:rPr>
          <w:snapToGrid w:val="0"/>
        </w:rPr>
        <w:tab/>
        <w:t>Owner may be required to clean or repair house</w:t>
      </w:r>
      <w:bookmarkEnd w:id="163"/>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No. 32 of 1937 s. 6; amended: No. 14 of 1996 s. 4.]</w:t>
      </w:r>
    </w:p>
    <w:p>
      <w:pPr>
        <w:pStyle w:val="Heading5"/>
        <w:keepNext w:val="0"/>
        <w:keepLines w:val="0"/>
        <w:spacing w:before="180"/>
        <w:rPr>
          <w:snapToGrid w:val="0"/>
        </w:rPr>
      </w:pPr>
      <w:bookmarkStart w:id="164" w:name="_Toc98767907"/>
      <w:r>
        <w:rPr>
          <w:rStyle w:val="CharSectno"/>
        </w:rPr>
        <w:t>140</w:t>
      </w:r>
      <w:r>
        <w:rPr>
          <w:snapToGrid w:val="0"/>
        </w:rPr>
        <w:t>.</w:t>
      </w:r>
      <w:r>
        <w:rPr>
          <w:snapToGrid w:val="0"/>
        </w:rPr>
        <w:tab/>
        <w:t>Local government may act in default of owner</w:t>
      </w:r>
      <w:bookmarkEnd w:id="164"/>
    </w:p>
    <w:p>
      <w:pPr>
        <w:pStyle w:val="Subsection"/>
        <w:rPr>
          <w:snapToGrid w:val="0"/>
        </w:rPr>
      </w:pPr>
      <w:r>
        <w:rPr>
          <w:snapToGrid w:val="0"/>
        </w:rPr>
        <w:tab/>
        <w:t>(1)</w:t>
      </w:r>
      <w:r>
        <w:rPr>
          <w:snapToGrid w:val="0"/>
        </w:rPr>
        <w:tab/>
        <w:t xml:space="preserve">Whenever any owner fails to comply with a notice served upon him under any of the foregoing provisions of this Part, within a </w:t>
      </w:r>
      <w:r>
        <w:rPr>
          <w:snapToGrid w:val="0"/>
        </w:rPr>
        <w:lastRenderedPageBreak/>
        <w:t>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ind w:left="890" w:hanging="890"/>
      </w:pPr>
      <w:r>
        <w:tab/>
        <w:t>[Section 140, formerly section 119, renumbered as section 140: No. 38 of 1933 s. 42; amended: No. 32 of 1937 s. 7; No. 113 of 1965 s. 8(1); No. 52 of 1968 s. 4; No. 80 of 1987 s. 32; No. 14 of 1996 s. 4.]</w:t>
      </w:r>
    </w:p>
    <w:p>
      <w:pPr>
        <w:pStyle w:val="Heading5"/>
        <w:spacing w:before="180"/>
        <w:rPr>
          <w:snapToGrid w:val="0"/>
        </w:rPr>
      </w:pPr>
      <w:bookmarkStart w:id="165" w:name="_Toc98767908"/>
      <w:r>
        <w:rPr>
          <w:rStyle w:val="CharSectno"/>
        </w:rPr>
        <w:t>141</w:t>
      </w:r>
      <w:r>
        <w:rPr>
          <w:snapToGrid w:val="0"/>
        </w:rPr>
        <w:t>.</w:t>
      </w:r>
      <w:r>
        <w:rPr>
          <w:snapToGrid w:val="0"/>
        </w:rPr>
        <w:tab/>
        <w:t>Penalty for erecting buildings on ground filled up with offensive matter</w:t>
      </w:r>
      <w:bookmarkEnd w:id="165"/>
    </w:p>
    <w:p>
      <w:pPr>
        <w:pStyle w:val="Subsection"/>
        <w:spacing w:before="140"/>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formerly section 120, renumbered as section 141: No. 38 of 1933 s. 42; amended: No. 113 of 1965 s. 8(1); No. 80 of 1987 s. 33; No. 14 of 1996 s. 4.]</w:t>
      </w:r>
    </w:p>
    <w:p>
      <w:pPr>
        <w:pStyle w:val="Heading5"/>
        <w:rPr>
          <w:snapToGrid w:val="0"/>
        </w:rPr>
      </w:pPr>
      <w:bookmarkStart w:id="166" w:name="_Toc98767909"/>
      <w:r>
        <w:rPr>
          <w:rStyle w:val="CharSectno"/>
        </w:rPr>
        <w:lastRenderedPageBreak/>
        <w:t>142</w:t>
      </w:r>
      <w:r>
        <w:rPr>
          <w:snapToGrid w:val="0"/>
        </w:rPr>
        <w:t>.</w:t>
      </w:r>
      <w:r>
        <w:rPr>
          <w:snapToGrid w:val="0"/>
        </w:rPr>
        <w:tab/>
        <w:t>Occupying cellar dwellings</w:t>
      </w:r>
      <w:bookmarkEnd w:id="166"/>
    </w:p>
    <w:p>
      <w:pPr>
        <w:pStyle w:val="Subsection"/>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formerly section 121, renumbered as section 142: No. 38 of 1933 s. 42; amended: No. 14 of 1996 s. 4; No. 59 of 2004 s. 141.]</w:t>
      </w:r>
    </w:p>
    <w:p>
      <w:pPr>
        <w:pStyle w:val="Heading5"/>
        <w:rPr>
          <w:snapToGrid w:val="0"/>
        </w:rPr>
      </w:pPr>
      <w:bookmarkStart w:id="167" w:name="_Toc98767910"/>
      <w:r>
        <w:rPr>
          <w:rStyle w:val="CharSectno"/>
        </w:rPr>
        <w:t>143</w:t>
      </w:r>
      <w:r>
        <w:rPr>
          <w:snapToGrid w:val="0"/>
        </w:rPr>
        <w:t>.</w:t>
      </w:r>
      <w:r>
        <w:rPr>
          <w:snapToGrid w:val="0"/>
        </w:rPr>
        <w:tab/>
        <w:t>Plans of buildings to be submitted to local government</w:t>
      </w:r>
      <w:bookmarkEnd w:id="167"/>
    </w:p>
    <w:p>
      <w:pPr>
        <w:pStyle w:val="Subsection"/>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ind w:left="890" w:hanging="890"/>
      </w:pPr>
      <w:r>
        <w:tab/>
        <w:t>[Section 143, formerly section 122, amended: No. 17 of 1918 s. 16; renumbered as section 143: No. 38 of 1933 s. 42; amended: No. 14 of 1996 s. 4.]</w:t>
      </w:r>
    </w:p>
    <w:p>
      <w:pPr>
        <w:pStyle w:val="Heading5"/>
        <w:rPr>
          <w:snapToGrid w:val="0"/>
        </w:rPr>
      </w:pPr>
      <w:bookmarkStart w:id="168" w:name="_Toc98767911"/>
      <w:r>
        <w:rPr>
          <w:rStyle w:val="CharSectno"/>
        </w:rPr>
        <w:lastRenderedPageBreak/>
        <w:t>144</w:t>
      </w:r>
      <w:r>
        <w:rPr>
          <w:snapToGrid w:val="0"/>
        </w:rPr>
        <w:t>.</w:t>
      </w:r>
      <w:r>
        <w:rPr>
          <w:snapToGrid w:val="0"/>
        </w:rPr>
        <w:tab/>
        <w:t>Building not erected as dwelling not to be converted into one</w:t>
      </w:r>
      <w:bookmarkEnd w:id="168"/>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ind w:left="890" w:hanging="890"/>
      </w:pPr>
      <w:r>
        <w:tab/>
        <w:t>[Section 144 inserted as section 122a: No. 17 of 1918 s. 17; renumbered as section 144: No. 38 of 1933 s. 42; amended: No. 21 of 1957 s. 7; No. 14 of 1996 s. 4.]</w:t>
      </w:r>
    </w:p>
    <w:p>
      <w:pPr>
        <w:pStyle w:val="Heading5"/>
        <w:rPr>
          <w:snapToGrid w:val="0"/>
        </w:rPr>
      </w:pPr>
      <w:bookmarkStart w:id="169" w:name="_Toc98767912"/>
      <w:r>
        <w:rPr>
          <w:rStyle w:val="CharSectno"/>
        </w:rPr>
        <w:t>145</w:t>
      </w:r>
      <w:r>
        <w:rPr>
          <w:snapToGrid w:val="0"/>
        </w:rPr>
        <w:t>.</w:t>
      </w:r>
      <w:r>
        <w:rPr>
          <w:snapToGrid w:val="0"/>
        </w:rPr>
        <w:tab/>
        <w:t>Authorised officer may order house or things to be cleansed</w:t>
      </w:r>
      <w:bookmarkEnd w:id="169"/>
    </w:p>
    <w:p>
      <w:pPr>
        <w:pStyle w:val="Subsection"/>
        <w:rPr>
          <w:snapToGrid w:val="0"/>
        </w:rPr>
      </w:pPr>
      <w:r>
        <w:rPr>
          <w:snapToGrid w:val="0"/>
        </w:rPr>
        <w:tab/>
        <w:t>(1)</w:t>
      </w:r>
      <w:r>
        <w:rPr>
          <w:snapToGrid w:val="0"/>
        </w:rPr>
        <w:tab/>
        <w:t xml:space="preserve">Any </w:t>
      </w:r>
      <w:r>
        <w:t>authorised officer</w:t>
      </w:r>
      <w:r>
        <w:rPr>
          <w:snapToGrid w:val="0"/>
        </w:rPr>
        <w:t xml:space="preserve"> may order that any house or part of a house, or any furniture, goods, or things therein shall be cleansed to the satisfaction of an </w:t>
      </w:r>
      <w:r>
        <w:t>authorised officer</w:t>
      </w:r>
      <w:r>
        <w:rPr>
          <w:snapToGrid w:val="0"/>
        </w:rPr>
        <w:t>, and the occupier shall forthwith comply with such order.</w:t>
      </w:r>
    </w:p>
    <w:p>
      <w:pPr>
        <w:pStyle w:val="Subsection"/>
        <w:rPr>
          <w:snapToGrid w:val="0"/>
        </w:rPr>
      </w:pPr>
      <w:r>
        <w:rPr>
          <w:snapToGrid w:val="0"/>
        </w:rPr>
        <w:tab/>
        <w:t>(2)</w:t>
      </w:r>
      <w:r>
        <w:rPr>
          <w:snapToGrid w:val="0"/>
        </w:rPr>
        <w:tab/>
        <w:t xml:space="preserve">In case default is made in compliance with such order, the local government may take such steps as in the opinion of an </w:t>
      </w:r>
      <w:r>
        <w:t>authorised officer</w:t>
      </w:r>
      <w:r>
        <w:rPr>
          <w:snapToGrid w:val="0"/>
        </w:rPr>
        <w:t xml:space="preserve">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spacing w:after="600"/>
        <w:ind w:left="890" w:hanging="890"/>
      </w:pPr>
      <w:r>
        <w:tab/>
        <w:t>[Section 145 inserted as section 123A: No. 30 of 1932 s. 23; renumbered as section 145: No. 38 of 1933 s. 42; amended: No. 24 of 1970 s. 12; No. 59 of 1991 s. 5; No. 14 of 1996 s. 4; No. 28 of 1996 s. 21; No. 19 of 2016 s. 99.]</w:t>
      </w:r>
    </w:p>
    <w:p>
      <w:pPr>
        <w:pStyle w:val="Heading3"/>
        <w:spacing w:before="180"/>
        <w:rPr>
          <w:snapToGrid w:val="0"/>
        </w:rPr>
      </w:pPr>
      <w:bookmarkStart w:id="170" w:name="_Toc98504184"/>
      <w:bookmarkStart w:id="171" w:name="_Toc98504515"/>
      <w:bookmarkStart w:id="172" w:name="_Toc98767913"/>
      <w:r>
        <w:rPr>
          <w:rStyle w:val="CharDivNo"/>
        </w:rPr>
        <w:lastRenderedPageBreak/>
        <w:t>Division 2</w:t>
      </w:r>
      <w:r>
        <w:rPr>
          <w:snapToGrid w:val="0"/>
        </w:rPr>
        <w:t> — </w:t>
      </w:r>
      <w:r>
        <w:rPr>
          <w:rStyle w:val="CharDivText"/>
        </w:rPr>
        <w:t>Lodging</w:t>
      </w:r>
      <w:r>
        <w:rPr>
          <w:rStyle w:val="CharDivText"/>
        </w:rPr>
        <w:noBreakHyphen/>
        <w:t>houses</w:t>
      </w:r>
      <w:bookmarkEnd w:id="170"/>
      <w:bookmarkEnd w:id="171"/>
      <w:bookmarkEnd w:id="172"/>
    </w:p>
    <w:p>
      <w:pPr>
        <w:pStyle w:val="Footnoteheading"/>
        <w:ind w:left="890" w:hanging="890"/>
        <w:rPr>
          <w:snapToGrid w:val="0"/>
        </w:rPr>
      </w:pPr>
      <w:r>
        <w:rPr>
          <w:snapToGrid w:val="0"/>
        </w:rPr>
        <w:tab/>
        <w:t>[Heading amended: No. 18 of 1964 s. 6.]</w:t>
      </w:r>
    </w:p>
    <w:p>
      <w:pPr>
        <w:pStyle w:val="Heading5"/>
        <w:keepNext w:val="0"/>
        <w:keepLines w:val="0"/>
        <w:spacing w:before="180"/>
        <w:rPr>
          <w:snapToGrid w:val="0"/>
        </w:rPr>
      </w:pPr>
      <w:bookmarkStart w:id="173" w:name="_Toc98767914"/>
      <w:r>
        <w:rPr>
          <w:rStyle w:val="CharSectno"/>
        </w:rPr>
        <w:t>146</w:t>
      </w:r>
      <w:r>
        <w:rPr>
          <w:snapToGrid w:val="0"/>
        </w:rPr>
        <w:t>.</w:t>
      </w:r>
      <w:r>
        <w:rPr>
          <w:snapToGrid w:val="0"/>
        </w:rPr>
        <w:tab/>
        <w:t>Registers of lodging</w:t>
      </w:r>
      <w:r>
        <w:rPr>
          <w:snapToGrid w:val="0"/>
        </w:rPr>
        <w:noBreakHyphen/>
        <w:t>houses</w:t>
      </w:r>
      <w:bookmarkEnd w:id="173"/>
    </w:p>
    <w:p>
      <w:pPr>
        <w:pStyle w:val="Subsection"/>
        <w:spacing w:before="12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spacing w:before="12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spacing w:before="12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formerly section 123, renumbered as section 146: No. 38 of 1933 s. 42; amended: No. 18 of 1964 s. 7; No. 113 of 1965 s. 8(1); No. 59 of 1991 s. 22; No. 14 of 1996 s. 4; No. 57 of 1997 s. 68(3).]</w:t>
      </w:r>
    </w:p>
    <w:p>
      <w:pPr>
        <w:pStyle w:val="Heading5"/>
        <w:spacing w:before="180"/>
        <w:rPr>
          <w:snapToGrid w:val="0"/>
        </w:rPr>
      </w:pPr>
      <w:bookmarkStart w:id="174" w:name="_Toc98767915"/>
      <w:r>
        <w:rPr>
          <w:rStyle w:val="CharSectno"/>
        </w:rPr>
        <w:t>147</w:t>
      </w:r>
      <w:r>
        <w:rPr>
          <w:snapToGrid w:val="0"/>
        </w:rPr>
        <w:t>.</w:t>
      </w:r>
      <w:r>
        <w:rPr>
          <w:snapToGrid w:val="0"/>
        </w:rPr>
        <w:tab/>
        <w:t>Registration</w:t>
      </w:r>
      <w:bookmarkEnd w:id="174"/>
    </w:p>
    <w:p>
      <w:pPr>
        <w:pStyle w:val="Subsection"/>
        <w:spacing w:before="12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spacing w:before="120"/>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spacing w:before="80"/>
        <w:ind w:left="890" w:hanging="890"/>
      </w:pPr>
      <w:r>
        <w:tab/>
        <w:t>[Section 147, formerly section 124, renumbered as section 147: No. 38 of 1933 s. 42; amended: No. 18 of 1964 s. 8; No. 28 of 2003 s. 74.]</w:t>
      </w:r>
    </w:p>
    <w:p>
      <w:pPr>
        <w:pStyle w:val="Heading5"/>
        <w:rPr>
          <w:snapToGrid w:val="0"/>
        </w:rPr>
      </w:pPr>
      <w:bookmarkStart w:id="175" w:name="_Toc98767916"/>
      <w:r>
        <w:rPr>
          <w:rStyle w:val="CharSectno"/>
        </w:rPr>
        <w:lastRenderedPageBreak/>
        <w:t>148</w:t>
      </w:r>
      <w:r>
        <w:rPr>
          <w:snapToGrid w:val="0"/>
        </w:rPr>
        <w:t>.</w:t>
      </w:r>
      <w:r>
        <w:rPr>
          <w:snapToGrid w:val="0"/>
        </w:rPr>
        <w:tab/>
        <w:t>Conditions of registration</w:t>
      </w:r>
      <w:bookmarkEnd w:id="175"/>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ind w:left="890" w:hanging="890"/>
      </w:pPr>
      <w:r>
        <w:tab/>
        <w:t>[Section 148, formerly section 125, renumbered as section 148: No. 38 of 1933 s. 42; amended: No. 18 of 1964 s. 9; No. 14 of 1996 s. 4.]</w:t>
      </w:r>
    </w:p>
    <w:p>
      <w:pPr>
        <w:pStyle w:val="Heading5"/>
        <w:rPr>
          <w:snapToGrid w:val="0"/>
        </w:rPr>
      </w:pPr>
      <w:bookmarkStart w:id="176" w:name="_Toc98767917"/>
      <w:r>
        <w:rPr>
          <w:rStyle w:val="CharSectno"/>
        </w:rPr>
        <w:t>149</w:t>
      </w:r>
      <w:r>
        <w:rPr>
          <w:snapToGrid w:val="0"/>
        </w:rPr>
        <w:t>.</w:t>
      </w:r>
      <w:r>
        <w:rPr>
          <w:snapToGrid w:val="0"/>
        </w:rPr>
        <w:tab/>
        <w:t>Notice of registration to be affixed</w:t>
      </w:r>
      <w:bookmarkEnd w:id="176"/>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ind w:left="890" w:hanging="890"/>
      </w:pPr>
      <w:r>
        <w:tab/>
        <w:t>[Section 149, formerly section 126, renumbered as section 149: No. 38 of 1933 s. 42; amended: No. 14 of 1996 s. 4.]</w:t>
      </w:r>
    </w:p>
    <w:p>
      <w:pPr>
        <w:pStyle w:val="Heading5"/>
        <w:rPr>
          <w:snapToGrid w:val="0"/>
        </w:rPr>
      </w:pPr>
      <w:bookmarkStart w:id="177" w:name="_Toc98767918"/>
      <w:r>
        <w:rPr>
          <w:rStyle w:val="CharSectno"/>
        </w:rPr>
        <w:t>150</w:t>
      </w:r>
      <w:r>
        <w:rPr>
          <w:snapToGrid w:val="0"/>
        </w:rPr>
        <w:t>.</w:t>
      </w:r>
      <w:r>
        <w:rPr>
          <w:snapToGrid w:val="0"/>
        </w:rPr>
        <w:tab/>
        <w:t>Supply of water</w:t>
      </w:r>
      <w:bookmarkEnd w:id="177"/>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ind w:left="890" w:hanging="890"/>
      </w:pPr>
      <w:r>
        <w:tab/>
        <w:t>[Section 150, formerly section 127, renumbered as section 150: No. 38 of 1933 s. 42; amended: No. 18 of 1964 s. 10; No. 14 of 1996 s. 4.]</w:t>
      </w:r>
    </w:p>
    <w:p>
      <w:pPr>
        <w:pStyle w:val="Heading5"/>
        <w:spacing w:before="180"/>
        <w:rPr>
          <w:snapToGrid w:val="0"/>
        </w:rPr>
      </w:pPr>
      <w:bookmarkStart w:id="178" w:name="_Toc98767919"/>
      <w:r>
        <w:rPr>
          <w:rStyle w:val="CharSectno"/>
        </w:rPr>
        <w:lastRenderedPageBreak/>
        <w:t>151</w:t>
      </w:r>
      <w:r>
        <w:rPr>
          <w:snapToGrid w:val="0"/>
        </w:rPr>
        <w:t>.</w:t>
      </w:r>
      <w:r>
        <w:rPr>
          <w:snapToGrid w:val="0"/>
        </w:rPr>
        <w:tab/>
        <w:t>Cleansing of walls etc.</w:t>
      </w:r>
      <w:bookmarkEnd w:id="178"/>
    </w:p>
    <w:p>
      <w:pPr>
        <w:pStyle w:val="Subsection"/>
        <w:spacing w:before="12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ind w:left="890" w:hanging="890"/>
      </w:pPr>
      <w:r>
        <w:tab/>
        <w:t>[Section 151, formerly section 128, renumbered as section 151: No. 38 of 1933 s. 42; amended: No. 18 of 1964 s. 11; No. 113 of 1965 s. 8(1); No. 80 of 1987 s. 34; No. 14 of 1996 s. 4.]</w:t>
      </w:r>
    </w:p>
    <w:p>
      <w:pPr>
        <w:pStyle w:val="Heading5"/>
        <w:spacing w:before="180"/>
        <w:rPr>
          <w:snapToGrid w:val="0"/>
        </w:rPr>
      </w:pPr>
      <w:bookmarkStart w:id="179" w:name="_Toc98767920"/>
      <w:r>
        <w:rPr>
          <w:snapToGrid w:val="0"/>
        </w:rPr>
        <w:t>152.</w:t>
      </w:r>
      <w:r>
        <w:rPr>
          <w:snapToGrid w:val="0"/>
        </w:rPr>
        <w:tab/>
        <w:t>Notification of disease</w:t>
      </w:r>
      <w:bookmarkEnd w:id="179"/>
    </w:p>
    <w:p>
      <w:pPr>
        <w:pStyle w:val="Subsection"/>
        <w:spacing w:before="120"/>
        <w:rPr>
          <w:snapToGrid w:val="0"/>
        </w:rPr>
      </w:pPr>
      <w:r>
        <w:rPr>
          <w:snapToGrid w:val="0"/>
        </w:rPr>
        <w:tab/>
      </w:r>
      <w:r>
        <w:rPr>
          <w:snapToGrid w:val="0"/>
        </w:rPr>
        <w:tab/>
        <w:t xml:space="preserve">Every such keeper shall, immediately it comes within his knowledge that a person in such house is affected with any infectious disease, give notice thereof to the </w:t>
      </w:r>
      <w:r>
        <w:t xml:space="preserve">Chief Health Officer </w:t>
      </w:r>
      <w:r>
        <w:rPr>
          <w:snapToGrid w:val="0"/>
        </w:rPr>
        <w:t xml:space="preserve"> and to the secretary of the local government.</w:t>
      </w:r>
    </w:p>
    <w:p>
      <w:pPr>
        <w:pStyle w:val="Footnotesection"/>
        <w:ind w:left="890" w:hanging="890"/>
      </w:pPr>
      <w:r>
        <w:tab/>
        <w:t>[Section 152, formerly section 129, renumbered as section 152: No. 38 of 1933 s. 42; amended: No. 14 of 1996 s. 4; No. 19 of 2016 s. 99.]</w:t>
      </w:r>
    </w:p>
    <w:p>
      <w:pPr>
        <w:pStyle w:val="Heading5"/>
        <w:spacing w:before="180"/>
        <w:rPr>
          <w:snapToGrid w:val="0"/>
        </w:rPr>
      </w:pPr>
      <w:bookmarkStart w:id="180" w:name="_Toc98767921"/>
      <w:r>
        <w:rPr>
          <w:snapToGrid w:val="0"/>
        </w:rPr>
        <w:t>153.</w:t>
      </w:r>
      <w:r>
        <w:rPr>
          <w:snapToGrid w:val="0"/>
        </w:rPr>
        <w:tab/>
        <w:t>Inspection</w:t>
      </w:r>
      <w:bookmarkEnd w:id="180"/>
    </w:p>
    <w:p>
      <w:pPr>
        <w:pStyle w:val="Subsection"/>
        <w:spacing w:before="120"/>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spacing w:before="120"/>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ind w:left="890" w:hanging="890"/>
      </w:pPr>
      <w:r>
        <w:tab/>
        <w:t>[Section 153, formerly section 130, renumbered as section 153: No. 38 of 1933 s. 42; amended: No. 113 of 1965 s. 8(1); No. 80 of 1987 s. 35; No. 14 of 1996 s. 4.]</w:t>
      </w:r>
    </w:p>
    <w:p>
      <w:pPr>
        <w:pStyle w:val="Heading5"/>
        <w:spacing w:before="180"/>
        <w:rPr>
          <w:snapToGrid w:val="0"/>
        </w:rPr>
      </w:pPr>
      <w:bookmarkStart w:id="181" w:name="_Toc98767922"/>
      <w:r>
        <w:rPr>
          <w:rStyle w:val="CharSectno"/>
        </w:rPr>
        <w:t>154</w:t>
      </w:r>
      <w:r>
        <w:rPr>
          <w:snapToGrid w:val="0"/>
        </w:rPr>
        <w:t>.</w:t>
      </w:r>
      <w:r>
        <w:rPr>
          <w:snapToGrid w:val="0"/>
        </w:rPr>
        <w:tab/>
        <w:t>Offences by keepers</w:t>
      </w:r>
      <w:bookmarkEnd w:id="181"/>
    </w:p>
    <w:p>
      <w:pPr>
        <w:pStyle w:val="Subsection"/>
        <w:spacing w:before="120"/>
        <w:rPr>
          <w:snapToGrid w:val="0"/>
        </w:rPr>
      </w:pPr>
      <w:r>
        <w:rPr>
          <w:snapToGrid w:val="0"/>
        </w:rPr>
        <w:tab/>
      </w:r>
      <w:r>
        <w:rPr>
          <w:snapToGrid w:val="0"/>
        </w:rPr>
        <w:tab/>
        <w:t>Every such keeper who —</w:t>
      </w:r>
    </w:p>
    <w:p>
      <w:pPr>
        <w:pStyle w:val="Indenta"/>
        <w:spacing w:before="60"/>
        <w:rPr>
          <w:snapToGrid w:val="0"/>
        </w:rPr>
      </w:pPr>
      <w:r>
        <w:rPr>
          <w:snapToGrid w:val="0"/>
        </w:rPr>
        <w:tab/>
        <w:t>(a)</w:t>
      </w:r>
      <w:r>
        <w:rPr>
          <w:snapToGrid w:val="0"/>
        </w:rPr>
        <w:tab/>
        <w:t>after being required in writing by the local government so to do, refuses or neglects to affix or renew any notice; or</w:t>
      </w:r>
    </w:p>
    <w:p>
      <w:pPr>
        <w:pStyle w:val="Indenta"/>
        <w:keepNext/>
        <w:rPr>
          <w:snapToGrid w:val="0"/>
        </w:rPr>
      </w:pPr>
      <w:r>
        <w:rPr>
          <w:snapToGrid w:val="0"/>
        </w:rPr>
        <w:lastRenderedPageBreak/>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keepNext/>
        <w:spacing w:before="200"/>
        <w:rPr>
          <w:snapToGrid w:val="0"/>
        </w:rPr>
      </w:pPr>
      <w:r>
        <w:rPr>
          <w:snapToGrid w:val="0"/>
        </w:rPr>
        <w:tab/>
      </w:r>
      <w:r>
        <w:rPr>
          <w:snapToGrid w:val="0"/>
        </w:rPr>
        <w:tab/>
        <w:t>commits an offence.</w:t>
      </w:r>
    </w:p>
    <w:p>
      <w:pPr>
        <w:pStyle w:val="Footnotesection"/>
        <w:spacing w:before="160"/>
        <w:ind w:left="890" w:hanging="890"/>
      </w:pPr>
      <w:r>
        <w:tab/>
        <w:t>[Section 154, formerly section 131, renumbered as section 154: No. 38 of 1933 s. 42; amended: No. 113 of 1965 s. 8(1); No. 80 of 1987 s. 36; No. 14 of 1996 s. 4.]</w:t>
      </w:r>
    </w:p>
    <w:p>
      <w:pPr>
        <w:pStyle w:val="Heading5"/>
        <w:spacing w:before="280"/>
        <w:rPr>
          <w:snapToGrid w:val="0"/>
        </w:rPr>
      </w:pPr>
      <w:bookmarkStart w:id="182" w:name="_Toc98767923"/>
      <w:r>
        <w:rPr>
          <w:rStyle w:val="CharSectno"/>
        </w:rPr>
        <w:t>155</w:t>
      </w:r>
      <w:r>
        <w:rPr>
          <w:snapToGrid w:val="0"/>
        </w:rPr>
        <w:t>.</w:t>
      </w:r>
      <w:r>
        <w:rPr>
          <w:snapToGrid w:val="0"/>
        </w:rPr>
        <w:tab/>
        <w:t>Conviction for third offence</w:t>
      </w:r>
      <w:bookmarkEnd w:id="182"/>
    </w:p>
    <w:p>
      <w:pPr>
        <w:pStyle w:val="Subsection"/>
        <w:spacing w:before="220"/>
        <w:rPr>
          <w:snapToGrid w:val="0"/>
        </w:rPr>
      </w:pPr>
      <w:r>
        <w:rPr>
          <w:snapToGrid w:val="0"/>
        </w:rPr>
        <w:tab/>
      </w:r>
      <w:r>
        <w:rPr>
          <w:snapToGrid w:val="0"/>
        </w:rPr>
        <w:tab/>
        <w:t>When any such keeper is convicted of a third or subsequent offence, a court of summary jurisdiction may adjudge that he shall not keep a lodging</w:t>
      </w:r>
      <w:r>
        <w:rPr>
          <w:snapToGrid w:val="0"/>
        </w:rPr>
        <w:noBreakHyphen/>
        <w:t>house at any time within 5 years after the conviction, or within such shorter period after the conviction as it thinks fit.</w:t>
      </w:r>
    </w:p>
    <w:p>
      <w:pPr>
        <w:pStyle w:val="Footnotesection"/>
        <w:spacing w:before="160"/>
        <w:ind w:left="890" w:hanging="890"/>
      </w:pPr>
      <w:r>
        <w:tab/>
        <w:t>[Section 155, formerly section 132, renumbered as section 155: No. 38 of 1933 s. 42; amended: No. 18 of 1964 s. 12; No. 59 of 2004 s. 141.]</w:t>
      </w:r>
    </w:p>
    <w:p>
      <w:pPr>
        <w:pStyle w:val="Heading5"/>
        <w:keepNext w:val="0"/>
        <w:spacing w:before="280"/>
        <w:rPr>
          <w:snapToGrid w:val="0"/>
        </w:rPr>
      </w:pPr>
      <w:bookmarkStart w:id="183" w:name="_Toc98767924"/>
      <w:r>
        <w:rPr>
          <w:rStyle w:val="CharSectno"/>
        </w:rPr>
        <w:t>156</w:t>
      </w:r>
      <w:r>
        <w:rPr>
          <w:snapToGrid w:val="0"/>
        </w:rPr>
        <w:t>.</w:t>
      </w:r>
      <w:r>
        <w:rPr>
          <w:snapToGrid w:val="0"/>
        </w:rPr>
        <w:tab/>
        <w:t>Lodging</w:t>
      </w:r>
      <w:r>
        <w:rPr>
          <w:snapToGrid w:val="0"/>
        </w:rPr>
        <w:noBreakHyphen/>
        <w:t>house keepers to report deaths</w:t>
      </w:r>
      <w:bookmarkEnd w:id="183"/>
    </w:p>
    <w:p>
      <w:pPr>
        <w:pStyle w:val="Subsection"/>
        <w:spacing w:before="220"/>
        <w:rPr>
          <w:snapToGrid w:val="0"/>
        </w:rPr>
      </w:pPr>
      <w:r>
        <w:rPr>
          <w:snapToGrid w:val="0"/>
        </w:rPr>
        <w:tab/>
      </w:r>
      <w:r>
        <w:rPr>
          <w:snapToGrid w:val="0"/>
        </w:rPr>
        <w:tab/>
        <w:t>Upon any death occurring in any lodging</w:t>
      </w:r>
      <w:r>
        <w:rPr>
          <w:snapToGrid w:val="0"/>
        </w:rPr>
        <w:noBreakHyphen/>
        <w:t xml:space="preserve">house, the manager or keeper thereof shall, within 12 hours thereafter, give notice of every such death and the cause thereof and the circumstances attendant thereon to the </w:t>
      </w:r>
      <w:r>
        <w:t>Chief Health Officer</w:t>
      </w:r>
      <w:r>
        <w:rPr>
          <w:snapToGrid w:val="0"/>
        </w:rPr>
        <w:t xml:space="preserve"> and to the nearest coroner; and if there is no coroner residing within 8 km of such lodging</w:t>
      </w:r>
      <w:r>
        <w:rPr>
          <w:snapToGrid w:val="0"/>
        </w:rPr>
        <w:noBreakHyphen/>
        <w:t>house, then to the police.</w:t>
      </w:r>
    </w:p>
    <w:p>
      <w:pPr>
        <w:pStyle w:val="Footnotesection"/>
        <w:ind w:left="890" w:hanging="890"/>
      </w:pPr>
      <w:r>
        <w:tab/>
        <w:t>[Section 156, formerly section 133, renumbered as section 156: No. 38 of 1933 s. 42; amended: No. 18 of 1964 s. 13; No. 30 of 1982 s. 4; No. 19 of 2016 s. 99.]</w:t>
      </w:r>
    </w:p>
    <w:p>
      <w:pPr>
        <w:pStyle w:val="Heading5"/>
        <w:spacing w:before="240"/>
        <w:rPr>
          <w:snapToGrid w:val="0"/>
        </w:rPr>
      </w:pPr>
      <w:bookmarkStart w:id="184" w:name="_Toc98767925"/>
      <w:r>
        <w:rPr>
          <w:rStyle w:val="CharSectno"/>
        </w:rPr>
        <w:t>157</w:t>
      </w:r>
      <w:r>
        <w:rPr>
          <w:snapToGrid w:val="0"/>
        </w:rPr>
        <w:t>.</w:t>
      </w:r>
      <w:r>
        <w:rPr>
          <w:snapToGrid w:val="0"/>
        </w:rPr>
        <w:tab/>
        <w:t>Register of lodgers to be kept</w:t>
      </w:r>
      <w:bookmarkEnd w:id="184"/>
    </w:p>
    <w:p>
      <w:pPr>
        <w:pStyle w:val="Subsection"/>
        <w:rPr>
          <w:snapToGrid w:val="0"/>
        </w:rPr>
      </w:pPr>
      <w:r>
        <w:rPr>
          <w:snapToGrid w:val="0"/>
        </w:rPr>
        <w:tab/>
        <w:t>(1)</w:t>
      </w:r>
      <w:r>
        <w:rPr>
          <w:snapToGrid w:val="0"/>
        </w:rPr>
        <w:tab/>
        <w:t>The keeper of a lodging</w:t>
      </w:r>
      <w:r>
        <w:rPr>
          <w:snapToGrid w:val="0"/>
        </w:rPr>
        <w:noBreakHyphen/>
        <w:t xml:space="preserve">house shall keep a register of lodgers in the form prescribed, and shall enter or cause to be entered </w:t>
      </w:r>
      <w:r>
        <w:rPr>
          <w:snapToGrid w:val="0"/>
        </w:rPr>
        <w:lastRenderedPageBreak/>
        <w:t>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 xml:space="preserve">house, and shall be open to inspection at any time on demand by any member of the police force or </w:t>
      </w:r>
      <w:r>
        <w:t>authorised officer</w:t>
      </w:r>
      <w:r>
        <w:rPr>
          <w:snapToGrid w:val="0"/>
        </w:rPr>
        <w:t>.</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 or</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 or</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rPr>
          <w:snapToGrid w:val="0"/>
        </w:rPr>
      </w:pPr>
      <w:r>
        <w:rPr>
          <w:snapToGrid w:val="0"/>
        </w:rPr>
        <w:tab/>
      </w:r>
      <w:r>
        <w:rPr>
          <w:snapToGrid w:val="0"/>
        </w:rPr>
        <w:tab/>
        <w:t>commits an offence.</w:t>
      </w:r>
    </w:p>
    <w:p>
      <w:pPr>
        <w:pStyle w:val="Footnotesection"/>
      </w:pPr>
      <w:r>
        <w:tab/>
        <w:t>[Section 157 inserted: No. 18 of 1964 s. 14; amended: No. 113 of 1965 s. 8(1); No. 24 of 1970 s. 12; No. 80 of 1987 s. 37; No. 59 of 1991 s. 5; No. 14 of 1996 s. 4; No. 19 of 2016 s. 99.]</w:t>
      </w:r>
    </w:p>
    <w:p>
      <w:pPr>
        <w:pStyle w:val="Heading5"/>
        <w:rPr>
          <w:snapToGrid w:val="0"/>
        </w:rPr>
      </w:pPr>
      <w:bookmarkStart w:id="185" w:name="_Toc98767926"/>
      <w:r>
        <w:rPr>
          <w:rStyle w:val="CharSectno"/>
        </w:rPr>
        <w:t>158</w:t>
      </w:r>
      <w:r>
        <w:rPr>
          <w:snapToGrid w:val="0"/>
        </w:rPr>
        <w:t>.</w:t>
      </w:r>
      <w:r>
        <w:rPr>
          <w:snapToGrid w:val="0"/>
        </w:rPr>
        <w:tab/>
        <w:t>Local laws in respect of lodging</w:t>
      </w:r>
      <w:r>
        <w:rPr>
          <w:snapToGrid w:val="0"/>
        </w:rPr>
        <w:noBreakHyphen/>
        <w:t>house</w:t>
      </w:r>
      <w:bookmarkEnd w:id="185"/>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registration and inspection of lodging</w:t>
      </w:r>
      <w:r>
        <w:rPr>
          <w:snapToGrid w:val="0"/>
        </w:rPr>
        <w:noBreakHyphen/>
        <w:t>houses.</w:t>
      </w:r>
    </w:p>
    <w:p>
      <w:pPr>
        <w:pStyle w:val="Indenta"/>
        <w:spacing w:before="100"/>
        <w:rPr>
          <w:snapToGrid w:val="0"/>
        </w:rPr>
      </w:pPr>
      <w:r>
        <w:rPr>
          <w:snapToGrid w:val="0"/>
        </w:rPr>
        <w:lastRenderedPageBreak/>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spacing w:before="100"/>
        <w:rPr>
          <w:snapToGrid w:val="0"/>
        </w:rPr>
      </w:pPr>
      <w:r>
        <w:rPr>
          <w:snapToGrid w:val="0"/>
        </w:rPr>
        <w:tab/>
        <w:t>(b)</w:t>
      </w:r>
      <w:r>
        <w:rPr>
          <w:snapToGrid w:val="0"/>
        </w:rPr>
        <w:tab/>
        <w:t>Regulating the construction, cleanliness, lighting, ventilation, drainage, and sanitation thereof.</w:t>
      </w:r>
    </w:p>
    <w:p>
      <w:pPr>
        <w:pStyle w:val="Indenta"/>
        <w:spacing w:before="100"/>
        <w:rPr>
          <w:snapToGrid w:val="0"/>
        </w:rPr>
      </w:pPr>
      <w:r>
        <w:rPr>
          <w:snapToGrid w:val="0"/>
        </w:rPr>
        <w:tab/>
        <w:t>(c)</w:t>
      </w:r>
      <w:r>
        <w:rPr>
          <w:snapToGrid w:val="0"/>
        </w:rPr>
        <w:tab/>
        <w:t>Enforcing the destruction of vermin therein.</w:t>
      </w:r>
    </w:p>
    <w:p>
      <w:pPr>
        <w:pStyle w:val="Indenta"/>
        <w:spacing w:before="100"/>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spacing w:before="100"/>
        <w:rPr>
          <w:snapToGrid w:val="0"/>
        </w:rPr>
      </w:pPr>
      <w:r>
        <w:rPr>
          <w:snapToGrid w:val="0"/>
        </w:rPr>
        <w:tab/>
        <w:t>(e)</w:t>
      </w:r>
      <w:r>
        <w:rPr>
          <w:snapToGrid w:val="0"/>
        </w:rPr>
        <w:tab/>
        <w:t>Enforcing the giving of notices, and the taking of precautions, in the case of any infectious disease occurring in such house.</w:t>
      </w:r>
    </w:p>
    <w:p>
      <w:pPr>
        <w:pStyle w:val="Indenta"/>
        <w:spacing w:before="100"/>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spacing w:before="100"/>
        <w:rPr>
          <w:snapToGrid w:val="0"/>
        </w:rPr>
      </w:pPr>
      <w:r>
        <w:rPr>
          <w:snapToGrid w:val="0"/>
        </w:rPr>
        <w:tab/>
        <w:t>(g)</w:t>
      </w:r>
      <w:r>
        <w:rPr>
          <w:snapToGrid w:val="0"/>
        </w:rPr>
        <w:tab/>
        <w:t>Enforcing the provision of proper and sufficient bathrooms and ablutionary appliances, including plunge baths and heaters.</w:t>
      </w:r>
    </w:p>
    <w:p>
      <w:pPr>
        <w:pStyle w:val="Indenta"/>
        <w:spacing w:before="100"/>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spacing w:before="100"/>
        <w:rPr>
          <w:snapToGrid w:val="0"/>
        </w:rPr>
      </w:pPr>
      <w:r>
        <w:rPr>
          <w:snapToGrid w:val="0"/>
        </w:rPr>
        <w:tab/>
        <w:t>(i)</w:t>
      </w:r>
      <w:r>
        <w:rPr>
          <w:snapToGrid w:val="0"/>
        </w:rPr>
        <w:tab/>
        <w:t>Generally for the good conduct of such houses.</w:t>
      </w:r>
    </w:p>
    <w:p>
      <w:pPr>
        <w:pStyle w:val="Indenta"/>
        <w:spacing w:before="100"/>
        <w:rPr>
          <w:snapToGrid w:val="0"/>
        </w:rPr>
      </w:pPr>
      <w:r>
        <w:rPr>
          <w:snapToGrid w:val="0"/>
        </w:rPr>
        <w:tab/>
        <w:t>(3)</w:t>
      </w:r>
      <w:r>
        <w:rPr>
          <w:snapToGrid w:val="0"/>
        </w:rPr>
        <w:tab/>
        <w:t>Prescribing fees to be paid for the registration of lodging</w:t>
      </w:r>
      <w:r>
        <w:rPr>
          <w:snapToGrid w:val="0"/>
        </w:rPr>
        <w:noBreakHyphen/>
        <w:t>houses.</w:t>
      </w:r>
    </w:p>
    <w:p>
      <w:pPr>
        <w:pStyle w:val="Indenta"/>
        <w:spacing w:before="100"/>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keepLines w:val="0"/>
        <w:ind w:left="890" w:hanging="890"/>
      </w:pPr>
      <w:r>
        <w:tab/>
        <w:t>[Section 158, formerly section 135, amended: No. 30 of 1932 s. 24; renumbered as section 158: No. 38 of 1933 s. 42; amended: No. 21 of 1944 s. 6; No. 18 of 1964 s. 15; No. 113 of 1965 s. 8(1); No. 2 of 1975 s. 4; No. 28 of 1984 s. 45; No. 59 of 1991 s. 23; No. 14 of 1996 s. 4.]</w:t>
      </w:r>
    </w:p>
    <w:p>
      <w:pPr>
        <w:pStyle w:val="Heading5"/>
        <w:pageBreakBefore/>
        <w:spacing w:before="100"/>
        <w:rPr>
          <w:snapToGrid w:val="0"/>
        </w:rPr>
      </w:pPr>
      <w:bookmarkStart w:id="186" w:name="_Toc98767927"/>
      <w:r>
        <w:rPr>
          <w:rStyle w:val="CharSectno"/>
        </w:rPr>
        <w:lastRenderedPageBreak/>
        <w:t>159</w:t>
      </w:r>
      <w:r>
        <w:rPr>
          <w:snapToGrid w:val="0"/>
        </w:rPr>
        <w:t>.</w:t>
      </w:r>
      <w:r>
        <w:rPr>
          <w:snapToGrid w:val="0"/>
        </w:rPr>
        <w:tab/>
        <w:t>Evidence as to family in proceedings</w:t>
      </w:r>
      <w:bookmarkEnd w:id="186"/>
    </w:p>
    <w:p>
      <w:pPr>
        <w:pStyle w:val="Subsection"/>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formerly section 136, amended: No. 30 of 1932 s. 25; renumbered as section 159: No. 38 of 1933 s. 42; amended: No. 18 of 1964 s. 16; No. 14 of 1996 s. 4; No. 28 of 2003 s. 75.]</w:t>
      </w:r>
    </w:p>
    <w:p>
      <w:pPr>
        <w:pStyle w:val="Ednotedivision"/>
      </w:pPr>
      <w:r>
        <w:t>[Division 3 (s. 160</w:t>
      </w:r>
      <w:r>
        <w:noBreakHyphen/>
        <w:t>172) deleted: No. 43 of 2008 s. 147(5).]</w:t>
      </w:r>
    </w:p>
    <w:p>
      <w:pPr>
        <w:pStyle w:val="Heading2"/>
      </w:pPr>
      <w:bookmarkStart w:id="187" w:name="_Toc98504199"/>
      <w:bookmarkStart w:id="188" w:name="_Toc98504530"/>
      <w:bookmarkStart w:id="189" w:name="_Toc98767928"/>
      <w:r>
        <w:rPr>
          <w:rStyle w:val="CharPartNo"/>
        </w:rPr>
        <w:lastRenderedPageBreak/>
        <w:t>Part VI</w:t>
      </w:r>
      <w:r>
        <w:rPr>
          <w:rStyle w:val="CharDivNo"/>
        </w:rPr>
        <w:t> </w:t>
      </w:r>
      <w:r>
        <w:t>—</w:t>
      </w:r>
      <w:r>
        <w:rPr>
          <w:rStyle w:val="CharDivText"/>
        </w:rPr>
        <w:t> </w:t>
      </w:r>
      <w:r>
        <w:rPr>
          <w:rStyle w:val="CharPartText"/>
        </w:rPr>
        <w:t>Public buildings</w:t>
      </w:r>
      <w:bookmarkEnd w:id="187"/>
      <w:bookmarkEnd w:id="188"/>
      <w:bookmarkEnd w:id="189"/>
    </w:p>
    <w:p>
      <w:pPr>
        <w:pStyle w:val="Footnoteheading"/>
        <w:ind w:left="890" w:hanging="890"/>
        <w:rPr>
          <w:snapToGrid w:val="0"/>
        </w:rPr>
      </w:pPr>
      <w:r>
        <w:rPr>
          <w:snapToGrid w:val="0"/>
        </w:rPr>
        <w:tab/>
        <w:t>[Heading inserted: No. 59 of 1991 s. 14.]</w:t>
      </w:r>
    </w:p>
    <w:p>
      <w:pPr>
        <w:pStyle w:val="Heading5"/>
        <w:spacing w:before="200"/>
        <w:rPr>
          <w:snapToGrid w:val="0"/>
        </w:rPr>
      </w:pPr>
      <w:bookmarkStart w:id="190" w:name="_Toc98767929"/>
      <w:r>
        <w:rPr>
          <w:rStyle w:val="CharSectno"/>
        </w:rPr>
        <w:t>173</w:t>
      </w:r>
      <w:r>
        <w:rPr>
          <w:snapToGrid w:val="0"/>
        </w:rPr>
        <w:t>.</w:t>
      </w:r>
      <w:r>
        <w:rPr>
          <w:snapToGrid w:val="0"/>
        </w:rPr>
        <w:tab/>
        <w:t>Terms used</w:t>
      </w:r>
      <w:bookmarkEnd w:id="190"/>
    </w:p>
    <w:p>
      <w:pPr>
        <w:pStyle w:val="Subsection"/>
        <w:spacing w:before="120"/>
        <w:rPr>
          <w:snapToGrid w:val="0"/>
        </w:rPr>
      </w:pPr>
      <w:r>
        <w:rPr>
          <w:snapToGrid w:val="0"/>
        </w:rPr>
        <w:tab/>
      </w:r>
      <w:r>
        <w:rPr>
          <w:snapToGrid w:val="0"/>
        </w:rPr>
        <w:tab/>
        <w:t>In this Part —</w:t>
      </w:r>
    </w:p>
    <w:p>
      <w:pPr>
        <w:pStyle w:val="Defstart"/>
        <w:spacing w:before="100"/>
      </w:pPr>
      <w:r>
        <w:rPr>
          <w:b/>
        </w:rPr>
        <w:tab/>
      </w:r>
      <w:r>
        <w:rPr>
          <w:rStyle w:val="CharDefText"/>
        </w:rPr>
        <w:t>authorised person</w:t>
      </w:r>
      <w:r>
        <w:t xml:space="preserve"> means —</w:t>
      </w:r>
    </w:p>
    <w:p>
      <w:pPr>
        <w:pStyle w:val="Defpara"/>
        <w:spacing w:before="60"/>
      </w:pPr>
      <w:r>
        <w:tab/>
        <w:t>(a)</w:t>
      </w:r>
      <w:r>
        <w:tab/>
        <w:t>an authorised officer; or</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Chief Health Officer;</w:t>
      </w:r>
    </w:p>
    <w:p>
      <w:pPr>
        <w:pStyle w:val="Defstart"/>
        <w:spacing w:before="100"/>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pPr>
      <w:r>
        <w:tab/>
        <w:t>(i)</w:t>
      </w:r>
      <w:r>
        <w:tab/>
        <w:t>civic, theatrical, social, political or religious purposes; and</w:t>
      </w:r>
    </w:p>
    <w:p>
      <w:pPr>
        <w:pStyle w:val="Defsubpara"/>
        <w:spacing w:before="60"/>
      </w:pPr>
      <w:r>
        <w:tab/>
        <w:t>(ii)</w:t>
      </w:r>
      <w:r>
        <w:tab/>
        <w:t>educational purposes; and</w:t>
      </w:r>
    </w:p>
    <w:p>
      <w:pPr>
        <w:pStyle w:val="Defsubpara"/>
        <w:spacing w:before="60"/>
      </w:pPr>
      <w:r>
        <w:tab/>
        <w:t>(iii)</w:t>
      </w:r>
      <w:r>
        <w:tab/>
        <w:t>entertainment, recreational or sporting purposes; and</w:t>
      </w:r>
    </w:p>
    <w:p>
      <w:pPr>
        <w:pStyle w:val="Defsubpara"/>
        <w:spacing w:before="60"/>
      </w:pPr>
      <w:r>
        <w:tab/>
        <w:t>(iv)</w:t>
      </w:r>
      <w: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Footnotesection"/>
        <w:spacing w:before="100"/>
        <w:ind w:left="890" w:hanging="890"/>
      </w:pPr>
      <w:r>
        <w:tab/>
        <w:t>[Section 173 inserted: No. 59 of 1991 s. 14; amended: No. 14 of 1996 s. 4; No. 50 of 1996 s. 4; No. 19 of 2016 s. 12 and 100.]</w:t>
      </w:r>
    </w:p>
    <w:p>
      <w:pPr>
        <w:pStyle w:val="Heading5"/>
        <w:spacing w:before="260"/>
        <w:rPr>
          <w:snapToGrid w:val="0"/>
        </w:rPr>
      </w:pPr>
      <w:bookmarkStart w:id="191" w:name="_Toc98767930"/>
      <w:r>
        <w:rPr>
          <w:rStyle w:val="CharSectno"/>
        </w:rPr>
        <w:lastRenderedPageBreak/>
        <w:t>174</w:t>
      </w:r>
      <w:r>
        <w:rPr>
          <w:snapToGrid w:val="0"/>
        </w:rPr>
        <w:t>.</w:t>
      </w:r>
      <w:r>
        <w:rPr>
          <w:snapToGrid w:val="0"/>
        </w:rPr>
        <w:tab/>
        <w:t>Application to Crown</w:t>
      </w:r>
      <w:bookmarkEnd w:id="191"/>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No. 59 of 1991 s. 14.]</w:t>
      </w:r>
    </w:p>
    <w:p>
      <w:pPr>
        <w:pStyle w:val="Heading5"/>
        <w:spacing w:before="260"/>
        <w:rPr>
          <w:snapToGrid w:val="0"/>
        </w:rPr>
      </w:pPr>
      <w:bookmarkStart w:id="192" w:name="_Toc98767931"/>
      <w:r>
        <w:rPr>
          <w:rStyle w:val="CharSectno"/>
        </w:rPr>
        <w:t>175</w:t>
      </w:r>
      <w:r>
        <w:rPr>
          <w:snapToGrid w:val="0"/>
        </w:rPr>
        <w:t>.</w:t>
      </w:r>
      <w:r>
        <w:rPr>
          <w:snapToGrid w:val="0"/>
        </w:rPr>
        <w:tab/>
        <w:t>Relationship to other laws</w:t>
      </w:r>
      <w:bookmarkEnd w:id="192"/>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No. 59 of 1991 s. 14; amended: No. 14 of 1996 s. 4; No. 24 of 2011 s. 161(2).]</w:t>
      </w:r>
    </w:p>
    <w:p>
      <w:pPr>
        <w:pStyle w:val="Heading5"/>
        <w:rPr>
          <w:snapToGrid w:val="0"/>
        </w:rPr>
      </w:pPr>
      <w:bookmarkStart w:id="193" w:name="_Toc98767932"/>
      <w:r>
        <w:rPr>
          <w:rStyle w:val="CharSectno"/>
        </w:rPr>
        <w:t>176</w:t>
      </w:r>
      <w:r>
        <w:rPr>
          <w:snapToGrid w:val="0"/>
        </w:rPr>
        <w:t>.</w:t>
      </w:r>
      <w:r>
        <w:rPr>
          <w:snapToGrid w:val="0"/>
        </w:rPr>
        <w:tab/>
        <w:t>Approval of plans</w:t>
      </w:r>
      <w:bookmarkEnd w:id="193"/>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keepNext/>
        <w:rPr>
          <w:snapToGrid w:val="0"/>
        </w:rPr>
      </w:pPr>
      <w:r>
        <w:rPr>
          <w:snapToGrid w:val="0"/>
        </w:rPr>
        <w:lastRenderedPageBreak/>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w:t>
      </w:r>
      <w:r>
        <w:rPr>
          <w:iCs/>
        </w:rPr>
        <w:t> </w:t>
      </w:r>
      <w:r>
        <w:t>section 3, for which a building permit is required under that Act.</w:t>
      </w:r>
    </w:p>
    <w:p>
      <w:pPr>
        <w:pStyle w:val="Footnotesection"/>
      </w:pPr>
      <w:r>
        <w:tab/>
        <w:t>[Section 176 inserted: No. 59 of 1991 s. 14; amended: No. 14 of 1996 s. 4; No. 24 of 2011 s. 161(3).]</w:t>
      </w:r>
    </w:p>
    <w:p>
      <w:pPr>
        <w:pStyle w:val="Heading5"/>
        <w:rPr>
          <w:snapToGrid w:val="0"/>
        </w:rPr>
      </w:pPr>
      <w:bookmarkStart w:id="194" w:name="_Toc98767933"/>
      <w:r>
        <w:rPr>
          <w:rStyle w:val="CharSectno"/>
        </w:rPr>
        <w:t>177</w:t>
      </w:r>
      <w:r>
        <w:rPr>
          <w:snapToGrid w:val="0"/>
        </w:rPr>
        <w:t>.</w:t>
      </w:r>
      <w:r>
        <w:rPr>
          <w:snapToGrid w:val="0"/>
        </w:rPr>
        <w:tab/>
        <w:t>Approval</w:t>
      </w:r>
      <w:bookmarkEnd w:id="194"/>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ind w:left="890" w:hanging="890"/>
      </w:pPr>
      <w:r>
        <w:tab/>
        <w:t>[Section 177 inserted: No. 59 of 1991 s. 14.]</w:t>
      </w:r>
    </w:p>
    <w:p>
      <w:pPr>
        <w:pStyle w:val="Heading5"/>
        <w:rPr>
          <w:snapToGrid w:val="0"/>
        </w:rPr>
      </w:pPr>
      <w:bookmarkStart w:id="195" w:name="_Toc98767934"/>
      <w:r>
        <w:rPr>
          <w:rStyle w:val="CharSectno"/>
        </w:rPr>
        <w:t>178</w:t>
      </w:r>
      <w:r>
        <w:rPr>
          <w:snapToGrid w:val="0"/>
        </w:rPr>
        <w:t>.</w:t>
      </w:r>
      <w:r>
        <w:rPr>
          <w:snapToGrid w:val="0"/>
        </w:rPr>
        <w:tab/>
        <w:t>Certificate of approval</w:t>
      </w:r>
      <w:bookmarkEnd w:id="195"/>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 xml:space="preserve">Where a public building has been extended or altered the certificate of approval issued in relation to the public building before such extension or alteration ceases to be valid and any person who desires to open or use the public building shall apply </w:t>
      </w:r>
      <w:r>
        <w:rPr>
          <w:snapToGrid w:val="0"/>
          <w:spacing w:val="-2"/>
        </w:rPr>
        <w:lastRenderedPageBreak/>
        <w:t>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No. 59 of 1991 s. 14; amended: No. 14 of 1996 s. 4.]</w:t>
      </w:r>
    </w:p>
    <w:p>
      <w:pPr>
        <w:pStyle w:val="Heading5"/>
        <w:rPr>
          <w:snapToGrid w:val="0"/>
        </w:rPr>
      </w:pPr>
      <w:bookmarkStart w:id="196" w:name="_Toc98767935"/>
      <w:r>
        <w:rPr>
          <w:rStyle w:val="CharSectno"/>
        </w:rPr>
        <w:t>179</w:t>
      </w:r>
      <w:r>
        <w:rPr>
          <w:snapToGrid w:val="0"/>
        </w:rPr>
        <w:t>.</w:t>
      </w:r>
      <w:r>
        <w:rPr>
          <w:snapToGrid w:val="0"/>
        </w:rPr>
        <w:tab/>
        <w:t>Inspection and control of public buildings</w:t>
      </w:r>
      <w:bookmarkEnd w:id="196"/>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 or</w:t>
      </w:r>
    </w:p>
    <w:p>
      <w:pPr>
        <w:pStyle w:val="Indenta"/>
        <w:rPr>
          <w:snapToGrid w:val="0"/>
        </w:rPr>
      </w:pPr>
      <w:r>
        <w:rPr>
          <w:snapToGrid w:val="0"/>
        </w:rPr>
        <w:tab/>
        <w:t>(bb)</w:t>
      </w:r>
      <w:r>
        <w:rPr>
          <w:snapToGrid w:val="0"/>
        </w:rPr>
        <w:tab/>
        <w:t>the number of persons in a public building exceeds the number specified in the relevant certificate of approval; or</w:t>
      </w:r>
    </w:p>
    <w:p>
      <w:pPr>
        <w:pStyle w:val="Indenta"/>
        <w:rPr>
          <w:snapToGrid w:val="0"/>
        </w:rPr>
      </w:pPr>
      <w:r>
        <w:rPr>
          <w:snapToGrid w:val="0"/>
        </w:rPr>
        <w:lastRenderedPageBreak/>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keepNext/>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 or</w:t>
      </w:r>
    </w:p>
    <w:p>
      <w:pPr>
        <w:pStyle w:val="Indenta"/>
        <w:rPr>
          <w:snapToGrid w:val="0"/>
        </w:rPr>
      </w:pPr>
      <w:r>
        <w:rPr>
          <w:snapToGrid w:val="0"/>
        </w:rPr>
        <w:lastRenderedPageBreak/>
        <w:tab/>
        <w:t>(b)</w:t>
      </w:r>
      <w:r>
        <w:rPr>
          <w:snapToGrid w:val="0"/>
        </w:rPr>
        <w:tab/>
        <w:t>enters a public building that has been closed under subsection (3)(a); or</w:t>
      </w:r>
    </w:p>
    <w:p>
      <w:pPr>
        <w:pStyle w:val="Indenta"/>
        <w:rPr>
          <w:snapToGrid w:val="0"/>
        </w:rPr>
      </w:pPr>
      <w:r>
        <w:rPr>
          <w:snapToGrid w:val="0"/>
        </w:rPr>
        <w:tab/>
        <w:t>(c)</w:t>
      </w:r>
      <w:r>
        <w:rPr>
          <w:snapToGrid w:val="0"/>
        </w:rPr>
        <w:tab/>
        <w:t>has been excluded from a public building under subsection (3)(b) and who enters the public building; or</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In any proceedings for an offence referred to in subsection (5)(d) a statement signed or purporting to be signed by </w:t>
      </w:r>
      <w:r>
        <w:t xml:space="preserve">the authorised person who gave a direction under subsection (2) or (3)(c) or (d), to which is attached a copy of the direction, </w:t>
      </w:r>
      <w:r>
        <w:rPr>
          <w:snapToGrid w:val="0"/>
        </w:rPr>
        <w:t>and stating that the direction —</w:t>
      </w:r>
    </w:p>
    <w:p>
      <w:pPr>
        <w:pStyle w:val="Indenta"/>
        <w:rPr>
          <w:snapToGrid w:val="0"/>
        </w:rPr>
      </w:pPr>
      <w:r>
        <w:rPr>
          <w:snapToGrid w:val="0"/>
        </w:rPr>
        <w:tab/>
        <w:t>(a)</w:t>
      </w:r>
      <w:r>
        <w:rPr>
          <w:snapToGrid w:val="0"/>
        </w:rPr>
        <w:tab/>
        <w:t>was given; and</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Subsection"/>
      </w:pPr>
      <w:r>
        <w:tab/>
        <w:t>(7)</w:t>
      </w:r>
      <w:r>
        <w:tab/>
        <w:t xml:space="preserve">Any statement made under subsection (6) before the </w:t>
      </w:r>
      <w:r>
        <w:rPr>
          <w:i/>
        </w:rPr>
        <w:t>Public Health (Consequential Provisions) Act 2016</w:t>
      </w:r>
      <w:r>
        <w:t xml:space="preserve"> section 13 (</w:t>
      </w:r>
      <w:r>
        <w:rPr>
          <w:rStyle w:val="CharDefText"/>
        </w:rPr>
        <w:t>section 13</w:t>
      </w:r>
      <w:r>
        <w:t>) comes into operation and that would have been sufficient evidence in accordance with subsection (6) (as that subsection existed immediately before section 13 comes into operation) continues to be sufficient evidence in accordance with subsection (6) as if it had been made by the authorised person who gave the direction to which the statement relates.</w:t>
      </w:r>
    </w:p>
    <w:p>
      <w:pPr>
        <w:pStyle w:val="Footnotesection"/>
      </w:pPr>
      <w:r>
        <w:tab/>
        <w:t>[Section 179 inserted: No. 59 of 1991 s. 14; amended: No. 50 of 1996 s. 5; No. 19 of 2016 s. 13.]</w:t>
      </w:r>
    </w:p>
    <w:p>
      <w:pPr>
        <w:pStyle w:val="Heading5"/>
        <w:rPr>
          <w:snapToGrid w:val="0"/>
        </w:rPr>
      </w:pPr>
      <w:bookmarkStart w:id="197" w:name="_Toc98767936"/>
      <w:r>
        <w:rPr>
          <w:rStyle w:val="CharSectno"/>
        </w:rPr>
        <w:lastRenderedPageBreak/>
        <w:t>180</w:t>
      </w:r>
      <w:r>
        <w:rPr>
          <w:snapToGrid w:val="0"/>
        </w:rPr>
        <w:t>.</w:t>
      </w:r>
      <w:r>
        <w:rPr>
          <w:snapToGrid w:val="0"/>
        </w:rPr>
        <w:tab/>
        <w:t>Regulations</w:t>
      </w:r>
      <w:bookmarkEnd w:id="197"/>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keepNext/>
        <w:rPr>
          <w:snapToGrid w:val="0"/>
        </w:rPr>
      </w:pPr>
      <w:r>
        <w:rPr>
          <w:snapToGrid w:val="0"/>
        </w:rPr>
        <w:lastRenderedPageBreak/>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No. 59 of 1991 s. 14; amended: No. 14 of 1996 s. 4; No. 28 of 1996 s. 11.]</w:t>
      </w:r>
    </w:p>
    <w:p>
      <w:pPr>
        <w:pStyle w:val="Heading2"/>
      </w:pPr>
      <w:bookmarkStart w:id="198" w:name="_Toc98504208"/>
      <w:bookmarkStart w:id="199" w:name="_Toc98504539"/>
      <w:bookmarkStart w:id="200" w:name="_Toc98767937"/>
      <w:r>
        <w:rPr>
          <w:rStyle w:val="CharPartNo"/>
        </w:rPr>
        <w:lastRenderedPageBreak/>
        <w:t>Part VII</w:t>
      </w:r>
      <w:r>
        <w:t> — </w:t>
      </w:r>
      <w:r>
        <w:rPr>
          <w:rStyle w:val="CharPartText"/>
        </w:rPr>
        <w:t>Nuisances and offensive trades</w:t>
      </w:r>
      <w:bookmarkEnd w:id="198"/>
      <w:bookmarkEnd w:id="199"/>
      <w:bookmarkEnd w:id="200"/>
    </w:p>
    <w:p>
      <w:pPr>
        <w:pStyle w:val="Heading3"/>
        <w:rPr>
          <w:snapToGrid w:val="0"/>
        </w:rPr>
      </w:pPr>
      <w:bookmarkStart w:id="201" w:name="_Toc98504209"/>
      <w:bookmarkStart w:id="202" w:name="_Toc98504540"/>
      <w:bookmarkStart w:id="203" w:name="_Toc98767938"/>
      <w:r>
        <w:rPr>
          <w:rStyle w:val="CharDivNo"/>
        </w:rPr>
        <w:t>Division 1</w:t>
      </w:r>
      <w:r>
        <w:rPr>
          <w:snapToGrid w:val="0"/>
        </w:rPr>
        <w:t> — </w:t>
      </w:r>
      <w:r>
        <w:rPr>
          <w:rStyle w:val="CharDivText"/>
        </w:rPr>
        <w:t>Nuisances</w:t>
      </w:r>
      <w:bookmarkEnd w:id="201"/>
      <w:bookmarkEnd w:id="202"/>
      <w:bookmarkEnd w:id="203"/>
    </w:p>
    <w:p>
      <w:pPr>
        <w:pStyle w:val="Heading5"/>
        <w:rPr>
          <w:snapToGrid w:val="0"/>
        </w:rPr>
      </w:pPr>
      <w:bookmarkStart w:id="204" w:name="_Toc98767939"/>
      <w:r>
        <w:rPr>
          <w:rStyle w:val="CharSectno"/>
        </w:rPr>
        <w:t>181</w:t>
      </w:r>
      <w:r>
        <w:rPr>
          <w:snapToGrid w:val="0"/>
        </w:rPr>
        <w:t>.</w:t>
      </w:r>
      <w:r>
        <w:rPr>
          <w:snapToGrid w:val="0"/>
        </w:rPr>
        <w:tab/>
        <w:t>Removal of offensive matter</w:t>
      </w:r>
      <w:bookmarkEnd w:id="204"/>
    </w:p>
    <w:p>
      <w:pPr>
        <w:pStyle w:val="Subsection"/>
        <w:rPr>
          <w:snapToGrid w:val="0"/>
        </w:rPr>
      </w:pPr>
      <w:r>
        <w:rPr>
          <w:snapToGrid w:val="0"/>
        </w:rPr>
        <w:tab/>
      </w:r>
      <w:r>
        <w:rPr>
          <w:snapToGrid w:val="0"/>
        </w:rPr>
        <w:tab/>
        <w:t xml:space="preserve">In any case where it appears to an </w:t>
      </w:r>
      <w:r>
        <w:t>authorised officer</w:t>
      </w:r>
      <w:r>
        <w:rPr>
          <w:snapToGrid w:val="0"/>
        </w:rPr>
        <w:t xml:space="preserve">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formerly section 145, renumbered as section 181: No. 38 of 1933 s. 42; amended: No. 113 of 1965 s. 8(1); No. 24 of 1970 s. 12; No. 80 of 1987 s. 47; No. 59 of 1991 s. 5; No. 14 of 1996 s. 4; No. 28 of 1996 s. 21; No. 19 of 2016 s. 99.]</w:t>
      </w:r>
    </w:p>
    <w:p>
      <w:pPr>
        <w:pStyle w:val="Heading5"/>
        <w:rPr>
          <w:snapToGrid w:val="0"/>
        </w:rPr>
      </w:pPr>
      <w:bookmarkStart w:id="205" w:name="_Toc98767940"/>
      <w:r>
        <w:rPr>
          <w:rStyle w:val="CharSectno"/>
        </w:rPr>
        <w:lastRenderedPageBreak/>
        <w:t>182</w:t>
      </w:r>
      <w:r>
        <w:rPr>
          <w:snapToGrid w:val="0"/>
        </w:rPr>
        <w:t>.</w:t>
      </w:r>
      <w:r>
        <w:rPr>
          <w:snapToGrid w:val="0"/>
        </w:rPr>
        <w:tab/>
        <w:t>Definition of nuisances</w:t>
      </w:r>
      <w:bookmarkEnd w:id="205"/>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lastRenderedPageBreak/>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 xml:space="preserve">in the case of an alleged nuisance under subsection (3), that the accumulation or deposit is incident to the </w:t>
      </w:r>
      <w:r>
        <w:rPr>
          <w:snapToGrid w:val="0"/>
        </w:rPr>
        <w:lastRenderedPageBreak/>
        <w:t>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ind w:left="890" w:hanging="890"/>
      </w:pPr>
      <w:r>
        <w:tab/>
        <w:t>[Section 182, formerly section 146, renumbered as section 182: No. 38 of 1933 s. 42; amended: No. 2 of 1975 s. 5; No. 80 of 1987 s. 48; No. 61 of 2004 s. 4; No. 59 of 2004 s. 141; No. 84 of 2004 s. 82.]</w:t>
      </w:r>
    </w:p>
    <w:p>
      <w:pPr>
        <w:pStyle w:val="Heading5"/>
        <w:rPr>
          <w:snapToGrid w:val="0"/>
        </w:rPr>
      </w:pPr>
      <w:bookmarkStart w:id="206" w:name="_Toc98767941"/>
      <w:r>
        <w:rPr>
          <w:rStyle w:val="CharSectno"/>
        </w:rPr>
        <w:t>182A</w:t>
      </w:r>
      <w:r>
        <w:rPr>
          <w:snapToGrid w:val="0"/>
        </w:rPr>
        <w:t>.</w:t>
      </w:r>
      <w:r>
        <w:rPr>
          <w:snapToGrid w:val="0"/>
        </w:rPr>
        <w:tab/>
        <w:t>Regulations as to section 182(13)</w:t>
      </w:r>
      <w:bookmarkEnd w:id="206"/>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ind w:left="890" w:hanging="890"/>
      </w:pPr>
      <w:r>
        <w:tab/>
        <w:t>[Section 182A inserted: No. 2 of 1975 s. 6.]</w:t>
      </w:r>
    </w:p>
    <w:p>
      <w:pPr>
        <w:pStyle w:val="Heading5"/>
        <w:spacing w:before="200"/>
        <w:rPr>
          <w:snapToGrid w:val="0"/>
        </w:rPr>
      </w:pPr>
      <w:bookmarkStart w:id="207" w:name="_Toc98767942"/>
      <w:r>
        <w:rPr>
          <w:rStyle w:val="CharSectno"/>
        </w:rPr>
        <w:lastRenderedPageBreak/>
        <w:t>183</w:t>
      </w:r>
      <w:r>
        <w:rPr>
          <w:snapToGrid w:val="0"/>
        </w:rPr>
        <w:t>.</w:t>
      </w:r>
      <w:r>
        <w:rPr>
          <w:snapToGrid w:val="0"/>
        </w:rPr>
        <w:tab/>
        <w:t>Immediate action in respect of nuisances</w:t>
      </w:r>
      <w:bookmarkEnd w:id="207"/>
    </w:p>
    <w:p>
      <w:pPr>
        <w:pStyle w:val="Subsection"/>
        <w:rPr>
          <w:snapToGrid w:val="0"/>
        </w:rPr>
      </w:pPr>
      <w:r>
        <w:rPr>
          <w:snapToGrid w:val="0"/>
        </w:rPr>
        <w:tab/>
      </w:r>
      <w:r>
        <w:rPr>
          <w:snapToGrid w:val="0"/>
        </w:rPr>
        <w:tab/>
        <w:t xml:space="preserve">If an </w:t>
      </w:r>
      <w:r>
        <w:t>authorised officer</w:t>
      </w:r>
      <w:r>
        <w:rPr>
          <w:snapToGrid w:val="0"/>
        </w:rPr>
        <w:t xml:space="preserve">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ind w:left="890" w:hanging="890"/>
      </w:pPr>
      <w:r>
        <w:tab/>
        <w:t>[Section 183, formerly section 147, renumbered as section 183: No. 38 of 1933 s. 42; amended: No. 24 of 1970 s. 12; No. 59 of 1991 s. 5; No. 28 of 1996 s. 21; No. 19 of 2016 s. 99.]</w:t>
      </w:r>
    </w:p>
    <w:p>
      <w:pPr>
        <w:pStyle w:val="Heading5"/>
        <w:rPr>
          <w:snapToGrid w:val="0"/>
        </w:rPr>
      </w:pPr>
      <w:bookmarkStart w:id="208" w:name="_Toc98767943"/>
      <w:r>
        <w:rPr>
          <w:rStyle w:val="CharSectno"/>
        </w:rPr>
        <w:t>184</w:t>
      </w:r>
      <w:r>
        <w:rPr>
          <w:snapToGrid w:val="0"/>
        </w:rPr>
        <w:t>.</w:t>
      </w:r>
      <w:r>
        <w:rPr>
          <w:snapToGrid w:val="0"/>
        </w:rPr>
        <w:tab/>
        <w:t>Mode of dealing with nuisances</w:t>
      </w:r>
      <w:bookmarkEnd w:id="208"/>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 xml:space="preserve">On the report of any </w:t>
      </w:r>
      <w:r>
        <w:t>authorised officer</w:t>
      </w:r>
      <w:r>
        <w:rPr>
          <w:snapToGrid w:val="0"/>
        </w:rPr>
        <w:t xml:space="preserve"> or other person that the nuisance exists on any premises, the local government may, and, if the </w:t>
      </w:r>
      <w:r>
        <w:t>Chief Health Officer</w:t>
      </w:r>
      <w:r>
        <w:rPr>
          <w:snapToGrid w:val="0"/>
        </w:rPr>
        <w:t xml:space="preserve">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w:t>
      </w:r>
      <w:r>
        <w:lastRenderedPageBreak/>
        <w:t>court of competent jurisdiction</w:t>
      </w:r>
      <w:r>
        <w:rPr>
          <w:snapToGrid w:val="0"/>
        </w:rPr>
        <w:t>, and until paid shall be a charge on the house and buildings, and also on the land on which the same is built or to which it appertains.</w:t>
      </w:r>
    </w:p>
    <w:p>
      <w:pPr>
        <w:pStyle w:val="Footnotesection"/>
        <w:ind w:left="890" w:hanging="890"/>
      </w:pPr>
      <w:r>
        <w:tab/>
        <w:t>[Section 184, formerly section 148, renumbered as section 184: No. 38 of 1933 s. 42; amended: No. 113 of 1965 s. 8(1); No. 24 of 1970 s. 12; No. 28 of 1984 s. 45; No. 80 of 1987 s. 49; No. 59 of 1991 s. 5; No. 14 of 1996 s. 4; No. 59 of 2004 s. 141; No. 19 of 2016 s. 99 and 100.]</w:t>
      </w:r>
    </w:p>
    <w:p>
      <w:pPr>
        <w:pStyle w:val="Heading5"/>
        <w:rPr>
          <w:snapToGrid w:val="0"/>
        </w:rPr>
      </w:pPr>
      <w:bookmarkStart w:id="209" w:name="_Toc98767944"/>
      <w:r>
        <w:rPr>
          <w:rStyle w:val="CharSectno"/>
        </w:rPr>
        <w:t>185</w:t>
      </w:r>
      <w:r>
        <w:rPr>
          <w:snapToGrid w:val="0"/>
        </w:rPr>
        <w:t>.</w:t>
      </w:r>
      <w:r>
        <w:rPr>
          <w:snapToGrid w:val="0"/>
        </w:rPr>
        <w:tab/>
        <w:t>Proceedings when nuisance caused by default outside district</w:t>
      </w:r>
      <w:bookmarkEnd w:id="209"/>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formerly section 149, renumbered as section 185: No. 38 of 1933 s. 42; amended: No. 14 of 1996 s. 4.]</w:t>
      </w:r>
    </w:p>
    <w:p>
      <w:pPr>
        <w:pStyle w:val="Heading3"/>
        <w:rPr>
          <w:snapToGrid w:val="0"/>
        </w:rPr>
      </w:pPr>
      <w:bookmarkStart w:id="210" w:name="_Toc98504216"/>
      <w:bookmarkStart w:id="211" w:name="_Toc98504547"/>
      <w:bookmarkStart w:id="212" w:name="_Toc98767945"/>
      <w:r>
        <w:rPr>
          <w:rStyle w:val="CharDivNo"/>
        </w:rPr>
        <w:t>Division 2</w:t>
      </w:r>
      <w:r>
        <w:rPr>
          <w:snapToGrid w:val="0"/>
        </w:rPr>
        <w:t> — </w:t>
      </w:r>
      <w:r>
        <w:rPr>
          <w:rStyle w:val="CharDivText"/>
        </w:rPr>
        <w:t>Offensive trades</w:t>
      </w:r>
      <w:bookmarkEnd w:id="210"/>
      <w:bookmarkEnd w:id="211"/>
      <w:bookmarkEnd w:id="212"/>
    </w:p>
    <w:p>
      <w:pPr>
        <w:pStyle w:val="Heading5"/>
        <w:rPr>
          <w:snapToGrid w:val="0"/>
        </w:rPr>
      </w:pPr>
      <w:bookmarkStart w:id="213" w:name="_Toc98767946"/>
      <w:r>
        <w:rPr>
          <w:rStyle w:val="CharSectno"/>
        </w:rPr>
        <w:t>186</w:t>
      </w:r>
      <w:r>
        <w:rPr>
          <w:snapToGrid w:val="0"/>
        </w:rPr>
        <w:t>.</w:t>
      </w:r>
      <w:r>
        <w:rPr>
          <w:snapToGrid w:val="0"/>
        </w:rPr>
        <w:tab/>
        <w:t>Term used: offensive trade</w:t>
      </w:r>
      <w:bookmarkEnd w:id="213"/>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spacing w:before="200"/>
        <w:rPr>
          <w:snapToGrid w:val="0"/>
        </w:rPr>
      </w:pPr>
      <w:r>
        <w:rPr>
          <w:snapToGrid w:val="0"/>
        </w:rPr>
        <w:lastRenderedPageBreak/>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spacing w:before="160"/>
        <w:ind w:left="890" w:hanging="890"/>
      </w:pPr>
      <w:r>
        <w:tab/>
        <w:t>[Section 186, formerly section 150, renumbered as section 186: No. 38 of 1933 s. 42; amended: No. 35 of 1966 s. 5; No. 26 of 1985 s. 6.]</w:t>
      </w:r>
    </w:p>
    <w:p>
      <w:pPr>
        <w:pStyle w:val="Heading5"/>
        <w:spacing w:before="240"/>
        <w:rPr>
          <w:snapToGrid w:val="0"/>
        </w:rPr>
      </w:pPr>
      <w:bookmarkStart w:id="214" w:name="_Toc98767947"/>
      <w:r>
        <w:rPr>
          <w:rStyle w:val="CharSectno"/>
        </w:rPr>
        <w:t>187</w:t>
      </w:r>
      <w:r>
        <w:rPr>
          <w:snapToGrid w:val="0"/>
        </w:rPr>
        <w:t>.</w:t>
      </w:r>
      <w:r>
        <w:rPr>
          <w:snapToGrid w:val="0"/>
        </w:rPr>
        <w:tab/>
        <w:t>Consent necessary for establishing offensive trade</w:t>
      </w:r>
      <w:bookmarkEnd w:id="214"/>
    </w:p>
    <w:p>
      <w:pPr>
        <w:pStyle w:val="Subsection"/>
        <w:spacing w:before="200"/>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spacing w:before="200"/>
      </w:pPr>
      <w:r>
        <w:tab/>
        <w:t>[(2)</w:t>
      </w:r>
      <w:r>
        <w:tab/>
        <w:t>deleted]</w:t>
      </w:r>
    </w:p>
    <w:p>
      <w:pPr>
        <w:pStyle w:val="Subsection"/>
        <w:spacing w:before="200"/>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spacing w:before="160"/>
        <w:ind w:left="890" w:hanging="890"/>
        <w:rPr>
          <w:spacing w:val="-4"/>
        </w:rPr>
      </w:pPr>
      <w:r>
        <w:rPr>
          <w:spacing w:val="-4"/>
        </w:rPr>
        <w:tab/>
        <w:t>[Section 187</w:t>
      </w:r>
      <w:r>
        <w:t xml:space="preserve">, formerly section 151, renumbered as section 187: No. 38 of 1933 s. 42; </w:t>
      </w:r>
      <w:r>
        <w:rPr>
          <w:spacing w:val="-4"/>
        </w:rPr>
        <w:t>amended: No. 28 of 1984 s. 45; No. 14 of 1996 s. 4; No. 55 of 2004 s. 486.]</w:t>
      </w:r>
    </w:p>
    <w:p>
      <w:pPr>
        <w:pStyle w:val="Heading5"/>
        <w:spacing w:before="240"/>
        <w:rPr>
          <w:snapToGrid w:val="0"/>
        </w:rPr>
      </w:pPr>
      <w:bookmarkStart w:id="215" w:name="_Toc98767948"/>
      <w:r>
        <w:rPr>
          <w:rStyle w:val="CharSectno"/>
        </w:rPr>
        <w:t>188</w:t>
      </w:r>
      <w:r>
        <w:rPr>
          <w:snapToGrid w:val="0"/>
        </w:rPr>
        <w:t>.</w:t>
      </w:r>
      <w:r>
        <w:rPr>
          <w:snapToGrid w:val="0"/>
        </w:rPr>
        <w:tab/>
        <w:t>Penalty for breach</w:t>
      </w:r>
      <w:bookmarkEnd w:id="215"/>
    </w:p>
    <w:p>
      <w:pPr>
        <w:pStyle w:val="Subsection"/>
        <w:spacing w:before="200"/>
        <w:rPr>
          <w:snapToGrid w:val="0"/>
        </w:rPr>
      </w:pPr>
      <w:r>
        <w:rPr>
          <w:snapToGrid w:val="0"/>
        </w:rPr>
        <w:tab/>
      </w:r>
      <w:r>
        <w:rPr>
          <w:snapToGrid w:val="0"/>
        </w:rPr>
        <w:tab/>
        <w:t>Every person who establishes an offensive trade in breach of this Act commits an offence.</w:t>
      </w:r>
    </w:p>
    <w:p>
      <w:pPr>
        <w:pStyle w:val="Footnotesection"/>
        <w:spacing w:before="160"/>
        <w:ind w:left="890" w:hanging="890"/>
      </w:pPr>
      <w:r>
        <w:tab/>
        <w:t>[Section 188, formerly section 152, renumbered as section 188: No. 38 of 1933 s. 42; amended: No. 113 of 1965 s. 8(1); No. 80 of 1987 s. 50.]</w:t>
      </w:r>
    </w:p>
    <w:p>
      <w:pPr>
        <w:pStyle w:val="Heading5"/>
        <w:spacing w:before="0"/>
        <w:rPr>
          <w:snapToGrid w:val="0"/>
        </w:rPr>
      </w:pPr>
      <w:bookmarkStart w:id="216" w:name="_Toc98767949"/>
      <w:r>
        <w:rPr>
          <w:rStyle w:val="CharSectno"/>
        </w:rPr>
        <w:t>189</w:t>
      </w:r>
      <w:r>
        <w:rPr>
          <w:snapToGrid w:val="0"/>
        </w:rPr>
        <w:t>.</w:t>
      </w:r>
      <w:r>
        <w:rPr>
          <w:snapToGrid w:val="0"/>
        </w:rPr>
        <w:tab/>
        <w:t>Penalty for illegally carrying on offensive trade</w:t>
      </w:r>
      <w:bookmarkEnd w:id="216"/>
    </w:p>
    <w:p>
      <w:pPr>
        <w:pStyle w:val="Subsection"/>
        <w:keepNext/>
        <w:spacing w:before="200"/>
        <w:rPr>
          <w:snapToGrid w:val="0"/>
        </w:rPr>
      </w:pPr>
      <w:r>
        <w:rPr>
          <w:snapToGrid w:val="0"/>
        </w:rPr>
        <w:tab/>
      </w:r>
      <w:r>
        <w:rPr>
          <w:snapToGrid w:val="0"/>
        </w:rPr>
        <w:tab/>
        <w:t xml:space="preserve">Every person who carries on any offensive trade established in breach of this Act, or of any Act repealed by this Act, commits </w:t>
      </w:r>
      <w:r>
        <w:rPr>
          <w:snapToGrid w:val="0"/>
        </w:rPr>
        <w:lastRenderedPageBreak/>
        <w:t>an offence, whether there has or has not been a conviction in respect of the establishing of the trade.</w:t>
      </w:r>
    </w:p>
    <w:p>
      <w:pPr>
        <w:pStyle w:val="Footnotesection"/>
        <w:spacing w:before="80"/>
        <w:ind w:left="890" w:hanging="890"/>
      </w:pPr>
      <w:r>
        <w:tab/>
        <w:t>[Section 189, formerly section 153, renumbered as section 189: No. 38 of 1933 s. 42; amended: No. 113 of 1965 s. 8(1); No. 80 of 1987 s. 51.]</w:t>
      </w:r>
    </w:p>
    <w:p>
      <w:pPr>
        <w:pStyle w:val="Heading5"/>
        <w:rPr>
          <w:snapToGrid w:val="0"/>
        </w:rPr>
      </w:pPr>
      <w:bookmarkStart w:id="217" w:name="_Toc98767950"/>
      <w:r>
        <w:rPr>
          <w:rStyle w:val="CharSectno"/>
        </w:rPr>
        <w:t>190</w:t>
      </w:r>
      <w:r>
        <w:rPr>
          <w:snapToGrid w:val="0"/>
        </w:rPr>
        <w:t>.</w:t>
      </w:r>
      <w:r>
        <w:rPr>
          <w:snapToGrid w:val="0"/>
        </w:rPr>
        <w:tab/>
        <w:t>Local laws regulating offensive trades</w:t>
      </w:r>
      <w:bookmarkEnd w:id="217"/>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No. 14 of 1996 s. 4.]</w:t>
      </w:r>
    </w:p>
    <w:p>
      <w:pPr>
        <w:pStyle w:val="Heading5"/>
        <w:rPr>
          <w:snapToGrid w:val="0"/>
        </w:rPr>
      </w:pPr>
      <w:bookmarkStart w:id="218" w:name="_Toc98767951"/>
      <w:r>
        <w:rPr>
          <w:rStyle w:val="CharSectno"/>
        </w:rPr>
        <w:t>191</w:t>
      </w:r>
      <w:r>
        <w:rPr>
          <w:snapToGrid w:val="0"/>
        </w:rPr>
        <w:t>.</w:t>
      </w:r>
      <w:r>
        <w:rPr>
          <w:snapToGrid w:val="0"/>
        </w:rPr>
        <w:tab/>
        <w:t>Offensive trades to be registered</w:t>
      </w:r>
      <w:bookmarkEnd w:id="218"/>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lastRenderedPageBreak/>
        <w:tab/>
        <w:t>[Section 191, formerly section 155, renumbered as section 191: No. 38 of 1933 s. 42; amended: No. 25 of 1952 s. 5; No. 113 of 1965 s. 8(1); No. 2 of 1975 s. 7; No. 59 of 1991 s. 25; No. 14 of 1996 s. 4.]</w:t>
      </w:r>
    </w:p>
    <w:p>
      <w:pPr>
        <w:pStyle w:val="Heading5"/>
        <w:rPr>
          <w:snapToGrid w:val="0"/>
        </w:rPr>
      </w:pPr>
      <w:bookmarkStart w:id="219" w:name="_Toc98767952"/>
      <w:r>
        <w:rPr>
          <w:rStyle w:val="CharSectno"/>
        </w:rPr>
        <w:t>192</w:t>
      </w:r>
      <w:r>
        <w:rPr>
          <w:snapToGrid w:val="0"/>
        </w:rPr>
        <w:t>.</w:t>
      </w:r>
      <w:r>
        <w:rPr>
          <w:snapToGrid w:val="0"/>
        </w:rPr>
        <w:tab/>
        <w:t>Local government may refuse to register or to renew registration</w:t>
      </w:r>
      <w:bookmarkEnd w:id="219"/>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formerly section 156, renumbered as section 192: No. 38 of 1933 s. 42; amended: No. 28 of 1984 s. 45; No. 14 of 1996 s. 4; No. 55 of 2004 s. 487.]</w:t>
      </w:r>
    </w:p>
    <w:p>
      <w:pPr>
        <w:pStyle w:val="Heading5"/>
        <w:rPr>
          <w:snapToGrid w:val="0"/>
        </w:rPr>
      </w:pPr>
      <w:bookmarkStart w:id="220" w:name="_Toc98767953"/>
      <w:r>
        <w:rPr>
          <w:rStyle w:val="CharSectno"/>
        </w:rPr>
        <w:t>193</w:t>
      </w:r>
      <w:r>
        <w:rPr>
          <w:snapToGrid w:val="0"/>
        </w:rPr>
        <w:t>.</w:t>
      </w:r>
      <w:r>
        <w:rPr>
          <w:snapToGrid w:val="0"/>
        </w:rPr>
        <w:tab/>
        <w:t>Power to restrict offensive trades to certain portions of proclaimed areas</w:t>
      </w:r>
      <w:bookmarkEnd w:id="220"/>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keepNext/>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as section 156a: No. 17 of 1918 s. 18; renumbered as section 193: No. 38 of 1933 s. 42; amended: No. 80 of 1987 s. 52.]</w:t>
      </w:r>
    </w:p>
    <w:p>
      <w:pPr>
        <w:pStyle w:val="Heading5"/>
        <w:rPr>
          <w:snapToGrid w:val="0"/>
        </w:rPr>
      </w:pPr>
      <w:bookmarkStart w:id="221" w:name="_Toc98767954"/>
      <w:r>
        <w:rPr>
          <w:rStyle w:val="CharSectno"/>
        </w:rPr>
        <w:lastRenderedPageBreak/>
        <w:t>194</w:t>
      </w:r>
      <w:r>
        <w:rPr>
          <w:snapToGrid w:val="0"/>
        </w:rPr>
        <w:t>.</w:t>
      </w:r>
      <w:r>
        <w:rPr>
          <w:snapToGrid w:val="0"/>
        </w:rPr>
        <w:tab/>
        <w:t>Offensive trades</w:t>
      </w:r>
      <w:bookmarkEnd w:id="221"/>
    </w:p>
    <w:p>
      <w:pPr>
        <w:pStyle w:val="Subsection"/>
        <w:rPr>
          <w:snapToGrid w:val="0"/>
        </w:rPr>
      </w:pPr>
      <w:r>
        <w:rPr>
          <w:snapToGrid w:val="0"/>
        </w:rPr>
        <w:tab/>
      </w:r>
      <w:r>
        <w:rPr>
          <w:snapToGrid w:val="0"/>
        </w:rPr>
        <w:tab/>
        <w:t xml:space="preserve">Where any trade process, whether an offensive trade or not, has been established in any district, and is of such a nature that the carrying on thereof will unavoidably result in fumes, dust, vapour, gas, or other chemical elements which, in the opinion of the </w:t>
      </w:r>
      <w:r>
        <w:t>Chief Health Officer</w:t>
      </w:r>
      <w:r>
        <w:rPr>
          <w:snapToGrid w:val="0"/>
        </w:rPr>
        <w:t xml:space="preserve">, are likely to be injurious to health, escaping into the air, the Governor may, on the recommendation of the </w:t>
      </w:r>
      <w:r>
        <w:t>Chief Health Officer</w:t>
      </w:r>
      <w:r>
        <w:rPr>
          <w:snapToGrid w:val="0"/>
        </w:rPr>
        <w:t>,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 xml:space="preserve">houses shall not be erected or used, the </w:t>
      </w:r>
      <w:r>
        <w:t>Chief Health Officer</w:t>
      </w:r>
      <w:r>
        <w:rPr>
          <w:snapToGrid w:val="0"/>
        </w:rPr>
        <w:t xml:space="preserve"> may, notwithstanding the proclamation, grant a permit in writing signed by him to any person to use such dwelling</w:t>
      </w:r>
      <w:r>
        <w:rPr>
          <w:snapToGrid w:val="0"/>
        </w:rPr>
        <w:noBreakHyphen/>
        <w:t xml:space="preserve">house for purposes of habitation, upon and subject to such conditions as the </w:t>
      </w:r>
      <w:r>
        <w:t>Chief Health Officer</w:t>
      </w:r>
      <w:r>
        <w:rPr>
          <w:snapToGrid w:val="0"/>
        </w:rPr>
        <w:t xml:space="preserve"> may deem fit to impose and which are specified in the permit so granted.</w:t>
      </w:r>
    </w:p>
    <w:p>
      <w:pPr>
        <w:pStyle w:val="Footnotesection"/>
        <w:ind w:left="890" w:hanging="890"/>
      </w:pPr>
      <w:r>
        <w:tab/>
        <w:t>[Section 194 inserted as section 158A: No. 30 of 1932 s. 26; renumbered as section 194: No. 38 of 1933 s. 42; amended: No. 28 of 1984 s. 45; No. 19 of 2016 s. 100.]</w:t>
      </w:r>
    </w:p>
    <w:p>
      <w:pPr>
        <w:pStyle w:val="Heading5"/>
        <w:pageBreakBefore/>
        <w:spacing w:before="0"/>
        <w:rPr>
          <w:snapToGrid w:val="0"/>
        </w:rPr>
      </w:pPr>
      <w:bookmarkStart w:id="222" w:name="_Toc98767955"/>
      <w:r>
        <w:rPr>
          <w:rStyle w:val="CharSectno"/>
        </w:rPr>
        <w:lastRenderedPageBreak/>
        <w:t>195</w:t>
      </w:r>
      <w:r>
        <w:rPr>
          <w:snapToGrid w:val="0"/>
        </w:rPr>
        <w:t>.</w:t>
      </w:r>
      <w:r>
        <w:rPr>
          <w:snapToGrid w:val="0"/>
        </w:rPr>
        <w:tab/>
        <w:t>Construction, drainage and equipment of slaughter</w:t>
      </w:r>
      <w:r>
        <w:rPr>
          <w:snapToGrid w:val="0"/>
        </w:rPr>
        <w:noBreakHyphen/>
        <w:t>houses</w:t>
      </w:r>
      <w:bookmarkEnd w:id="222"/>
    </w:p>
    <w:p>
      <w:pPr>
        <w:pStyle w:val="Subsection"/>
        <w:spacing w:before="200"/>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No. 52 of 1968 s. 5; amended: No. 80 of 1987 s. 53.]</w:t>
      </w:r>
    </w:p>
    <w:p>
      <w:pPr>
        <w:pStyle w:val="Heading5"/>
        <w:rPr>
          <w:snapToGrid w:val="0"/>
        </w:rPr>
      </w:pPr>
      <w:bookmarkStart w:id="223" w:name="_Toc98767956"/>
      <w:r>
        <w:rPr>
          <w:rStyle w:val="CharSectno"/>
        </w:rPr>
        <w:t>196</w:t>
      </w:r>
      <w:r>
        <w:rPr>
          <w:snapToGrid w:val="0"/>
        </w:rPr>
        <w:t>.</w:t>
      </w:r>
      <w:r>
        <w:rPr>
          <w:snapToGrid w:val="0"/>
        </w:rPr>
        <w:tab/>
        <w:t>Slaughter</w:t>
      </w:r>
      <w:r>
        <w:rPr>
          <w:snapToGrid w:val="0"/>
        </w:rPr>
        <w:noBreakHyphen/>
        <w:t>houses to be kept in accordance with Act</w:t>
      </w:r>
      <w:bookmarkEnd w:id="223"/>
    </w:p>
    <w:p>
      <w:pPr>
        <w:pStyle w:val="Subsection"/>
        <w:spacing w:before="200"/>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spacing w:before="200"/>
        <w:rPr>
          <w:snapToGrid w:val="0"/>
        </w:rPr>
      </w:pPr>
      <w:r>
        <w:rPr>
          <w:snapToGrid w:val="0"/>
        </w:rPr>
        <w:tab/>
        <w:t>(2)</w:t>
      </w:r>
      <w:r>
        <w:rPr>
          <w:snapToGrid w:val="0"/>
        </w:rPr>
        <w:tab/>
        <w:t>Whenever any owner or occupier fails to comply with a notice served upon him under subsection (1), he commits an offence.</w:t>
      </w:r>
    </w:p>
    <w:p>
      <w:pPr>
        <w:pStyle w:val="Subsection"/>
        <w:spacing w:before="200"/>
        <w:rPr>
          <w:snapToGrid w:val="0"/>
        </w:rPr>
      </w:pPr>
      <w:r>
        <w:rPr>
          <w:snapToGrid w:val="0"/>
        </w:rPr>
        <w:tab/>
        <w:t>(3)</w:t>
      </w:r>
      <w:r>
        <w:rPr>
          <w:snapToGrid w:val="0"/>
        </w:rPr>
        <w:tab/>
        <w:t xml:space="preserve">The local government may, and shall if the </w:t>
      </w:r>
      <w:r>
        <w:t>Chief Health Officer</w:t>
      </w:r>
      <w:r>
        <w:rPr>
          <w:snapToGrid w:val="0"/>
        </w:rPr>
        <w:t xml:space="preserve"> so requires, carry out the requirements of such notice; and may, by summary proceedings, recover all expenses incurred from the owner or occupier in addition to the penalties incurred; or</w:t>
      </w:r>
    </w:p>
    <w:p>
      <w:pPr>
        <w:pStyle w:val="Subsection"/>
        <w:spacing w:before="200"/>
        <w:rPr>
          <w:snapToGrid w:val="0"/>
        </w:rPr>
      </w:pPr>
      <w:r>
        <w:rPr>
          <w:snapToGrid w:val="0"/>
        </w:rPr>
        <w:tab/>
        <w:t>(4)</w:t>
      </w:r>
      <w:r>
        <w:rPr>
          <w:snapToGrid w:val="0"/>
        </w:rPr>
        <w:tab/>
        <w:t xml:space="preserve">The local government may, and shall if the </w:t>
      </w:r>
      <w:r>
        <w:t>Chief Health Officer</w:t>
      </w:r>
      <w:r>
        <w:rPr>
          <w:snapToGrid w:val="0"/>
        </w:rPr>
        <w:t xml:space="preserve"> so recommends, cancel or refuse to renew the registration of the premises.</w:t>
      </w:r>
    </w:p>
    <w:p>
      <w:pPr>
        <w:pStyle w:val="Footnotesection"/>
        <w:rPr>
          <w:szCs w:val="24"/>
        </w:rPr>
      </w:pPr>
      <w:r>
        <w:tab/>
      </w:r>
      <w:r>
        <w:rPr>
          <w:szCs w:val="24"/>
        </w:rPr>
        <w:t xml:space="preserve">[Section 196, formerly section 158, renumbered as section 196: No 38 of 1933 s. 42; amended: No. 113 of 1965 s. 8(1); No. 28 of 1984 s. 45; No. 80 of 1987 s. 54; No. 14 of 1996 s. 4; </w:t>
      </w:r>
      <w:r>
        <w:t>No. 19 of 2016 s. 100</w:t>
      </w:r>
      <w:r>
        <w:rPr>
          <w:szCs w:val="24"/>
        </w:rPr>
        <w:t>.]</w:t>
      </w:r>
    </w:p>
    <w:p>
      <w:pPr>
        <w:pStyle w:val="Heading5"/>
        <w:pageBreakBefore/>
        <w:spacing w:before="0"/>
        <w:rPr>
          <w:snapToGrid w:val="0"/>
        </w:rPr>
      </w:pPr>
      <w:bookmarkStart w:id="224" w:name="_Toc98767957"/>
      <w:r>
        <w:rPr>
          <w:rStyle w:val="CharSectno"/>
        </w:rPr>
        <w:lastRenderedPageBreak/>
        <w:t>197</w:t>
      </w:r>
      <w:r>
        <w:rPr>
          <w:snapToGrid w:val="0"/>
        </w:rPr>
        <w:t>.</w:t>
      </w:r>
      <w:r>
        <w:rPr>
          <w:snapToGrid w:val="0"/>
        </w:rPr>
        <w:tab/>
        <w:t>No swine, dog or poultry to be kept at slaughter</w:t>
      </w:r>
      <w:r>
        <w:rPr>
          <w:snapToGrid w:val="0"/>
        </w:rPr>
        <w:noBreakHyphen/>
        <w:t>house</w:t>
      </w:r>
      <w:bookmarkEnd w:id="224"/>
    </w:p>
    <w:p>
      <w:pPr>
        <w:pStyle w:val="Subsection"/>
        <w:keepNext/>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Footnotesection"/>
        <w:spacing w:before="100"/>
        <w:ind w:left="890" w:hanging="890"/>
      </w:pPr>
      <w:r>
        <w:rPr>
          <w:szCs w:val="24"/>
        </w:rPr>
        <w:tab/>
        <w:t>[Section 197, formerly section 159, renumbered as section 197: No 38 of 1933 s. 42.]</w:t>
      </w:r>
    </w:p>
    <w:p>
      <w:pPr>
        <w:pStyle w:val="Heading5"/>
        <w:spacing w:before="180"/>
        <w:rPr>
          <w:snapToGrid w:val="0"/>
        </w:rPr>
      </w:pPr>
      <w:bookmarkStart w:id="225" w:name="_Toc98767958"/>
      <w:r>
        <w:rPr>
          <w:rStyle w:val="CharSectno"/>
        </w:rPr>
        <w:t>198</w:t>
      </w:r>
      <w:r>
        <w:rPr>
          <w:snapToGrid w:val="0"/>
        </w:rPr>
        <w:t>.</w:t>
      </w:r>
      <w:r>
        <w:rPr>
          <w:snapToGrid w:val="0"/>
        </w:rPr>
        <w:tab/>
        <w:t>Swine not to be fed on raw offal etc.</w:t>
      </w:r>
      <w:bookmarkEnd w:id="225"/>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spacing w:before="60"/>
        <w:ind w:left="890" w:hanging="890"/>
      </w:pPr>
      <w:r>
        <w:tab/>
        <w:t>[Section 198</w:t>
      </w:r>
      <w:r>
        <w:rPr>
          <w:szCs w:val="24"/>
        </w:rPr>
        <w:t>, formerly section 160, renumbered as section 198: No 38 of 1933 s. 42;</w:t>
      </w:r>
      <w:r>
        <w:t xml:space="preserve"> amended: No. 29 of 1955 s. 3.]</w:t>
      </w:r>
    </w:p>
    <w:p>
      <w:pPr>
        <w:pStyle w:val="Heading3"/>
        <w:spacing w:before="260"/>
        <w:rPr>
          <w:snapToGrid w:val="0"/>
        </w:rPr>
      </w:pPr>
      <w:bookmarkStart w:id="226" w:name="_Toc98504230"/>
      <w:bookmarkStart w:id="227" w:name="_Toc98504561"/>
      <w:bookmarkStart w:id="228" w:name="_Toc98767959"/>
      <w:r>
        <w:rPr>
          <w:rStyle w:val="CharDivNo"/>
        </w:rPr>
        <w:t>Division 3</w:t>
      </w:r>
      <w:r>
        <w:rPr>
          <w:snapToGrid w:val="0"/>
        </w:rPr>
        <w:t> — </w:t>
      </w:r>
      <w:r>
        <w:rPr>
          <w:rStyle w:val="CharDivText"/>
        </w:rPr>
        <w:t>Local laws</w:t>
      </w:r>
      <w:bookmarkEnd w:id="226"/>
      <w:bookmarkEnd w:id="227"/>
      <w:bookmarkEnd w:id="228"/>
    </w:p>
    <w:p>
      <w:pPr>
        <w:pStyle w:val="Footnoteheading"/>
        <w:ind w:left="890" w:hanging="890"/>
        <w:rPr>
          <w:snapToGrid w:val="0"/>
        </w:rPr>
      </w:pPr>
      <w:r>
        <w:rPr>
          <w:snapToGrid w:val="0"/>
        </w:rPr>
        <w:tab/>
        <w:t>[Heading amended: No. 14 of 1996 s. 4.]</w:t>
      </w:r>
    </w:p>
    <w:p>
      <w:pPr>
        <w:pStyle w:val="Heading5"/>
        <w:rPr>
          <w:snapToGrid w:val="0"/>
        </w:rPr>
      </w:pPr>
      <w:bookmarkStart w:id="229" w:name="_Toc98767960"/>
      <w:r>
        <w:rPr>
          <w:rStyle w:val="CharSectno"/>
        </w:rPr>
        <w:t>199</w:t>
      </w:r>
      <w:r>
        <w:rPr>
          <w:snapToGrid w:val="0"/>
        </w:rPr>
        <w:t>.</w:t>
      </w:r>
      <w:r>
        <w:rPr>
          <w:snapToGrid w:val="0"/>
        </w:rPr>
        <w:tab/>
        <w:t>Local laws in respect of nuisances and offensive trades</w:t>
      </w:r>
      <w:bookmarkEnd w:id="229"/>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lastRenderedPageBreak/>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 xml:space="preserve">For the disinfection of and the prevention of a nuisance, or injury or danger to health from rags or other material </w:t>
      </w:r>
      <w:r>
        <w:rPr>
          <w:snapToGrid w:val="0"/>
        </w:rPr>
        <w:lastRenderedPageBreak/>
        <w:t>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 xml:space="preserve">house, public house or public place, but so that no prosecution for a breach of any local law made under this paragraph shall be instituted except by an </w:t>
      </w:r>
      <w:r>
        <w:t>authorised officer</w:t>
      </w:r>
      <w:r>
        <w:rPr>
          <w:snapToGrid w:val="0"/>
        </w:rPr>
        <w:t>.</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r>
        <w:tab/>
        <w:t>[Section 199, formerly section 161, amended: No. 3 of 1912 s. 2; No. 30 of 1932 s. 27; renumbered as section 199: No. 38 of 1933 s. 42; amended: No. 22 of 1948 s. 3; No. 25 of 1952 s. 6; No. 29 of 1955 s. 4; No. 18 of 1964 s. 18; No. 24 of 1970 s. 12; No. 28 of 1984 s. 45; No. 59 of 1991 s. 5; No. 88 of 1994 s. 100; No. 14 of 1996 s. 4; No. 28 of 1996 s. 21; No. 84 of 2004 s. 80; No. 43 of 2008 s. 147(6); No. 19 of 2016 s. 99.]</w:t>
      </w:r>
    </w:p>
    <w:p>
      <w:pPr>
        <w:pStyle w:val="Heading5"/>
        <w:rPr>
          <w:snapToGrid w:val="0"/>
        </w:rPr>
      </w:pPr>
      <w:bookmarkStart w:id="230" w:name="_Toc98767961"/>
      <w:r>
        <w:rPr>
          <w:rStyle w:val="CharSectno"/>
        </w:rPr>
        <w:lastRenderedPageBreak/>
        <w:t>200</w:t>
      </w:r>
      <w:r>
        <w:rPr>
          <w:snapToGrid w:val="0"/>
        </w:rPr>
        <w:t>.</w:t>
      </w:r>
      <w:r>
        <w:rPr>
          <w:snapToGrid w:val="0"/>
        </w:rPr>
        <w:tab/>
        <w:t>Regulations as to medical examinations for persons in prescribed industries</w:t>
      </w:r>
      <w:bookmarkEnd w:id="230"/>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No. 71 of 1948 s. 6.]</w:t>
      </w:r>
    </w:p>
    <w:p>
      <w:pPr>
        <w:pStyle w:val="Heading2"/>
      </w:pPr>
      <w:bookmarkStart w:id="231" w:name="_Toc98504233"/>
      <w:bookmarkStart w:id="232" w:name="_Toc98504564"/>
      <w:bookmarkStart w:id="233" w:name="_Toc98767962"/>
      <w:r>
        <w:rPr>
          <w:rStyle w:val="CharPartNo"/>
        </w:rPr>
        <w:lastRenderedPageBreak/>
        <w:t>Part VIIA</w:t>
      </w:r>
      <w:r>
        <w:rPr>
          <w:b w:val="0"/>
        </w:rPr>
        <w:t> </w:t>
      </w:r>
      <w:r>
        <w:t>—</w:t>
      </w:r>
      <w:r>
        <w:rPr>
          <w:b w:val="0"/>
        </w:rPr>
        <w:t> </w:t>
      </w:r>
      <w:r>
        <w:rPr>
          <w:rStyle w:val="CharPartText"/>
        </w:rPr>
        <w:t>Pesticides</w:t>
      </w:r>
      <w:bookmarkEnd w:id="231"/>
      <w:bookmarkEnd w:id="232"/>
      <w:bookmarkEnd w:id="233"/>
    </w:p>
    <w:p>
      <w:pPr>
        <w:pStyle w:val="Footnoteheading"/>
        <w:spacing w:before="100"/>
        <w:ind w:left="890" w:hanging="890"/>
        <w:rPr>
          <w:snapToGrid w:val="0"/>
        </w:rPr>
      </w:pPr>
      <w:r>
        <w:rPr>
          <w:snapToGrid w:val="0"/>
        </w:rPr>
        <w:tab/>
        <w:t>[Heading inserted: No. 13 of 2014 s. 151.]</w:t>
      </w:r>
    </w:p>
    <w:p>
      <w:pPr>
        <w:pStyle w:val="Heading3"/>
      </w:pPr>
      <w:bookmarkStart w:id="234" w:name="_Toc98504234"/>
      <w:bookmarkStart w:id="235" w:name="_Toc98504565"/>
      <w:bookmarkStart w:id="236" w:name="_Toc98767963"/>
      <w:r>
        <w:rPr>
          <w:rStyle w:val="CharDivNo"/>
        </w:rPr>
        <w:t>Division 1</w:t>
      </w:r>
      <w:r>
        <w:t> — </w:t>
      </w:r>
      <w:r>
        <w:rPr>
          <w:rStyle w:val="CharDivText"/>
        </w:rPr>
        <w:t>Registration of analysts</w:t>
      </w:r>
      <w:bookmarkEnd w:id="234"/>
      <w:bookmarkEnd w:id="235"/>
      <w:bookmarkEnd w:id="236"/>
    </w:p>
    <w:p>
      <w:pPr>
        <w:pStyle w:val="Footnoteheading"/>
        <w:spacing w:before="100"/>
        <w:ind w:left="890" w:hanging="890"/>
        <w:rPr>
          <w:snapToGrid w:val="0"/>
        </w:rPr>
      </w:pPr>
      <w:r>
        <w:rPr>
          <w:snapToGrid w:val="0"/>
        </w:rPr>
        <w:tab/>
        <w:t>[Heading inserted: No. 13 of 2014 s. 152.]</w:t>
      </w:r>
    </w:p>
    <w:p>
      <w:pPr>
        <w:pStyle w:val="Ednotesection"/>
        <w:outlineLvl w:val="9"/>
      </w:pPr>
      <w:r>
        <w:t>[</w:t>
      </w:r>
      <w:r>
        <w:rPr>
          <w:b/>
        </w:rPr>
        <w:t>201.</w:t>
      </w:r>
      <w:r>
        <w:tab/>
        <w:t>Deleted: No. 80 of 1987 s. 55.]</w:t>
      </w:r>
    </w:p>
    <w:p>
      <w:pPr>
        <w:pStyle w:val="Ednotesection"/>
      </w:pPr>
      <w:r>
        <w:t>[</w:t>
      </w:r>
      <w:r>
        <w:rPr>
          <w:b/>
        </w:rPr>
        <w:t>202.</w:t>
      </w:r>
      <w:r>
        <w:tab/>
        <w:t>Deleted: No. 13 of 2014 s. 153.]</w:t>
      </w:r>
    </w:p>
    <w:p>
      <w:pPr>
        <w:pStyle w:val="Heading5"/>
        <w:spacing w:before="240"/>
        <w:rPr>
          <w:snapToGrid w:val="0"/>
        </w:rPr>
      </w:pPr>
      <w:bookmarkStart w:id="237" w:name="_Toc98767964"/>
      <w:r>
        <w:rPr>
          <w:rStyle w:val="CharSectno"/>
        </w:rPr>
        <w:t>203</w:t>
      </w:r>
      <w:r>
        <w:rPr>
          <w:snapToGrid w:val="0"/>
        </w:rPr>
        <w:t>.</w:t>
      </w:r>
      <w:r>
        <w:rPr>
          <w:snapToGrid w:val="0"/>
        </w:rPr>
        <w:tab/>
        <w:t>Registration of analysts</w:t>
      </w:r>
      <w:bookmarkEnd w:id="237"/>
    </w:p>
    <w:p>
      <w:pPr>
        <w:pStyle w:val="Subsection"/>
        <w:spacing w:before="180"/>
        <w:rPr>
          <w:snapToGrid w:val="0"/>
        </w:rPr>
      </w:pPr>
      <w:r>
        <w:rPr>
          <w:snapToGrid w:val="0"/>
        </w:rPr>
        <w:tab/>
        <w:t>(1)</w:t>
      </w:r>
      <w:r>
        <w:rPr>
          <w:snapToGrid w:val="0"/>
        </w:rPr>
        <w:tab/>
        <w:t xml:space="preserve">Subject to subsection (3), the </w:t>
      </w:r>
      <w:r>
        <w:t>Chief Health Officer</w:t>
      </w:r>
      <w:r>
        <w:rPr>
          <w:snapToGrid w:val="0"/>
        </w:rPr>
        <w:t xml:space="preserve">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pPr>
      <w:r>
        <w:tab/>
        <w:t>(i)</w:t>
      </w:r>
      <w:r>
        <w:tab/>
        <w:t xml:space="preserve">who is appointed as an analyst under the </w:t>
      </w:r>
      <w:r>
        <w:rPr>
          <w:i/>
        </w:rPr>
        <w:t>Health Legislation Administration Act 1984</w:t>
      </w:r>
      <w:r>
        <w:t xml:space="preserve"> section 6; or </w:t>
      </w:r>
    </w:p>
    <w:p>
      <w:pPr>
        <w:pStyle w:val="Indenti"/>
        <w:rPr>
          <w:snapToGrid w:val="0"/>
        </w:rPr>
      </w:pPr>
      <w:r>
        <w:rPr>
          <w:snapToGrid w:val="0"/>
        </w:rPr>
        <w:tab/>
        <w:t>(ii)</w:t>
      </w:r>
      <w:r>
        <w:rPr>
          <w:snapToGrid w:val="0"/>
        </w:rPr>
        <w:tab/>
        <w:t xml:space="preserve">who is a qualified person approved by the </w:t>
      </w:r>
      <w:r>
        <w:t xml:space="preserve">Chief Health Officer </w:t>
      </w:r>
      <w:r>
        <w:rPr>
          <w:snapToGrid w:val="0"/>
        </w:rPr>
        <w:t>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spacing w:before="180"/>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spacing w:before="180"/>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No. 26 of 1985 s. 7; amended: No. 80 of 1987 s. 56; No. 19 of 2016 s. 15.]</w:t>
      </w:r>
    </w:p>
    <w:p>
      <w:pPr>
        <w:pStyle w:val="Ednotedivision"/>
        <w:spacing w:before="200"/>
      </w:pPr>
      <w:r>
        <w:lastRenderedPageBreak/>
        <w:t>[Divisions 2, 2A, 3, 3A and 4 (s. 203A-220) deleted: No. 43 of 2008 s. 147(8).]</w:t>
      </w:r>
    </w:p>
    <w:p>
      <w:pPr>
        <w:pStyle w:val="Ednotedivision"/>
        <w:spacing w:before="200"/>
      </w:pPr>
      <w:r>
        <w:t>[Divisions 5, 6 and 7 (s. 221-245) deleted: No. 13 of 2014 s. 154.]</w:t>
      </w:r>
    </w:p>
    <w:p>
      <w:pPr>
        <w:pStyle w:val="Heading3"/>
        <w:rPr>
          <w:snapToGrid w:val="0"/>
        </w:rPr>
      </w:pPr>
      <w:bookmarkStart w:id="238" w:name="_Toc98504236"/>
      <w:bookmarkStart w:id="239" w:name="_Toc98504567"/>
      <w:bookmarkStart w:id="240" w:name="_Toc98767965"/>
      <w:r>
        <w:rPr>
          <w:rStyle w:val="CharDivNo"/>
        </w:rPr>
        <w:t>Division 8</w:t>
      </w:r>
      <w:r>
        <w:rPr>
          <w:snapToGrid w:val="0"/>
        </w:rPr>
        <w:t> — </w:t>
      </w:r>
      <w:r>
        <w:rPr>
          <w:rStyle w:val="CharDivText"/>
        </w:rPr>
        <w:t>Pesticides</w:t>
      </w:r>
      <w:bookmarkEnd w:id="238"/>
      <w:bookmarkEnd w:id="239"/>
      <w:bookmarkEnd w:id="240"/>
    </w:p>
    <w:p>
      <w:pPr>
        <w:pStyle w:val="Footnoteheading"/>
        <w:keepNext/>
        <w:ind w:left="890" w:hanging="890"/>
        <w:rPr>
          <w:snapToGrid w:val="0"/>
        </w:rPr>
      </w:pPr>
      <w:r>
        <w:rPr>
          <w:snapToGrid w:val="0"/>
        </w:rPr>
        <w:tab/>
        <w:t>[Heading inserted: No. 26 of 1985 s. 7.]</w:t>
      </w:r>
    </w:p>
    <w:p>
      <w:pPr>
        <w:pStyle w:val="Heading5"/>
        <w:rPr>
          <w:snapToGrid w:val="0"/>
        </w:rPr>
      </w:pPr>
      <w:bookmarkStart w:id="241" w:name="_Toc98767966"/>
      <w:r>
        <w:rPr>
          <w:rStyle w:val="CharSectno"/>
        </w:rPr>
        <w:t>246</w:t>
      </w:r>
      <w:r>
        <w:rPr>
          <w:snapToGrid w:val="0"/>
        </w:rPr>
        <w:t>.</w:t>
      </w:r>
      <w:r>
        <w:rPr>
          <w:snapToGrid w:val="0"/>
        </w:rPr>
        <w:tab/>
        <w:t>Term used: Pesticides Advisory Committee</w:t>
      </w:r>
      <w:bookmarkEnd w:id="241"/>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Pesticides Advisory Committee</w:t>
      </w:r>
      <w:r>
        <w:t xml:space="preserve"> means the Pesticides Advisory Committee referred to in section 246B.</w:t>
      </w:r>
    </w:p>
    <w:p>
      <w:pPr>
        <w:pStyle w:val="Footnotesection"/>
      </w:pPr>
      <w:r>
        <w:tab/>
        <w:t>[Section 246 inserted: No. 26 of 1985 s. 7.]</w:t>
      </w:r>
    </w:p>
    <w:p>
      <w:pPr>
        <w:pStyle w:val="Heading5"/>
        <w:rPr>
          <w:snapToGrid w:val="0"/>
        </w:rPr>
      </w:pPr>
      <w:bookmarkStart w:id="242" w:name="_Toc98767967"/>
      <w:r>
        <w:rPr>
          <w:rStyle w:val="CharSectno"/>
        </w:rPr>
        <w:t>246A</w:t>
      </w:r>
      <w:r>
        <w:rPr>
          <w:snapToGrid w:val="0"/>
        </w:rPr>
        <w:t>.</w:t>
      </w:r>
      <w:r>
        <w:rPr>
          <w:snapToGrid w:val="0"/>
        </w:rPr>
        <w:tab/>
      </w:r>
      <w:r>
        <w:t>C</w:t>
      </w:r>
      <w:r>
        <w:rPr>
          <w:bCs/>
          <w:iCs/>
        </w:rPr>
        <w:t xml:space="preserve">rown bound, but </w:t>
      </w:r>
      <w:r>
        <w:rPr>
          <w:bCs/>
          <w:i/>
          <w:iCs/>
        </w:rPr>
        <w:t>Health Practitioner Regulation National Law (Western Australia)</w:t>
      </w:r>
      <w:r>
        <w:rPr>
          <w:bCs/>
          <w:iCs/>
        </w:rPr>
        <w:t xml:space="preserve"> and </w:t>
      </w:r>
      <w:r>
        <w:rPr>
          <w:i/>
          <w:snapToGrid w:val="0"/>
        </w:rPr>
        <w:t xml:space="preserve">Medicines and Poisons Act 2014 </w:t>
      </w:r>
      <w:r>
        <w:rPr>
          <w:bCs/>
          <w:iCs/>
        </w:rPr>
        <w:t>not affected by Division 8</w:t>
      </w:r>
      <w:bookmarkEnd w:id="242"/>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(Western Australia)</w:t>
      </w:r>
      <w:r>
        <w:t xml:space="preserve"> </w:t>
      </w:r>
      <w:r>
        <w:rPr>
          <w:snapToGrid w:val="0"/>
        </w:rPr>
        <w:t xml:space="preserve">or the </w:t>
      </w:r>
      <w:r>
        <w:rPr>
          <w:i/>
          <w:snapToGrid w:val="0"/>
        </w:rPr>
        <w:t>Medicines and Poisons Act 2014</w:t>
      </w:r>
      <w:r>
        <w:t>.</w:t>
      </w:r>
    </w:p>
    <w:p>
      <w:pPr>
        <w:pStyle w:val="Footnotesection"/>
      </w:pPr>
      <w:r>
        <w:tab/>
        <w:t>[Section 246A inserted: No. 80 of 1987 s. 84; amended: No. 35 of 2010 s. 70; No. 13 of 2014 s. 155.]</w:t>
      </w:r>
    </w:p>
    <w:p>
      <w:pPr>
        <w:pStyle w:val="Heading5"/>
        <w:rPr>
          <w:snapToGrid w:val="0"/>
        </w:rPr>
      </w:pPr>
      <w:bookmarkStart w:id="243" w:name="_Toc98767968"/>
      <w:r>
        <w:rPr>
          <w:rStyle w:val="CharSectno"/>
        </w:rPr>
        <w:t>246B</w:t>
      </w:r>
      <w:r>
        <w:rPr>
          <w:snapToGrid w:val="0"/>
        </w:rPr>
        <w:t xml:space="preserve">. </w:t>
      </w:r>
      <w:r>
        <w:rPr>
          <w:snapToGrid w:val="0"/>
        </w:rPr>
        <w:tab/>
        <w:t>Pesticides Advisory Committee</w:t>
      </w:r>
      <w:bookmarkEnd w:id="243"/>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appointed by the Minister under section 241C as section 241C existed immediately before that coming into operation is hereby preserved and continued in existence under this Act.</w:t>
      </w:r>
    </w:p>
    <w:p>
      <w:pPr>
        <w:pStyle w:val="Subsection"/>
        <w:keepNext/>
        <w:rPr>
          <w:snapToGrid w:val="0"/>
        </w:rPr>
      </w:pPr>
      <w:r>
        <w:rPr>
          <w:snapToGrid w:val="0"/>
        </w:rPr>
        <w:lastRenderedPageBreak/>
        <w:tab/>
        <w:t>(2)</w:t>
      </w:r>
      <w:r>
        <w:rPr>
          <w:snapToGrid w:val="0"/>
        </w:rPr>
        <w:tab/>
        <w:t>The Pesticides Advisory Committee shall consist of 6 members of whom —</w:t>
      </w:r>
    </w:p>
    <w:p>
      <w:pPr>
        <w:pStyle w:val="Indenta"/>
      </w:pPr>
      <w:r>
        <w:tab/>
        <w:t>(a)</w:t>
      </w:r>
      <w:r>
        <w:tab/>
        <w:t>one shall be the Chief Health Officer or a medical practitioner nominated by the Chief Health Officer; and</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 and</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 and</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 and</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w:t>
      </w:r>
      <w:r>
        <w:t xml:space="preserve">WHS department within the meaning of the </w:t>
      </w:r>
      <w:r>
        <w:rPr>
          <w:i/>
        </w:rPr>
        <w:t>Work Health and Safety Act 2020</w:t>
      </w:r>
      <w:r>
        <w:t>,</w:t>
      </w:r>
      <w:r>
        <w:rPr>
          <w:snapToGrid w:val="0"/>
        </w:rPr>
        <w:t xml:space="preserve">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w:t>
      </w:r>
      <w:r>
        <w:t>Chief Health Officer</w:t>
      </w:r>
      <w:r>
        <w:rPr>
          <w:snapToGrid w:val="0"/>
        </w:rPr>
        <w:t xml:space="preserve">, or the medical </w:t>
      </w:r>
      <w:r>
        <w:t>practitioner</w:t>
      </w:r>
      <w:r>
        <w:rPr>
          <w:snapToGrid w:val="0"/>
        </w:rPr>
        <w:t xml:space="preserve"> referred to in subsection (2)(a), as the case requires, shall be the Chairman of the Pesticides Advisory Committee (in this section </w:t>
      </w:r>
      <w:r>
        <w:t>called the</w:t>
      </w:r>
      <w:r>
        <w:rPr>
          <w:b/>
          <w:i/>
          <w:snapToGrid w:val="0"/>
        </w:rPr>
        <w:t xml:space="preserve"> </w:t>
      </w:r>
      <w:r>
        <w:rPr>
          <w:rStyle w:val="CharDefText"/>
        </w:rPr>
        <w:t>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lastRenderedPageBreak/>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spacing w:before="180"/>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spacing w:before="180"/>
        <w:rPr>
          <w:snapToGrid w:val="0"/>
        </w:rPr>
      </w:pPr>
      <w:r>
        <w:rPr>
          <w:snapToGrid w:val="0"/>
        </w:rPr>
        <w:tab/>
        <w:t>(8)</w:t>
      </w:r>
      <w:r>
        <w:rPr>
          <w:snapToGrid w:val="0"/>
        </w:rPr>
        <w:tab/>
        <w:t>Each member may be paid such attendance fees as are prescribed in his case.</w:t>
      </w:r>
    </w:p>
    <w:p>
      <w:pPr>
        <w:pStyle w:val="Subsection"/>
        <w:spacing w:before="180"/>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No. 26 of 1985 s. 7; amended: No. 32 of 1994 s. 3(2); No. 28 of 1996 s. 13; No. 10 of 2007 s. 43; No. 24 of 2007 s. 10; No. 19 of 2016 s. 27, 99 and 100; No. 36 of 2020 s. 356.]</w:t>
      </w:r>
    </w:p>
    <w:p>
      <w:pPr>
        <w:pStyle w:val="Heading5"/>
        <w:spacing w:before="240"/>
        <w:rPr>
          <w:snapToGrid w:val="0"/>
        </w:rPr>
      </w:pPr>
      <w:bookmarkStart w:id="244" w:name="_Toc98767969"/>
      <w:r>
        <w:rPr>
          <w:rStyle w:val="CharSectno"/>
        </w:rPr>
        <w:lastRenderedPageBreak/>
        <w:t>246BA</w:t>
      </w:r>
      <w:r>
        <w:rPr>
          <w:snapToGrid w:val="0"/>
        </w:rPr>
        <w:t xml:space="preserve">. </w:t>
      </w:r>
      <w:r>
        <w:rPr>
          <w:snapToGrid w:val="0"/>
        </w:rPr>
        <w:tab/>
        <w:t>General powers of Pesticides Advisory Committee</w:t>
      </w:r>
      <w:bookmarkEnd w:id="244"/>
    </w:p>
    <w:p>
      <w:pPr>
        <w:pStyle w:val="Subsection"/>
        <w:spacing w:before="180"/>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 xml:space="preserve">advise the </w:t>
      </w:r>
      <w:r>
        <w:t xml:space="preserve">Chief Health Officer </w:t>
      </w:r>
      <w:r>
        <w:rPr>
          <w:snapToGrid w:val="0"/>
        </w:rPr>
        <w:t xml:space="preserve">on any matter whatsoever concerning pesticides, whether that matter is referred to it by the </w:t>
      </w:r>
      <w:r>
        <w:t xml:space="preserve">Chief Health Officer </w:t>
      </w:r>
      <w:r>
        <w:rPr>
          <w:snapToGrid w:val="0"/>
        </w:rPr>
        <w:t>or not; or</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No. 80 of 1987 s. 85; amended: No. 19 of 2016 s. 28.]</w:t>
      </w:r>
    </w:p>
    <w:p>
      <w:pPr>
        <w:pStyle w:val="Heading5"/>
        <w:rPr>
          <w:snapToGrid w:val="0"/>
        </w:rPr>
      </w:pPr>
      <w:bookmarkStart w:id="245" w:name="_Toc98767970"/>
      <w:r>
        <w:rPr>
          <w:rStyle w:val="CharSectno"/>
        </w:rPr>
        <w:t>246C</w:t>
      </w:r>
      <w:r>
        <w:rPr>
          <w:snapToGrid w:val="0"/>
        </w:rPr>
        <w:t xml:space="preserve">. </w:t>
      </w:r>
      <w:r>
        <w:rPr>
          <w:snapToGrid w:val="0"/>
        </w:rPr>
        <w:tab/>
        <w:t>Regulations relating to pesticides</w:t>
      </w:r>
      <w:bookmarkEnd w:id="245"/>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 and</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 and</w:t>
      </w:r>
    </w:p>
    <w:p>
      <w:pPr>
        <w:pStyle w:val="Indenta"/>
        <w:rPr>
          <w:snapToGrid w:val="0"/>
        </w:rPr>
      </w:pPr>
      <w:r>
        <w:rPr>
          <w:snapToGrid w:val="0"/>
        </w:rPr>
        <w:tab/>
        <w:t>(c)</w:t>
      </w:r>
      <w:r>
        <w:rPr>
          <w:snapToGrid w:val="0"/>
        </w:rPr>
        <w:tab/>
        <w:t xml:space="preserve">providing for the registration by the </w:t>
      </w:r>
      <w:r>
        <w:t xml:space="preserve">Chief Health Officer </w:t>
      </w:r>
      <w:r>
        <w:rPr>
          <w:snapToGrid w:val="0"/>
        </w:rPr>
        <w:t>of pesticides and labels relating thereto and for the imposition by him of conditions on any such registration; and</w:t>
      </w:r>
    </w:p>
    <w:p>
      <w:pPr>
        <w:pStyle w:val="Indenta"/>
        <w:rPr>
          <w:snapToGrid w:val="0"/>
        </w:rPr>
      </w:pPr>
      <w:r>
        <w:rPr>
          <w:snapToGrid w:val="0"/>
        </w:rPr>
        <w:tab/>
        <w:t>(d)</w:t>
      </w:r>
      <w:r>
        <w:rPr>
          <w:snapToGrid w:val="0"/>
        </w:rPr>
        <w:tab/>
        <w:t xml:space="preserve">prohibiting the registration by the </w:t>
      </w:r>
      <w:r>
        <w:t xml:space="preserve">Chief Health Officer </w:t>
      </w:r>
      <w:r>
        <w:rPr>
          <w:snapToGrid w:val="0"/>
        </w:rPr>
        <w:t>of any pesticide in respect of which a body prescribed for the purposes of section 246BA(b) has recommended against the use of that pesticide; and</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 and</w:t>
      </w:r>
    </w:p>
    <w:p>
      <w:pPr>
        <w:pStyle w:val="Indenta"/>
        <w:rPr>
          <w:snapToGrid w:val="0"/>
        </w:rPr>
      </w:pPr>
      <w:r>
        <w:rPr>
          <w:snapToGrid w:val="0"/>
        </w:rPr>
        <w:lastRenderedPageBreak/>
        <w:tab/>
        <w:t>(f)</w:t>
      </w:r>
      <w:r>
        <w:rPr>
          <w:snapToGrid w:val="0"/>
        </w:rPr>
        <w:tab/>
        <w:t>regulating or prohibiting the advertising of pesticides; and</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 and</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 and</w:t>
      </w:r>
    </w:p>
    <w:p>
      <w:pPr>
        <w:pStyle w:val="Indenta"/>
        <w:rPr>
          <w:snapToGrid w:val="0"/>
        </w:rPr>
      </w:pPr>
      <w:r>
        <w:rPr>
          <w:snapToGrid w:val="0"/>
        </w:rPr>
        <w:tab/>
        <w:t>(i)</w:t>
      </w:r>
      <w:r>
        <w:rPr>
          <w:snapToGrid w:val="0"/>
        </w:rPr>
        <w:tab/>
        <w:t>regulating the disposal of pesticides and used pesticide containers; and</w:t>
      </w:r>
    </w:p>
    <w:p>
      <w:pPr>
        <w:pStyle w:val="Indenta"/>
        <w:rPr>
          <w:snapToGrid w:val="0"/>
        </w:rPr>
      </w:pPr>
      <w:r>
        <w:rPr>
          <w:snapToGrid w:val="0"/>
        </w:rPr>
        <w:tab/>
        <w:t>(j)</w:t>
      </w:r>
      <w:r>
        <w:rPr>
          <w:snapToGrid w:val="0"/>
        </w:rPr>
        <w:tab/>
        <w:t xml:space="preserve">providing for the registration by the </w:t>
      </w:r>
      <w:r>
        <w:t xml:space="preserve">Chief Health Officer </w:t>
      </w:r>
      <w:r>
        <w:rPr>
          <w:snapToGrid w:val="0"/>
        </w:rPr>
        <w:t>of firms in respect of the undertaking or carrying out of fumigation and for the imposition by him of conditions on any such registration; and</w:t>
      </w:r>
    </w:p>
    <w:p>
      <w:pPr>
        <w:pStyle w:val="Indenta"/>
        <w:keepNext/>
        <w:keepLines/>
        <w:rPr>
          <w:snapToGrid w:val="0"/>
        </w:rPr>
      </w:pPr>
      <w:r>
        <w:rPr>
          <w:snapToGrid w:val="0"/>
        </w:rPr>
        <w:tab/>
        <w:t>(k)</w:t>
      </w:r>
      <w:r>
        <w:rPr>
          <w:snapToGrid w:val="0"/>
        </w:rPr>
        <w:tab/>
        <w:t xml:space="preserve">providing for the licensing by the </w:t>
      </w:r>
      <w:r>
        <w:t xml:space="preserve">Chief Health Officer </w:t>
      </w:r>
      <w:r>
        <w:rPr>
          <w:snapToGrid w:val="0"/>
        </w:rPr>
        <w:t>of persons in respect of the carrying out of fumigation and for the imposition by him of conditions on the granting by him of any such licence; and</w:t>
      </w:r>
    </w:p>
    <w:p>
      <w:pPr>
        <w:pStyle w:val="Indenta"/>
        <w:rPr>
          <w:snapToGrid w:val="0"/>
        </w:rPr>
      </w:pPr>
      <w:r>
        <w:rPr>
          <w:snapToGrid w:val="0"/>
        </w:rPr>
        <w:tab/>
        <w:t>(l)</w:t>
      </w:r>
      <w:r>
        <w:rPr>
          <w:snapToGrid w:val="0"/>
        </w:rPr>
        <w:tab/>
        <w:t xml:space="preserve">providing for the registration by the </w:t>
      </w:r>
      <w:r>
        <w:t xml:space="preserve">Chief Health Officer </w:t>
      </w:r>
      <w:r>
        <w:rPr>
          <w:snapToGrid w:val="0"/>
        </w:rPr>
        <w:t>of firms carrying on the trade, business or profession of the use of pesticides for reward and for the imposition by him of conditions on any such registration; and</w:t>
      </w:r>
    </w:p>
    <w:p>
      <w:pPr>
        <w:pStyle w:val="Indenta"/>
        <w:rPr>
          <w:snapToGrid w:val="0"/>
        </w:rPr>
      </w:pPr>
      <w:r>
        <w:rPr>
          <w:snapToGrid w:val="0"/>
        </w:rPr>
        <w:tab/>
        <w:t>(m)</w:t>
      </w:r>
      <w:r>
        <w:rPr>
          <w:snapToGrid w:val="0"/>
        </w:rPr>
        <w:tab/>
        <w:t xml:space="preserve">providing for the licensing by the </w:t>
      </w:r>
      <w:r>
        <w:t xml:space="preserve">Chief Health Officer </w:t>
      </w:r>
      <w:r>
        <w:rPr>
          <w:snapToGrid w:val="0"/>
        </w:rPr>
        <w:t>of persons in respect of the use of pesticides for reward as pesticide operators or provisional pesticide operators and for the imposition by him of conditions on the granting by him of any such licence; and</w:t>
      </w:r>
    </w:p>
    <w:p>
      <w:pPr>
        <w:pStyle w:val="Indenta"/>
        <w:rPr>
          <w:snapToGrid w:val="0"/>
        </w:rPr>
      </w:pPr>
      <w:r>
        <w:rPr>
          <w:snapToGrid w:val="0"/>
        </w:rPr>
        <w:tab/>
        <w:t>(n)</w:t>
      </w:r>
      <w:r>
        <w:rPr>
          <w:snapToGrid w:val="0"/>
        </w:rPr>
        <w:tab/>
        <w:t>prescribing the qualifications required of applicants for licensing as pesticide operators or provisional pesticide operators; and</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 and</w:t>
      </w:r>
    </w:p>
    <w:p>
      <w:pPr>
        <w:pStyle w:val="Indenta"/>
        <w:rPr>
          <w:snapToGrid w:val="0"/>
        </w:rPr>
      </w:pPr>
      <w:r>
        <w:rPr>
          <w:snapToGrid w:val="0"/>
        </w:rPr>
        <w:lastRenderedPageBreak/>
        <w:tab/>
        <w:t>(p)</w:t>
      </w:r>
      <w:r>
        <w:rPr>
          <w:snapToGrid w:val="0"/>
        </w:rPr>
        <w:tab/>
        <w:t xml:space="preserve">requiring the notification to the </w:t>
      </w:r>
      <w:r>
        <w:t xml:space="preserve">Chief Health Officer </w:t>
      </w:r>
      <w:r>
        <w:rPr>
          <w:snapToGrid w:val="0"/>
        </w:rPr>
        <w:t>of accidents involving the use of pesticides; and</w:t>
      </w:r>
    </w:p>
    <w:p>
      <w:pPr>
        <w:pStyle w:val="Indenta"/>
        <w:rPr>
          <w:snapToGrid w:val="0"/>
        </w:rPr>
      </w:pPr>
      <w:r>
        <w:rPr>
          <w:snapToGrid w:val="0"/>
        </w:rPr>
        <w:tab/>
        <w:t>(q)</w:t>
      </w:r>
      <w:r>
        <w:rPr>
          <w:snapToGrid w:val="0"/>
        </w:rPr>
        <w:tab/>
        <w:t xml:space="preserve">enabling the </w:t>
      </w:r>
      <w:r>
        <w:t xml:space="preserve">Chief Health Officer </w:t>
      </w:r>
      <w:r>
        <w:rPr>
          <w:snapToGrid w:val="0"/>
        </w:rPr>
        <w:t>to require persons using pesticides to submit themselves to medical examinations or tests for the purpose of ascertaining the effect on their health of exposure to pesticides; and</w:t>
      </w:r>
    </w:p>
    <w:p>
      <w:pPr>
        <w:pStyle w:val="Indenta"/>
        <w:rPr>
          <w:snapToGrid w:val="0"/>
        </w:rPr>
      </w:pPr>
      <w:r>
        <w:rPr>
          <w:snapToGrid w:val="0"/>
        </w:rPr>
        <w:tab/>
        <w:t>(r)</w:t>
      </w:r>
      <w:r>
        <w:rPr>
          <w:snapToGrid w:val="0"/>
        </w:rPr>
        <w:tab/>
        <w:t>setting standards for the composition of pesticides; and</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 and</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 and</w:t>
      </w:r>
    </w:p>
    <w:p>
      <w:pPr>
        <w:pStyle w:val="Indenta"/>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 and</w:t>
      </w:r>
    </w:p>
    <w:p>
      <w:pPr>
        <w:pStyle w:val="Indenta"/>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 and</w:t>
      </w:r>
    </w:p>
    <w:p>
      <w:pPr>
        <w:pStyle w:val="Indenta"/>
        <w:rPr>
          <w:snapToGrid w:val="0"/>
        </w:rPr>
      </w:pPr>
      <w:r>
        <w:rPr>
          <w:snapToGrid w:val="0"/>
        </w:rPr>
        <w:tab/>
        <w:t>(w)</w:t>
      </w:r>
      <w:r>
        <w:rPr>
          <w:snapToGrid w:val="0"/>
        </w:rPr>
        <w:tab/>
        <w:t xml:space="preserve">preventing the adulteration or contamination of pesticides and prohibiting the sale (except to an officer </w:t>
      </w:r>
      <w:r>
        <w:rPr>
          <w:snapToGrid w:val="0"/>
        </w:rPr>
        <w:lastRenderedPageBreak/>
        <w:t xml:space="preserve">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 and</w:t>
      </w:r>
    </w:p>
    <w:p>
      <w:pPr>
        <w:pStyle w:val="Indenta"/>
        <w:rPr>
          <w:snapToGrid w:val="0"/>
        </w:rPr>
      </w:pPr>
      <w:r>
        <w:rPr>
          <w:snapToGrid w:val="0"/>
        </w:rPr>
        <w:tab/>
        <w:t>(x)</w:t>
      </w:r>
      <w:r>
        <w:rPr>
          <w:snapToGrid w:val="0"/>
        </w:rPr>
        <w:tab/>
        <w:t>providing for the isolation or removal of pesticides which are or may be hazardous; and</w:t>
      </w:r>
    </w:p>
    <w:p>
      <w:pPr>
        <w:pStyle w:val="Indenta"/>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 xml:space="preserve">Nothing in subsection (1)(d) affects any power conferred by regulations made under section 341 as read with this section on the </w:t>
      </w:r>
      <w:r>
        <w:t xml:space="preserve">Chief Health Officer </w:t>
      </w:r>
      <w:r>
        <w:rPr>
          <w:snapToGrid w:val="0"/>
        </w:rPr>
        <w:t>to register or refuse to register any pesticide or label relating thereto.</w:t>
      </w:r>
    </w:p>
    <w:p>
      <w:pPr>
        <w:pStyle w:val="Footnotesection"/>
      </w:pPr>
      <w:r>
        <w:tab/>
        <w:t>[Section 246C inserted: No. 80 of 1987 s. 86; amended: No. 19 of 2016 s. 29.]</w:t>
      </w:r>
    </w:p>
    <w:p>
      <w:pPr>
        <w:pStyle w:val="Ednotedivision"/>
        <w:spacing w:before="200"/>
      </w:pPr>
      <w:r>
        <w:t>[Division 9:</w:t>
      </w:r>
      <w:r>
        <w:tab/>
        <w:t>s. 246D deleted: No. 13 of 2014 s. 156;</w:t>
      </w:r>
      <w:r>
        <w:br/>
      </w:r>
      <w:r>
        <w:rPr>
          <w:bCs/>
        </w:rPr>
        <w:tab/>
      </w:r>
      <w:r>
        <w:rPr>
          <w:bCs/>
        </w:rPr>
        <w:tab/>
        <w:t>s. 246E-FB d</w:t>
      </w:r>
      <w:r>
        <w:t>eleted: No. 43 of 2008 s. 147(10)-(13).]</w:t>
      </w:r>
    </w:p>
    <w:p>
      <w:pPr>
        <w:pStyle w:val="Ednotepart"/>
      </w:pPr>
      <w:r>
        <w:t>[Part VIII (s. 246G-247) deleted: No. 43 of 2008 s. 147(14).]</w:t>
      </w:r>
    </w:p>
    <w:p>
      <w:pPr>
        <w:pStyle w:val="Heading2"/>
      </w:pPr>
      <w:bookmarkStart w:id="246" w:name="_Toc98504242"/>
      <w:bookmarkStart w:id="247" w:name="_Toc98504573"/>
      <w:bookmarkStart w:id="248" w:name="_Toc98767971"/>
      <w:r>
        <w:rPr>
          <w:rStyle w:val="CharPartNo"/>
        </w:rPr>
        <w:lastRenderedPageBreak/>
        <w:t>Part VIIIA</w:t>
      </w:r>
      <w:r>
        <w:rPr>
          <w:rStyle w:val="CharDivNo"/>
        </w:rPr>
        <w:t> </w:t>
      </w:r>
      <w:r>
        <w:t>—</w:t>
      </w:r>
      <w:r>
        <w:rPr>
          <w:rStyle w:val="CharDivText"/>
        </w:rPr>
        <w:t> </w:t>
      </w:r>
      <w:r>
        <w:rPr>
          <w:rStyle w:val="CharPartText"/>
        </w:rPr>
        <w:t>Analytical services</w:t>
      </w:r>
      <w:bookmarkEnd w:id="246"/>
      <w:bookmarkEnd w:id="247"/>
      <w:bookmarkEnd w:id="248"/>
    </w:p>
    <w:p>
      <w:pPr>
        <w:pStyle w:val="Footnoteheading"/>
        <w:ind w:left="890" w:hanging="890"/>
        <w:rPr>
          <w:snapToGrid w:val="0"/>
        </w:rPr>
      </w:pPr>
      <w:r>
        <w:rPr>
          <w:snapToGrid w:val="0"/>
        </w:rPr>
        <w:tab/>
        <w:t>[Heading inserted: No. 24 of 1970 s. 5.]</w:t>
      </w:r>
    </w:p>
    <w:p>
      <w:pPr>
        <w:pStyle w:val="Heading5"/>
      </w:pPr>
      <w:bookmarkStart w:id="249" w:name="_Toc98767972"/>
      <w:r>
        <w:rPr>
          <w:rStyle w:val="CharSectno"/>
        </w:rPr>
        <w:t>247AA</w:t>
      </w:r>
      <w:r>
        <w:t>.</w:t>
      </w:r>
      <w:r>
        <w:tab/>
        <w:t>Terms used</w:t>
      </w:r>
      <w:bookmarkEnd w:id="249"/>
    </w:p>
    <w:p>
      <w:pPr>
        <w:pStyle w:val="Subsection"/>
      </w:pPr>
      <w:r>
        <w:tab/>
      </w:r>
      <w:r>
        <w:tab/>
        <w:t xml:space="preserve">In this Division — </w:t>
      </w:r>
    </w:p>
    <w:p>
      <w:pPr>
        <w:pStyle w:val="Defstart"/>
      </w:pPr>
      <w:r>
        <w:tab/>
      </w:r>
      <w:r>
        <w:rPr>
          <w:rStyle w:val="CharDefText"/>
        </w:rPr>
        <w:t>Analytical Committee</w:t>
      </w:r>
      <w:r>
        <w:t xml:space="preserve"> means the Local Health Authorities Analytical Committee established by section 247A(1);</w:t>
      </w:r>
    </w:p>
    <w:p>
      <w:pPr>
        <w:pStyle w:val="Defstart"/>
      </w:pPr>
      <w:r>
        <w:tab/>
      </w:r>
      <w:r>
        <w:rPr>
          <w:rStyle w:val="CharDefText"/>
        </w:rPr>
        <w:t>member</w:t>
      </w:r>
      <w:r>
        <w:t xml:space="preserve"> means a member of the Analytical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Defstart"/>
      </w:pPr>
      <w:r>
        <w:tab/>
      </w:r>
      <w:r>
        <w:rPr>
          <w:rStyle w:val="CharDefText"/>
        </w:rPr>
        <w:t>scheme</w:t>
      </w:r>
      <w:r>
        <w:t xml:space="preserve"> means a scheme for the provision of analytical services for use by local governments, operated by the Analytical Committee under this Division;</w:t>
      </w:r>
    </w:p>
    <w:p>
      <w:pPr>
        <w:pStyle w:val="Defstart"/>
      </w:pPr>
      <w:r>
        <w:tab/>
      </w:r>
      <w:r>
        <w:rPr>
          <w:rStyle w:val="CharDefText"/>
        </w:rPr>
        <w:t>WALGA</w:t>
      </w:r>
      <w:r>
        <w:t xml:space="preserve"> has the meaning given in the </w:t>
      </w:r>
      <w:r>
        <w:rPr>
          <w:i/>
        </w:rPr>
        <w:t>Local Government Act 1995</w:t>
      </w:r>
      <w:r>
        <w:t xml:space="preserve"> section 1.4.</w:t>
      </w:r>
    </w:p>
    <w:p>
      <w:pPr>
        <w:pStyle w:val="Footnotesection"/>
      </w:pPr>
      <w:r>
        <w:tab/>
        <w:t>[Section 247AA inserted: No. 19 of 2016 s. 31.]</w:t>
      </w:r>
    </w:p>
    <w:p>
      <w:pPr>
        <w:pStyle w:val="Heading5"/>
        <w:rPr>
          <w:snapToGrid w:val="0"/>
        </w:rPr>
      </w:pPr>
      <w:bookmarkStart w:id="250" w:name="_Toc98767973"/>
      <w:r>
        <w:rPr>
          <w:rStyle w:val="CharSectno"/>
        </w:rPr>
        <w:t>247A</w:t>
      </w:r>
      <w:r>
        <w:rPr>
          <w:snapToGrid w:val="0"/>
        </w:rPr>
        <w:t xml:space="preserve">. </w:t>
      </w:r>
      <w:r>
        <w:rPr>
          <w:snapToGrid w:val="0"/>
        </w:rPr>
        <w:tab/>
        <w:t>Local Health Authorities Analytical Committee</w:t>
      </w:r>
      <w:bookmarkEnd w:id="250"/>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 and</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keepNext/>
      </w:pPr>
      <w:r>
        <w:lastRenderedPageBreak/>
        <w:tab/>
        <w:t>(3)</w:t>
      </w:r>
      <w:r>
        <w:tab/>
        <w:t xml:space="preserve">The Analytical Committee is to consist of 10 members appointed by the Minister, made up as follows — </w:t>
      </w:r>
    </w:p>
    <w:p>
      <w:pPr>
        <w:pStyle w:val="Indenta"/>
      </w:pPr>
      <w:r>
        <w:tab/>
        <w:t>(a)</w:t>
      </w:r>
      <w:r>
        <w:tab/>
        <w:t>7 members, who are to be persons nominated by WALGA to represent local government districts that are in the metropolitan area;</w:t>
      </w:r>
    </w:p>
    <w:p>
      <w:pPr>
        <w:pStyle w:val="Indenta"/>
      </w:pPr>
      <w:r>
        <w:tab/>
        <w:t>(b)</w:t>
      </w:r>
      <w:r>
        <w:tab/>
        <w:t>3 members, who are to be persons nominated by WALGA to represent local government districts that are not in the metropolitan area.</w:t>
      </w:r>
    </w:p>
    <w:p>
      <w:pPr>
        <w:pStyle w:val="Subsection"/>
      </w:pPr>
      <w:r>
        <w:tab/>
        <w:t>(4)</w:t>
      </w:r>
      <w:r>
        <w:tab/>
        <w:t>The Minister is to appoint one of the members of the Analytical Committee to be the Chairperson.</w:t>
      </w:r>
    </w:p>
    <w:p>
      <w:pPr>
        <w:pStyle w:val="Footnotesection"/>
        <w:spacing w:before="100"/>
        <w:ind w:left="890" w:hanging="890"/>
      </w:pPr>
      <w:r>
        <w:tab/>
        <w:t>[Section 247A inserted: No. 24 of 1970 s. 5; amended: No. 30 of 1982 s. 11; No. 14 of 1996 s. 4; No. 19 of 2016 s. 32.]</w:t>
      </w:r>
    </w:p>
    <w:p>
      <w:pPr>
        <w:pStyle w:val="Heading5"/>
      </w:pPr>
      <w:bookmarkStart w:id="251" w:name="_Toc98767974"/>
      <w:r>
        <w:rPr>
          <w:rStyle w:val="CharSectno"/>
        </w:rPr>
        <w:t>247BA</w:t>
      </w:r>
      <w:r>
        <w:t>.</w:t>
      </w:r>
      <w:r>
        <w:tab/>
        <w:t>Term of office and vacation of office</w:t>
      </w:r>
      <w:bookmarkEnd w:id="251"/>
    </w:p>
    <w:p>
      <w:pPr>
        <w:pStyle w:val="Subsection"/>
      </w:pPr>
      <w:r>
        <w:tab/>
        <w:t>(1)</w:t>
      </w:r>
      <w:r>
        <w:tab/>
        <w:t>The members hold office for a term of 3 years.</w:t>
      </w:r>
    </w:p>
    <w:p>
      <w:pPr>
        <w:pStyle w:val="Subsection"/>
      </w:pPr>
      <w:r>
        <w:tab/>
        <w:t>(2)</w:t>
      </w:r>
      <w:r>
        <w:tab/>
        <w:t xml:space="preserve">A member ceases to hold office — </w:t>
      </w:r>
    </w:p>
    <w:p>
      <w:pPr>
        <w:pStyle w:val="Indenta"/>
      </w:pPr>
      <w:r>
        <w:tab/>
        <w:t>(a)</w:t>
      </w:r>
      <w:r>
        <w:tab/>
        <w:t xml:space="preserve">at the expiry of the term for which he or she is appointed, unless he or she — </w:t>
      </w:r>
    </w:p>
    <w:p>
      <w:pPr>
        <w:pStyle w:val="Indenti"/>
      </w:pPr>
      <w:r>
        <w:tab/>
        <w:t>(i)</w:t>
      </w:r>
      <w:r>
        <w:tab/>
        <w:t>continues to hold office under subsection (4); or</w:t>
      </w:r>
    </w:p>
    <w:p>
      <w:pPr>
        <w:pStyle w:val="Indenti"/>
      </w:pPr>
      <w:r>
        <w:tab/>
        <w:t>(ii)</w:t>
      </w:r>
      <w:r>
        <w:tab/>
        <w:t>is reappointed;</w:t>
      </w:r>
    </w:p>
    <w:p>
      <w:pPr>
        <w:pStyle w:val="Indenta"/>
      </w:pPr>
      <w:r>
        <w:tab/>
      </w:r>
      <w:r>
        <w:tab/>
        <w:t>or</w:t>
      </w:r>
    </w:p>
    <w:p>
      <w:pPr>
        <w:pStyle w:val="Indenta"/>
      </w:pPr>
      <w:r>
        <w:tab/>
        <w:t>(b)</w:t>
      </w:r>
      <w:r>
        <w:tab/>
        <w:t>if he or she resigns by written notice given to the Minister; or</w:t>
      </w:r>
    </w:p>
    <w:p>
      <w:pPr>
        <w:pStyle w:val="Indenta"/>
      </w:pPr>
      <w:r>
        <w:tab/>
        <w:t>(c)</w:t>
      </w:r>
      <w:r>
        <w:tab/>
        <w:t>if he or she dies; or</w:t>
      </w:r>
    </w:p>
    <w:p>
      <w:pPr>
        <w:pStyle w:val="Indenta"/>
      </w:pPr>
      <w:r>
        <w:tab/>
        <w:t>(d)</w:t>
      </w:r>
      <w:r>
        <w:tab/>
        <w:t>if his or her nomination as a member is withdrawn by written notice given to the Minister by WALGA; or</w:t>
      </w:r>
    </w:p>
    <w:p>
      <w:pPr>
        <w:pStyle w:val="Indenta"/>
      </w:pPr>
      <w:r>
        <w:tab/>
        <w:t>(e)</w:t>
      </w:r>
      <w:r>
        <w:tab/>
        <w:t xml:space="preserve">if he or she is, according to the </w:t>
      </w:r>
      <w:r>
        <w:rPr>
          <w:i/>
        </w:rPr>
        <w:t>Interpretation Act 1984</w:t>
      </w:r>
      <w:r>
        <w:t xml:space="preserve"> section 13D, a bankrupt or a person whose affairs are under insolvency laws; or</w:t>
      </w:r>
    </w:p>
    <w:p>
      <w:pPr>
        <w:pStyle w:val="Indenta"/>
      </w:pPr>
      <w:r>
        <w:tab/>
        <w:t>(f)</w:t>
      </w:r>
      <w:r>
        <w:tab/>
        <w:t>if the member’s appointment is terminated under subsection (3).</w:t>
      </w:r>
    </w:p>
    <w:p>
      <w:pPr>
        <w:pStyle w:val="Subsection"/>
      </w:pPr>
      <w:r>
        <w:lastRenderedPageBreak/>
        <w:tab/>
        <w:t>(3)</w:t>
      </w:r>
      <w:r>
        <w:tab/>
        <w:t xml:space="preserve">The Minister may, by written notice given to a member, terminate the appointment of the member — </w:t>
      </w:r>
    </w:p>
    <w:p>
      <w:pPr>
        <w:pStyle w:val="Indenta"/>
      </w:pPr>
      <w:r>
        <w:tab/>
        <w:t>(a)</w:t>
      </w:r>
      <w:r>
        <w:tab/>
        <w:t xml:space="preserve">if, in the Minister’s opinion,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Minister’s opinion, the member misbehaves, neglects his or her duties or is incompetent; or</w:t>
      </w:r>
    </w:p>
    <w:p>
      <w:pPr>
        <w:pStyle w:val="Indenta"/>
      </w:pPr>
      <w:r>
        <w:tab/>
        <w:t>(c)</w:t>
      </w:r>
      <w:r>
        <w:tab/>
        <w:t>if the member is absent, without leave and without reasonable excuse, from 3 consecutive meetings of the Analytical Committee of which the member had notice; or</w:t>
      </w:r>
    </w:p>
    <w:p>
      <w:pPr>
        <w:pStyle w:val="Indenta"/>
      </w:pPr>
      <w:r>
        <w:tab/>
        <w:t>(d)</w:t>
      </w:r>
      <w:r>
        <w:tab/>
        <w:t>for any other act or omission, or any circumstance arising, that, in the Minister’s opinion, may adversely affect the functioning of the Analytical Committee.</w:t>
      </w:r>
    </w:p>
    <w:p>
      <w:pPr>
        <w:pStyle w:val="Subsection"/>
      </w:pPr>
      <w:r>
        <w:tab/>
        <w:t>(4)</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(5)</w:t>
      </w:r>
      <w:r>
        <w:tab/>
        <w:t>However, a member cannot continue in office under subsection (4) for longer than 3 months.</w:t>
      </w:r>
    </w:p>
    <w:p>
      <w:pPr>
        <w:pStyle w:val="Footnotesection"/>
      </w:pPr>
      <w:r>
        <w:tab/>
        <w:t>[Section 247BA inserted: No. 19 of 2016 s. 33.]</w:t>
      </w:r>
    </w:p>
    <w:p>
      <w:pPr>
        <w:pStyle w:val="Heading5"/>
        <w:rPr>
          <w:snapToGrid w:val="0"/>
        </w:rPr>
      </w:pPr>
      <w:bookmarkStart w:id="252" w:name="_Toc98767975"/>
      <w:r>
        <w:rPr>
          <w:rStyle w:val="CharSectno"/>
        </w:rPr>
        <w:t>247B</w:t>
      </w:r>
      <w:r>
        <w:rPr>
          <w:snapToGrid w:val="0"/>
        </w:rPr>
        <w:t xml:space="preserve">. </w:t>
      </w:r>
      <w:r>
        <w:rPr>
          <w:snapToGrid w:val="0"/>
        </w:rPr>
        <w:tab/>
        <w:t>Meetings and procedure of Analytical Committee</w:t>
      </w:r>
      <w:bookmarkEnd w:id="252"/>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pPr>
      <w:r>
        <w:tab/>
        <w:t>(2)</w:t>
      </w:r>
      <w:r>
        <w:tab/>
        <w:t xml:space="preserve">At any meeting of the Analytical Committee — </w:t>
      </w:r>
    </w:p>
    <w:p>
      <w:pPr>
        <w:pStyle w:val="Indenta"/>
      </w:pPr>
      <w:r>
        <w:tab/>
        <w:t>(a)</w:t>
      </w:r>
      <w:r>
        <w:tab/>
        <w:t>6 members constitute a quorum; and</w:t>
      </w:r>
    </w:p>
    <w:p>
      <w:pPr>
        <w:pStyle w:val="Indenta"/>
        <w:keepNext/>
      </w:pPr>
      <w:r>
        <w:lastRenderedPageBreak/>
        <w:tab/>
        <w:t>(b)</w:t>
      </w:r>
      <w:r>
        <w:tab/>
        <w:t xml:space="preserve">the Chairperson is to preside if he or she is present, but in his or her absence — </w:t>
      </w:r>
    </w:p>
    <w:p>
      <w:pPr>
        <w:pStyle w:val="Indenti"/>
      </w:pPr>
      <w:r>
        <w:tab/>
        <w:t>(i)</w:t>
      </w:r>
      <w:r>
        <w:tab/>
        <w:t>the members present are to elect one of their number to preside at the meeting; and</w:t>
      </w:r>
    </w:p>
    <w:p>
      <w:pPr>
        <w:pStyle w:val="Indenti"/>
      </w:pPr>
      <w:r>
        <w:tab/>
        <w:t>(ii)</w:t>
      </w:r>
      <w:r>
        <w:tab/>
        <w:t>that member, while presiding, has all the powers and duties of the Chairperson;</w:t>
      </w:r>
    </w:p>
    <w:p>
      <w:pPr>
        <w:pStyle w:val="Indenta"/>
      </w:pPr>
      <w:r>
        <w:tab/>
      </w:r>
      <w:r>
        <w:tab/>
        <w:t>and</w:t>
      </w:r>
    </w:p>
    <w:p>
      <w:pPr>
        <w:pStyle w:val="Indenta"/>
      </w:pPr>
      <w:r>
        <w:tab/>
        <w:t>(c)</w:t>
      </w:r>
      <w:r>
        <w:tab/>
        <w:t>each member present (including the member presiding) has a deliberative vote; and</w:t>
      </w:r>
    </w:p>
    <w:p>
      <w:pPr>
        <w:pStyle w:val="Indenta"/>
      </w:pPr>
      <w:r>
        <w:tab/>
        <w:t>(d)</w:t>
      </w:r>
      <w:r>
        <w:tab/>
        <w:t>a question arising is to be decided by a majority of the votes of the members present, but if the votes are equal the member presiding has a casting vote.</w:t>
      </w:r>
    </w:p>
    <w:p>
      <w:pPr>
        <w:pStyle w:val="Subsection"/>
      </w:pPr>
      <w:r>
        <w:tab/>
        <w:t>(3A)</w:t>
      </w:r>
      <w:r>
        <w:tab/>
        <w:t>A resolution in writing to which at least 6 members of the Analytical Committee have each indicated their agreement by signing it or assenting to it by letter, fax, email or other written means has the same effect as if it had been passed at a meeting of the Analytical Committee.</w:t>
      </w:r>
    </w:p>
    <w:p>
      <w:pPr>
        <w:pStyle w:val="Subsection"/>
      </w:pPr>
      <w:r>
        <w:tab/>
        <w:t>(3B)</w:t>
      </w:r>
      <w:r>
        <w:tab/>
        <w:t xml:space="preserve">A meeting of the Analytical Committee may be held — </w:t>
      </w:r>
    </w:p>
    <w:p>
      <w:pPr>
        <w:pStyle w:val="Indenta"/>
      </w:pPr>
      <w:r>
        <w:tab/>
        <w:t>(a)</w:t>
      </w:r>
      <w:r>
        <w:tab/>
        <w:t>by a quorum of the members assembled together at the time and place appointed for the meeting; or</w:t>
      </w:r>
    </w:p>
    <w:p>
      <w:pPr>
        <w:pStyle w:val="Indenta"/>
      </w:pPr>
      <w:r>
        <w:tab/>
        <w:t>(b)</w:t>
      </w:r>
      <w:r>
        <w:tab/>
        <w:t xml:space="preserve">by telephone or audio 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keepNext/>
        <w:spacing w:before="12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ind w:left="890" w:hanging="890"/>
      </w:pPr>
      <w:r>
        <w:tab/>
        <w:t>[Section 247B inserted: No. 24 of 1970 s. 6; amended: No. 19 of 2016 s. 34.]</w:t>
      </w:r>
    </w:p>
    <w:p>
      <w:pPr>
        <w:pStyle w:val="Heading5"/>
        <w:rPr>
          <w:snapToGrid w:val="0"/>
        </w:rPr>
      </w:pPr>
      <w:bookmarkStart w:id="253" w:name="_Toc98767976"/>
      <w:r>
        <w:rPr>
          <w:rStyle w:val="CharSectno"/>
        </w:rPr>
        <w:lastRenderedPageBreak/>
        <w:t>247C</w:t>
      </w:r>
      <w:r>
        <w:rPr>
          <w:snapToGrid w:val="0"/>
        </w:rPr>
        <w:t xml:space="preserve">. </w:t>
      </w:r>
      <w:r>
        <w:rPr>
          <w:snapToGrid w:val="0"/>
        </w:rPr>
        <w:tab/>
        <w:t>Powers and functions of Analytical Committee</w:t>
      </w:r>
      <w:bookmarkEnd w:id="253"/>
    </w:p>
    <w:p>
      <w:pPr>
        <w:pStyle w:val="Subsection"/>
        <w:keepNext/>
        <w:spacing w:before="120"/>
        <w:rPr>
          <w:snapToGrid w:val="0"/>
        </w:rPr>
      </w:pPr>
      <w:r>
        <w:rPr>
          <w:snapToGrid w:val="0"/>
        </w:rPr>
        <w:tab/>
        <w:t>(1)</w:t>
      </w:r>
      <w:r>
        <w:rPr>
          <w:snapToGrid w:val="0"/>
        </w:rPr>
        <w:tab/>
        <w:t>The functions of the Analytical Committee are —</w:t>
      </w:r>
    </w:p>
    <w:p>
      <w:pPr>
        <w:pStyle w:val="Indenta"/>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 and</w:t>
      </w:r>
    </w:p>
    <w:p>
      <w:pPr>
        <w:pStyle w:val="Indenta"/>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rPr>
          <w:snapToGrid w:val="0"/>
        </w:rPr>
      </w:pPr>
      <w:r>
        <w:rPr>
          <w:snapToGrid w:val="0"/>
        </w:rPr>
        <w:tab/>
        <w:t>(c)</w:t>
      </w:r>
      <w:r>
        <w:rPr>
          <w:snapToGrid w:val="0"/>
        </w:rPr>
        <w:tab/>
        <w:t>to do such other acts and things as are necessary or convenient for the purposes of this Part.</w:t>
      </w:r>
    </w:p>
    <w:p>
      <w:pPr>
        <w:pStyle w:val="Subsection"/>
        <w:keepNext/>
        <w:spacing w:before="12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keepNext/>
        <w:spacing w:before="12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No. 24 of 1970 s. 7; amended: No. 14 of 1996 s. 4.]</w:t>
      </w:r>
    </w:p>
    <w:p>
      <w:pPr>
        <w:pStyle w:val="Heading5"/>
        <w:keepNext w:val="0"/>
        <w:rPr>
          <w:snapToGrid w:val="0"/>
        </w:rPr>
      </w:pPr>
      <w:bookmarkStart w:id="254" w:name="_Toc98767977"/>
      <w:r>
        <w:rPr>
          <w:rStyle w:val="CharSectno"/>
        </w:rPr>
        <w:t>247D</w:t>
      </w:r>
      <w:r>
        <w:rPr>
          <w:snapToGrid w:val="0"/>
        </w:rPr>
        <w:t>.</w:t>
      </w:r>
      <w:r>
        <w:rPr>
          <w:snapToGrid w:val="0"/>
        </w:rPr>
        <w:tab/>
        <w:t>Participation in scheme by local governments</w:t>
      </w:r>
      <w:bookmarkEnd w:id="254"/>
    </w:p>
    <w:p>
      <w:pPr>
        <w:pStyle w:val="Subsection"/>
        <w:spacing w:before="120"/>
        <w:rPr>
          <w:snapToGrid w:val="0"/>
        </w:rPr>
      </w:pPr>
      <w:r>
        <w:rPr>
          <w:snapToGrid w:val="0"/>
        </w:rPr>
        <w:tab/>
        <w:t>(1)</w:t>
      </w:r>
      <w:r>
        <w:rPr>
          <w:snapToGrid w:val="0"/>
        </w:rPr>
        <w:tab/>
        <w:t xml:space="preserve">Any local government may, by notice in writing addressed to the Analytical Committee, advise the Analytical Committee that it desires to participate in </w:t>
      </w:r>
      <w:r>
        <w:t xml:space="preserve">a scheme, </w:t>
      </w:r>
      <w:r>
        <w:rPr>
          <w:snapToGrid w:val="0"/>
        </w:rPr>
        <w:t>and thereupon the local government shall, for the purpose, of this Part, become a participant in the scheme.</w:t>
      </w:r>
    </w:p>
    <w:p>
      <w:pPr>
        <w:pStyle w:val="Subsection"/>
        <w:keepNext/>
        <w:spacing w:before="200"/>
      </w:pPr>
      <w:r>
        <w:lastRenderedPageBreak/>
        <w:tab/>
        <w:t>(2)</w:t>
      </w:r>
      <w:r>
        <w:tab/>
        <w:t xml:space="preserve">If the Chief Health Officer considers that a local government that is not a participant in a scheme ought to be a participant — </w:t>
      </w:r>
    </w:p>
    <w:p>
      <w:pPr>
        <w:pStyle w:val="Indenta"/>
      </w:pPr>
      <w:r>
        <w:tab/>
        <w:t>(a)</w:t>
      </w:r>
      <w:r>
        <w:tab/>
        <w:t>the Chief Health Officer may, by written notice served on the local government, direct it to participate in the scheme; and</w:t>
      </w:r>
    </w:p>
    <w:p>
      <w:pPr>
        <w:pStyle w:val="Indenta"/>
      </w:pPr>
      <w:r>
        <w:tab/>
        <w:t>(b)</w:t>
      </w:r>
      <w:r>
        <w:tab/>
        <w:t>on the service of the direction, the local government is a participant in the scheme for the purposes of this Division and, in particular, for the purposes of subsection (4).</w:t>
      </w:r>
    </w:p>
    <w:p>
      <w:pPr>
        <w:pStyle w:val="Subsection"/>
        <w:spacing w:before="120"/>
        <w:rPr>
          <w:snapToGrid w:val="0"/>
        </w:rPr>
      </w:pPr>
      <w:r>
        <w:rPr>
          <w:snapToGrid w:val="0"/>
        </w:rPr>
        <w:tab/>
        <w:t>(3)</w:t>
      </w:r>
      <w:r>
        <w:rPr>
          <w:snapToGrid w:val="0"/>
        </w:rPr>
        <w:tab/>
        <w:t xml:space="preserve">A local government which is a participant in the scheme may, if it has first obtained the consent in writing of the </w:t>
      </w:r>
      <w:r>
        <w:t>Chief Health Officer</w:t>
      </w:r>
      <w:r>
        <w:rPr>
          <w:snapToGrid w:val="0"/>
        </w:rPr>
        <w:t xml:space="preserve">, withdraw from </w:t>
      </w:r>
      <w:r>
        <w:t>a scheme</w:t>
      </w:r>
      <w:r>
        <w:rPr>
          <w:snapToGrid w:val="0"/>
        </w:rPr>
        <w:t xml:space="preserve"> by serving notice in writing to that effect upon the Analytical Committee.</w:t>
      </w:r>
    </w:p>
    <w:p>
      <w:pPr>
        <w:pStyle w:val="Subsection"/>
        <w:spacing w:before="120"/>
        <w:rPr>
          <w:snapToGrid w:val="0"/>
        </w:rPr>
      </w:pPr>
      <w:r>
        <w:rPr>
          <w:snapToGrid w:val="0"/>
        </w:rPr>
        <w:tab/>
        <w:t>(4)</w:t>
      </w:r>
      <w:r>
        <w:rPr>
          <w:snapToGrid w:val="0"/>
        </w:rPr>
        <w:tab/>
        <w:t>Any local government which is, or has been, a participant in a scheme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2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No. 24 of 1970 s. 8; amended: 28 of 1984 s. 45; No. 14 of 1996 s. 4; No. 19 of 2016 s. 35 and 100.]</w:t>
      </w:r>
    </w:p>
    <w:p>
      <w:pPr>
        <w:pStyle w:val="Heading5"/>
        <w:rPr>
          <w:snapToGrid w:val="0"/>
        </w:rPr>
      </w:pPr>
      <w:bookmarkStart w:id="255" w:name="_Toc98767978"/>
      <w:r>
        <w:rPr>
          <w:rStyle w:val="CharSectno"/>
        </w:rP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bookmarkEnd w:id="255"/>
    </w:p>
    <w:p>
      <w:pPr>
        <w:pStyle w:val="Subsection"/>
        <w:spacing w:before="120"/>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No. 98 of 1985 s. 3; amended: No. 77 of 2006 Sch. 1 cl. 80(2).]</w:t>
      </w:r>
    </w:p>
    <w:p>
      <w:pPr>
        <w:pStyle w:val="Heading5"/>
        <w:rPr>
          <w:snapToGrid w:val="0"/>
        </w:rPr>
      </w:pPr>
      <w:bookmarkStart w:id="256" w:name="_Toc98767979"/>
      <w:r>
        <w:rPr>
          <w:rStyle w:val="CharSectno"/>
        </w:rPr>
        <w:lastRenderedPageBreak/>
        <w:t>247F</w:t>
      </w:r>
      <w:r>
        <w:rPr>
          <w:snapToGrid w:val="0"/>
        </w:rPr>
        <w:t xml:space="preserve">. </w:t>
      </w:r>
      <w:r>
        <w:rPr>
          <w:snapToGrid w:val="0"/>
        </w:rPr>
        <w:tab/>
        <w:t>Regulations as to Part VIIIA</w:t>
      </w:r>
      <w:bookmarkEnd w:id="256"/>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No. 24 of 1970 s. 10.]</w:t>
      </w:r>
    </w:p>
    <w:p>
      <w:pPr>
        <w:pStyle w:val="Ednotepart"/>
        <w:outlineLvl w:val="9"/>
      </w:pPr>
      <w:r>
        <w:t>[Part VIIIB deleted: No. 103 of 1994 s. 18.]</w:t>
      </w:r>
    </w:p>
    <w:p>
      <w:pPr>
        <w:pStyle w:val="Heading2"/>
      </w:pPr>
      <w:bookmarkStart w:id="257" w:name="_Toc98504251"/>
      <w:bookmarkStart w:id="258" w:name="_Toc98504582"/>
      <w:bookmarkStart w:id="259" w:name="_Toc98767980"/>
      <w:r>
        <w:rPr>
          <w:rStyle w:val="CharPartNo"/>
        </w:rPr>
        <w:lastRenderedPageBreak/>
        <w:t>Part IX</w:t>
      </w:r>
      <w:r>
        <w:t> — </w:t>
      </w:r>
      <w:r>
        <w:rPr>
          <w:rStyle w:val="CharPartText"/>
        </w:rPr>
        <w:t>Infectious diseases</w:t>
      </w:r>
      <w:bookmarkEnd w:id="257"/>
      <w:bookmarkEnd w:id="258"/>
      <w:bookmarkEnd w:id="259"/>
    </w:p>
    <w:p>
      <w:pPr>
        <w:pStyle w:val="Heading3"/>
        <w:spacing w:before="200"/>
        <w:rPr>
          <w:snapToGrid w:val="0"/>
        </w:rPr>
      </w:pPr>
      <w:bookmarkStart w:id="260" w:name="_Toc98504252"/>
      <w:bookmarkStart w:id="261" w:name="_Toc98504583"/>
      <w:bookmarkStart w:id="262" w:name="_Toc98767981"/>
      <w:r>
        <w:rPr>
          <w:rStyle w:val="CharDivNo"/>
        </w:rPr>
        <w:t>Division 1</w:t>
      </w:r>
      <w:r>
        <w:rPr>
          <w:snapToGrid w:val="0"/>
        </w:rPr>
        <w:t> — </w:t>
      </w:r>
      <w:r>
        <w:rPr>
          <w:rStyle w:val="CharDivText"/>
        </w:rPr>
        <w:t>General provisions</w:t>
      </w:r>
      <w:bookmarkEnd w:id="260"/>
      <w:bookmarkEnd w:id="261"/>
      <w:bookmarkEnd w:id="262"/>
    </w:p>
    <w:p>
      <w:pPr>
        <w:pStyle w:val="Ednotesection"/>
        <w:spacing w:before="180"/>
        <w:ind w:left="890" w:hanging="890"/>
        <w:outlineLvl w:val="9"/>
      </w:pPr>
      <w:r>
        <w:t>[</w:t>
      </w:r>
      <w:r>
        <w:rPr>
          <w:b/>
        </w:rPr>
        <w:t>248.</w:t>
      </w:r>
      <w:r>
        <w:tab/>
        <w:t>Deleted: No. 19 of 2016 s. 240.]</w:t>
      </w:r>
    </w:p>
    <w:p>
      <w:pPr>
        <w:pStyle w:val="Heading5"/>
        <w:rPr>
          <w:snapToGrid w:val="0"/>
        </w:rPr>
      </w:pPr>
      <w:bookmarkStart w:id="263" w:name="_Toc98767982"/>
      <w:r>
        <w:rPr>
          <w:rStyle w:val="CharSectno"/>
        </w:rPr>
        <w:t>249</w:t>
      </w:r>
      <w:r>
        <w:rPr>
          <w:snapToGrid w:val="0"/>
        </w:rPr>
        <w:t>.</w:t>
      </w:r>
      <w:r>
        <w:rPr>
          <w:snapToGrid w:val="0"/>
        </w:rPr>
        <w:tab/>
        <w:t>Local laws to prevent spread of infectious disease</w:t>
      </w:r>
      <w:bookmarkEnd w:id="263"/>
    </w:p>
    <w:p>
      <w:pPr>
        <w:pStyle w:val="Subsection"/>
        <w:spacing w:before="20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spacing w:before="100"/>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spacing w:before="100"/>
        <w:rPr>
          <w:snapToGrid w:val="0"/>
        </w:rPr>
      </w:pPr>
      <w:r>
        <w:rPr>
          <w:snapToGrid w:val="0"/>
        </w:rPr>
        <w:tab/>
        <w:t>(2)</w:t>
      </w:r>
      <w:r>
        <w:rPr>
          <w:snapToGrid w:val="0"/>
        </w:rPr>
        <w:tab/>
        <w:t>for the cleansing and disinfecting of houses, buildings, yards, drains, sewers, and things;</w:t>
      </w:r>
    </w:p>
    <w:p>
      <w:pPr>
        <w:pStyle w:val="Indenta"/>
        <w:spacing w:before="100"/>
        <w:rPr>
          <w:snapToGrid w:val="0"/>
        </w:rPr>
      </w:pPr>
      <w:r>
        <w:rPr>
          <w:snapToGrid w:val="0"/>
        </w:rPr>
        <w:tab/>
        <w:t>(3)</w:t>
      </w:r>
      <w:r>
        <w:rPr>
          <w:snapToGrid w:val="0"/>
        </w:rPr>
        <w:tab/>
        <w:t>for the ventilating of houses and buildings, or of rooms therein;</w:t>
      </w:r>
    </w:p>
    <w:p>
      <w:pPr>
        <w:pStyle w:val="Indenta"/>
        <w:spacing w:before="100"/>
        <w:rPr>
          <w:snapToGrid w:val="0"/>
        </w:rPr>
      </w:pPr>
      <w:r>
        <w:rPr>
          <w:snapToGrid w:val="0"/>
        </w:rPr>
        <w:tab/>
        <w:t>(4)</w:t>
      </w:r>
      <w:r>
        <w:rPr>
          <w:snapToGrid w:val="0"/>
        </w:rPr>
        <w:tab/>
        <w:t>for the isolating, disinfecting and disinfecting of persons, houses, buildings, places and things;</w:t>
      </w:r>
    </w:p>
    <w:p>
      <w:pPr>
        <w:pStyle w:val="Indenta"/>
        <w:spacing w:before="100"/>
        <w:rPr>
          <w:snapToGrid w:val="0"/>
        </w:rPr>
      </w:pPr>
      <w:r>
        <w:rPr>
          <w:snapToGrid w:val="0"/>
        </w:rPr>
        <w:tab/>
        <w:t>(5)</w:t>
      </w:r>
      <w:r>
        <w:rPr>
          <w:snapToGrid w:val="0"/>
        </w:rPr>
        <w:tab/>
        <w:t>for the providing of medical and nursing aid and accommodation for the sick;</w:t>
      </w:r>
    </w:p>
    <w:p>
      <w:pPr>
        <w:pStyle w:val="Indenta"/>
        <w:spacing w:before="100"/>
        <w:rPr>
          <w:snapToGrid w:val="0"/>
        </w:rPr>
      </w:pPr>
      <w:r>
        <w:rPr>
          <w:snapToGrid w:val="0"/>
        </w:rPr>
        <w:tab/>
        <w:t>(6)</w:t>
      </w:r>
      <w:r>
        <w:rPr>
          <w:snapToGrid w:val="0"/>
        </w:rPr>
        <w:tab/>
        <w:t>for the removal and curative treatment of the sick;</w:t>
      </w:r>
    </w:p>
    <w:p>
      <w:pPr>
        <w:pStyle w:val="Indenta"/>
        <w:spacing w:before="100"/>
        <w:rPr>
          <w:snapToGrid w:val="0"/>
        </w:rPr>
      </w:pPr>
      <w:r>
        <w:rPr>
          <w:snapToGrid w:val="0"/>
        </w:rPr>
        <w:tab/>
        <w:t>(7)</w:t>
      </w:r>
      <w:r>
        <w:rPr>
          <w:snapToGrid w:val="0"/>
        </w:rPr>
        <w:tab/>
        <w:t>for the speedy disposal of the dead;</w:t>
      </w:r>
    </w:p>
    <w:p>
      <w:pPr>
        <w:pStyle w:val="Indenta"/>
        <w:spacing w:before="100"/>
        <w:rPr>
          <w:snapToGrid w:val="0"/>
        </w:rPr>
      </w:pPr>
      <w:r>
        <w:rPr>
          <w:snapToGrid w:val="0"/>
        </w:rPr>
        <w:tab/>
        <w:t>(8)</w:t>
      </w:r>
      <w:r>
        <w:rPr>
          <w:snapToGrid w:val="0"/>
        </w:rPr>
        <w:tab/>
        <w:t>for the destruction or amendment of insanitary houses, buildings, and things;</w:t>
      </w:r>
    </w:p>
    <w:p>
      <w:pPr>
        <w:pStyle w:val="Indenta"/>
        <w:spacing w:before="100"/>
        <w:rPr>
          <w:snapToGrid w:val="0"/>
        </w:rPr>
      </w:pPr>
      <w:r>
        <w:rPr>
          <w:snapToGrid w:val="0"/>
        </w:rPr>
        <w:tab/>
        <w:t>(9)</w:t>
      </w:r>
      <w:r>
        <w:rPr>
          <w:snapToGrid w:val="0"/>
        </w:rPr>
        <w:tab/>
        <w:t>for the destruction of infected animals, or of animals or insects suspected or liable to be infected, or to convey infection;</w:t>
      </w:r>
    </w:p>
    <w:p>
      <w:pPr>
        <w:pStyle w:val="Indenta"/>
        <w:keepNext/>
        <w:spacing w:before="100"/>
        <w:rPr>
          <w:snapToGrid w:val="0"/>
        </w:rPr>
      </w:pPr>
      <w:r>
        <w:rPr>
          <w:snapToGrid w:val="0"/>
        </w:rPr>
        <w:tab/>
        <w:t>(10)</w:t>
      </w:r>
      <w:r>
        <w:rPr>
          <w:snapToGrid w:val="0"/>
        </w:rPr>
        <w:tab/>
        <w:t xml:space="preserve">generally for promoting and enforcing all such cleansing, ventilating, disinfecting, and other measures </w:t>
      </w:r>
      <w:r>
        <w:rPr>
          <w:snapToGrid w:val="0"/>
        </w:rPr>
        <w:lastRenderedPageBreak/>
        <w:t>as are deemed necessary in order to prevent or check the spread of infectious disease.</w:t>
      </w:r>
    </w:p>
    <w:p>
      <w:pPr>
        <w:pStyle w:val="Footnotesection"/>
        <w:spacing w:before="80"/>
        <w:ind w:left="890" w:hanging="890"/>
        <w:rPr>
          <w:spacing w:val="-2"/>
        </w:rPr>
      </w:pPr>
      <w:r>
        <w:tab/>
      </w:r>
      <w:r>
        <w:rPr>
          <w:spacing w:val="-2"/>
        </w:rPr>
        <w:t>[Section 249, formerly section 203, amended: No. 3 of 1912 s. 3; renumbered as section 249: No. 38 of 1933 s. 42; amended: No. 71 of 1948 s. 10; No. 28 of 1984 s. 45; No. 80 of 1987 s. 112; No. 14 of 1996 s. 4.]</w:t>
      </w:r>
    </w:p>
    <w:p>
      <w:pPr>
        <w:pStyle w:val="Ednotesection"/>
        <w:spacing w:before="180"/>
        <w:ind w:left="890" w:hanging="890"/>
        <w:outlineLvl w:val="9"/>
      </w:pPr>
      <w:r>
        <w:t>[</w:t>
      </w:r>
      <w:r>
        <w:rPr>
          <w:b/>
        </w:rPr>
        <w:t>250</w:t>
      </w:r>
      <w:r>
        <w:rPr>
          <w:b/>
        </w:rPr>
        <w:noBreakHyphen/>
        <w:t>275.</w:t>
      </w:r>
      <w:r>
        <w:tab/>
        <w:t>Deleted: No. 19 of 2016 s. 242.]</w:t>
      </w:r>
    </w:p>
    <w:p>
      <w:pPr>
        <w:pStyle w:val="Ednotedivision"/>
      </w:pPr>
      <w:r>
        <w:t>[Division 2:</w:t>
      </w:r>
      <w:r>
        <w:tab/>
        <w:t>s. 276-280 deleted: No. 19 of 2016 s. 243;</w:t>
      </w:r>
      <w:r>
        <w:br/>
      </w:r>
      <w:r>
        <w:tab/>
      </w:r>
      <w:r>
        <w:tab/>
        <w:t>s. 281 deleted: No. 24 of 2000 s. 16(2);</w:t>
      </w:r>
      <w:r>
        <w:br/>
      </w:r>
      <w:r>
        <w:tab/>
      </w:r>
      <w:r>
        <w:tab/>
        <w:t>s. 282-289 deleted: No. 19 of 2016 s. 243.]</w:t>
      </w:r>
    </w:p>
    <w:p>
      <w:pPr>
        <w:pStyle w:val="Heading2"/>
      </w:pPr>
      <w:bookmarkStart w:id="264" w:name="_Toc98504254"/>
      <w:bookmarkStart w:id="265" w:name="_Toc98504585"/>
      <w:bookmarkStart w:id="266" w:name="_Toc98767983"/>
      <w:r>
        <w:rPr>
          <w:rStyle w:val="CharPartNo"/>
        </w:rPr>
        <w:lastRenderedPageBreak/>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264"/>
      <w:bookmarkEnd w:id="265"/>
      <w:bookmarkEnd w:id="266"/>
    </w:p>
    <w:p>
      <w:pPr>
        <w:pStyle w:val="Footnoteheading"/>
        <w:ind w:left="890" w:hanging="890"/>
        <w:rPr>
          <w:snapToGrid w:val="0"/>
        </w:rPr>
      </w:pPr>
      <w:r>
        <w:rPr>
          <w:snapToGrid w:val="0"/>
        </w:rPr>
        <w:tab/>
        <w:t>[Heading inserted: No. 21 of 1957 s. 11.]</w:t>
      </w:r>
    </w:p>
    <w:p>
      <w:pPr>
        <w:pStyle w:val="Heading5"/>
        <w:rPr>
          <w:snapToGrid w:val="0"/>
        </w:rPr>
      </w:pPr>
      <w:bookmarkStart w:id="267" w:name="_Toc98767984"/>
      <w:r>
        <w:rPr>
          <w:rStyle w:val="CharSectno"/>
        </w:rPr>
        <w:t>289A</w:t>
      </w:r>
      <w:r>
        <w:rPr>
          <w:snapToGrid w:val="0"/>
        </w:rPr>
        <w:t>.</w:t>
      </w:r>
      <w:r>
        <w:rPr>
          <w:snapToGrid w:val="0"/>
        </w:rPr>
        <w:tab/>
        <w:t>Objects of this Part</w:t>
      </w:r>
      <w:bookmarkEnd w:id="267"/>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No. 21 of 1957 s. 11.]</w:t>
      </w:r>
    </w:p>
    <w:p>
      <w:pPr>
        <w:pStyle w:val="Heading5"/>
        <w:rPr>
          <w:snapToGrid w:val="0"/>
        </w:rPr>
      </w:pPr>
      <w:bookmarkStart w:id="268" w:name="_Toc98767985"/>
      <w:r>
        <w:rPr>
          <w:rStyle w:val="CharSectno"/>
        </w:rPr>
        <w:t>289B</w:t>
      </w:r>
      <w:r>
        <w:rPr>
          <w:snapToGrid w:val="0"/>
        </w:rPr>
        <w:t>.</w:t>
      </w:r>
      <w:r>
        <w:rPr>
          <w:snapToGrid w:val="0"/>
        </w:rPr>
        <w:tab/>
        <w:t>Term used: prescribed condition of health</w:t>
      </w:r>
      <w:bookmarkEnd w:id="268"/>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No. 21 of 1957 s. 11]</w:t>
      </w:r>
    </w:p>
    <w:p>
      <w:pPr>
        <w:pStyle w:val="Heading5"/>
        <w:rPr>
          <w:snapToGrid w:val="0"/>
        </w:rPr>
      </w:pPr>
      <w:bookmarkStart w:id="269" w:name="_Toc98767986"/>
      <w:r>
        <w:rPr>
          <w:rStyle w:val="CharSectno"/>
        </w:rPr>
        <w:t>289C</w:t>
      </w:r>
      <w:r>
        <w:rPr>
          <w:snapToGrid w:val="0"/>
        </w:rPr>
        <w:t>.</w:t>
      </w:r>
      <w:r>
        <w:rPr>
          <w:snapToGrid w:val="0"/>
        </w:rPr>
        <w:tab/>
        <w:t>Regulation as to Part IXA</w:t>
      </w:r>
      <w:bookmarkEnd w:id="269"/>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 and</w:t>
      </w:r>
    </w:p>
    <w:p>
      <w:pPr>
        <w:pStyle w:val="Indenta"/>
        <w:rPr>
          <w:snapToGrid w:val="0"/>
        </w:rPr>
      </w:pPr>
      <w:r>
        <w:rPr>
          <w:snapToGrid w:val="0"/>
        </w:rPr>
        <w:tab/>
        <w:t>(b)</w:t>
      </w:r>
      <w:r>
        <w:rPr>
          <w:snapToGrid w:val="0"/>
        </w:rPr>
        <w:tab/>
        <w:t>how, when, by whom, and to whom, cases of prescribed conditions of health must be notified; and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lastRenderedPageBreak/>
        <w:tab/>
        <w:t>(d)</w:t>
      </w:r>
      <w:r>
        <w:rPr>
          <w:snapToGrid w:val="0"/>
        </w:rPr>
        <w:tab/>
        <w:t xml:space="preserve">functions, powers, and duties of any person or class of person, whether the Minister, the </w:t>
      </w:r>
      <w:r>
        <w:t>Chief Health Officer</w:t>
      </w:r>
      <w:r>
        <w:rPr>
          <w:snapToGrid w:val="0"/>
        </w:rPr>
        <w:t>, a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No. 21 of 1957 s. 11; amended: No. 28 of 1984 s. 45; No. 19 of 2016 s. 99 and 100.]</w:t>
      </w:r>
    </w:p>
    <w:p>
      <w:pPr>
        <w:pStyle w:val="Heading5"/>
        <w:rPr>
          <w:snapToGrid w:val="0"/>
        </w:rPr>
      </w:pPr>
      <w:bookmarkStart w:id="270" w:name="_Toc98767987"/>
      <w:r>
        <w:rPr>
          <w:rStyle w:val="CharSectno"/>
        </w:rPr>
        <w:t>289D</w:t>
      </w:r>
      <w:r>
        <w:rPr>
          <w:snapToGrid w:val="0"/>
        </w:rPr>
        <w:t xml:space="preserve">. </w:t>
      </w:r>
      <w:r>
        <w:rPr>
          <w:snapToGrid w:val="0"/>
        </w:rPr>
        <w:tab/>
        <w:t>Powers conferred by this Part are cumulative</w:t>
      </w:r>
      <w:bookmarkEnd w:id="270"/>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No. 21 of 1957 s. 11.]</w:t>
      </w:r>
    </w:p>
    <w:p>
      <w:pPr>
        <w:pStyle w:val="Ednotepart"/>
        <w:outlineLvl w:val="9"/>
      </w:pPr>
      <w:r>
        <w:t>[Part IXB (s. 289E-289I) deleted: No. 5 of 2006 s. 126.]</w:t>
      </w:r>
    </w:p>
    <w:p>
      <w:pPr>
        <w:pStyle w:val="Ednotepart"/>
      </w:pPr>
      <w:r>
        <w:t>[Part X:</w:t>
      </w:r>
      <w:r>
        <w:tab/>
        <w:t>s. 290 deleted: No. 19 of 2016 s. 245;</w:t>
      </w:r>
      <w:r>
        <w:br/>
      </w:r>
      <w:r>
        <w:tab/>
      </w:r>
      <w:r>
        <w:tab/>
        <w:t>s. 291 deleted: No. 53 of 1985 s. 6;</w:t>
      </w:r>
      <w:r>
        <w:br/>
      </w:r>
      <w:r>
        <w:tab/>
      </w:r>
      <w:r>
        <w:tab/>
        <w:t>s. 292-296 deleted: No. 19 of 2016 s. 245.]</w:t>
      </w:r>
    </w:p>
    <w:p>
      <w:pPr>
        <w:pStyle w:val="Ednotepart"/>
      </w:pPr>
      <w:r>
        <w:t>[Part XI:</w:t>
      </w:r>
      <w:r>
        <w:tab/>
        <w:t>s. 297</w:t>
      </w:r>
      <w:r>
        <w:noBreakHyphen/>
        <w:t>299 deleted: No. 23 of 2006 s. 7;</w:t>
      </w:r>
      <w:r>
        <w:br/>
      </w:r>
      <w:r>
        <w:tab/>
      </w:r>
      <w:r>
        <w:tab/>
        <w:t>s. 300, 300A deleted: No. 19 of 2016 s. 246;</w:t>
      </w:r>
      <w:r>
        <w:br/>
      </w:r>
      <w:r>
        <w:tab/>
      </w:r>
      <w:r>
        <w:tab/>
        <w:t>s. 301</w:t>
      </w:r>
      <w:r>
        <w:noBreakHyphen/>
        <w:t>305 deleted: No. 23 of 2006 s. 10;</w:t>
      </w:r>
      <w:r>
        <w:br/>
      </w:r>
      <w:r>
        <w:tab/>
      </w:r>
      <w:r>
        <w:tab/>
        <w:t>s. 306, 307 deleted: No. 19 of 2016 s. 246;</w:t>
      </w:r>
      <w:r>
        <w:br/>
      </w:r>
      <w:r>
        <w:tab/>
      </w:r>
      <w:r>
        <w:tab/>
        <w:t xml:space="preserve">s. 308 deleted: </w:t>
      </w:r>
      <w:r>
        <w:rPr>
          <w:spacing w:val="-6"/>
        </w:rPr>
        <w:t>No. 34 of 2004</w:t>
      </w:r>
      <w:r>
        <w:t xml:space="preserve"> Sch. 2 cl. 12(2);</w:t>
      </w:r>
      <w:r>
        <w:br/>
      </w:r>
      <w:r>
        <w:tab/>
      </w:r>
      <w:r>
        <w:tab/>
        <w:t>s. 309</w:t>
      </w:r>
      <w:r>
        <w:noBreakHyphen/>
        <w:t>314 deleted: No. 19 of 2016 s. 246;</w:t>
      </w:r>
      <w:r>
        <w:br/>
      </w:r>
      <w:r>
        <w:tab/>
      </w:r>
      <w:r>
        <w:tab/>
        <w:t>s. 315 deleted: No. 23 of 2006 s. 12;</w:t>
      </w:r>
      <w:r>
        <w:br/>
      </w:r>
      <w:r>
        <w:tab/>
      </w:r>
      <w:r>
        <w:tab/>
        <w:t>s. 316 deleted: No. 19 of 2016 s. 246.]</w:t>
      </w:r>
    </w:p>
    <w:p>
      <w:pPr>
        <w:pStyle w:val="Heading2"/>
        <w:rPr>
          <w:rStyle w:val="CharPartText"/>
        </w:rPr>
      </w:pPr>
      <w:bookmarkStart w:id="271" w:name="_Toc98504259"/>
      <w:bookmarkStart w:id="272" w:name="_Toc98504590"/>
      <w:bookmarkStart w:id="273" w:name="_Toc98767988"/>
      <w:r>
        <w:rPr>
          <w:rStyle w:val="CharPartNo"/>
        </w:rPr>
        <w:lastRenderedPageBreak/>
        <w:t>Part XII</w:t>
      </w:r>
      <w:r>
        <w:t> — </w:t>
      </w:r>
      <w:r>
        <w:rPr>
          <w:rStyle w:val="CharPartText"/>
        </w:rPr>
        <w:t>Hospitals</w:t>
      </w:r>
      <w:bookmarkEnd w:id="271"/>
      <w:bookmarkEnd w:id="272"/>
      <w:bookmarkEnd w:id="273"/>
    </w:p>
    <w:p>
      <w:pPr>
        <w:pStyle w:val="Heading3"/>
        <w:rPr>
          <w:rStyle w:val="CharDivText"/>
        </w:rPr>
      </w:pPr>
      <w:bookmarkStart w:id="274" w:name="_Toc98504260"/>
      <w:bookmarkStart w:id="275" w:name="_Toc98504591"/>
      <w:bookmarkStart w:id="276" w:name="_Toc98767989"/>
      <w:r>
        <w:rPr>
          <w:rStyle w:val="CharDivNo"/>
        </w:rPr>
        <w:t>Division 1</w:t>
      </w:r>
      <w:r>
        <w:rPr>
          <w:snapToGrid w:val="0"/>
        </w:rPr>
        <w:t> — </w:t>
      </w:r>
      <w:r>
        <w:rPr>
          <w:rStyle w:val="CharDivText"/>
        </w:rPr>
        <w:t>Public hospital</w:t>
      </w:r>
      <w:bookmarkEnd w:id="274"/>
      <w:bookmarkEnd w:id="275"/>
      <w:bookmarkEnd w:id="276"/>
    </w:p>
    <w:p>
      <w:pPr>
        <w:pStyle w:val="Ednotesection"/>
        <w:outlineLvl w:val="9"/>
      </w:pPr>
      <w:r>
        <w:t>[</w:t>
      </w:r>
      <w:r>
        <w:rPr>
          <w:b/>
        </w:rPr>
        <w:t>316A, 317</w:t>
      </w:r>
      <w:r>
        <w:rPr>
          <w:b/>
        </w:rPr>
        <w:noBreakHyphen/>
        <w:t xml:space="preserve">323, 323A, 323B.  </w:t>
      </w:r>
      <w:r>
        <w:t xml:space="preserve"> Deleted: No. 47 of 1978 s. 31.]</w:t>
      </w:r>
    </w:p>
    <w:p>
      <w:pPr>
        <w:pStyle w:val="Heading5"/>
        <w:rPr>
          <w:snapToGrid w:val="0"/>
        </w:rPr>
      </w:pPr>
      <w:bookmarkStart w:id="277" w:name="_Toc98767990"/>
      <w:r>
        <w:rPr>
          <w:rStyle w:val="CharSectno"/>
        </w:rPr>
        <w:t>324</w:t>
      </w:r>
      <w:r>
        <w:rPr>
          <w:snapToGrid w:val="0"/>
        </w:rPr>
        <w:t>.</w:t>
      </w:r>
      <w:r>
        <w:rPr>
          <w:snapToGrid w:val="0"/>
        </w:rPr>
        <w:tab/>
        <w:t>Local governments may establish or subsidise hospitals</w:t>
      </w:r>
      <w:bookmarkEnd w:id="277"/>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No. 17 of 1956 s. 2; amended: No. 33 of 1962 s. 5; No. 53 of 1985 s. 11; No. 14 of 1996 s. 4.]</w:t>
      </w:r>
    </w:p>
    <w:p>
      <w:pPr>
        <w:pStyle w:val="Heading5"/>
        <w:rPr>
          <w:snapToGrid w:val="0"/>
        </w:rPr>
      </w:pPr>
      <w:bookmarkStart w:id="278" w:name="_Toc98767991"/>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278"/>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lastRenderedPageBreak/>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No. 45 of 1954 s. 11; amended: No. 14 of 1996 s. 4; No. 28 of 2006 s. 251.]</w:t>
      </w:r>
    </w:p>
    <w:p>
      <w:pPr>
        <w:pStyle w:val="Ednotedivision"/>
        <w:outlineLvl w:val="9"/>
      </w:pPr>
      <w:r>
        <w:t>[Division 2 (s. 325) and Division 3 (s. 326</w:t>
      </w:r>
      <w:r>
        <w:noBreakHyphen/>
        <w:t>330) deleted: No. 53 of 1985 s. 12.]</w:t>
      </w:r>
    </w:p>
    <w:p>
      <w:pPr>
        <w:pStyle w:val="Heading2"/>
      </w:pPr>
      <w:bookmarkStart w:id="279" w:name="_Toc98504263"/>
      <w:bookmarkStart w:id="280" w:name="_Toc98504594"/>
      <w:bookmarkStart w:id="281" w:name="_Toc98767992"/>
      <w:r>
        <w:rPr>
          <w:rStyle w:val="CharPartNo"/>
        </w:rPr>
        <w:lastRenderedPageBreak/>
        <w:t>Part XIIA</w:t>
      </w:r>
      <w:r>
        <w:rPr>
          <w:rStyle w:val="CharDivNo"/>
        </w:rPr>
        <w:t> </w:t>
      </w:r>
      <w:r>
        <w:t>—</w:t>
      </w:r>
      <w:r>
        <w:rPr>
          <w:rStyle w:val="CharDivText"/>
        </w:rPr>
        <w:t> </w:t>
      </w:r>
      <w:r>
        <w:rPr>
          <w:rStyle w:val="CharPartText"/>
        </w:rPr>
        <w:t>Community health centres, etc.</w:t>
      </w:r>
      <w:bookmarkEnd w:id="279"/>
      <w:bookmarkEnd w:id="280"/>
      <w:bookmarkEnd w:id="281"/>
    </w:p>
    <w:p>
      <w:pPr>
        <w:pStyle w:val="Footnoteheading"/>
        <w:ind w:left="890" w:hanging="890"/>
        <w:rPr>
          <w:snapToGrid w:val="0"/>
        </w:rPr>
      </w:pPr>
      <w:r>
        <w:rPr>
          <w:snapToGrid w:val="0"/>
        </w:rPr>
        <w:tab/>
        <w:t>[Heading inserted: No. 101 of 1976 s. 11.]</w:t>
      </w:r>
    </w:p>
    <w:p>
      <w:pPr>
        <w:pStyle w:val="Heading5"/>
        <w:rPr>
          <w:snapToGrid w:val="0"/>
        </w:rPr>
      </w:pPr>
      <w:bookmarkStart w:id="282" w:name="_Toc98767993"/>
      <w:r>
        <w:rPr>
          <w:rStyle w:val="CharSectno"/>
        </w:rPr>
        <w:t>330A</w:t>
      </w:r>
      <w:r>
        <w:rPr>
          <w:snapToGrid w:val="0"/>
        </w:rPr>
        <w:t xml:space="preserve">. </w:t>
      </w:r>
      <w:r>
        <w:rPr>
          <w:snapToGrid w:val="0"/>
        </w:rPr>
        <w:tab/>
        <w:t>Land may be acquired or leased for community health centres</w:t>
      </w:r>
      <w:bookmarkEnd w:id="282"/>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No. 101 of 1976 s. 11; amended: No. 31 of 1997 s. 142.]</w:t>
      </w:r>
    </w:p>
    <w:p>
      <w:pPr>
        <w:pStyle w:val="Heading5"/>
        <w:rPr>
          <w:snapToGrid w:val="0"/>
        </w:rPr>
      </w:pPr>
      <w:bookmarkStart w:id="283" w:name="_Toc98767994"/>
      <w:r>
        <w:rPr>
          <w:rStyle w:val="CharSectno"/>
        </w:rPr>
        <w:t>330B</w:t>
      </w:r>
      <w:r>
        <w:rPr>
          <w:snapToGrid w:val="0"/>
        </w:rPr>
        <w:t xml:space="preserve">. </w:t>
      </w:r>
      <w:r>
        <w:rPr>
          <w:snapToGrid w:val="0"/>
        </w:rPr>
        <w:tab/>
        <w:t>Local governments may subsidise certain medical centres</w:t>
      </w:r>
      <w:bookmarkEnd w:id="283"/>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xml:space="preserve">, a </w:t>
      </w:r>
      <w:r>
        <w:rPr>
          <w:snapToGrid w:val="0"/>
        </w:rPr>
        <w:lastRenderedPageBreak/>
        <w:t>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No. 47 of 1978 s. 32; amended: No. 14 of 1996 s. 4; No. 28 of 2006 s. 251.]</w:t>
      </w:r>
    </w:p>
    <w:p>
      <w:pPr>
        <w:pStyle w:val="Heading2"/>
      </w:pPr>
      <w:bookmarkStart w:id="284" w:name="_Toc98504266"/>
      <w:bookmarkStart w:id="285" w:name="_Toc98504597"/>
      <w:bookmarkStart w:id="286" w:name="_Toc98767995"/>
      <w:r>
        <w:rPr>
          <w:rStyle w:val="CharPartNo"/>
        </w:rPr>
        <w:lastRenderedPageBreak/>
        <w:t>Part XIII</w:t>
      </w:r>
      <w:r>
        <w:rPr>
          <w:rStyle w:val="CharDivNo"/>
        </w:rPr>
        <w:t> </w:t>
      </w:r>
      <w:r>
        <w:t>—</w:t>
      </w:r>
      <w:r>
        <w:rPr>
          <w:rStyle w:val="CharDivText"/>
        </w:rPr>
        <w:t> </w:t>
      </w:r>
      <w:r>
        <w:rPr>
          <w:rStyle w:val="CharPartText"/>
        </w:rPr>
        <w:t>Child health and preventive medicine</w:t>
      </w:r>
      <w:bookmarkEnd w:id="284"/>
      <w:bookmarkEnd w:id="285"/>
      <w:bookmarkEnd w:id="286"/>
    </w:p>
    <w:p>
      <w:pPr>
        <w:pStyle w:val="Footnoteheading"/>
        <w:ind w:left="890" w:hanging="890"/>
        <w:rPr>
          <w:snapToGrid w:val="0"/>
        </w:rPr>
      </w:pPr>
      <w:r>
        <w:rPr>
          <w:snapToGrid w:val="0"/>
        </w:rPr>
        <w:tab/>
        <w:t>[Heading inserted: No. 102 of 1973 s. 21.]</w:t>
      </w:r>
    </w:p>
    <w:p>
      <w:pPr>
        <w:pStyle w:val="Heading5"/>
        <w:spacing w:before="180"/>
      </w:pPr>
      <w:bookmarkStart w:id="287" w:name="_Toc98767996"/>
      <w:r>
        <w:rPr>
          <w:rStyle w:val="CharSectno"/>
        </w:rPr>
        <w:t>331</w:t>
      </w:r>
      <w:r>
        <w:t>.</w:t>
      </w:r>
      <w:r>
        <w:tab/>
        <w:t>Terms used</w:t>
      </w:r>
      <w:bookmarkEnd w:id="287"/>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(Western Australia)</w:t>
      </w:r>
      <w:r>
        <w:t xml:space="preserve"> in the dental therapist profession.</w:t>
      </w:r>
    </w:p>
    <w:p>
      <w:pPr>
        <w:pStyle w:val="Footnotesection"/>
      </w:pPr>
      <w:r>
        <w:tab/>
        <w:t>[Section 331 inserted: No. 35 of 2010 s. 72.]</w:t>
      </w:r>
    </w:p>
    <w:p>
      <w:pPr>
        <w:pStyle w:val="Ednotesection"/>
        <w:spacing w:before="180"/>
        <w:outlineLvl w:val="9"/>
      </w:pPr>
      <w:r>
        <w:t>[</w:t>
      </w:r>
      <w:r>
        <w:rPr>
          <w:b/>
        </w:rPr>
        <w:t>332.</w:t>
      </w:r>
      <w:r>
        <w:rPr>
          <w:b/>
        </w:rPr>
        <w:tab/>
      </w:r>
      <w:r>
        <w:t>Deleted: No. 27 of 1992 s. 84.]</w:t>
      </w:r>
    </w:p>
    <w:p>
      <w:pPr>
        <w:pStyle w:val="Heading5"/>
        <w:spacing w:before="180"/>
        <w:rPr>
          <w:snapToGrid w:val="0"/>
        </w:rPr>
      </w:pPr>
      <w:bookmarkStart w:id="288" w:name="_Toc98767997"/>
      <w:r>
        <w:rPr>
          <w:rStyle w:val="CharSectno"/>
        </w:rPr>
        <w:t>333</w:t>
      </w:r>
      <w:r>
        <w:rPr>
          <w:snapToGrid w:val="0"/>
        </w:rPr>
        <w:t>.</w:t>
      </w:r>
      <w:r>
        <w:rPr>
          <w:snapToGrid w:val="0"/>
        </w:rPr>
        <w:tab/>
        <w:t>Regulations</w:t>
      </w:r>
      <w:bookmarkEnd w:id="288"/>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No. 27 of 1992 s. 84.]</w:t>
      </w:r>
    </w:p>
    <w:p>
      <w:pPr>
        <w:pStyle w:val="Heading5"/>
        <w:spacing w:before="180"/>
      </w:pPr>
      <w:bookmarkStart w:id="289" w:name="_Toc98767998"/>
      <w:r>
        <w:rPr>
          <w:rStyle w:val="CharSectno"/>
        </w:rPr>
        <w:t>334</w:t>
      </w:r>
      <w:r>
        <w:t>.</w:t>
      </w:r>
      <w:r>
        <w:tab/>
        <w:t>Performance of abortions</w:t>
      </w:r>
      <w:bookmarkEnd w:id="289"/>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 xml:space="preserve">No person, hospital, health institution, other institution or service is under a duty, whether by contract or by statutory or </w:t>
      </w:r>
      <w:r>
        <w:lastRenderedPageBreak/>
        <w:t>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 and</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keepNext/>
      </w:pPr>
      <w:r>
        <w:lastRenderedPageBreak/>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 and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 xml:space="preserve">s Court for an order that a person specified in the application, being a custodial parent of the woman, should not </w:t>
      </w:r>
      <w:r>
        <w:lastRenderedPageBreak/>
        <w:t>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No. 15 of 1998 s. 7(1).]</w:t>
      </w:r>
    </w:p>
    <w:p>
      <w:pPr>
        <w:pStyle w:val="Heading5"/>
        <w:rPr>
          <w:snapToGrid w:val="0"/>
        </w:rPr>
      </w:pPr>
      <w:bookmarkStart w:id="290" w:name="_Toc98767999"/>
      <w:r>
        <w:rPr>
          <w:rStyle w:val="CharSectno"/>
        </w:rPr>
        <w:t>335</w:t>
      </w:r>
      <w:r>
        <w:rPr>
          <w:snapToGrid w:val="0"/>
        </w:rPr>
        <w:t>.</w:t>
      </w:r>
      <w:r>
        <w:rPr>
          <w:snapToGrid w:val="0"/>
        </w:rPr>
        <w:tab/>
        <w:t>Reports to be furnished</w:t>
      </w:r>
      <w:bookmarkEnd w:id="290"/>
    </w:p>
    <w:p>
      <w:pPr>
        <w:pStyle w:val="Subsection"/>
        <w:rPr>
          <w:snapToGrid w:val="0"/>
        </w:rPr>
      </w:pPr>
      <w:r>
        <w:rPr>
          <w:snapToGrid w:val="0"/>
        </w:rPr>
        <w:tab/>
        <w:t>(1)</w:t>
      </w:r>
      <w:r>
        <w:rPr>
          <w:snapToGrid w:val="0"/>
        </w:rPr>
        <w:tab/>
        <w:t xml:space="preserve">It shall be the duty of every midwife to furnish to the </w:t>
      </w:r>
      <w:r>
        <w:t>Chief Health Officer</w:t>
      </w:r>
      <w:r>
        <w:rPr>
          <w:snapToGrid w:val="0"/>
        </w:rPr>
        <w:t xml:space="preserve"> a report in writing in the manner and at the time and in the form prescribed of every case attended by </w:t>
      </w:r>
      <w:r>
        <w:t xml:space="preserve">the midwife, </w:t>
      </w:r>
      <w:r>
        <w:rPr>
          <w:snapToGrid w:val="0"/>
        </w:rPr>
        <w:t>whether of living, premature or full term birth, or stillbirth, or abortion.</w:t>
      </w:r>
    </w:p>
    <w:p>
      <w:pPr>
        <w:pStyle w:val="Subsection"/>
        <w:rPr>
          <w:snapToGrid w:val="0"/>
        </w:rPr>
      </w:pPr>
      <w:r>
        <w:rPr>
          <w:snapToGrid w:val="0"/>
        </w:rPr>
        <w:tab/>
        <w:t>(2)</w:t>
      </w:r>
      <w:r>
        <w:rPr>
          <w:snapToGrid w:val="0"/>
        </w:rPr>
        <w:tab/>
        <w:t xml:space="preserve">A report furnished under subsection (1) shall state the name and address of the mother, and shall be furnished to the </w:t>
      </w:r>
      <w:r>
        <w:t>Chief Health Officer</w:t>
      </w:r>
      <w:r>
        <w:rPr>
          <w:snapToGrid w:val="0"/>
        </w:rPr>
        <w:t xml:space="preserve">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 xml:space="preserve">The occupier of any house at which a female not usually resident in any such house, is attended, whether for gain or not, during childbirth or abortion or miscarriage, shall forthwith notify to the </w:t>
      </w:r>
      <w:r>
        <w:t>Chief Health Officer</w:t>
      </w:r>
      <w:r>
        <w:rPr>
          <w:snapToGrid w:val="0"/>
        </w:rPr>
        <w:t xml:space="preserve"> that such female is being so attended.</w:t>
      </w:r>
    </w:p>
    <w:p>
      <w:pPr>
        <w:pStyle w:val="Subsection"/>
        <w:rPr>
          <w:snapToGrid w:val="0"/>
        </w:rPr>
      </w:pPr>
      <w:r>
        <w:rPr>
          <w:snapToGrid w:val="0"/>
        </w:rPr>
        <w:tab/>
        <w:t>(5)(a)</w:t>
      </w:r>
      <w:r>
        <w:rPr>
          <w:snapToGrid w:val="0"/>
        </w:rPr>
        <w:tab/>
        <w:t xml:space="preserve">When a medical practitioner attends on the happening of any premature birth, stillbirth or abortion (other than an abortion to which paragraph (d) applies), </w:t>
      </w:r>
      <w:r>
        <w:t>the medical practitioner</w:t>
      </w:r>
      <w:r>
        <w:rPr>
          <w:snapToGrid w:val="0"/>
        </w:rPr>
        <w:t xml:space="preserve"> shall send to the </w:t>
      </w:r>
      <w:r>
        <w:t>Chief Health Officer</w:t>
      </w:r>
      <w:r>
        <w:rPr>
          <w:snapToGrid w:val="0"/>
        </w:rPr>
        <w:t xml:space="preserve"> within 48 hours of the happening a report in the prescribed form.</w:t>
      </w:r>
    </w:p>
    <w:p>
      <w:pPr>
        <w:pStyle w:val="Subsection"/>
        <w:rPr>
          <w:snapToGrid w:val="0"/>
        </w:rPr>
      </w:pPr>
      <w:r>
        <w:rPr>
          <w:snapToGrid w:val="0"/>
        </w:rPr>
        <w:lastRenderedPageBreak/>
        <w:tab/>
        <w:t>(b)</w:t>
      </w:r>
      <w:r>
        <w:rPr>
          <w:snapToGrid w:val="0"/>
        </w:rPr>
        <w:tab/>
        <w:t xml:space="preserve">A medical practitioner, or where a medical practitioner is not in attendance, a midwife, who attends a woman at the delivery of a foetus at any time after the 20th week of pregnancy shall notify the </w:t>
      </w:r>
      <w:r>
        <w:t>Chief Health Officer</w:t>
      </w:r>
      <w:r>
        <w:rPr>
          <w:snapToGrid w:val="0"/>
        </w:rPr>
        <w:t xml:space="preserve">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xml:space="preserve">, certifies the cause of a neonatal death shall notify the </w:t>
      </w:r>
      <w:r>
        <w:t>Chief Health Officer</w:t>
      </w:r>
      <w:r>
        <w:rPr>
          <w:snapToGrid w:val="0"/>
        </w:rPr>
        <w:t xml:space="preserve"> of the fact in the prescribed form within 48 hours of the certification.</w:t>
      </w:r>
    </w:p>
    <w:p>
      <w:pPr>
        <w:pStyle w:val="Subsection"/>
        <w:rPr>
          <w:snapToGrid w:val="0"/>
        </w:rPr>
      </w:pPr>
      <w:r>
        <w:rPr>
          <w:snapToGrid w:val="0"/>
        </w:rPr>
        <w:tab/>
        <w:t>(d)</w:t>
      </w:r>
      <w:r>
        <w:rPr>
          <w:snapToGrid w:val="0"/>
        </w:rPr>
        <w:tab/>
        <w:t xml:space="preserve">When a medical practitioner performs an abortion, the medical practitioner shall notify the </w:t>
      </w:r>
      <w:r>
        <w:t>Chief Health Officer</w:t>
      </w:r>
      <w:r>
        <w:rPr>
          <w:snapToGrid w:val="0"/>
        </w:rPr>
        <w:t xml:space="preserve">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 xml:space="preserve">The </w:t>
      </w:r>
      <w:r>
        <w:t xml:space="preserve">Chief Health Officer </w:t>
      </w:r>
      <w:r>
        <w:rPr>
          <w:snapToGrid w:val="0"/>
        </w:rPr>
        <w:t xml:space="preserve">shall appoint medical practitioners upon such terms and conditions as </w:t>
      </w:r>
      <w:r>
        <w:t>the Chief Health Officer</w:t>
      </w:r>
      <w:r>
        <w:rPr>
          <w:snapToGrid w:val="0"/>
        </w:rPr>
        <w:t xml:space="preserv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lastRenderedPageBreak/>
        <w:tab/>
        <w:t>(d)</w:t>
      </w:r>
      <w:r>
        <w:rPr>
          <w:snapToGrid w:val="0"/>
        </w:rPr>
        <w:tab/>
        <w:t xml:space="preserve">The </w:t>
      </w:r>
      <w:r>
        <w:t>Chief Health Officer</w:t>
      </w:r>
      <w:r>
        <w:rPr>
          <w:snapToGrid w:val="0"/>
        </w:rPr>
        <w:t xml:space="preserve">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 xml:space="preserve">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w:t>
      </w:r>
      <w:r>
        <w:t>Chief Health Officer</w:t>
      </w:r>
      <w:r>
        <w:rPr>
          <w:snapToGrid w:val="0"/>
        </w:rPr>
        <w:t>, thereupon conduct a post mortem examination on the body of the stillborn child.</w:t>
      </w:r>
    </w:p>
    <w:p>
      <w:pPr>
        <w:pStyle w:val="Footnotesection"/>
      </w:pPr>
      <w:r>
        <w:tab/>
        <w:t>[Section 335, formerly section 263, amended: No. 17 of 1918 s. 48; renumbered as section 335: No. 38 of 1933 s. 42; amended: No. 14 of 1944 s. 12; No. 71 of 1948 s. 12; No. 45 of 1954 s. 12; No. 113 of 1965 s. 8(1); No. 102 of 1973 s. 25; No. 28 of 1984 s. 45; No. 80 of 1987 s. 151; No. 27 of 1992 s. 84; No. 15 of 1998 s. 7(2); No. 40 of 1998 s. 14(4); No. 19 of 2016 s. 36, 99 and 100.]</w:t>
      </w:r>
    </w:p>
    <w:p>
      <w:pPr>
        <w:pStyle w:val="Heading5"/>
        <w:rPr>
          <w:snapToGrid w:val="0"/>
        </w:rPr>
      </w:pPr>
      <w:bookmarkStart w:id="291" w:name="_Toc98768000"/>
      <w:r>
        <w:rPr>
          <w:rStyle w:val="CharSectno"/>
        </w:rPr>
        <w:t>336</w:t>
      </w:r>
      <w:r>
        <w:rPr>
          <w:snapToGrid w:val="0"/>
        </w:rPr>
        <w:t>.</w:t>
      </w:r>
      <w:r>
        <w:rPr>
          <w:snapToGrid w:val="0"/>
        </w:rPr>
        <w:tab/>
        <w:t>Death of woman as result of pregnancy or childbirth to be reported to Chief Health Officer</w:t>
      </w:r>
      <w:bookmarkEnd w:id="291"/>
    </w:p>
    <w:p>
      <w:pPr>
        <w:pStyle w:val="Subsection"/>
        <w:rPr>
          <w:snapToGrid w:val="0"/>
        </w:rPr>
      </w:pPr>
      <w:r>
        <w:rPr>
          <w:snapToGrid w:val="0"/>
        </w:rPr>
        <w:tab/>
        <w:t>(1)</w:t>
      </w:r>
      <w:r>
        <w:rPr>
          <w:snapToGrid w:val="0"/>
        </w:rPr>
        <w:tab/>
        <w:t xml:space="preserve">Whenever any woman shall die as the result of pregnancy or of childbirth, or as the result of any complications arising from or following upon pregnancy or childbirth, the fact of such death shall be reported forthwith to the </w:t>
      </w:r>
      <w:r>
        <w:t>Chief Health Officer</w:t>
      </w:r>
      <w:r>
        <w:rPr>
          <w:snapToGrid w:val="0"/>
        </w:rPr>
        <w:t xml:space="preserve"> by the medical practitioner and any nurse who were at the time of the death attending such woman.</w:t>
      </w:r>
    </w:p>
    <w:p>
      <w:pPr>
        <w:pStyle w:val="Subsection"/>
      </w:pPr>
      <w:r>
        <w:tab/>
        <w:t>(2)</w:t>
      </w:r>
      <w:r>
        <w:tab/>
        <w:t xml:space="preserve">On receiving the report, the Chief Health Officer must, by notice in writing signed by the Chief Health Officer — </w:t>
      </w:r>
    </w:p>
    <w:p>
      <w:pPr>
        <w:pStyle w:val="Indenta"/>
      </w:pPr>
      <w:r>
        <w:tab/>
        <w:t>(a)</w:t>
      </w:r>
      <w:r>
        <w:tab/>
        <w:t>direct the investigator appointed under Part XIIIA to inquire into the circumstances of the death; and</w:t>
      </w:r>
    </w:p>
    <w:p>
      <w:pPr>
        <w:pStyle w:val="Indenta"/>
      </w:pPr>
      <w:r>
        <w:lastRenderedPageBreak/>
        <w:tab/>
        <w:t>(b)</w:t>
      </w:r>
      <w:r>
        <w:tab/>
        <w:t>require the investigator to present to the Chairperson of the Maternal Mortality Committee appointed under that Part, within a time specified in the notice, a full report of the investigation made by the investigator.</w:t>
      </w:r>
    </w:p>
    <w:p>
      <w:pPr>
        <w:pStyle w:val="Subsection"/>
        <w:rPr>
          <w:snapToGrid w:val="0"/>
        </w:rPr>
      </w:pPr>
      <w:r>
        <w:rPr>
          <w:snapToGrid w:val="0"/>
        </w:rPr>
        <w:tab/>
        <w:t>(3)</w:t>
      </w:r>
      <w:r>
        <w:rPr>
          <w:snapToGrid w:val="0"/>
        </w:rPr>
        <w:tab/>
        <w:t xml:space="preserve">The report of the investigator presented to the </w:t>
      </w:r>
      <w:r>
        <w:t>Chairperson</w:t>
      </w:r>
      <w:r>
        <w:rPr>
          <w:snapToGrid w:val="0"/>
        </w:rPr>
        <w:t xml:space="preserve">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the investigator</w:t>
      </w:r>
      <w:r>
        <w:rPr>
          <w:snapToGrid w:val="0"/>
        </w:rPr>
        <w:t xml:space="preserve"> pursuant to the provisions of this section shall be confidential and shall not be communicated or divulged, either in whole or in part, by the investigator to any person other than the </w:t>
      </w:r>
      <w:r>
        <w:t>Chairperson</w:t>
      </w:r>
      <w:r>
        <w:rPr>
          <w:snapToGrid w:val="0"/>
        </w:rPr>
        <w:t xml:space="preserve"> of the Maternal Mortality Committee, or by the </w:t>
      </w:r>
      <w:r>
        <w:t>Chairperson</w:t>
      </w:r>
      <w:r>
        <w:rPr>
          <w:snapToGrid w:val="0"/>
        </w:rPr>
        <w:t xml:space="preserve">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lastRenderedPageBreak/>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No. 32 of 1937 s. 9; amended: No. 23 of 1960 s. 3; No. 28 of 1984 s. 45; No. 80 of 1987 s. 152; No. 2 of 1996 s. 61; No. 19 of 2016 s. 37 and 100.]</w:t>
      </w:r>
    </w:p>
    <w:p>
      <w:pPr>
        <w:pStyle w:val="Heading5"/>
        <w:rPr>
          <w:snapToGrid w:val="0"/>
        </w:rPr>
      </w:pPr>
      <w:bookmarkStart w:id="292" w:name="_Toc98768001"/>
      <w:r>
        <w:rPr>
          <w:rStyle w:val="CharSectno"/>
        </w:rPr>
        <w:t>336A</w:t>
      </w:r>
      <w:r>
        <w:rPr>
          <w:snapToGrid w:val="0"/>
        </w:rPr>
        <w:t xml:space="preserve">. </w:t>
      </w:r>
      <w:r>
        <w:rPr>
          <w:snapToGrid w:val="0"/>
        </w:rPr>
        <w:tab/>
        <w:t>Certain deaths of children to be reported to Chief Health Officer</w:t>
      </w:r>
      <w:bookmarkEnd w:id="292"/>
    </w:p>
    <w:p>
      <w:pPr>
        <w:pStyle w:val="Subsection"/>
        <w:spacing w:before="120"/>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w:t>
      </w:r>
      <w:r>
        <w:t>Chief Health Officer</w:t>
      </w:r>
      <w:r>
        <w:rPr>
          <w:snapToGrid w:val="0"/>
        </w:rPr>
        <w:t xml:space="preserve">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spacing w:before="120"/>
      </w:pPr>
      <w:r>
        <w:tab/>
        <w:t>(2)</w:t>
      </w:r>
      <w:r>
        <w:tab/>
        <w:t xml:space="preserve">On receiving the report, the Chief Health Officer must, by notice in writing signed by the Chief Health Officer — </w:t>
      </w:r>
    </w:p>
    <w:p>
      <w:pPr>
        <w:pStyle w:val="Indenta"/>
      </w:pPr>
      <w:r>
        <w:tab/>
        <w:t>(a)</w:t>
      </w:r>
      <w:r>
        <w:tab/>
        <w:t>direct an investigator appointed under Part XIIIB to enquire into the circumstances of that stillbirth or death; and</w:t>
      </w:r>
    </w:p>
    <w:p>
      <w:pPr>
        <w:pStyle w:val="Indenta"/>
      </w:pPr>
      <w:r>
        <w:tab/>
        <w:t>(b)</w:t>
      </w:r>
      <w:r>
        <w:tab/>
        <w:t>require the investigator to present to the Chairperson of the Perinatal and Infant Mortality Committee appointed under that Part, within a time specified in the notice, a full report of the investigation made by the investigator.</w:t>
      </w:r>
    </w:p>
    <w:p>
      <w:pPr>
        <w:pStyle w:val="Subsection"/>
        <w:spacing w:before="120"/>
      </w:pPr>
      <w:r>
        <w:tab/>
        <w:t>(3A)</w:t>
      </w:r>
      <w:r>
        <w:tab/>
        <w:t xml:space="preserve">Subsection (2) does not apply if the Chief Health Officer is satisfied that the cause of death arose from — </w:t>
      </w:r>
    </w:p>
    <w:p>
      <w:pPr>
        <w:pStyle w:val="Indenta"/>
      </w:pPr>
      <w:r>
        <w:tab/>
        <w:t>(a)</w:t>
      </w:r>
      <w:r>
        <w:tab/>
        <w:t>a specific injury; or</w:t>
      </w:r>
    </w:p>
    <w:p>
      <w:pPr>
        <w:pStyle w:val="Indenta"/>
      </w:pPr>
      <w:r>
        <w:tab/>
        <w:t>(b)</w:t>
      </w:r>
      <w:r>
        <w:tab/>
        <w:t>an illness that the Committee has directed does not require further investigation.</w:t>
      </w:r>
    </w:p>
    <w:p>
      <w:pPr>
        <w:pStyle w:val="Subsection"/>
        <w:keepNext/>
        <w:keepLines/>
        <w:spacing w:before="120"/>
        <w:rPr>
          <w:snapToGrid w:val="0"/>
        </w:rPr>
      </w:pPr>
      <w:r>
        <w:rPr>
          <w:snapToGrid w:val="0"/>
        </w:rPr>
        <w:lastRenderedPageBreak/>
        <w:tab/>
        <w:t>(3)</w:t>
      </w:r>
      <w:r>
        <w:rPr>
          <w:snapToGrid w:val="0"/>
        </w:rPr>
        <w:tab/>
        <w:t xml:space="preserve">The report of the investigator presented to the </w:t>
      </w:r>
      <w:r>
        <w:t xml:space="preserve">Chairperson </w:t>
      </w:r>
      <w:r>
        <w:rPr>
          <w:snapToGrid w:val="0"/>
        </w:rPr>
        <w:t>shall be in the form of connected medical case history relating to the deceased child but shall not contain any particulars from which it may be possible to ascertain the identity of that child.</w:t>
      </w:r>
    </w:p>
    <w:p>
      <w:pPr>
        <w:pStyle w:val="Subsection"/>
        <w:spacing w:before="120"/>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Perinatal and Infant Mortality Committee, or by the </w:t>
      </w:r>
      <w:r>
        <w:t xml:space="preserve">Chairperson </w:t>
      </w:r>
      <w:r>
        <w:rPr>
          <w:snapToGrid w:val="0"/>
        </w:rPr>
        <w:t>or any other member of the Committee, except for the purposes and in accordance with the provisions of Part XIIIB.</w:t>
      </w:r>
    </w:p>
    <w:p>
      <w:pPr>
        <w:pStyle w:val="Subsection"/>
        <w:spacing w:before="120"/>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spacing w:before="120"/>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2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2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xml:space="preserve">, or of any other Act so far as the same relates to prosecutions for indictable and other offences and the obtaining and adducing of evidence relative </w:t>
      </w:r>
      <w:r>
        <w:rPr>
          <w:snapToGrid w:val="0"/>
        </w:rPr>
        <w:lastRenderedPageBreak/>
        <w:t>thereto, but this section shall be read and construed as separate and distinct from the provisions of those Acts.</w:t>
      </w:r>
    </w:p>
    <w:p>
      <w:pPr>
        <w:pStyle w:val="Footnotesection"/>
        <w:ind w:left="890" w:hanging="890"/>
      </w:pPr>
      <w:r>
        <w:tab/>
        <w:t>[Section 336A inserted: No. 47 of 1978 s. 33; amended: No. 28 of 1984 s. 45; No. 80 of 1987 s. 153; No. 2 of 1996 s. 61; No. 40 of 1998 s. 14(5); No. 19 of 2016 s. 38 and 100.]</w:t>
      </w:r>
    </w:p>
    <w:p>
      <w:pPr>
        <w:pStyle w:val="Heading5"/>
        <w:keepNext w:val="0"/>
        <w:keepLines w:val="0"/>
        <w:spacing w:before="180"/>
        <w:rPr>
          <w:snapToGrid w:val="0"/>
        </w:rPr>
      </w:pPr>
      <w:bookmarkStart w:id="293" w:name="_Toc98768002"/>
      <w:r>
        <w:rPr>
          <w:rStyle w:val="CharSectno"/>
        </w:rPr>
        <w:t>336B</w:t>
      </w:r>
      <w:r>
        <w:rPr>
          <w:snapToGrid w:val="0"/>
        </w:rPr>
        <w:t xml:space="preserve">. </w:t>
      </w:r>
      <w:r>
        <w:rPr>
          <w:snapToGrid w:val="0"/>
        </w:rPr>
        <w:tab/>
        <w:t>Death of persons under anaesthetic to be reported to Chief Health Officer</w:t>
      </w:r>
      <w:bookmarkEnd w:id="293"/>
    </w:p>
    <w:p>
      <w:pPr>
        <w:pStyle w:val="Subsection"/>
        <w:spacing w:before="120"/>
        <w:rPr>
          <w:snapToGrid w:val="0"/>
        </w:rPr>
      </w:pPr>
      <w:r>
        <w:rPr>
          <w:snapToGrid w:val="0"/>
        </w:rPr>
        <w:tab/>
        <w:t>(1)</w:t>
      </w:r>
      <w:r>
        <w:rPr>
          <w:snapToGrid w:val="0"/>
        </w:rPr>
        <w:tab/>
        <w:t xml:space="preserve">Whenever any person shall die within the period of 48 hours following the administration of an anaesthetic agent or as the result of any complications arising from the administration of an anaesthetic, the fact of such death shall be reported forthwith to the </w:t>
      </w:r>
      <w:r>
        <w:t>Chief Health Officer</w:t>
      </w:r>
      <w:r>
        <w:rPr>
          <w:snapToGrid w:val="0"/>
        </w:rPr>
        <w:t xml:space="preserve"> by the person who administered the anaesthetic to the deceased.</w:t>
      </w:r>
    </w:p>
    <w:p>
      <w:pPr>
        <w:pStyle w:val="Subsection"/>
        <w:spacing w:before="120"/>
        <w:rPr>
          <w:snapToGrid w:val="0"/>
        </w:rPr>
      </w:pPr>
      <w:r>
        <w:rPr>
          <w:snapToGrid w:val="0"/>
        </w:rPr>
        <w:tab/>
        <w:t>(2)</w:t>
      </w:r>
      <w:r>
        <w:rPr>
          <w:snapToGrid w:val="0"/>
        </w:rPr>
        <w:tab/>
        <w:t xml:space="preserve">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w:t>
      </w:r>
      <w:r>
        <w:t>Chief Health Officer that the medical practitioner</w:t>
      </w:r>
      <w:r>
        <w:rPr>
          <w:snapToGrid w:val="0"/>
        </w:rPr>
        <w:t xml:space="preserve"> has formed such an opinion.</w:t>
      </w:r>
    </w:p>
    <w:p>
      <w:pPr>
        <w:pStyle w:val="Subsection"/>
        <w:spacing w:before="120"/>
      </w:pPr>
      <w:r>
        <w:tab/>
        <w:t>(3)</w:t>
      </w:r>
      <w:r>
        <w:tab/>
        <w:t xml:space="preserve">On receiving a report made under subsection (1) or (2), the Chief Health Officer must, by notice in writing signed by the Chief Health Officer — </w:t>
      </w:r>
    </w:p>
    <w:p>
      <w:pPr>
        <w:pStyle w:val="Indenta"/>
      </w:pPr>
      <w:r>
        <w:tab/>
        <w:t>(a)</w:t>
      </w:r>
      <w:r>
        <w:tab/>
        <w:t>direct an investigator appointed under Part XIIIC to enquire into the circumstances of the death; and</w:t>
      </w:r>
    </w:p>
    <w:p>
      <w:pPr>
        <w:pStyle w:val="Indenta"/>
      </w:pPr>
      <w:r>
        <w:tab/>
        <w:t>(b)</w:t>
      </w:r>
      <w:r>
        <w:tab/>
        <w:t xml:space="preserve">require the investigator — </w:t>
      </w:r>
    </w:p>
    <w:p>
      <w:pPr>
        <w:pStyle w:val="Indenti"/>
      </w:pPr>
      <w:r>
        <w:tab/>
        <w:t>(i)</w:t>
      </w:r>
      <w:r>
        <w:tab/>
        <w:t>if in the opinion of the investigator the death is likely to have been due to anaesthesia, to carry out the investigation and present to the Chairperson of the Anaesthetic Mortality Committee appointed under that Part, within a time specified in the notice, a full report of the investigation made by the investigator; or</w:t>
      </w:r>
    </w:p>
    <w:p>
      <w:pPr>
        <w:pStyle w:val="Indenti"/>
      </w:pPr>
      <w:r>
        <w:lastRenderedPageBreak/>
        <w:tab/>
        <w:t>(ii)</w:t>
      </w:r>
      <w:r>
        <w:tab/>
        <w:t>if in the opinion of the investigator the death was not likely to have been due to anaesthesia, to report the investigator’s finding to the Chief Health Officer.</w:t>
      </w:r>
    </w:p>
    <w:p>
      <w:pPr>
        <w:pStyle w:val="Subsection"/>
        <w:spacing w:before="120"/>
        <w:rPr>
          <w:snapToGrid w:val="0"/>
        </w:rPr>
      </w:pPr>
      <w:r>
        <w:rPr>
          <w:snapToGrid w:val="0"/>
        </w:rPr>
        <w:tab/>
        <w:t>(4)</w:t>
      </w:r>
      <w:r>
        <w:rPr>
          <w:snapToGrid w:val="0"/>
        </w:rPr>
        <w:tab/>
        <w:t xml:space="preserve">Where the circumstances are such that an investigation is being or will be undertaken by the Maternal Mortality Committee in accordance with Part XIIIA then notwithstanding the provisions of subsection (3) the </w:t>
      </w:r>
      <w:r>
        <w:t>Chief Health Officer</w:t>
      </w:r>
      <w:r>
        <w:rPr>
          <w:snapToGrid w:val="0"/>
        </w:rPr>
        <w:t xml:space="preserve"> shall not be required to direct an investigation pursuant to this section.</w:t>
      </w:r>
    </w:p>
    <w:p>
      <w:pPr>
        <w:pStyle w:val="Subsection"/>
        <w:spacing w:before="120"/>
        <w:rPr>
          <w:snapToGrid w:val="0"/>
        </w:rPr>
      </w:pPr>
      <w:r>
        <w:rPr>
          <w:snapToGrid w:val="0"/>
        </w:rPr>
        <w:tab/>
        <w:t>(5)</w:t>
      </w:r>
      <w:r>
        <w:rPr>
          <w:snapToGrid w:val="0"/>
        </w:rPr>
        <w:tab/>
        <w:t xml:space="preserve">The report of the investigator presented to the </w:t>
      </w:r>
      <w:r>
        <w:t xml:space="preserve">Chairperson </w:t>
      </w:r>
      <w:r>
        <w:rPr>
          <w:snapToGrid w:val="0"/>
        </w:rPr>
        <w:t>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Anaesthetic Mortality Committee, or by the </w:t>
      </w:r>
      <w:r>
        <w:t xml:space="preserve">Chairperson </w:t>
      </w:r>
      <w:r>
        <w:rPr>
          <w:snapToGrid w:val="0"/>
        </w:rPr>
        <w:t>or any other member of the Committee, except for the purposes and in accordance with the provisions of Part XIIIC.</w:t>
      </w:r>
    </w:p>
    <w:p>
      <w:pPr>
        <w:pStyle w:val="Subsection"/>
        <w:spacing w:before="12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spacing w:before="120"/>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spacing w:before="120"/>
        <w:rPr>
          <w:snapToGrid w:val="0"/>
        </w:rPr>
      </w:pPr>
      <w:r>
        <w:rPr>
          <w:snapToGrid w:val="0"/>
        </w:rPr>
        <w:lastRenderedPageBreak/>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spacing w:before="120"/>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336B inserted: No. 47 of 1978 s. 35; amended: No. 28 of 1984 s. 45; No. 80 of 1987 s. 154; No. 2 of 1996 s. 61; No. 19 of 2016 s. 39 and 100.]</w:t>
      </w:r>
    </w:p>
    <w:p>
      <w:pPr>
        <w:pStyle w:val="Heading5"/>
        <w:keepNext w:val="0"/>
        <w:keepLines w:val="0"/>
        <w:spacing w:before="180"/>
        <w:rPr>
          <w:snapToGrid w:val="0"/>
        </w:rPr>
      </w:pPr>
      <w:bookmarkStart w:id="294" w:name="_Toc98768003"/>
      <w:r>
        <w:rPr>
          <w:rStyle w:val="CharSectno"/>
        </w:rPr>
        <w:t>337</w:t>
      </w:r>
      <w:r>
        <w:rPr>
          <w:snapToGrid w:val="0"/>
        </w:rPr>
        <w:t>.</w:t>
      </w:r>
      <w:r>
        <w:rPr>
          <w:snapToGrid w:val="0"/>
        </w:rPr>
        <w:tab/>
        <w:t>Examination of school children</w:t>
      </w:r>
      <w:bookmarkEnd w:id="294"/>
    </w:p>
    <w:p>
      <w:pPr>
        <w:pStyle w:val="Subsection"/>
        <w:spacing w:before="120"/>
        <w:rPr>
          <w:snapToGrid w:val="0"/>
        </w:rPr>
      </w:pPr>
      <w:r>
        <w:rPr>
          <w:snapToGrid w:val="0"/>
        </w:rPr>
        <w:tab/>
        <w:t>(1)</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may examine medically and physically any child attending any school or child care centre, and such child shall submit to, and the parents or guardians of such child shall permit such examination as the </w:t>
      </w:r>
      <w:r>
        <w:t>medical practitioner</w:t>
      </w:r>
      <w:r>
        <w:rPr>
          <w:snapToGrid w:val="0"/>
        </w:rPr>
        <w:t xml:space="preserve"> or nurse deems necessary.</w:t>
      </w:r>
    </w:p>
    <w:p>
      <w:pPr>
        <w:pStyle w:val="Subsection"/>
        <w:spacing w:before="180"/>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Subsection"/>
        <w:spacing w:before="180"/>
        <w:rPr>
          <w:snapToGrid w:val="0"/>
        </w:rPr>
      </w:pPr>
      <w:r>
        <w:rPr>
          <w:snapToGrid w:val="0"/>
        </w:rPr>
        <w:tab/>
        <w:t>(2)</w:t>
      </w:r>
      <w:r>
        <w:rPr>
          <w:snapToGrid w:val="0"/>
        </w:rPr>
        <w:tab/>
        <w:t xml:space="preserve">Any school dental therapist employed in a school dental service, or any dentist authorised to do so by the </w:t>
      </w:r>
      <w:r>
        <w:t xml:space="preserve">Chief Health Officer, </w:t>
      </w:r>
      <w:r>
        <w:rPr>
          <w:snapToGrid w:val="0"/>
        </w:rPr>
        <w:t>may examine the teeth of any such child, and the child shall submit to, and the parents or guardians of such child shall permit, the examination.</w:t>
      </w:r>
    </w:p>
    <w:p>
      <w:pPr>
        <w:pStyle w:val="Subsection"/>
        <w:spacing w:before="180"/>
        <w:rPr>
          <w:snapToGrid w:val="0"/>
        </w:rPr>
      </w:pPr>
      <w:r>
        <w:rPr>
          <w:snapToGrid w:val="0"/>
        </w:rPr>
        <w:lastRenderedPageBreak/>
        <w:tab/>
        <w:t>(3)</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who finds that any such child is in an unclean or verminous condition may, by writing under the hand of such </w:t>
      </w:r>
      <w:r>
        <w:t>medical practitioner</w:t>
      </w:r>
      <w:r>
        <w:rPr>
          <w:snapToGrid w:val="0"/>
        </w:rPr>
        <w:t xml:space="preserve"> or nurse, notify any parent or guardian of the child of the fact, and require such parent or guardian to remedy such condition forthwith, and to keep such child clean or free from vermin.</w:t>
      </w:r>
    </w:p>
    <w:p>
      <w:pPr>
        <w:pStyle w:val="Subsection"/>
        <w:spacing w:before="180"/>
        <w:rPr>
          <w:snapToGrid w:val="0"/>
        </w:rPr>
      </w:pPr>
      <w:r>
        <w:rPr>
          <w:snapToGrid w:val="0"/>
        </w:rPr>
        <w:tab/>
        <w:t>(4)</w:t>
      </w:r>
      <w:r>
        <w:rPr>
          <w:snapToGrid w:val="0"/>
        </w:rPr>
        <w:tab/>
        <w:t xml:space="preserve">In addition to making the requisition mentioned in subsection (3), the </w:t>
      </w:r>
      <w:r>
        <w:t>medical practitioner</w:t>
      </w:r>
      <w:r>
        <w:rPr>
          <w:snapToGrid w:val="0"/>
        </w:rPr>
        <w:t xml:space="preserve"> or nurse may, by writing under the hand of the </w:t>
      </w:r>
      <w:r>
        <w:t>medical practitioner</w:t>
      </w:r>
      <w:r>
        <w:rPr>
          <w:snapToGrid w:val="0"/>
        </w:rPr>
        <w:t xml:space="preserve"> or nurse, require the parent or guardian to keep the child</w:t>
      </w:r>
      <w:r>
        <w:rPr>
          <w:snapToGrid w:val="0"/>
          <w:sz w:val="22"/>
        </w:rPr>
        <w:t>’</w:t>
      </w:r>
      <w:r>
        <w:rPr>
          <w:snapToGrid w:val="0"/>
        </w:rPr>
        <w:t xml:space="preserve">s hair cut short to the satisfaction of the </w:t>
      </w:r>
      <w:r>
        <w:t>medical practitioner or nurse</w:t>
      </w:r>
      <w:r>
        <w:rPr>
          <w:snapToGrid w:val="0"/>
        </w:rPr>
        <w:t>.</w:t>
      </w:r>
    </w:p>
    <w:p>
      <w:pPr>
        <w:pStyle w:val="Subsection"/>
        <w:spacing w:before="180"/>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spacing w:before="180"/>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formerly section 264, amended: No. 17 of 1918 s 49; No. 5 of 1922 s. 8; No. 30 of 1932 s. 4; renumbered as section 337: No. 38 of 1933 s. 42; amended: No. 113 of 1965 s. 8(1); No. 102 of 1973 s. 26; No. 30 of 1982 s. 12; No. 28 of 1984 s. 45; No. 80 of 1987 s. 155; No. 14 of 1996 s. 4; No. 64 of 1996 s. 18; No. 35 of 2010 s. 73; No. 11 of 2012 s. 35; No. 19 of 2016 s. 99 and 100.]</w:t>
      </w:r>
    </w:p>
    <w:p>
      <w:pPr>
        <w:pStyle w:val="Heading5"/>
        <w:rPr>
          <w:snapToGrid w:val="0"/>
        </w:rPr>
      </w:pPr>
      <w:bookmarkStart w:id="295" w:name="_Toc98768004"/>
      <w:r>
        <w:rPr>
          <w:rStyle w:val="CharSectno"/>
        </w:rPr>
        <w:t>337A</w:t>
      </w:r>
      <w:r>
        <w:rPr>
          <w:snapToGrid w:val="0"/>
        </w:rPr>
        <w:t xml:space="preserve">. </w:t>
      </w:r>
      <w:r>
        <w:rPr>
          <w:snapToGrid w:val="0"/>
        </w:rPr>
        <w:tab/>
        <w:t>Schools dental service</w:t>
      </w:r>
      <w:bookmarkEnd w:id="295"/>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lastRenderedPageBreak/>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Footnotesection"/>
        <w:spacing w:before="80"/>
        <w:ind w:left="890" w:hanging="890"/>
      </w:pPr>
      <w:r>
        <w:tab/>
        <w:t>[Section 337A inserted: No. 102 of 1973 s. 27; amended: No. 30 of 1982 s. 13; No. 32 of 1994 s. 3(2); No. 64 of 1996 s. 18; No. 10 of 1998 s. 39(4); No. 28 of 2006 s. 251; No. 35 of 2010 s. 74.]</w:t>
      </w:r>
    </w:p>
    <w:p>
      <w:pPr>
        <w:pStyle w:val="Ednotesection"/>
        <w:spacing w:before="180"/>
        <w:ind w:left="890" w:hanging="890"/>
        <w:outlineLvl w:val="9"/>
      </w:pPr>
      <w:r>
        <w:t>[</w:t>
      </w:r>
      <w:r>
        <w:rPr>
          <w:b/>
        </w:rPr>
        <w:t>338.</w:t>
      </w:r>
      <w:r>
        <w:tab/>
        <w:t>Deleted: No. 19 of 2016 s. 40.]</w:t>
      </w:r>
    </w:p>
    <w:p>
      <w:pPr>
        <w:pStyle w:val="Ednotesection"/>
        <w:outlineLvl w:val="9"/>
      </w:pPr>
      <w:r>
        <w:t>[</w:t>
      </w:r>
      <w:r>
        <w:rPr>
          <w:b/>
        </w:rPr>
        <w:t>338A.</w:t>
      </w:r>
      <w:r>
        <w:tab/>
        <w:t>Deleted: No. 116 of 1982 s. 36.]</w:t>
      </w:r>
    </w:p>
    <w:p>
      <w:pPr>
        <w:pStyle w:val="Ednotesection"/>
        <w:spacing w:before="180"/>
        <w:ind w:left="890" w:hanging="890"/>
        <w:outlineLvl w:val="9"/>
      </w:pPr>
      <w:r>
        <w:t>[</w:t>
      </w:r>
      <w:r>
        <w:rPr>
          <w:b/>
        </w:rPr>
        <w:t>338B-338C.</w:t>
      </w:r>
      <w:r>
        <w:tab/>
        <w:t>Deleted: No. 19 of 2016 s. 40.]</w:t>
      </w:r>
    </w:p>
    <w:p>
      <w:pPr>
        <w:pStyle w:val="Ednotesection"/>
        <w:outlineLvl w:val="9"/>
      </w:pPr>
      <w:r>
        <w:t>[</w:t>
      </w:r>
      <w:r>
        <w:rPr>
          <w:b/>
        </w:rPr>
        <w:t>339.</w:t>
      </w:r>
      <w:r>
        <w:tab/>
        <w:t>Deleted: No. 102 of 1973 s. 29.]</w:t>
      </w:r>
    </w:p>
    <w:p>
      <w:pPr>
        <w:pStyle w:val="Ednotesection"/>
        <w:spacing w:before="180"/>
        <w:outlineLvl w:val="9"/>
      </w:pPr>
      <w:r>
        <w:t>[</w:t>
      </w:r>
      <w:r>
        <w:rPr>
          <w:b/>
        </w:rPr>
        <w:t>340.</w:t>
      </w:r>
      <w:r>
        <w:rPr>
          <w:b/>
        </w:rPr>
        <w:tab/>
      </w:r>
      <w:r>
        <w:t>Deleted: No. 19 of 2016 s. 247.]</w:t>
      </w:r>
    </w:p>
    <w:p>
      <w:pPr>
        <w:pStyle w:val="Heading2"/>
      </w:pPr>
      <w:bookmarkStart w:id="296" w:name="_Toc98504276"/>
      <w:bookmarkStart w:id="297" w:name="_Toc98504607"/>
      <w:bookmarkStart w:id="298" w:name="_Toc98768005"/>
      <w:r>
        <w:rPr>
          <w:rStyle w:val="CharPartNo"/>
        </w:rPr>
        <w:lastRenderedPageBreak/>
        <w:t>Part XIIIA</w:t>
      </w:r>
      <w:r>
        <w:rPr>
          <w:rStyle w:val="CharDivNo"/>
        </w:rPr>
        <w:t> </w:t>
      </w:r>
      <w:r>
        <w:t>—</w:t>
      </w:r>
      <w:r>
        <w:rPr>
          <w:rStyle w:val="CharDivText"/>
        </w:rPr>
        <w:t> </w:t>
      </w:r>
      <w:r>
        <w:rPr>
          <w:rStyle w:val="CharPartText"/>
        </w:rPr>
        <w:t>Maternal Mortality Committee</w:t>
      </w:r>
      <w:bookmarkEnd w:id="296"/>
      <w:bookmarkEnd w:id="297"/>
      <w:bookmarkEnd w:id="298"/>
    </w:p>
    <w:p>
      <w:pPr>
        <w:pStyle w:val="Footnoteheading"/>
        <w:ind w:left="890" w:hanging="890"/>
        <w:rPr>
          <w:snapToGrid w:val="0"/>
        </w:rPr>
      </w:pPr>
      <w:r>
        <w:rPr>
          <w:snapToGrid w:val="0"/>
        </w:rPr>
        <w:tab/>
        <w:t>[Heading inserted: No. 23 of 1960 s. 4.]</w:t>
      </w:r>
    </w:p>
    <w:p>
      <w:pPr>
        <w:pStyle w:val="Heading5"/>
        <w:spacing w:before="180"/>
        <w:rPr>
          <w:snapToGrid w:val="0"/>
        </w:rPr>
      </w:pPr>
      <w:bookmarkStart w:id="299" w:name="_Toc98768006"/>
      <w:r>
        <w:rPr>
          <w:rStyle w:val="CharSectno"/>
        </w:rPr>
        <w:t>340A</w:t>
      </w:r>
      <w:r>
        <w:rPr>
          <w:snapToGrid w:val="0"/>
        </w:rPr>
        <w:t>.</w:t>
      </w:r>
      <w:r>
        <w:rPr>
          <w:snapToGrid w:val="0"/>
        </w:rPr>
        <w:tab/>
        <w:t>Terms used</w:t>
      </w:r>
      <w:bookmarkEnd w:id="299"/>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 inserted: No. 23 of 1960 s. 4; amended: No. 94 of 1972 s. 4(1) (as amended: No. 83 of 1973 s. 4); No. 19 of 2016 s. 41.]</w:t>
      </w:r>
    </w:p>
    <w:p>
      <w:pPr>
        <w:pStyle w:val="Heading5"/>
        <w:spacing w:before="180"/>
        <w:rPr>
          <w:snapToGrid w:val="0"/>
        </w:rPr>
      </w:pPr>
      <w:bookmarkStart w:id="300" w:name="_Toc98768007"/>
      <w:r>
        <w:rPr>
          <w:rStyle w:val="CharSectno"/>
        </w:rPr>
        <w:t>340B</w:t>
      </w:r>
      <w:r>
        <w:rPr>
          <w:snapToGrid w:val="0"/>
        </w:rPr>
        <w:t>.</w:t>
      </w:r>
      <w:r>
        <w:rPr>
          <w:snapToGrid w:val="0"/>
        </w:rPr>
        <w:tab/>
        <w:t>Constitution and offices of Committee</w:t>
      </w:r>
      <w:bookmarkEnd w:id="300"/>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pPr>
      <w:r>
        <w:tab/>
        <w:t>(2)</w:t>
      </w:r>
      <w:r>
        <w:tab/>
        <w:t xml:space="preserve">The Committee is to consist of 9 members appointed by the Minister, made up as follows — </w:t>
      </w:r>
    </w:p>
    <w:p>
      <w:pPr>
        <w:pStyle w:val="Indenta"/>
      </w:pPr>
      <w:r>
        <w:tab/>
        <w:t>(a)</w:t>
      </w:r>
      <w:r>
        <w:tab/>
        <w:t>one is to be the Professor of Obstetrics at the University of Western Australia, who is to be Chairperson of the Committee;</w:t>
      </w:r>
    </w:p>
    <w:p>
      <w:pPr>
        <w:pStyle w:val="Indenta"/>
      </w:pPr>
      <w:r>
        <w:tab/>
        <w:t>(b)</w:t>
      </w:r>
      <w:r>
        <w:tab/>
        <w:t>one is to be a medical practitioner specialising in obstetrics, nominated by the Royal Australian and New Zealand College of Obstetricians and Gynaecologists (W.A. Branch);</w:t>
      </w:r>
    </w:p>
    <w:p>
      <w:pPr>
        <w:pStyle w:val="Indenta"/>
      </w:pPr>
      <w:r>
        <w:tab/>
        <w:t>(c)</w:t>
      </w:r>
      <w:r>
        <w:tab/>
        <w:t xml:space="preserve">5 are to be medical practitioners, of whom — </w:t>
      </w:r>
    </w:p>
    <w:p>
      <w:pPr>
        <w:pStyle w:val="Indenti"/>
      </w:pPr>
      <w:r>
        <w:tab/>
        <w:t>(i)</w:t>
      </w:r>
      <w:r>
        <w:tab/>
        <w:t xml:space="preserve">2 are to be general medical practitioners practising in the metropolitan area, nominated by </w:t>
      </w:r>
      <w:r>
        <w:lastRenderedPageBreak/>
        <w:t>the Australian Medical Association (WA) Incorporated; and</w:t>
      </w:r>
    </w:p>
    <w:p>
      <w:pPr>
        <w:pStyle w:val="Indenti"/>
      </w:pPr>
      <w:r>
        <w:tab/>
        <w:t>(ii)</w:t>
      </w:r>
      <w:r>
        <w:tab/>
        <w:t>2 are to be general medical practitioners having not less than 5 years’ practice outside the metropolitan area, nominated by the Australian Medical Association (WA) Incorporated; and</w:t>
      </w:r>
    </w:p>
    <w:p>
      <w:pPr>
        <w:pStyle w:val="Indenti"/>
      </w:pPr>
      <w:r>
        <w:tab/>
        <w:t>(iii)</w:t>
      </w:r>
      <w:r>
        <w:tab/>
        <w:t>one is to be nominated by the Chief Health Officer;</w:t>
      </w:r>
    </w:p>
    <w:p>
      <w:pPr>
        <w:pStyle w:val="Indenta"/>
      </w:pPr>
      <w:r>
        <w:tab/>
        <w:t>(d)</w:t>
      </w:r>
      <w:r>
        <w:tab/>
        <w:t>2 are to be midwives, nominated by the Chief Health Officer.</w:t>
      </w:r>
    </w:p>
    <w:p>
      <w:pPr>
        <w:pStyle w:val="Footnotesection"/>
      </w:pPr>
      <w:r>
        <w:tab/>
        <w:t>[Section 340B inserted: No. 23 of 1960 s. 4; amended: No. 63 of 1981 s. 4; No. 30 of 1982 s. 14; No. 27 of 1992 s. 84; No. 10 of 1998 s. 39(5); No. 24 of 2000 s. 16(3); No. 28 of 2006 s. 251; No. 8 of 2009 s. 71(4); No. 19 of 2016 s. 42.]</w:t>
      </w:r>
    </w:p>
    <w:p>
      <w:pPr>
        <w:pStyle w:val="Heading5"/>
        <w:rPr>
          <w:snapToGrid w:val="0"/>
        </w:rPr>
      </w:pPr>
      <w:bookmarkStart w:id="301" w:name="_Toc98768008"/>
      <w:r>
        <w:rPr>
          <w:rStyle w:val="CharSectno"/>
        </w:rPr>
        <w:t>340C</w:t>
      </w:r>
      <w:r>
        <w:rPr>
          <w:snapToGrid w:val="0"/>
        </w:rPr>
        <w:t xml:space="preserve">. </w:t>
      </w:r>
      <w:r>
        <w:rPr>
          <w:snapToGrid w:val="0"/>
        </w:rPr>
        <w:tab/>
        <w:t>Appointment of deputies</w:t>
      </w:r>
      <w:bookmarkEnd w:id="301"/>
    </w:p>
    <w:p>
      <w:pPr>
        <w:pStyle w:val="Subsection"/>
        <w:spacing w:before="14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40"/>
        <w:rPr>
          <w:snapToGrid w:val="0"/>
        </w:rPr>
      </w:pPr>
      <w:r>
        <w:rPr>
          <w:snapToGrid w:val="0"/>
        </w:rPr>
        <w:tab/>
        <w:t>(2)</w:t>
      </w:r>
      <w:r>
        <w:rPr>
          <w:snapToGrid w:val="0"/>
        </w:rPr>
        <w:tab/>
        <w:t xml:space="preserve">A person is not eligible for appointment as a deputy of a member of the Committee (other than as the deputy of the </w:t>
      </w:r>
      <w:r>
        <w:t xml:space="preserve">Chairperson) </w:t>
      </w:r>
      <w:r>
        <w:rPr>
          <w:snapToGrid w:val="0"/>
        </w:rPr>
        <w:t>unless he</w:t>
      </w:r>
      <w:r>
        <w:t xml:space="preserve"> or she</w:t>
      </w:r>
      <w:r>
        <w:rPr>
          <w:snapToGrid w:val="0"/>
        </w:rPr>
        <w:t xml:space="preserve"> is nominated as deputy by the body by which the member is required under section 340B to be nominated or unless he</w:t>
      </w:r>
      <w:r>
        <w:t xml:space="preserve"> or she</w:t>
      </w:r>
      <w:r>
        <w:rPr>
          <w:snapToGrid w:val="0"/>
        </w:rPr>
        <w:t xml:space="preserve"> is appointed by the Minister under the provisions of section 340D(3).</w:t>
      </w:r>
    </w:p>
    <w:p>
      <w:pPr>
        <w:pStyle w:val="Footnotesection"/>
      </w:pPr>
      <w:r>
        <w:tab/>
        <w:t>[Section 340C inserted: No. 23 of 1960 s. 4; amended: No. 19 of 2016 s. 43.]</w:t>
      </w:r>
    </w:p>
    <w:p>
      <w:pPr>
        <w:pStyle w:val="Heading5"/>
        <w:keepLines w:val="0"/>
        <w:spacing w:before="180"/>
        <w:rPr>
          <w:snapToGrid w:val="0"/>
        </w:rPr>
      </w:pPr>
      <w:bookmarkStart w:id="302" w:name="_Toc98768009"/>
      <w:r>
        <w:rPr>
          <w:rStyle w:val="CharSectno"/>
        </w:rPr>
        <w:t>340D</w:t>
      </w:r>
      <w:r>
        <w:rPr>
          <w:snapToGrid w:val="0"/>
        </w:rPr>
        <w:t xml:space="preserve">. </w:t>
      </w:r>
      <w:r>
        <w:rPr>
          <w:snapToGrid w:val="0"/>
        </w:rPr>
        <w:tab/>
        <w:t>Nominations to be made to Minister</w:t>
      </w:r>
      <w:bookmarkEnd w:id="302"/>
    </w:p>
    <w:p>
      <w:pPr>
        <w:pStyle w:val="Subsection"/>
      </w:pPr>
      <w:r>
        <w:tab/>
        <w:t>(1)</w:t>
      </w:r>
      <w:r>
        <w:tab/>
        <w:t xml:space="preserve">The bodies mentioned in section 340B(2)(b) and (c)(i) and (ii) must nominate to the Minister, when the Minister so requests, or </w:t>
      </w:r>
      <w:r>
        <w:lastRenderedPageBreak/>
        <w:t>when a vacancy occurs in accordance with section 340F,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340B(2)(b) or (c)(i) or (ii) </w:t>
      </w:r>
      <w:r>
        <w:rPr>
          <w:snapToGrid w:val="0"/>
        </w:rPr>
        <w:t xml:space="preserve">to nominate, within a specified period, for appointment as a member of the Committee, or as a deputy member, any number of persons not exceeding 3, and may appoint such one, or as the case may be, more of them as </w:t>
      </w:r>
      <w:r>
        <w:t>the Minister</w:t>
      </w:r>
      <w:r>
        <w:rPr>
          <w:snapToGrid w:val="0"/>
        </w:rPr>
        <w:t xml:space="preserve"> thinks fit.</w:t>
      </w:r>
    </w:p>
    <w:p>
      <w:pPr>
        <w:pStyle w:val="Subsection"/>
        <w:rPr>
          <w:snapToGrid w:val="0"/>
        </w:rPr>
      </w:pPr>
      <w:r>
        <w:rPr>
          <w:snapToGrid w:val="0"/>
        </w:rPr>
        <w:tab/>
        <w:t>(3)</w:t>
      </w:r>
      <w:r>
        <w:rPr>
          <w:snapToGrid w:val="0"/>
        </w:rPr>
        <w:tab/>
        <w:t xml:space="preserve">If no nomination is made within the period specified by the Minister, </w:t>
      </w:r>
      <w:r>
        <w:t>the Minister</w:t>
      </w:r>
      <w:r>
        <w:rPr>
          <w:snapToGrid w:val="0"/>
        </w:rPr>
        <w:t xml:space="preserve"> may appoint such person or persons as </w:t>
      </w:r>
      <w:r>
        <w:t>the Minister</w:t>
      </w:r>
      <w:r>
        <w:rPr>
          <w:snapToGrid w:val="0"/>
        </w:rPr>
        <w:t xml:space="preserve"> thinks fit to fill the office or offices or deputy, as the case may be.</w:t>
      </w:r>
    </w:p>
    <w:p>
      <w:pPr>
        <w:pStyle w:val="Footnotesection"/>
      </w:pPr>
      <w:r>
        <w:tab/>
        <w:t>[Section 340D inserted: No. 23 of 1960 s. 4; amended: No. 19 of 2016 s. 44.]</w:t>
      </w:r>
    </w:p>
    <w:p>
      <w:pPr>
        <w:pStyle w:val="Heading5"/>
        <w:rPr>
          <w:snapToGrid w:val="0"/>
        </w:rPr>
      </w:pPr>
      <w:bookmarkStart w:id="303" w:name="_Toc98768010"/>
      <w:r>
        <w:rPr>
          <w:rStyle w:val="CharSectno"/>
        </w:rPr>
        <w:t>340E</w:t>
      </w:r>
      <w:r>
        <w:rPr>
          <w:snapToGrid w:val="0"/>
        </w:rPr>
        <w:t xml:space="preserve">. </w:t>
      </w:r>
      <w:r>
        <w:rPr>
          <w:snapToGrid w:val="0"/>
        </w:rPr>
        <w:tab/>
        <w:t>Tenure of office</w:t>
      </w:r>
      <w:bookmarkEnd w:id="303"/>
    </w:p>
    <w:p>
      <w:pPr>
        <w:pStyle w:val="Subsection"/>
        <w:rPr>
          <w:snapToGrid w:val="0"/>
        </w:rPr>
      </w:pPr>
      <w:r>
        <w:rPr>
          <w:snapToGrid w:val="0"/>
        </w:rPr>
        <w:tab/>
        <w:t>(1)</w:t>
      </w:r>
      <w:r>
        <w:rPr>
          <w:snapToGrid w:val="0"/>
        </w:rPr>
        <w:tab/>
        <w:t xml:space="preserve">The term of tenure of office of a person appointed as a member of the Committee (other than the </w:t>
      </w:r>
      <w:r>
        <w:t>Chairperson</w:t>
      </w:r>
      <w:r>
        <w:rPr>
          <w:snapToGrid w:val="0"/>
        </w:rPr>
        <w:t xml:space="preserve">)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term of tenure of office of the member referred to in section 340B(2)(a) continues until terminated by the Minister.</w:t>
      </w:r>
    </w:p>
    <w:p>
      <w:pPr>
        <w:pStyle w:val="Footnotesection"/>
      </w:pPr>
      <w:r>
        <w:tab/>
        <w:t>[Section 340E inserted: No. 23 of 1960 s. 4; amended: No. 19 of 2016 s. 45.]</w:t>
      </w:r>
    </w:p>
    <w:p>
      <w:pPr>
        <w:pStyle w:val="Heading5"/>
      </w:pPr>
      <w:bookmarkStart w:id="304" w:name="_Toc98768011"/>
      <w:r>
        <w:rPr>
          <w:rStyle w:val="CharSectno"/>
        </w:rPr>
        <w:t>340F</w:t>
      </w:r>
      <w:r>
        <w:t>.</w:t>
      </w:r>
      <w:r>
        <w:tab/>
        <w:t>When office of member becomes vacant</w:t>
      </w:r>
      <w:bookmarkEnd w:id="304"/>
    </w:p>
    <w:p>
      <w:pPr>
        <w:pStyle w:val="Subsection"/>
      </w:pPr>
      <w:r>
        <w:tab/>
        <w:t>(1)</w:t>
      </w:r>
      <w:r>
        <w:tab/>
        <w:t xml:space="preserve">The office of a member of the Committee becomes vacant if — </w:t>
      </w:r>
    </w:p>
    <w:p>
      <w:pPr>
        <w:pStyle w:val="Indenta"/>
      </w:pPr>
      <w:r>
        <w:tab/>
        <w:t>(a)</w:t>
      </w:r>
      <w:r>
        <w:tab/>
        <w:t>he or she dies; or</w:t>
      </w:r>
    </w:p>
    <w:p>
      <w:pPr>
        <w:pStyle w:val="Indenta"/>
      </w:pPr>
      <w:r>
        <w:lastRenderedPageBreak/>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340B(2)(a),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 xml:space="preserve">Even though the term for which a member was appointed has expired, the member continues in office until he or she is </w:t>
      </w:r>
      <w:r>
        <w:lastRenderedPageBreak/>
        <w:t>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340F inserted: No. 19 of 2016 s. 46.]</w:t>
      </w:r>
    </w:p>
    <w:p>
      <w:pPr>
        <w:pStyle w:val="Heading5"/>
        <w:rPr>
          <w:snapToGrid w:val="0"/>
        </w:rPr>
      </w:pPr>
      <w:bookmarkStart w:id="305" w:name="_Toc98768012"/>
      <w:r>
        <w:rPr>
          <w:rStyle w:val="CharSectno"/>
        </w:rPr>
        <w:t>340G</w:t>
      </w:r>
      <w:r>
        <w:rPr>
          <w:snapToGrid w:val="0"/>
        </w:rPr>
        <w:t xml:space="preserve">. </w:t>
      </w:r>
      <w:r>
        <w:rPr>
          <w:snapToGrid w:val="0"/>
        </w:rPr>
        <w:tab/>
        <w:t>Vacancies in offices of members to be filled</w:t>
      </w:r>
      <w:bookmarkEnd w:id="305"/>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340B(2), a specified body has the right to nominate that member, the Minister is not to appoint a person unless he or she is nominated by the appropriate body mentioned in that section, or unless section 340D(3) applies to the office.</w:t>
      </w:r>
    </w:p>
    <w:p>
      <w:pPr>
        <w:pStyle w:val="Subsection"/>
        <w:rPr>
          <w:snapToGrid w:val="0"/>
        </w:rPr>
      </w:pPr>
      <w:r>
        <w:rPr>
          <w:snapToGrid w:val="0"/>
        </w:rPr>
        <w:tab/>
        <w:t>(3)</w:t>
      </w:r>
      <w:r>
        <w:rPr>
          <w:snapToGrid w:val="0"/>
        </w:rPr>
        <w:tab/>
        <w:t>A person is not rendered ineligible for appointment to office of member or deputy because he</w:t>
      </w:r>
      <w:r>
        <w:t xml:space="preserve"> or she</w:t>
      </w:r>
      <w:r>
        <w:rPr>
          <w:snapToGrid w:val="0"/>
        </w:rPr>
        <w:t xml:space="preserve"> has previously occupied office as such.</w:t>
      </w:r>
    </w:p>
    <w:p>
      <w:pPr>
        <w:pStyle w:val="Footnotesection"/>
      </w:pPr>
      <w:r>
        <w:tab/>
        <w:t>[Section 340G inserted: No. 23 of 1960 s. 4; amended: No. 19 of 2016 s. 47.]</w:t>
      </w:r>
    </w:p>
    <w:p>
      <w:pPr>
        <w:pStyle w:val="Heading5"/>
      </w:pPr>
      <w:bookmarkStart w:id="306" w:name="_Toc98768013"/>
      <w:r>
        <w:rPr>
          <w:rStyle w:val="CharSectno"/>
        </w:rPr>
        <w:t>340H</w:t>
      </w:r>
      <w:r>
        <w:t>.</w:t>
      </w:r>
      <w:r>
        <w:tab/>
        <w:t>Meetings and procedure of Committee</w:t>
      </w:r>
      <w:bookmarkEnd w:id="306"/>
    </w:p>
    <w:p>
      <w:pPr>
        <w:pStyle w:val="Subsection"/>
      </w:pPr>
      <w:r>
        <w:tab/>
        <w:t>(1)</w:t>
      </w:r>
      <w:r>
        <w:tab/>
        <w:t>The Committee is to hold the meetings that are necessary for the performance of its functions.</w:t>
      </w:r>
    </w:p>
    <w:p>
      <w:pPr>
        <w:pStyle w:val="Subsection"/>
      </w:pPr>
      <w:r>
        <w:tab/>
        <w:t>(2)</w:t>
      </w:r>
      <w:r>
        <w:tab/>
        <w:t>At any meeting of the Committee, 5 members of the Committee or their respective deputies, including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keepNext/>
      </w:pPr>
      <w:r>
        <w:lastRenderedPageBreak/>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spacing w:before="120"/>
      </w:pPr>
      <w:r>
        <w:tab/>
        <w:t>(4)</w:t>
      </w:r>
      <w:r>
        <w:tab/>
        <w:t>Subject to this section, the Committee may regulate its own procedure in whatever manner it thinks fit.</w:t>
      </w:r>
    </w:p>
    <w:p>
      <w:pPr>
        <w:pStyle w:val="Subsection"/>
        <w:spacing w:before="120"/>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340H inserted: No. 19 of 2016 s. 48.]</w:t>
      </w:r>
    </w:p>
    <w:p>
      <w:pPr>
        <w:pStyle w:val="Heading5"/>
        <w:rPr>
          <w:snapToGrid w:val="0"/>
        </w:rPr>
      </w:pPr>
      <w:bookmarkStart w:id="307" w:name="_Toc98768014"/>
      <w:r>
        <w:rPr>
          <w:rStyle w:val="CharSectno"/>
        </w:rPr>
        <w:t>340I</w:t>
      </w:r>
      <w:r>
        <w:rPr>
          <w:snapToGrid w:val="0"/>
        </w:rPr>
        <w:t xml:space="preserve">. </w:t>
      </w:r>
      <w:r>
        <w:rPr>
          <w:snapToGrid w:val="0"/>
        </w:rPr>
        <w:tab/>
        <w:t>Reimbursement of expenses of members of Committee</w:t>
      </w:r>
      <w:bookmarkEnd w:id="307"/>
    </w:p>
    <w:p>
      <w:pPr>
        <w:pStyle w:val="Subsection"/>
        <w:rPr>
          <w:snapToGrid w:val="0"/>
        </w:rPr>
      </w:pPr>
      <w:r>
        <w:rPr>
          <w:snapToGrid w:val="0"/>
        </w:rPr>
        <w:tab/>
      </w:r>
      <w:r>
        <w:rPr>
          <w:snapToGrid w:val="0"/>
        </w:rPr>
        <w:tab/>
        <w:t xml:space="preserve">The </w:t>
      </w:r>
      <w:r>
        <w:t xml:space="preserve">Chairperson </w:t>
      </w:r>
      <w:r>
        <w:rPr>
          <w:snapToGrid w:val="0"/>
        </w:rPr>
        <w:t>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No. 23 of 1960 s. 4; amended: No. 19 of 2016 s. 49.]</w:t>
      </w:r>
    </w:p>
    <w:p>
      <w:pPr>
        <w:pStyle w:val="Heading5"/>
        <w:rPr>
          <w:snapToGrid w:val="0"/>
        </w:rPr>
      </w:pPr>
      <w:bookmarkStart w:id="308" w:name="_Toc98768015"/>
      <w:r>
        <w:rPr>
          <w:rStyle w:val="CharSectno"/>
        </w:rPr>
        <w:t>340J</w:t>
      </w:r>
      <w:r>
        <w:rPr>
          <w:snapToGrid w:val="0"/>
        </w:rPr>
        <w:t xml:space="preserve">. </w:t>
      </w:r>
      <w:r>
        <w:rPr>
          <w:snapToGrid w:val="0"/>
        </w:rPr>
        <w:tab/>
        <w:t>Appointment of investigator</w:t>
      </w:r>
      <w:bookmarkEnd w:id="308"/>
    </w:p>
    <w:p>
      <w:pPr>
        <w:pStyle w:val="Subsection"/>
        <w:spacing w:before="120"/>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spacing w:before="120"/>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spacing w:before="120"/>
        <w:rPr>
          <w:snapToGrid w:val="0"/>
        </w:rPr>
      </w:pPr>
      <w:r>
        <w:rPr>
          <w:snapToGrid w:val="0"/>
        </w:rPr>
        <w:lastRenderedPageBreak/>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No. 23 of 1960 s. 4.]</w:t>
      </w:r>
    </w:p>
    <w:p>
      <w:pPr>
        <w:pStyle w:val="Heading5"/>
      </w:pPr>
      <w:bookmarkStart w:id="309" w:name="_Toc98768016"/>
      <w:r>
        <w:rPr>
          <w:rStyle w:val="CharSectno"/>
        </w:rPr>
        <w:t>340K</w:t>
      </w:r>
      <w:r>
        <w:t>.</w:t>
      </w:r>
      <w:r>
        <w:tab/>
        <w:t>Functions of Committee</w:t>
      </w:r>
      <w:bookmarkEnd w:id="309"/>
    </w:p>
    <w:p>
      <w:pPr>
        <w:pStyle w:val="Subsection"/>
      </w:pPr>
      <w:r>
        <w:tab/>
        <w:t>(1)</w:t>
      </w:r>
      <w:r>
        <w:tab/>
        <w:t xml:space="preserve">Whenever an investigator presents to the Chairperson of the Committee a report under section 336,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woman,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nurses and midwives.</w:t>
      </w:r>
    </w:p>
    <w:p>
      <w:pPr>
        <w:pStyle w:val="Subsection"/>
        <w:keepNext/>
      </w:pPr>
      <w:r>
        <w:lastRenderedPageBreak/>
        <w:tab/>
        <w:t>(5)</w:t>
      </w:r>
      <w:r>
        <w:tab/>
        <w:t xml:space="preserve">The determination of the Committee, including the comments referred to in subsection (4) — </w:t>
      </w:r>
    </w:p>
    <w:p>
      <w:pPr>
        <w:pStyle w:val="Indenta"/>
        <w:keepNext/>
      </w:pPr>
      <w:r>
        <w:tab/>
        <w:t>(a)</w:t>
      </w:r>
      <w:r>
        <w:tab/>
        <w:t xml:space="preserve">must be notified in writing by the Chairperson to — </w:t>
      </w:r>
    </w:p>
    <w:p>
      <w:pPr>
        <w:pStyle w:val="Indenti"/>
      </w:pPr>
      <w:r>
        <w:tab/>
        <w:t>(i)</w:t>
      </w:r>
      <w:r>
        <w:tab/>
        <w:t>the medical practitioner (if any) who was attending the woman at the time of the occurrence of her death; and</w:t>
      </w:r>
    </w:p>
    <w:p>
      <w:pPr>
        <w:pStyle w:val="Indenti"/>
      </w:pPr>
      <w:r>
        <w:tab/>
        <w:t>(ii)</w:t>
      </w:r>
      <w:r>
        <w:tab/>
        <w:t>the nurse or midwife (if any) who was attending the woman at that time;</w:t>
      </w:r>
    </w:p>
    <w:p>
      <w:pPr>
        <w:pStyle w:val="Indenta"/>
      </w:pPr>
      <w:r>
        <w:tab/>
      </w:r>
      <w:r>
        <w:tab/>
        <w:t>and</w:t>
      </w:r>
    </w:p>
    <w:p>
      <w:pPr>
        <w:pStyle w:val="Indenta"/>
      </w:pPr>
      <w:r>
        <w:tab/>
        <w:t>(b)</w:t>
      </w:r>
      <w:r>
        <w:tab/>
        <w:t>may be notified in writing by the Chairperson to any other medical practitioner, nurse or midwife who attended the woman before the occurrence of her death if the Committee considers that that medical practitioner, nurse or midwife should be informed of that determination and those comments.</w:t>
      </w:r>
    </w:p>
    <w:p>
      <w:pPr>
        <w:pStyle w:val="Footnotesection"/>
      </w:pPr>
      <w:r>
        <w:tab/>
        <w:t>[Section 340K inserted: No. 19 of 2016 s. 50.]</w:t>
      </w:r>
    </w:p>
    <w:p>
      <w:pPr>
        <w:pStyle w:val="Heading5"/>
      </w:pPr>
      <w:bookmarkStart w:id="310" w:name="_Toc98768017"/>
      <w:r>
        <w:rPr>
          <w:rStyle w:val="CharSectno"/>
        </w:rPr>
        <w:t>340LA</w:t>
      </w:r>
      <w:r>
        <w:t>.</w:t>
      </w:r>
      <w:r>
        <w:tab/>
        <w:t>Further provisions relating to proceedings of Committee</w:t>
      </w:r>
      <w:bookmarkEnd w:id="310"/>
    </w:p>
    <w:p>
      <w:pPr>
        <w:pStyle w:val="Subsection"/>
      </w:pPr>
      <w:r>
        <w:tab/>
        <w:t>(1)</w:t>
      </w:r>
      <w:r>
        <w:tab/>
        <w:t>As soon as practicable after the Committee has made a determination under section 340K,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keepNext/>
      </w:pPr>
      <w:r>
        <w:lastRenderedPageBreak/>
        <w:tab/>
        <w:t>(4)</w:t>
      </w:r>
      <w:r>
        <w:tab/>
        <w:t>The Chairperson must forward to the Chief Health Officer a summary of the cases investigated by the investigator and considered by the Committee during each year.</w:t>
      </w:r>
    </w:p>
    <w:p>
      <w:pPr>
        <w:pStyle w:val="Footnotesection"/>
      </w:pPr>
      <w:r>
        <w:tab/>
        <w:t>[Section 340LA inserted: No. 19 of 2016 s. 50.]</w:t>
      </w:r>
    </w:p>
    <w:p>
      <w:pPr>
        <w:pStyle w:val="Heading5"/>
      </w:pPr>
      <w:bookmarkStart w:id="311" w:name="_Toc98768018"/>
      <w:r>
        <w:rPr>
          <w:rStyle w:val="CharSectno"/>
        </w:rPr>
        <w:t>340LB</w:t>
      </w:r>
      <w:r>
        <w:t>.</w:t>
      </w:r>
      <w:r>
        <w:tab/>
        <w:t>Contents of notification confidential</w:t>
      </w:r>
      <w:bookmarkEnd w:id="311"/>
    </w:p>
    <w:p>
      <w:pPr>
        <w:pStyle w:val="Subsection"/>
      </w:pPr>
      <w:r>
        <w:tab/>
        <w:t>(1)</w:t>
      </w:r>
      <w:r>
        <w:tab/>
        <w:t>The contents of a notification made under section 340K(5)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340K(5) to any person except for the purposes of, and in accordance with, this Part commits an offence.</w:t>
      </w:r>
    </w:p>
    <w:p>
      <w:pPr>
        <w:pStyle w:val="Footnotesection"/>
      </w:pPr>
      <w:r>
        <w:tab/>
        <w:t>[Section 340LB inserted: No. 19 of 2016 s. 50.]</w:t>
      </w:r>
    </w:p>
    <w:p>
      <w:pPr>
        <w:pStyle w:val="Heading5"/>
        <w:rPr>
          <w:snapToGrid w:val="0"/>
        </w:rPr>
      </w:pPr>
      <w:bookmarkStart w:id="312" w:name="_Toc98768019"/>
      <w:r>
        <w:rPr>
          <w:rStyle w:val="CharSectno"/>
        </w:rPr>
        <w:t>340L</w:t>
      </w:r>
      <w:r>
        <w:rPr>
          <w:snapToGrid w:val="0"/>
        </w:rPr>
        <w:t xml:space="preserve">. </w:t>
      </w:r>
      <w:r>
        <w:rPr>
          <w:snapToGrid w:val="0"/>
        </w:rPr>
        <w:tab/>
        <w:t>When report of investigator may be published</w:t>
      </w:r>
      <w:bookmarkEnd w:id="312"/>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No. 23 of 1960 s. 4; amended: No. 8 of 2009 s. 71(4); No. 19 of 2016 s. 51.]</w:t>
      </w:r>
    </w:p>
    <w:p>
      <w:pPr>
        <w:pStyle w:val="Heading5"/>
        <w:rPr>
          <w:snapToGrid w:val="0"/>
        </w:rPr>
      </w:pPr>
      <w:bookmarkStart w:id="313" w:name="_Toc98768020"/>
      <w:r>
        <w:rPr>
          <w:rStyle w:val="CharSectno"/>
        </w:rPr>
        <w:lastRenderedPageBreak/>
        <w:t>340M</w:t>
      </w:r>
      <w:r>
        <w:rPr>
          <w:snapToGrid w:val="0"/>
        </w:rPr>
        <w:t xml:space="preserve">. </w:t>
      </w:r>
      <w:r>
        <w:rPr>
          <w:snapToGrid w:val="0"/>
        </w:rPr>
        <w:tab/>
        <w:t>Information given for research not to be disclosed</w:t>
      </w:r>
      <w:bookmarkEnd w:id="313"/>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attending that person is first obtained.</w:t>
      </w:r>
    </w:p>
    <w:p>
      <w:pPr>
        <w:pStyle w:val="Footnotesection"/>
      </w:pPr>
      <w:r>
        <w:tab/>
        <w:t>[Section 340M inserted: No. 23 of 1960 s. 4; amended: No. 80 of 1987 s. 157; No. 19 of 2016 s. 52.]</w:t>
      </w:r>
    </w:p>
    <w:p>
      <w:pPr>
        <w:pStyle w:val="Ednotesection"/>
        <w:spacing w:before="180"/>
        <w:ind w:left="890" w:hanging="890"/>
        <w:outlineLvl w:val="9"/>
      </w:pPr>
      <w:r>
        <w:t>[</w:t>
      </w:r>
      <w:r>
        <w:rPr>
          <w:b/>
        </w:rPr>
        <w:t>340N.</w:t>
      </w:r>
      <w:r>
        <w:tab/>
        <w:t>Deleted: No. 19 of 2016 s. 53.]</w:t>
      </w:r>
    </w:p>
    <w:p>
      <w:pPr>
        <w:pStyle w:val="Heading2"/>
      </w:pPr>
      <w:bookmarkStart w:id="314" w:name="_Toc98504292"/>
      <w:bookmarkStart w:id="315" w:name="_Toc98504623"/>
      <w:bookmarkStart w:id="316" w:name="_Toc98768021"/>
      <w:r>
        <w:rPr>
          <w:rStyle w:val="CharPartNo"/>
        </w:rPr>
        <w:lastRenderedPageBreak/>
        <w:t>Part XIIIB</w:t>
      </w:r>
      <w:r>
        <w:rPr>
          <w:rStyle w:val="CharDivNo"/>
        </w:rPr>
        <w:t> </w:t>
      </w:r>
      <w:r>
        <w:t>—</w:t>
      </w:r>
      <w:r>
        <w:rPr>
          <w:rStyle w:val="CharDivText"/>
        </w:rPr>
        <w:t> </w:t>
      </w:r>
      <w:r>
        <w:rPr>
          <w:rStyle w:val="CharPartText"/>
        </w:rPr>
        <w:t>Perinatal and Infant Mortality Committee</w:t>
      </w:r>
      <w:bookmarkEnd w:id="314"/>
      <w:bookmarkEnd w:id="315"/>
      <w:bookmarkEnd w:id="316"/>
    </w:p>
    <w:p>
      <w:pPr>
        <w:pStyle w:val="Footnoteheading"/>
        <w:ind w:left="890" w:hanging="890"/>
        <w:rPr>
          <w:snapToGrid w:val="0"/>
        </w:rPr>
      </w:pPr>
      <w:r>
        <w:rPr>
          <w:snapToGrid w:val="0"/>
        </w:rPr>
        <w:tab/>
        <w:t>[Heading inserted: No. 47 of 1978 s. 34.]</w:t>
      </w:r>
    </w:p>
    <w:p>
      <w:pPr>
        <w:pStyle w:val="Heading5"/>
        <w:spacing w:before="120"/>
        <w:rPr>
          <w:snapToGrid w:val="0"/>
        </w:rPr>
      </w:pPr>
      <w:bookmarkStart w:id="317" w:name="_Toc98768022"/>
      <w:r>
        <w:rPr>
          <w:rStyle w:val="CharSectno"/>
        </w:rPr>
        <w:t>340AA</w:t>
      </w:r>
      <w:r>
        <w:rPr>
          <w:snapToGrid w:val="0"/>
        </w:rPr>
        <w:t>.</w:t>
      </w:r>
      <w:r>
        <w:rPr>
          <w:snapToGrid w:val="0"/>
        </w:rPr>
        <w:tab/>
        <w:t>Terms used</w:t>
      </w:r>
      <w:bookmarkEnd w:id="317"/>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340AA inserted: No. 47 of 1978 s. 34; amended: No. 19 of 2016 s. 54.]</w:t>
      </w:r>
    </w:p>
    <w:p>
      <w:pPr>
        <w:pStyle w:val="Heading5"/>
        <w:rPr>
          <w:snapToGrid w:val="0"/>
        </w:rPr>
      </w:pPr>
      <w:bookmarkStart w:id="318" w:name="_Toc98768023"/>
      <w:r>
        <w:rPr>
          <w:rStyle w:val="CharSectno"/>
        </w:rPr>
        <w:t>340AB</w:t>
      </w:r>
      <w:r>
        <w:rPr>
          <w:snapToGrid w:val="0"/>
        </w:rPr>
        <w:t>.</w:t>
      </w:r>
      <w:r>
        <w:rPr>
          <w:snapToGrid w:val="0"/>
        </w:rPr>
        <w:tab/>
        <w:t>Constitution and offices of Committee</w:t>
      </w:r>
      <w:bookmarkEnd w:id="318"/>
    </w:p>
    <w:p>
      <w:pPr>
        <w:pStyle w:val="Subsection"/>
        <w:spacing w:before="200"/>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spacing w:before="200"/>
      </w:pPr>
      <w:r>
        <w:tab/>
        <w:t>(2)</w:t>
      </w:r>
      <w:r>
        <w:tab/>
        <w:t>The Committee is to consist of 13 members appointed by the Minister.</w:t>
      </w:r>
    </w:p>
    <w:p>
      <w:pPr>
        <w:pStyle w:val="Subsection"/>
        <w:spacing w:before="200"/>
      </w:pPr>
      <w:r>
        <w:tab/>
        <w:t>(3)</w:t>
      </w:r>
      <w:r>
        <w:tab/>
        <w:t xml:space="preserve">Of the persons appointed as members of the Committee — </w:t>
      </w:r>
    </w:p>
    <w:p>
      <w:pPr>
        <w:pStyle w:val="Indenta"/>
      </w:pPr>
      <w:r>
        <w:tab/>
        <w:t>(a)</w:t>
      </w:r>
      <w:r>
        <w:tab/>
        <w:t>one is to be the Professor of Obstetrics at the University of Western Australia; and</w:t>
      </w:r>
    </w:p>
    <w:p>
      <w:pPr>
        <w:pStyle w:val="Indenta"/>
      </w:pPr>
      <w:r>
        <w:tab/>
        <w:t>(b)</w:t>
      </w:r>
      <w:r>
        <w:tab/>
        <w:t>one is to be a medical practitioner specialising in obstetrics, nominated by the Chief Health Officer; and</w:t>
      </w:r>
    </w:p>
    <w:p>
      <w:pPr>
        <w:pStyle w:val="Indenta"/>
        <w:keepNext/>
      </w:pPr>
      <w:r>
        <w:tab/>
        <w:t>(c)</w:t>
      </w:r>
      <w:r>
        <w:tab/>
        <w:t xml:space="preserve">2 are to be medical practitioners nominated by the chief executive of the health service provider for King </w:t>
      </w:r>
      <w:r>
        <w:lastRenderedPageBreak/>
        <w:t xml:space="preserve">Edward Memorial Hospital under the </w:t>
      </w:r>
      <w:r>
        <w:rPr>
          <w:i/>
        </w:rPr>
        <w:t>Health Services Act 2016</w:t>
      </w:r>
      <w:r>
        <w:t xml:space="preserve">, of whom — </w:t>
      </w:r>
    </w:p>
    <w:p>
      <w:pPr>
        <w:pStyle w:val="Indenti"/>
      </w:pPr>
      <w:r>
        <w:tab/>
        <w:t>(i)</w:t>
      </w:r>
      <w:r>
        <w:tab/>
        <w:t>one is to be a medical practitioner specialising in neonatal paediatrics at that hospital; and</w:t>
      </w:r>
    </w:p>
    <w:p>
      <w:pPr>
        <w:pStyle w:val="Indenti"/>
      </w:pPr>
      <w:r>
        <w:tab/>
        <w:t>(ii)</w:t>
      </w:r>
      <w:r>
        <w:tab/>
        <w:t>one is to be a medical practitioner specialising in obstetrics at that hospital;</w:t>
      </w:r>
    </w:p>
    <w:p>
      <w:pPr>
        <w:pStyle w:val="Indenta"/>
      </w:pPr>
      <w:r>
        <w:tab/>
      </w:r>
      <w:r>
        <w:tab/>
        <w:t>and</w:t>
      </w:r>
    </w:p>
    <w:p>
      <w:pPr>
        <w:pStyle w:val="Indenta"/>
      </w:pPr>
      <w:r>
        <w:tab/>
        <w:t>(d)</w:t>
      </w:r>
      <w:r>
        <w:tab/>
        <w:t xml:space="preserve">one is to be a medical practitioner specialising in neonatal paediatrics at Perth Children’s Hospital, nominated by the chief executive of the health service provider for that hospital under the </w:t>
      </w:r>
      <w:r>
        <w:rPr>
          <w:i/>
        </w:rPr>
        <w:t>Health Services Act 2016</w:t>
      </w:r>
      <w:r>
        <w:t>; and</w:t>
      </w:r>
    </w:p>
    <w:p>
      <w:pPr>
        <w:pStyle w:val="Indenta"/>
      </w:pPr>
      <w:r>
        <w:tab/>
        <w:t>(e)</w:t>
      </w:r>
      <w:r>
        <w:tab/>
        <w:t>one is to be a medical practitioner specialising in obstetrics and perinatal care, nominated by the Royal Australian and New Zealand College of Obstetricians and Gynaecologists (W.A. Branch); and</w:t>
      </w:r>
    </w:p>
    <w:p>
      <w:pPr>
        <w:pStyle w:val="Indenta"/>
      </w:pPr>
      <w:r>
        <w:tab/>
        <w:t>(f)</w:t>
      </w:r>
      <w:r>
        <w:tab/>
        <w:t xml:space="preserve">3 are to be general medical practitioners (one of whom practises outside the metropolitan area), of whom — </w:t>
      </w:r>
    </w:p>
    <w:p>
      <w:pPr>
        <w:pStyle w:val="Indenti"/>
      </w:pPr>
      <w:r>
        <w:tab/>
        <w:t>(i)</w:t>
      </w:r>
      <w:r>
        <w:tab/>
        <w:t>one is to be nominated by the Australian Medical Association (WA) Incorporated; and</w:t>
      </w:r>
    </w:p>
    <w:p>
      <w:pPr>
        <w:pStyle w:val="Indenti"/>
      </w:pPr>
      <w:r>
        <w:tab/>
        <w:t>(ii)</w:t>
      </w:r>
      <w:r>
        <w:tab/>
        <w:t>one is to be nominated by the Royal Australian College of General Practitioners; and</w:t>
      </w:r>
    </w:p>
    <w:p>
      <w:pPr>
        <w:pStyle w:val="Indenti"/>
      </w:pPr>
      <w:r>
        <w:tab/>
        <w:t>(iii)</w:t>
      </w:r>
      <w:r>
        <w:tab/>
        <w:t>one is to be nominated by the Chief Health Officer;</w:t>
      </w:r>
    </w:p>
    <w:p>
      <w:pPr>
        <w:pStyle w:val="Indenta"/>
      </w:pPr>
      <w:r>
        <w:tab/>
      </w:r>
      <w:r>
        <w:tab/>
        <w:t>and</w:t>
      </w:r>
    </w:p>
    <w:p>
      <w:pPr>
        <w:pStyle w:val="Indenta"/>
      </w:pPr>
      <w:r>
        <w:tab/>
        <w:t>(g)</w:t>
      </w:r>
      <w:r>
        <w:tab/>
        <w:t>one is to be a medical practitioner specialising in clinical epidemiology, nominated by the Chief Health Officer; and</w:t>
      </w:r>
    </w:p>
    <w:p>
      <w:pPr>
        <w:pStyle w:val="Indenta"/>
      </w:pPr>
      <w:r>
        <w:tab/>
        <w:t>(h)</w:t>
      </w:r>
      <w:r>
        <w:tab/>
        <w:t>one is to be a medical practitioner specialising in perinatal pathology, nominated by the Chief Health Officer; and</w:t>
      </w:r>
    </w:p>
    <w:p>
      <w:pPr>
        <w:pStyle w:val="Indenta"/>
      </w:pPr>
      <w:r>
        <w:tab/>
        <w:t>(i)</w:t>
      </w:r>
      <w:r>
        <w:tab/>
        <w:t>one is to be a midwife in clinical practice, nominated by the Chief Health Officer; and</w:t>
      </w:r>
    </w:p>
    <w:p>
      <w:pPr>
        <w:pStyle w:val="Indenta"/>
      </w:pPr>
      <w:r>
        <w:lastRenderedPageBreak/>
        <w:tab/>
        <w:t>(j)</w:t>
      </w:r>
      <w:r>
        <w:tab/>
        <w:t>one is to be a nurse specialising in neonatal paediatrics, nominated by the Chief Health Officer.</w:t>
      </w:r>
    </w:p>
    <w:p>
      <w:pPr>
        <w:pStyle w:val="Subsection"/>
      </w:pPr>
      <w:r>
        <w:tab/>
        <w:t>(4)</w:t>
      </w:r>
      <w:r>
        <w:tab/>
        <w:t>The Chairperson of the Committee is to be appointed by the Minister from among the members of the Committee.</w:t>
      </w:r>
    </w:p>
    <w:p>
      <w:pPr>
        <w:pStyle w:val="Footnotesection"/>
        <w:keepLines w:val="0"/>
        <w:widowControl w:val="0"/>
        <w:spacing w:before="80"/>
        <w:ind w:left="890" w:hanging="890"/>
      </w:pPr>
      <w:r>
        <w:tab/>
        <w:t>[Section 340AB inserted: No. 47 of 1978 s. 34; amended: No. 30 of 1982 s. 15; No. 28 of 1984 s. 31; No. 27 of 1992 s. 84; No. 10 of 1998 s. 39(6); No. 24 of 2000 s. 16(3); No. 28 of 2006 s. 251; No. 8 of 2009 s. 71(4); No. 11 of 2016 s. 291(3); No. 19 of 2016 s. 55 and 248.]</w:t>
      </w:r>
    </w:p>
    <w:p>
      <w:pPr>
        <w:pStyle w:val="Heading5"/>
        <w:rPr>
          <w:snapToGrid w:val="0"/>
        </w:rPr>
      </w:pPr>
      <w:bookmarkStart w:id="319" w:name="_Toc98768024"/>
      <w:r>
        <w:rPr>
          <w:rStyle w:val="CharSectno"/>
        </w:rPr>
        <w:t>340AC</w:t>
      </w:r>
      <w:r>
        <w:rPr>
          <w:snapToGrid w:val="0"/>
        </w:rPr>
        <w:t>.</w:t>
      </w:r>
      <w:r>
        <w:rPr>
          <w:snapToGrid w:val="0"/>
        </w:rPr>
        <w:tab/>
        <w:t>Appointment of deputies</w:t>
      </w:r>
      <w:bookmarkEnd w:id="319"/>
    </w:p>
    <w:p>
      <w:pPr>
        <w:pStyle w:val="Subsection"/>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w:t>
      </w:r>
      <w:r>
        <w:t xml:space="preserve"> or she</w:t>
      </w:r>
      <w:r>
        <w:rPr>
          <w:snapToGrid w:val="0"/>
        </w:rPr>
        <w:t xml:space="preserve"> is nominated as deputy by that body or unless he</w:t>
      </w:r>
      <w:r>
        <w:t xml:space="preserve"> or she</w:t>
      </w:r>
      <w:r>
        <w:rPr>
          <w:snapToGrid w:val="0"/>
        </w:rPr>
        <w:t xml:space="preserve"> is appointed by the Minister under the provisions of section 340AD(3).</w:t>
      </w:r>
    </w:p>
    <w:p>
      <w:pPr>
        <w:pStyle w:val="Footnotesection"/>
      </w:pPr>
      <w:r>
        <w:tab/>
        <w:t>[Section 340AC inserted: No. 47 of 1978 s. 34; amended: No. 19 of 2016 s. 56.]</w:t>
      </w:r>
    </w:p>
    <w:p>
      <w:pPr>
        <w:pStyle w:val="Heading5"/>
        <w:rPr>
          <w:snapToGrid w:val="0"/>
        </w:rPr>
      </w:pPr>
      <w:bookmarkStart w:id="320" w:name="_Toc98768025"/>
      <w:r>
        <w:rPr>
          <w:rStyle w:val="CharSectno"/>
        </w:rPr>
        <w:t>340AD</w:t>
      </w:r>
      <w:r>
        <w:rPr>
          <w:snapToGrid w:val="0"/>
        </w:rPr>
        <w:t xml:space="preserve">. </w:t>
      </w:r>
      <w:r>
        <w:rPr>
          <w:snapToGrid w:val="0"/>
        </w:rPr>
        <w:tab/>
        <w:t>Nominations to be made to Minister</w:t>
      </w:r>
      <w:bookmarkEnd w:id="320"/>
    </w:p>
    <w:p>
      <w:pPr>
        <w:pStyle w:val="Subsection"/>
      </w:pPr>
      <w:r>
        <w:tab/>
        <w:t>(1)</w:t>
      </w:r>
      <w:r>
        <w:tab/>
        <w:t>The bodies mentioned in section 340AB(3) must nominate to the Minister, when he or she so requests, or when a vacancy occurs in accordance with section 340AF,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w:t>
      </w:r>
      <w:r>
        <w:rPr>
          <w:snapToGrid w:val="0"/>
        </w:rPr>
        <w:lastRenderedPageBreak/>
        <w:t xml:space="preserve">requires request a body referred to in </w:t>
      </w:r>
      <w:r>
        <w:t xml:space="preserve">section 340AB(3) </w:t>
      </w:r>
      <w:r>
        <w:rPr>
          <w:snapToGrid w:val="0"/>
        </w:rPr>
        <w:t xml:space="preserve">to nominate, within a specified period, for appointment as a member of the Committee, or as a deputy member, any number of persons not exceeding 3, and may appoint such one as </w:t>
      </w:r>
      <w:r>
        <w:t xml:space="preserve">the Minister </w:t>
      </w:r>
      <w:r>
        <w:rPr>
          <w:snapToGrid w:val="0"/>
        </w:rPr>
        <w:t>thinks fit.</w:t>
      </w:r>
    </w:p>
    <w:p>
      <w:pPr>
        <w:pStyle w:val="Subsection"/>
        <w:rPr>
          <w:snapToGrid w:val="0"/>
        </w:rPr>
      </w:pPr>
      <w:r>
        <w:rPr>
          <w:snapToGrid w:val="0"/>
        </w:rPr>
        <w:tab/>
        <w:t>(3)</w:t>
      </w:r>
      <w:r>
        <w:rPr>
          <w:snapToGrid w:val="0"/>
        </w:rPr>
        <w:tab/>
        <w:t xml:space="preserve">If no nomination is made within the period specified by the Minister, </w:t>
      </w:r>
      <w:r>
        <w:t xml:space="preserve">the Minister </w:t>
      </w:r>
      <w:r>
        <w:rPr>
          <w:snapToGrid w:val="0"/>
        </w:rPr>
        <w:t xml:space="preserve">may appoint such a person or persons as </w:t>
      </w:r>
      <w:r>
        <w:t xml:space="preserve">the Minister </w:t>
      </w:r>
      <w:r>
        <w:rPr>
          <w:snapToGrid w:val="0"/>
        </w:rPr>
        <w:t>thinks fit to fill the office or to be a deputy as the case may be.</w:t>
      </w:r>
    </w:p>
    <w:p>
      <w:pPr>
        <w:pStyle w:val="Footnotesection"/>
        <w:ind w:left="890" w:hanging="890"/>
      </w:pPr>
      <w:r>
        <w:tab/>
        <w:t>[Section 340AD inserted: No. 47 of 1978 s. 34; amended: No. 19 of 2016 s. 57.]</w:t>
      </w:r>
    </w:p>
    <w:p>
      <w:pPr>
        <w:pStyle w:val="Heading5"/>
        <w:rPr>
          <w:snapToGrid w:val="0"/>
        </w:rPr>
      </w:pPr>
      <w:bookmarkStart w:id="321" w:name="_Toc98768026"/>
      <w:r>
        <w:rPr>
          <w:rStyle w:val="CharSectno"/>
        </w:rPr>
        <w:t>340AE</w:t>
      </w:r>
      <w:r>
        <w:rPr>
          <w:snapToGrid w:val="0"/>
        </w:rPr>
        <w:t xml:space="preserve">. </w:t>
      </w:r>
      <w:r>
        <w:rPr>
          <w:snapToGrid w:val="0"/>
        </w:rPr>
        <w:tab/>
        <w:t>Tenure of office</w:t>
      </w:r>
      <w:bookmarkEnd w:id="321"/>
    </w:p>
    <w:p>
      <w:pPr>
        <w:pStyle w:val="Subsection"/>
        <w:rPr>
          <w:snapToGrid w:val="0"/>
        </w:rPr>
      </w:pPr>
      <w:r>
        <w:rPr>
          <w:snapToGrid w:val="0"/>
        </w:rPr>
        <w:tab/>
        <w:t>(1)</w:t>
      </w:r>
      <w:r>
        <w:rPr>
          <w:snapToGrid w:val="0"/>
        </w:rPr>
        <w:tab/>
        <w:t xml:space="preserve">The term of tenure of office of a person appointed as a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Chairperson holds that office at the pleasure of the Minister.</w:t>
      </w:r>
    </w:p>
    <w:p>
      <w:pPr>
        <w:pStyle w:val="Footnotesection"/>
      </w:pPr>
      <w:r>
        <w:tab/>
        <w:t>[Section 340AE inserted: No. 47 of 1978 s. 34; amended: No. 19 of 2016 s. 58.]</w:t>
      </w:r>
    </w:p>
    <w:p>
      <w:pPr>
        <w:pStyle w:val="Heading5"/>
      </w:pPr>
      <w:bookmarkStart w:id="322" w:name="_Toc98768027"/>
      <w:r>
        <w:rPr>
          <w:rStyle w:val="CharSectno"/>
        </w:rPr>
        <w:t>340AF</w:t>
      </w:r>
      <w:r>
        <w:t>.</w:t>
      </w:r>
      <w:r>
        <w:tab/>
        <w:t>When office of member becomes vacant</w:t>
      </w:r>
      <w:bookmarkEnd w:id="322"/>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lastRenderedPageBreak/>
        <w:tab/>
        <w:t>(d)</w:t>
      </w:r>
      <w:r>
        <w:tab/>
        <w:t>the member’s appointment is terminated under subsection (2); or</w:t>
      </w:r>
    </w:p>
    <w:p>
      <w:pPr>
        <w:pStyle w:val="Indenta"/>
      </w:pPr>
      <w:r>
        <w:tab/>
        <w:t>(e)</w:t>
      </w:r>
      <w:r>
        <w:tab/>
        <w:t>in the case of the Chairperson,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340AF inserted: No. 19 of 2016 s. 59.]</w:t>
      </w:r>
    </w:p>
    <w:p>
      <w:pPr>
        <w:pStyle w:val="Heading5"/>
        <w:pageBreakBefore/>
        <w:spacing w:before="100"/>
        <w:rPr>
          <w:snapToGrid w:val="0"/>
        </w:rPr>
      </w:pPr>
      <w:bookmarkStart w:id="323" w:name="_Toc98768028"/>
      <w:r>
        <w:rPr>
          <w:rStyle w:val="CharSectno"/>
        </w:rPr>
        <w:lastRenderedPageBreak/>
        <w:t>340AG</w:t>
      </w:r>
      <w:r>
        <w:rPr>
          <w:snapToGrid w:val="0"/>
        </w:rPr>
        <w:t xml:space="preserve">. </w:t>
      </w:r>
      <w:r>
        <w:rPr>
          <w:snapToGrid w:val="0"/>
        </w:rPr>
        <w:tab/>
        <w:t>Vacancies in offices of members to be filled</w:t>
      </w:r>
      <w:bookmarkEnd w:id="323"/>
    </w:p>
    <w:p>
      <w:pPr>
        <w:pStyle w:val="Subsection"/>
      </w:pPr>
      <w:r>
        <w:tab/>
        <w:t>(1)</w:t>
      </w:r>
      <w:r>
        <w:tab/>
        <w:t>When a vacancy occurs in the office of a member of the Committee, the Minister is to appoint a person to fill the vacancy.</w:t>
      </w:r>
    </w:p>
    <w:p>
      <w:pPr>
        <w:pStyle w:val="Subsection"/>
      </w:pPr>
      <w:r>
        <w:tab/>
        <w:t>(2)</w:t>
      </w:r>
      <w:r>
        <w:tab/>
        <w:t>If, under section 340AB(3), a specified body has the right to nominate that member, the Minister is not to appoint a person unless he or she is nominated by the appropriate body mentioned in that section, or unless section 340AD(3)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340AG inserted: No. 47 of 1978 s. 34; amended: No. 19 of 2016 s. 60.]</w:t>
      </w:r>
    </w:p>
    <w:p>
      <w:pPr>
        <w:pStyle w:val="Heading5"/>
      </w:pPr>
      <w:bookmarkStart w:id="324" w:name="_Toc98768029"/>
      <w:r>
        <w:rPr>
          <w:rStyle w:val="CharSectno"/>
        </w:rPr>
        <w:t>340AH</w:t>
      </w:r>
      <w:r>
        <w:t>.</w:t>
      </w:r>
      <w:r>
        <w:tab/>
        <w:t>Meetings and procedure of Committee</w:t>
      </w:r>
      <w:bookmarkEnd w:id="324"/>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lastRenderedPageBreak/>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340AH inserted: No. 19 of 2016 s. 61.]</w:t>
      </w:r>
    </w:p>
    <w:p>
      <w:pPr>
        <w:pStyle w:val="Heading5"/>
        <w:rPr>
          <w:snapToGrid w:val="0"/>
        </w:rPr>
      </w:pPr>
      <w:bookmarkStart w:id="325" w:name="_Toc98768030"/>
      <w:r>
        <w:rPr>
          <w:rStyle w:val="CharSectno"/>
        </w:rPr>
        <w:t>340AI</w:t>
      </w:r>
      <w:r>
        <w:rPr>
          <w:snapToGrid w:val="0"/>
        </w:rPr>
        <w:t xml:space="preserve">. </w:t>
      </w:r>
      <w:r>
        <w:rPr>
          <w:snapToGrid w:val="0"/>
        </w:rPr>
        <w:tab/>
        <w:t>Reimbursement of expenses of members</w:t>
      </w:r>
      <w:bookmarkEnd w:id="325"/>
    </w:p>
    <w:p>
      <w:pPr>
        <w:pStyle w:val="Subsection"/>
        <w:rPr>
          <w:snapToGrid w:val="0"/>
        </w:rPr>
      </w:pPr>
      <w:r>
        <w:rPr>
          <w:snapToGrid w:val="0"/>
        </w:rPr>
        <w:tab/>
      </w:r>
      <w:r>
        <w:rPr>
          <w:snapToGrid w:val="0"/>
        </w:rPr>
        <w:tab/>
        <w:t>The Chairperson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No. 47 of 1978 s. 34; amended: No. 19 of 2016 s. 62.]</w:t>
      </w:r>
    </w:p>
    <w:p>
      <w:pPr>
        <w:pStyle w:val="Heading5"/>
        <w:rPr>
          <w:snapToGrid w:val="0"/>
        </w:rPr>
      </w:pPr>
      <w:bookmarkStart w:id="326" w:name="_Toc98768031"/>
      <w:r>
        <w:rPr>
          <w:rStyle w:val="CharSectno"/>
        </w:rPr>
        <w:t>340AJ</w:t>
      </w:r>
      <w:r>
        <w:rPr>
          <w:snapToGrid w:val="0"/>
        </w:rPr>
        <w:t xml:space="preserve">. </w:t>
      </w:r>
      <w:r>
        <w:rPr>
          <w:snapToGrid w:val="0"/>
        </w:rPr>
        <w:tab/>
        <w:t>Appointment of investigator</w:t>
      </w:r>
      <w:bookmarkEnd w:id="326"/>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pPr>
      <w:r>
        <w:tab/>
        <w:t>(2)</w:t>
      </w:r>
      <w:r>
        <w:tab/>
        <w:t xml:space="preserve">The following provisions apply to the appointment of investigators under subsection (1) — </w:t>
      </w:r>
    </w:p>
    <w:p>
      <w:pPr>
        <w:pStyle w:val="Indenta"/>
      </w:pPr>
      <w:r>
        <w:tab/>
        <w:t>(a)</w:t>
      </w:r>
      <w:r>
        <w:tab/>
        <w:t>if one investigator is appointed, he or she must be a specialist in obstetrics or neonatal paediatrics;</w:t>
      </w:r>
    </w:p>
    <w:p>
      <w:pPr>
        <w:pStyle w:val="Indenta"/>
      </w:pPr>
      <w:r>
        <w:tab/>
        <w:t>(b)</w:t>
      </w:r>
      <w:r>
        <w:tab/>
        <w:t>if 2 investigators are appointed, both of them must be specialists in obstetrics or neonatal paediatrics;</w:t>
      </w:r>
    </w:p>
    <w:p>
      <w:pPr>
        <w:pStyle w:val="Indenta"/>
      </w:pPr>
      <w:r>
        <w:tab/>
        <w:t>(c)</w:t>
      </w:r>
      <w:r>
        <w:tab/>
        <w:t>if 3 or 4 investigators are appointed, 2 of them must be specialists in obstetrics or neonatal paediatrics.</w:t>
      </w:r>
    </w:p>
    <w:p>
      <w:pPr>
        <w:pStyle w:val="Subsection"/>
        <w:rPr>
          <w:snapToGrid w:val="0"/>
        </w:rPr>
      </w:pPr>
      <w:r>
        <w:rPr>
          <w:snapToGrid w:val="0"/>
        </w:rPr>
        <w:lastRenderedPageBreak/>
        <w:tab/>
        <w:t>(3)</w:t>
      </w:r>
      <w:r>
        <w:rPr>
          <w:snapToGrid w:val="0"/>
        </w:rPr>
        <w:tab/>
        <w:t xml:space="preserve">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w:t>
      </w:r>
      <w:r>
        <w:t>or her</w:t>
      </w:r>
      <w:r>
        <w:rPr>
          <w:snapToGrid w:val="0"/>
        </w:rPr>
        <w:t xml:space="preserve"> office, or during a vacancy in the office of such an investigator.</w:t>
      </w:r>
    </w:p>
    <w:p>
      <w:pPr>
        <w:pStyle w:val="Footnotesection"/>
      </w:pPr>
      <w:r>
        <w:tab/>
        <w:t>[Section 340AJ inserted: No. 47 of 1978 s. 34; amended: No. 80 of 1987 s. 158; No. 19 of 2016 s. 63.]</w:t>
      </w:r>
    </w:p>
    <w:p>
      <w:pPr>
        <w:pStyle w:val="Heading5"/>
      </w:pPr>
      <w:bookmarkStart w:id="327" w:name="_Toc98768032"/>
      <w:r>
        <w:rPr>
          <w:rStyle w:val="CharSectno"/>
        </w:rPr>
        <w:t>340AK</w:t>
      </w:r>
      <w:r>
        <w:t>.</w:t>
      </w:r>
      <w:r>
        <w:tab/>
        <w:t>Functions of Committee</w:t>
      </w:r>
      <w:bookmarkEnd w:id="327"/>
    </w:p>
    <w:p>
      <w:pPr>
        <w:pStyle w:val="Subsection"/>
      </w:pPr>
      <w:r>
        <w:tab/>
        <w:t>(1)</w:t>
      </w:r>
      <w:r>
        <w:tab/>
        <w:t xml:space="preserve">Whenever an investigator presents to the Chairperson of the Committee a report under section 336A,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stillborn or deceased child,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stillbirth or death the subject of the report might have been avoided, and may add to its determination any constructive comments the Committee considers advisable for the future assistance and guidance of medical practitioners, nurses and midwives.</w:t>
      </w:r>
    </w:p>
    <w:p>
      <w:pPr>
        <w:pStyle w:val="Subsection"/>
        <w:keepNext/>
      </w:pPr>
      <w:r>
        <w:lastRenderedPageBreak/>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(if any) who was attending the child concerned at the time of the occurrence of the stillbirth or death investigated under section 336A; and</w:t>
      </w:r>
    </w:p>
    <w:p>
      <w:pPr>
        <w:pStyle w:val="Indenti"/>
      </w:pPr>
      <w:r>
        <w:tab/>
        <w:t>(ii)</w:t>
      </w:r>
      <w:r>
        <w:tab/>
        <w:t>the nurse or midwife (if any) who was attending the child concerned at that time;</w:t>
      </w:r>
    </w:p>
    <w:p>
      <w:pPr>
        <w:pStyle w:val="Indenta"/>
      </w:pPr>
      <w:r>
        <w:tab/>
      </w:r>
      <w:r>
        <w:tab/>
        <w:t>and</w:t>
      </w:r>
    </w:p>
    <w:p>
      <w:pPr>
        <w:pStyle w:val="Indenta"/>
      </w:pPr>
      <w:r>
        <w:tab/>
        <w:t>(b)</w:t>
      </w:r>
      <w:r>
        <w:tab/>
        <w:t>may be notified in writing by the Chairperson to any other medical practitioner, nurse or midwife who attended the child concerned or his or her mother or both before the occurrence of the stillbirth or death if the Committee considers that that medical practitioner, nurse or midwife should be informed of that determination and those comments.</w:t>
      </w:r>
    </w:p>
    <w:p>
      <w:pPr>
        <w:pStyle w:val="Footnotesection"/>
      </w:pPr>
      <w:r>
        <w:tab/>
        <w:t>[Section 340AK inserted: No. 19 of 2016 s. 64.]</w:t>
      </w:r>
    </w:p>
    <w:p>
      <w:pPr>
        <w:pStyle w:val="Heading5"/>
      </w:pPr>
      <w:bookmarkStart w:id="328" w:name="_Toc98768033"/>
      <w:r>
        <w:rPr>
          <w:rStyle w:val="CharSectno"/>
        </w:rPr>
        <w:t>340ALA</w:t>
      </w:r>
      <w:r>
        <w:t>. Further provisions relating to proceedings of Committee</w:t>
      </w:r>
      <w:bookmarkEnd w:id="328"/>
    </w:p>
    <w:p>
      <w:pPr>
        <w:pStyle w:val="Subsection"/>
      </w:pPr>
      <w:r>
        <w:tab/>
        <w:t>(1)</w:t>
      </w:r>
      <w:r>
        <w:tab/>
        <w:t>As soon as practicable after the Committee has made a determination under section 340AK,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lastRenderedPageBreak/>
        <w:tab/>
        <w:t>(4)</w:t>
      </w:r>
      <w:r>
        <w:tab/>
        <w:t>The Chairperson must forward to the Chief Health Officer a summary of the cases investigated by the investigators and considered by the Committee during each year.</w:t>
      </w:r>
    </w:p>
    <w:p>
      <w:pPr>
        <w:pStyle w:val="Footnotesection"/>
      </w:pPr>
      <w:r>
        <w:tab/>
        <w:t>[Section 340ALA inserted: No. 19 of 2016 s. 64.]</w:t>
      </w:r>
    </w:p>
    <w:p>
      <w:pPr>
        <w:pStyle w:val="Heading5"/>
      </w:pPr>
      <w:bookmarkStart w:id="329" w:name="_Toc98768034"/>
      <w:r>
        <w:rPr>
          <w:rStyle w:val="CharSectno"/>
        </w:rPr>
        <w:t>340ALB</w:t>
      </w:r>
      <w:r>
        <w:t>. Contents of notification confidential</w:t>
      </w:r>
      <w:bookmarkEnd w:id="329"/>
    </w:p>
    <w:p>
      <w:pPr>
        <w:pStyle w:val="Subsection"/>
      </w:pPr>
      <w:r>
        <w:tab/>
        <w:t>(1)</w:t>
      </w:r>
      <w:r>
        <w:tab/>
        <w:t>The contents of a notification made under section 340AK(5)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340AK(5) to any person except for the purposes of, and in accordance with, this Part commits an offence.</w:t>
      </w:r>
    </w:p>
    <w:p>
      <w:pPr>
        <w:pStyle w:val="Footnotesection"/>
      </w:pPr>
      <w:r>
        <w:tab/>
        <w:t>[Section 340ALB inserted: No. 19 of 2016 s. 64.]</w:t>
      </w:r>
    </w:p>
    <w:p>
      <w:pPr>
        <w:pStyle w:val="Heading5"/>
        <w:rPr>
          <w:snapToGrid w:val="0"/>
        </w:rPr>
      </w:pPr>
      <w:bookmarkStart w:id="330" w:name="_Toc98768035"/>
      <w:r>
        <w:rPr>
          <w:rStyle w:val="CharSectno"/>
        </w:rPr>
        <w:t>340AL</w:t>
      </w:r>
      <w:r>
        <w:rPr>
          <w:snapToGrid w:val="0"/>
        </w:rPr>
        <w:t xml:space="preserve">. </w:t>
      </w:r>
      <w:r>
        <w:rPr>
          <w:snapToGrid w:val="0"/>
        </w:rPr>
        <w:tab/>
        <w:t>When report may be published</w:t>
      </w:r>
      <w:bookmarkEnd w:id="330"/>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t xml:space="preserve">the </w:t>
      </w:r>
      <w:r>
        <w:rPr>
          <w:rStyle w:val="CharDefText"/>
        </w:rPr>
        <w:t>researcher</w:t>
      </w:r>
      <w:r>
        <w:rPr>
          <w:snapToGrid w:val="0"/>
        </w:rPr>
        <w:t xml:space="preserve">), recommend to the </w:t>
      </w:r>
      <w:r>
        <w:t>Chief Health Officer</w:t>
      </w:r>
      <w:r>
        <w:rPr>
          <w:snapToGrid w:val="0"/>
        </w:rPr>
        <w:t xml:space="preserve"> that the identity of that child be so divulged.</w:t>
      </w:r>
    </w:p>
    <w:p>
      <w:pPr>
        <w:pStyle w:val="Subsection"/>
        <w:keepNext/>
        <w:keepLines/>
        <w:rPr>
          <w:snapToGrid w:val="0"/>
        </w:rPr>
      </w:pPr>
      <w:r>
        <w:rPr>
          <w:snapToGrid w:val="0"/>
        </w:rPr>
        <w:lastRenderedPageBreak/>
        <w:tab/>
        <w:t>(1b)</w:t>
      </w:r>
      <w:r>
        <w:rPr>
          <w:snapToGrid w:val="0"/>
        </w:rPr>
        <w:tab/>
        <w:t xml:space="preserve">The </w:t>
      </w:r>
      <w:r>
        <w:t>Chief Health Officer may, if he or she</w:t>
      </w:r>
      <w:r>
        <w:rPr>
          <w:snapToGrid w:val="0"/>
        </w:rPr>
        <w:t xml:space="preserve"> agrees with a recommendation made to him</w:t>
      </w:r>
      <w:r>
        <w:t xml:space="preserve"> or her</w:t>
      </w:r>
      <w:r>
        <w:rPr>
          <w:snapToGrid w:val="0"/>
        </w:rPr>
        <w:t xml:space="preserve"> under subsection (1a), authorise the investigator concerned to divulge the identity of the person or child to whom his</w:t>
      </w:r>
      <w:r>
        <w:t xml:space="preserve"> or her</w:t>
      </w:r>
      <w:r>
        <w:rPr>
          <w:snapToGrid w:val="0"/>
        </w:rPr>
        <w:t xml:space="preserve">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w:t>
      </w:r>
      <w:r>
        <w:t xml:space="preserve"> or her</w:t>
      </w:r>
      <w:r>
        <w:rPr>
          <w:snapToGrid w:val="0"/>
        </w:rPr>
        <w:t xml:space="preserve"> under subsection (1b) commits an offence.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No. 47 of 1978 s. 34; amended: No. 80 of 1987 s. 160; No. 8 of 2009 s. 71(4); No. 19 of 2016 s. 65.]</w:t>
      </w:r>
    </w:p>
    <w:p>
      <w:pPr>
        <w:pStyle w:val="Heading5"/>
        <w:rPr>
          <w:snapToGrid w:val="0"/>
        </w:rPr>
      </w:pPr>
      <w:bookmarkStart w:id="331" w:name="_Toc98768036"/>
      <w:r>
        <w:rPr>
          <w:rStyle w:val="CharSectno"/>
        </w:rPr>
        <w:t>340AM</w:t>
      </w:r>
      <w:r>
        <w:rPr>
          <w:snapToGrid w:val="0"/>
        </w:rPr>
        <w:t>.</w:t>
      </w:r>
      <w:r>
        <w:rPr>
          <w:snapToGrid w:val="0"/>
        </w:rPr>
        <w:tab/>
        <w:t>Information for research not to be disclosed</w:t>
      </w:r>
      <w:bookmarkEnd w:id="331"/>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who was attending </w:t>
      </w:r>
      <w:r>
        <w:rPr>
          <w:snapToGrid w:val="0"/>
        </w:rPr>
        <w:lastRenderedPageBreak/>
        <w:t>the child at the time of the occurrence of the stillbirth or death being investigated is first obtained.</w:t>
      </w:r>
    </w:p>
    <w:p>
      <w:pPr>
        <w:pStyle w:val="Footnotesection"/>
      </w:pPr>
      <w:r>
        <w:tab/>
        <w:t>[Section 340AM inserted: No. 47 of 1978 s. 34; amended: No. 80 of 1987 s. 161; No. 19 of 2016 s. 66.]</w:t>
      </w:r>
    </w:p>
    <w:p>
      <w:pPr>
        <w:pStyle w:val="Ednotesection"/>
        <w:spacing w:before="180"/>
        <w:ind w:left="890" w:hanging="890"/>
        <w:outlineLvl w:val="9"/>
      </w:pPr>
      <w:r>
        <w:t>[</w:t>
      </w:r>
      <w:r>
        <w:rPr>
          <w:b/>
        </w:rPr>
        <w:t>340AN.</w:t>
      </w:r>
      <w:r>
        <w:tab/>
        <w:t>Deleted: No. 19 of 2016 s. 67.]</w:t>
      </w:r>
    </w:p>
    <w:p>
      <w:pPr>
        <w:pStyle w:val="Heading2"/>
      </w:pPr>
      <w:bookmarkStart w:id="332" w:name="_Toc98504308"/>
      <w:bookmarkStart w:id="333" w:name="_Toc98504639"/>
      <w:bookmarkStart w:id="334" w:name="_Toc98768037"/>
      <w:r>
        <w:rPr>
          <w:rStyle w:val="CharPartNo"/>
        </w:rPr>
        <w:lastRenderedPageBreak/>
        <w:t>Part XIIIC</w:t>
      </w:r>
      <w:r>
        <w:rPr>
          <w:rStyle w:val="CharDivNo"/>
        </w:rPr>
        <w:t> </w:t>
      </w:r>
      <w:r>
        <w:t>—</w:t>
      </w:r>
      <w:r>
        <w:rPr>
          <w:rStyle w:val="CharDivText"/>
        </w:rPr>
        <w:t> </w:t>
      </w:r>
      <w:r>
        <w:rPr>
          <w:rStyle w:val="CharPartText"/>
        </w:rPr>
        <w:t>Anaesthetic Mortality Committee</w:t>
      </w:r>
      <w:bookmarkEnd w:id="332"/>
      <w:bookmarkEnd w:id="333"/>
      <w:bookmarkEnd w:id="334"/>
    </w:p>
    <w:p>
      <w:pPr>
        <w:pStyle w:val="Footnoteheading"/>
        <w:ind w:left="890" w:hanging="890"/>
        <w:rPr>
          <w:snapToGrid w:val="0"/>
        </w:rPr>
      </w:pPr>
      <w:r>
        <w:rPr>
          <w:snapToGrid w:val="0"/>
        </w:rPr>
        <w:tab/>
        <w:t>[Heading inserted: No. 47 of 1978 s. 36.]</w:t>
      </w:r>
    </w:p>
    <w:p>
      <w:pPr>
        <w:pStyle w:val="Heading5"/>
        <w:rPr>
          <w:snapToGrid w:val="0"/>
        </w:rPr>
      </w:pPr>
      <w:bookmarkStart w:id="335" w:name="_Toc98768038"/>
      <w:r>
        <w:rPr>
          <w:rStyle w:val="CharSectno"/>
        </w:rPr>
        <w:t>340BA</w:t>
      </w:r>
      <w:r>
        <w:rPr>
          <w:snapToGrid w:val="0"/>
        </w:rPr>
        <w:t>.</w:t>
      </w:r>
      <w:r>
        <w:rPr>
          <w:snapToGrid w:val="0"/>
        </w:rPr>
        <w:tab/>
        <w:t>Terms used</w:t>
      </w:r>
      <w:bookmarkEnd w:id="335"/>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340BA inserted: No. 47 of 1978 s. 36; amended: No. 19 of 2016 s. 68.]</w:t>
      </w:r>
    </w:p>
    <w:p>
      <w:pPr>
        <w:pStyle w:val="Heading5"/>
        <w:rPr>
          <w:snapToGrid w:val="0"/>
        </w:rPr>
      </w:pPr>
      <w:bookmarkStart w:id="336" w:name="_Toc98768039"/>
      <w:r>
        <w:rPr>
          <w:rStyle w:val="CharSectno"/>
        </w:rPr>
        <w:t>340BB</w:t>
      </w:r>
      <w:r>
        <w:rPr>
          <w:snapToGrid w:val="0"/>
        </w:rPr>
        <w:t xml:space="preserve">. </w:t>
      </w:r>
      <w:r>
        <w:rPr>
          <w:snapToGrid w:val="0"/>
        </w:rPr>
        <w:tab/>
        <w:t>Constitution and offices of Committee</w:t>
      </w:r>
      <w:bookmarkEnd w:id="336"/>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pPr>
      <w:r>
        <w:tab/>
        <w:t>(2)</w:t>
      </w:r>
      <w:r>
        <w:tab/>
        <w:t>The Committee is to consist of 12 members appointed by the Minister.</w:t>
      </w:r>
    </w:p>
    <w:p>
      <w:pPr>
        <w:pStyle w:val="Subsection"/>
      </w:pPr>
      <w:r>
        <w:tab/>
        <w:t>(3)</w:t>
      </w:r>
      <w:r>
        <w:tab/>
        <w:t xml:space="preserve">Of the persons appointed as members of the Committee — </w:t>
      </w:r>
    </w:p>
    <w:p>
      <w:pPr>
        <w:pStyle w:val="Indenta"/>
      </w:pPr>
      <w:r>
        <w:tab/>
        <w:t>(a)</w:t>
      </w:r>
      <w:r>
        <w:tab/>
        <w:t>one is to be nominated by the State Branch of the Australian and New Zealand College of Anaesthetists, and that person is the Chairperson of the Committee; and</w:t>
      </w:r>
    </w:p>
    <w:p>
      <w:pPr>
        <w:pStyle w:val="Indenta"/>
      </w:pPr>
      <w:r>
        <w:tab/>
        <w:t>(b)</w:t>
      </w:r>
      <w:r>
        <w:tab/>
        <w:t>one is to be the Professor of Anaesthesia at the University of Western Australia; and</w:t>
      </w:r>
    </w:p>
    <w:p>
      <w:pPr>
        <w:pStyle w:val="Indenta"/>
      </w:pPr>
      <w:r>
        <w:tab/>
        <w:t>(c)</w:t>
      </w:r>
      <w:r>
        <w:tab/>
        <w:t xml:space="preserve">one is to be a medical practitioner specialising in anaesthetics, nominated by the State Branch of the </w:t>
      </w:r>
      <w:r>
        <w:lastRenderedPageBreak/>
        <w:t>Australian and New Zealand College of Anaesthetists; and</w:t>
      </w:r>
    </w:p>
    <w:p>
      <w:pPr>
        <w:pStyle w:val="Indenta"/>
      </w:pPr>
      <w:r>
        <w:tab/>
        <w:t>(d)</w:t>
      </w:r>
      <w:r>
        <w:tab/>
        <w:t>one is to be a medical practitioner specialising in anaesthetics, nominated by the Australian Medical Association (WA) Incorporated; and</w:t>
      </w:r>
    </w:p>
    <w:p>
      <w:pPr>
        <w:pStyle w:val="Indenta"/>
      </w:pPr>
      <w:r>
        <w:tab/>
        <w:t>(e)</w:t>
      </w:r>
      <w:r>
        <w:tab/>
        <w:t>one is to be a medical practitioner specialising in obstetrics and gynaecology, nominated by the Royal Australian and New Zealand College of Obstetricians and Gynaecologists (W.A. Branch); and</w:t>
      </w:r>
    </w:p>
    <w:p>
      <w:pPr>
        <w:pStyle w:val="Indenta"/>
      </w:pPr>
      <w:r>
        <w:tab/>
        <w:t>(f)</w:t>
      </w:r>
      <w:r>
        <w:tab/>
        <w:t>2 are to be general medical practitioners with at least 5 years’ experience and special interest in anaesthesia, nominated by the State Branch of the Royal Australian College of General Practitioners, of whom one practices within the metropolitan area and one outside that area; and</w:t>
      </w:r>
    </w:p>
    <w:p>
      <w:pPr>
        <w:pStyle w:val="Indenta"/>
      </w:pPr>
      <w:r>
        <w:tab/>
        <w:t>(g)</w:t>
      </w:r>
      <w:r>
        <w:tab/>
        <w:t>one is to be a medical practitioner specialising in surgery, nominated by the State Branch of the Royal Australasian College of Surgeons; and</w:t>
      </w:r>
    </w:p>
    <w:p>
      <w:pPr>
        <w:pStyle w:val="Indenta"/>
      </w:pPr>
      <w:r>
        <w:tab/>
        <w:t>(h)</w:t>
      </w:r>
      <w:r>
        <w:tab/>
        <w:t>one is to be a medical practitioner, nominated by the Chief Health Officer; and</w:t>
      </w:r>
    </w:p>
    <w:p>
      <w:pPr>
        <w:pStyle w:val="Indenta"/>
      </w:pPr>
      <w:r>
        <w:tab/>
        <w:t>(i)</w:t>
      </w:r>
      <w:r>
        <w:tab/>
        <w:t>one is to be a midwife having not less than 5 years’ experience in, and currently practising, midwifery, nominated by the Chief Health Officer; and</w:t>
      </w:r>
    </w:p>
    <w:p>
      <w:pPr>
        <w:pStyle w:val="Indenta"/>
      </w:pPr>
      <w:r>
        <w:tab/>
        <w:t>(j)</w:t>
      </w:r>
      <w:r>
        <w:tab/>
        <w:t>one is to be a dental practitioner, nominated by the State Branch of the Australian Dental Association; and</w:t>
      </w:r>
    </w:p>
    <w:p>
      <w:pPr>
        <w:pStyle w:val="Indenta"/>
      </w:pPr>
      <w:r>
        <w:tab/>
        <w:t>(k)</w:t>
      </w:r>
      <w:r>
        <w:tab/>
        <w:t>one is to be the Professor of Clinical Pharmacology at the University of Western Australia.</w:t>
      </w:r>
    </w:p>
    <w:p>
      <w:pPr>
        <w:pStyle w:val="Footnotesection"/>
      </w:pPr>
      <w:r>
        <w:tab/>
        <w:t>[Section 340BB inserted: No. 47 of 1978 s. 36; amended: No. 30 of 1982 s. 16; No. 27 of 1992 s. 84; No. 10 of 1998 s. 39(7) and (9); No. 24 of 2000 s. 16(3); No. 28 of 2006 s. 251; No. 8 of 2009 s. 71(4); No. 19 of 2016 s. 69.]</w:t>
      </w:r>
    </w:p>
    <w:p>
      <w:pPr>
        <w:pStyle w:val="Heading5"/>
        <w:pageBreakBefore/>
        <w:spacing w:before="100"/>
        <w:rPr>
          <w:snapToGrid w:val="0"/>
        </w:rPr>
      </w:pPr>
      <w:bookmarkStart w:id="337" w:name="_Toc98768040"/>
      <w:r>
        <w:rPr>
          <w:rStyle w:val="CharSectno"/>
        </w:rPr>
        <w:lastRenderedPageBreak/>
        <w:t>340BC</w:t>
      </w:r>
      <w:r>
        <w:rPr>
          <w:snapToGrid w:val="0"/>
        </w:rPr>
        <w:t xml:space="preserve">. </w:t>
      </w:r>
      <w:r>
        <w:rPr>
          <w:snapToGrid w:val="0"/>
        </w:rPr>
        <w:tab/>
        <w:t>Appointment of deputies</w:t>
      </w:r>
      <w:bookmarkEnd w:id="337"/>
    </w:p>
    <w:p>
      <w:pPr>
        <w:pStyle w:val="Subsection"/>
        <w:spacing w:before="20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200"/>
        <w:rPr>
          <w:snapToGrid w:val="0"/>
        </w:rPr>
      </w:pPr>
      <w:r>
        <w:rPr>
          <w:snapToGrid w:val="0"/>
        </w:rPr>
        <w:tab/>
        <w:t>(2)</w:t>
      </w:r>
      <w:r>
        <w:rPr>
          <w:snapToGrid w:val="0"/>
        </w:rPr>
        <w:tab/>
        <w:t xml:space="preserve">Where a member is required under section 340BB to be nominated by a specified body, a person is not eligible for appointment as a deputy of that member of the Committee unless he </w:t>
      </w:r>
      <w:r>
        <w:t>or she</w:t>
      </w:r>
      <w:r>
        <w:rPr>
          <w:snapToGrid w:val="0"/>
        </w:rPr>
        <w:t xml:space="preserve"> is nominated as deputy by that body or unless he </w:t>
      </w:r>
      <w:r>
        <w:t>or she</w:t>
      </w:r>
      <w:r>
        <w:rPr>
          <w:snapToGrid w:val="0"/>
        </w:rPr>
        <w:t xml:space="preserve"> is appointed by the Minister under the provisions of section 340BD(3).</w:t>
      </w:r>
    </w:p>
    <w:p>
      <w:pPr>
        <w:pStyle w:val="Footnotesection"/>
      </w:pPr>
      <w:r>
        <w:tab/>
        <w:t>[Section 340BC inserted: No. 47 of 1978 s. 36; amended: No. 19 of 2016 s. 70.]</w:t>
      </w:r>
    </w:p>
    <w:p>
      <w:pPr>
        <w:pStyle w:val="Heading5"/>
        <w:spacing w:before="180"/>
        <w:rPr>
          <w:snapToGrid w:val="0"/>
        </w:rPr>
      </w:pPr>
      <w:bookmarkStart w:id="338" w:name="_Toc98768041"/>
      <w:r>
        <w:rPr>
          <w:rStyle w:val="CharSectno"/>
        </w:rPr>
        <w:t>340BD</w:t>
      </w:r>
      <w:r>
        <w:rPr>
          <w:snapToGrid w:val="0"/>
        </w:rPr>
        <w:t xml:space="preserve">. </w:t>
      </w:r>
      <w:r>
        <w:rPr>
          <w:snapToGrid w:val="0"/>
        </w:rPr>
        <w:tab/>
        <w:t>Nominations to be made to Minister</w:t>
      </w:r>
      <w:bookmarkEnd w:id="338"/>
    </w:p>
    <w:p>
      <w:pPr>
        <w:pStyle w:val="Subsection"/>
        <w:spacing w:before="200"/>
      </w:pPr>
      <w:r>
        <w:tab/>
        <w:t>(1)</w:t>
      </w:r>
      <w:r>
        <w:tab/>
        <w:t>The bodies mentioned in section 340BB(3) must nominate to the Minister, when he or she so requests, or when a vacancy occurs in accordance with section 340BF, one or more appropriately qualified persons to become members of the Committee.</w:t>
      </w:r>
    </w:p>
    <w:p>
      <w:pPr>
        <w:pStyle w:val="Subsection"/>
        <w:spacing w:before="200"/>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340BB(3) </w:t>
      </w:r>
      <w:r>
        <w:rPr>
          <w:snapToGrid w:val="0"/>
        </w:rPr>
        <w:t>to nominate, within a specified period, for appointment as a member of the Committee, or as a deputy member, any number of persons not exceeding 3, and may appoint such one as he</w:t>
      </w:r>
      <w:r>
        <w:t xml:space="preserve"> or she</w:t>
      </w:r>
      <w:r>
        <w:rPr>
          <w:snapToGrid w:val="0"/>
        </w:rPr>
        <w:t xml:space="preserve"> thinks fit.</w:t>
      </w:r>
    </w:p>
    <w:p>
      <w:pPr>
        <w:pStyle w:val="Subsection"/>
        <w:keepNext/>
        <w:spacing w:before="200"/>
        <w:rPr>
          <w:snapToGrid w:val="0"/>
        </w:rPr>
      </w:pPr>
      <w:r>
        <w:rPr>
          <w:snapToGrid w:val="0"/>
        </w:rPr>
        <w:tab/>
        <w:t>(3)</w:t>
      </w:r>
      <w:r>
        <w:rPr>
          <w:snapToGrid w:val="0"/>
        </w:rPr>
        <w:tab/>
        <w:t>If no nomination is made within the period specified by the Minister, he</w:t>
      </w:r>
      <w:r>
        <w:t xml:space="preserve"> or she</w:t>
      </w:r>
      <w:r>
        <w:rPr>
          <w:snapToGrid w:val="0"/>
        </w:rPr>
        <w:t xml:space="preserve"> may appoint such a person or persons as he</w:t>
      </w:r>
      <w:r>
        <w:t xml:space="preserve"> </w:t>
      </w:r>
      <w:r>
        <w:lastRenderedPageBreak/>
        <w:t>or she</w:t>
      </w:r>
      <w:r>
        <w:rPr>
          <w:snapToGrid w:val="0"/>
        </w:rPr>
        <w:t xml:space="preserve"> thinks fit to fill the office or to be a deputy as the case may be.</w:t>
      </w:r>
    </w:p>
    <w:p>
      <w:pPr>
        <w:pStyle w:val="Footnotesection"/>
      </w:pPr>
      <w:r>
        <w:tab/>
        <w:t>[Section 340BD inserted: No. 47 of 1978 s. 36; amended: No. 19 of 2016 s. 71.]</w:t>
      </w:r>
    </w:p>
    <w:p>
      <w:pPr>
        <w:pStyle w:val="Heading5"/>
        <w:rPr>
          <w:snapToGrid w:val="0"/>
        </w:rPr>
      </w:pPr>
      <w:bookmarkStart w:id="339" w:name="_Toc98768042"/>
      <w:r>
        <w:rPr>
          <w:rStyle w:val="CharSectno"/>
        </w:rPr>
        <w:t>340BE</w:t>
      </w:r>
      <w:r>
        <w:rPr>
          <w:snapToGrid w:val="0"/>
        </w:rPr>
        <w:t xml:space="preserve">. </w:t>
      </w:r>
      <w:r>
        <w:rPr>
          <w:snapToGrid w:val="0"/>
        </w:rPr>
        <w:tab/>
        <w:t>Tenure of office</w:t>
      </w:r>
      <w:bookmarkEnd w:id="339"/>
    </w:p>
    <w:p>
      <w:pPr>
        <w:pStyle w:val="Subsection"/>
        <w:rPr>
          <w:snapToGrid w:val="0"/>
        </w:rPr>
      </w:pPr>
      <w:r>
        <w:rPr>
          <w:snapToGrid w:val="0"/>
        </w:rPr>
        <w:tab/>
        <w:t>(1)</w:t>
      </w:r>
      <w:r>
        <w:rPr>
          <w:snapToGrid w:val="0"/>
        </w:rPr>
        <w:tab/>
        <w:t xml:space="preserve">The term of tenure of office of a person appointed as a member of the Committee (other than the Chairperson)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w:t>
      </w:r>
      <w:r>
        <w:t xml:space="preserve">Chairperson </w:t>
      </w:r>
      <w:r>
        <w:rPr>
          <w:snapToGrid w:val="0"/>
        </w:rPr>
        <w:t>the period shall be 4 years.</w:t>
      </w:r>
    </w:p>
    <w:p>
      <w:pPr>
        <w:pStyle w:val="Ednotesubsection"/>
      </w:pPr>
      <w:r>
        <w:tab/>
        <w:t>[(2)</w:t>
      </w:r>
      <w:r>
        <w:tab/>
        <w:t>deleted]</w:t>
      </w:r>
    </w:p>
    <w:p>
      <w:pPr>
        <w:pStyle w:val="Footnotesection"/>
      </w:pPr>
      <w:r>
        <w:tab/>
        <w:t>[Section 340BE inserted: No. 47 of 1978 s. 36; amended: No. 19 of 2016 s. 72.]</w:t>
      </w:r>
    </w:p>
    <w:p>
      <w:pPr>
        <w:pStyle w:val="Heading5"/>
      </w:pPr>
      <w:bookmarkStart w:id="340" w:name="_Toc98768043"/>
      <w:r>
        <w:rPr>
          <w:rStyle w:val="CharSectno"/>
        </w:rPr>
        <w:t>340BF</w:t>
      </w:r>
      <w:r>
        <w:t>.</w:t>
      </w:r>
      <w:r>
        <w:tab/>
        <w:t>When office of member becomes vacant</w:t>
      </w:r>
      <w:bookmarkEnd w:id="340"/>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340BB(3)(a), the Minister terminates the term of tenure of his or her office; or</w:t>
      </w:r>
    </w:p>
    <w:p>
      <w:pPr>
        <w:pStyle w:val="Indenta"/>
      </w:pPr>
      <w:r>
        <w:lastRenderedPageBreak/>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keepNext/>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340BF inserted: No. 19 of 2016 s. 73.]</w:t>
      </w:r>
    </w:p>
    <w:p>
      <w:pPr>
        <w:pStyle w:val="Heading5"/>
        <w:pageBreakBefore/>
        <w:spacing w:before="0"/>
        <w:rPr>
          <w:snapToGrid w:val="0"/>
        </w:rPr>
      </w:pPr>
      <w:bookmarkStart w:id="341" w:name="_Toc98768044"/>
      <w:r>
        <w:rPr>
          <w:rStyle w:val="CharSectno"/>
        </w:rPr>
        <w:lastRenderedPageBreak/>
        <w:t>340BG</w:t>
      </w:r>
      <w:r>
        <w:rPr>
          <w:snapToGrid w:val="0"/>
        </w:rPr>
        <w:t xml:space="preserve">. </w:t>
      </w:r>
      <w:r>
        <w:rPr>
          <w:snapToGrid w:val="0"/>
        </w:rPr>
        <w:tab/>
        <w:t>Vacancies in offices of members to be filled</w:t>
      </w:r>
      <w:bookmarkEnd w:id="341"/>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340BB(3), a specified body has the right to nominate that member, the Minister is not to appoint a person unless he or she is nominated by the appropriate body mentioned in that section, or unless section 340BD(3)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340BG inserted: No. 47 of 1978 s. 36; amended: No. 19 of 2016 s. 74.]</w:t>
      </w:r>
    </w:p>
    <w:p>
      <w:pPr>
        <w:pStyle w:val="Heading5"/>
      </w:pPr>
      <w:bookmarkStart w:id="342" w:name="_Toc98768045"/>
      <w:r>
        <w:rPr>
          <w:rStyle w:val="CharSectno"/>
        </w:rPr>
        <w:t>340BH</w:t>
      </w:r>
      <w:r>
        <w:t>.</w:t>
      </w:r>
      <w:r>
        <w:tab/>
        <w:t>Meetings and procedure of Committee</w:t>
      </w:r>
      <w:bookmarkEnd w:id="342"/>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lastRenderedPageBreak/>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340BH inserted: No. 19 of 2016 s. 75.]</w:t>
      </w:r>
    </w:p>
    <w:p>
      <w:pPr>
        <w:pStyle w:val="Heading5"/>
        <w:rPr>
          <w:snapToGrid w:val="0"/>
        </w:rPr>
      </w:pPr>
      <w:bookmarkStart w:id="343" w:name="_Toc98768046"/>
      <w:r>
        <w:rPr>
          <w:rStyle w:val="CharSectno"/>
        </w:rPr>
        <w:t>340BI</w:t>
      </w:r>
      <w:r>
        <w:rPr>
          <w:snapToGrid w:val="0"/>
        </w:rPr>
        <w:t xml:space="preserve">. </w:t>
      </w:r>
      <w:r>
        <w:rPr>
          <w:snapToGrid w:val="0"/>
        </w:rPr>
        <w:tab/>
        <w:t>Reimbursement of expenses of members</w:t>
      </w:r>
      <w:bookmarkEnd w:id="343"/>
    </w:p>
    <w:p>
      <w:pPr>
        <w:pStyle w:val="Subsection"/>
        <w:rPr>
          <w:snapToGrid w:val="0"/>
        </w:rPr>
      </w:pPr>
      <w:r>
        <w:rPr>
          <w:snapToGrid w:val="0"/>
        </w:rPr>
        <w:tab/>
      </w:r>
      <w:r>
        <w:rPr>
          <w:snapToGrid w:val="0"/>
        </w:rPr>
        <w:tab/>
        <w:t xml:space="preserve">The </w:t>
      </w:r>
      <w:r>
        <w:t>Chairperson</w:t>
      </w:r>
      <w:r>
        <w:rPr>
          <w:snapToGrid w:val="0"/>
        </w:rPr>
        <w:t xml:space="preserve">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No. 47 of 1978 s. 36; amended: No. 19 of 2016 s. 76.]</w:t>
      </w:r>
    </w:p>
    <w:p>
      <w:pPr>
        <w:pStyle w:val="Heading5"/>
        <w:spacing w:before="180"/>
        <w:rPr>
          <w:snapToGrid w:val="0"/>
        </w:rPr>
      </w:pPr>
      <w:bookmarkStart w:id="344" w:name="_Toc98768047"/>
      <w:r>
        <w:rPr>
          <w:rStyle w:val="CharSectno"/>
        </w:rPr>
        <w:t>340BJ</w:t>
      </w:r>
      <w:r>
        <w:rPr>
          <w:snapToGrid w:val="0"/>
        </w:rPr>
        <w:t xml:space="preserve">. </w:t>
      </w:r>
      <w:r>
        <w:rPr>
          <w:snapToGrid w:val="0"/>
        </w:rPr>
        <w:tab/>
        <w:t>Appointment of investigator</w:t>
      </w:r>
      <w:bookmarkEnd w:id="344"/>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the investigator appointed under subsection (1), or where through any cause such investigator is unable to perform the functions of his </w:t>
      </w:r>
      <w:r>
        <w:t>or her</w:t>
      </w:r>
      <w:r>
        <w:rPr>
          <w:snapToGrid w:val="0"/>
        </w:rPr>
        <w:t xml:space="preserve"> office, or during any vacancy in that office.</w:t>
      </w:r>
    </w:p>
    <w:p>
      <w:pPr>
        <w:pStyle w:val="Footnotesection"/>
      </w:pPr>
      <w:r>
        <w:tab/>
        <w:t>[Section 340BJ inserted: No. 47 of 1978 s. 36; amended: No. 19 of 2016 s. 77.]</w:t>
      </w:r>
    </w:p>
    <w:p>
      <w:pPr>
        <w:pStyle w:val="Heading5"/>
      </w:pPr>
      <w:bookmarkStart w:id="345" w:name="_Toc98768048"/>
      <w:r>
        <w:rPr>
          <w:rStyle w:val="CharSectno"/>
        </w:rPr>
        <w:lastRenderedPageBreak/>
        <w:t>340BK</w:t>
      </w:r>
      <w:r>
        <w:t>.</w:t>
      </w:r>
      <w:r>
        <w:tab/>
        <w:t>Functions of Committee</w:t>
      </w:r>
      <w:bookmarkEnd w:id="345"/>
    </w:p>
    <w:p>
      <w:pPr>
        <w:pStyle w:val="Subsection"/>
      </w:pPr>
      <w:r>
        <w:tab/>
        <w:t>(1)</w:t>
      </w:r>
      <w:r>
        <w:tab/>
        <w:t xml:space="preserve">Whenever an investigator presents to the Chairperson of the Committee a report under section 336B,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dental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dental practitioners, nurses and midwives.</w:t>
      </w:r>
    </w:p>
    <w:p>
      <w:pPr>
        <w:pStyle w:val="Subsection"/>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or dental practitioner, or each medical practitioner or dental practitioner, (if any) who was attending the deceased at the time of the occurrence of the death; and</w:t>
      </w:r>
    </w:p>
    <w:p>
      <w:pPr>
        <w:pStyle w:val="Indenti"/>
        <w:keepNext/>
      </w:pPr>
      <w:r>
        <w:lastRenderedPageBreak/>
        <w:tab/>
        <w:t>(ii)</w:t>
      </w:r>
      <w:r>
        <w:tab/>
        <w:t>the nurse or midwife (if any) who was attending the deceased at that time;</w:t>
      </w:r>
    </w:p>
    <w:p>
      <w:pPr>
        <w:pStyle w:val="Indenta"/>
      </w:pPr>
      <w:r>
        <w:tab/>
      </w:r>
      <w:r>
        <w:tab/>
        <w:t>and</w:t>
      </w:r>
    </w:p>
    <w:p>
      <w:pPr>
        <w:pStyle w:val="Indenta"/>
      </w:pPr>
      <w:r>
        <w:tab/>
        <w:t>(b)</w:t>
      </w:r>
      <w:r>
        <w:tab/>
        <w:t>may be notified in writing by the Chairperson to any other medical practitioner, dental practitioner, nurse or midwife who attended the deceased before the occurrence of the death if the Committee considers that that medical practitioner, dental practitioner, nurse or midwife should be informed of that determination and those comments.</w:t>
      </w:r>
    </w:p>
    <w:p>
      <w:pPr>
        <w:pStyle w:val="Footnotesection"/>
      </w:pPr>
      <w:r>
        <w:tab/>
        <w:t>[Section 340BK inserted: No. 19 of 2016 s. 78.]</w:t>
      </w:r>
    </w:p>
    <w:p>
      <w:pPr>
        <w:pStyle w:val="Heading5"/>
      </w:pPr>
      <w:bookmarkStart w:id="346" w:name="_Toc98768049"/>
      <w:r>
        <w:rPr>
          <w:rStyle w:val="CharSectno"/>
        </w:rPr>
        <w:t>340BLA</w:t>
      </w:r>
      <w:r>
        <w:t>. Further provisions relating to proceedings of Committee</w:t>
      </w:r>
      <w:bookmarkEnd w:id="346"/>
    </w:p>
    <w:p>
      <w:pPr>
        <w:pStyle w:val="Subsection"/>
      </w:pPr>
      <w:r>
        <w:tab/>
        <w:t>(1)</w:t>
      </w:r>
      <w:r>
        <w:tab/>
        <w:t>As soon as practicable after the Committee has made a determination under section 340BK,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 and considered by the Committee during each year.</w:t>
      </w:r>
    </w:p>
    <w:p>
      <w:pPr>
        <w:pStyle w:val="Footnotesection"/>
      </w:pPr>
      <w:r>
        <w:tab/>
        <w:t>[Section 340BLA inserted: No. 19 of 2016 s. 78.]</w:t>
      </w:r>
    </w:p>
    <w:p>
      <w:pPr>
        <w:pStyle w:val="Heading5"/>
      </w:pPr>
      <w:bookmarkStart w:id="347" w:name="_Toc98768050"/>
      <w:r>
        <w:rPr>
          <w:rStyle w:val="CharSectno"/>
        </w:rPr>
        <w:lastRenderedPageBreak/>
        <w:t>340BLB</w:t>
      </w:r>
      <w:r>
        <w:t>. Contents of notification confidential</w:t>
      </w:r>
      <w:bookmarkEnd w:id="347"/>
    </w:p>
    <w:p>
      <w:pPr>
        <w:pStyle w:val="Subsection"/>
      </w:pPr>
      <w:r>
        <w:tab/>
        <w:t>(1)</w:t>
      </w:r>
      <w:r>
        <w:tab/>
        <w:t>The contents of a notification made under section 340BK(5)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340BK(5) to any person except for the purposes of, and in accordance with, this Part commits an offence.</w:t>
      </w:r>
    </w:p>
    <w:p>
      <w:pPr>
        <w:pStyle w:val="Footnotesection"/>
      </w:pPr>
      <w:r>
        <w:tab/>
        <w:t>[Section 340BLB inserted: No. 19 of 2016 s. 78.]</w:t>
      </w:r>
    </w:p>
    <w:p>
      <w:pPr>
        <w:pStyle w:val="Heading5"/>
        <w:rPr>
          <w:snapToGrid w:val="0"/>
        </w:rPr>
      </w:pPr>
      <w:bookmarkStart w:id="348" w:name="_Toc98768051"/>
      <w:r>
        <w:rPr>
          <w:rStyle w:val="CharSectno"/>
        </w:rPr>
        <w:t>340BL</w:t>
      </w:r>
      <w:r>
        <w:rPr>
          <w:snapToGrid w:val="0"/>
        </w:rPr>
        <w:t xml:space="preserve">. </w:t>
      </w:r>
      <w:r>
        <w:rPr>
          <w:snapToGrid w:val="0"/>
        </w:rPr>
        <w:tab/>
        <w:t>When report may be published</w:t>
      </w:r>
      <w:bookmarkEnd w:id="348"/>
    </w:p>
    <w:p>
      <w:pPr>
        <w:pStyle w:val="Subsection"/>
        <w:rPr>
          <w:snapToGrid w:val="0"/>
        </w:rPr>
      </w:pPr>
      <w:r>
        <w:rPr>
          <w:snapToGrid w:val="0"/>
        </w:rPr>
        <w:tab/>
        <w:t>(1)</w:t>
      </w:r>
      <w:r>
        <w:rPr>
          <w:snapToGrid w:val="0"/>
        </w:rPr>
        <w:tab/>
        <w:t xml:space="preserve">The Committee may publish, or cause to be published, in any reputable health journal, or may make available to </w:t>
      </w:r>
      <w:r>
        <w:t>any educational institution for use in the teaching of</w:t>
      </w:r>
      <w:r>
        <w:rPr>
          <w:snapToGrid w:val="0"/>
        </w:rPr>
        <w:t xml:space="preserve">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dental practitioners, nurses, midwives and students of any educational institution</w:t>
      </w:r>
      <w:r>
        <w:rPr>
          <w:snapToGrid w:val="0"/>
        </w:rPr>
        <w:t xml:space="preserve">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No. 47 of 1978 s. 36; amended: No. 8 of 2009 s. 71(4); No. 19 of 2016 s. 79.]</w:t>
      </w:r>
    </w:p>
    <w:p>
      <w:pPr>
        <w:pStyle w:val="Heading5"/>
        <w:rPr>
          <w:snapToGrid w:val="0"/>
        </w:rPr>
      </w:pPr>
      <w:bookmarkStart w:id="349" w:name="_Toc98768052"/>
      <w:r>
        <w:rPr>
          <w:rStyle w:val="CharSectno"/>
        </w:rPr>
        <w:t>340BM</w:t>
      </w:r>
      <w:r>
        <w:rPr>
          <w:snapToGrid w:val="0"/>
        </w:rPr>
        <w:t xml:space="preserve">. </w:t>
      </w:r>
      <w:r>
        <w:rPr>
          <w:snapToGrid w:val="0"/>
        </w:rPr>
        <w:tab/>
        <w:t>Information for research not to be disclosed</w:t>
      </w:r>
      <w:bookmarkEnd w:id="349"/>
    </w:p>
    <w:p>
      <w:pPr>
        <w:pStyle w:val="Subsection"/>
        <w:rPr>
          <w:snapToGrid w:val="0"/>
        </w:rPr>
      </w:pPr>
      <w:r>
        <w:rPr>
          <w:snapToGrid w:val="0"/>
        </w:rPr>
        <w:tab/>
        <w:t>(1)</w:t>
      </w:r>
      <w:r>
        <w:rPr>
          <w:snapToGrid w:val="0"/>
        </w:rPr>
        <w:tab/>
        <w:t xml:space="preserve">A person engaged in research relating to any matter necessitating the use of or reference to any information, record, report, statement, memorandum or particulars referred to in </w:t>
      </w:r>
      <w:r>
        <w:rPr>
          <w:snapToGrid w:val="0"/>
        </w:rPr>
        <w:lastRenderedPageBreak/>
        <w:t>section 336B(6)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w:t>
      </w:r>
      <w:r>
        <w:t xml:space="preserve"> or her</w:t>
      </w:r>
      <w:r>
        <w:rPr>
          <w:snapToGrid w:val="0"/>
          <w:spacing w:val="-2"/>
        </w:rPr>
        <w:t xml:space="preserve"> duties, who interviews or in any way communicates with any person referred to in any report of the investigator or any relative of that person commits an offence, unless the consent in writing of the medical </w:t>
      </w:r>
      <w:r>
        <w:t xml:space="preserve">practitioner, dental practitioner, nurse or midwife, or any of them, </w:t>
      </w:r>
      <w:r>
        <w:rPr>
          <w:snapToGrid w:val="0"/>
          <w:spacing w:val="-2"/>
        </w:rPr>
        <w:t>attending that person at the time of the occurrence of the death being investigated is first obtained.</w:t>
      </w:r>
    </w:p>
    <w:p>
      <w:pPr>
        <w:pStyle w:val="Footnotesection"/>
      </w:pPr>
      <w:r>
        <w:tab/>
        <w:t>[Section 340BM inserted: No. 47 of 1978 s. 36; amended: No. 30 of 1982 s. 17; No. 80 of 1987 s. 162; No. 19 of 2016 s. 80.]</w:t>
      </w:r>
    </w:p>
    <w:p>
      <w:pPr>
        <w:pStyle w:val="Ednotesection"/>
        <w:spacing w:before="180"/>
        <w:ind w:left="890" w:hanging="890"/>
        <w:outlineLvl w:val="9"/>
      </w:pPr>
      <w:r>
        <w:t>[</w:t>
      </w:r>
      <w:r>
        <w:rPr>
          <w:b/>
        </w:rPr>
        <w:t>340BN.</w:t>
      </w:r>
      <w:r>
        <w:tab/>
        <w:t>Deleted: No. 19 of 2016 s. 81.]</w:t>
      </w:r>
    </w:p>
    <w:p>
      <w:pPr>
        <w:pStyle w:val="Heading2"/>
        <w:rPr>
          <w:rStyle w:val="CharPartText"/>
        </w:rPr>
      </w:pPr>
      <w:bookmarkStart w:id="350" w:name="_Toc98504324"/>
      <w:bookmarkStart w:id="351" w:name="_Toc98504655"/>
      <w:bookmarkStart w:id="352" w:name="_Toc98768053"/>
      <w:r>
        <w:rPr>
          <w:rStyle w:val="CharPartNo"/>
        </w:rPr>
        <w:lastRenderedPageBreak/>
        <w:t>Part XIV</w:t>
      </w:r>
      <w:r>
        <w:rPr>
          <w:rStyle w:val="CharDivNo"/>
        </w:rPr>
        <w:t> </w:t>
      </w:r>
      <w:r>
        <w:t>—</w:t>
      </w:r>
      <w:r>
        <w:rPr>
          <w:rStyle w:val="CharDivText"/>
        </w:rPr>
        <w:t> </w:t>
      </w:r>
      <w:r>
        <w:rPr>
          <w:rStyle w:val="CharPartText"/>
        </w:rPr>
        <w:t>Regulations and local laws</w:t>
      </w:r>
      <w:bookmarkEnd w:id="350"/>
      <w:bookmarkEnd w:id="351"/>
      <w:bookmarkEnd w:id="352"/>
    </w:p>
    <w:p>
      <w:pPr>
        <w:pStyle w:val="Footnoteheading"/>
      </w:pPr>
      <w:r>
        <w:tab/>
        <w:t>[Heading amended: No. 14 of 1996 s. 4.]</w:t>
      </w:r>
    </w:p>
    <w:p>
      <w:pPr>
        <w:pStyle w:val="Heading5"/>
        <w:rPr>
          <w:snapToGrid w:val="0"/>
        </w:rPr>
      </w:pPr>
      <w:bookmarkStart w:id="353" w:name="_Toc98768054"/>
      <w:r>
        <w:rPr>
          <w:rStyle w:val="CharSectno"/>
        </w:rPr>
        <w:t>341</w:t>
      </w:r>
      <w:r>
        <w:rPr>
          <w:snapToGrid w:val="0"/>
        </w:rPr>
        <w:t>.</w:t>
      </w:r>
      <w:r>
        <w:rPr>
          <w:snapToGrid w:val="0"/>
        </w:rPr>
        <w:tab/>
        <w:t>Regulations</w:t>
      </w:r>
      <w:bookmarkEnd w:id="35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CEO or the Chief Health Officer</w:t>
      </w:r>
      <w:r>
        <w:rPr>
          <w:snapToGrid w:val="0"/>
        </w:rPr>
        <w:t xml:space="preserve"> may, from time to time, and shall, when the Minister so requires, make regulations as hereinbefore provided, and generally for carrying into effect the provisions of this Act, and the exercise of any powers conferred on the </w:t>
      </w:r>
      <w:r>
        <w:t>CEO or the Chief Health Officer.</w:t>
      </w:r>
    </w:p>
    <w:p>
      <w:pPr>
        <w:pStyle w:val="Footnotesection"/>
      </w:pPr>
      <w:r>
        <w:tab/>
        <w:t>[Section 341, formerly section 265, renumbered as section 341: No. 38 of 1933 s. 42; amended: No. 80 of 1987 s. 163; No. 28 of 2006 s. 251; No. 19 of 2016 s. 82.]</w:t>
      </w:r>
    </w:p>
    <w:p>
      <w:pPr>
        <w:pStyle w:val="Heading5"/>
        <w:rPr>
          <w:snapToGrid w:val="0"/>
        </w:rPr>
      </w:pPr>
      <w:bookmarkStart w:id="354" w:name="_Toc98768055"/>
      <w:r>
        <w:rPr>
          <w:rStyle w:val="CharSectno"/>
        </w:rPr>
        <w:t>342</w:t>
      </w:r>
      <w:r>
        <w:rPr>
          <w:snapToGrid w:val="0"/>
        </w:rPr>
        <w:t>.</w:t>
      </w:r>
      <w:r>
        <w:rPr>
          <w:snapToGrid w:val="0"/>
        </w:rPr>
        <w:tab/>
        <w:t>Local laws</w:t>
      </w:r>
      <w:bookmarkEnd w:id="354"/>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 xml:space="preserve">may, if the </w:t>
      </w:r>
      <w:r>
        <w:t>Chief Health Officer</w:t>
      </w:r>
      <w:r>
        <w:rPr>
          <w:snapToGrid w:val="0"/>
        </w:rPr>
        <w:t xml:space="preserve"> consents; and</w:t>
      </w:r>
    </w:p>
    <w:p>
      <w:pPr>
        <w:pStyle w:val="Indenta"/>
        <w:rPr>
          <w:snapToGrid w:val="0"/>
        </w:rPr>
      </w:pPr>
      <w:r>
        <w:rPr>
          <w:snapToGrid w:val="0"/>
        </w:rPr>
        <w:tab/>
        <w:t>(b)</w:t>
      </w:r>
      <w:r>
        <w:rPr>
          <w:snapToGrid w:val="0"/>
        </w:rPr>
        <w:tab/>
        <w:t xml:space="preserve">shall, if the </w:t>
      </w:r>
      <w:r>
        <w:t xml:space="preserve">Chief Health Officer </w:t>
      </w:r>
      <w:r>
        <w:rPr>
          <w:snapToGrid w:val="0"/>
        </w:rPr>
        <w:t>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Chief Health Officer.</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w:t>
      </w:r>
      <w:r>
        <w:rPr>
          <w:snapToGrid w:val="0"/>
        </w:rPr>
        <w:lastRenderedPageBreak/>
        <w:t xml:space="preserve">direction of the </w:t>
      </w:r>
      <w:r>
        <w:t xml:space="preserve">Chief Health Officer </w:t>
      </w:r>
      <w:r>
        <w:rPr>
          <w:snapToGrid w:val="0"/>
        </w:rPr>
        <w:t>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No. 14 of 1996 s. 4; amended: No. 28 of 2006 s. 251; No. 19 of 2016 s. 83.]</w:t>
      </w:r>
    </w:p>
    <w:p>
      <w:pPr>
        <w:pStyle w:val="Heading5"/>
        <w:rPr>
          <w:snapToGrid w:val="0"/>
        </w:rPr>
      </w:pPr>
      <w:bookmarkStart w:id="355" w:name="_Toc98768056"/>
      <w:r>
        <w:rPr>
          <w:rStyle w:val="CharSectno"/>
        </w:rPr>
        <w:t>343</w:t>
      </w:r>
      <w:r>
        <w:rPr>
          <w:snapToGrid w:val="0"/>
        </w:rPr>
        <w:t>.</w:t>
      </w:r>
      <w:r>
        <w:rPr>
          <w:snapToGrid w:val="0"/>
        </w:rPr>
        <w:tab/>
        <w:t>Model local laws</w:t>
      </w:r>
      <w:bookmarkEnd w:id="355"/>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No. 14 of 1996 s. 4.]</w:t>
      </w:r>
    </w:p>
    <w:p>
      <w:pPr>
        <w:pStyle w:val="Heading5"/>
        <w:rPr>
          <w:snapToGrid w:val="0"/>
        </w:rPr>
      </w:pPr>
      <w:bookmarkStart w:id="356" w:name="_Toc98768057"/>
      <w:r>
        <w:rPr>
          <w:rStyle w:val="CharSectno"/>
        </w:rPr>
        <w:t>343A</w:t>
      </w:r>
      <w:r>
        <w:rPr>
          <w:snapToGrid w:val="0"/>
        </w:rPr>
        <w:t xml:space="preserve">. </w:t>
      </w:r>
      <w:r>
        <w:rPr>
          <w:snapToGrid w:val="0"/>
        </w:rPr>
        <w:tab/>
        <w:t>Regulations to operate as local laws</w:t>
      </w:r>
      <w:bookmarkEnd w:id="356"/>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 xml:space="preserve">A local government is to administer any regulation made under this section to the extent that it relates to any place where the </w:t>
      </w:r>
      <w:r>
        <w:rPr>
          <w:snapToGrid w:val="0"/>
        </w:rPr>
        <w:lastRenderedPageBreak/>
        <w:t>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No. 14 of 1996 s. 4.]</w:t>
      </w:r>
    </w:p>
    <w:p>
      <w:pPr>
        <w:pStyle w:val="Heading5"/>
        <w:rPr>
          <w:snapToGrid w:val="0"/>
        </w:rPr>
      </w:pPr>
      <w:bookmarkStart w:id="357" w:name="_Toc98768058"/>
      <w:r>
        <w:rPr>
          <w:rStyle w:val="CharSectno"/>
        </w:rPr>
        <w:t>343B</w:t>
      </w:r>
      <w:r>
        <w:rPr>
          <w:snapToGrid w:val="0"/>
        </w:rPr>
        <w:t xml:space="preserve">. </w:t>
      </w:r>
      <w:r>
        <w:rPr>
          <w:snapToGrid w:val="0"/>
        </w:rPr>
        <w:tab/>
        <w:t>Governor may amend or repeal local laws</w:t>
      </w:r>
      <w:bookmarkEnd w:id="357"/>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No. 14 of 1996 s. 4.]</w:t>
      </w:r>
    </w:p>
    <w:p>
      <w:pPr>
        <w:pStyle w:val="Heading5"/>
        <w:rPr>
          <w:snapToGrid w:val="0"/>
        </w:rPr>
      </w:pPr>
      <w:bookmarkStart w:id="358" w:name="_Toc98768059"/>
      <w:r>
        <w:rPr>
          <w:rStyle w:val="CharSectno"/>
        </w:rPr>
        <w:t>344</w:t>
      </w:r>
      <w:r>
        <w:rPr>
          <w:snapToGrid w:val="0"/>
        </w:rPr>
        <w:t>.</w:t>
      </w:r>
      <w:r>
        <w:rPr>
          <w:snapToGrid w:val="0"/>
        </w:rPr>
        <w:tab/>
        <w:t>Penalties, fees etc.</w:t>
      </w:r>
      <w:bookmarkEnd w:id="358"/>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 and</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xml:space="preserve">, the </w:t>
      </w:r>
      <w:r>
        <w:t>Chief Health Officer</w:t>
      </w:r>
      <w:r>
        <w:rPr>
          <w:snapToGrid w:val="0"/>
        </w:rPr>
        <w:t xml:space="preserve"> or the local government in consequence of any breach or </w:t>
      </w:r>
      <w:r>
        <w:rPr>
          <w:snapToGrid w:val="0"/>
        </w:rPr>
        <w:lastRenderedPageBreak/>
        <w:t>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formerly section 268, renumbered as section 344: No. 38 of 1933 s. 42; amended: No. 113 of 1965 s. 8(1); No. 35 of 1966 s. 7; No. 52 of 1968 s. 9; No. 28 of 1984 s. 33; No. 80 of 1987 s. 164; No. 14 of 1996 s. 4; No. 28 of 2006 s. 251; No. 19 of 2016 s. 84.]</w:t>
      </w:r>
    </w:p>
    <w:p>
      <w:pPr>
        <w:pStyle w:val="Heading5"/>
        <w:rPr>
          <w:snapToGrid w:val="0"/>
        </w:rPr>
      </w:pPr>
      <w:bookmarkStart w:id="359" w:name="_Toc98768060"/>
      <w:r>
        <w:rPr>
          <w:rStyle w:val="CharSectno"/>
        </w:rPr>
        <w:t>344A</w:t>
      </w:r>
      <w:r>
        <w:rPr>
          <w:snapToGrid w:val="0"/>
        </w:rPr>
        <w:t xml:space="preserve">. </w:t>
      </w:r>
      <w:r>
        <w:rPr>
          <w:snapToGrid w:val="0"/>
        </w:rPr>
        <w:tab/>
        <w:t>Incorporation by reference</w:t>
      </w:r>
      <w:bookmarkEnd w:id="359"/>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r>
      <w:r>
        <w:t>The CEO or the Chief Health Officer</w:t>
      </w:r>
      <w:r>
        <w:rPr>
          <w:snapToGrid w:val="0"/>
        </w:rPr>
        <w:t xml:space="preserve"> may cause to be published, and amended from time to time, a code of practice in respect of any matter or thing relating to the public health of the people of Western Australia.</w:t>
      </w:r>
    </w:p>
    <w:p>
      <w:pPr>
        <w:pStyle w:val="Subsection"/>
      </w:pPr>
      <w:r>
        <w:lastRenderedPageBreak/>
        <w:tab/>
        <w:t>(3)</w:t>
      </w:r>
      <w:r>
        <w:tab/>
        <w:t>If any standard, rule, code or other provision is adopted under subsection (1), the relevant local government (in the case of adoption by a local law) or the Chief Health Officer (in the case of adoption by any regulations) must ensure that a copy of the standard, rule, code or other provision (as amended, if applicable) is available for public inspection, without charge, during normal office hours at a place prescribed by regulation.</w:t>
      </w:r>
    </w:p>
    <w:p>
      <w:pPr>
        <w:pStyle w:val="Footnotesection"/>
      </w:pPr>
      <w:r>
        <w:tab/>
        <w:t>[Section 344A inserted: No. 28 of 1996 s. 18; amended: No. 74 of 2003 s. 64(2); No. 28 of 2006 s. 251; No. 19 of 2016 s. 85.]</w:t>
      </w:r>
    </w:p>
    <w:p>
      <w:pPr>
        <w:pStyle w:val="Heading5"/>
        <w:rPr>
          <w:snapToGrid w:val="0"/>
        </w:rPr>
      </w:pPr>
      <w:bookmarkStart w:id="360" w:name="_Toc98768061"/>
      <w:r>
        <w:rPr>
          <w:rStyle w:val="CharSectno"/>
        </w:rPr>
        <w:t>344B</w:t>
      </w:r>
      <w:r>
        <w:rPr>
          <w:snapToGrid w:val="0"/>
        </w:rPr>
        <w:t xml:space="preserve">. </w:t>
      </w:r>
      <w:r>
        <w:rPr>
          <w:snapToGrid w:val="0"/>
        </w:rPr>
        <w:tab/>
        <w:t>Evidence of contents of standard etc. adopted</w:t>
      </w:r>
      <w:bookmarkEnd w:id="360"/>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or the Chief Health Officer </w:t>
      </w:r>
      <w:r>
        <w:rPr>
          <w:snapToGrid w:val="0"/>
        </w:rPr>
        <w:t xml:space="preserve">to be a true copy as at any date or during any period is, without proof of the signature of the </w:t>
      </w:r>
      <w:r>
        <w:t xml:space="preserve">CEO or the Chief Health Officer, </w:t>
      </w:r>
      <w:r>
        <w:rPr>
          <w:snapToGrid w:val="0"/>
        </w:rPr>
        <w:t>sufficient evidence of the contents of the standard, rule, code or other provision as at that date or during that period.</w:t>
      </w:r>
    </w:p>
    <w:p>
      <w:pPr>
        <w:pStyle w:val="Footnotesection"/>
      </w:pPr>
      <w:r>
        <w:tab/>
        <w:t>[Section 344B inserted: No. 28 of 1996 s. 18; amended: No. 28 of 2006 s. 251; No. 19 of 2016 s. 86.]</w:t>
      </w:r>
    </w:p>
    <w:p>
      <w:pPr>
        <w:pStyle w:val="Heading5"/>
        <w:rPr>
          <w:snapToGrid w:val="0"/>
        </w:rPr>
      </w:pPr>
      <w:bookmarkStart w:id="361" w:name="_Toc98768062"/>
      <w:r>
        <w:rPr>
          <w:rStyle w:val="CharSectno"/>
        </w:rPr>
        <w:t>344C</w:t>
      </w:r>
      <w:r>
        <w:rPr>
          <w:snapToGrid w:val="0"/>
        </w:rPr>
        <w:t xml:space="preserve">. </w:t>
      </w:r>
      <w:r>
        <w:rPr>
          <w:snapToGrid w:val="0"/>
        </w:rPr>
        <w:tab/>
        <w:t>Fees and charges may be fixed by resolution</w:t>
      </w:r>
      <w:bookmarkEnd w:id="361"/>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lastRenderedPageBreak/>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spacing w:before="180"/>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spacing w:before="180"/>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spacing w:before="180"/>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spacing w:before="180"/>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spacing w:before="180"/>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spacing w:after="8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keepNext/>
              <w:rPr>
                <w:snapToGrid w:val="0"/>
              </w:rPr>
            </w:pPr>
            <w:r>
              <w:rPr>
                <w:snapToGrid w:val="0"/>
              </w:rPr>
              <w:t>Sections 133(1), 134(6), (11), (12), (29), (44), (45) and (46), 146(3), 158(3), 199(10) and 344(1)(a).</w:t>
            </w:r>
          </w:p>
        </w:tc>
      </w:tr>
    </w:tbl>
    <w:p>
      <w:pPr>
        <w:pStyle w:val="Footnotesection"/>
        <w:spacing w:after="400"/>
        <w:ind w:left="890" w:hanging="890"/>
      </w:pPr>
      <w:r>
        <w:tab/>
        <w:t>[Section 344C inserted: No. 28 of 1996 s. 18; amended: No. 36 of 2007 Sch. 4 cl. 4(7); No. 43 of 2008 s. 147(15).]</w:t>
      </w:r>
    </w:p>
    <w:p>
      <w:pPr>
        <w:pStyle w:val="Heading5"/>
        <w:rPr>
          <w:snapToGrid w:val="0"/>
        </w:rPr>
      </w:pPr>
      <w:bookmarkStart w:id="362" w:name="_Toc98768063"/>
      <w:r>
        <w:rPr>
          <w:rStyle w:val="CharSectno"/>
        </w:rPr>
        <w:lastRenderedPageBreak/>
        <w:t>345</w:t>
      </w:r>
      <w:r>
        <w:rPr>
          <w:snapToGrid w:val="0"/>
        </w:rPr>
        <w:t>.</w:t>
      </w:r>
      <w:r>
        <w:rPr>
          <w:snapToGrid w:val="0"/>
        </w:rPr>
        <w:tab/>
        <w:t>Regulations to be confirmed</w:t>
      </w:r>
      <w:bookmarkEnd w:id="362"/>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formerly section 269, renumbered as section 345: No. 38 of 1933 s. 42; amended: No. 28 of 1984 s. 45; No. 14 of 1996 s. 4.]</w:t>
      </w:r>
    </w:p>
    <w:p>
      <w:pPr>
        <w:pStyle w:val="Ednotesection"/>
        <w:outlineLvl w:val="9"/>
      </w:pPr>
      <w:r>
        <w:t>[</w:t>
      </w:r>
      <w:r>
        <w:rPr>
          <w:b/>
        </w:rPr>
        <w:t>346</w:t>
      </w:r>
      <w:r>
        <w:rPr>
          <w:b/>
        </w:rPr>
        <w:noBreakHyphen/>
        <w:t xml:space="preserve">347.  </w:t>
      </w:r>
      <w:r>
        <w:t>Deleted: No. 14 of 1996 s. 4.]</w:t>
      </w:r>
    </w:p>
    <w:p>
      <w:pPr>
        <w:pStyle w:val="Heading5"/>
        <w:rPr>
          <w:snapToGrid w:val="0"/>
        </w:rPr>
      </w:pPr>
      <w:bookmarkStart w:id="363" w:name="_Toc98768064"/>
      <w:r>
        <w:rPr>
          <w:rStyle w:val="CharSectno"/>
        </w:rPr>
        <w:t>348</w:t>
      </w:r>
      <w:r>
        <w:rPr>
          <w:snapToGrid w:val="0"/>
        </w:rPr>
        <w:t>.</w:t>
      </w:r>
      <w:r>
        <w:rPr>
          <w:snapToGrid w:val="0"/>
        </w:rPr>
        <w:tab/>
        <w:t>Evidence of local laws</w:t>
      </w:r>
      <w:bookmarkEnd w:id="363"/>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formerly section 272, renumbered as section 348: No. 38 of 1933 s. 42; amended: No. 14 of 1996 s. 4.]</w:t>
      </w:r>
    </w:p>
    <w:p>
      <w:pPr>
        <w:pStyle w:val="Heading5"/>
        <w:rPr>
          <w:snapToGrid w:val="0"/>
        </w:rPr>
      </w:pPr>
      <w:bookmarkStart w:id="364" w:name="_Toc98768065"/>
      <w:r>
        <w:rPr>
          <w:rStyle w:val="CharSectno"/>
        </w:rPr>
        <w:t>348A</w:t>
      </w:r>
      <w:r>
        <w:rPr>
          <w:snapToGrid w:val="0"/>
        </w:rPr>
        <w:t xml:space="preserve">. </w:t>
      </w:r>
      <w:r>
        <w:rPr>
          <w:snapToGrid w:val="0"/>
        </w:rPr>
        <w:tab/>
        <w:t>Proclamations etc. may be revoked or varied</w:t>
      </w:r>
      <w:bookmarkEnd w:id="364"/>
    </w:p>
    <w:p>
      <w:pPr>
        <w:pStyle w:val="Subsection"/>
        <w:keepNext/>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lastRenderedPageBreak/>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keepNext/>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w:t>
      </w:r>
    </w:p>
    <w:p>
      <w:pPr>
        <w:pStyle w:val="Footnotesection"/>
      </w:pPr>
      <w:r>
        <w:tab/>
        <w:t>[Section 348A inserted: No. 38 of 1960 s. 7.]</w:t>
      </w:r>
    </w:p>
    <w:p>
      <w:pPr>
        <w:pStyle w:val="Heading2"/>
        <w:rPr>
          <w:rStyle w:val="CharPartText"/>
        </w:rPr>
      </w:pPr>
      <w:bookmarkStart w:id="365" w:name="_Toc98504337"/>
      <w:bookmarkStart w:id="366" w:name="_Toc98504668"/>
      <w:bookmarkStart w:id="367" w:name="_Toc98768066"/>
      <w:r>
        <w:rPr>
          <w:rStyle w:val="CharPartNo"/>
        </w:rPr>
        <w:lastRenderedPageBreak/>
        <w:t>Part XV</w:t>
      </w:r>
      <w:r>
        <w:rPr>
          <w:rStyle w:val="CharDivNo"/>
        </w:rPr>
        <w:t> </w:t>
      </w:r>
      <w:r>
        <w:t>—</w:t>
      </w:r>
      <w:r>
        <w:rPr>
          <w:rStyle w:val="CharDivText"/>
        </w:rPr>
        <w:t> </w:t>
      </w:r>
      <w:r>
        <w:rPr>
          <w:rStyle w:val="CharPartText"/>
        </w:rPr>
        <w:t>Miscellaneous provisions</w:t>
      </w:r>
      <w:bookmarkEnd w:id="365"/>
      <w:bookmarkEnd w:id="366"/>
      <w:bookmarkEnd w:id="367"/>
    </w:p>
    <w:p>
      <w:pPr>
        <w:pStyle w:val="Heading5"/>
        <w:rPr>
          <w:snapToGrid w:val="0"/>
        </w:rPr>
      </w:pPr>
      <w:bookmarkStart w:id="368" w:name="_Toc98768067"/>
      <w:r>
        <w:rPr>
          <w:rStyle w:val="CharSectno"/>
        </w:rPr>
        <w:t>349</w:t>
      </w:r>
      <w:r>
        <w:rPr>
          <w:snapToGrid w:val="0"/>
        </w:rPr>
        <w:t>.</w:t>
      </w:r>
      <w:r>
        <w:rPr>
          <w:snapToGrid w:val="0"/>
        </w:rPr>
        <w:tab/>
        <w:t>Entry</w:t>
      </w:r>
      <w:bookmarkEnd w:id="368"/>
    </w:p>
    <w:p>
      <w:pPr>
        <w:pStyle w:val="Subsection"/>
        <w:rPr>
          <w:snapToGrid w:val="0"/>
        </w:rPr>
      </w:pPr>
      <w:r>
        <w:rPr>
          <w:snapToGrid w:val="0"/>
        </w:rPr>
        <w:tab/>
        <w:t>(1)</w:t>
      </w:r>
      <w:r>
        <w:rPr>
          <w:snapToGrid w:val="0"/>
        </w:rPr>
        <w:tab/>
      </w:r>
      <w:r>
        <w:t>Authorised officers</w:t>
      </w:r>
      <w:r>
        <w:rPr>
          <w:snapToGrid w:val="0"/>
        </w:rPr>
        <w:t xml:space="preserve">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formerly section 273, amended: No. 17 of 1918 s. 50; renumbered as section 349: No. 38 of 1933 s. 42; amended: No. 113 of 1965 s. 8(1); No. 28 of 1984 s. 34; No. 80 of 1987 s. 165; No. 14 of 1996 s. 4; No. 28 of 2006 s. 251; No. 19 of 2016 s. 87.]</w:t>
      </w:r>
    </w:p>
    <w:p>
      <w:pPr>
        <w:pStyle w:val="Heading5"/>
        <w:rPr>
          <w:snapToGrid w:val="0"/>
        </w:rPr>
      </w:pPr>
      <w:bookmarkStart w:id="369" w:name="_Toc98768068"/>
      <w:r>
        <w:rPr>
          <w:rStyle w:val="CharSectno"/>
        </w:rPr>
        <w:t>350</w:t>
      </w:r>
      <w:r>
        <w:rPr>
          <w:snapToGrid w:val="0"/>
        </w:rPr>
        <w:t>.</w:t>
      </w:r>
      <w:r>
        <w:rPr>
          <w:snapToGrid w:val="0"/>
        </w:rPr>
        <w:tab/>
        <w:t>Vessels</w:t>
      </w:r>
      <w:bookmarkEnd w:id="369"/>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xml:space="preserve">, declares, and where no </w:t>
      </w:r>
      <w:r>
        <w:rPr>
          <w:snapToGrid w:val="0"/>
        </w:rPr>
        <w:lastRenderedPageBreak/>
        <w:t>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formerly section 274, renumbered as section 350: No. 38 of 1933 s. 42; amended: No. 14 of 1996 s. 4.]</w:t>
      </w:r>
    </w:p>
    <w:p>
      <w:pPr>
        <w:pStyle w:val="Heading5"/>
        <w:rPr>
          <w:snapToGrid w:val="0"/>
        </w:rPr>
      </w:pPr>
      <w:bookmarkStart w:id="370" w:name="_Toc98768069"/>
      <w:r>
        <w:rPr>
          <w:rStyle w:val="CharSectno"/>
        </w:rPr>
        <w:t>351</w:t>
      </w:r>
      <w:r>
        <w:rPr>
          <w:snapToGrid w:val="0"/>
        </w:rPr>
        <w:t>.</w:t>
      </w:r>
      <w:r>
        <w:rPr>
          <w:snapToGrid w:val="0"/>
        </w:rPr>
        <w:tab/>
        <w:t>Obstructing execution of Act</w:t>
      </w:r>
      <w:bookmarkEnd w:id="370"/>
    </w:p>
    <w:p>
      <w:pPr>
        <w:pStyle w:val="Subsection"/>
        <w:rPr>
          <w:snapToGrid w:val="0"/>
        </w:rPr>
      </w:pPr>
      <w:r>
        <w:rPr>
          <w:snapToGrid w:val="0"/>
        </w:rPr>
        <w:tab/>
        <w:t>(1)</w:t>
      </w:r>
      <w:r>
        <w:rPr>
          <w:snapToGrid w:val="0"/>
        </w:rPr>
        <w:tab/>
        <w:t>Any person who obstructs, hinders, resists, or in anywise opposes the</w:t>
      </w:r>
      <w:r>
        <w:t xml:space="preserve"> CEO, the Chief Health Officer, any authorised officer, </w:t>
      </w:r>
      <w:r>
        <w:rPr>
          <w:snapToGrid w:val="0"/>
        </w:rPr>
        <w:t>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 the Chief Health Officer, an authorised officer </w:t>
      </w:r>
      <w:r>
        <w:rPr>
          <w:snapToGrid w:val="0"/>
        </w:rPr>
        <w:t>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lastRenderedPageBreak/>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xml:space="preserve">, the </w:t>
      </w:r>
      <w:r>
        <w:t>Chief Health Officer, an authorised officer</w:t>
      </w:r>
      <w:r>
        <w:rPr>
          <w:snapToGrid w:val="0"/>
        </w:rPr>
        <w:t xml:space="preserve"> or the local government to state the name of the owner of such premises, refuses or wilfully omits to disclose, or wilfully misstates the name of such owner, commits an offence.</w:t>
      </w:r>
    </w:p>
    <w:p>
      <w:pPr>
        <w:pStyle w:val="Footnotesection"/>
      </w:pPr>
      <w:r>
        <w:tab/>
        <w:t>[Section 351, formerly section 275, renumbered as section 351: No. 38 of 1933 s. 42; amended: No. 113 of 1965 s. 8(1); No. 28 of 1984 s. 35; No. 80 of 1987 s. 166; No. 14 of 1996 s. 4; No. 28 of 2006 s. 251; No. 19 of 2016 s. 88.]</w:t>
      </w:r>
    </w:p>
    <w:p>
      <w:pPr>
        <w:pStyle w:val="Heading5"/>
        <w:rPr>
          <w:snapToGrid w:val="0"/>
        </w:rPr>
      </w:pPr>
      <w:bookmarkStart w:id="371" w:name="_Toc98768070"/>
      <w:r>
        <w:rPr>
          <w:rStyle w:val="CharSectno"/>
        </w:rPr>
        <w:t>352</w:t>
      </w:r>
      <w:r>
        <w:rPr>
          <w:snapToGrid w:val="0"/>
        </w:rPr>
        <w:t>.</w:t>
      </w:r>
      <w:r>
        <w:rPr>
          <w:snapToGrid w:val="0"/>
        </w:rPr>
        <w:tab/>
        <w:t>Duty of police officers and authorised officers</w:t>
      </w:r>
      <w:bookmarkEnd w:id="371"/>
    </w:p>
    <w:p>
      <w:pPr>
        <w:pStyle w:val="Subsection"/>
        <w:rPr>
          <w:snapToGrid w:val="0"/>
        </w:rPr>
      </w:pPr>
      <w:r>
        <w:rPr>
          <w:snapToGrid w:val="0"/>
        </w:rPr>
        <w:tab/>
        <w:t>(1)</w:t>
      </w:r>
      <w:r>
        <w:rPr>
          <w:snapToGrid w:val="0"/>
        </w:rPr>
        <w:tab/>
        <w:t xml:space="preserve">It shall be the duty of every member of the police force and </w:t>
      </w:r>
      <w:r>
        <w:t>authorised</w:t>
      </w:r>
      <w:r>
        <w:rPr>
          <w:snapToGrid w:val="0"/>
        </w:rPr>
        <w:t xml:space="preserve">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 xml:space="preserve">Any such person who refuses to state his name and place of abode when required by a member of the police force or </w:t>
      </w:r>
      <w:r>
        <w:t>authorised</w:t>
      </w:r>
      <w:r>
        <w:rPr>
          <w:snapToGrid w:val="0"/>
        </w:rPr>
        <w:t xml:space="preserve"> officer who produces his authority so to do, may, without any other warrant than this Act, be apprehended by such officer to be dealt with according to law.</w:t>
      </w:r>
    </w:p>
    <w:p>
      <w:pPr>
        <w:pStyle w:val="Subsection"/>
        <w:keepNext/>
        <w:rPr>
          <w:snapToGrid w:val="0"/>
        </w:rPr>
      </w:pPr>
      <w:r>
        <w:rPr>
          <w:snapToGrid w:val="0"/>
        </w:rPr>
        <w:lastRenderedPageBreak/>
        <w:tab/>
        <w:t>(3)</w:t>
      </w:r>
      <w:r>
        <w:rPr>
          <w:snapToGrid w:val="0"/>
        </w:rPr>
        <w:tab/>
        <w:t>Any person who refuses to state his name and place of abode, or states a false name or place of abode, commits an offence.</w:t>
      </w:r>
    </w:p>
    <w:p>
      <w:pPr>
        <w:pStyle w:val="Footnotesection"/>
        <w:ind w:left="890" w:hanging="890"/>
      </w:pPr>
      <w:r>
        <w:tab/>
        <w:t>[Section 352, formerly section 276, renumbered as section 352: No. 38 of 1933 s. 42; amended: No. 71 of 1948 s. 14; No. 113 of 1965 s. 8(1); No. 24 of 1970 s. 12; No. 80 of 1987 s. 167; No. 59 of 1991 s. 5; No. 14 of 1996 s. 4; No. 59 of 2004 s. 141; No. 19 of 2016 s. 99.]</w:t>
      </w:r>
    </w:p>
    <w:p>
      <w:pPr>
        <w:pStyle w:val="Heading5"/>
        <w:rPr>
          <w:snapToGrid w:val="0"/>
        </w:rPr>
      </w:pPr>
      <w:bookmarkStart w:id="372" w:name="_Toc98768071"/>
      <w:r>
        <w:rPr>
          <w:rStyle w:val="CharSectno"/>
        </w:rPr>
        <w:t>353</w:t>
      </w:r>
      <w:r>
        <w:rPr>
          <w:snapToGrid w:val="0"/>
        </w:rPr>
        <w:t>.</w:t>
      </w:r>
      <w:r>
        <w:rPr>
          <w:snapToGrid w:val="0"/>
        </w:rPr>
        <w:tab/>
        <w:t>Power to take possession of and lease land or premises on which expenses are due</w:t>
      </w:r>
      <w:bookmarkEnd w:id="372"/>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formerly section 277, renumbered as section 353: No. 38 of 1933 s. 42; amended: No. 14 of 1996 s. 4.]</w:t>
      </w:r>
    </w:p>
    <w:p>
      <w:pPr>
        <w:pStyle w:val="Heading5"/>
        <w:rPr>
          <w:snapToGrid w:val="0"/>
        </w:rPr>
      </w:pPr>
      <w:bookmarkStart w:id="373" w:name="_Toc98768072"/>
      <w:r>
        <w:rPr>
          <w:rStyle w:val="CharSectno"/>
        </w:rPr>
        <w:t>354</w:t>
      </w:r>
      <w:r>
        <w:rPr>
          <w:snapToGrid w:val="0"/>
        </w:rPr>
        <w:t>.</w:t>
      </w:r>
      <w:r>
        <w:rPr>
          <w:snapToGrid w:val="0"/>
        </w:rPr>
        <w:tab/>
        <w:t>Service of notice</w:t>
      </w:r>
      <w:bookmarkEnd w:id="373"/>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lastRenderedPageBreak/>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keepLines/>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w:t>
      </w:r>
      <w:r>
        <w:rPr>
          <w:snapToGrid w:val="0"/>
        </w:rPr>
        <w:lastRenderedPageBreak/>
        <w:t>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keepNext/>
        <w:keepLines/>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ind w:left="890" w:hanging="890"/>
      </w:pPr>
      <w:r>
        <w:tab/>
        <w:t>[Section 354, formerly section 278, amended: No. 17 of 1918 s. 52; renumbered as section 354: No. 38 of 1933 s. 42; amended: No. 28 of 1984 s. 36; No. 14 of 1996 s. 4; No. 84 of 2004 s. 80 and 82; No. 28 of 2006 s. 251.]</w:t>
      </w:r>
    </w:p>
    <w:p>
      <w:pPr>
        <w:pStyle w:val="Heading5"/>
        <w:spacing w:before="260"/>
        <w:rPr>
          <w:snapToGrid w:val="0"/>
        </w:rPr>
      </w:pPr>
      <w:bookmarkStart w:id="374" w:name="_Toc98768073"/>
      <w:r>
        <w:rPr>
          <w:rStyle w:val="CharSectno"/>
        </w:rPr>
        <w:t>355</w:t>
      </w:r>
      <w:r>
        <w:rPr>
          <w:snapToGrid w:val="0"/>
        </w:rPr>
        <w:t>.</w:t>
      </w:r>
      <w:r>
        <w:rPr>
          <w:snapToGrid w:val="0"/>
        </w:rPr>
        <w:tab/>
        <w:t>Continued operation of notices and orders</w:t>
      </w:r>
      <w:bookmarkEnd w:id="374"/>
    </w:p>
    <w:p>
      <w:pPr>
        <w:pStyle w:val="Subsection"/>
        <w:spacing w:before="200"/>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Footnotesection"/>
        <w:ind w:left="890" w:hanging="890"/>
      </w:pPr>
      <w:r>
        <w:tab/>
        <w:t>[Section 355, formerly section 279, renumbered as section 355: No. 38 of 1933 s. 42.]</w:t>
      </w:r>
    </w:p>
    <w:p>
      <w:pPr>
        <w:pStyle w:val="Heading5"/>
        <w:spacing w:before="260"/>
        <w:rPr>
          <w:snapToGrid w:val="0"/>
        </w:rPr>
      </w:pPr>
      <w:bookmarkStart w:id="375" w:name="_Toc98768074"/>
      <w:r>
        <w:rPr>
          <w:rStyle w:val="CharSectno"/>
        </w:rPr>
        <w:t>356</w:t>
      </w:r>
      <w:r>
        <w:rPr>
          <w:snapToGrid w:val="0"/>
        </w:rPr>
        <w:t>.</w:t>
      </w:r>
      <w:r>
        <w:rPr>
          <w:snapToGrid w:val="0"/>
        </w:rPr>
        <w:tab/>
        <w:t>Proof of ownership</w:t>
      </w:r>
      <w:bookmarkEnd w:id="375"/>
    </w:p>
    <w:p>
      <w:pPr>
        <w:pStyle w:val="Subsection"/>
        <w:spacing w:before="200"/>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 xml:space="preserve">evidence by the certificate of the registrar of deeds and transfers or his substitute, or any assistant registrar of </w:t>
      </w:r>
      <w:r>
        <w:rPr>
          <w:snapToGrid w:val="0"/>
        </w:rPr>
        <w:lastRenderedPageBreak/>
        <w:t>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spacing w:before="80"/>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spacing w:before="200"/>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spacing w:before="200"/>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spacing w:before="200"/>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spacing w:before="200"/>
        <w:rPr>
          <w:snapToGrid w:val="0"/>
        </w:rPr>
      </w:pPr>
      <w:r>
        <w:rPr>
          <w:snapToGrid w:val="0"/>
        </w:rPr>
        <w:tab/>
      </w:r>
      <w:r>
        <w:rPr>
          <w:snapToGrid w:val="0"/>
        </w:rPr>
        <w:tab/>
        <w:t>Provided also, that nothing in this section shall exclude or take away existing methods of proof.</w:t>
      </w:r>
    </w:p>
    <w:p>
      <w:pPr>
        <w:pStyle w:val="Footnotesection"/>
      </w:pPr>
      <w:r>
        <w:tab/>
        <w:t>[Section 356, formerly section 280, amended: No. 28 of 1912 s. 9; renumbered as section 356: No. 38 of 1933 s. 42; amended: No. 81 of 1996 s. 153(1).]</w:t>
      </w:r>
    </w:p>
    <w:p>
      <w:pPr>
        <w:pStyle w:val="Heading5"/>
        <w:rPr>
          <w:snapToGrid w:val="0"/>
        </w:rPr>
      </w:pPr>
      <w:bookmarkStart w:id="376" w:name="_Toc98768075"/>
      <w:r>
        <w:rPr>
          <w:rStyle w:val="CharSectno"/>
        </w:rPr>
        <w:lastRenderedPageBreak/>
        <w:t>357</w:t>
      </w:r>
      <w:r>
        <w:rPr>
          <w:snapToGrid w:val="0"/>
        </w:rPr>
        <w:t>.</w:t>
      </w:r>
      <w:r>
        <w:rPr>
          <w:snapToGrid w:val="0"/>
        </w:rPr>
        <w:tab/>
        <w:t>Power to suspend or cancel licences</w:t>
      </w:r>
      <w:bookmarkEnd w:id="376"/>
    </w:p>
    <w:p>
      <w:pPr>
        <w:pStyle w:val="Subsection"/>
        <w:spacing w:before="200"/>
        <w:rPr>
          <w:snapToGrid w:val="0"/>
        </w:rPr>
      </w:pPr>
      <w:r>
        <w:rPr>
          <w:snapToGrid w:val="0"/>
        </w:rPr>
        <w:tab/>
      </w:r>
      <w:r>
        <w:rPr>
          <w:snapToGrid w:val="0"/>
        </w:rPr>
        <w:tab/>
        <w:t>On the conviction of any person for any offence under this Act, the</w:t>
      </w:r>
      <w:r>
        <w:t xml:space="preserve"> CEO</w:t>
      </w:r>
      <w:r>
        <w:rPr>
          <w:snapToGrid w:val="0"/>
        </w:rPr>
        <w:t xml:space="preserve">, the </w:t>
      </w:r>
      <w:r>
        <w:t>Chief Health Officer or the local government</w:t>
      </w:r>
      <w:r>
        <w:rPr>
          <w:snapToGrid w:val="0"/>
        </w:rPr>
        <w:t xml:space="preserve">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formerly section 281, amended: No. 30 of 1932 s. 44; renumbered as section 356: No. 38 of 1933 s. 42; amended: No. 28 of 1984 s. 37; No. 80 of 1987 s. 168; No. 14 of 1996 s. 4; No. 28 of 2006 s. 251; No. 19 of 2016 s. 89.]</w:t>
      </w:r>
    </w:p>
    <w:p>
      <w:pPr>
        <w:pStyle w:val="Heading5"/>
        <w:rPr>
          <w:snapToGrid w:val="0"/>
        </w:rPr>
      </w:pPr>
      <w:bookmarkStart w:id="377" w:name="_Toc98768076"/>
      <w:r>
        <w:rPr>
          <w:rStyle w:val="CharSectno"/>
        </w:rPr>
        <w:t>358</w:t>
      </w:r>
      <w:r>
        <w:rPr>
          <w:snapToGrid w:val="0"/>
        </w:rPr>
        <w:t>.</w:t>
      </w:r>
      <w:r>
        <w:rPr>
          <w:snapToGrid w:val="0"/>
        </w:rPr>
        <w:tab/>
        <w:t>Prosecution of offences</w:t>
      </w:r>
      <w:bookmarkEnd w:id="377"/>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 xml:space="preserve">An </w:t>
      </w:r>
      <w:r>
        <w:t>authorised</w:t>
      </w:r>
      <w:r>
        <w:rPr>
          <w:snapToGrid w:val="0"/>
        </w:rPr>
        <w:t xml:space="preserve">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formerly section 282, renumbered as section 358: No. 38 of 1933 s. 42; amended: No. 24 of 1970 s. 12; No. 80 of 1987 s. 169; No. 59 of 1991 s. 5(1); No. 14 of 1996 s. 4; No. 28 of 1996 s. 21; No. 19 of 2016 s. 99.]</w:t>
      </w:r>
    </w:p>
    <w:p>
      <w:pPr>
        <w:pStyle w:val="Heading5"/>
        <w:rPr>
          <w:snapToGrid w:val="0"/>
        </w:rPr>
      </w:pPr>
      <w:bookmarkStart w:id="378" w:name="_Toc98768077"/>
      <w:r>
        <w:rPr>
          <w:rStyle w:val="CharSectno"/>
        </w:rPr>
        <w:t>359</w:t>
      </w:r>
      <w:r>
        <w:rPr>
          <w:snapToGrid w:val="0"/>
        </w:rPr>
        <w:t>.</w:t>
      </w:r>
      <w:r>
        <w:rPr>
          <w:snapToGrid w:val="0"/>
        </w:rPr>
        <w:tab/>
        <w:t>No abatement</w:t>
      </w:r>
      <w:bookmarkEnd w:id="378"/>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w:t>
      </w:r>
      <w:r>
        <w:rPr>
          <w:snapToGrid w:val="0"/>
        </w:rPr>
        <w:lastRenderedPageBreak/>
        <w:t>included, but all such proceedings may be carried on as if the deceased person had not been originally so included.</w:t>
      </w:r>
    </w:p>
    <w:p>
      <w:pPr>
        <w:pStyle w:val="Footnotesection"/>
      </w:pPr>
      <w:r>
        <w:tab/>
        <w:t>[Section 359, formerly section 283, renumbered as section 359: No. 38 of 1933 s. 42; amended: No. 84 of 2004 s. 80.]</w:t>
      </w:r>
    </w:p>
    <w:p>
      <w:pPr>
        <w:pStyle w:val="Heading5"/>
        <w:rPr>
          <w:snapToGrid w:val="0"/>
        </w:rPr>
      </w:pPr>
      <w:bookmarkStart w:id="379" w:name="_Toc98768078"/>
      <w:r>
        <w:rPr>
          <w:rStyle w:val="CharSectno"/>
        </w:rPr>
        <w:t>360</w:t>
      </w:r>
      <w:r>
        <w:rPr>
          <w:snapToGrid w:val="0"/>
        </w:rPr>
        <w:t>.</w:t>
      </w:r>
      <w:r>
        <w:rPr>
          <w:snapToGrid w:val="0"/>
        </w:rPr>
        <w:tab/>
        <w:t>Penalties</w:t>
      </w:r>
      <w:bookmarkEnd w:id="379"/>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spacing w:before="60"/>
        <w:rPr>
          <w:snapToGrid w:val="0"/>
        </w:rPr>
      </w:pPr>
      <w:r>
        <w:rPr>
          <w:snapToGrid w:val="0"/>
        </w:rPr>
        <w:tab/>
        <w:t>(i)</w:t>
      </w:r>
      <w:r>
        <w:rPr>
          <w:snapToGrid w:val="0"/>
        </w:rPr>
        <w:tab/>
        <w:t>a penalty which is not more than $500 and not less than —</w:t>
      </w:r>
    </w:p>
    <w:p>
      <w:pPr>
        <w:pStyle w:val="IndentI0"/>
        <w:spacing w:before="60"/>
        <w:rPr>
          <w:snapToGrid w:val="0"/>
        </w:rPr>
      </w:pPr>
      <w:r>
        <w:rPr>
          <w:snapToGrid w:val="0"/>
        </w:rPr>
        <w:tab/>
        <w:t>(A)</w:t>
      </w:r>
      <w:r>
        <w:rPr>
          <w:snapToGrid w:val="0"/>
        </w:rPr>
        <w:tab/>
        <w:t>in the case of a first such offence, $50; and</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 and</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lastRenderedPageBreak/>
        <w:tab/>
        <w:t>(ii)</w:t>
      </w:r>
      <w:r>
        <w:rPr>
          <w:snapToGrid w:val="0"/>
        </w:rPr>
        <w:tab/>
        <w:t>if that offence is a continuing offence, a daily penalty which is not more than $100 and not less than $50;</w:t>
      </w:r>
    </w:p>
    <w:p>
      <w:pPr>
        <w:pStyle w:val="Indenta"/>
        <w:keepNext/>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 and</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rPr>
          <w:snapToGrid w:val="0"/>
        </w:rPr>
      </w:pPr>
      <w:r>
        <w:rPr>
          <w:snapToGrid w:val="0"/>
        </w:rPr>
        <w:tab/>
        <w:t>(A)</w:t>
      </w:r>
      <w:r>
        <w:rPr>
          <w:snapToGrid w:val="0"/>
        </w:rPr>
        <w:tab/>
        <w:t>in the case of a first such offence, $250; and</w:t>
      </w:r>
    </w:p>
    <w:p>
      <w:pPr>
        <w:pStyle w:val="IndentI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keepNext/>
        <w:rPr>
          <w:snapToGrid w:val="0"/>
        </w:rPr>
      </w:pPr>
      <w:r>
        <w:rPr>
          <w:snapToGrid w:val="0"/>
        </w:rPr>
        <w:lastRenderedPageBreak/>
        <w:tab/>
        <w:t>(e)</w:t>
      </w:r>
      <w:r>
        <w:rPr>
          <w:snapToGrid w:val="0"/>
        </w:rPr>
        <w:tab/>
        <w:t>Part V of Schedule 5 is liable to —</w:t>
      </w:r>
    </w:p>
    <w:p>
      <w:pPr>
        <w:pStyle w:val="Indenti"/>
        <w:keepNext/>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 and</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 and</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lastRenderedPageBreak/>
        <w:tab/>
        <w:t>(g)</w:t>
      </w:r>
      <w:r>
        <w:rPr>
          <w:snapToGrid w:val="0"/>
        </w:rPr>
        <w:tab/>
        <w:t>Part VII of Schedule 5 is liable to —</w:t>
      </w:r>
    </w:p>
    <w:p>
      <w:pPr>
        <w:pStyle w:val="Indenti"/>
        <w:keepNext/>
        <w:spacing w:before="100"/>
        <w:rPr>
          <w:snapToGrid w:val="0"/>
        </w:rPr>
      </w:pPr>
      <w:r>
        <w:rPr>
          <w:snapToGrid w:val="0"/>
        </w:rPr>
        <w:tab/>
        <w:t>(i)</w:t>
      </w:r>
      <w:r>
        <w:rPr>
          <w:snapToGrid w:val="0"/>
        </w:rPr>
        <w:tab/>
        <w:t>a penalty which is not more than $10 000 or imprisonment for a period of 12 months and not less than —</w:t>
      </w:r>
    </w:p>
    <w:p>
      <w:pPr>
        <w:pStyle w:val="IndentI0"/>
        <w:spacing w:before="100"/>
        <w:rPr>
          <w:snapToGrid w:val="0"/>
        </w:rPr>
      </w:pPr>
      <w:r>
        <w:rPr>
          <w:snapToGrid w:val="0"/>
        </w:rPr>
        <w:tab/>
        <w:t>(A)</w:t>
      </w:r>
      <w:r>
        <w:rPr>
          <w:snapToGrid w:val="0"/>
        </w:rPr>
        <w:tab/>
        <w:t>in the case of a first such offence, $1 000; and</w:t>
      </w:r>
    </w:p>
    <w:p>
      <w:pPr>
        <w:pStyle w:val="IndentI0"/>
        <w:spacing w:before="100"/>
        <w:rPr>
          <w:snapToGrid w:val="0"/>
        </w:rPr>
      </w:pPr>
      <w:r>
        <w:rPr>
          <w:snapToGrid w:val="0"/>
        </w:rPr>
        <w:tab/>
        <w:t>(B)</w:t>
      </w:r>
      <w:r>
        <w:rPr>
          <w:snapToGrid w:val="0"/>
        </w:rPr>
        <w:tab/>
        <w:t>in the case of a second such offence, $2 000; and</w:t>
      </w:r>
    </w:p>
    <w:p>
      <w:pPr>
        <w:pStyle w:val="IndentI0"/>
        <w:spacing w:before="100"/>
        <w:rPr>
          <w:snapToGrid w:val="0"/>
        </w:rPr>
      </w:pPr>
      <w:r>
        <w:rPr>
          <w:snapToGrid w:val="0"/>
        </w:rPr>
        <w:tab/>
        <w:t>(C)</w:t>
      </w:r>
      <w:r>
        <w:rPr>
          <w:snapToGrid w:val="0"/>
        </w:rPr>
        <w:tab/>
        <w:t>in the case of a third or subsequent such offence, $5 000;</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100"/>
        <w:rPr>
          <w:snapToGrid w:val="0"/>
        </w:rPr>
      </w:pPr>
      <w:r>
        <w:rPr>
          <w:snapToGrid w:val="0"/>
        </w:rPr>
        <w:tab/>
        <w:t>(h)</w:t>
      </w:r>
      <w:r>
        <w:rPr>
          <w:snapToGrid w:val="0"/>
        </w:rPr>
        <w:tab/>
        <w:t>Part VIII of Schedule 5 is liable to —</w:t>
      </w:r>
    </w:p>
    <w:p>
      <w:pPr>
        <w:pStyle w:val="Indenti"/>
        <w:spacing w:before="100"/>
        <w:rPr>
          <w:snapToGrid w:val="0"/>
        </w:rPr>
      </w:pPr>
      <w:r>
        <w:rPr>
          <w:snapToGrid w:val="0"/>
        </w:rPr>
        <w:tab/>
        <w:t>(i)</w:t>
      </w:r>
      <w:r>
        <w:rPr>
          <w:snapToGrid w:val="0"/>
        </w:rPr>
        <w:tab/>
        <w:t>a penalty which is not more than $15 000; and</w:t>
      </w:r>
    </w:p>
    <w:p>
      <w:pPr>
        <w:pStyle w:val="Indenti"/>
        <w:spacing w:before="100"/>
        <w:rPr>
          <w:snapToGrid w:val="0"/>
        </w:rPr>
      </w:pPr>
      <w:r>
        <w:rPr>
          <w:snapToGrid w:val="0"/>
        </w:rPr>
        <w:tab/>
        <w:t>(ii)</w:t>
      </w:r>
      <w:r>
        <w:rPr>
          <w:snapToGrid w:val="0"/>
        </w:rPr>
        <w:tab/>
        <w:t>if that offence is a continuing offence, a daily penalty which is not more than $1 000.</w:t>
      </w:r>
    </w:p>
    <w:p>
      <w:pPr>
        <w:pStyle w:val="Subsection"/>
        <w:spacing w:before="200"/>
      </w:pPr>
      <w:r>
        <w:tab/>
        <w:t>(2)</w:t>
      </w:r>
      <w:r>
        <w:tab/>
        <w:t>Local laws and regulations made under this Act may create offences with —</w:t>
      </w:r>
    </w:p>
    <w:p>
      <w:pPr>
        <w:pStyle w:val="Indenta"/>
      </w:pPr>
      <w:r>
        <w:tab/>
        <w:t>(a)</w:t>
      </w:r>
      <w:r>
        <w:tab/>
        <w:t>a maximum penalty of not more than $10 000; and</w:t>
      </w:r>
    </w:p>
    <w:p>
      <w:pPr>
        <w:pStyle w:val="Indenta"/>
      </w:pPr>
      <w:r>
        <w:tab/>
        <w:t>(b)</w:t>
      </w:r>
      <w:r>
        <w:tab/>
        <w:t>if the offence is a continuing offence, a daily penalty of not more than $1 000.</w:t>
      </w:r>
    </w:p>
    <w:p>
      <w:pPr>
        <w:pStyle w:val="Subsection"/>
        <w:spacing w:before="200"/>
      </w:pPr>
      <w:r>
        <w:tab/>
        <w:t>(3)</w:t>
      </w:r>
      <w:r>
        <w:tab/>
        <w:t>For the purposes of subsection  (2) —</w:t>
      </w:r>
    </w:p>
    <w:p>
      <w:pPr>
        <w:pStyle w:val="Indenta"/>
      </w:pPr>
      <w:r>
        <w:tab/>
        <w:t>(a)</w:t>
      </w:r>
      <w:r>
        <w:tab/>
        <w:t>local laws and regulations may provide for the imposition of a minimum penalty for an offence; and</w:t>
      </w:r>
    </w:p>
    <w:p>
      <w:pPr>
        <w:pStyle w:val="Indenta"/>
      </w:pPr>
      <w:r>
        <w:tab/>
        <w:t>(b)</w:t>
      </w:r>
      <w:r>
        <w:tab/>
        <w:t>the level of the penalty for an offence (whether the maximum penalty or a minimum penalty) may be related to either or both of the following —</w:t>
      </w:r>
    </w:p>
    <w:p>
      <w:pPr>
        <w:pStyle w:val="Indenti"/>
      </w:pPr>
      <w:r>
        <w:tab/>
        <w:t>(i)</w:t>
      </w:r>
      <w:r>
        <w:tab/>
        <w:t>the circumstances or extent of the offence;</w:t>
      </w:r>
    </w:p>
    <w:p>
      <w:pPr>
        <w:pStyle w:val="Indenti"/>
      </w:pPr>
      <w:r>
        <w:lastRenderedPageBreak/>
        <w:tab/>
        <w:t>(ii)</w:t>
      </w:r>
      <w:r>
        <w:tab/>
        <w:t>whether the offender has committed previous offences and, if so, the number of previous offences that the offender has committed.</w:t>
      </w:r>
    </w:p>
    <w:p>
      <w:pPr>
        <w:pStyle w:val="Footnotesection"/>
        <w:keepLines w:val="0"/>
      </w:pPr>
      <w:r>
        <w:tab/>
        <w:t>[Section 360 inserted: No. 80 of 1987 s. 170; amended: No. 59 of 1991 s. 18 and 26; No. 78 of 1995 s. 147; No. 14 of 1996 s. 4; No. 57 of 1997 s. 68(2); No. 62 of 1998 s. 6; No. 50 of 2003 s. 71(2); No. 43 of 2008 s. 147(16); No. 13 of 2014 s. 157; No. 19 of 2016 s. 90.]</w:t>
      </w:r>
    </w:p>
    <w:p>
      <w:pPr>
        <w:pStyle w:val="Heading5"/>
        <w:spacing w:before="260"/>
        <w:rPr>
          <w:snapToGrid w:val="0"/>
        </w:rPr>
      </w:pPr>
      <w:bookmarkStart w:id="380" w:name="_Toc98768079"/>
      <w:r>
        <w:rPr>
          <w:rStyle w:val="CharSectno"/>
        </w:rPr>
        <w:t>361</w:t>
      </w:r>
      <w:r>
        <w:rPr>
          <w:snapToGrid w:val="0"/>
        </w:rPr>
        <w:t>.</w:t>
      </w:r>
      <w:r>
        <w:rPr>
          <w:snapToGrid w:val="0"/>
        </w:rPr>
        <w:tab/>
        <w:t>General penalty</w:t>
      </w:r>
      <w:bookmarkEnd w:id="380"/>
    </w:p>
    <w:p>
      <w:pPr>
        <w:pStyle w:val="Subsection"/>
        <w:spacing w:before="200"/>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No. 59 of 1991 s. 27; amended: No. 14 of 1996 s. 4.]</w:t>
      </w:r>
    </w:p>
    <w:p>
      <w:pPr>
        <w:pStyle w:val="Ednotesection"/>
        <w:outlineLvl w:val="9"/>
      </w:pPr>
      <w:r>
        <w:t>[</w:t>
      </w:r>
      <w:r>
        <w:rPr>
          <w:b/>
        </w:rPr>
        <w:t>361A.</w:t>
      </w:r>
      <w:r>
        <w:tab/>
        <w:t>Deleted: No. 35 of 1966 s. 10.]</w:t>
      </w:r>
    </w:p>
    <w:p>
      <w:pPr>
        <w:pStyle w:val="Heading5"/>
        <w:rPr>
          <w:snapToGrid w:val="0"/>
        </w:rPr>
      </w:pPr>
      <w:bookmarkStart w:id="381" w:name="_Toc98768080"/>
      <w:r>
        <w:rPr>
          <w:rStyle w:val="CharSectno"/>
        </w:rPr>
        <w:t>362</w:t>
      </w:r>
      <w:r>
        <w:rPr>
          <w:snapToGrid w:val="0"/>
        </w:rPr>
        <w:t>.</w:t>
      </w:r>
      <w:r>
        <w:rPr>
          <w:snapToGrid w:val="0"/>
        </w:rPr>
        <w:tab/>
        <w:t>Proceedings for offence</w:t>
      </w:r>
      <w:bookmarkEnd w:id="381"/>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xml:space="preserve">, the </w:t>
      </w:r>
      <w:r>
        <w:t xml:space="preserve">Chief Health Officer </w:t>
      </w:r>
      <w:r>
        <w:rPr>
          <w:snapToGrid w:val="0"/>
        </w:rPr>
        <w:t>or the local government of the district in which the offence is committed, or an officer of the local government, or a member of the police force, without the consent in writing of the Attorney General.</w:t>
      </w:r>
    </w:p>
    <w:p>
      <w:pPr>
        <w:pStyle w:val="Footnotesection"/>
      </w:pPr>
      <w:r>
        <w:tab/>
        <w:t>[Section 362, formerly section 286, renumbered as section 362: No. 38 of 1933 s. 42; amended: No. 28 of 1984 s. 38; No. 80 of 1987 s. 171; No. 14 of 1996 s. 4; No. 59 of 2004 s. 141; No. 28 of 2006 s. 251; No. 19 of 2016 s. 91.]</w:t>
      </w:r>
    </w:p>
    <w:p>
      <w:pPr>
        <w:pStyle w:val="Ednotesection"/>
        <w:ind w:left="890" w:hanging="890"/>
        <w:outlineLvl w:val="9"/>
      </w:pPr>
      <w:r>
        <w:t>[</w:t>
      </w:r>
      <w:r>
        <w:rPr>
          <w:b/>
        </w:rPr>
        <w:t>363.</w:t>
      </w:r>
      <w:r>
        <w:t xml:space="preserve"> </w:t>
      </w:r>
      <w:r>
        <w:tab/>
        <w:t>Deleted: No. 59 of 2004 s. 141.]</w:t>
      </w:r>
    </w:p>
    <w:p>
      <w:pPr>
        <w:pStyle w:val="Ednotesection"/>
        <w:ind w:left="890" w:hanging="890"/>
        <w:outlineLvl w:val="9"/>
      </w:pPr>
      <w:r>
        <w:lastRenderedPageBreak/>
        <w:t>[</w:t>
      </w:r>
      <w:r>
        <w:rPr>
          <w:b/>
        </w:rPr>
        <w:t>364.</w:t>
      </w:r>
      <w:r>
        <w:tab/>
        <w:t>Deleted: No. 35 of 1935 s. 48A (as amended: No. 73 of 1954 s. 8).]</w:t>
      </w:r>
    </w:p>
    <w:p>
      <w:pPr>
        <w:pStyle w:val="Heading5"/>
        <w:rPr>
          <w:snapToGrid w:val="0"/>
        </w:rPr>
      </w:pPr>
      <w:bookmarkStart w:id="382" w:name="_Toc98768081"/>
      <w:r>
        <w:rPr>
          <w:rStyle w:val="CharSectno"/>
        </w:rPr>
        <w:t>365</w:t>
      </w:r>
      <w:r>
        <w:rPr>
          <w:snapToGrid w:val="0"/>
        </w:rPr>
        <w:t>.</w:t>
      </w:r>
      <w:r>
        <w:rPr>
          <w:snapToGrid w:val="0"/>
        </w:rPr>
        <w:tab/>
        <w:t>Protection against personal liability</w:t>
      </w:r>
      <w:bookmarkEnd w:id="382"/>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xml:space="preserve">, the </w:t>
      </w:r>
      <w:r>
        <w:t xml:space="preserve">Chief Health Officer </w:t>
      </w:r>
      <w:r>
        <w:rPr>
          <w:snapToGrid w:val="0"/>
        </w:rPr>
        <w:t>or the local government, and no matter or thing done by any officer or other person acting under the direction of the</w:t>
      </w:r>
      <w:r>
        <w:t xml:space="preserve"> CEO</w:t>
      </w:r>
      <w:r>
        <w:rPr>
          <w:snapToGrid w:val="0"/>
        </w:rPr>
        <w:t xml:space="preserve">, the </w:t>
      </w:r>
      <w:r>
        <w:t xml:space="preserve">Chief Health Officer </w:t>
      </w:r>
      <w:r>
        <w:rPr>
          <w:snapToGrid w:val="0"/>
        </w:rPr>
        <w:t xml:space="preserve">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xml:space="preserve">, the </w:t>
      </w:r>
      <w:r>
        <w:t xml:space="preserve">Chief Health Officer </w:t>
      </w:r>
      <w:r>
        <w:rPr>
          <w:snapToGrid w:val="0"/>
        </w:rPr>
        <w:t>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formerly section 289, renumbered as section 365: No. 38 of 1933 s. 42; amended: No. 28 of 1984 s. 39; No. 14 of 1996 s. 4; No. 28 of 2006 s. 251; No. 19 of 2016 s. 92.]</w:t>
      </w:r>
    </w:p>
    <w:p>
      <w:pPr>
        <w:pStyle w:val="Heading5"/>
        <w:rPr>
          <w:snapToGrid w:val="0"/>
        </w:rPr>
      </w:pPr>
      <w:bookmarkStart w:id="383" w:name="_Toc98768082"/>
      <w:r>
        <w:rPr>
          <w:rStyle w:val="CharSectno"/>
        </w:rPr>
        <w:t>366</w:t>
      </w:r>
      <w:r>
        <w:rPr>
          <w:snapToGrid w:val="0"/>
        </w:rPr>
        <w:t>.</w:t>
      </w:r>
      <w:r>
        <w:rPr>
          <w:snapToGrid w:val="0"/>
        </w:rPr>
        <w:tab/>
        <w:t>No officer to be concerned in contract</w:t>
      </w:r>
      <w:bookmarkEnd w:id="383"/>
    </w:p>
    <w:p>
      <w:pPr>
        <w:pStyle w:val="Subsection"/>
        <w:spacing w:before="180"/>
        <w:rPr>
          <w:snapToGrid w:val="0"/>
        </w:rPr>
      </w:pPr>
      <w:r>
        <w:rPr>
          <w:snapToGrid w:val="0"/>
        </w:rPr>
        <w:tab/>
        <w:t>(1)</w:t>
      </w:r>
      <w:r>
        <w:rPr>
          <w:snapToGrid w:val="0"/>
        </w:rPr>
        <w:tab/>
      </w:r>
      <w:r>
        <w:t xml:space="preserve">No CEO or Chief Health Officer, </w:t>
      </w:r>
      <w:r>
        <w:rPr>
          <w:snapToGrid w:val="0"/>
        </w:rPr>
        <w:t>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spacing w:before="180"/>
        <w:rPr>
          <w:snapToGrid w:val="0"/>
        </w:rPr>
      </w:pPr>
      <w:r>
        <w:rPr>
          <w:snapToGrid w:val="0"/>
        </w:rPr>
        <w:tab/>
      </w:r>
      <w:r>
        <w:rPr>
          <w:snapToGrid w:val="0"/>
        </w:rPr>
        <w:tab/>
        <w:t xml:space="preserve">But this subsection shall not apply to any such bargain or contract entered into by a member of the council of a local government as </w:t>
      </w:r>
      <w:r>
        <w:t xml:space="preserve">he or she, </w:t>
      </w:r>
      <w:r>
        <w:rPr>
          <w:snapToGrid w:val="0"/>
        </w:rPr>
        <w:t>while being such member, could lawfully enter into.</w:t>
      </w:r>
    </w:p>
    <w:p>
      <w:pPr>
        <w:pStyle w:val="Subsection"/>
        <w:spacing w:before="180"/>
        <w:rPr>
          <w:snapToGrid w:val="0"/>
        </w:rPr>
      </w:pPr>
      <w:r>
        <w:rPr>
          <w:snapToGrid w:val="0"/>
        </w:rPr>
        <w:tab/>
        <w:t>(2)</w:t>
      </w:r>
      <w:r>
        <w:rPr>
          <w:snapToGrid w:val="0"/>
        </w:rPr>
        <w:tab/>
        <w:t xml:space="preserve">If </w:t>
      </w:r>
      <w:r>
        <w:t xml:space="preserve">the CEO, the Chief Health Officer or any member or person is concerned or interested in the circumstances referred to in </w:t>
      </w:r>
      <w:r>
        <w:lastRenderedPageBreak/>
        <w:t>subsection (1), or if the CEO, the Chief Health Officer or any member</w:t>
      </w:r>
      <w:r>
        <w:rPr>
          <w:snapToGrid w:val="0"/>
        </w:rPr>
        <w:t xml:space="preserve"> or person, under colour of his</w:t>
      </w:r>
      <w:r>
        <w:t xml:space="preserve"> or her</w:t>
      </w:r>
      <w:r>
        <w:rPr>
          <w:snapToGrid w:val="0"/>
        </w:rPr>
        <w:t xml:space="preserve"> office or employment, exacts, takes, or accepts any fee or reward whatsoever, other than his</w:t>
      </w:r>
      <w:r>
        <w:t xml:space="preserve"> or her</w:t>
      </w:r>
      <w:r>
        <w:rPr>
          <w:snapToGrid w:val="0"/>
        </w:rPr>
        <w:t xml:space="preserve"> proper salary, wages, remuneration, and allowances, he</w:t>
      </w:r>
      <w:r>
        <w:t xml:space="preserve"> or she</w:t>
      </w:r>
      <w:r>
        <w:rPr>
          <w:snapToGrid w:val="0"/>
        </w:rPr>
        <w:t xml:space="preserve"> shall be incapable of afterwards holding or continuing in any office or employment under this Act, and commits an offence.</w:t>
      </w:r>
    </w:p>
    <w:p>
      <w:pPr>
        <w:pStyle w:val="Footnotesection"/>
        <w:ind w:left="890" w:hanging="890"/>
      </w:pPr>
      <w:r>
        <w:tab/>
        <w:t>[Section 366, formerly section 290, renumbered as section 366: No. 38 of 1933 s. 42; amended: No. 113 of 1965 s. 8(1); No. 28 of 1984 s. 40; No. 80 of 1987 s. 173; No. 14 of 1996 s. 4; No. 28 of 2006 s. 251; No. 19 of 2016 s. 93.]</w:t>
      </w:r>
    </w:p>
    <w:p>
      <w:pPr>
        <w:pStyle w:val="Heading5"/>
        <w:spacing w:before="240"/>
        <w:rPr>
          <w:snapToGrid w:val="0"/>
        </w:rPr>
      </w:pPr>
      <w:bookmarkStart w:id="384" w:name="_Toc98768083"/>
      <w:r>
        <w:rPr>
          <w:rStyle w:val="CharSectno"/>
        </w:rPr>
        <w:t>367</w:t>
      </w:r>
      <w:r>
        <w:rPr>
          <w:snapToGrid w:val="0"/>
        </w:rPr>
        <w:t>.</w:t>
      </w:r>
      <w:r>
        <w:rPr>
          <w:snapToGrid w:val="0"/>
        </w:rPr>
        <w:tab/>
        <w:t>Recovery of expenses from local government</w:t>
      </w:r>
      <w:bookmarkEnd w:id="384"/>
    </w:p>
    <w:p>
      <w:pPr>
        <w:pStyle w:val="Subsection"/>
        <w:spacing w:before="180"/>
        <w:rPr>
          <w:snapToGrid w:val="0"/>
        </w:rPr>
      </w:pPr>
      <w:r>
        <w:rPr>
          <w:snapToGrid w:val="0"/>
        </w:rPr>
        <w:tab/>
        <w:t>(1)</w:t>
      </w:r>
      <w:r>
        <w:rPr>
          <w:snapToGrid w:val="0"/>
        </w:rPr>
        <w:tab/>
        <w:t xml:space="preserve">All expenses incurred by the </w:t>
      </w:r>
      <w:r>
        <w:t>Chief Health Officer</w:t>
      </w:r>
      <w:r>
        <w:rPr>
          <w:snapToGrid w:val="0"/>
        </w:rPr>
        <w:t xml:space="preserve"> on behalf of a local government, or for which a local government is liable under this Act, shall be recoverable as a debt due to the Crown.</w:t>
      </w:r>
    </w:p>
    <w:p>
      <w:pPr>
        <w:pStyle w:val="Subsection"/>
        <w:spacing w:before="18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ind w:left="890" w:hanging="890"/>
      </w:pPr>
      <w:r>
        <w:tab/>
        <w:t>[Section 367, formerly section 291, renumbered as section 367: No. 38 of 1933 s. 42; amended: No. 28 of 1984 s. 45; No. 14 of 1996 s. 4; No. 19 of 2016 s. 100.]</w:t>
      </w:r>
    </w:p>
    <w:p>
      <w:pPr>
        <w:pStyle w:val="Heading5"/>
        <w:spacing w:before="180"/>
        <w:rPr>
          <w:snapToGrid w:val="0"/>
        </w:rPr>
      </w:pPr>
      <w:bookmarkStart w:id="385" w:name="_Toc98768084"/>
      <w:r>
        <w:rPr>
          <w:rStyle w:val="CharSectno"/>
        </w:rPr>
        <w:t>368</w:t>
      </w:r>
      <w:r>
        <w:rPr>
          <w:snapToGrid w:val="0"/>
        </w:rPr>
        <w:t>.</w:t>
      </w:r>
      <w:r>
        <w:rPr>
          <w:snapToGrid w:val="0"/>
        </w:rPr>
        <w:tab/>
        <w:t>Contribution</w:t>
      </w:r>
      <w:bookmarkEnd w:id="385"/>
    </w:p>
    <w:p>
      <w:pPr>
        <w:pStyle w:val="Subsection"/>
        <w:spacing w:before="12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Footnotesection"/>
      </w:pPr>
      <w:r>
        <w:tab/>
        <w:t>[Section 368, formerly section 292, renumbered as section 368: No. 38 of 1933 s. 42.]</w:t>
      </w:r>
    </w:p>
    <w:p>
      <w:pPr>
        <w:pStyle w:val="Heading5"/>
        <w:spacing w:before="180"/>
        <w:rPr>
          <w:snapToGrid w:val="0"/>
        </w:rPr>
      </w:pPr>
      <w:bookmarkStart w:id="386" w:name="_Toc98768085"/>
      <w:r>
        <w:rPr>
          <w:rStyle w:val="CharSectno"/>
        </w:rPr>
        <w:lastRenderedPageBreak/>
        <w:t>369</w:t>
      </w:r>
      <w:r>
        <w:rPr>
          <w:snapToGrid w:val="0"/>
        </w:rPr>
        <w:t>.</w:t>
      </w:r>
      <w:r>
        <w:rPr>
          <w:snapToGrid w:val="0"/>
        </w:rPr>
        <w:tab/>
        <w:t>Liability of owner and occupier under requisition or order</w:t>
      </w:r>
      <w:bookmarkEnd w:id="386"/>
    </w:p>
    <w:p>
      <w:pPr>
        <w:pStyle w:val="Subsection"/>
        <w:keepNext/>
        <w:keepLines/>
        <w:spacing w:before="12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xml:space="preserve">, the </w:t>
      </w:r>
      <w:r>
        <w:t>Chief Health Officer</w:t>
      </w:r>
      <w:r>
        <w:rPr>
          <w:snapToGrid w:val="0"/>
        </w:rPr>
        <w:t xml:space="preserve"> or a local government in connection with any such work;</w:t>
      </w:r>
    </w:p>
    <w:p>
      <w:pPr>
        <w:pStyle w:val="Subsection"/>
        <w:spacing w:before="12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lastRenderedPageBreak/>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formerly section 293, renumbered as section 369: No. 38 of 1933 s. 42; amended: No. 28 of 1984 s. 41; No. 14 of 1996 s. 4; No. 28 of 2006 s. 251; No. 19 of 2016 s. 100.]</w:t>
      </w:r>
    </w:p>
    <w:p>
      <w:pPr>
        <w:pStyle w:val="Heading5"/>
        <w:spacing w:before="180"/>
        <w:rPr>
          <w:snapToGrid w:val="0"/>
        </w:rPr>
      </w:pPr>
      <w:bookmarkStart w:id="387" w:name="_Toc98768086"/>
      <w:r>
        <w:rPr>
          <w:rStyle w:val="CharSectno"/>
        </w:rPr>
        <w:t>370</w:t>
      </w:r>
      <w:r>
        <w:rPr>
          <w:snapToGrid w:val="0"/>
        </w:rPr>
        <w:t>.</w:t>
      </w:r>
      <w:r>
        <w:rPr>
          <w:snapToGrid w:val="0"/>
        </w:rPr>
        <w:tab/>
        <w:t>Penalty if owner or occupier hinders the other</w:t>
      </w:r>
      <w:bookmarkEnd w:id="387"/>
    </w:p>
    <w:p>
      <w:pPr>
        <w:pStyle w:val="Subsection"/>
        <w:spacing w:before="120"/>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formerly section 294, renumbered as section 370: No. 38 of 1933 s. 42; amended: No. 113 of 1965 s. 8(1); No. 80 of 1987 s. 174.]</w:t>
      </w:r>
    </w:p>
    <w:p>
      <w:pPr>
        <w:pStyle w:val="Heading5"/>
        <w:spacing w:before="180"/>
        <w:rPr>
          <w:snapToGrid w:val="0"/>
        </w:rPr>
      </w:pPr>
      <w:bookmarkStart w:id="388" w:name="_Toc98768087"/>
      <w:r>
        <w:rPr>
          <w:rStyle w:val="CharSectno"/>
        </w:rPr>
        <w:t>371</w:t>
      </w:r>
      <w:r>
        <w:rPr>
          <w:snapToGrid w:val="0"/>
        </w:rPr>
        <w:t>.</w:t>
      </w:r>
      <w:r>
        <w:rPr>
          <w:snapToGrid w:val="0"/>
        </w:rPr>
        <w:tab/>
        <w:t>Money owing to local government to be charge against land in certain cases</w:t>
      </w:r>
      <w:bookmarkEnd w:id="388"/>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ind w:left="890" w:hanging="890"/>
      </w:pPr>
      <w:r>
        <w:tab/>
        <w:t>[Section 371, inserted as section 322A: No. 30 of 1932 s. 45; renumbered as section 371: No. 38 of 1933 s. 42; amended: No. 14 of 1996 s. 4.]</w:t>
      </w:r>
    </w:p>
    <w:p>
      <w:pPr>
        <w:pStyle w:val="Heading5"/>
        <w:spacing w:before="240"/>
        <w:rPr>
          <w:snapToGrid w:val="0"/>
        </w:rPr>
      </w:pPr>
      <w:bookmarkStart w:id="389" w:name="_Toc98768088"/>
      <w:r>
        <w:rPr>
          <w:rStyle w:val="CharSectno"/>
        </w:rPr>
        <w:t>372</w:t>
      </w:r>
      <w:r>
        <w:rPr>
          <w:snapToGrid w:val="0"/>
        </w:rPr>
        <w:t>.</w:t>
      </w:r>
      <w:r>
        <w:rPr>
          <w:snapToGrid w:val="0"/>
        </w:rPr>
        <w:tab/>
        <w:t>Provisions as to charge on land or premises</w:t>
      </w:r>
      <w:bookmarkEnd w:id="389"/>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w:t>
      </w:r>
      <w:r>
        <w:rPr>
          <w:snapToGrid w:val="0"/>
        </w:rPr>
        <w:lastRenderedPageBreak/>
        <w:t xml:space="preserve">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keepLines w:val="0"/>
        <w:ind w:left="890" w:hanging="890"/>
      </w:pPr>
      <w:r>
        <w:tab/>
        <w:t>[Section 372, formerly section 295, amended: No. 17 of 1918 s. 52; No. 30 of 1932 s. 46; renumbered as section 372: No. 38 of 1933 s. 42; amended: No. 28 of 1984 s. 42; No. 14 of 1996 s. 4; No. 81 of 1996 s. 153(2); No. 57 of 1997 s. 68(3); No. 59 of 2004 s. 141; No. 28 of 2006 s. 251; No. 60 of 2006 s. 135(2).]</w:t>
      </w:r>
    </w:p>
    <w:p>
      <w:pPr>
        <w:pStyle w:val="Heading5"/>
        <w:spacing w:before="240"/>
        <w:rPr>
          <w:snapToGrid w:val="0"/>
        </w:rPr>
      </w:pPr>
      <w:bookmarkStart w:id="390" w:name="_Toc98768089"/>
      <w:r>
        <w:rPr>
          <w:rStyle w:val="CharSectno"/>
        </w:rPr>
        <w:lastRenderedPageBreak/>
        <w:t>373</w:t>
      </w:r>
      <w:r>
        <w:rPr>
          <w:snapToGrid w:val="0"/>
        </w:rPr>
        <w:t>.</w:t>
      </w:r>
      <w:r>
        <w:rPr>
          <w:snapToGrid w:val="0"/>
        </w:rPr>
        <w:tab/>
        <w:t>References to owner and occupier</w:t>
      </w:r>
      <w:bookmarkEnd w:id="390"/>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ind w:left="890" w:hanging="890"/>
      </w:pPr>
      <w:r>
        <w:tab/>
        <w:t>[Section 373, formerly section 296, renumbered as section 373: No. 38 of 1933 s. 42; amended: No. 14 of 1996 s. 4.]</w:t>
      </w:r>
    </w:p>
    <w:p>
      <w:pPr>
        <w:pStyle w:val="Heading5"/>
        <w:spacing w:before="240"/>
        <w:rPr>
          <w:snapToGrid w:val="0"/>
        </w:rPr>
      </w:pPr>
      <w:bookmarkStart w:id="391" w:name="_Toc98768090"/>
      <w:r>
        <w:rPr>
          <w:rStyle w:val="CharSectno"/>
        </w:rPr>
        <w:t>374</w:t>
      </w:r>
      <w:r>
        <w:rPr>
          <w:snapToGrid w:val="0"/>
        </w:rPr>
        <w:t>.</w:t>
      </w:r>
      <w:r>
        <w:rPr>
          <w:snapToGrid w:val="0"/>
        </w:rPr>
        <w:tab/>
        <w:t>Appearance of local governments in legal proceedings</w:t>
      </w:r>
      <w:bookmarkEnd w:id="391"/>
    </w:p>
    <w:p>
      <w:pPr>
        <w:pStyle w:val="Subsection"/>
        <w:spacing w:before="200"/>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ind w:left="890" w:hanging="890"/>
      </w:pPr>
      <w:r>
        <w:tab/>
        <w:t>[Section 374, formerly section 297, renumbered as section 374: No. 38 of 1933 s. 42; amended: No. 14 of 1996 s. 4.]</w:t>
      </w:r>
    </w:p>
    <w:p>
      <w:pPr>
        <w:pStyle w:val="Heading5"/>
        <w:rPr>
          <w:snapToGrid w:val="0"/>
        </w:rPr>
      </w:pPr>
      <w:bookmarkStart w:id="392" w:name="_Toc98768091"/>
      <w:r>
        <w:rPr>
          <w:rStyle w:val="CharSectno"/>
        </w:rPr>
        <w:t>375</w:t>
      </w:r>
      <w:r>
        <w:rPr>
          <w:snapToGrid w:val="0"/>
        </w:rPr>
        <w:t>.</w:t>
      </w:r>
      <w:r>
        <w:rPr>
          <w:snapToGrid w:val="0"/>
        </w:rPr>
        <w:tab/>
        <w:t>Power to inspect register of births and deaths</w:t>
      </w:r>
      <w:bookmarkEnd w:id="392"/>
    </w:p>
    <w:p>
      <w:pPr>
        <w:pStyle w:val="Subsection"/>
        <w:keepNext/>
        <w:rPr>
          <w:snapToGrid w:val="0"/>
        </w:rPr>
      </w:pPr>
      <w:r>
        <w:rPr>
          <w:snapToGrid w:val="0"/>
        </w:rPr>
        <w:tab/>
      </w:r>
      <w:r>
        <w:rPr>
          <w:snapToGrid w:val="0"/>
        </w:rPr>
        <w:tab/>
        <w:t xml:space="preserve">Any </w:t>
      </w:r>
      <w:r>
        <w:t>authorised officer</w:t>
      </w:r>
      <w:r>
        <w:rPr>
          <w:snapToGrid w:val="0"/>
        </w:rPr>
        <w:t xml:space="preserve">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
          <w:iCs/>
        </w:rPr>
        <w:t>1997</w:t>
      </w:r>
      <w:r>
        <w:rPr>
          <w:iCs/>
        </w:rPr>
        <w:t>, or of</w:t>
      </w:r>
      <w:r>
        <w:t xml:space="preserve"> the department principally assisting in the administration of the </w:t>
      </w:r>
      <w:r>
        <w:rPr>
          <w:i/>
        </w:rPr>
        <w:t xml:space="preserve">Mining </w:t>
      </w:r>
      <w:r>
        <w:rPr>
          <w:i/>
        </w:rPr>
        <w:lastRenderedPageBreak/>
        <w:t>Act 1978</w:t>
      </w:r>
      <w:r>
        <w:rPr>
          <w:snapToGrid w:val="0"/>
        </w:rPr>
        <w:t>, and may inspect all plans, grants, transfers, certificates of title, and memorials free of charge.</w:t>
      </w:r>
    </w:p>
    <w:p>
      <w:pPr>
        <w:pStyle w:val="Footnotesection"/>
        <w:ind w:left="890" w:hanging="890"/>
      </w:pPr>
      <w:r>
        <w:tab/>
        <w:t>[Section 375, formerly section 298, renumbered as section 375: No. 38 of 1933 s. 42; amended: No. 14 of 1996 s. 4; No. 81 of 1996 s. 153(2); No. 60 of 2006 s. 135(3); No. 19 of 2016 s. 99.]</w:t>
      </w:r>
    </w:p>
    <w:p>
      <w:pPr>
        <w:pStyle w:val="Heading5"/>
        <w:rPr>
          <w:snapToGrid w:val="0"/>
        </w:rPr>
      </w:pPr>
      <w:bookmarkStart w:id="393" w:name="_Toc98768092"/>
      <w:r>
        <w:rPr>
          <w:rStyle w:val="CharSectno"/>
        </w:rPr>
        <w:t>376</w:t>
      </w:r>
      <w:r>
        <w:rPr>
          <w:snapToGrid w:val="0"/>
        </w:rPr>
        <w:t>.</w:t>
      </w:r>
      <w:r>
        <w:rPr>
          <w:snapToGrid w:val="0"/>
        </w:rPr>
        <w:tab/>
        <w:t>Authentication of documents</w:t>
      </w:r>
      <w:bookmarkEnd w:id="393"/>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xml:space="preserve">, the </w:t>
      </w:r>
      <w:r>
        <w:t>Chief Health Officer</w:t>
      </w:r>
      <w:r>
        <w:rPr>
          <w:snapToGrid w:val="0"/>
        </w:rPr>
        <w:t xml:space="preserve"> or by any local government shall (unless otherwise provided) be sufficiently authenticated if appearing to be signed by an officer of the Department authorised for that purpose by the</w:t>
      </w:r>
      <w:r>
        <w:t xml:space="preserve"> CEO or the Chief Health Officer, </w:t>
      </w:r>
      <w:r>
        <w:rPr>
          <w:snapToGrid w:val="0"/>
        </w:rPr>
        <w:t>or by any member or officer of the local government.</w:t>
      </w:r>
    </w:p>
    <w:p>
      <w:pPr>
        <w:pStyle w:val="Footnotesection"/>
        <w:ind w:left="890" w:hanging="890"/>
      </w:pPr>
      <w:r>
        <w:tab/>
        <w:t>[Section 376, formerly section 299, amended: No. 17 of 1918 s. 52; renumbered as section 376: No. 38 of 1933 s. 42; amended: No. 28 of 1984 s. 43; No. 14 of 1996 s. 4; No. 28 of 2006 s. 251; No. 19 of 2016 s. 94.]</w:t>
      </w:r>
    </w:p>
    <w:p>
      <w:pPr>
        <w:pStyle w:val="Heading5"/>
        <w:rPr>
          <w:snapToGrid w:val="0"/>
        </w:rPr>
      </w:pPr>
      <w:bookmarkStart w:id="394" w:name="_Toc98768093"/>
      <w:r>
        <w:rPr>
          <w:rStyle w:val="CharSectno"/>
        </w:rPr>
        <w:t>377</w:t>
      </w:r>
      <w:r>
        <w:rPr>
          <w:snapToGrid w:val="0"/>
        </w:rPr>
        <w:t>.</w:t>
      </w:r>
      <w:r>
        <w:rPr>
          <w:snapToGrid w:val="0"/>
        </w:rPr>
        <w:tab/>
        <w:t>Evidence</w:t>
      </w:r>
      <w:bookmarkEnd w:id="394"/>
    </w:p>
    <w:p>
      <w:pPr>
        <w:pStyle w:val="Subsection"/>
        <w:keepNext/>
        <w:keepLines/>
        <w:spacing w:before="180"/>
        <w:rPr>
          <w:snapToGrid w:val="0"/>
        </w:rPr>
      </w:pPr>
      <w:r>
        <w:rPr>
          <w:snapToGrid w:val="0"/>
        </w:rPr>
        <w:tab/>
      </w:r>
      <w:r>
        <w:rPr>
          <w:snapToGrid w:val="0"/>
        </w:rPr>
        <w:tab/>
        <w:t>In any prosecution or other legal proceeding under this Act or any regulation or local law —</w:t>
      </w:r>
    </w:p>
    <w:p>
      <w:pPr>
        <w:pStyle w:val="Indenta"/>
        <w:spacing w:before="100"/>
        <w:rPr>
          <w:snapToGrid w:val="0"/>
        </w:rPr>
      </w:pPr>
      <w:r>
        <w:rPr>
          <w:snapToGrid w:val="0"/>
        </w:rPr>
        <w:tab/>
        <w:t>(1)</w:t>
      </w:r>
      <w:r>
        <w:rPr>
          <w:snapToGrid w:val="0"/>
        </w:rPr>
        <w:tab/>
        <w:t>the signature of the</w:t>
      </w:r>
      <w:r>
        <w:t xml:space="preserve"> CEO</w:t>
      </w:r>
      <w:r>
        <w:rPr>
          <w:snapToGrid w:val="0"/>
        </w:rPr>
        <w:t xml:space="preserve">, the </w:t>
      </w:r>
      <w:r>
        <w:t xml:space="preserve">Chief Health Officer, </w:t>
      </w:r>
      <w:r>
        <w:rPr>
          <w:snapToGrid w:val="0"/>
        </w:rPr>
        <w:t xml:space="preserve">an officer of the Department authorised for that purpose by the </w:t>
      </w:r>
      <w:r>
        <w:t xml:space="preserve">CEO </w:t>
      </w:r>
      <w:r>
        <w:rPr>
          <w:snapToGrid w:val="0"/>
        </w:rPr>
        <w:t>and of the chief executive officer of the local government shall be judicially noticed;</w:t>
      </w:r>
    </w:p>
    <w:p>
      <w:pPr>
        <w:pStyle w:val="Indenta"/>
        <w:spacing w:before="10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xml:space="preserve">, the </w:t>
      </w:r>
      <w:r>
        <w:t xml:space="preserve">Chief Health Officer </w:t>
      </w:r>
      <w:r>
        <w:rPr>
          <w:snapToGrid w:val="0"/>
        </w:rPr>
        <w:t xml:space="preserve">or a local government, under the provisions of this Act, or the production of a document purporting to be a copy of any such regulation, local law, or order, and purporting to be printed by the Government Printer or by the authority of </w:t>
      </w:r>
      <w:r>
        <w:rPr>
          <w:snapToGrid w:val="0"/>
        </w:rPr>
        <w:lastRenderedPageBreak/>
        <w:t>the Government, shall be for all purposes conclusive evidence of such regulation, local law, or order;</w:t>
      </w:r>
    </w:p>
    <w:p>
      <w:pPr>
        <w:pStyle w:val="Indenta"/>
        <w:spacing w:before="10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0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00"/>
        <w:rPr>
          <w:snapToGrid w:val="0"/>
        </w:rPr>
      </w:pPr>
      <w:r>
        <w:rPr>
          <w:snapToGrid w:val="0"/>
        </w:rPr>
        <w:tab/>
        <w:t>(4)</w:t>
      </w:r>
      <w:r>
        <w:rPr>
          <w:snapToGrid w:val="0"/>
        </w:rPr>
        <w:tab/>
        <w:t xml:space="preserve">no proof shall be required of the particular or general appointment or qualification of any </w:t>
      </w:r>
      <w:r>
        <w:t>authorised officer</w:t>
      </w:r>
      <w:r>
        <w:rPr>
          <w:snapToGrid w:val="0"/>
        </w:rPr>
        <w:t xml:space="preserve"> or any officer of a local government;</w:t>
      </w:r>
    </w:p>
    <w:p>
      <w:pPr>
        <w:pStyle w:val="Ednotepara"/>
        <w:keepNext/>
        <w:spacing w:before="100"/>
        <w:ind w:left="1610" w:hanging="1610"/>
        <w:rPr>
          <w:snapToGrid w:val="0"/>
        </w:rPr>
      </w:pPr>
      <w:r>
        <w:tab/>
        <w:t>[(5)</w:t>
      </w:r>
      <w:r>
        <w:tab/>
        <w:t>deleted]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Ednotepara"/>
        <w:keepNext/>
        <w:spacing w:before="100"/>
        <w:ind w:left="1610" w:hanging="1610"/>
      </w:pPr>
      <w:r>
        <w:lastRenderedPageBreak/>
        <w:tab/>
        <w:t>[(10)</w:t>
      </w:r>
      <w:r>
        <w:tab/>
      </w:r>
      <w:r>
        <w:tab/>
        <w:t>deleted]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after="120"/>
        <w:ind w:left="890" w:hanging="890"/>
      </w:pPr>
      <w:r>
        <w:tab/>
        <w:t>[Section 377, formerly section 300, amended: No. 28 of 1912 s. 10; No. 17 of 1918 s. 51 and 52; No. 30 of 1932 s. 47; renumbered as section 377: No. 38 of 1933 s. 42; amended: No. 21 of 1944 s. 14; No. 28 of 1984 s. 44; No. 80 of 1987 s. 175; No. 14 of 1996 s. 4; No. 57 of 1997 s. 68(3); No. 59 of 2004 s. 141; No. 84 of 2004 s. 80 and 82; No. 28 of 2006 s. 251; No. 43 of 2008 s. 147(17); No. 13 of 2014 s. 158; No. 19 of 2016 s. 95.]</w:t>
      </w:r>
    </w:p>
    <w:p>
      <w:pPr>
        <w:pStyle w:val="Heading5"/>
        <w:rPr>
          <w:snapToGrid w:val="0"/>
        </w:rPr>
      </w:pPr>
      <w:bookmarkStart w:id="395" w:name="_Toc98768094"/>
      <w:r>
        <w:rPr>
          <w:rStyle w:val="CharSectno"/>
        </w:rPr>
        <w:t>378</w:t>
      </w:r>
      <w:r>
        <w:rPr>
          <w:snapToGrid w:val="0"/>
        </w:rPr>
        <w:t>.</w:t>
      </w:r>
      <w:r>
        <w:rPr>
          <w:snapToGrid w:val="0"/>
        </w:rPr>
        <w:tab/>
        <w:t>Regulations and local laws to be judicially noticed</w:t>
      </w:r>
      <w:bookmarkEnd w:id="395"/>
    </w:p>
    <w:p>
      <w:pPr>
        <w:pStyle w:val="Subsection"/>
        <w:keepNext/>
        <w:keepLines/>
        <w:rPr>
          <w:snapToGrid w:val="0"/>
        </w:rPr>
      </w:pPr>
      <w:r>
        <w:rPr>
          <w:snapToGrid w:val="0"/>
        </w:rPr>
        <w:tab/>
      </w:r>
      <w:r>
        <w:rPr>
          <w:snapToGrid w:val="0"/>
        </w:rPr>
        <w:tab/>
        <w:t>All courts shall take judicial notice of all local laws and regulations under this Act.</w:t>
      </w:r>
    </w:p>
    <w:p>
      <w:pPr>
        <w:pStyle w:val="Footnotesection"/>
        <w:ind w:left="890" w:hanging="890"/>
      </w:pPr>
      <w:r>
        <w:tab/>
        <w:t>[Section 378 inserted as section 301: No. 55 of 1915 s. 4; renumbered as section 378: No. 38 of 1933 s. 42; amended: No. 14 of 1996 s. 4; No. 59 of 2004 s. 141.]</w:t>
      </w:r>
    </w:p>
    <w:p>
      <w:pPr>
        <w:pStyle w:val="Heading5"/>
      </w:pPr>
      <w:bookmarkStart w:id="396" w:name="_Toc98768095"/>
      <w:r>
        <w:rPr>
          <w:rStyle w:val="CharSectno"/>
        </w:rPr>
        <w:t>379</w:t>
      </w:r>
      <w:r>
        <w:t>.</w:t>
      </w:r>
      <w:r>
        <w:tab/>
        <w:t xml:space="preserve">Transitional provisions for </w:t>
      </w:r>
      <w:r>
        <w:rPr>
          <w:i/>
        </w:rPr>
        <w:t>Public Health (Consequential Provisions) Act 2016</w:t>
      </w:r>
      <w:bookmarkEnd w:id="396"/>
    </w:p>
    <w:p>
      <w:pPr>
        <w:pStyle w:val="Subsection"/>
      </w:pPr>
      <w:r>
        <w:tab/>
      </w:r>
      <w:r>
        <w:tab/>
        <w:t>Schedule 6 sets out transitional provisions.</w:t>
      </w:r>
    </w:p>
    <w:p>
      <w:pPr>
        <w:pStyle w:val="Footnotesection"/>
      </w:pPr>
      <w:r>
        <w:tab/>
        <w:t>[Section 379 inserted: No. 19 of 2016 s. 96.]</w:t>
      </w:r>
    </w:p>
    <w:p>
      <w:pPr>
        <w:pStyle w:val="yEdnoteschedule"/>
        <w:spacing w:before="120"/>
      </w:pPr>
      <w:r>
        <w:t>[Schedule 1 deleted: No. 19 of 2016 s. 272.]</w:t>
      </w:r>
    </w:p>
    <w:p>
      <w:pPr>
        <w:rPr>
          <w:rStyle w:val="CharDivText"/>
        </w:rPr>
        <w:sectPr>
          <w:headerReference w:type="even" r:id="rId21"/>
          <w:headerReference w:type="default" r:id="rId22"/>
          <w:headerReference w:type="first" r:id="rId23"/>
          <w:pgSz w:w="11907" w:h="16840" w:code="9"/>
          <w:pgMar w:top="2376" w:right="2410" w:bottom="3544" w:left="2410" w:header="709" w:footer="3379" w:gutter="0"/>
          <w:pgNumType w:start="1"/>
          <w:cols w:space="720"/>
          <w:noEndnote/>
          <w:titlePg/>
          <w:docGrid w:linePitch="326"/>
        </w:sectPr>
      </w:pPr>
    </w:p>
    <w:p>
      <w:pPr>
        <w:pStyle w:val="yScheduleHeading"/>
        <w:outlineLvl w:val="0"/>
      </w:pPr>
      <w:bookmarkStart w:id="397" w:name="_Toc98504367"/>
      <w:bookmarkStart w:id="398" w:name="_Toc98504698"/>
      <w:bookmarkStart w:id="399" w:name="_Toc98768096"/>
      <w:r>
        <w:rPr>
          <w:rStyle w:val="CharSchNo"/>
        </w:rPr>
        <w:lastRenderedPageBreak/>
        <w:t>Schedule 2</w:t>
      </w:r>
      <w:bookmarkEnd w:id="397"/>
      <w:bookmarkEnd w:id="398"/>
      <w:bookmarkEnd w:id="399"/>
    </w:p>
    <w:p>
      <w:pPr>
        <w:pStyle w:val="yShoulderClause"/>
      </w:pPr>
      <w:r>
        <w:t>[Section 186]</w:t>
      </w:r>
    </w:p>
    <w:p>
      <w:pPr>
        <w:pStyle w:val="yFootnoteheading"/>
      </w:pPr>
      <w:r>
        <w:tab/>
        <w:t>[Heading amended: No. 26 of 1985 s. 10.]</w:t>
      </w:r>
    </w:p>
    <w:p>
      <w:pPr>
        <w:pStyle w:val="yHeading2"/>
        <w:spacing w:after="120"/>
        <w:outlineLvl w:val="0"/>
      </w:pPr>
      <w:bookmarkStart w:id="400" w:name="_Toc98504368"/>
      <w:bookmarkStart w:id="401" w:name="_Toc98504699"/>
      <w:bookmarkStart w:id="402" w:name="_Toc98768097"/>
      <w:r>
        <w:rPr>
          <w:rStyle w:val="CharSchText"/>
        </w:rPr>
        <w:t>Offensive trades</w:t>
      </w:r>
      <w:bookmarkEnd w:id="400"/>
      <w:bookmarkEnd w:id="401"/>
      <w:bookmarkEnd w:id="402"/>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No. 25 of 1952 s. 10; No. 26 of 1985 s. 10; and Gazette 20 Sep 1918 p. 1453; 26 Nov 1993 p. 6321; 17 Nov 2000 p. 6289.]</w:t>
      </w:r>
    </w:p>
    <w:p>
      <w:pPr>
        <w:pStyle w:val="yEdnoteschedule"/>
        <w:keepNext/>
        <w:spacing w:before="120"/>
      </w:pPr>
      <w:r>
        <w:lastRenderedPageBreak/>
        <w:t>[Schedule 3 deleted: No. 43 of 2008 s. 147(14).]</w:t>
      </w:r>
    </w:p>
    <w:p>
      <w:pPr>
        <w:pStyle w:val="yEdnoteschedule"/>
        <w:spacing w:before="120"/>
      </w:pPr>
      <w:r>
        <w:t>[Schedule 4 deleted: No. 19 of 2016 s. 274.]</w:t>
      </w:r>
    </w:p>
    <w:p>
      <w:pPr>
        <w:pStyle w:val="yScheduleHeading"/>
        <w:outlineLvl w:val="0"/>
      </w:pPr>
      <w:bookmarkStart w:id="403" w:name="_Toc98504369"/>
      <w:bookmarkStart w:id="404" w:name="_Toc98504700"/>
      <w:bookmarkStart w:id="405" w:name="_Toc98768098"/>
      <w:r>
        <w:rPr>
          <w:rStyle w:val="CharSchNo"/>
        </w:rPr>
        <w:lastRenderedPageBreak/>
        <w:t>Schedule 5</w:t>
      </w:r>
      <w:bookmarkEnd w:id="403"/>
      <w:bookmarkEnd w:id="404"/>
      <w:bookmarkEnd w:id="405"/>
    </w:p>
    <w:p>
      <w:pPr>
        <w:pStyle w:val="yShoulderClause"/>
      </w:pPr>
      <w:r>
        <w:t>[Section 360(1)]</w:t>
      </w:r>
    </w:p>
    <w:p>
      <w:pPr>
        <w:pStyle w:val="yHeading2"/>
        <w:outlineLvl w:val="0"/>
      </w:pPr>
      <w:bookmarkStart w:id="406" w:name="_Toc98504370"/>
      <w:bookmarkStart w:id="407" w:name="_Toc98504701"/>
      <w:bookmarkStart w:id="408" w:name="_Toc98768099"/>
      <w:r>
        <w:rPr>
          <w:rStyle w:val="CharSchText"/>
        </w:rPr>
        <w:t>Penalties</w:t>
      </w:r>
      <w:bookmarkEnd w:id="406"/>
      <w:bookmarkEnd w:id="407"/>
      <w:bookmarkEnd w:id="408"/>
    </w:p>
    <w:p>
      <w:pPr>
        <w:pStyle w:val="yFootnoteheading"/>
      </w:pPr>
      <w:r>
        <w:tab/>
        <w:t>[Heading inserted: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263(4), 285(1), 306(1) and (2), 311, 349(2), 351(2) and (5) and 352(3).</w:t>
      </w:r>
    </w:p>
    <w:p>
      <w:pPr>
        <w:pStyle w:val="yFootnotesection"/>
      </w:pPr>
      <w:r>
        <w:tab/>
        <w:t>[Part I inserted: No. 80 of 1987 s. 176; amended: No. 23 of 2006 s. 13(1); No. 36 of 2007 Sch. 4 cl. 4(8); No. 43 of 2008 s. 147(18); No. 13 of 2014 s. 159(a).]</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260(3), 262(4), 266, 268, 269, 273(4) and (6), 277(5), 280(4), 294(7)(a), 307(8), 332(2), 335(3), 337(6), 338(1), 351(1) and (3) and 370.</w:t>
      </w:r>
    </w:p>
    <w:p>
      <w:pPr>
        <w:pStyle w:val="yFootnotesection"/>
      </w:pPr>
      <w:r>
        <w:tab/>
        <w:t>[Part II inserted: No. 80 of 1987 s. 176; amended: No. 59 of 1991 s. 28(a); No. 28 of 1996 s. 19; No. 28 of 2003 s. 77(3); No. 23 of 2006 s. 13(2); No. 43 of 2008 s. 147(19); No. 13 of 2014 s. 159(b).]</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No. 80 of 1987 s. 176; amended: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267(1), 278(1), 279, 282(2), 310(1), 313(1), 332(1), 336(5a), 336A(5a), 336B(7a), 340LB(2), 340M(1) and (2), 340ALB(2), 340AM(1) and (2), 340BLB(2), 340BM(1) and (2) and 366(2).</w:t>
      </w:r>
    </w:p>
    <w:p>
      <w:pPr>
        <w:pStyle w:val="yFootnotesection"/>
      </w:pPr>
      <w:r>
        <w:tab/>
        <w:t>[Part IV inserted: No. 80 of 1987 s. 176; amended: No. 59 of 1991 s. 19 and 28(b); No. 74 of 2003 s. 64(3); No. 23 of 2006 s. 13(4); No. 43 of 2008 s. 147(21); No. 13 of 2014 s. 159(c); No. 19 of 2016 s. 97.]</w:t>
      </w:r>
    </w:p>
    <w:p>
      <w:pPr>
        <w:pStyle w:val="MiscellaneousHeading"/>
        <w:outlineLvl w:val="0"/>
        <w:rPr>
          <w:i/>
          <w:sz w:val="22"/>
        </w:rPr>
      </w:pPr>
      <w:r>
        <w:rPr>
          <w:i/>
          <w:sz w:val="22"/>
        </w:rPr>
        <w:lastRenderedPageBreak/>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No. 80 of 1987 s. 176; amended: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246FD(1), 246FE(1), 246FF(1), 246FG(1), 297(1), 314(1) and 340AL(1c).</w:t>
      </w:r>
    </w:p>
    <w:p>
      <w:pPr>
        <w:pStyle w:val="yFootnotesection"/>
      </w:pPr>
      <w:r>
        <w:tab/>
        <w:t>[Part VI inserted: No. 80 of 1987 s. 176; amended: No. 59 of 1991 s. 28(c); No. 43 of 2008 s. 147(23); No. 13 of 2014 s. 159(d).]</w:t>
      </w:r>
    </w:p>
    <w:p>
      <w:pPr>
        <w:pStyle w:val="MiscellaneousHeading"/>
        <w:outlineLvl w:val="0"/>
        <w:rPr>
          <w:i/>
          <w:sz w:val="22"/>
        </w:rPr>
      </w:pPr>
      <w:r>
        <w:rPr>
          <w:i/>
          <w:sz w:val="22"/>
        </w:rPr>
        <w:t>Part VII</w:t>
      </w:r>
    </w:p>
    <w:p>
      <w:pPr>
        <w:pStyle w:val="yMiscellaneousBody"/>
        <w:tabs>
          <w:tab w:val="left" w:pos="560"/>
        </w:tabs>
        <w:ind w:left="588" w:hanging="588"/>
      </w:pPr>
      <w:r>
        <w:t>Sections 129, 131(2) and 312.</w:t>
      </w:r>
    </w:p>
    <w:p>
      <w:pPr>
        <w:pStyle w:val="yFootnotesection"/>
      </w:pPr>
      <w:r>
        <w:tab/>
        <w:t>[Part VII inserted: No. 80 of 1987 s. 176; amended: No. 43 of 2008 s. 147(24); No. 13 of 2014 s. 159(e).]</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No. 50 of 1996 s. 6.]</w:t>
      </w:r>
    </w:p>
    <w:p>
      <w:pPr>
        <w:sectPr>
          <w:headerReference w:type="even" r:id="rId24"/>
          <w:headerReference w:type="default" r:id="rId25"/>
          <w:headerReference w:type="first" r:id="rId26"/>
          <w:pgSz w:w="11907" w:h="16840" w:code="9"/>
          <w:pgMar w:top="2376" w:right="2410" w:bottom="3544" w:left="2410" w:header="709" w:footer="3379" w:gutter="0"/>
          <w:cols w:space="720"/>
          <w:noEndnote/>
          <w:docGrid w:linePitch="326"/>
        </w:sectPr>
      </w:pPr>
    </w:p>
    <w:p>
      <w:pPr>
        <w:pStyle w:val="yScheduleHeading"/>
      </w:pPr>
      <w:bookmarkStart w:id="410" w:name="_Toc98504371"/>
      <w:bookmarkStart w:id="411" w:name="_Toc98504702"/>
      <w:bookmarkStart w:id="412" w:name="_Toc98768100"/>
      <w:r>
        <w:rPr>
          <w:rStyle w:val="CharSchNo"/>
        </w:rPr>
        <w:lastRenderedPageBreak/>
        <w:t>Schedule 6</w:t>
      </w:r>
      <w:r>
        <w:t> — </w:t>
      </w:r>
      <w:r>
        <w:rPr>
          <w:rStyle w:val="CharSchText"/>
        </w:rPr>
        <w:t xml:space="preserve">Transitional provisions for </w:t>
      </w:r>
      <w:r>
        <w:rPr>
          <w:rStyle w:val="CharSchText"/>
          <w:i/>
        </w:rPr>
        <w:t>Public Health (Consequential Provisions) Act 2016</w:t>
      </w:r>
      <w:bookmarkEnd w:id="410"/>
      <w:bookmarkEnd w:id="411"/>
      <w:bookmarkEnd w:id="412"/>
    </w:p>
    <w:p>
      <w:pPr>
        <w:pStyle w:val="yShoulderClause"/>
      </w:pPr>
      <w:r>
        <w:t>[s. 379]</w:t>
      </w:r>
    </w:p>
    <w:p>
      <w:pPr>
        <w:pStyle w:val="yFootnoteheading"/>
      </w:pPr>
      <w:r>
        <w:tab/>
        <w:t>[Heading inserted: No. 19 of 2016 s. 98.]</w:t>
      </w:r>
    </w:p>
    <w:p>
      <w:pPr>
        <w:pStyle w:val="yHeading5"/>
      </w:pPr>
      <w:bookmarkStart w:id="413" w:name="_Toc98768101"/>
      <w:r>
        <w:rPr>
          <w:rStyle w:val="CharSClsNo"/>
        </w:rPr>
        <w:t>1</w:t>
      </w:r>
      <w:r>
        <w:t>.</w:t>
      </w:r>
      <w:r>
        <w:tab/>
        <w:t xml:space="preserve">References to </w:t>
      </w:r>
      <w:r>
        <w:rPr>
          <w:i/>
        </w:rPr>
        <w:t>Health Act 1911</w:t>
      </w:r>
      <w:r>
        <w:t xml:space="preserve"> may be taken to be references to </w:t>
      </w:r>
      <w:r>
        <w:rPr>
          <w:i/>
        </w:rPr>
        <w:t>Health (Miscellaneous Provisions) Act 1911</w:t>
      </w:r>
      <w:bookmarkEnd w:id="413"/>
    </w:p>
    <w:p>
      <w:pPr>
        <w:pStyle w:val="ySubsection"/>
      </w:pPr>
      <w:r>
        <w:tab/>
        <w:t>(1)</w:t>
      </w:r>
      <w:r>
        <w:tab/>
        <w:t xml:space="preserve">A reference in a document (other than a written law) to the </w:t>
      </w:r>
      <w:r>
        <w:rPr>
          <w:i/>
        </w:rPr>
        <w:t>Health Act 1911</w:t>
      </w:r>
      <w:r>
        <w:t xml:space="preserve"> may be taken to be a reference to the </w:t>
      </w:r>
      <w:r>
        <w:rPr>
          <w:i/>
        </w:rPr>
        <w:t>Health (Miscellaneous Provisions) Act 1911</w:t>
      </w:r>
      <w:r>
        <w:t xml:space="preserve"> if it would be appropriate in the context to do so.</w:t>
      </w:r>
    </w:p>
    <w:p>
      <w:pPr>
        <w:pStyle w:val="ySubsection"/>
      </w:pPr>
      <w:r>
        <w:tab/>
        <w:t>(2)</w:t>
      </w:r>
      <w:r>
        <w:tab/>
        <w:t xml:space="preserve">This clause does not prejudice or affect the application of the </w:t>
      </w:r>
      <w:r>
        <w:rPr>
          <w:i/>
        </w:rPr>
        <w:t>Interpretation Act 1984</w:t>
      </w:r>
      <w:r>
        <w:t xml:space="preserve"> section 16(1).</w:t>
      </w:r>
    </w:p>
    <w:p>
      <w:pPr>
        <w:pStyle w:val="yFootnotesection"/>
      </w:pPr>
      <w:r>
        <w:tab/>
        <w:t>[Clause 1 inserted: No. 19 of 2016 s. 98.]</w:t>
      </w:r>
    </w:p>
    <w:p>
      <w:pPr>
        <w:pStyle w:val="yHeading5"/>
      </w:pPr>
      <w:bookmarkStart w:id="414" w:name="_Toc98768102"/>
      <w:r>
        <w:rPr>
          <w:rStyle w:val="CharSClsNo"/>
        </w:rPr>
        <w:t>2</w:t>
      </w:r>
      <w:r>
        <w:t>.</w:t>
      </w:r>
      <w:r>
        <w:tab/>
        <w:t>Continuing effect of things done by Executive Director, Public Health and Executive Director, Personal Health</w:t>
      </w:r>
      <w:bookmarkEnd w:id="414"/>
    </w:p>
    <w:p>
      <w:pPr>
        <w:pStyle w:val="ySubsection"/>
      </w:pPr>
      <w:r>
        <w:tab/>
      </w:r>
      <w:r>
        <w:tab/>
        <w:t xml:space="preserve">A thing done or omitted to be done by, to or in relation to the Executive Director, Public Health or the Executive Director, Personal Health before the day on which the </w:t>
      </w:r>
      <w:r>
        <w:rPr>
          <w:i/>
        </w:rPr>
        <w:t>Public Health (Consequential Provisions) Act 2016</w:t>
      </w:r>
      <w:r>
        <w:t xml:space="preserve"> section 96 comes into operation (the </w:t>
      </w:r>
      <w:r>
        <w:rPr>
          <w:rStyle w:val="CharDefText"/>
        </w:rPr>
        <w:t>commencement day</w:t>
      </w:r>
      <w:r>
        <w:t>), whether under this Act or any other written law, has the same effect on and from the commencement day, to the extent that it has any force or significance on or after the commencement day, as if it had been done or omitted by, to or in relation to the Chief Health Officer.</w:t>
      </w:r>
    </w:p>
    <w:p>
      <w:pPr>
        <w:pStyle w:val="yFootnotesection"/>
      </w:pPr>
      <w:r>
        <w:tab/>
        <w:t>[Clause 2 inserted: No. 19 of 2016 s. 98.]</w:t>
      </w:r>
    </w:p>
    <w:p>
      <w:pPr>
        <w:pStyle w:val="yHeading5"/>
      </w:pPr>
      <w:bookmarkStart w:id="415" w:name="_Toc98768103"/>
      <w:r>
        <w:rPr>
          <w:rStyle w:val="CharSClsNo"/>
        </w:rPr>
        <w:t>3</w:t>
      </w:r>
      <w:r>
        <w:t>.</w:t>
      </w:r>
      <w:r>
        <w:tab/>
        <w:t>References to former titles</w:t>
      </w:r>
      <w:bookmarkEnd w:id="415"/>
    </w:p>
    <w:p>
      <w:pPr>
        <w:pStyle w:val="ySubsection"/>
      </w:pPr>
      <w:r>
        <w:tab/>
        <w:t>(1)</w:t>
      </w:r>
      <w:r>
        <w:tab/>
        <w:t>A reference in a written law or document to the Executive Director, Public Health or the Executive Director, Personal Health may, if the context permits, be taken to be a reference to the Chief Health Officer.</w:t>
      </w:r>
    </w:p>
    <w:p>
      <w:pPr>
        <w:pStyle w:val="ySubsection"/>
      </w:pPr>
      <w:r>
        <w:tab/>
        <w:t>(2)</w:t>
      </w:r>
      <w:r>
        <w:tab/>
        <w:t>A reference in a written law or document to an environmental health officer, medical officer or public health official may, if the context permits, be taken to be a reference to an authorised officer.</w:t>
      </w:r>
    </w:p>
    <w:p>
      <w:pPr>
        <w:pStyle w:val="yFootnotesection"/>
      </w:pPr>
      <w:r>
        <w:tab/>
        <w:t>[Clause 3 inserted: No. 19 of 2016 s. 98.]</w:t>
      </w:r>
    </w:p>
    <w:p>
      <w:pPr>
        <w:pStyle w:val="yHeading5"/>
      </w:pPr>
      <w:bookmarkStart w:id="416" w:name="_Toc98768104"/>
      <w:r>
        <w:rPr>
          <w:rStyle w:val="CharSClsNo"/>
        </w:rPr>
        <w:lastRenderedPageBreak/>
        <w:t>4</w:t>
      </w:r>
      <w:r>
        <w:t>.</w:t>
      </w:r>
      <w:r>
        <w:tab/>
        <w:t>Transitional provisions for Local Health Authorities Analytical Committee</w:t>
      </w:r>
      <w:bookmarkEnd w:id="416"/>
    </w:p>
    <w:p>
      <w:pPr>
        <w:pStyle w:val="ySubsection"/>
      </w:pPr>
      <w:r>
        <w:tab/>
      </w:r>
      <w:r>
        <w:tab/>
        <w:t xml:space="preserve">Despite sections 247A(3) and 247BA(1), the members of the Local Health Authorities Analytical Committee who held office immediately before the day on which the </w:t>
      </w:r>
      <w:r>
        <w:rPr>
          <w:i/>
        </w:rPr>
        <w:t>Public Health (Consequential Provisions) Act 2016</w:t>
      </w:r>
      <w:r>
        <w:t xml:space="preserve"> section 32 comes into operation (the </w:t>
      </w:r>
      <w:r>
        <w:rPr>
          <w:rStyle w:val="CharDefText"/>
        </w:rPr>
        <w:t>commencement day</w:t>
      </w:r>
      <w:r>
        <w:t xml:space="preserve">) continue in office, under and subject to Part VIIIA, as members of that Committee — </w:t>
      </w:r>
    </w:p>
    <w:p>
      <w:pPr>
        <w:pStyle w:val="yIndenta"/>
      </w:pPr>
      <w:r>
        <w:tab/>
        <w:t>(a)</w:t>
      </w:r>
      <w:r>
        <w:tab/>
        <w:t xml:space="preserve">in the case of the members appointed under section 247A(3)(a)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of 3 years beginning on the commencement day;</w:t>
      </w:r>
    </w:p>
    <w:p>
      <w:pPr>
        <w:pStyle w:val="yIndenta"/>
      </w:pPr>
      <w:r>
        <w:tab/>
      </w:r>
      <w:r>
        <w:tab/>
        <w:t>and</w:t>
      </w:r>
    </w:p>
    <w:p>
      <w:pPr>
        <w:pStyle w:val="yIndenta"/>
      </w:pPr>
      <w:r>
        <w:tab/>
        <w:t>(b)</w:t>
      </w:r>
      <w:r>
        <w:tab/>
        <w:t xml:space="preserve">in the case of the members appointed under section 247A(3)(b) or (c)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beginning on the commencement day that is the balance of the member’s term of office remaining immediately before the commencement day.</w:t>
      </w:r>
    </w:p>
    <w:p>
      <w:pPr>
        <w:pStyle w:val="yFootnotesection"/>
      </w:pPr>
      <w:r>
        <w:tab/>
        <w:t>[Clause 4 inserted: No. 19 of 2016 s. 98.]</w:t>
      </w:r>
    </w:p>
    <w:p>
      <w:pPr>
        <w:pStyle w:val="yHeading5"/>
      </w:pPr>
      <w:bookmarkStart w:id="417" w:name="_Toc98768105"/>
      <w:r>
        <w:rPr>
          <w:rStyle w:val="CharSClsNo"/>
        </w:rPr>
        <w:t>5</w:t>
      </w:r>
      <w:r>
        <w:t>.</w:t>
      </w:r>
      <w:r>
        <w:tab/>
        <w:t>Transitional provisions for Maternal Mortality Committee, Perinatal and Infant Mortality Committee and Anaesthetic Mortality Committee</w:t>
      </w:r>
      <w:bookmarkEnd w:id="417"/>
    </w:p>
    <w:p>
      <w:pPr>
        <w:pStyle w:val="ySubsection"/>
      </w:pPr>
      <w:r>
        <w:tab/>
        <w:t>(1)</w:t>
      </w:r>
      <w:r>
        <w:tab/>
        <w:t xml:space="preserve">The persons who held office under Part XIIIA as permanent or provisional members of the Maternal Mortality Committee, or as deputies of members of that Committee, immediately before the coming into operation of the </w:t>
      </w:r>
      <w:r>
        <w:rPr>
          <w:i/>
        </w:rPr>
        <w:t>Public Health (Consequential Provisions) Act 2016</w:t>
      </w:r>
      <w:r>
        <w:t xml:space="preserve"> section 42 — </w:t>
      </w:r>
    </w:p>
    <w:p>
      <w:pPr>
        <w:pStyle w:val="yIndenta"/>
      </w:pPr>
      <w:r>
        <w:tab/>
        <w:t>(a)</w:t>
      </w:r>
      <w:r>
        <w:tab/>
        <w:t xml:space="preserve">continue in office, under and subject to Part XIIIA, as members or, as the case requires, deputies of members of that </w:t>
      </w:r>
      <w:r>
        <w:lastRenderedPageBreak/>
        <w:t>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(2)</w:t>
      </w:r>
      <w:r>
        <w:tab/>
        <w:t xml:space="preserve">The persons who held office under Part XIIIB as permanent or provisional members of the Perinatal and Infant Mortality Committee, or as deputies of members of that Committee, immediately before the coming into operation of the </w:t>
      </w:r>
      <w:r>
        <w:rPr>
          <w:i/>
        </w:rPr>
        <w:t>Public Health (Consequential Provisions) Act 2016</w:t>
      </w:r>
      <w:r>
        <w:t xml:space="preserve"> section 55 — </w:t>
      </w:r>
    </w:p>
    <w:p>
      <w:pPr>
        <w:pStyle w:val="yIndenta"/>
      </w:pPr>
      <w:r>
        <w:tab/>
        <w:t>(a)</w:t>
      </w:r>
      <w:r>
        <w:tab/>
        <w:t>continue in office, under and subject to Part XIIIB,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(2A)</w:t>
      </w:r>
      <w:r>
        <w:tab/>
        <w:t xml:space="preserve">The persons who held office under section 340AB(3)(d) as members of the Perinatal and Infant Mortality Committee, or as deputies of those members, immediately before the coming into operation of the </w:t>
      </w:r>
      <w:r>
        <w:rPr>
          <w:i/>
        </w:rPr>
        <w:t>Public Health (Consequential Provisions) Act 2016</w:t>
      </w:r>
      <w:r>
        <w:t xml:space="preserve"> section 248 continue in office, under and subject to Part XIIIB, as members or, as the case requires, deputies of members of the Committee until the expiry of their respective terms as if they had been appointed by the Minister on the nomination of the chief executive of the health service provider for Perth Children’s Hospital under the </w:t>
      </w:r>
      <w:r>
        <w:rPr>
          <w:i/>
        </w:rPr>
        <w:t>Health Services Act 2016</w:t>
      </w:r>
      <w:r>
        <w:t>.</w:t>
      </w:r>
    </w:p>
    <w:p>
      <w:pPr>
        <w:pStyle w:val="ySubsection"/>
      </w:pPr>
      <w:r>
        <w:tab/>
        <w:t>(3)</w:t>
      </w:r>
      <w:r>
        <w:tab/>
        <w:t xml:space="preserve">The persons who held office under Part XIIIC as permanent or provisional members of the Anaesthetic Mortality Committee, or as deputies of members of that Committee, immediately before the coming into operation of the </w:t>
      </w:r>
      <w:r>
        <w:rPr>
          <w:i/>
        </w:rPr>
        <w:t>Public Health (Consequential Provisions) Act 2016</w:t>
      </w:r>
      <w:r>
        <w:t xml:space="preserve"> section 69 — </w:t>
      </w:r>
    </w:p>
    <w:p>
      <w:pPr>
        <w:pStyle w:val="yIndenta"/>
      </w:pPr>
      <w:r>
        <w:tab/>
        <w:t>(a)</w:t>
      </w:r>
      <w:r>
        <w:tab/>
        <w:t xml:space="preserve">continue in office, under and subject to Part XIIIC, as members or, as the case requires, deputies of members of that </w:t>
      </w:r>
      <w:r>
        <w:lastRenderedPageBreak/>
        <w:t>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Footnotesection"/>
      </w:pPr>
      <w:r>
        <w:tab/>
        <w:t>[Clause 5 inserted: No. 19 of 2016 s. 98; amended: No. 19 of 2016 s. 276.]</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10" w:bottom="3544" w:left="2410" w:header="709" w:footer="3379" w:gutter="0"/>
          <w:cols w:space="720"/>
          <w:noEndnote/>
          <w:docGrid w:linePitch="326"/>
        </w:sectPr>
      </w:pPr>
    </w:p>
    <w:p>
      <w:pPr>
        <w:pStyle w:val="nHeading2"/>
      </w:pPr>
      <w:bookmarkStart w:id="418" w:name="_Toc98504377"/>
      <w:bookmarkStart w:id="419" w:name="_Toc98504708"/>
      <w:bookmarkStart w:id="420" w:name="_Toc98768106"/>
      <w:r>
        <w:lastRenderedPageBreak/>
        <w:t>Notes</w:t>
      </w:r>
      <w:bookmarkEnd w:id="418"/>
      <w:bookmarkEnd w:id="419"/>
      <w:bookmarkEnd w:id="420"/>
    </w:p>
    <w:p>
      <w:pPr>
        <w:pStyle w:val="nStatement"/>
      </w:pPr>
      <w:r>
        <w:t xml:space="preserve">This is a compilation of the </w:t>
      </w:r>
      <w:r>
        <w:rPr>
          <w:i/>
          <w:noProof/>
        </w:rPr>
        <w:t>Health (Miscellaneous Provisions) Act 1911</w:t>
      </w:r>
      <w:r>
        <w:t xml:space="preserve"> and includes amendments made by other written laws </w:t>
      </w:r>
      <w:r>
        <w:rPr>
          <w:vertAlign w:val="superscript"/>
        </w:rPr>
        <w:t>6, 7</w:t>
      </w:r>
      <w:r>
        <w:t>. For provisions that have come into operation, and for information about any reprints, see the compilation table. For provisions that have not yet come into operation see the uncommenced provisions table.</w:t>
      </w:r>
    </w:p>
    <w:p>
      <w:pPr>
        <w:pStyle w:val="nHeading3"/>
      </w:pPr>
      <w:bookmarkStart w:id="421" w:name="_Toc98768107"/>
      <w:r>
        <w:t>Compilation table</w:t>
      </w:r>
      <w:bookmarkEnd w:id="421"/>
    </w:p>
    <w:tbl>
      <w:tblPr>
        <w:tblW w:w="7137" w:type="dxa"/>
        <w:tblInd w:w="56" w:type="dxa"/>
        <w:tblLayout w:type="fixed"/>
        <w:tblCellMar>
          <w:left w:w="56" w:type="dxa"/>
          <w:right w:w="56" w:type="dxa"/>
        </w:tblCellMar>
        <w:tblLook w:val="0000" w:firstRow="0" w:lastRow="0" w:firstColumn="0" w:lastColumn="0" w:noHBand="0" w:noVBand="0"/>
      </w:tblPr>
      <w:tblGrid>
        <w:gridCol w:w="50"/>
        <w:gridCol w:w="2215"/>
        <w:gridCol w:w="51"/>
        <w:gridCol w:w="1082"/>
        <w:gridCol w:w="51"/>
        <w:gridCol w:w="1083"/>
        <w:gridCol w:w="50"/>
        <w:gridCol w:w="2501"/>
        <w:gridCol w:w="54"/>
      </w:tblGrid>
      <w:tr>
        <w:trPr>
          <w:gridAfter w:val="1"/>
          <w:wAfter w:w="54" w:type="dxa"/>
          <w:cantSplit/>
          <w:tblHeader/>
        </w:trPr>
        <w:tc>
          <w:tcPr>
            <w:tcW w:w="2265"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54" w:type="dxa"/>
          <w:cantSplit/>
        </w:trPr>
        <w:tc>
          <w:tcPr>
            <w:tcW w:w="2265" w:type="dxa"/>
            <w:gridSpan w:val="2"/>
          </w:tcPr>
          <w:p>
            <w:pPr>
              <w:pStyle w:val="nTable"/>
              <w:spacing w:after="40"/>
              <w:ind w:right="170"/>
              <w:rPr>
                <w:vertAlign w:val="superscript"/>
              </w:rPr>
            </w:pPr>
            <w:r>
              <w:rPr>
                <w:i/>
              </w:rPr>
              <w:t>Health Act 1911 </w:t>
            </w:r>
            <w:r>
              <w:rPr>
                <w:vertAlign w:val="superscript"/>
              </w:rPr>
              <w:t>8</w:t>
            </w:r>
          </w:p>
        </w:tc>
        <w:tc>
          <w:tcPr>
            <w:tcW w:w="1133" w:type="dxa"/>
            <w:gridSpan w:val="2"/>
          </w:tcPr>
          <w:p>
            <w:pPr>
              <w:pStyle w:val="nTable"/>
              <w:spacing w:after="40"/>
            </w:pPr>
            <w:r>
              <w:t>34 of 1911</w:t>
            </w:r>
            <w:r>
              <w:br/>
              <w:t>(1 Geo. V No. 45)</w:t>
            </w:r>
          </w:p>
        </w:tc>
        <w:tc>
          <w:tcPr>
            <w:tcW w:w="1134" w:type="dxa"/>
            <w:gridSpan w:val="2"/>
          </w:tcPr>
          <w:p>
            <w:pPr>
              <w:pStyle w:val="nTable"/>
              <w:spacing w:after="40"/>
            </w:pPr>
            <w:r>
              <w:t>16 Feb 1911</w:t>
            </w:r>
          </w:p>
        </w:tc>
        <w:tc>
          <w:tcPr>
            <w:tcW w:w="2551" w:type="dxa"/>
            <w:gridSpan w:val="2"/>
          </w:tcPr>
          <w:p>
            <w:pPr>
              <w:pStyle w:val="nTable"/>
              <w:spacing w:after="40"/>
            </w:pPr>
            <w:r>
              <w:t xml:space="preserve">1 Jun 1911 (see s. 1 and </w:t>
            </w:r>
            <w:r>
              <w:rPr>
                <w:i/>
              </w:rPr>
              <w:t>Gazette</w:t>
            </w:r>
            <w:r>
              <w:t xml:space="preserve"> 3 Mar 1911 p. 961)</w:t>
            </w:r>
          </w:p>
        </w:tc>
      </w:tr>
      <w:tr>
        <w:trPr>
          <w:gridAfter w:val="1"/>
          <w:wAfter w:w="54" w:type="dxa"/>
          <w:cantSplit/>
        </w:trPr>
        <w:tc>
          <w:tcPr>
            <w:tcW w:w="2265" w:type="dxa"/>
            <w:gridSpan w:val="2"/>
          </w:tcPr>
          <w:p>
            <w:pPr>
              <w:pStyle w:val="nTable"/>
              <w:spacing w:after="40"/>
              <w:ind w:right="170"/>
            </w:pPr>
            <w:r>
              <w:rPr>
                <w:i/>
              </w:rPr>
              <w:t>Health Act Amendment Act 1911</w:t>
            </w:r>
          </w:p>
        </w:tc>
        <w:tc>
          <w:tcPr>
            <w:tcW w:w="1133" w:type="dxa"/>
            <w:gridSpan w:val="2"/>
          </w:tcPr>
          <w:p>
            <w:pPr>
              <w:pStyle w:val="nTable"/>
              <w:spacing w:after="40"/>
            </w:pPr>
            <w:r>
              <w:t>3 of 1912</w:t>
            </w:r>
            <w:r>
              <w:br/>
              <w:t>(2 Geo. V No. 11)</w:t>
            </w:r>
          </w:p>
        </w:tc>
        <w:tc>
          <w:tcPr>
            <w:tcW w:w="1134" w:type="dxa"/>
            <w:gridSpan w:val="2"/>
          </w:tcPr>
          <w:p>
            <w:pPr>
              <w:pStyle w:val="nTable"/>
              <w:spacing w:after="40"/>
            </w:pPr>
            <w:r>
              <w:t>9 Jan 1912</w:t>
            </w:r>
          </w:p>
        </w:tc>
        <w:tc>
          <w:tcPr>
            <w:tcW w:w="2551" w:type="dxa"/>
            <w:gridSpan w:val="2"/>
          </w:tcPr>
          <w:p>
            <w:pPr>
              <w:pStyle w:val="nTable"/>
              <w:spacing w:after="40"/>
            </w:pPr>
            <w:r>
              <w:t>9 Jan 1912</w:t>
            </w:r>
          </w:p>
        </w:tc>
      </w:tr>
      <w:tr>
        <w:trPr>
          <w:gridAfter w:val="1"/>
          <w:wAfter w:w="54" w:type="dxa"/>
          <w:cantSplit/>
        </w:trPr>
        <w:tc>
          <w:tcPr>
            <w:tcW w:w="2265" w:type="dxa"/>
            <w:gridSpan w:val="2"/>
          </w:tcPr>
          <w:p>
            <w:pPr>
              <w:pStyle w:val="nTable"/>
              <w:spacing w:after="40"/>
              <w:ind w:right="170"/>
            </w:pPr>
            <w:r>
              <w:rPr>
                <w:i/>
              </w:rPr>
              <w:t>Health Act Amendment Act 1912</w:t>
            </w:r>
          </w:p>
        </w:tc>
        <w:tc>
          <w:tcPr>
            <w:tcW w:w="1133" w:type="dxa"/>
            <w:gridSpan w:val="2"/>
          </w:tcPr>
          <w:p>
            <w:pPr>
              <w:pStyle w:val="nTable"/>
              <w:spacing w:after="40"/>
            </w:pPr>
            <w:r>
              <w:t>28 of 1912</w:t>
            </w:r>
            <w:r>
              <w:br/>
              <w:t>(3 Geo. V No. 9)</w:t>
            </w:r>
          </w:p>
        </w:tc>
        <w:tc>
          <w:tcPr>
            <w:tcW w:w="1134" w:type="dxa"/>
            <w:gridSpan w:val="2"/>
          </w:tcPr>
          <w:p>
            <w:pPr>
              <w:pStyle w:val="nTable"/>
              <w:spacing w:after="40"/>
            </w:pPr>
            <w:r>
              <w:t>27 Sep 1912</w:t>
            </w:r>
          </w:p>
        </w:tc>
        <w:tc>
          <w:tcPr>
            <w:tcW w:w="2551" w:type="dxa"/>
            <w:gridSpan w:val="2"/>
          </w:tcPr>
          <w:p>
            <w:pPr>
              <w:pStyle w:val="nTable"/>
              <w:spacing w:after="40"/>
            </w:pPr>
            <w:r>
              <w:t>27 Sep 1912</w:t>
            </w:r>
          </w:p>
        </w:tc>
      </w:tr>
      <w:tr>
        <w:trPr>
          <w:gridAfter w:val="1"/>
          <w:wAfter w:w="54" w:type="dxa"/>
          <w:cantSplit/>
        </w:trPr>
        <w:tc>
          <w:tcPr>
            <w:tcW w:w="2265" w:type="dxa"/>
            <w:gridSpan w:val="2"/>
          </w:tcPr>
          <w:p>
            <w:pPr>
              <w:pStyle w:val="nTable"/>
              <w:spacing w:after="40"/>
              <w:ind w:right="170"/>
            </w:pPr>
            <w:r>
              <w:rPr>
                <w:i/>
              </w:rPr>
              <w:t>Health Act Amendment Act 1915</w:t>
            </w:r>
          </w:p>
        </w:tc>
        <w:tc>
          <w:tcPr>
            <w:tcW w:w="1133" w:type="dxa"/>
            <w:gridSpan w:val="2"/>
          </w:tcPr>
          <w:p>
            <w:pPr>
              <w:pStyle w:val="nTable"/>
              <w:spacing w:after="40"/>
            </w:pPr>
            <w:r>
              <w:t>55 of 1915</w:t>
            </w:r>
            <w:r>
              <w:br/>
              <w:t>(6 Geo. V No. 22)</w:t>
            </w:r>
          </w:p>
        </w:tc>
        <w:tc>
          <w:tcPr>
            <w:tcW w:w="1134" w:type="dxa"/>
            <w:gridSpan w:val="2"/>
          </w:tcPr>
          <w:p>
            <w:pPr>
              <w:pStyle w:val="nTable"/>
              <w:spacing w:after="40"/>
            </w:pPr>
            <w:r>
              <w:t>8 Dec 1915</w:t>
            </w:r>
          </w:p>
        </w:tc>
        <w:tc>
          <w:tcPr>
            <w:tcW w:w="2551" w:type="dxa"/>
            <w:gridSpan w:val="2"/>
          </w:tcPr>
          <w:p>
            <w:pPr>
              <w:pStyle w:val="nTable"/>
              <w:spacing w:after="40"/>
            </w:pPr>
            <w:r>
              <w:t>8 Dec 1915</w:t>
            </w:r>
          </w:p>
        </w:tc>
      </w:tr>
      <w:tr>
        <w:trPr>
          <w:gridAfter w:val="1"/>
          <w:wAfter w:w="54" w:type="dxa"/>
          <w:cantSplit/>
        </w:trPr>
        <w:tc>
          <w:tcPr>
            <w:tcW w:w="2265" w:type="dxa"/>
            <w:gridSpan w:val="2"/>
          </w:tcPr>
          <w:p>
            <w:pPr>
              <w:pStyle w:val="nTable"/>
              <w:spacing w:after="40"/>
              <w:ind w:right="170"/>
            </w:pPr>
            <w:r>
              <w:rPr>
                <w:i/>
              </w:rPr>
              <w:t>Health Act Amendment Act 1918</w:t>
            </w:r>
          </w:p>
        </w:tc>
        <w:tc>
          <w:tcPr>
            <w:tcW w:w="1133" w:type="dxa"/>
            <w:gridSpan w:val="2"/>
          </w:tcPr>
          <w:p>
            <w:pPr>
              <w:pStyle w:val="nTable"/>
              <w:spacing w:after="40"/>
            </w:pPr>
            <w:r>
              <w:t>17 of 1918</w:t>
            </w:r>
            <w:r>
              <w:br/>
              <w:t>(9 Geo. V No. 7)</w:t>
            </w:r>
          </w:p>
        </w:tc>
        <w:tc>
          <w:tcPr>
            <w:tcW w:w="1134" w:type="dxa"/>
            <w:gridSpan w:val="2"/>
          </w:tcPr>
          <w:p>
            <w:pPr>
              <w:pStyle w:val="nTable"/>
              <w:spacing w:after="40"/>
            </w:pPr>
            <w:r>
              <w:t>13 Jun 1918</w:t>
            </w:r>
          </w:p>
        </w:tc>
        <w:tc>
          <w:tcPr>
            <w:tcW w:w="2551" w:type="dxa"/>
            <w:gridSpan w:val="2"/>
          </w:tcPr>
          <w:p>
            <w:pPr>
              <w:pStyle w:val="nTable"/>
              <w:spacing w:after="40"/>
            </w:pPr>
            <w:r>
              <w:t>13 Jun 1918</w:t>
            </w:r>
          </w:p>
        </w:tc>
      </w:tr>
      <w:tr>
        <w:trPr>
          <w:gridAfter w:val="1"/>
          <w:wAfter w:w="54" w:type="dxa"/>
          <w:cantSplit/>
        </w:trPr>
        <w:tc>
          <w:tcPr>
            <w:tcW w:w="2265" w:type="dxa"/>
            <w:gridSpan w:val="2"/>
          </w:tcPr>
          <w:p>
            <w:pPr>
              <w:pStyle w:val="nTable"/>
              <w:spacing w:after="40"/>
              <w:ind w:right="170"/>
            </w:pPr>
            <w:r>
              <w:rPr>
                <w:i/>
              </w:rPr>
              <w:t>Health Act Amendment Act 1919</w:t>
            </w:r>
          </w:p>
        </w:tc>
        <w:tc>
          <w:tcPr>
            <w:tcW w:w="1133" w:type="dxa"/>
            <w:gridSpan w:val="2"/>
          </w:tcPr>
          <w:p>
            <w:pPr>
              <w:pStyle w:val="nTable"/>
              <w:spacing w:after="40"/>
            </w:pPr>
            <w:r>
              <w:t>15 of 1919</w:t>
            </w:r>
            <w:r>
              <w:br/>
              <w:t>(10 Geo. V No. 3)</w:t>
            </w:r>
          </w:p>
        </w:tc>
        <w:tc>
          <w:tcPr>
            <w:tcW w:w="1134" w:type="dxa"/>
            <w:gridSpan w:val="2"/>
          </w:tcPr>
          <w:p>
            <w:pPr>
              <w:pStyle w:val="nTable"/>
              <w:spacing w:after="40"/>
            </w:pPr>
            <w:r>
              <w:t>30 Sep 1919</w:t>
            </w:r>
          </w:p>
        </w:tc>
        <w:tc>
          <w:tcPr>
            <w:tcW w:w="2551" w:type="dxa"/>
            <w:gridSpan w:val="2"/>
          </w:tcPr>
          <w:p>
            <w:pPr>
              <w:pStyle w:val="nTable"/>
              <w:spacing w:after="40"/>
            </w:pPr>
            <w:r>
              <w:t>30 Sep 1919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Appendix to Session Volume 1919</w:t>
            </w:r>
            <w:r>
              <w:t xml:space="preserve"> (includes amendments listed above)</w:t>
            </w:r>
          </w:p>
        </w:tc>
      </w:tr>
      <w:tr>
        <w:trPr>
          <w:gridAfter w:val="1"/>
          <w:wAfter w:w="54" w:type="dxa"/>
          <w:cantSplit/>
        </w:trPr>
        <w:tc>
          <w:tcPr>
            <w:tcW w:w="2265" w:type="dxa"/>
            <w:gridSpan w:val="2"/>
          </w:tcPr>
          <w:p>
            <w:pPr>
              <w:pStyle w:val="nTable"/>
              <w:spacing w:after="40"/>
              <w:ind w:right="170"/>
            </w:pPr>
            <w:r>
              <w:rPr>
                <w:i/>
              </w:rPr>
              <w:t>Health Act Continuation Act 1920</w:t>
            </w:r>
          </w:p>
        </w:tc>
        <w:tc>
          <w:tcPr>
            <w:tcW w:w="1133" w:type="dxa"/>
            <w:gridSpan w:val="2"/>
          </w:tcPr>
          <w:p>
            <w:pPr>
              <w:pStyle w:val="nTable"/>
              <w:spacing w:after="40"/>
            </w:pPr>
            <w:r>
              <w:t>12 of 1920</w:t>
            </w:r>
            <w:r>
              <w:br/>
              <w:t>(11 Geo. V No. 12)</w:t>
            </w:r>
          </w:p>
        </w:tc>
        <w:tc>
          <w:tcPr>
            <w:tcW w:w="1134" w:type="dxa"/>
            <w:gridSpan w:val="2"/>
          </w:tcPr>
          <w:p>
            <w:pPr>
              <w:pStyle w:val="nTable"/>
              <w:spacing w:after="40"/>
            </w:pPr>
            <w:r>
              <w:t>29 Nov 1920</w:t>
            </w:r>
          </w:p>
        </w:tc>
        <w:tc>
          <w:tcPr>
            <w:tcW w:w="2551" w:type="dxa"/>
            <w:gridSpan w:val="2"/>
          </w:tcPr>
          <w:p>
            <w:pPr>
              <w:pStyle w:val="nTable"/>
              <w:spacing w:after="40"/>
            </w:pPr>
            <w:r>
              <w:t>29 Nov 1920</w:t>
            </w:r>
          </w:p>
        </w:tc>
      </w:tr>
      <w:tr>
        <w:trPr>
          <w:gridAfter w:val="1"/>
          <w:wAfter w:w="54" w:type="dxa"/>
          <w:cantSplit/>
        </w:trPr>
        <w:tc>
          <w:tcPr>
            <w:tcW w:w="2265" w:type="dxa"/>
            <w:gridSpan w:val="2"/>
          </w:tcPr>
          <w:p>
            <w:pPr>
              <w:pStyle w:val="nTable"/>
              <w:spacing w:after="40"/>
              <w:ind w:right="170"/>
            </w:pPr>
            <w:r>
              <w:rPr>
                <w:i/>
              </w:rPr>
              <w:t>Health Act Amendment Act 1921</w:t>
            </w:r>
          </w:p>
        </w:tc>
        <w:tc>
          <w:tcPr>
            <w:tcW w:w="1133" w:type="dxa"/>
            <w:gridSpan w:val="2"/>
          </w:tcPr>
          <w:p>
            <w:pPr>
              <w:pStyle w:val="nTable"/>
              <w:spacing w:after="40"/>
            </w:pPr>
            <w:r>
              <w:t>5 of 1922</w:t>
            </w:r>
            <w:r>
              <w:br/>
              <w:t>(12 Geo. V No. 39)</w:t>
            </w:r>
          </w:p>
        </w:tc>
        <w:tc>
          <w:tcPr>
            <w:tcW w:w="1134" w:type="dxa"/>
            <w:gridSpan w:val="2"/>
          </w:tcPr>
          <w:p>
            <w:pPr>
              <w:pStyle w:val="nTable"/>
              <w:spacing w:after="40"/>
            </w:pPr>
            <w:r>
              <w:t>31 Jan 1922</w:t>
            </w:r>
          </w:p>
        </w:tc>
        <w:tc>
          <w:tcPr>
            <w:tcW w:w="2551" w:type="dxa"/>
            <w:gridSpan w:val="2"/>
          </w:tcPr>
          <w:p>
            <w:pPr>
              <w:pStyle w:val="nTable"/>
              <w:spacing w:after="40"/>
            </w:pPr>
            <w:r>
              <w:t>31 Jan 1922</w:t>
            </w:r>
          </w:p>
        </w:tc>
      </w:tr>
      <w:tr>
        <w:trPr>
          <w:gridAfter w:val="1"/>
          <w:wAfter w:w="54" w:type="dxa"/>
          <w:cantSplit/>
        </w:trPr>
        <w:tc>
          <w:tcPr>
            <w:tcW w:w="2265" w:type="dxa"/>
            <w:gridSpan w:val="2"/>
          </w:tcPr>
          <w:p>
            <w:pPr>
              <w:pStyle w:val="nTable"/>
              <w:spacing w:after="40"/>
              <w:ind w:right="170"/>
            </w:pPr>
            <w:r>
              <w:rPr>
                <w:i/>
              </w:rPr>
              <w:t>Health Act Amendment Act 1926</w:t>
            </w:r>
          </w:p>
        </w:tc>
        <w:tc>
          <w:tcPr>
            <w:tcW w:w="1133" w:type="dxa"/>
            <w:gridSpan w:val="2"/>
          </w:tcPr>
          <w:p>
            <w:pPr>
              <w:pStyle w:val="nTable"/>
              <w:spacing w:after="40"/>
            </w:pPr>
            <w:r>
              <w:t>50 of 1926</w:t>
            </w:r>
            <w:r>
              <w:br/>
              <w:t>(17 Geo. V No. 50)</w:t>
            </w:r>
          </w:p>
        </w:tc>
        <w:tc>
          <w:tcPr>
            <w:tcW w:w="1134" w:type="dxa"/>
            <w:gridSpan w:val="2"/>
          </w:tcPr>
          <w:p>
            <w:pPr>
              <w:pStyle w:val="nTable"/>
              <w:spacing w:after="40"/>
            </w:pPr>
            <w:r>
              <w:t>24 Dec 1926</w:t>
            </w:r>
          </w:p>
        </w:tc>
        <w:tc>
          <w:tcPr>
            <w:tcW w:w="2551" w:type="dxa"/>
            <w:gridSpan w:val="2"/>
          </w:tcPr>
          <w:p>
            <w:pPr>
              <w:pStyle w:val="nTable"/>
              <w:spacing w:after="40"/>
            </w:pPr>
            <w:r>
              <w:t>24 Dec 1926</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Appendix to Session Volume 1931</w:t>
            </w:r>
            <w:r>
              <w:t xml:space="preserve"> (includes amendments listed above)</w:t>
            </w:r>
          </w:p>
        </w:tc>
      </w:tr>
      <w:tr>
        <w:trPr>
          <w:gridAfter w:val="1"/>
          <w:wAfter w:w="54" w:type="dxa"/>
          <w:cantSplit/>
        </w:trPr>
        <w:tc>
          <w:tcPr>
            <w:tcW w:w="2265" w:type="dxa"/>
            <w:gridSpan w:val="2"/>
          </w:tcPr>
          <w:p>
            <w:pPr>
              <w:pStyle w:val="nTable"/>
              <w:spacing w:after="40"/>
              <w:ind w:right="170"/>
            </w:pPr>
            <w:r>
              <w:rPr>
                <w:i/>
              </w:rPr>
              <w:lastRenderedPageBreak/>
              <w:t>Health Act Amendment Act 1932</w:t>
            </w:r>
          </w:p>
        </w:tc>
        <w:tc>
          <w:tcPr>
            <w:tcW w:w="1133" w:type="dxa"/>
            <w:gridSpan w:val="2"/>
          </w:tcPr>
          <w:p>
            <w:pPr>
              <w:pStyle w:val="nTable"/>
              <w:spacing w:after="40"/>
            </w:pPr>
            <w:r>
              <w:t>30 of 1932</w:t>
            </w:r>
            <w:r>
              <w:br/>
              <w:t>(23 Geo. V No. 30)</w:t>
            </w:r>
          </w:p>
        </w:tc>
        <w:tc>
          <w:tcPr>
            <w:tcW w:w="1134" w:type="dxa"/>
            <w:gridSpan w:val="2"/>
          </w:tcPr>
          <w:p>
            <w:pPr>
              <w:pStyle w:val="nTable"/>
              <w:spacing w:after="40"/>
            </w:pPr>
            <w:r>
              <w:t>30 Dec 1932</w:t>
            </w:r>
          </w:p>
        </w:tc>
        <w:tc>
          <w:tcPr>
            <w:tcW w:w="2551" w:type="dxa"/>
            <w:gridSpan w:val="2"/>
          </w:tcPr>
          <w:p>
            <w:pPr>
              <w:pStyle w:val="nTable"/>
              <w:spacing w:after="40"/>
            </w:pPr>
            <w:r>
              <w:t>30 Dec 1932</w:t>
            </w:r>
          </w:p>
        </w:tc>
      </w:tr>
      <w:tr>
        <w:trPr>
          <w:gridAfter w:val="1"/>
          <w:wAfter w:w="54" w:type="dxa"/>
          <w:cantSplit/>
        </w:trPr>
        <w:tc>
          <w:tcPr>
            <w:tcW w:w="2265" w:type="dxa"/>
            <w:gridSpan w:val="2"/>
          </w:tcPr>
          <w:p>
            <w:pPr>
              <w:pStyle w:val="nTable"/>
              <w:spacing w:after="40"/>
              <w:ind w:right="170"/>
            </w:pPr>
            <w:r>
              <w:rPr>
                <w:i/>
              </w:rPr>
              <w:t>Health Act Amendment Act 1933</w:t>
            </w:r>
          </w:p>
        </w:tc>
        <w:tc>
          <w:tcPr>
            <w:tcW w:w="1133" w:type="dxa"/>
            <w:gridSpan w:val="2"/>
          </w:tcPr>
          <w:p>
            <w:pPr>
              <w:pStyle w:val="nTable"/>
              <w:spacing w:after="40"/>
            </w:pPr>
            <w:r>
              <w:t>5 of 1933</w:t>
            </w:r>
            <w:r>
              <w:br/>
              <w:t>(24 Geo. V No. 5)</w:t>
            </w:r>
          </w:p>
        </w:tc>
        <w:tc>
          <w:tcPr>
            <w:tcW w:w="1134" w:type="dxa"/>
            <w:gridSpan w:val="2"/>
          </w:tcPr>
          <w:p>
            <w:pPr>
              <w:pStyle w:val="nTable"/>
              <w:spacing w:after="40"/>
            </w:pPr>
            <w:r>
              <w:t>2 Oct 1933</w:t>
            </w:r>
          </w:p>
        </w:tc>
        <w:tc>
          <w:tcPr>
            <w:tcW w:w="2551" w:type="dxa"/>
            <w:gridSpan w:val="2"/>
          </w:tcPr>
          <w:p>
            <w:pPr>
              <w:pStyle w:val="nTable"/>
              <w:spacing w:after="40"/>
            </w:pPr>
            <w:r>
              <w:t>2 Oct 1933</w:t>
            </w:r>
          </w:p>
        </w:tc>
      </w:tr>
      <w:tr>
        <w:trPr>
          <w:gridAfter w:val="1"/>
          <w:wAfter w:w="54" w:type="dxa"/>
          <w:cantSplit/>
        </w:trPr>
        <w:tc>
          <w:tcPr>
            <w:tcW w:w="2265" w:type="dxa"/>
            <w:gridSpan w:val="2"/>
          </w:tcPr>
          <w:p>
            <w:pPr>
              <w:pStyle w:val="nTable"/>
              <w:spacing w:after="40"/>
              <w:ind w:right="170"/>
            </w:pPr>
            <w:r>
              <w:rPr>
                <w:i/>
              </w:rPr>
              <w:t>Health Act Amendment Act 1933 (No. 2)</w:t>
            </w:r>
          </w:p>
        </w:tc>
        <w:tc>
          <w:tcPr>
            <w:tcW w:w="1133" w:type="dxa"/>
            <w:gridSpan w:val="2"/>
          </w:tcPr>
          <w:p>
            <w:pPr>
              <w:pStyle w:val="nTable"/>
              <w:spacing w:after="40"/>
            </w:pPr>
            <w:r>
              <w:t>38 of 1933</w:t>
            </w:r>
            <w:r>
              <w:br/>
              <w:t>(24 Geo. V No. 38)</w:t>
            </w:r>
            <w:r>
              <w:br/>
              <w:t>(as amended by No. 16 of 1935)</w:t>
            </w:r>
          </w:p>
        </w:tc>
        <w:tc>
          <w:tcPr>
            <w:tcW w:w="1134" w:type="dxa"/>
            <w:gridSpan w:val="2"/>
          </w:tcPr>
          <w:p>
            <w:pPr>
              <w:pStyle w:val="nTable"/>
              <w:spacing w:after="40"/>
            </w:pPr>
            <w:r>
              <w:t>4 Jan 1934</w:t>
            </w:r>
          </w:p>
        </w:tc>
        <w:tc>
          <w:tcPr>
            <w:tcW w:w="2551" w:type="dxa"/>
            <w:gridSpan w:val="2"/>
          </w:tcPr>
          <w:p>
            <w:pPr>
              <w:pStyle w:val="nTable"/>
              <w:spacing w:after="40"/>
            </w:pPr>
            <w:r>
              <w:t>4 Jan 1934</w:t>
            </w:r>
          </w:p>
        </w:tc>
      </w:tr>
      <w:tr>
        <w:trPr>
          <w:gridAfter w:val="1"/>
          <w:wAfter w:w="54" w:type="dxa"/>
          <w:cantSplit/>
        </w:trPr>
        <w:tc>
          <w:tcPr>
            <w:tcW w:w="2265" w:type="dxa"/>
            <w:gridSpan w:val="2"/>
          </w:tcPr>
          <w:p>
            <w:pPr>
              <w:pStyle w:val="nTable"/>
              <w:spacing w:after="40"/>
              <w:ind w:right="170"/>
            </w:pPr>
            <w:r>
              <w:rPr>
                <w:i/>
              </w:rPr>
              <w:t>Health Act Amendment Act 1937</w:t>
            </w:r>
          </w:p>
        </w:tc>
        <w:tc>
          <w:tcPr>
            <w:tcW w:w="1133" w:type="dxa"/>
            <w:gridSpan w:val="2"/>
          </w:tcPr>
          <w:p>
            <w:pPr>
              <w:pStyle w:val="nTable"/>
              <w:spacing w:after="40"/>
            </w:pPr>
            <w:r>
              <w:t>32 of 1937</w:t>
            </w:r>
            <w:r>
              <w:br/>
              <w:t>(1 and 2 Geo. VI No. 32)</w:t>
            </w:r>
          </w:p>
        </w:tc>
        <w:tc>
          <w:tcPr>
            <w:tcW w:w="1134" w:type="dxa"/>
            <w:gridSpan w:val="2"/>
          </w:tcPr>
          <w:p>
            <w:pPr>
              <w:pStyle w:val="nTable"/>
              <w:spacing w:after="40"/>
            </w:pPr>
            <w:r>
              <w:t>18 Jan 1938</w:t>
            </w:r>
          </w:p>
        </w:tc>
        <w:tc>
          <w:tcPr>
            <w:tcW w:w="2551" w:type="dxa"/>
            <w:gridSpan w:val="2"/>
          </w:tcPr>
          <w:p>
            <w:pPr>
              <w:pStyle w:val="nTable"/>
              <w:spacing w:after="40"/>
            </w:pPr>
            <w:r>
              <w:t>18 Jan 1938</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Volume 1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1942</w:t>
            </w:r>
          </w:p>
        </w:tc>
        <w:tc>
          <w:tcPr>
            <w:tcW w:w="1133" w:type="dxa"/>
            <w:gridSpan w:val="2"/>
          </w:tcPr>
          <w:p>
            <w:pPr>
              <w:pStyle w:val="nTable"/>
              <w:spacing w:after="40"/>
            </w:pPr>
            <w:r>
              <w:t>34 of 1942</w:t>
            </w:r>
            <w:r>
              <w:br/>
              <w:t>(6 and 7 Geo. VI No. 34)</w:t>
            </w:r>
          </w:p>
        </w:tc>
        <w:tc>
          <w:tcPr>
            <w:tcW w:w="1134" w:type="dxa"/>
            <w:gridSpan w:val="2"/>
          </w:tcPr>
          <w:p>
            <w:pPr>
              <w:pStyle w:val="nTable"/>
              <w:spacing w:after="40"/>
            </w:pPr>
            <w:r>
              <w:t>23 Dec 1942</w:t>
            </w:r>
          </w:p>
        </w:tc>
        <w:tc>
          <w:tcPr>
            <w:tcW w:w="2551" w:type="dxa"/>
            <w:gridSpan w:val="2"/>
          </w:tcPr>
          <w:p>
            <w:pPr>
              <w:pStyle w:val="nTable"/>
              <w:spacing w:after="40"/>
            </w:pPr>
            <w:r>
              <w:t>23 Dec 1942</w:t>
            </w:r>
          </w:p>
        </w:tc>
      </w:tr>
      <w:tr>
        <w:trPr>
          <w:gridAfter w:val="1"/>
          <w:wAfter w:w="54" w:type="dxa"/>
          <w:cantSplit/>
        </w:trPr>
        <w:tc>
          <w:tcPr>
            <w:tcW w:w="2265" w:type="dxa"/>
            <w:gridSpan w:val="2"/>
          </w:tcPr>
          <w:p>
            <w:pPr>
              <w:pStyle w:val="nTable"/>
              <w:spacing w:after="40"/>
              <w:ind w:right="170"/>
            </w:pPr>
            <w:r>
              <w:rPr>
                <w:i/>
              </w:rPr>
              <w:t>Nurses Registration Act Amendment Act 1944</w:t>
            </w:r>
            <w:r>
              <w:t xml:space="preserve"> s. 12</w:t>
            </w:r>
          </w:p>
        </w:tc>
        <w:tc>
          <w:tcPr>
            <w:tcW w:w="1133" w:type="dxa"/>
            <w:gridSpan w:val="2"/>
          </w:tcPr>
          <w:p>
            <w:pPr>
              <w:pStyle w:val="nTable"/>
              <w:spacing w:after="40"/>
            </w:pPr>
            <w:r>
              <w:t>14 of 1944</w:t>
            </w:r>
            <w:r>
              <w:br/>
              <w:t>(8 Geo. VI No. 14)</w:t>
            </w:r>
          </w:p>
        </w:tc>
        <w:tc>
          <w:tcPr>
            <w:tcW w:w="1134" w:type="dxa"/>
            <w:gridSpan w:val="2"/>
          </w:tcPr>
          <w:p>
            <w:pPr>
              <w:pStyle w:val="nTable"/>
              <w:spacing w:after="40"/>
            </w:pPr>
            <w:r>
              <w:t>8 Dec 1944</w:t>
            </w:r>
          </w:p>
        </w:tc>
        <w:tc>
          <w:tcPr>
            <w:tcW w:w="2551" w:type="dxa"/>
            <w:gridSpan w:val="2"/>
          </w:tcPr>
          <w:p>
            <w:pPr>
              <w:pStyle w:val="nTable"/>
              <w:spacing w:after="40"/>
            </w:pPr>
            <w:r>
              <w:t>8 Dec 1944</w:t>
            </w:r>
          </w:p>
        </w:tc>
      </w:tr>
      <w:tr>
        <w:trPr>
          <w:gridAfter w:val="1"/>
          <w:wAfter w:w="54" w:type="dxa"/>
          <w:cantSplit/>
        </w:trPr>
        <w:tc>
          <w:tcPr>
            <w:tcW w:w="2265" w:type="dxa"/>
            <w:gridSpan w:val="2"/>
          </w:tcPr>
          <w:p>
            <w:pPr>
              <w:pStyle w:val="nTable"/>
              <w:spacing w:after="40"/>
              <w:ind w:right="170"/>
            </w:pPr>
            <w:r>
              <w:rPr>
                <w:i/>
              </w:rPr>
              <w:t>Health Act Amendment Act 1944</w:t>
            </w:r>
          </w:p>
        </w:tc>
        <w:tc>
          <w:tcPr>
            <w:tcW w:w="1133" w:type="dxa"/>
            <w:gridSpan w:val="2"/>
          </w:tcPr>
          <w:p>
            <w:pPr>
              <w:pStyle w:val="nTable"/>
              <w:spacing w:after="40"/>
            </w:pPr>
            <w:r>
              <w:t>21 of 1944</w:t>
            </w:r>
            <w:r>
              <w:br/>
              <w:t>(8 and 9 Geo. VI No. 21)</w:t>
            </w:r>
          </w:p>
        </w:tc>
        <w:tc>
          <w:tcPr>
            <w:tcW w:w="1134" w:type="dxa"/>
            <w:gridSpan w:val="2"/>
          </w:tcPr>
          <w:p>
            <w:pPr>
              <w:pStyle w:val="nTable"/>
              <w:spacing w:after="40"/>
            </w:pPr>
            <w:r>
              <w:t>23 Dec 1944</w:t>
            </w:r>
          </w:p>
        </w:tc>
        <w:tc>
          <w:tcPr>
            <w:tcW w:w="2551" w:type="dxa"/>
            <w:gridSpan w:val="2"/>
          </w:tcPr>
          <w:p>
            <w:pPr>
              <w:pStyle w:val="nTable"/>
              <w:spacing w:after="40"/>
            </w:pPr>
            <w:r>
              <w:t>23 Dec 1944</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not in a Volume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1948</w:t>
            </w:r>
          </w:p>
        </w:tc>
        <w:tc>
          <w:tcPr>
            <w:tcW w:w="1133" w:type="dxa"/>
            <w:gridSpan w:val="2"/>
          </w:tcPr>
          <w:p>
            <w:pPr>
              <w:pStyle w:val="nTable"/>
              <w:spacing w:after="40"/>
            </w:pPr>
            <w:r>
              <w:t>22 of 1948</w:t>
            </w:r>
            <w:r>
              <w:br/>
              <w:t>(12 Geo. VI No. 22)</w:t>
            </w:r>
          </w:p>
        </w:tc>
        <w:tc>
          <w:tcPr>
            <w:tcW w:w="1134" w:type="dxa"/>
            <w:gridSpan w:val="2"/>
          </w:tcPr>
          <w:p>
            <w:pPr>
              <w:pStyle w:val="nTable"/>
              <w:spacing w:after="40"/>
            </w:pPr>
            <w:r>
              <w:t>18 Nov 1948</w:t>
            </w:r>
          </w:p>
        </w:tc>
        <w:tc>
          <w:tcPr>
            <w:tcW w:w="2551" w:type="dxa"/>
            <w:gridSpan w:val="2"/>
          </w:tcPr>
          <w:p>
            <w:pPr>
              <w:pStyle w:val="nTable"/>
              <w:spacing w:after="40"/>
            </w:pPr>
            <w:r>
              <w:t>18 Nov 1948</w:t>
            </w:r>
          </w:p>
        </w:tc>
      </w:tr>
      <w:tr>
        <w:trPr>
          <w:gridAfter w:val="1"/>
          <w:wAfter w:w="54" w:type="dxa"/>
          <w:cantSplit/>
        </w:trPr>
        <w:tc>
          <w:tcPr>
            <w:tcW w:w="2265" w:type="dxa"/>
            <w:gridSpan w:val="2"/>
          </w:tcPr>
          <w:p>
            <w:pPr>
              <w:pStyle w:val="nTable"/>
              <w:spacing w:after="40"/>
              <w:ind w:right="170"/>
            </w:pPr>
            <w:r>
              <w:rPr>
                <w:i/>
              </w:rPr>
              <w:t>Health Act Amendment Act (No. 2) 1948</w:t>
            </w:r>
          </w:p>
        </w:tc>
        <w:tc>
          <w:tcPr>
            <w:tcW w:w="1133" w:type="dxa"/>
            <w:gridSpan w:val="2"/>
          </w:tcPr>
          <w:p>
            <w:pPr>
              <w:pStyle w:val="nTable"/>
              <w:spacing w:after="40"/>
            </w:pPr>
            <w:r>
              <w:t>70 of 1948</w:t>
            </w:r>
            <w:r>
              <w:br/>
              <w:t>(12 and 13 Geo. VI No. 70)</w:t>
            </w:r>
          </w:p>
        </w:tc>
        <w:tc>
          <w:tcPr>
            <w:tcW w:w="1134" w:type="dxa"/>
            <w:gridSpan w:val="2"/>
          </w:tcPr>
          <w:p>
            <w:pPr>
              <w:pStyle w:val="nTable"/>
              <w:spacing w:after="40"/>
            </w:pPr>
            <w:r>
              <w:t>21 Jan 1949</w:t>
            </w:r>
          </w:p>
        </w:tc>
        <w:tc>
          <w:tcPr>
            <w:tcW w:w="2551" w:type="dxa"/>
            <w:gridSpan w:val="2"/>
          </w:tcPr>
          <w:p>
            <w:pPr>
              <w:pStyle w:val="nTable"/>
              <w:spacing w:after="40"/>
            </w:pPr>
            <w:r>
              <w:t>21 Jan 1949</w:t>
            </w:r>
          </w:p>
        </w:tc>
      </w:tr>
      <w:tr>
        <w:trPr>
          <w:gridAfter w:val="1"/>
          <w:wAfter w:w="54" w:type="dxa"/>
        </w:trPr>
        <w:tc>
          <w:tcPr>
            <w:tcW w:w="2265" w:type="dxa"/>
            <w:gridSpan w:val="2"/>
          </w:tcPr>
          <w:p>
            <w:pPr>
              <w:pStyle w:val="nTable"/>
              <w:keepNext/>
              <w:spacing w:after="40"/>
              <w:ind w:right="170"/>
            </w:pPr>
            <w:r>
              <w:rPr>
                <w:i/>
              </w:rPr>
              <w:lastRenderedPageBreak/>
              <w:t>Health Act Amendment Act (No. 3) 1948</w:t>
            </w:r>
          </w:p>
        </w:tc>
        <w:tc>
          <w:tcPr>
            <w:tcW w:w="1133" w:type="dxa"/>
            <w:gridSpan w:val="2"/>
          </w:tcPr>
          <w:p>
            <w:pPr>
              <w:pStyle w:val="nTable"/>
              <w:keepNext/>
              <w:spacing w:after="40"/>
            </w:pPr>
            <w:r>
              <w:t>71 of 1948</w:t>
            </w:r>
            <w:r>
              <w:br/>
              <w:t>(12 and 13 Geo. VI No. 71)</w:t>
            </w:r>
          </w:p>
        </w:tc>
        <w:tc>
          <w:tcPr>
            <w:tcW w:w="1134" w:type="dxa"/>
            <w:gridSpan w:val="2"/>
          </w:tcPr>
          <w:p>
            <w:pPr>
              <w:pStyle w:val="nTable"/>
              <w:keepNext/>
              <w:spacing w:after="40"/>
            </w:pPr>
            <w:r>
              <w:t>21 Jan 1949</w:t>
            </w:r>
          </w:p>
        </w:tc>
        <w:tc>
          <w:tcPr>
            <w:tcW w:w="2551" w:type="dxa"/>
            <w:gridSpan w:val="2"/>
          </w:tcPr>
          <w:p>
            <w:pPr>
              <w:pStyle w:val="nTable"/>
              <w:keepNext/>
              <w:spacing w:after="40"/>
            </w:pPr>
            <w:r>
              <w:t>21 Jan 1949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17 Mar 1949 in Volume 3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1950</w:t>
            </w:r>
          </w:p>
        </w:tc>
        <w:tc>
          <w:tcPr>
            <w:tcW w:w="1133" w:type="dxa"/>
            <w:gridSpan w:val="2"/>
          </w:tcPr>
          <w:p>
            <w:pPr>
              <w:pStyle w:val="nTable"/>
              <w:spacing w:after="40"/>
            </w:pPr>
            <w:r>
              <w:t>25 of 1950</w:t>
            </w:r>
            <w:r>
              <w:br/>
              <w:t>(14 Geo. VI No. 25)</w:t>
            </w:r>
          </w:p>
        </w:tc>
        <w:tc>
          <w:tcPr>
            <w:tcW w:w="1134" w:type="dxa"/>
            <w:gridSpan w:val="2"/>
          </w:tcPr>
          <w:p>
            <w:pPr>
              <w:pStyle w:val="nTable"/>
              <w:spacing w:after="40"/>
            </w:pPr>
            <w:r>
              <w:t>5 Dec 1950</w:t>
            </w:r>
          </w:p>
        </w:tc>
        <w:tc>
          <w:tcPr>
            <w:tcW w:w="2551" w:type="dxa"/>
            <w:gridSpan w:val="2"/>
          </w:tcPr>
          <w:p>
            <w:pPr>
              <w:pStyle w:val="nTable"/>
              <w:spacing w:after="40"/>
            </w:pPr>
            <w:r>
              <w:t>5 Dec 1950</w:t>
            </w:r>
          </w:p>
        </w:tc>
      </w:tr>
      <w:tr>
        <w:trPr>
          <w:gridAfter w:val="1"/>
          <w:wAfter w:w="54" w:type="dxa"/>
          <w:cantSplit/>
        </w:trPr>
        <w:tc>
          <w:tcPr>
            <w:tcW w:w="2265" w:type="dxa"/>
            <w:gridSpan w:val="2"/>
          </w:tcPr>
          <w:p>
            <w:pPr>
              <w:pStyle w:val="nTable"/>
              <w:spacing w:after="40"/>
              <w:ind w:right="170"/>
            </w:pPr>
            <w:r>
              <w:rPr>
                <w:i/>
              </w:rPr>
              <w:t>Health Act Amendment Act 1952</w:t>
            </w:r>
          </w:p>
        </w:tc>
        <w:tc>
          <w:tcPr>
            <w:tcW w:w="1133" w:type="dxa"/>
            <w:gridSpan w:val="2"/>
          </w:tcPr>
          <w:p>
            <w:pPr>
              <w:pStyle w:val="nTable"/>
              <w:spacing w:after="40"/>
            </w:pPr>
            <w:r>
              <w:t>11 of 1952</w:t>
            </w:r>
            <w:r>
              <w:br/>
              <w:t>(1 Eliz. II No. 11)</w:t>
            </w:r>
          </w:p>
        </w:tc>
        <w:tc>
          <w:tcPr>
            <w:tcW w:w="1134" w:type="dxa"/>
            <w:gridSpan w:val="2"/>
          </w:tcPr>
          <w:p>
            <w:pPr>
              <w:pStyle w:val="nTable"/>
              <w:spacing w:after="40"/>
            </w:pPr>
            <w:r>
              <w:t>4 Nov 1952</w:t>
            </w:r>
          </w:p>
        </w:tc>
        <w:tc>
          <w:tcPr>
            <w:tcW w:w="2551" w:type="dxa"/>
            <w:gridSpan w:val="2"/>
          </w:tcPr>
          <w:p>
            <w:pPr>
              <w:pStyle w:val="nTable"/>
              <w:spacing w:after="40"/>
            </w:pPr>
            <w:r>
              <w:t>4 Nov 1952</w:t>
            </w:r>
          </w:p>
        </w:tc>
      </w:tr>
      <w:tr>
        <w:trPr>
          <w:gridAfter w:val="1"/>
          <w:wAfter w:w="54" w:type="dxa"/>
          <w:cantSplit/>
        </w:trPr>
        <w:tc>
          <w:tcPr>
            <w:tcW w:w="2265" w:type="dxa"/>
            <w:gridSpan w:val="2"/>
          </w:tcPr>
          <w:p>
            <w:pPr>
              <w:pStyle w:val="nTable"/>
              <w:spacing w:after="40"/>
              <w:ind w:right="170"/>
            </w:pPr>
            <w:r>
              <w:rPr>
                <w:i/>
              </w:rPr>
              <w:t>Health Act Amendment Act (No. 2) 1952</w:t>
            </w:r>
          </w:p>
        </w:tc>
        <w:tc>
          <w:tcPr>
            <w:tcW w:w="1133" w:type="dxa"/>
            <w:gridSpan w:val="2"/>
          </w:tcPr>
          <w:p>
            <w:pPr>
              <w:pStyle w:val="nTable"/>
              <w:spacing w:after="40"/>
            </w:pPr>
            <w:r>
              <w:t>25 of 1952</w:t>
            </w:r>
            <w:r>
              <w:br/>
              <w:t>(1 Eliz. II No. 25)</w:t>
            </w:r>
          </w:p>
        </w:tc>
        <w:tc>
          <w:tcPr>
            <w:tcW w:w="1134" w:type="dxa"/>
            <w:gridSpan w:val="2"/>
          </w:tcPr>
          <w:p>
            <w:pPr>
              <w:pStyle w:val="nTable"/>
              <w:spacing w:after="40"/>
            </w:pPr>
            <w:r>
              <w:t>28 Nov 1952</w:t>
            </w:r>
          </w:p>
        </w:tc>
        <w:tc>
          <w:tcPr>
            <w:tcW w:w="2551" w:type="dxa"/>
            <w:gridSpan w:val="2"/>
          </w:tcPr>
          <w:p>
            <w:pPr>
              <w:pStyle w:val="nTable"/>
              <w:spacing w:after="40"/>
            </w:pPr>
            <w:r>
              <w:t>28 Nov 1952</w:t>
            </w:r>
          </w:p>
        </w:tc>
      </w:tr>
      <w:tr>
        <w:trPr>
          <w:gridAfter w:val="1"/>
          <w:wAfter w:w="54" w:type="dxa"/>
          <w:cantSplit/>
        </w:trPr>
        <w:tc>
          <w:tcPr>
            <w:tcW w:w="2265" w:type="dxa"/>
            <w:gridSpan w:val="2"/>
          </w:tcPr>
          <w:p>
            <w:pPr>
              <w:pStyle w:val="nTable"/>
              <w:spacing w:after="40"/>
              <w:ind w:right="170"/>
            </w:pPr>
            <w:r>
              <w:rPr>
                <w:i/>
              </w:rPr>
              <w:t>Health Act Amendment Act (No. 2) 1954</w:t>
            </w:r>
          </w:p>
        </w:tc>
        <w:tc>
          <w:tcPr>
            <w:tcW w:w="1133" w:type="dxa"/>
            <w:gridSpan w:val="2"/>
          </w:tcPr>
          <w:p>
            <w:pPr>
              <w:pStyle w:val="nTable"/>
              <w:spacing w:after="40"/>
            </w:pPr>
            <w:r>
              <w:t>34 of 1954</w:t>
            </w:r>
            <w:r>
              <w:br/>
              <w:t>(3 Eliz. II No. 34)</w:t>
            </w:r>
          </w:p>
        </w:tc>
        <w:tc>
          <w:tcPr>
            <w:tcW w:w="1134" w:type="dxa"/>
            <w:gridSpan w:val="2"/>
          </w:tcPr>
          <w:p>
            <w:pPr>
              <w:pStyle w:val="nTable"/>
              <w:spacing w:after="40"/>
            </w:pPr>
            <w:r>
              <w:t>18 Nov 1954</w:t>
            </w:r>
          </w:p>
        </w:tc>
        <w:tc>
          <w:tcPr>
            <w:tcW w:w="2551" w:type="dxa"/>
            <w:gridSpan w:val="2"/>
          </w:tcPr>
          <w:p>
            <w:pPr>
              <w:pStyle w:val="nTable"/>
              <w:spacing w:after="40"/>
            </w:pPr>
            <w:r>
              <w:t xml:space="preserve">12 Apr 1957 (see s. 2 and </w:t>
            </w:r>
            <w:r>
              <w:rPr>
                <w:i/>
              </w:rPr>
              <w:t>Gazette</w:t>
            </w:r>
            <w:r>
              <w:t xml:space="preserve"> 12 Apr 1957 p. 1081)</w:t>
            </w:r>
          </w:p>
        </w:tc>
      </w:tr>
      <w:tr>
        <w:trPr>
          <w:gridAfter w:val="1"/>
          <w:wAfter w:w="54" w:type="dxa"/>
          <w:cantSplit/>
        </w:trPr>
        <w:tc>
          <w:tcPr>
            <w:tcW w:w="2265" w:type="dxa"/>
            <w:gridSpan w:val="2"/>
          </w:tcPr>
          <w:p>
            <w:pPr>
              <w:pStyle w:val="nTable"/>
              <w:spacing w:after="40"/>
              <w:ind w:right="170"/>
            </w:pPr>
            <w:r>
              <w:rPr>
                <w:i/>
              </w:rPr>
              <w:t>Health Act Amendment Act 1954</w:t>
            </w:r>
          </w:p>
        </w:tc>
        <w:tc>
          <w:tcPr>
            <w:tcW w:w="1133" w:type="dxa"/>
            <w:gridSpan w:val="2"/>
          </w:tcPr>
          <w:p>
            <w:pPr>
              <w:pStyle w:val="nTable"/>
              <w:spacing w:after="40"/>
            </w:pPr>
            <w:r>
              <w:t>45 of 1954</w:t>
            </w:r>
            <w:r>
              <w:br/>
              <w:t>(3 Eliz. II No. 45)</w:t>
            </w:r>
          </w:p>
        </w:tc>
        <w:tc>
          <w:tcPr>
            <w:tcW w:w="1134" w:type="dxa"/>
            <w:gridSpan w:val="2"/>
          </w:tcPr>
          <w:p>
            <w:pPr>
              <w:pStyle w:val="nTable"/>
              <w:spacing w:after="40"/>
            </w:pPr>
            <w:r>
              <w:t>8 Dec 1954</w:t>
            </w:r>
          </w:p>
        </w:tc>
        <w:tc>
          <w:tcPr>
            <w:tcW w:w="2551" w:type="dxa"/>
            <w:gridSpan w:val="2"/>
          </w:tcPr>
          <w:p>
            <w:pPr>
              <w:pStyle w:val="nTable"/>
              <w:spacing w:after="40"/>
            </w:pPr>
            <w:r>
              <w:t>8 Dec 1954</w:t>
            </w:r>
          </w:p>
        </w:tc>
      </w:tr>
      <w:tr>
        <w:trPr>
          <w:gridAfter w:val="1"/>
          <w:wAfter w:w="54" w:type="dxa"/>
          <w:cantSplit/>
        </w:trPr>
        <w:tc>
          <w:tcPr>
            <w:tcW w:w="2265" w:type="dxa"/>
            <w:gridSpan w:val="2"/>
          </w:tcPr>
          <w:p>
            <w:pPr>
              <w:pStyle w:val="nTable"/>
              <w:spacing w:after="40"/>
              <w:ind w:right="170"/>
            </w:pPr>
            <w:r>
              <w:rPr>
                <w:i/>
              </w:rPr>
              <w:t xml:space="preserve">Limitation Act 1935 </w:t>
            </w:r>
            <w:r>
              <w:t>s. 48A(1)</w:t>
            </w:r>
          </w:p>
        </w:tc>
        <w:tc>
          <w:tcPr>
            <w:tcW w:w="1133"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1" w:type="dxa"/>
            <w:gridSpan w:val="2"/>
          </w:tcPr>
          <w:p>
            <w:pPr>
              <w:pStyle w:val="nTable"/>
              <w:spacing w:after="40"/>
            </w:pPr>
            <w:r>
              <w:t>Relevant amendments (see s. 48A and Second Sch.</w:t>
            </w:r>
            <w:r>
              <w:rPr>
                <w:vertAlign w:val="superscript"/>
              </w:rPr>
              <w:t xml:space="preserve">  9</w:t>
            </w:r>
            <w:r>
              <w:t>)</w:t>
            </w:r>
            <w:r>
              <w:br/>
              <w:t>took effect on 1 Mar 1955</w:t>
            </w:r>
            <w:r>
              <w:br/>
              <w:t xml:space="preserve">(see s. 2 and </w:t>
            </w:r>
            <w:r>
              <w:rPr>
                <w:i/>
              </w:rPr>
              <w:t>Gazette</w:t>
            </w:r>
            <w:r>
              <w:t xml:space="preserve"> 18 Feb 1955 p. 343) </w:t>
            </w:r>
          </w:p>
        </w:tc>
      </w:tr>
      <w:tr>
        <w:trPr>
          <w:gridAfter w:val="1"/>
          <w:wAfter w:w="54" w:type="dxa"/>
          <w:cantSplit/>
        </w:trPr>
        <w:tc>
          <w:tcPr>
            <w:tcW w:w="2265" w:type="dxa"/>
            <w:gridSpan w:val="2"/>
          </w:tcPr>
          <w:p>
            <w:pPr>
              <w:pStyle w:val="nTable"/>
              <w:spacing w:after="40"/>
              <w:ind w:right="170"/>
            </w:pPr>
            <w:r>
              <w:rPr>
                <w:i/>
              </w:rPr>
              <w:t>Health Act Amendment Act 1955</w:t>
            </w:r>
          </w:p>
        </w:tc>
        <w:tc>
          <w:tcPr>
            <w:tcW w:w="1133" w:type="dxa"/>
            <w:gridSpan w:val="2"/>
          </w:tcPr>
          <w:p>
            <w:pPr>
              <w:pStyle w:val="nTable"/>
              <w:spacing w:after="40"/>
            </w:pPr>
            <w:r>
              <w:t>29 of 1955</w:t>
            </w:r>
            <w:r>
              <w:br/>
              <w:t>(4 Eliz. II No. 29)</w:t>
            </w:r>
          </w:p>
        </w:tc>
        <w:tc>
          <w:tcPr>
            <w:tcW w:w="1134" w:type="dxa"/>
            <w:gridSpan w:val="2"/>
          </w:tcPr>
          <w:p>
            <w:pPr>
              <w:pStyle w:val="nTable"/>
              <w:spacing w:after="40"/>
            </w:pPr>
            <w:r>
              <w:t>15 Nov 1955</w:t>
            </w:r>
          </w:p>
        </w:tc>
        <w:tc>
          <w:tcPr>
            <w:tcW w:w="2551" w:type="dxa"/>
            <w:gridSpan w:val="2"/>
          </w:tcPr>
          <w:p>
            <w:pPr>
              <w:pStyle w:val="nTable"/>
              <w:spacing w:after="40"/>
            </w:pPr>
            <w:r>
              <w:t>15 Nov 1955</w:t>
            </w:r>
          </w:p>
        </w:tc>
      </w:tr>
      <w:tr>
        <w:trPr>
          <w:gridAfter w:val="1"/>
          <w:wAfter w:w="54" w:type="dxa"/>
          <w:cantSplit/>
        </w:trPr>
        <w:tc>
          <w:tcPr>
            <w:tcW w:w="2265" w:type="dxa"/>
            <w:gridSpan w:val="2"/>
          </w:tcPr>
          <w:p>
            <w:pPr>
              <w:pStyle w:val="nTable"/>
              <w:spacing w:after="40"/>
              <w:ind w:right="170"/>
            </w:pPr>
            <w:r>
              <w:rPr>
                <w:i/>
              </w:rPr>
              <w:t>Health Act Amendment Act 1956</w:t>
            </w:r>
          </w:p>
        </w:tc>
        <w:tc>
          <w:tcPr>
            <w:tcW w:w="1133" w:type="dxa"/>
            <w:gridSpan w:val="2"/>
          </w:tcPr>
          <w:p>
            <w:pPr>
              <w:pStyle w:val="nTable"/>
              <w:spacing w:after="40"/>
            </w:pPr>
            <w:r>
              <w:t>17 of 1956</w:t>
            </w:r>
            <w:r>
              <w:br/>
              <w:t>(5 Eliz. II No. 17)</w:t>
            </w:r>
          </w:p>
        </w:tc>
        <w:tc>
          <w:tcPr>
            <w:tcW w:w="1134" w:type="dxa"/>
            <w:gridSpan w:val="2"/>
          </w:tcPr>
          <w:p>
            <w:pPr>
              <w:pStyle w:val="nTable"/>
              <w:spacing w:after="40"/>
            </w:pPr>
            <w:r>
              <w:t>26 Oct 1956</w:t>
            </w:r>
          </w:p>
        </w:tc>
        <w:tc>
          <w:tcPr>
            <w:tcW w:w="2551" w:type="dxa"/>
            <w:gridSpan w:val="2"/>
          </w:tcPr>
          <w:p>
            <w:pPr>
              <w:pStyle w:val="nTable"/>
              <w:spacing w:after="40"/>
            </w:pPr>
            <w:r>
              <w:t>26 Oct 1956</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5 Jun 1957 in Volume 11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1957</w:t>
            </w:r>
          </w:p>
        </w:tc>
        <w:tc>
          <w:tcPr>
            <w:tcW w:w="1133" w:type="dxa"/>
            <w:gridSpan w:val="2"/>
          </w:tcPr>
          <w:p>
            <w:pPr>
              <w:pStyle w:val="nTable"/>
              <w:spacing w:after="40"/>
            </w:pPr>
            <w:r>
              <w:t>21 of 1957</w:t>
            </w:r>
            <w:r>
              <w:br/>
              <w:t>(6 Eliz. II No. 21)</w:t>
            </w:r>
          </w:p>
        </w:tc>
        <w:tc>
          <w:tcPr>
            <w:tcW w:w="1134" w:type="dxa"/>
            <w:gridSpan w:val="2"/>
          </w:tcPr>
          <w:p>
            <w:pPr>
              <w:pStyle w:val="nTable"/>
              <w:spacing w:after="40"/>
            </w:pPr>
            <w:r>
              <w:t>9 Oct 1957</w:t>
            </w:r>
          </w:p>
        </w:tc>
        <w:tc>
          <w:tcPr>
            <w:tcW w:w="2551" w:type="dxa"/>
            <w:gridSpan w:val="2"/>
          </w:tcPr>
          <w:p>
            <w:pPr>
              <w:pStyle w:val="nTable"/>
              <w:spacing w:after="40"/>
            </w:pPr>
            <w:r>
              <w:t xml:space="preserve">1 Dec 1957 (see s. 2 and </w:t>
            </w:r>
            <w:r>
              <w:rPr>
                <w:i/>
              </w:rPr>
              <w:t>Gazette</w:t>
            </w:r>
            <w:r>
              <w:t xml:space="preserve"> 29 Nov 1957 p. 3445)</w:t>
            </w:r>
          </w:p>
        </w:tc>
      </w:tr>
      <w:tr>
        <w:trPr>
          <w:gridAfter w:val="1"/>
          <w:wAfter w:w="54" w:type="dxa"/>
          <w:cantSplit/>
        </w:trPr>
        <w:tc>
          <w:tcPr>
            <w:tcW w:w="2265" w:type="dxa"/>
            <w:gridSpan w:val="2"/>
          </w:tcPr>
          <w:p>
            <w:pPr>
              <w:pStyle w:val="nTable"/>
              <w:spacing w:after="40"/>
              <w:ind w:right="170"/>
            </w:pPr>
            <w:r>
              <w:rPr>
                <w:i/>
              </w:rPr>
              <w:lastRenderedPageBreak/>
              <w:t>Health Act Amendment Act 1959</w:t>
            </w:r>
          </w:p>
        </w:tc>
        <w:tc>
          <w:tcPr>
            <w:tcW w:w="1133" w:type="dxa"/>
            <w:gridSpan w:val="2"/>
          </w:tcPr>
          <w:p>
            <w:pPr>
              <w:pStyle w:val="nTable"/>
              <w:spacing w:after="40"/>
            </w:pPr>
            <w:r>
              <w:t>22 of 1959</w:t>
            </w:r>
            <w:r>
              <w:br/>
              <w:t>(8 Eliz. II No. 22)</w:t>
            </w:r>
          </w:p>
        </w:tc>
        <w:tc>
          <w:tcPr>
            <w:tcW w:w="1134" w:type="dxa"/>
            <w:gridSpan w:val="2"/>
          </w:tcPr>
          <w:p>
            <w:pPr>
              <w:pStyle w:val="nTable"/>
              <w:spacing w:after="40"/>
            </w:pPr>
            <w:r>
              <w:t>8 Oct 1959</w:t>
            </w:r>
          </w:p>
        </w:tc>
        <w:tc>
          <w:tcPr>
            <w:tcW w:w="2551" w:type="dxa"/>
            <w:gridSpan w:val="2"/>
          </w:tcPr>
          <w:p>
            <w:pPr>
              <w:pStyle w:val="nTable"/>
              <w:spacing w:after="40"/>
            </w:pPr>
            <w:r>
              <w:t>8 Oct 1959</w:t>
            </w:r>
          </w:p>
        </w:tc>
      </w:tr>
      <w:tr>
        <w:trPr>
          <w:gridAfter w:val="1"/>
          <w:wAfter w:w="54" w:type="dxa"/>
          <w:cantSplit/>
        </w:trPr>
        <w:tc>
          <w:tcPr>
            <w:tcW w:w="2265" w:type="dxa"/>
            <w:gridSpan w:val="2"/>
          </w:tcPr>
          <w:p>
            <w:pPr>
              <w:pStyle w:val="nTable"/>
              <w:spacing w:after="40"/>
              <w:ind w:right="170"/>
            </w:pPr>
            <w:r>
              <w:rPr>
                <w:i/>
              </w:rPr>
              <w:t>Health Act Amendment Act 1960</w:t>
            </w:r>
          </w:p>
        </w:tc>
        <w:tc>
          <w:tcPr>
            <w:tcW w:w="1133" w:type="dxa"/>
            <w:gridSpan w:val="2"/>
          </w:tcPr>
          <w:p>
            <w:pPr>
              <w:pStyle w:val="nTable"/>
              <w:spacing w:after="40"/>
            </w:pPr>
            <w:r>
              <w:t>23 of 1960</w:t>
            </w:r>
            <w:r>
              <w:br/>
              <w:t>(9 Eliz. II No. 23)</w:t>
            </w:r>
          </w:p>
        </w:tc>
        <w:tc>
          <w:tcPr>
            <w:tcW w:w="1134" w:type="dxa"/>
            <w:gridSpan w:val="2"/>
          </w:tcPr>
          <w:p>
            <w:pPr>
              <w:pStyle w:val="nTable"/>
              <w:spacing w:after="40"/>
            </w:pPr>
            <w:r>
              <w:t>11 Oct 1960</w:t>
            </w:r>
          </w:p>
        </w:tc>
        <w:tc>
          <w:tcPr>
            <w:tcW w:w="2551" w:type="dxa"/>
            <w:gridSpan w:val="2"/>
          </w:tcPr>
          <w:p>
            <w:pPr>
              <w:pStyle w:val="nTable"/>
              <w:spacing w:after="40"/>
            </w:pPr>
            <w:r>
              <w:t>11 Oct 1960</w:t>
            </w:r>
          </w:p>
        </w:tc>
      </w:tr>
      <w:tr>
        <w:trPr>
          <w:gridAfter w:val="1"/>
          <w:wAfter w:w="54" w:type="dxa"/>
          <w:cantSplit/>
        </w:trPr>
        <w:tc>
          <w:tcPr>
            <w:tcW w:w="2265" w:type="dxa"/>
            <w:gridSpan w:val="2"/>
          </w:tcPr>
          <w:p>
            <w:pPr>
              <w:pStyle w:val="nTable"/>
              <w:spacing w:after="40"/>
              <w:ind w:right="170"/>
            </w:pPr>
            <w:r>
              <w:rPr>
                <w:i/>
              </w:rPr>
              <w:t>Health Act Amendment Act (No. 2) 1960</w:t>
            </w:r>
          </w:p>
        </w:tc>
        <w:tc>
          <w:tcPr>
            <w:tcW w:w="1133" w:type="dxa"/>
            <w:gridSpan w:val="2"/>
          </w:tcPr>
          <w:p>
            <w:pPr>
              <w:pStyle w:val="nTable"/>
              <w:spacing w:after="40"/>
            </w:pPr>
            <w:r>
              <w:t>38 of 1960</w:t>
            </w:r>
            <w:r>
              <w:br/>
              <w:t>(9 Eliz. II No. 38)</w:t>
            </w:r>
          </w:p>
        </w:tc>
        <w:tc>
          <w:tcPr>
            <w:tcW w:w="1134" w:type="dxa"/>
            <w:gridSpan w:val="2"/>
          </w:tcPr>
          <w:p>
            <w:pPr>
              <w:pStyle w:val="nTable"/>
              <w:spacing w:after="40"/>
            </w:pPr>
            <w:r>
              <w:t>3 Nov 1960</w:t>
            </w:r>
          </w:p>
        </w:tc>
        <w:tc>
          <w:tcPr>
            <w:tcW w:w="2551" w:type="dxa"/>
            <w:gridSpan w:val="2"/>
          </w:tcPr>
          <w:p>
            <w:pPr>
              <w:pStyle w:val="nTable"/>
              <w:spacing w:after="40"/>
            </w:pPr>
            <w:r>
              <w:t>3 Nov 1960</w:t>
            </w:r>
          </w:p>
        </w:tc>
      </w:tr>
      <w:tr>
        <w:trPr>
          <w:gridAfter w:val="1"/>
          <w:wAfter w:w="54" w:type="dxa"/>
          <w:cantSplit/>
        </w:trPr>
        <w:tc>
          <w:tcPr>
            <w:tcW w:w="2265" w:type="dxa"/>
            <w:gridSpan w:val="2"/>
          </w:tcPr>
          <w:p>
            <w:pPr>
              <w:pStyle w:val="nTable"/>
              <w:spacing w:after="40"/>
              <w:ind w:right="170"/>
            </w:pPr>
            <w:r>
              <w:rPr>
                <w:i/>
              </w:rPr>
              <w:t>Health Act Amendment Act 1962</w:t>
            </w:r>
          </w:p>
        </w:tc>
        <w:tc>
          <w:tcPr>
            <w:tcW w:w="1133" w:type="dxa"/>
            <w:gridSpan w:val="2"/>
          </w:tcPr>
          <w:p>
            <w:pPr>
              <w:pStyle w:val="nTable"/>
              <w:spacing w:after="40"/>
            </w:pPr>
            <w:r>
              <w:t>33 of 1962</w:t>
            </w:r>
            <w:r>
              <w:br/>
              <w:t>(11 Eliz. II No. 33)</w:t>
            </w:r>
          </w:p>
        </w:tc>
        <w:tc>
          <w:tcPr>
            <w:tcW w:w="1134" w:type="dxa"/>
            <w:gridSpan w:val="2"/>
          </w:tcPr>
          <w:p>
            <w:pPr>
              <w:pStyle w:val="nTable"/>
              <w:spacing w:after="40"/>
            </w:pPr>
            <w:r>
              <w:t>29 Oct 1962</w:t>
            </w:r>
          </w:p>
        </w:tc>
        <w:tc>
          <w:tcPr>
            <w:tcW w:w="2551" w:type="dxa"/>
            <w:gridSpan w:val="2"/>
          </w:tcPr>
          <w:p>
            <w:pPr>
              <w:pStyle w:val="nTable"/>
              <w:spacing w:after="40"/>
            </w:pPr>
            <w:r>
              <w:t>29 Oct 1962</w:t>
            </w:r>
          </w:p>
        </w:tc>
      </w:tr>
      <w:tr>
        <w:trPr>
          <w:gridAfter w:val="1"/>
          <w:wAfter w:w="54" w:type="dxa"/>
          <w:cantSplit/>
        </w:trPr>
        <w:tc>
          <w:tcPr>
            <w:tcW w:w="2265" w:type="dxa"/>
            <w:gridSpan w:val="2"/>
          </w:tcPr>
          <w:p>
            <w:pPr>
              <w:pStyle w:val="nTable"/>
              <w:spacing w:after="40"/>
              <w:ind w:right="170"/>
            </w:pPr>
            <w:r>
              <w:rPr>
                <w:i/>
              </w:rPr>
              <w:t>Health Act Amendment Act (No. 3) 1962</w:t>
            </w:r>
          </w:p>
        </w:tc>
        <w:tc>
          <w:tcPr>
            <w:tcW w:w="1133" w:type="dxa"/>
            <w:gridSpan w:val="2"/>
          </w:tcPr>
          <w:p>
            <w:pPr>
              <w:pStyle w:val="nTable"/>
              <w:spacing w:after="40"/>
            </w:pPr>
            <w:r>
              <w:t>49 of 1962</w:t>
            </w:r>
            <w:r>
              <w:br/>
              <w:t>(11 Eliz. II No. 49)</w:t>
            </w:r>
          </w:p>
        </w:tc>
        <w:tc>
          <w:tcPr>
            <w:tcW w:w="1134" w:type="dxa"/>
            <w:gridSpan w:val="2"/>
          </w:tcPr>
          <w:p>
            <w:pPr>
              <w:pStyle w:val="nTable"/>
              <w:spacing w:after="40"/>
            </w:pPr>
            <w:r>
              <w:t>20 Nov 1962</w:t>
            </w:r>
          </w:p>
        </w:tc>
        <w:tc>
          <w:tcPr>
            <w:tcW w:w="2551" w:type="dxa"/>
            <w:gridSpan w:val="2"/>
          </w:tcPr>
          <w:p>
            <w:pPr>
              <w:pStyle w:val="nTable"/>
              <w:spacing w:after="40"/>
            </w:pPr>
            <w:r>
              <w:t>20 Nov 1962</w:t>
            </w:r>
          </w:p>
        </w:tc>
      </w:tr>
      <w:tr>
        <w:trPr>
          <w:gridAfter w:val="1"/>
          <w:wAfter w:w="54" w:type="dxa"/>
          <w:cantSplit/>
        </w:trPr>
        <w:tc>
          <w:tcPr>
            <w:tcW w:w="2265" w:type="dxa"/>
            <w:gridSpan w:val="2"/>
          </w:tcPr>
          <w:p>
            <w:pPr>
              <w:pStyle w:val="nTable"/>
              <w:spacing w:after="40"/>
              <w:ind w:right="170"/>
            </w:pPr>
            <w:r>
              <w:rPr>
                <w:i/>
              </w:rPr>
              <w:t>Health Act Amendment Act 1964</w:t>
            </w:r>
          </w:p>
        </w:tc>
        <w:tc>
          <w:tcPr>
            <w:tcW w:w="1133" w:type="dxa"/>
            <w:gridSpan w:val="2"/>
          </w:tcPr>
          <w:p>
            <w:pPr>
              <w:pStyle w:val="nTable"/>
              <w:spacing w:after="40"/>
            </w:pPr>
            <w:r>
              <w:t>18 of 1964</w:t>
            </w:r>
            <w:r>
              <w:br/>
              <w:t>(13 Eliz. II No. 18)</w:t>
            </w:r>
          </w:p>
        </w:tc>
        <w:tc>
          <w:tcPr>
            <w:tcW w:w="1134" w:type="dxa"/>
            <w:gridSpan w:val="2"/>
          </w:tcPr>
          <w:p>
            <w:pPr>
              <w:pStyle w:val="nTable"/>
              <w:spacing w:after="40"/>
            </w:pPr>
            <w:r>
              <w:t>8 Oct 1964</w:t>
            </w:r>
          </w:p>
        </w:tc>
        <w:tc>
          <w:tcPr>
            <w:tcW w:w="2551" w:type="dxa"/>
            <w:gridSpan w:val="2"/>
          </w:tcPr>
          <w:p>
            <w:pPr>
              <w:pStyle w:val="nTable"/>
              <w:spacing w:after="40"/>
            </w:pPr>
            <w:r>
              <w:t>8 Oct 1964</w:t>
            </w:r>
          </w:p>
        </w:tc>
      </w:tr>
      <w:tr>
        <w:trPr>
          <w:gridAfter w:val="1"/>
          <w:wAfter w:w="54" w:type="dxa"/>
          <w:cantSplit/>
        </w:trPr>
        <w:tc>
          <w:tcPr>
            <w:tcW w:w="2265" w:type="dxa"/>
            <w:gridSpan w:val="2"/>
          </w:tcPr>
          <w:p>
            <w:pPr>
              <w:pStyle w:val="nTable"/>
              <w:spacing w:after="40"/>
              <w:ind w:right="170"/>
            </w:pPr>
            <w:r>
              <w:rPr>
                <w:i/>
              </w:rPr>
              <w:t>Health Act Amendment Act 1965</w:t>
            </w:r>
          </w:p>
        </w:tc>
        <w:tc>
          <w:tcPr>
            <w:tcW w:w="1133" w:type="dxa"/>
            <w:gridSpan w:val="2"/>
          </w:tcPr>
          <w:p>
            <w:pPr>
              <w:pStyle w:val="nTable"/>
              <w:spacing w:after="40"/>
            </w:pPr>
            <w:r>
              <w:t>8 of 1965</w:t>
            </w:r>
          </w:p>
        </w:tc>
        <w:tc>
          <w:tcPr>
            <w:tcW w:w="1134" w:type="dxa"/>
            <w:gridSpan w:val="2"/>
          </w:tcPr>
          <w:p>
            <w:pPr>
              <w:pStyle w:val="nTable"/>
              <w:spacing w:after="40"/>
            </w:pPr>
            <w:r>
              <w:t>15 Sep 1965</w:t>
            </w:r>
          </w:p>
        </w:tc>
        <w:tc>
          <w:tcPr>
            <w:tcW w:w="2551" w:type="dxa"/>
            <w:gridSpan w:val="2"/>
          </w:tcPr>
          <w:p>
            <w:pPr>
              <w:pStyle w:val="nTable"/>
              <w:spacing w:after="40"/>
            </w:pPr>
            <w:r>
              <w:t>15 Sep 1965</w:t>
            </w:r>
          </w:p>
        </w:tc>
      </w:tr>
      <w:tr>
        <w:trPr>
          <w:gridAfter w:val="1"/>
          <w:wAfter w:w="54" w:type="dxa"/>
          <w:cantSplit/>
        </w:trPr>
        <w:tc>
          <w:tcPr>
            <w:tcW w:w="2265" w:type="dxa"/>
            <w:gridSpan w:val="2"/>
          </w:tcPr>
          <w:p>
            <w:pPr>
              <w:pStyle w:val="nTable"/>
              <w:spacing w:after="40"/>
              <w:ind w:right="170"/>
            </w:pPr>
            <w:r>
              <w:rPr>
                <w:i/>
              </w:rPr>
              <w:t>Decimal Currency Act 1965</w:t>
            </w:r>
          </w:p>
        </w:tc>
        <w:tc>
          <w:tcPr>
            <w:tcW w:w="1133"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pPr>
            <w:r>
              <w:t>Act other than s. 4-9: 21 Dec 1965 (see s. 2(1));</w:t>
            </w:r>
            <w:r>
              <w:br/>
              <w:t>s. 4-9: 14 Feb 1966 (see s. 2(2))</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 Jun 1966 in Volume 19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1966</w:t>
            </w:r>
          </w:p>
        </w:tc>
        <w:tc>
          <w:tcPr>
            <w:tcW w:w="1133" w:type="dxa"/>
            <w:gridSpan w:val="2"/>
          </w:tcPr>
          <w:p>
            <w:pPr>
              <w:pStyle w:val="nTable"/>
              <w:spacing w:after="40"/>
            </w:pPr>
            <w:r>
              <w:t>35 of 1966</w:t>
            </w:r>
          </w:p>
        </w:tc>
        <w:tc>
          <w:tcPr>
            <w:tcW w:w="1134" w:type="dxa"/>
            <w:gridSpan w:val="2"/>
          </w:tcPr>
          <w:p>
            <w:pPr>
              <w:pStyle w:val="nTable"/>
              <w:spacing w:after="40"/>
            </w:pPr>
            <w:r>
              <w:t>31 Oct 1966</w:t>
            </w:r>
          </w:p>
        </w:tc>
        <w:tc>
          <w:tcPr>
            <w:tcW w:w="2551" w:type="dxa"/>
            <w:gridSpan w:val="2"/>
          </w:tcPr>
          <w:p>
            <w:pPr>
              <w:pStyle w:val="nTable"/>
              <w:spacing w:after="40"/>
            </w:pPr>
            <w:r>
              <w:t xml:space="preserve">16 Dec 1966 (see s. 2 and </w:t>
            </w:r>
            <w:r>
              <w:rPr>
                <w:i/>
              </w:rPr>
              <w:t xml:space="preserve">Gazette </w:t>
            </w:r>
            <w:r>
              <w:t>16 Dec 1966 p. 3315)</w:t>
            </w:r>
          </w:p>
        </w:tc>
      </w:tr>
      <w:tr>
        <w:trPr>
          <w:gridAfter w:val="1"/>
          <w:wAfter w:w="54" w:type="dxa"/>
          <w:cantSplit/>
        </w:trPr>
        <w:tc>
          <w:tcPr>
            <w:tcW w:w="2265" w:type="dxa"/>
            <w:gridSpan w:val="2"/>
          </w:tcPr>
          <w:p>
            <w:pPr>
              <w:pStyle w:val="nTable"/>
              <w:spacing w:after="40"/>
              <w:ind w:right="170"/>
            </w:pPr>
            <w:r>
              <w:rPr>
                <w:i/>
              </w:rPr>
              <w:t>Health Act Amendment Act 1968</w:t>
            </w:r>
          </w:p>
        </w:tc>
        <w:tc>
          <w:tcPr>
            <w:tcW w:w="1133" w:type="dxa"/>
            <w:gridSpan w:val="2"/>
          </w:tcPr>
          <w:p>
            <w:pPr>
              <w:pStyle w:val="nTable"/>
              <w:spacing w:after="40"/>
            </w:pPr>
            <w:r>
              <w:t>52 of 1968</w:t>
            </w:r>
          </w:p>
        </w:tc>
        <w:tc>
          <w:tcPr>
            <w:tcW w:w="1134" w:type="dxa"/>
            <w:gridSpan w:val="2"/>
          </w:tcPr>
          <w:p>
            <w:pPr>
              <w:pStyle w:val="nTable"/>
              <w:spacing w:after="40"/>
              <w:rPr>
                <w:spacing w:val="-4"/>
              </w:rPr>
            </w:pPr>
            <w:r>
              <w:rPr>
                <w:spacing w:val="-4"/>
              </w:rPr>
              <w:t>12 Nov 1968</w:t>
            </w:r>
          </w:p>
        </w:tc>
        <w:tc>
          <w:tcPr>
            <w:tcW w:w="2551" w:type="dxa"/>
            <w:gridSpan w:val="2"/>
          </w:tcPr>
          <w:p>
            <w:pPr>
              <w:pStyle w:val="nTable"/>
              <w:spacing w:after="40"/>
            </w:pPr>
            <w:r>
              <w:t>12 Nov 1968</w:t>
            </w:r>
          </w:p>
        </w:tc>
      </w:tr>
      <w:tr>
        <w:trPr>
          <w:gridAfter w:val="1"/>
          <w:wAfter w:w="54" w:type="dxa"/>
          <w:cantSplit/>
        </w:trPr>
        <w:tc>
          <w:tcPr>
            <w:tcW w:w="2265" w:type="dxa"/>
            <w:gridSpan w:val="2"/>
          </w:tcPr>
          <w:p>
            <w:pPr>
              <w:pStyle w:val="nTable"/>
              <w:spacing w:after="40"/>
              <w:ind w:right="170"/>
            </w:pPr>
            <w:r>
              <w:rPr>
                <w:i/>
              </w:rPr>
              <w:t>Health Act Amendment Act 1970</w:t>
            </w:r>
          </w:p>
        </w:tc>
        <w:tc>
          <w:tcPr>
            <w:tcW w:w="1133" w:type="dxa"/>
            <w:gridSpan w:val="2"/>
          </w:tcPr>
          <w:p>
            <w:pPr>
              <w:pStyle w:val="nTable"/>
              <w:keepNext/>
              <w:keepLines/>
              <w:spacing w:after="40"/>
            </w:pPr>
            <w:r>
              <w:t>24 of 1970</w:t>
            </w:r>
          </w:p>
        </w:tc>
        <w:tc>
          <w:tcPr>
            <w:tcW w:w="1134" w:type="dxa"/>
            <w:gridSpan w:val="2"/>
          </w:tcPr>
          <w:p>
            <w:pPr>
              <w:pStyle w:val="nTable"/>
              <w:keepNext/>
              <w:keepLines/>
              <w:spacing w:after="40"/>
              <w:rPr>
                <w:spacing w:val="-4"/>
              </w:rPr>
            </w:pPr>
            <w:r>
              <w:rPr>
                <w:spacing w:val="-4"/>
              </w:rPr>
              <w:t>20 May 1970</w:t>
            </w:r>
          </w:p>
        </w:tc>
        <w:tc>
          <w:tcPr>
            <w:tcW w:w="2551" w:type="dxa"/>
            <w:gridSpan w:val="2"/>
          </w:tcPr>
          <w:p>
            <w:pPr>
              <w:pStyle w:val="nTable"/>
              <w:keepNext/>
              <w:keepLines/>
              <w:spacing w:after="40"/>
            </w:pPr>
            <w:r>
              <w:t xml:space="preserve">1 Oct 1970 (see s. 2 and </w:t>
            </w:r>
            <w:r>
              <w:rPr>
                <w:i/>
              </w:rPr>
              <w:t>Gazette</w:t>
            </w:r>
            <w:r>
              <w:t xml:space="preserve"> 25 Sep 1970 p. 3015)</w:t>
            </w:r>
          </w:p>
        </w:tc>
      </w:tr>
      <w:tr>
        <w:trPr>
          <w:gridAfter w:val="1"/>
          <w:wAfter w:w="54" w:type="dxa"/>
          <w:cantSplit/>
        </w:trPr>
        <w:tc>
          <w:tcPr>
            <w:tcW w:w="2265" w:type="dxa"/>
            <w:gridSpan w:val="2"/>
          </w:tcPr>
          <w:p>
            <w:pPr>
              <w:pStyle w:val="nTable"/>
              <w:spacing w:after="40"/>
              <w:ind w:right="170"/>
            </w:pPr>
            <w:r>
              <w:rPr>
                <w:i/>
              </w:rPr>
              <w:t>Age of Majority Act 1972</w:t>
            </w:r>
            <w:r>
              <w:t xml:space="preserve"> s. 6(2)</w:t>
            </w:r>
          </w:p>
        </w:tc>
        <w:tc>
          <w:tcPr>
            <w:tcW w:w="1133" w:type="dxa"/>
            <w:gridSpan w:val="2"/>
          </w:tcPr>
          <w:p>
            <w:pPr>
              <w:pStyle w:val="nTable"/>
              <w:spacing w:after="40"/>
            </w:pPr>
            <w:r>
              <w:t>46 of 1972</w:t>
            </w:r>
          </w:p>
        </w:tc>
        <w:tc>
          <w:tcPr>
            <w:tcW w:w="1134" w:type="dxa"/>
            <w:gridSpan w:val="2"/>
          </w:tcPr>
          <w:p>
            <w:pPr>
              <w:pStyle w:val="nTable"/>
              <w:spacing w:after="40"/>
            </w:pPr>
            <w:r>
              <w:t>18 Sep 1972</w:t>
            </w:r>
          </w:p>
        </w:tc>
        <w:tc>
          <w:tcPr>
            <w:tcW w:w="2551" w:type="dxa"/>
            <w:gridSpan w:val="2"/>
          </w:tcPr>
          <w:p>
            <w:pPr>
              <w:pStyle w:val="nTable"/>
              <w:spacing w:after="40"/>
            </w:pPr>
            <w:r>
              <w:t xml:space="preserve">1 Nov 1972 (see s. 2 and </w:t>
            </w:r>
            <w:r>
              <w:rPr>
                <w:i/>
              </w:rPr>
              <w:t>Gazette</w:t>
            </w:r>
            <w:r>
              <w:t xml:space="preserve"> 13 Oct 1972 p. 4069)</w:t>
            </w:r>
          </w:p>
        </w:tc>
      </w:tr>
      <w:tr>
        <w:trPr>
          <w:gridAfter w:val="1"/>
          <w:wAfter w:w="54" w:type="dxa"/>
        </w:trPr>
        <w:tc>
          <w:tcPr>
            <w:tcW w:w="2265" w:type="dxa"/>
            <w:gridSpan w:val="2"/>
          </w:tcPr>
          <w:p>
            <w:pPr>
              <w:pStyle w:val="nTable"/>
              <w:keepNext/>
              <w:spacing w:after="40"/>
              <w:ind w:right="170"/>
            </w:pPr>
            <w:r>
              <w:rPr>
                <w:i/>
              </w:rPr>
              <w:lastRenderedPageBreak/>
              <w:t>Metric Conversion Act 1972</w:t>
            </w:r>
          </w:p>
        </w:tc>
        <w:tc>
          <w:tcPr>
            <w:tcW w:w="1133" w:type="dxa"/>
            <w:gridSpan w:val="2"/>
          </w:tcPr>
          <w:p>
            <w:pPr>
              <w:pStyle w:val="nTable"/>
              <w:keepNext/>
              <w:spacing w:after="40"/>
            </w:pPr>
            <w:r>
              <w:t>94 of 1972 (as amended by No. 19, 83 of 1973 and 42 of 1975)</w:t>
            </w:r>
          </w:p>
        </w:tc>
        <w:tc>
          <w:tcPr>
            <w:tcW w:w="1134" w:type="dxa"/>
            <w:gridSpan w:val="2"/>
            <w:tcBorders>
              <w:bottom w:val="nil"/>
            </w:tcBorders>
          </w:tcPr>
          <w:p>
            <w:pPr>
              <w:pStyle w:val="nTable"/>
              <w:keepNext/>
              <w:spacing w:after="40"/>
            </w:pPr>
            <w:r>
              <w:t>4 Dec 1972</w:t>
            </w:r>
          </w:p>
        </w:tc>
        <w:tc>
          <w:tcPr>
            <w:tcW w:w="2551" w:type="dxa"/>
            <w:gridSpan w:val="2"/>
          </w:tcPr>
          <w:p>
            <w:pPr>
              <w:pStyle w:val="nTable"/>
              <w:keepNext/>
              <w:spacing w:after="40"/>
            </w:pPr>
            <w:r>
              <w:t>Relevant amendments (see Third Sch.</w:t>
            </w:r>
            <w:r>
              <w:rPr>
                <w:vertAlign w:val="superscript"/>
              </w:rPr>
              <w:t> 10</w:t>
            </w:r>
            <w:r>
              <w:t xml:space="preserve">) took effect on 8 Feb 1974 (see s. 4(2) and </w:t>
            </w:r>
            <w:r>
              <w:rPr>
                <w:i/>
              </w:rPr>
              <w:t>Gazette</w:t>
            </w:r>
            <w:r>
              <w:t xml:space="preserve"> 8 Feb 1974 p. 325);</w:t>
            </w:r>
            <w:r>
              <w:br/>
              <w:t>Relevant amendments (see Fourth Sch.</w:t>
            </w:r>
            <w:r>
              <w:rPr>
                <w:vertAlign w:val="superscript"/>
              </w:rPr>
              <w:t> 10</w:t>
            </w:r>
            <w:r>
              <w:t xml:space="preserve">) took effect on 19 Dec 1975 (see s. 4(2) and </w:t>
            </w:r>
            <w:r>
              <w:rPr>
                <w:i/>
              </w:rPr>
              <w:t>Gazette</w:t>
            </w:r>
            <w:r>
              <w:t xml:space="preserve"> 19 Dec 1975 p. 4577)</w:t>
            </w:r>
          </w:p>
        </w:tc>
      </w:tr>
      <w:tr>
        <w:trPr>
          <w:gridAfter w:val="1"/>
          <w:wAfter w:w="54" w:type="dxa"/>
          <w:cantSplit/>
        </w:trPr>
        <w:tc>
          <w:tcPr>
            <w:tcW w:w="2265" w:type="dxa"/>
            <w:gridSpan w:val="2"/>
          </w:tcPr>
          <w:p>
            <w:pPr>
              <w:pStyle w:val="nTable"/>
              <w:spacing w:after="40"/>
              <w:ind w:right="170"/>
            </w:pPr>
            <w:r>
              <w:rPr>
                <w:i/>
              </w:rPr>
              <w:t>Health Act Amendment Act 1973</w:t>
            </w:r>
          </w:p>
        </w:tc>
        <w:tc>
          <w:tcPr>
            <w:tcW w:w="1133" w:type="dxa"/>
            <w:gridSpan w:val="2"/>
          </w:tcPr>
          <w:p>
            <w:pPr>
              <w:pStyle w:val="nTable"/>
              <w:spacing w:after="40"/>
            </w:pPr>
            <w:r>
              <w:t>102 of 1973</w:t>
            </w:r>
          </w:p>
        </w:tc>
        <w:tc>
          <w:tcPr>
            <w:tcW w:w="1134" w:type="dxa"/>
            <w:gridSpan w:val="2"/>
          </w:tcPr>
          <w:p>
            <w:pPr>
              <w:pStyle w:val="nTable"/>
              <w:spacing w:after="40"/>
            </w:pPr>
            <w:r>
              <w:t>28 Dec 1973</w:t>
            </w:r>
          </w:p>
        </w:tc>
        <w:tc>
          <w:tcPr>
            <w:tcW w:w="2551" w:type="dxa"/>
            <w:gridSpan w:val="2"/>
          </w:tcPr>
          <w:p>
            <w:pPr>
              <w:pStyle w:val="nTable"/>
              <w:spacing w:after="40"/>
            </w:pPr>
            <w:r>
              <w:t xml:space="preserve">22 Mar 1974 (see s. 2 and </w:t>
            </w:r>
            <w:r>
              <w:rPr>
                <w:i/>
              </w:rPr>
              <w:t>Gazette</w:t>
            </w:r>
            <w:r>
              <w:t xml:space="preserve"> 22 Mar 1974 p. 902)</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14 Apr 1975 </w:t>
            </w:r>
            <w:r>
              <w:t xml:space="preserve">(includes amendments listed above except those listed in the </w:t>
            </w:r>
            <w:r>
              <w:rPr>
                <w:i/>
              </w:rPr>
              <w:t>Metric Conversion Act 1972</w:t>
            </w:r>
            <w:r>
              <w:t xml:space="preserve"> Fourth Sch.)</w:t>
            </w:r>
          </w:p>
        </w:tc>
      </w:tr>
      <w:tr>
        <w:trPr>
          <w:gridAfter w:val="1"/>
          <w:wAfter w:w="54" w:type="dxa"/>
          <w:cantSplit/>
        </w:trPr>
        <w:tc>
          <w:tcPr>
            <w:tcW w:w="2265" w:type="dxa"/>
            <w:gridSpan w:val="2"/>
          </w:tcPr>
          <w:p>
            <w:pPr>
              <w:pStyle w:val="nTable"/>
              <w:spacing w:after="40"/>
              <w:ind w:right="170"/>
            </w:pPr>
            <w:r>
              <w:rPr>
                <w:i/>
              </w:rPr>
              <w:t>Health Act Amendment Act 1975</w:t>
            </w:r>
          </w:p>
        </w:tc>
        <w:tc>
          <w:tcPr>
            <w:tcW w:w="1133" w:type="dxa"/>
            <w:gridSpan w:val="2"/>
          </w:tcPr>
          <w:p>
            <w:pPr>
              <w:pStyle w:val="nTable"/>
              <w:spacing w:after="40"/>
            </w:pPr>
            <w:r>
              <w:t>2 of 1975</w:t>
            </w:r>
          </w:p>
        </w:tc>
        <w:tc>
          <w:tcPr>
            <w:tcW w:w="1134" w:type="dxa"/>
            <w:gridSpan w:val="2"/>
          </w:tcPr>
          <w:p>
            <w:pPr>
              <w:pStyle w:val="nTable"/>
              <w:spacing w:after="40"/>
            </w:pPr>
            <w:r>
              <w:t>9 May 1975</w:t>
            </w:r>
          </w:p>
        </w:tc>
        <w:tc>
          <w:tcPr>
            <w:tcW w:w="2551" w:type="dxa"/>
            <w:gridSpan w:val="2"/>
          </w:tcPr>
          <w:p>
            <w:pPr>
              <w:pStyle w:val="nTable"/>
              <w:spacing w:after="40"/>
            </w:pPr>
            <w:r>
              <w:t>Act other than s. 7: 9 May 1975 (see s. 2(1));</w:t>
            </w:r>
            <w:r>
              <w:br/>
              <w:t xml:space="preserve">s. 7: 6 Feb 1976 (see s. 2(2) and </w:t>
            </w:r>
            <w:r>
              <w:rPr>
                <w:i/>
              </w:rPr>
              <w:t>Gazette</w:t>
            </w:r>
            <w:r>
              <w:t xml:space="preserve"> 6 Feb 1976 p. 273)</w:t>
            </w:r>
          </w:p>
        </w:tc>
      </w:tr>
      <w:tr>
        <w:trPr>
          <w:gridAfter w:val="1"/>
          <w:wAfter w:w="54" w:type="dxa"/>
          <w:cantSplit/>
        </w:trPr>
        <w:tc>
          <w:tcPr>
            <w:tcW w:w="2265" w:type="dxa"/>
            <w:gridSpan w:val="2"/>
          </w:tcPr>
          <w:p>
            <w:pPr>
              <w:pStyle w:val="nTable"/>
              <w:spacing w:after="40"/>
              <w:ind w:right="170"/>
            </w:pPr>
            <w:r>
              <w:rPr>
                <w:i/>
              </w:rPr>
              <w:t>Health Act Amendment Act 1976</w:t>
            </w:r>
          </w:p>
        </w:tc>
        <w:tc>
          <w:tcPr>
            <w:tcW w:w="1133" w:type="dxa"/>
            <w:gridSpan w:val="2"/>
          </w:tcPr>
          <w:p>
            <w:pPr>
              <w:pStyle w:val="nTable"/>
              <w:spacing w:after="40"/>
            </w:pPr>
            <w:r>
              <w:t>101 of 1976</w:t>
            </w:r>
          </w:p>
        </w:tc>
        <w:tc>
          <w:tcPr>
            <w:tcW w:w="1134" w:type="dxa"/>
            <w:gridSpan w:val="2"/>
          </w:tcPr>
          <w:p>
            <w:pPr>
              <w:pStyle w:val="nTable"/>
              <w:spacing w:after="40"/>
            </w:pPr>
            <w:r>
              <w:t>17 Nov 1976</w:t>
            </w:r>
          </w:p>
        </w:tc>
        <w:tc>
          <w:tcPr>
            <w:tcW w:w="2551" w:type="dxa"/>
            <w:gridSpan w:val="2"/>
          </w:tcPr>
          <w:p>
            <w:pPr>
              <w:pStyle w:val="nTable"/>
              <w:spacing w:after="40"/>
            </w:pPr>
            <w:r>
              <w:t xml:space="preserve">18 Feb 1977 (see s. 2 and </w:t>
            </w:r>
            <w:r>
              <w:rPr>
                <w:i/>
              </w:rPr>
              <w:t>Gazette</w:t>
            </w:r>
            <w:r>
              <w:t xml:space="preserve"> 18 Feb 1977 p. 467)</w:t>
            </w:r>
          </w:p>
        </w:tc>
      </w:tr>
      <w:tr>
        <w:trPr>
          <w:gridAfter w:val="1"/>
          <w:wAfter w:w="54" w:type="dxa"/>
          <w:cantSplit/>
        </w:trPr>
        <w:tc>
          <w:tcPr>
            <w:tcW w:w="2265" w:type="dxa"/>
            <w:gridSpan w:val="2"/>
          </w:tcPr>
          <w:p>
            <w:pPr>
              <w:pStyle w:val="nTable"/>
              <w:spacing w:after="40"/>
              <w:ind w:right="170"/>
            </w:pPr>
            <w:r>
              <w:rPr>
                <w:i/>
              </w:rPr>
              <w:t>Health Act Amendment Act 1978</w:t>
            </w:r>
          </w:p>
        </w:tc>
        <w:tc>
          <w:tcPr>
            <w:tcW w:w="1133" w:type="dxa"/>
            <w:gridSpan w:val="2"/>
          </w:tcPr>
          <w:p>
            <w:pPr>
              <w:pStyle w:val="nTable"/>
              <w:spacing w:after="40"/>
            </w:pPr>
            <w:r>
              <w:t>47 of 1978</w:t>
            </w:r>
          </w:p>
        </w:tc>
        <w:tc>
          <w:tcPr>
            <w:tcW w:w="1134" w:type="dxa"/>
            <w:gridSpan w:val="2"/>
          </w:tcPr>
          <w:p>
            <w:pPr>
              <w:pStyle w:val="nTable"/>
              <w:spacing w:after="40"/>
            </w:pPr>
            <w:r>
              <w:t>29 Aug 1978</w:t>
            </w:r>
          </w:p>
        </w:tc>
        <w:tc>
          <w:tcPr>
            <w:tcW w:w="2551" w:type="dxa"/>
            <w:gridSpan w:val="2"/>
          </w:tcPr>
          <w:p>
            <w:pPr>
              <w:pStyle w:val="nTable"/>
              <w:spacing w:after="40"/>
            </w:pPr>
            <w:r>
              <w:t xml:space="preserve">Act other than s. 3(a) and 30: 16 Mar 1979 (see s. 2 and </w:t>
            </w:r>
            <w:r>
              <w:rPr>
                <w:i/>
              </w:rPr>
              <w:t>Gazette</w:t>
            </w:r>
            <w:r>
              <w:t xml:space="preserve"> 16 Mar 1979 p. 676);</w:t>
            </w:r>
            <w:r>
              <w:br/>
              <w:t xml:space="preserve">s. 3(a) and 30: 21 Dec 1979 (see s. 2 and </w:t>
            </w:r>
            <w:r>
              <w:rPr>
                <w:i/>
              </w:rPr>
              <w:t>Gazette</w:t>
            </w:r>
            <w:r>
              <w:t xml:space="preserve"> 21 Dec 1979 p. 3906)</w:t>
            </w:r>
          </w:p>
        </w:tc>
      </w:tr>
      <w:tr>
        <w:trPr>
          <w:gridAfter w:val="1"/>
          <w:wAfter w:w="54" w:type="dxa"/>
          <w:cantSplit/>
        </w:trPr>
        <w:tc>
          <w:tcPr>
            <w:tcW w:w="2265" w:type="dxa"/>
            <w:gridSpan w:val="2"/>
          </w:tcPr>
          <w:p>
            <w:pPr>
              <w:pStyle w:val="nTable"/>
              <w:spacing w:after="40"/>
              <w:ind w:right="170"/>
            </w:pPr>
            <w:r>
              <w:rPr>
                <w:i/>
              </w:rPr>
              <w:t>Acts Amendment and Repeal (Valuation of Land) Act 1978</w:t>
            </w:r>
            <w:r>
              <w:t xml:space="preserve"> Pt. VII</w:t>
            </w:r>
          </w:p>
        </w:tc>
        <w:tc>
          <w:tcPr>
            <w:tcW w:w="1133" w:type="dxa"/>
            <w:gridSpan w:val="2"/>
          </w:tcPr>
          <w:p>
            <w:pPr>
              <w:pStyle w:val="nTable"/>
              <w:keepNext/>
              <w:keepLines/>
              <w:spacing w:after="40"/>
            </w:pPr>
            <w:r>
              <w:t>76 of 1978</w:t>
            </w:r>
          </w:p>
        </w:tc>
        <w:tc>
          <w:tcPr>
            <w:tcW w:w="1134" w:type="dxa"/>
            <w:gridSpan w:val="2"/>
          </w:tcPr>
          <w:p>
            <w:pPr>
              <w:pStyle w:val="nTable"/>
              <w:keepNext/>
              <w:keepLines/>
              <w:spacing w:after="40"/>
            </w:pPr>
            <w:r>
              <w:t>20 Oct 1978</w:t>
            </w:r>
          </w:p>
        </w:tc>
        <w:tc>
          <w:tcPr>
            <w:tcW w:w="2551" w:type="dxa"/>
            <w:gridSpan w:val="2"/>
          </w:tcPr>
          <w:p>
            <w:pPr>
              <w:pStyle w:val="nTable"/>
              <w:keepNext/>
              <w:keepLines/>
              <w:spacing w:after="40"/>
            </w:pPr>
            <w:r>
              <w:t xml:space="preserve">1 Jul 1979 (see s. 2 and </w:t>
            </w:r>
            <w:r>
              <w:rPr>
                <w:i/>
              </w:rPr>
              <w:t>Gazette</w:t>
            </w:r>
            <w:r>
              <w:t xml:space="preserve"> 11 May 1979 p. 1211)</w:t>
            </w:r>
          </w:p>
        </w:tc>
      </w:tr>
      <w:tr>
        <w:trPr>
          <w:gridAfter w:val="1"/>
          <w:wAfter w:w="54" w:type="dxa"/>
          <w:cantSplit/>
        </w:trPr>
        <w:tc>
          <w:tcPr>
            <w:tcW w:w="2265" w:type="dxa"/>
            <w:gridSpan w:val="2"/>
          </w:tcPr>
          <w:p>
            <w:pPr>
              <w:pStyle w:val="nTable"/>
              <w:spacing w:after="40"/>
              <w:ind w:right="170"/>
            </w:pPr>
            <w:r>
              <w:rPr>
                <w:i/>
              </w:rPr>
              <w:t>Health Act Amendment Act 1979</w:t>
            </w:r>
          </w:p>
        </w:tc>
        <w:tc>
          <w:tcPr>
            <w:tcW w:w="1133" w:type="dxa"/>
            <w:gridSpan w:val="2"/>
          </w:tcPr>
          <w:p>
            <w:pPr>
              <w:pStyle w:val="nTable"/>
              <w:spacing w:after="40"/>
            </w:pPr>
            <w:r>
              <w:t>72 of 1979</w:t>
            </w:r>
          </w:p>
        </w:tc>
        <w:tc>
          <w:tcPr>
            <w:tcW w:w="1134" w:type="dxa"/>
            <w:gridSpan w:val="2"/>
          </w:tcPr>
          <w:p>
            <w:pPr>
              <w:pStyle w:val="nTable"/>
              <w:spacing w:after="40"/>
            </w:pPr>
            <w:r>
              <w:t>27 Nov 1979</w:t>
            </w:r>
          </w:p>
        </w:tc>
        <w:tc>
          <w:tcPr>
            <w:tcW w:w="2551" w:type="dxa"/>
            <w:gridSpan w:val="2"/>
          </w:tcPr>
          <w:p>
            <w:pPr>
              <w:pStyle w:val="nTable"/>
              <w:spacing w:after="40"/>
            </w:pPr>
            <w:r>
              <w:t>27 Nov 1979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14 May 1981 </w:t>
            </w:r>
            <w:r>
              <w:t>(includes amendments listed above)</w:t>
            </w:r>
          </w:p>
        </w:tc>
      </w:tr>
      <w:tr>
        <w:trPr>
          <w:gridAfter w:val="1"/>
          <w:wAfter w:w="54" w:type="dxa"/>
          <w:cantSplit/>
        </w:trPr>
        <w:tc>
          <w:tcPr>
            <w:tcW w:w="2265" w:type="dxa"/>
            <w:gridSpan w:val="2"/>
          </w:tcPr>
          <w:p>
            <w:pPr>
              <w:pStyle w:val="nTable"/>
              <w:spacing w:after="40"/>
              <w:ind w:right="170"/>
            </w:pPr>
            <w:r>
              <w:rPr>
                <w:i/>
              </w:rPr>
              <w:t>Acts Amendment (Statutory Designations) and Validation Act 1981</w:t>
            </w:r>
            <w:r>
              <w:t xml:space="preserve"> s. 4</w:t>
            </w:r>
            <w:r>
              <w:rPr>
                <w:vertAlign w:val="superscript"/>
              </w:rPr>
              <w:t> 11</w:t>
            </w:r>
          </w:p>
        </w:tc>
        <w:tc>
          <w:tcPr>
            <w:tcW w:w="1133" w:type="dxa"/>
            <w:gridSpan w:val="2"/>
          </w:tcPr>
          <w:p>
            <w:pPr>
              <w:pStyle w:val="nTable"/>
              <w:spacing w:after="40"/>
            </w:pPr>
            <w:r>
              <w:t>63 of 1981</w:t>
            </w:r>
          </w:p>
        </w:tc>
        <w:tc>
          <w:tcPr>
            <w:tcW w:w="1134" w:type="dxa"/>
            <w:gridSpan w:val="2"/>
          </w:tcPr>
          <w:p>
            <w:pPr>
              <w:pStyle w:val="nTable"/>
              <w:spacing w:after="40"/>
            </w:pPr>
            <w:r>
              <w:t>13 Oct 1981</w:t>
            </w:r>
          </w:p>
        </w:tc>
        <w:tc>
          <w:tcPr>
            <w:tcW w:w="2551" w:type="dxa"/>
            <w:gridSpan w:val="2"/>
          </w:tcPr>
          <w:p>
            <w:pPr>
              <w:pStyle w:val="nTable"/>
              <w:spacing w:after="40"/>
            </w:pPr>
            <w:r>
              <w:t>13 Oct 1981</w:t>
            </w:r>
          </w:p>
        </w:tc>
      </w:tr>
      <w:tr>
        <w:trPr>
          <w:gridAfter w:val="1"/>
          <w:wAfter w:w="54" w:type="dxa"/>
          <w:cantSplit/>
        </w:trPr>
        <w:tc>
          <w:tcPr>
            <w:tcW w:w="2265" w:type="dxa"/>
            <w:gridSpan w:val="2"/>
          </w:tcPr>
          <w:p>
            <w:pPr>
              <w:pStyle w:val="nTable"/>
              <w:spacing w:after="40"/>
              <w:ind w:right="170"/>
            </w:pPr>
            <w:r>
              <w:rPr>
                <w:i/>
              </w:rPr>
              <w:t>Health Amendment Act 1982</w:t>
            </w:r>
          </w:p>
        </w:tc>
        <w:tc>
          <w:tcPr>
            <w:tcW w:w="1133" w:type="dxa"/>
            <w:gridSpan w:val="2"/>
          </w:tcPr>
          <w:p>
            <w:pPr>
              <w:pStyle w:val="nTable"/>
              <w:spacing w:after="40"/>
            </w:pPr>
            <w:r>
              <w:t>30 of 1982</w:t>
            </w:r>
          </w:p>
        </w:tc>
        <w:tc>
          <w:tcPr>
            <w:tcW w:w="1134" w:type="dxa"/>
            <w:gridSpan w:val="2"/>
          </w:tcPr>
          <w:p>
            <w:pPr>
              <w:pStyle w:val="nTable"/>
              <w:spacing w:after="40"/>
            </w:pPr>
            <w:r>
              <w:t>27 May 1982</w:t>
            </w:r>
          </w:p>
        </w:tc>
        <w:tc>
          <w:tcPr>
            <w:tcW w:w="2551" w:type="dxa"/>
            <w:gridSpan w:val="2"/>
          </w:tcPr>
          <w:p>
            <w:pPr>
              <w:pStyle w:val="nTable"/>
              <w:spacing w:after="40"/>
            </w:pPr>
            <w:r>
              <w:t xml:space="preserve">30 Jul 1982 (see s. 2 and </w:t>
            </w:r>
            <w:r>
              <w:rPr>
                <w:i/>
              </w:rPr>
              <w:t>Gazette</w:t>
            </w:r>
            <w:r>
              <w:t xml:space="preserve"> 30 Jul 1982 p. 2931)</w:t>
            </w:r>
          </w:p>
        </w:tc>
      </w:tr>
      <w:tr>
        <w:trPr>
          <w:gridAfter w:val="1"/>
          <w:wAfter w:w="54" w:type="dxa"/>
          <w:cantSplit/>
        </w:trPr>
        <w:tc>
          <w:tcPr>
            <w:tcW w:w="2265" w:type="dxa"/>
            <w:gridSpan w:val="2"/>
          </w:tcPr>
          <w:p>
            <w:pPr>
              <w:pStyle w:val="nTable"/>
              <w:spacing w:after="40"/>
              <w:ind w:right="170"/>
            </w:pPr>
            <w:r>
              <w:rPr>
                <w:i/>
              </w:rPr>
              <w:t>Human Tissue and Transplant Act 1982</w:t>
            </w:r>
            <w:r>
              <w:t xml:space="preserve"> s. 36(2)</w:t>
            </w:r>
          </w:p>
        </w:tc>
        <w:tc>
          <w:tcPr>
            <w:tcW w:w="1133" w:type="dxa"/>
            <w:gridSpan w:val="2"/>
          </w:tcPr>
          <w:p>
            <w:pPr>
              <w:pStyle w:val="nTable"/>
              <w:spacing w:after="40"/>
            </w:pPr>
            <w:r>
              <w:t>116 of 1982</w:t>
            </w:r>
          </w:p>
        </w:tc>
        <w:tc>
          <w:tcPr>
            <w:tcW w:w="1134" w:type="dxa"/>
            <w:gridSpan w:val="2"/>
          </w:tcPr>
          <w:p>
            <w:pPr>
              <w:pStyle w:val="nTable"/>
              <w:spacing w:after="40"/>
            </w:pPr>
            <w:r>
              <w:t>8 Dec 1982</w:t>
            </w:r>
          </w:p>
        </w:tc>
        <w:tc>
          <w:tcPr>
            <w:tcW w:w="2551" w:type="dxa"/>
            <w:gridSpan w:val="2"/>
          </w:tcPr>
          <w:p>
            <w:pPr>
              <w:pStyle w:val="nTable"/>
              <w:spacing w:after="40"/>
            </w:pPr>
            <w:r>
              <w:t>1 Mar 1983 (see s. 2)</w:t>
            </w:r>
          </w:p>
        </w:tc>
      </w:tr>
      <w:tr>
        <w:trPr>
          <w:gridAfter w:val="1"/>
          <w:wAfter w:w="54" w:type="dxa"/>
          <w:cantSplit/>
        </w:trPr>
        <w:tc>
          <w:tcPr>
            <w:tcW w:w="2265" w:type="dxa"/>
            <w:gridSpan w:val="2"/>
          </w:tcPr>
          <w:p>
            <w:pPr>
              <w:pStyle w:val="nTable"/>
              <w:spacing w:after="40"/>
              <w:ind w:right="170"/>
            </w:pPr>
            <w:r>
              <w:rPr>
                <w:i/>
              </w:rPr>
              <w:lastRenderedPageBreak/>
              <w:t>Health Legislation Amendment Act 1984</w:t>
            </w:r>
            <w:r>
              <w:t xml:space="preserve"> Pt. VIII</w:t>
            </w:r>
            <w:r>
              <w:rPr>
                <w:vertAlign w:val="superscript"/>
              </w:rPr>
              <w:t> 12</w:t>
            </w:r>
          </w:p>
        </w:tc>
        <w:tc>
          <w:tcPr>
            <w:tcW w:w="1133" w:type="dxa"/>
            <w:gridSpan w:val="2"/>
          </w:tcPr>
          <w:p>
            <w:pPr>
              <w:pStyle w:val="nTable"/>
              <w:spacing w:after="40"/>
            </w:pPr>
            <w:r>
              <w:t>28 of 1984</w:t>
            </w:r>
          </w:p>
        </w:tc>
        <w:tc>
          <w:tcPr>
            <w:tcW w:w="1134" w:type="dxa"/>
            <w:gridSpan w:val="2"/>
          </w:tcPr>
          <w:p>
            <w:pPr>
              <w:pStyle w:val="nTable"/>
              <w:spacing w:after="40"/>
            </w:pPr>
            <w:r>
              <w:t>31 May 1984</w:t>
            </w:r>
          </w:p>
        </w:tc>
        <w:tc>
          <w:tcPr>
            <w:tcW w:w="2551" w:type="dxa"/>
            <w:gridSpan w:val="2"/>
          </w:tcPr>
          <w:p>
            <w:pPr>
              <w:pStyle w:val="nTable"/>
              <w:spacing w:after="40"/>
            </w:pPr>
            <w:r>
              <w:t xml:space="preserve">1 Jul 1984 (see s. 2 and </w:t>
            </w:r>
            <w:r>
              <w:rPr>
                <w:i/>
              </w:rPr>
              <w:t xml:space="preserve">Gazette </w:t>
            </w:r>
            <w:r>
              <w:t>15 Jun 1984 p. 1629)</w:t>
            </w:r>
          </w:p>
        </w:tc>
      </w:tr>
      <w:tr>
        <w:trPr>
          <w:gridAfter w:val="1"/>
          <w:wAfter w:w="54" w:type="dxa"/>
          <w:cantSplit/>
        </w:trPr>
        <w:tc>
          <w:tcPr>
            <w:tcW w:w="2265" w:type="dxa"/>
            <w:gridSpan w:val="2"/>
          </w:tcPr>
          <w:p>
            <w:pPr>
              <w:pStyle w:val="nTable"/>
              <w:spacing w:after="40"/>
              <w:ind w:right="170"/>
            </w:pPr>
            <w:r>
              <w:rPr>
                <w:i/>
              </w:rPr>
              <w:t>Health Amendment Act 1985</w:t>
            </w:r>
            <w:r>
              <w:rPr>
                <w:vertAlign w:val="superscript"/>
              </w:rPr>
              <w:t> 13</w:t>
            </w:r>
          </w:p>
        </w:tc>
        <w:tc>
          <w:tcPr>
            <w:tcW w:w="1133" w:type="dxa"/>
            <w:gridSpan w:val="2"/>
          </w:tcPr>
          <w:p>
            <w:pPr>
              <w:pStyle w:val="nTable"/>
              <w:spacing w:after="40"/>
            </w:pPr>
            <w:r>
              <w:t>26 of 1985</w:t>
            </w:r>
          </w:p>
        </w:tc>
        <w:tc>
          <w:tcPr>
            <w:tcW w:w="1134" w:type="dxa"/>
            <w:gridSpan w:val="2"/>
          </w:tcPr>
          <w:p>
            <w:pPr>
              <w:pStyle w:val="nTable"/>
              <w:spacing w:after="40"/>
            </w:pPr>
            <w:r>
              <w:t>6 May 1985</w:t>
            </w:r>
          </w:p>
        </w:tc>
        <w:tc>
          <w:tcPr>
            <w:tcW w:w="2551" w:type="dxa"/>
            <w:gridSpan w:val="2"/>
          </w:tcPr>
          <w:p>
            <w:pPr>
              <w:pStyle w:val="nTable"/>
              <w:spacing w:after="40"/>
            </w:pPr>
            <w:r>
              <w:t>6 Nov 1985 (see s. 2)</w:t>
            </w:r>
          </w:p>
        </w:tc>
      </w:tr>
      <w:tr>
        <w:trPr>
          <w:gridAfter w:val="1"/>
          <w:wAfter w:w="54" w:type="dxa"/>
          <w:cantSplit/>
        </w:trPr>
        <w:tc>
          <w:tcPr>
            <w:tcW w:w="2265" w:type="dxa"/>
            <w:gridSpan w:val="2"/>
          </w:tcPr>
          <w:p>
            <w:pPr>
              <w:pStyle w:val="nTable"/>
              <w:spacing w:after="40"/>
              <w:ind w:right="170"/>
            </w:pPr>
            <w:r>
              <w:rPr>
                <w:i/>
              </w:rPr>
              <w:t>Acts Amendment and Repeal (Statutory Bodies) Act 1985</w:t>
            </w:r>
            <w:r>
              <w:t xml:space="preserve"> Pt. II</w:t>
            </w:r>
          </w:p>
        </w:tc>
        <w:tc>
          <w:tcPr>
            <w:tcW w:w="1133" w:type="dxa"/>
            <w:gridSpan w:val="2"/>
          </w:tcPr>
          <w:p>
            <w:pPr>
              <w:pStyle w:val="nTable"/>
              <w:spacing w:after="40"/>
            </w:pPr>
            <w:r>
              <w:t>57 of 1985</w:t>
            </w:r>
          </w:p>
        </w:tc>
        <w:tc>
          <w:tcPr>
            <w:tcW w:w="1134" w:type="dxa"/>
            <w:gridSpan w:val="2"/>
          </w:tcPr>
          <w:p>
            <w:pPr>
              <w:pStyle w:val="nTable"/>
              <w:spacing w:after="40"/>
            </w:pPr>
            <w:r>
              <w:t>28 Oct 1985</w:t>
            </w:r>
          </w:p>
        </w:tc>
        <w:tc>
          <w:tcPr>
            <w:tcW w:w="2551" w:type="dxa"/>
            <w:gridSpan w:val="2"/>
          </w:tcPr>
          <w:p>
            <w:pPr>
              <w:pStyle w:val="nTable"/>
              <w:spacing w:after="40"/>
            </w:pPr>
            <w:r>
              <w:t>25 Nov 1985</w:t>
            </w:r>
          </w:p>
        </w:tc>
      </w:tr>
      <w:tr>
        <w:trPr>
          <w:gridAfter w:val="1"/>
          <w:wAfter w:w="54" w:type="dxa"/>
          <w:cantSplit/>
        </w:trPr>
        <w:tc>
          <w:tcPr>
            <w:tcW w:w="2265" w:type="dxa"/>
            <w:gridSpan w:val="2"/>
          </w:tcPr>
          <w:p>
            <w:pPr>
              <w:pStyle w:val="nTable"/>
              <w:spacing w:after="40"/>
              <w:ind w:right="170"/>
            </w:pPr>
            <w:r>
              <w:rPr>
                <w:i/>
              </w:rPr>
              <w:t>Acts Amendment (Hospitals) Act 1985</w:t>
            </w:r>
            <w:r>
              <w:t xml:space="preserve"> Pt. II</w:t>
            </w:r>
          </w:p>
        </w:tc>
        <w:tc>
          <w:tcPr>
            <w:tcW w:w="1133" w:type="dxa"/>
            <w:gridSpan w:val="2"/>
          </w:tcPr>
          <w:p>
            <w:pPr>
              <w:pStyle w:val="nTable"/>
              <w:spacing w:after="40"/>
            </w:pPr>
            <w:r>
              <w:t>53 of 1985</w:t>
            </w:r>
          </w:p>
        </w:tc>
        <w:tc>
          <w:tcPr>
            <w:tcW w:w="1134" w:type="dxa"/>
            <w:gridSpan w:val="2"/>
          </w:tcPr>
          <w:p>
            <w:pPr>
              <w:pStyle w:val="nTable"/>
              <w:spacing w:after="40"/>
            </w:pPr>
            <w:r>
              <w:t>5 Nov 1985</w:t>
            </w:r>
          </w:p>
        </w:tc>
        <w:tc>
          <w:tcPr>
            <w:tcW w:w="2551" w:type="dxa"/>
            <w:gridSpan w:val="2"/>
          </w:tcPr>
          <w:p>
            <w:pPr>
              <w:pStyle w:val="nTable"/>
              <w:spacing w:after="40"/>
            </w:pPr>
            <w:r>
              <w:t xml:space="preserve">23 Jan 1987 (see s. 2 and </w:t>
            </w:r>
            <w:r>
              <w:rPr>
                <w:i/>
              </w:rPr>
              <w:t>Gazette</w:t>
            </w:r>
            <w:r>
              <w:t xml:space="preserve"> 23 Jan 1987 p. 179)</w:t>
            </w:r>
          </w:p>
        </w:tc>
      </w:tr>
      <w:tr>
        <w:trPr>
          <w:gridAfter w:val="1"/>
          <w:wAfter w:w="54" w:type="dxa"/>
          <w:cantSplit/>
        </w:trPr>
        <w:tc>
          <w:tcPr>
            <w:tcW w:w="2265" w:type="dxa"/>
            <w:gridSpan w:val="2"/>
          </w:tcPr>
          <w:p>
            <w:pPr>
              <w:pStyle w:val="nTable"/>
              <w:spacing w:after="40"/>
              <w:ind w:right="170"/>
            </w:pPr>
            <w:r>
              <w:rPr>
                <w:i/>
              </w:rPr>
              <w:t>Acts Amendment (Financial Administration and Audit) Act 1985</w:t>
            </w:r>
            <w:r>
              <w:t xml:space="preserve"> s. 3</w:t>
            </w:r>
            <w:r>
              <w:rPr>
                <w:vertAlign w:val="superscript"/>
              </w:rPr>
              <w:t> 14</w:t>
            </w:r>
          </w:p>
        </w:tc>
        <w:tc>
          <w:tcPr>
            <w:tcW w:w="1133" w:type="dxa"/>
            <w:gridSpan w:val="2"/>
          </w:tcPr>
          <w:p>
            <w:pPr>
              <w:pStyle w:val="nTable"/>
              <w:spacing w:after="40"/>
            </w:pPr>
            <w:r>
              <w:t>98 of 1985</w:t>
            </w:r>
          </w:p>
        </w:tc>
        <w:tc>
          <w:tcPr>
            <w:tcW w:w="1134" w:type="dxa"/>
            <w:gridSpan w:val="2"/>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rPr>
          <w:gridAfter w:val="1"/>
          <w:wAfter w:w="54" w:type="dxa"/>
          <w:cantSplit/>
        </w:trPr>
        <w:tc>
          <w:tcPr>
            <w:tcW w:w="2265" w:type="dxa"/>
            <w:gridSpan w:val="2"/>
          </w:tcPr>
          <w:p>
            <w:pPr>
              <w:pStyle w:val="nTable"/>
              <w:spacing w:after="40"/>
              <w:ind w:right="170"/>
            </w:pPr>
            <w:r>
              <w:rPr>
                <w:i/>
              </w:rPr>
              <w:t>Commercial Arbitration Act 1985</w:t>
            </w:r>
            <w:r>
              <w:t xml:space="preserve"> s. 3(1)</w:t>
            </w:r>
            <w:r>
              <w:rPr>
                <w:vertAlign w:val="superscript"/>
              </w:rPr>
              <w:t> 15</w:t>
            </w:r>
          </w:p>
        </w:tc>
        <w:tc>
          <w:tcPr>
            <w:tcW w:w="1133" w:type="dxa"/>
            <w:gridSpan w:val="2"/>
          </w:tcPr>
          <w:p>
            <w:pPr>
              <w:pStyle w:val="nTable"/>
              <w:keepNext/>
              <w:keepLines/>
              <w:spacing w:after="40"/>
            </w:pPr>
            <w:r>
              <w:t>109 of 1985</w:t>
            </w:r>
          </w:p>
        </w:tc>
        <w:tc>
          <w:tcPr>
            <w:tcW w:w="1134" w:type="dxa"/>
            <w:gridSpan w:val="2"/>
          </w:tcPr>
          <w:p>
            <w:pPr>
              <w:pStyle w:val="nTable"/>
              <w:keepNext/>
              <w:keepLines/>
              <w:spacing w:after="40"/>
            </w:pPr>
            <w:r>
              <w:t>7 Jan 1986</w:t>
            </w:r>
          </w:p>
        </w:tc>
        <w:tc>
          <w:tcPr>
            <w:tcW w:w="2551" w:type="dxa"/>
            <w:gridSpan w:val="2"/>
          </w:tcPr>
          <w:p>
            <w:pPr>
              <w:pStyle w:val="nTable"/>
              <w:keepNext/>
              <w:keepLines/>
              <w:spacing w:after="40"/>
            </w:pPr>
            <w:r>
              <w:t xml:space="preserve">1 Apr 1986 (see s. 2 and </w:t>
            </w:r>
            <w:r>
              <w:rPr>
                <w:i/>
              </w:rPr>
              <w:t>Gazette</w:t>
            </w:r>
            <w:r>
              <w:t xml:space="preserve"> 28 Feb 1986 p. 605)</w:t>
            </w:r>
          </w:p>
        </w:tc>
      </w:tr>
      <w:tr>
        <w:trPr>
          <w:gridAfter w:val="1"/>
          <w:wAfter w:w="54" w:type="dxa"/>
          <w:cantSplit/>
        </w:trPr>
        <w:tc>
          <w:tcPr>
            <w:tcW w:w="2265" w:type="dxa"/>
            <w:gridSpan w:val="2"/>
          </w:tcPr>
          <w:p>
            <w:pPr>
              <w:pStyle w:val="nTable"/>
              <w:spacing w:after="40"/>
              <w:ind w:right="170"/>
            </w:pPr>
            <w:r>
              <w:rPr>
                <w:i/>
              </w:rPr>
              <w:t>Health Amendment Act 1986</w:t>
            </w:r>
          </w:p>
        </w:tc>
        <w:tc>
          <w:tcPr>
            <w:tcW w:w="1133" w:type="dxa"/>
            <w:gridSpan w:val="2"/>
          </w:tcPr>
          <w:p>
            <w:pPr>
              <w:pStyle w:val="nTable"/>
              <w:spacing w:after="40"/>
            </w:pPr>
            <w:r>
              <w:t>93 of 1986</w:t>
            </w:r>
          </w:p>
        </w:tc>
        <w:tc>
          <w:tcPr>
            <w:tcW w:w="1134" w:type="dxa"/>
            <w:gridSpan w:val="2"/>
          </w:tcPr>
          <w:p>
            <w:pPr>
              <w:pStyle w:val="nTable"/>
              <w:spacing w:after="40"/>
            </w:pPr>
            <w:r>
              <w:t>10 Dec 1986</w:t>
            </w:r>
          </w:p>
        </w:tc>
        <w:tc>
          <w:tcPr>
            <w:tcW w:w="2551" w:type="dxa"/>
            <w:gridSpan w:val="2"/>
          </w:tcPr>
          <w:p>
            <w:pPr>
              <w:pStyle w:val="nTable"/>
              <w:spacing w:after="40"/>
            </w:pPr>
            <w:r>
              <w:t>10 Dec 1986 (see s. 2)</w:t>
            </w:r>
          </w:p>
        </w:tc>
      </w:tr>
      <w:tr>
        <w:trPr>
          <w:gridAfter w:val="1"/>
          <w:wAfter w:w="54" w:type="dxa"/>
          <w:cantSplit/>
        </w:trPr>
        <w:tc>
          <w:tcPr>
            <w:tcW w:w="2265" w:type="dxa"/>
            <w:gridSpan w:val="2"/>
          </w:tcPr>
          <w:p>
            <w:pPr>
              <w:pStyle w:val="nTable"/>
              <w:spacing w:after="40"/>
              <w:ind w:right="170"/>
            </w:pPr>
            <w:r>
              <w:rPr>
                <w:i/>
              </w:rPr>
              <w:t>Health Amendment Act 1987</w:t>
            </w:r>
            <w:r>
              <w:rPr>
                <w:vertAlign w:val="superscript"/>
              </w:rPr>
              <w:t> 16</w:t>
            </w:r>
          </w:p>
        </w:tc>
        <w:tc>
          <w:tcPr>
            <w:tcW w:w="1133" w:type="dxa"/>
            <w:gridSpan w:val="2"/>
          </w:tcPr>
          <w:p>
            <w:pPr>
              <w:pStyle w:val="nTable"/>
              <w:spacing w:after="40"/>
            </w:pPr>
            <w:r>
              <w:t>80 of 1987 (as amended by No. 8 of 2009 s. 72)</w:t>
            </w:r>
          </w:p>
        </w:tc>
        <w:tc>
          <w:tcPr>
            <w:tcW w:w="1134" w:type="dxa"/>
            <w:gridSpan w:val="2"/>
          </w:tcPr>
          <w:p>
            <w:pPr>
              <w:pStyle w:val="nTable"/>
              <w:spacing w:after="40"/>
            </w:pPr>
            <w:r>
              <w:t>28 Nov 1987</w:t>
            </w:r>
          </w:p>
        </w:tc>
        <w:tc>
          <w:tcPr>
            <w:tcW w:w="2551" w:type="dxa"/>
            <w:gridSpan w:val="2"/>
          </w:tcPr>
          <w:p>
            <w:pPr>
              <w:pStyle w:val="nTable"/>
              <w:spacing w:after="40"/>
            </w:pPr>
            <w:r>
              <w:t>s. 1 and 2: 28 Nov 1987;</w:t>
            </w:r>
            <w:r>
              <w:br/>
              <w:t xml:space="preserve">Act other than s. 1, 2, 4(d), 83 and 90: 1 Jan 1988 (see s. 2 and </w:t>
            </w:r>
            <w:r>
              <w:rPr>
                <w:i/>
              </w:rPr>
              <w:t>Gazette</w:t>
            </w:r>
            <w:r>
              <w:t xml:space="preserve"> 31 Dec 1987 p. 4567)</w:t>
            </w:r>
          </w:p>
        </w:tc>
      </w:tr>
      <w:tr>
        <w:trPr>
          <w:gridAfter w:val="1"/>
          <w:wAfter w:w="54" w:type="dxa"/>
          <w:cantSplit/>
        </w:trPr>
        <w:tc>
          <w:tcPr>
            <w:tcW w:w="2265" w:type="dxa"/>
            <w:gridSpan w:val="2"/>
          </w:tcPr>
          <w:p>
            <w:pPr>
              <w:pStyle w:val="nTable"/>
              <w:spacing w:after="40"/>
              <w:ind w:right="170"/>
            </w:pPr>
            <w:r>
              <w:rPr>
                <w:i/>
              </w:rPr>
              <w:t>Guardianship and Administration Act 1990</w:t>
            </w:r>
            <w:r>
              <w:t xml:space="preserve"> s. 123</w:t>
            </w:r>
          </w:p>
        </w:tc>
        <w:tc>
          <w:tcPr>
            <w:tcW w:w="1133" w:type="dxa"/>
            <w:gridSpan w:val="2"/>
          </w:tcPr>
          <w:p>
            <w:pPr>
              <w:pStyle w:val="nTable"/>
              <w:spacing w:after="40"/>
            </w:pPr>
            <w:r>
              <w:t>24 of 1990</w:t>
            </w:r>
          </w:p>
        </w:tc>
        <w:tc>
          <w:tcPr>
            <w:tcW w:w="1134" w:type="dxa"/>
            <w:gridSpan w:val="2"/>
          </w:tcPr>
          <w:p>
            <w:pPr>
              <w:pStyle w:val="nTable"/>
              <w:spacing w:after="40"/>
            </w:pPr>
            <w:r>
              <w:t>7 Sep 1990</w:t>
            </w:r>
          </w:p>
        </w:tc>
        <w:tc>
          <w:tcPr>
            <w:tcW w:w="2551" w:type="dxa"/>
            <w:gridSpan w:val="2"/>
          </w:tcPr>
          <w:p>
            <w:pPr>
              <w:pStyle w:val="nTable"/>
              <w:spacing w:after="40"/>
            </w:pPr>
            <w:r>
              <w:t xml:space="preserve">20 Oct 1992 (see s. 2 and </w:t>
            </w:r>
            <w:r>
              <w:rPr>
                <w:i/>
              </w:rPr>
              <w:t>Gazette</w:t>
            </w:r>
            <w:r>
              <w:t xml:space="preserve"> 2 Oct 1992 p. 4811)</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18 Dec 1990 </w:t>
            </w:r>
            <w:r>
              <w:t xml:space="preserve">(includes amendments listed above except those in the </w:t>
            </w:r>
            <w:r>
              <w:rPr>
                <w:i/>
              </w:rPr>
              <w:t>Guardianship and Administration Act 1990</w:t>
            </w:r>
            <w:r>
              <w:t>)</w:t>
            </w:r>
          </w:p>
        </w:tc>
      </w:tr>
      <w:tr>
        <w:trPr>
          <w:gridAfter w:val="1"/>
          <w:wAfter w:w="54" w:type="dxa"/>
          <w:cantSplit/>
        </w:trPr>
        <w:tc>
          <w:tcPr>
            <w:tcW w:w="2265" w:type="dxa"/>
            <w:gridSpan w:val="2"/>
          </w:tcPr>
          <w:p>
            <w:pPr>
              <w:pStyle w:val="nTable"/>
              <w:spacing w:after="40"/>
              <w:ind w:right="170"/>
            </w:pPr>
            <w:r>
              <w:rPr>
                <w:i/>
              </w:rPr>
              <w:t>Tobacco Control Act 1990</w:t>
            </w:r>
            <w:r>
              <w:t xml:space="preserve"> s. 38(1)</w:t>
            </w:r>
            <w:r>
              <w:rPr>
                <w:vertAlign w:val="superscript"/>
              </w:rPr>
              <w:t> 17</w:t>
            </w:r>
          </w:p>
        </w:tc>
        <w:tc>
          <w:tcPr>
            <w:tcW w:w="1133" w:type="dxa"/>
            <w:gridSpan w:val="2"/>
          </w:tcPr>
          <w:p>
            <w:pPr>
              <w:pStyle w:val="nTable"/>
              <w:spacing w:after="40"/>
            </w:pPr>
            <w:r>
              <w:t>104 of 1990</w:t>
            </w:r>
          </w:p>
        </w:tc>
        <w:tc>
          <w:tcPr>
            <w:tcW w:w="1134" w:type="dxa"/>
            <w:gridSpan w:val="2"/>
          </w:tcPr>
          <w:p>
            <w:pPr>
              <w:pStyle w:val="nTable"/>
              <w:spacing w:after="40"/>
            </w:pPr>
            <w:r>
              <w:t>2 Jan 1991</w:t>
            </w:r>
          </w:p>
        </w:tc>
        <w:tc>
          <w:tcPr>
            <w:tcW w:w="2551" w:type="dxa"/>
            <w:gridSpan w:val="2"/>
          </w:tcPr>
          <w:p>
            <w:pPr>
              <w:pStyle w:val="nTable"/>
              <w:spacing w:after="40"/>
            </w:pPr>
            <w:r>
              <w:t xml:space="preserve">8 Feb 1991 (see s. 2(1) and </w:t>
            </w:r>
            <w:r>
              <w:rPr>
                <w:i/>
              </w:rPr>
              <w:t xml:space="preserve">Gazette </w:t>
            </w:r>
            <w:r>
              <w:t>8 Feb 1991 p. 575)</w:t>
            </w:r>
          </w:p>
        </w:tc>
      </w:tr>
      <w:tr>
        <w:trPr>
          <w:gridAfter w:val="1"/>
          <w:wAfter w:w="54" w:type="dxa"/>
          <w:trHeight w:val="1701"/>
        </w:trPr>
        <w:tc>
          <w:tcPr>
            <w:tcW w:w="2265" w:type="dxa"/>
            <w:gridSpan w:val="2"/>
            <w:tcBorders>
              <w:bottom w:val="nil"/>
            </w:tcBorders>
          </w:tcPr>
          <w:p>
            <w:pPr>
              <w:pStyle w:val="nTable"/>
              <w:spacing w:after="40"/>
              <w:ind w:right="170"/>
            </w:pPr>
            <w:r>
              <w:rPr>
                <w:i/>
              </w:rPr>
              <w:t>Health Amendment Act 1991</w:t>
            </w:r>
            <w:r>
              <w:rPr>
                <w:vertAlign w:val="superscript"/>
              </w:rPr>
              <w:t> 18, 19</w:t>
            </w:r>
          </w:p>
        </w:tc>
        <w:tc>
          <w:tcPr>
            <w:tcW w:w="1133" w:type="dxa"/>
            <w:gridSpan w:val="2"/>
            <w:tcBorders>
              <w:bottom w:val="nil"/>
            </w:tcBorders>
          </w:tcPr>
          <w:p>
            <w:pPr>
              <w:pStyle w:val="nTable"/>
              <w:keepNext/>
              <w:keepLines/>
              <w:spacing w:after="40"/>
            </w:pPr>
            <w:r>
              <w:t>59 of 1991</w:t>
            </w:r>
          </w:p>
        </w:tc>
        <w:tc>
          <w:tcPr>
            <w:tcW w:w="1134" w:type="dxa"/>
            <w:gridSpan w:val="2"/>
            <w:tcBorders>
              <w:bottom w:val="nil"/>
            </w:tcBorders>
          </w:tcPr>
          <w:p>
            <w:pPr>
              <w:pStyle w:val="nTable"/>
              <w:keepNext/>
              <w:keepLines/>
              <w:spacing w:after="40"/>
            </w:pPr>
            <w:r>
              <w:t>23 Dec 1991</w:t>
            </w:r>
          </w:p>
        </w:tc>
        <w:tc>
          <w:tcPr>
            <w:tcW w:w="2551" w:type="dxa"/>
            <w:gridSpan w:val="2"/>
            <w:tcBorders>
              <w:bottom w:val="nil"/>
            </w:tcBorders>
          </w:tcPr>
          <w:p>
            <w:pPr>
              <w:pStyle w:val="nTable"/>
              <w:keepLines/>
              <w:spacing w:after="40"/>
            </w:pPr>
            <w:r>
              <w:t>s. 1 and 2: 23 Dec 1991;</w:t>
            </w:r>
            <w:r>
              <w:br/>
              <w:t xml:space="preserve">s. 3-5, 20-24, 28(a): 24 Jan 1992 (see s. 2 and </w:t>
            </w:r>
            <w:r>
              <w:rPr>
                <w:i/>
              </w:rPr>
              <w:t>Gazette</w:t>
            </w:r>
            <w:r>
              <w:t xml:space="preserve"> 24 Jan 1992 p. 349); s. 14, 15, 26, 27 and 28(b),</w:t>
            </w:r>
            <w:r>
              <w:br/>
              <w:t>(c) and (d): 1 Apr 1992</w:t>
            </w:r>
            <w:r>
              <w:br/>
              <w:t xml:space="preserve">(see s. 2 and </w:t>
            </w:r>
            <w:r>
              <w:rPr>
                <w:i/>
              </w:rPr>
              <w:t>Gazette</w:t>
            </w:r>
            <w:r>
              <w:t xml:space="preserve"> 1 Apr 1992 p. 1427);</w:t>
            </w:r>
          </w:p>
        </w:tc>
      </w:tr>
      <w:tr>
        <w:trPr>
          <w:gridAfter w:val="1"/>
          <w:wAfter w:w="54" w:type="dxa"/>
          <w:cantSplit/>
        </w:trPr>
        <w:tc>
          <w:tcPr>
            <w:tcW w:w="2265" w:type="dxa"/>
            <w:gridSpan w:val="2"/>
          </w:tcPr>
          <w:p>
            <w:pPr>
              <w:pStyle w:val="nTable"/>
              <w:spacing w:after="40"/>
              <w:ind w:right="170"/>
              <w:rPr>
                <w:i/>
              </w:rPr>
            </w:pPr>
          </w:p>
        </w:tc>
        <w:tc>
          <w:tcPr>
            <w:tcW w:w="1133" w:type="dxa"/>
            <w:gridSpan w:val="2"/>
          </w:tcPr>
          <w:p>
            <w:pPr>
              <w:pStyle w:val="nTable"/>
              <w:spacing w:after="40"/>
            </w:pPr>
          </w:p>
        </w:tc>
        <w:tc>
          <w:tcPr>
            <w:tcW w:w="1134" w:type="dxa"/>
            <w:gridSpan w:val="2"/>
          </w:tcPr>
          <w:p>
            <w:pPr>
              <w:pStyle w:val="nTable"/>
              <w:spacing w:after="40"/>
            </w:pPr>
          </w:p>
        </w:tc>
        <w:tc>
          <w:tcPr>
            <w:tcW w:w="2551" w:type="dxa"/>
            <w:gridSpan w:val="2"/>
          </w:tcPr>
          <w:p>
            <w:pPr>
              <w:pStyle w:val="nTable"/>
              <w:spacing w:after="40"/>
            </w:pPr>
            <w:r>
              <w:t xml:space="preserve">s. 25: 1 Jul 1992 (see s. 2 and </w:t>
            </w:r>
            <w:r>
              <w:rPr>
                <w:i/>
              </w:rPr>
              <w:t>Gazette</w:t>
            </w:r>
            <w:r>
              <w:t xml:space="preserve"> 26 Jun 1992 p. 2644);</w:t>
            </w:r>
            <w:r>
              <w:br/>
              <w:t xml:space="preserve">Pt. 3: 4 Sep 1992 (see s. 2 and </w:t>
            </w:r>
            <w:r>
              <w:rPr>
                <w:i/>
              </w:rPr>
              <w:t>Gazette</w:t>
            </w:r>
            <w:r>
              <w:t xml:space="preserve"> 4 Sep 1992 p. 4453);</w:t>
            </w:r>
            <w:r>
              <w:br/>
              <w:t xml:space="preserve">Pt. 5: 23 Dec 1992 (see s. 2 and </w:t>
            </w:r>
            <w:r>
              <w:rPr>
                <w:i/>
              </w:rPr>
              <w:t>Gazette</w:t>
            </w:r>
            <w:r>
              <w:t xml:space="preserve"> 23 Dec 1992 p. 6209)</w:t>
            </w:r>
          </w:p>
        </w:tc>
      </w:tr>
      <w:tr>
        <w:trPr>
          <w:gridAfter w:val="1"/>
          <w:wAfter w:w="54" w:type="dxa"/>
          <w:cantSplit/>
        </w:trPr>
        <w:tc>
          <w:tcPr>
            <w:tcW w:w="2265" w:type="dxa"/>
            <w:gridSpan w:val="2"/>
          </w:tcPr>
          <w:p>
            <w:pPr>
              <w:pStyle w:val="nTable"/>
              <w:spacing w:after="40"/>
              <w:ind w:right="170"/>
            </w:pPr>
            <w:r>
              <w:rPr>
                <w:i/>
              </w:rPr>
              <w:t>Nurses Act 1992</w:t>
            </w:r>
            <w:r>
              <w:t xml:space="preserve"> s. 84</w:t>
            </w:r>
          </w:p>
        </w:tc>
        <w:tc>
          <w:tcPr>
            <w:tcW w:w="1133" w:type="dxa"/>
            <w:gridSpan w:val="2"/>
          </w:tcPr>
          <w:p>
            <w:pPr>
              <w:pStyle w:val="nTable"/>
              <w:spacing w:after="40"/>
            </w:pPr>
            <w:r>
              <w:t>27 of 1992</w:t>
            </w:r>
          </w:p>
        </w:tc>
        <w:tc>
          <w:tcPr>
            <w:tcW w:w="1134" w:type="dxa"/>
            <w:gridSpan w:val="2"/>
          </w:tcPr>
          <w:p>
            <w:pPr>
              <w:pStyle w:val="nTable"/>
              <w:spacing w:after="40"/>
            </w:pPr>
            <w:r>
              <w:t>23 Jun 1992</w:t>
            </w:r>
          </w:p>
        </w:tc>
        <w:tc>
          <w:tcPr>
            <w:tcW w:w="2551" w:type="dxa"/>
            <w:gridSpan w:val="2"/>
          </w:tcPr>
          <w:p>
            <w:pPr>
              <w:pStyle w:val="nTable"/>
              <w:spacing w:after="40"/>
            </w:pPr>
            <w:r>
              <w:t xml:space="preserve">29 Oct 1993 (see s. 2 and </w:t>
            </w:r>
            <w:r>
              <w:rPr>
                <w:i/>
              </w:rPr>
              <w:t>Gazette</w:t>
            </w:r>
            <w:r>
              <w:t xml:space="preserve"> 29 Oct 1993 p. 5881)</w:t>
            </w:r>
          </w:p>
        </w:tc>
      </w:tr>
      <w:tr>
        <w:trPr>
          <w:gridAfter w:val="1"/>
          <w:wAfter w:w="54" w:type="dxa"/>
          <w:cantSplit/>
        </w:trPr>
        <w:tc>
          <w:tcPr>
            <w:tcW w:w="2265" w:type="dxa"/>
            <w:gridSpan w:val="2"/>
          </w:tcPr>
          <w:p>
            <w:pPr>
              <w:pStyle w:val="nTable"/>
              <w:spacing w:after="40"/>
              <w:ind w:right="170"/>
            </w:pPr>
            <w:r>
              <w:rPr>
                <w:i/>
              </w:rPr>
              <w:t>Financial Administration Legislation Amendment Act 1993</w:t>
            </w:r>
            <w:r>
              <w:t xml:space="preserve"> s. 11</w:t>
            </w:r>
          </w:p>
        </w:tc>
        <w:tc>
          <w:tcPr>
            <w:tcW w:w="1133"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After w:val="1"/>
          <w:wAfter w:w="54" w:type="dxa"/>
          <w:cantSplit/>
        </w:trPr>
        <w:tc>
          <w:tcPr>
            <w:tcW w:w="4532" w:type="dxa"/>
            <w:gridSpan w:val="6"/>
          </w:tcPr>
          <w:p>
            <w:pPr>
              <w:pStyle w:val="nTable"/>
              <w:spacing w:after="40"/>
            </w:pPr>
            <w:r>
              <w:t>Untitled proclamation published by</w:t>
            </w:r>
            <w:r>
              <w:rPr>
                <w:i/>
              </w:rPr>
              <w:t xml:space="preserve"> Gazette </w:t>
            </w:r>
            <w:r>
              <w:t>26 Nov 1993 p. 6321</w:t>
            </w:r>
          </w:p>
        </w:tc>
        <w:tc>
          <w:tcPr>
            <w:tcW w:w="2551" w:type="dxa"/>
            <w:gridSpan w:val="2"/>
          </w:tcPr>
          <w:p>
            <w:pPr>
              <w:pStyle w:val="nTable"/>
              <w:spacing w:after="40"/>
            </w:pPr>
            <w:r>
              <w:t xml:space="preserve"> 26 Nov 1993</w:t>
            </w:r>
          </w:p>
        </w:tc>
      </w:tr>
      <w:tr>
        <w:trPr>
          <w:gridAfter w:val="1"/>
          <w:wAfter w:w="54" w:type="dxa"/>
          <w:cantSplit/>
        </w:trPr>
        <w:tc>
          <w:tcPr>
            <w:tcW w:w="2265" w:type="dxa"/>
            <w:gridSpan w:val="2"/>
          </w:tcPr>
          <w:p>
            <w:pPr>
              <w:pStyle w:val="nTable"/>
              <w:spacing w:after="40"/>
              <w:ind w:right="170"/>
            </w:pPr>
            <w:r>
              <w:rPr>
                <w:i/>
              </w:rPr>
              <w:t>Local Government Amendment Act 1994</w:t>
            </w:r>
            <w:r>
              <w:t xml:space="preserve"> s. 42</w:t>
            </w:r>
          </w:p>
        </w:tc>
        <w:tc>
          <w:tcPr>
            <w:tcW w:w="1133" w:type="dxa"/>
            <w:gridSpan w:val="2"/>
          </w:tcPr>
          <w:p>
            <w:pPr>
              <w:pStyle w:val="nTable"/>
              <w:spacing w:after="40"/>
            </w:pPr>
            <w:r>
              <w:t>27 of 1994</w:t>
            </w:r>
          </w:p>
        </w:tc>
        <w:tc>
          <w:tcPr>
            <w:tcW w:w="1134" w:type="dxa"/>
            <w:gridSpan w:val="2"/>
          </w:tcPr>
          <w:p>
            <w:pPr>
              <w:pStyle w:val="nTable"/>
              <w:spacing w:after="40"/>
            </w:pPr>
            <w:r>
              <w:t>23 Jun 1994</w:t>
            </w:r>
          </w:p>
        </w:tc>
        <w:tc>
          <w:tcPr>
            <w:tcW w:w="2551" w:type="dxa"/>
            <w:gridSpan w:val="2"/>
          </w:tcPr>
          <w:p>
            <w:pPr>
              <w:pStyle w:val="nTable"/>
              <w:spacing w:after="40"/>
            </w:pPr>
            <w:r>
              <w:t>1 Jul 1994 (see s. 2)</w:t>
            </w:r>
          </w:p>
        </w:tc>
      </w:tr>
      <w:tr>
        <w:trPr>
          <w:gridAfter w:val="1"/>
          <w:wAfter w:w="54" w:type="dxa"/>
          <w:cantSplit/>
        </w:trPr>
        <w:tc>
          <w:tcPr>
            <w:tcW w:w="2265" w:type="dxa"/>
            <w:gridSpan w:val="2"/>
          </w:tcPr>
          <w:p>
            <w:pPr>
              <w:pStyle w:val="nTable"/>
              <w:spacing w:after="40"/>
              <w:ind w:right="170"/>
            </w:pPr>
            <w:r>
              <w:rPr>
                <w:i/>
              </w:rPr>
              <w:t>Acts Amendment (Public Sector Management) Act 1994</w:t>
            </w:r>
            <w:r>
              <w:t xml:space="preserve"> s. 3(2)</w:t>
            </w:r>
          </w:p>
        </w:tc>
        <w:tc>
          <w:tcPr>
            <w:tcW w:w="1133"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After w:val="1"/>
          <w:wAfter w:w="54" w:type="dxa"/>
          <w:cantSplit/>
        </w:trPr>
        <w:tc>
          <w:tcPr>
            <w:tcW w:w="2265" w:type="dxa"/>
            <w:gridSpan w:val="2"/>
          </w:tcPr>
          <w:p>
            <w:pPr>
              <w:pStyle w:val="nTable"/>
              <w:spacing w:after="40"/>
              <w:ind w:right="170"/>
            </w:pPr>
            <w:r>
              <w:rPr>
                <w:i/>
              </w:rPr>
              <w:t>Statutes (Repeals and Minor Amendments) Act 1994</w:t>
            </w:r>
            <w:r>
              <w:t xml:space="preserve"> s. 4</w:t>
            </w:r>
          </w:p>
        </w:tc>
        <w:tc>
          <w:tcPr>
            <w:tcW w:w="1133" w:type="dxa"/>
            <w:gridSpan w:val="2"/>
          </w:tcPr>
          <w:p>
            <w:pPr>
              <w:pStyle w:val="nTable"/>
              <w:spacing w:after="40"/>
            </w:pPr>
            <w:r>
              <w:t>73 of 1994</w:t>
            </w:r>
          </w:p>
        </w:tc>
        <w:tc>
          <w:tcPr>
            <w:tcW w:w="1134" w:type="dxa"/>
            <w:gridSpan w:val="2"/>
          </w:tcPr>
          <w:p>
            <w:pPr>
              <w:pStyle w:val="nTable"/>
              <w:spacing w:after="40"/>
            </w:pPr>
            <w:r>
              <w:t>9 Dec 1994</w:t>
            </w:r>
          </w:p>
        </w:tc>
        <w:tc>
          <w:tcPr>
            <w:tcW w:w="2551" w:type="dxa"/>
            <w:gridSpan w:val="2"/>
          </w:tcPr>
          <w:p>
            <w:pPr>
              <w:pStyle w:val="nTable"/>
              <w:spacing w:after="40"/>
            </w:pPr>
            <w:r>
              <w:t>9 Dec 1994 (see s. 2)</w:t>
            </w:r>
          </w:p>
        </w:tc>
      </w:tr>
      <w:tr>
        <w:trPr>
          <w:gridAfter w:val="1"/>
          <w:wAfter w:w="54" w:type="dxa"/>
          <w:cantSplit/>
        </w:trPr>
        <w:tc>
          <w:tcPr>
            <w:tcW w:w="2265" w:type="dxa"/>
            <w:gridSpan w:val="2"/>
          </w:tcPr>
          <w:p>
            <w:pPr>
              <w:pStyle w:val="nTable"/>
              <w:spacing w:after="40"/>
              <w:ind w:right="170"/>
            </w:pPr>
            <w:r>
              <w:rPr>
                <w:i/>
              </w:rPr>
              <w:t>Pawnbrokers and Second</w:t>
            </w:r>
            <w:r>
              <w:rPr>
                <w:i/>
              </w:rPr>
              <w:noBreakHyphen/>
              <w:t>hand Dealers Act 1994</w:t>
            </w:r>
            <w:r>
              <w:t xml:space="preserve"> s. 100</w:t>
            </w:r>
          </w:p>
        </w:tc>
        <w:tc>
          <w:tcPr>
            <w:tcW w:w="1133" w:type="dxa"/>
            <w:gridSpan w:val="2"/>
          </w:tcPr>
          <w:p>
            <w:pPr>
              <w:pStyle w:val="nTable"/>
              <w:spacing w:after="40"/>
            </w:pPr>
            <w:r>
              <w:t>88 of 1994</w:t>
            </w:r>
          </w:p>
        </w:tc>
        <w:tc>
          <w:tcPr>
            <w:tcW w:w="1134" w:type="dxa"/>
            <w:gridSpan w:val="2"/>
          </w:tcPr>
          <w:p>
            <w:pPr>
              <w:pStyle w:val="nTable"/>
              <w:spacing w:after="40"/>
            </w:pPr>
            <w:r>
              <w:t>5 Jan 1995</w:t>
            </w:r>
          </w:p>
        </w:tc>
        <w:tc>
          <w:tcPr>
            <w:tcW w:w="2551" w:type="dxa"/>
            <w:gridSpan w:val="2"/>
          </w:tcPr>
          <w:p>
            <w:pPr>
              <w:pStyle w:val="nTable"/>
              <w:spacing w:after="40"/>
            </w:pPr>
            <w:r>
              <w:t xml:space="preserve">1 Apr 1996 (see s. 2 and </w:t>
            </w:r>
            <w:r>
              <w:rPr>
                <w:i/>
              </w:rPr>
              <w:t>Gazette</w:t>
            </w:r>
            <w:r>
              <w:t xml:space="preserve"> 29 Mar 1996 p. 1495)</w:t>
            </w:r>
          </w:p>
        </w:tc>
      </w:tr>
      <w:tr>
        <w:trPr>
          <w:gridAfter w:val="1"/>
          <w:wAfter w:w="54" w:type="dxa"/>
          <w:cantSplit/>
        </w:trPr>
        <w:tc>
          <w:tcPr>
            <w:tcW w:w="2265" w:type="dxa"/>
            <w:gridSpan w:val="2"/>
          </w:tcPr>
          <w:p>
            <w:pPr>
              <w:pStyle w:val="nTable"/>
              <w:spacing w:after="40"/>
              <w:ind w:right="170"/>
            </w:pPr>
            <w:r>
              <w:rPr>
                <w:i/>
              </w:rPr>
              <w:t>Hospitals Amendment Act 1994</w:t>
            </w:r>
            <w:r>
              <w:t xml:space="preserve"> s. 18</w:t>
            </w:r>
          </w:p>
        </w:tc>
        <w:tc>
          <w:tcPr>
            <w:tcW w:w="1133" w:type="dxa"/>
            <w:gridSpan w:val="2"/>
          </w:tcPr>
          <w:p>
            <w:pPr>
              <w:pStyle w:val="nTable"/>
              <w:spacing w:after="40"/>
            </w:pPr>
            <w:r>
              <w:t>103 of 1994</w:t>
            </w:r>
          </w:p>
        </w:tc>
        <w:tc>
          <w:tcPr>
            <w:tcW w:w="1134" w:type="dxa"/>
            <w:gridSpan w:val="2"/>
          </w:tcPr>
          <w:p>
            <w:pPr>
              <w:pStyle w:val="nTable"/>
              <w:spacing w:after="40"/>
            </w:pPr>
            <w:r>
              <w:t>11 Jan 1995</w:t>
            </w:r>
          </w:p>
        </w:tc>
        <w:tc>
          <w:tcPr>
            <w:tcW w:w="2551" w:type="dxa"/>
            <w:gridSpan w:val="2"/>
          </w:tcPr>
          <w:p>
            <w:pPr>
              <w:pStyle w:val="nTable"/>
              <w:spacing w:after="40"/>
            </w:pPr>
            <w:r>
              <w:t xml:space="preserve">17 Dec 1997 (see s. 2 and </w:t>
            </w:r>
            <w:r>
              <w:rPr>
                <w:i/>
              </w:rPr>
              <w:t>Gazette</w:t>
            </w:r>
            <w:r>
              <w:t xml:space="preserve"> 16 Dec 1997 p. 7313)</w:t>
            </w:r>
          </w:p>
        </w:tc>
      </w:tr>
      <w:tr>
        <w:trPr>
          <w:gridAfter w:val="1"/>
          <w:wAfter w:w="54" w:type="dxa"/>
          <w:cantSplit/>
        </w:trPr>
        <w:tc>
          <w:tcPr>
            <w:tcW w:w="2265" w:type="dxa"/>
            <w:gridSpan w:val="2"/>
          </w:tcPr>
          <w:p>
            <w:pPr>
              <w:pStyle w:val="nTable"/>
              <w:spacing w:after="40"/>
              <w:ind w:right="170"/>
            </w:pPr>
            <w:r>
              <w:rPr>
                <w:i/>
              </w:rPr>
              <w:t>Agricultural and Veterinary Chemicals (Western Australia) Act 1995</w:t>
            </w:r>
            <w:r>
              <w:t xml:space="preserve"> Pt. 11 Div. 2</w:t>
            </w:r>
          </w:p>
        </w:tc>
        <w:tc>
          <w:tcPr>
            <w:tcW w:w="1133" w:type="dxa"/>
            <w:gridSpan w:val="2"/>
          </w:tcPr>
          <w:p>
            <w:pPr>
              <w:pStyle w:val="nTable"/>
              <w:spacing w:after="40"/>
            </w:pPr>
            <w:r>
              <w:t>3 of 1995</w:t>
            </w:r>
          </w:p>
        </w:tc>
        <w:tc>
          <w:tcPr>
            <w:tcW w:w="1134" w:type="dxa"/>
            <w:gridSpan w:val="2"/>
          </w:tcPr>
          <w:p>
            <w:pPr>
              <w:pStyle w:val="nTable"/>
              <w:spacing w:after="40"/>
            </w:pPr>
            <w:r>
              <w:t>17 May 1995</w:t>
            </w:r>
          </w:p>
        </w:tc>
        <w:tc>
          <w:tcPr>
            <w:tcW w:w="2551" w:type="dxa"/>
            <w:gridSpan w:val="2"/>
          </w:tcPr>
          <w:p>
            <w:pPr>
              <w:pStyle w:val="nTable"/>
              <w:spacing w:after="40"/>
            </w:pPr>
            <w:r>
              <w:t xml:space="preserve">24 Jun 1995 (see s. 2 and </w:t>
            </w:r>
            <w:r>
              <w:rPr>
                <w:i/>
              </w:rPr>
              <w:t>Gazette</w:t>
            </w:r>
            <w:r>
              <w:t xml:space="preserve"> 23 Jun 1995 p. 2419)</w:t>
            </w:r>
          </w:p>
        </w:tc>
      </w:tr>
      <w:tr>
        <w:trPr>
          <w:gridAfter w:val="1"/>
          <w:wAfter w:w="54" w:type="dxa"/>
          <w:cantSplit/>
        </w:trPr>
        <w:tc>
          <w:tcPr>
            <w:tcW w:w="2265" w:type="dxa"/>
            <w:gridSpan w:val="2"/>
          </w:tcPr>
          <w:p>
            <w:pPr>
              <w:pStyle w:val="nTable"/>
              <w:spacing w:after="40"/>
              <w:ind w:right="170"/>
            </w:pPr>
            <w:r>
              <w:rPr>
                <w:i/>
              </w:rPr>
              <w:t>Water Agencies Restructure (Transitional and Consequential Provisions) Act 1995</w:t>
            </w:r>
            <w:r>
              <w:t xml:space="preserve"> s. 188</w:t>
            </w:r>
          </w:p>
        </w:tc>
        <w:tc>
          <w:tcPr>
            <w:tcW w:w="1133"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After w:val="1"/>
          <w:wAfter w:w="54" w:type="dxa"/>
          <w:cantSplit/>
        </w:trPr>
        <w:tc>
          <w:tcPr>
            <w:tcW w:w="2265" w:type="dxa"/>
            <w:gridSpan w:val="2"/>
          </w:tcPr>
          <w:p>
            <w:pPr>
              <w:pStyle w:val="nTable"/>
              <w:spacing w:after="40"/>
              <w:ind w:right="170"/>
            </w:pPr>
            <w:r>
              <w:rPr>
                <w:i/>
              </w:rPr>
              <w:t>Sentencing (Consequential Provisions) Act 1995</w:t>
            </w:r>
            <w:r>
              <w:t xml:space="preserve"> s. 147</w:t>
            </w:r>
          </w:p>
        </w:tc>
        <w:tc>
          <w:tcPr>
            <w:tcW w:w="1133" w:type="dxa"/>
            <w:gridSpan w:val="2"/>
          </w:tcPr>
          <w:p>
            <w:pPr>
              <w:pStyle w:val="nTable"/>
              <w:spacing w:after="40"/>
            </w:pPr>
            <w:r>
              <w:t>78 of 1995</w:t>
            </w:r>
          </w:p>
        </w:tc>
        <w:tc>
          <w:tcPr>
            <w:tcW w:w="1134" w:type="dxa"/>
            <w:gridSpan w:val="2"/>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gridAfter w:val="1"/>
          <w:wAfter w:w="54" w:type="dxa"/>
          <w:cantSplit/>
        </w:trPr>
        <w:tc>
          <w:tcPr>
            <w:tcW w:w="2265" w:type="dxa"/>
            <w:gridSpan w:val="2"/>
          </w:tcPr>
          <w:p>
            <w:pPr>
              <w:pStyle w:val="nTable"/>
              <w:spacing w:after="40"/>
              <w:ind w:right="170"/>
            </w:pPr>
            <w:r>
              <w:rPr>
                <w:i/>
              </w:rPr>
              <w:lastRenderedPageBreak/>
              <w:t xml:space="preserve">Coroners Act 1996 </w:t>
            </w:r>
            <w:r>
              <w:t>s. 61</w:t>
            </w:r>
          </w:p>
        </w:tc>
        <w:tc>
          <w:tcPr>
            <w:tcW w:w="1133" w:type="dxa"/>
            <w:gridSpan w:val="2"/>
          </w:tcPr>
          <w:p>
            <w:pPr>
              <w:pStyle w:val="nTable"/>
              <w:spacing w:after="40"/>
            </w:pPr>
            <w:r>
              <w:t>2 of 1996</w:t>
            </w:r>
          </w:p>
        </w:tc>
        <w:tc>
          <w:tcPr>
            <w:tcW w:w="1134" w:type="dxa"/>
            <w:gridSpan w:val="2"/>
          </w:tcPr>
          <w:p>
            <w:pPr>
              <w:pStyle w:val="nTable"/>
              <w:spacing w:after="40"/>
            </w:pPr>
            <w:r>
              <w:t>24 May 1996</w:t>
            </w:r>
          </w:p>
        </w:tc>
        <w:tc>
          <w:tcPr>
            <w:tcW w:w="2551" w:type="dxa"/>
            <w:gridSpan w:val="2"/>
          </w:tcPr>
          <w:p>
            <w:pPr>
              <w:pStyle w:val="nTable"/>
              <w:spacing w:after="40"/>
            </w:pPr>
            <w:r>
              <w:t xml:space="preserve">7 Apr 1997 (see s. 2 and </w:t>
            </w:r>
            <w:r>
              <w:rPr>
                <w:i/>
              </w:rPr>
              <w:t>Gazette</w:t>
            </w:r>
            <w:r>
              <w:t xml:space="preserve"> 18 Mar 1997 p. 1529)</w:t>
            </w:r>
          </w:p>
        </w:tc>
      </w:tr>
      <w:tr>
        <w:trPr>
          <w:gridAfter w:val="1"/>
          <w:wAfter w:w="54" w:type="dxa"/>
          <w:cantSplit/>
        </w:trPr>
        <w:tc>
          <w:tcPr>
            <w:tcW w:w="2265" w:type="dxa"/>
            <w:gridSpan w:val="2"/>
          </w:tcPr>
          <w:p>
            <w:pPr>
              <w:pStyle w:val="nTable"/>
              <w:spacing w:after="40"/>
              <w:ind w:right="170"/>
            </w:pPr>
            <w:r>
              <w:rPr>
                <w:i/>
              </w:rPr>
              <w:t>Local Government (Consequential Amendments) Act 1996</w:t>
            </w:r>
            <w:r>
              <w:t xml:space="preserve"> s. 4</w:t>
            </w:r>
            <w:r>
              <w:rPr>
                <w:vertAlign w:val="superscript"/>
              </w:rPr>
              <w:t> 20</w:t>
            </w:r>
          </w:p>
        </w:tc>
        <w:tc>
          <w:tcPr>
            <w:tcW w:w="1133"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54" w:type="dxa"/>
          <w:cantSplit/>
        </w:trPr>
        <w:tc>
          <w:tcPr>
            <w:tcW w:w="2265" w:type="dxa"/>
            <w:gridSpan w:val="2"/>
          </w:tcPr>
          <w:p>
            <w:pPr>
              <w:pStyle w:val="nTable"/>
              <w:spacing w:after="40"/>
              <w:ind w:right="170"/>
            </w:pPr>
            <w:r>
              <w:rPr>
                <w:i/>
              </w:rPr>
              <w:t>Health Amendment Act 1996</w:t>
            </w:r>
          </w:p>
        </w:tc>
        <w:tc>
          <w:tcPr>
            <w:tcW w:w="1133" w:type="dxa"/>
            <w:gridSpan w:val="2"/>
          </w:tcPr>
          <w:p>
            <w:pPr>
              <w:pStyle w:val="nTable"/>
              <w:spacing w:after="40"/>
            </w:pPr>
            <w:r>
              <w:t>28 of 1996</w:t>
            </w:r>
          </w:p>
        </w:tc>
        <w:tc>
          <w:tcPr>
            <w:tcW w:w="1134" w:type="dxa"/>
            <w:gridSpan w:val="2"/>
          </w:tcPr>
          <w:p>
            <w:pPr>
              <w:pStyle w:val="nTable"/>
              <w:spacing w:after="40"/>
            </w:pPr>
            <w:r>
              <w:t>22 Jul 1996</w:t>
            </w:r>
          </w:p>
        </w:tc>
        <w:tc>
          <w:tcPr>
            <w:tcW w:w="2551" w:type="dxa"/>
            <w:gridSpan w:val="2"/>
          </w:tcPr>
          <w:p>
            <w:pPr>
              <w:pStyle w:val="nTable"/>
              <w:spacing w:after="40"/>
            </w:pPr>
            <w:r>
              <w:t>s. 1 and 2: 22 Jul 1996;</w:t>
            </w:r>
            <w:r>
              <w:br/>
              <w:t xml:space="preserve">Act other than s. 1, 2, 7 and 13: 22 Jul 1996 (see s. 2(1)); </w:t>
            </w:r>
            <w:r>
              <w:br/>
              <w:t>s. 7 and 13: 23 Jul 1997 (see s. 2(2) and (3))</w:t>
            </w:r>
          </w:p>
        </w:tc>
      </w:tr>
      <w:tr>
        <w:trPr>
          <w:gridAfter w:val="1"/>
          <w:wAfter w:w="54" w:type="dxa"/>
          <w:cantSplit/>
        </w:trPr>
        <w:tc>
          <w:tcPr>
            <w:tcW w:w="2265" w:type="dxa"/>
            <w:gridSpan w:val="2"/>
          </w:tcPr>
          <w:p>
            <w:pPr>
              <w:pStyle w:val="nTable"/>
              <w:spacing w:after="40"/>
              <w:ind w:right="170"/>
            </w:pPr>
            <w:r>
              <w:rPr>
                <w:i/>
              </w:rPr>
              <w:t>Financial Legislation Amendment Act 1996</w:t>
            </w:r>
            <w:r>
              <w:t xml:space="preserve"> s. 64</w:t>
            </w:r>
          </w:p>
        </w:tc>
        <w:tc>
          <w:tcPr>
            <w:tcW w:w="1133"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54" w:type="dxa"/>
          <w:cantSplit/>
        </w:trPr>
        <w:tc>
          <w:tcPr>
            <w:tcW w:w="2265" w:type="dxa"/>
            <w:gridSpan w:val="2"/>
          </w:tcPr>
          <w:p>
            <w:pPr>
              <w:pStyle w:val="nTable"/>
              <w:spacing w:after="40"/>
              <w:ind w:right="170"/>
            </w:pPr>
            <w:r>
              <w:rPr>
                <w:i/>
              </w:rPr>
              <w:t>Acts Amendment (Assemblies and Noise) Act 1996</w:t>
            </w:r>
            <w:r>
              <w:t xml:space="preserve"> Pt. 2</w:t>
            </w:r>
          </w:p>
        </w:tc>
        <w:tc>
          <w:tcPr>
            <w:tcW w:w="1133" w:type="dxa"/>
            <w:gridSpan w:val="2"/>
          </w:tcPr>
          <w:p>
            <w:pPr>
              <w:pStyle w:val="nTable"/>
              <w:spacing w:after="40"/>
            </w:pPr>
            <w:r>
              <w:t>50 of 1996</w:t>
            </w:r>
          </w:p>
        </w:tc>
        <w:tc>
          <w:tcPr>
            <w:tcW w:w="1134" w:type="dxa"/>
            <w:gridSpan w:val="2"/>
          </w:tcPr>
          <w:p>
            <w:pPr>
              <w:pStyle w:val="nTable"/>
              <w:spacing w:after="40"/>
            </w:pPr>
            <w:r>
              <w:t>31 Oct 1996</w:t>
            </w:r>
          </w:p>
        </w:tc>
        <w:tc>
          <w:tcPr>
            <w:tcW w:w="2551" w:type="dxa"/>
            <w:gridSpan w:val="2"/>
          </w:tcPr>
          <w:p>
            <w:pPr>
              <w:pStyle w:val="nTable"/>
              <w:spacing w:after="40"/>
            </w:pPr>
            <w:r>
              <w:t xml:space="preserve">4 Dec 1996 (see s. 2 and </w:t>
            </w:r>
            <w:r>
              <w:rPr>
                <w:i/>
              </w:rPr>
              <w:t>Gazette</w:t>
            </w:r>
            <w:r>
              <w:t xml:space="preserve"> 3 Dec 1996 p. 6695)</w:t>
            </w:r>
          </w:p>
        </w:tc>
      </w:tr>
      <w:tr>
        <w:trPr>
          <w:gridAfter w:val="1"/>
          <w:wAfter w:w="54" w:type="dxa"/>
          <w:cantSplit/>
        </w:trPr>
        <w:tc>
          <w:tcPr>
            <w:tcW w:w="2265" w:type="dxa"/>
            <w:gridSpan w:val="2"/>
          </w:tcPr>
          <w:p>
            <w:pPr>
              <w:pStyle w:val="nTable"/>
              <w:spacing w:after="40"/>
              <w:ind w:right="170"/>
            </w:pPr>
            <w:r>
              <w:rPr>
                <w:i/>
              </w:rPr>
              <w:t>Dental Amendment Act 1996</w:t>
            </w:r>
            <w:r>
              <w:t xml:space="preserve"> s. 18</w:t>
            </w:r>
          </w:p>
        </w:tc>
        <w:tc>
          <w:tcPr>
            <w:tcW w:w="1133" w:type="dxa"/>
            <w:gridSpan w:val="2"/>
          </w:tcPr>
          <w:p>
            <w:pPr>
              <w:pStyle w:val="nTable"/>
              <w:spacing w:after="40"/>
            </w:pPr>
            <w:r>
              <w:t>64 of 1996</w:t>
            </w:r>
          </w:p>
        </w:tc>
        <w:tc>
          <w:tcPr>
            <w:tcW w:w="1134" w:type="dxa"/>
            <w:gridSpan w:val="2"/>
          </w:tcPr>
          <w:p>
            <w:pPr>
              <w:pStyle w:val="nTable"/>
              <w:spacing w:after="40"/>
            </w:pPr>
            <w:r>
              <w:t>11 Nov 1996</w:t>
            </w:r>
          </w:p>
        </w:tc>
        <w:tc>
          <w:tcPr>
            <w:tcW w:w="2551" w:type="dxa"/>
            <w:gridSpan w:val="2"/>
          </w:tcPr>
          <w:p>
            <w:pPr>
              <w:pStyle w:val="nTable"/>
              <w:spacing w:after="40"/>
            </w:pPr>
            <w:r>
              <w:t xml:space="preserve">1 Jan 1997 (see s. 2 and </w:t>
            </w:r>
            <w:r>
              <w:rPr>
                <w:i/>
              </w:rPr>
              <w:t>Gazette</w:t>
            </w:r>
            <w:r>
              <w:t xml:space="preserve"> 31 Dec 1996 p. 7427)</w:t>
            </w:r>
          </w:p>
        </w:tc>
      </w:tr>
      <w:tr>
        <w:trPr>
          <w:gridAfter w:val="1"/>
          <w:wAfter w:w="54" w:type="dxa"/>
          <w:cantSplit/>
        </w:trPr>
        <w:tc>
          <w:tcPr>
            <w:tcW w:w="2265" w:type="dxa"/>
            <w:gridSpan w:val="2"/>
          </w:tcPr>
          <w:p>
            <w:pPr>
              <w:pStyle w:val="nTable"/>
              <w:spacing w:after="40"/>
              <w:ind w:right="170"/>
            </w:pPr>
            <w:r>
              <w:rPr>
                <w:i/>
              </w:rPr>
              <w:t>Transfer of Land Amendment Act 1996</w:t>
            </w:r>
            <w:r>
              <w:t xml:space="preserve"> s. 153(1) and (2)</w:t>
            </w:r>
          </w:p>
        </w:tc>
        <w:tc>
          <w:tcPr>
            <w:tcW w:w="1133"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11 Mar 1997 </w:t>
            </w:r>
            <w:r>
              <w:t xml:space="preserve">(includes amendments listed above except those in the </w:t>
            </w:r>
            <w:r>
              <w:rPr>
                <w:i/>
              </w:rPr>
              <w:t>Hospitals Amendment Act 1994</w:t>
            </w:r>
            <w:r>
              <w:t xml:space="preserve">, </w:t>
            </w:r>
            <w:r>
              <w:rPr>
                <w:i/>
              </w:rPr>
              <w:t>Coroners Act 1996</w:t>
            </w:r>
            <w:r>
              <w:t xml:space="preserve"> and the </w:t>
            </w:r>
            <w:r>
              <w:rPr>
                <w:i/>
              </w:rPr>
              <w:t>Health Amendment Act 1996</w:t>
            </w:r>
            <w:r>
              <w:t xml:space="preserve"> s. 7 and 13) (correction by </w:t>
            </w:r>
            <w:r>
              <w:rPr>
                <w:i/>
              </w:rPr>
              <w:t>Gazette</w:t>
            </w:r>
            <w:r>
              <w:t xml:space="preserve"> 2 Dec 1997 p. 7058)</w:t>
            </w:r>
          </w:p>
        </w:tc>
      </w:tr>
      <w:tr>
        <w:trPr>
          <w:gridAfter w:val="1"/>
          <w:wAfter w:w="54" w:type="dxa"/>
          <w:cantSplit/>
        </w:trPr>
        <w:tc>
          <w:tcPr>
            <w:tcW w:w="2265" w:type="dxa"/>
            <w:gridSpan w:val="2"/>
          </w:tcPr>
          <w:p>
            <w:pPr>
              <w:pStyle w:val="nTable"/>
              <w:spacing w:after="40"/>
              <w:ind w:right="170"/>
            </w:pPr>
            <w:r>
              <w:rPr>
                <w:i/>
              </w:rPr>
              <w:t>Acts Amendment (Land Administration) Act 1997</w:t>
            </w:r>
            <w:r>
              <w:t xml:space="preserve"> Pt. 30 and s. 142</w:t>
            </w:r>
          </w:p>
        </w:tc>
        <w:tc>
          <w:tcPr>
            <w:tcW w:w="1133" w:type="dxa"/>
            <w:gridSpan w:val="2"/>
          </w:tcPr>
          <w:p>
            <w:pPr>
              <w:pStyle w:val="nTable"/>
              <w:spacing w:after="40"/>
            </w:pPr>
            <w:r>
              <w:t>31 of 1997</w:t>
            </w:r>
          </w:p>
        </w:tc>
        <w:tc>
          <w:tcPr>
            <w:tcW w:w="1134" w:type="dxa"/>
            <w:gridSpan w:val="2"/>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rPr>
          <w:gridAfter w:val="1"/>
          <w:wAfter w:w="54" w:type="dxa"/>
          <w:cantSplit/>
        </w:trPr>
        <w:tc>
          <w:tcPr>
            <w:tcW w:w="2265" w:type="dxa"/>
            <w:gridSpan w:val="2"/>
          </w:tcPr>
          <w:p>
            <w:pPr>
              <w:pStyle w:val="nTable"/>
              <w:spacing w:after="40"/>
              <w:ind w:right="172"/>
            </w:pPr>
            <w:r>
              <w:rPr>
                <w:i/>
              </w:rPr>
              <w:t>Statutes (Repeals and Minor Amendments) Act 1997</w:t>
            </w:r>
            <w:r>
              <w:t xml:space="preserve"> s. 68</w:t>
            </w:r>
          </w:p>
        </w:tc>
        <w:tc>
          <w:tcPr>
            <w:tcW w:w="1133"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1"/>
          <w:wAfter w:w="54" w:type="dxa"/>
          <w:cantSplit/>
        </w:trPr>
        <w:tc>
          <w:tcPr>
            <w:tcW w:w="2265" w:type="dxa"/>
            <w:gridSpan w:val="2"/>
          </w:tcPr>
          <w:p>
            <w:pPr>
              <w:pStyle w:val="nTable"/>
              <w:spacing w:after="40"/>
              <w:ind w:right="52"/>
            </w:pPr>
            <w:r>
              <w:rPr>
                <w:i/>
              </w:rPr>
              <w:t>Statutes (Repeals and Minor Amendments) Act (No. 2) 1998</w:t>
            </w:r>
            <w:r>
              <w:t xml:space="preserve"> s. 39</w:t>
            </w:r>
            <w:r>
              <w:rPr>
                <w:vertAlign w:val="superscript"/>
              </w:rPr>
              <w:t> 21, 22</w:t>
            </w:r>
          </w:p>
        </w:tc>
        <w:tc>
          <w:tcPr>
            <w:tcW w:w="1133"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54" w:type="dxa"/>
          <w:cantSplit/>
        </w:trPr>
        <w:tc>
          <w:tcPr>
            <w:tcW w:w="2265" w:type="dxa"/>
            <w:gridSpan w:val="2"/>
          </w:tcPr>
          <w:p>
            <w:pPr>
              <w:pStyle w:val="nTable"/>
              <w:spacing w:after="40"/>
              <w:ind w:right="170"/>
            </w:pPr>
            <w:r>
              <w:rPr>
                <w:i/>
              </w:rPr>
              <w:t>Acts Amendment (Abortion) Act 1998</w:t>
            </w:r>
            <w:r>
              <w:t xml:space="preserve"> s. 7</w:t>
            </w:r>
            <w:r>
              <w:rPr>
                <w:vertAlign w:val="superscript"/>
              </w:rPr>
              <w:t> 23</w:t>
            </w:r>
          </w:p>
        </w:tc>
        <w:tc>
          <w:tcPr>
            <w:tcW w:w="1133" w:type="dxa"/>
            <w:gridSpan w:val="2"/>
          </w:tcPr>
          <w:p>
            <w:pPr>
              <w:pStyle w:val="nTable"/>
              <w:spacing w:after="40"/>
            </w:pPr>
            <w:r>
              <w:t>15 of 1998</w:t>
            </w:r>
          </w:p>
        </w:tc>
        <w:tc>
          <w:tcPr>
            <w:tcW w:w="1134" w:type="dxa"/>
            <w:gridSpan w:val="2"/>
          </w:tcPr>
          <w:p>
            <w:pPr>
              <w:pStyle w:val="nTable"/>
              <w:spacing w:after="40"/>
            </w:pPr>
            <w:r>
              <w:t>26 May 1998</w:t>
            </w:r>
          </w:p>
        </w:tc>
        <w:tc>
          <w:tcPr>
            <w:tcW w:w="2551" w:type="dxa"/>
            <w:gridSpan w:val="2"/>
          </w:tcPr>
          <w:p>
            <w:pPr>
              <w:pStyle w:val="nTable"/>
              <w:spacing w:after="40"/>
            </w:pPr>
            <w:r>
              <w:t>26 May 1998 (see s. 2)</w:t>
            </w:r>
          </w:p>
        </w:tc>
      </w:tr>
      <w:tr>
        <w:trPr>
          <w:gridAfter w:val="1"/>
          <w:wAfter w:w="54" w:type="dxa"/>
        </w:trPr>
        <w:tc>
          <w:tcPr>
            <w:tcW w:w="2265" w:type="dxa"/>
            <w:gridSpan w:val="2"/>
          </w:tcPr>
          <w:p>
            <w:pPr>
              <w:pStyle w:val="nTable"/>
              <w:spacing w:after="40"/>
              <w:ind w:right="170"/>
            </w:pPr>
            <w:r>
              <w:rPr>
                <w:i/>
              </w:rPr>
              <w:t xml:space="preserve">Acts Repeal and Amendment (Births, Deaths and Marriages </w:t>
            </w:r>
            <w:r>
              <w:rPr>
                <w:i/>
              </w:rPr>
              <w:lastRenderedPageBreak/>
              <w:t xml:space="preserve">Registration) Act 1998 </w:t>
            </w:r>
            <w:r>
              <w:t>s. 14</w:t>
            </w:r>
          </w:p>
        </w:tc>
        <w:tc>
          <w:tcPr>
            <w:tcW w:w="1133" w:type="dxa"/>
            <w:gridSpan w:val="2"/>
          </w:tcPr>
          <w:p>
            <w:pPr>
              <w:pStyle w:val="nTable"/>
              <w:spacing w:after="40"/>
            </w:pPr>
            <w:r>
              <w:lastRenderedPageBreak/>
              <w:t>40 of 1998</w:t>
            </w:r>
          </w:p>
        </w:tc>
        <w:tc>
          <w:tcPr>
            <w:tcW w:w="1134" w:type="dxa"/>
            <w:gridSpan w:val="2"/>
          </w:tcPr>
          <w:p>
            <w:pPr>
              <w:pStyle w:val="nTable"/>
              <w:spacing w:after="40"/>
            </w:pPr>
            <w:r>
              <w:t>30 Oct 1998</w:t>
            </w:r>
          </w:p>
        </w:tc>
        <w:tc>
          <w:tcPr>
            <w:tcW w:w="2551" w:type="dxa"/>
            <w:gridSpan w:val="2"/>
          </w:tcPr>
          <w:p>
            <w:pPr>
              <w:pStyle w:val="nTable"/>
              <w:spacing w:after="40"/>
            </w:pPr>
            <w:r>
              <w:t xml:space="preserve">14 Apr 1999 (see s. 2 and </w:t>
            </w:r>
            <w:r>
              <w:rPr>
                <w:i/>
              </w:rPr>
              <w:t>Gazette</w:t>
            </w:r>
            <w:r>
              <w:t xml:space="preserve"> 9 Apr 1999 p. 1433)</w:t>
            </w:r>
          </w:p>
        </w:tc>
      </w:tr>
      <w:tr>
        <w:trPr>
          <w:gridAfter w:val="1"/>
          <w:wAfter w:w="54" w:type="dxa"/>
          <w:cantSplit/>
        </w:trPr>
        <w:tc>
          <w:tcPr>
            <w:tcW w:w="2265" w:type="dxa"/>
            <w:gridSpan w:val="2"/>
          </w:tcPr>
          <w:p>
            <w:pPr>
              <w:pStyle w:val="nTable"/>
              <w:spacing w:after="40"/>
              <w:ind w:right="170"/>
              <w:rPr>
                <w:i/>
              </w:rPr>
            </w:pPr>
            <w:r>
              <w:rPr>
                <w:i/>
              </w:rPr>
              <w:t>Health Amendment Act 1998</w:t>
            </w:r>
          </w:p>
        </w:tc>
        <w:tc>
          <w:tcPr>
            <w:tcW w:w="1133" w:type="dxa"/>
            <w:gridSpan w:val="2"/>
          </w:tcPr>
          <w:p>
            <w:pPr>
              <w:pStyle w:val="nTable"/>
              <w:spacing w:after="40"/>
            </w:pPr>
            <w:r>
              <w:t>62 of 1998</w:t>
            </w:r>
          </w:p>
        </w:tc>
        <w:tc>
          <w:tcPr>
            <w:tcW w:w="1134" w:type="dxa"/>
            <w:gridSpan w:val="2"/>
          </w:tcPr>
          <w:p>
            <w:pPr>
              <w:pStyle w:val="nTable"/>
              <w:spacing w:after="40"/>
            </w:pPr>
            <w:r>
              <w:t>12 Jan 1999</w:t>
            </w:r>
          </w:p>
        </w:tc>
        <w:tc>
          <w:tcPr>
            <w:tcW w:w="2551" w:type="dxa"/>
            <w:gridSpan w:val="2"/>
          </w:tcPr>
          <w:p>
            <w:pPr>
              <w:pStyle w:val="nTable"/>
              <w:spacing w:after="40"/>
            </w:pPr>
            <w:r>
              <w:t>12 Jan 1999 (see s. 2)</w:t>
            </w:r>
          </w:p>
        </w:tc>
      </w:tr>
      <w:tr>
        <w:trPr>
          <w:gridAfter w:val="1"/>
          <w:wAfter w:w="54" w:type="dxa"/>
          <w:cantSplit/>
        </w:trPr>
        <w:tc>
          <w:tcPr>
            <w:tcW w:w="2265" w:type="dxa"/>
            <w:gridSpan w:val="2"/>
          </w:tcPr>
          <w:p>
            <w:pPr>
              <w:pStyle w:val="nTable"/>
              <w:spacing w:after="40"/>
              <w:ind w:right="170"/>
              <w:rPr>
                <w:i/>
              </w:rPr>
            </w:pPr>
            <w:r>
              <w:rPr>
                <w:i/>
              </w:rPr>
              <w:t>School Education Act 1999</w:t>
            </w:r>
            <w:r>
              <w:t xml:space="preserve"> s. 247</w:t>
            </w:r>
          </w:p>
        </w:tc>
        <w:tc>
          <w:tcPr>
            <w:tcW w:w="1133" w:type="dxa"/>
            <w:gridSpan w:val="2"/>
          </w:tcPr>
          <w:p>
            <w:pPr>
              <w:pStyle w:val="nTable"/>
              <w:spacing w:after="40"/>
            </w:pPr>
            <w:r>
              <w:t>36 of 1999</w:t>
            </w:r>
          </w:p>
        </w:tc>
        <w:tc>
          <w:tcPr>
            <w:tcW w:w="1134" w:type="dxa"/>
            <w:gridSpan w:val="2"/>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gridAfter w:val="1"/>
          <w:wAfter w:w="54" w:type="dxa"/>
          <w:cantSplit/>
        </w:trPr>
        <w:tc>
          <w:tcPr>
            <w:tcW w:w="2265" w:type="dxa"/>
            <w:gridSpan w:val="2"/>
          </w:tcPr>
          <w:p>
            <w:pPr>
              <w:pStyle w:val="nTable"/>
              <w:spacing w:after="40"/>
              <w:ind w:right="170"/>
            </w:pPr>
            <w:r>
              <w:rPr>
                <w:i/>
              </w:rPr>
              <w:t>Water Services Coordination Amendment Act 1999</w:t>
            </w:r>
            <w:r>
              <w:t xml:space="preserve"> s. 11(5)</w:t>
            </w:r>
          </w:p>
        </w:tc>
        <w:tc>
          <w:tcPr>
            <w:tcW w:w="1133" w:type="dxa"/>
            <w:gridSpan w:val="2"/>
          </w:tcPr>
          <w:p>
            <w:pPr>
              <w:pStyle w:val="nTable"/>
              <w:spacing w:after="40"/>
            </w:pPr>
            <w:r>
              <w:t>39 of 1999</w:t>
            </w:r>
          </w:p>
        </w:tc>
        <w:tc>
          <w:tcPr>
            <w:tcW w:w="1134" w:type="dxa"/>
            <w:gridSpan w:val="2"/>
          </w:tcPr>
          <w:p>
            <w:pPr>
              <w:pStyle w:val="nTable"/>
              <w:spacing w:after="40"/>
            </w:pPr>
            <w:r>
              <w:t>9 Nov 1999</w:t>
            </w:r>
          </w:p>
        </w:tc>
        <w:tc>
          <w:tcPr>
            <w:tcW w:w="2551" w:type="dxa"/>
            <w:gridSpan w:val="2"/>
          </w:tcPr>
          <w:p>
            <w:pPr>
              <w:pStyle w:val="nTable"/>
              <w:spacing w:after="40"/>
            </w:pPr>
            <w:r>
              <w:t xml:space="preserve">19 Jun 2000 (see s. 2 and </w:t>
            </w:r>
            <w:r>
              <w:rPr>
                <w:i/>
              </w:rPr>
              <w:t>Gazette</w:t>
            </w:r>
            <w:r>
              <w:t xml:space="preserve"> 16 Jun 2000 p. 2939)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31 Mar 2000 </w:t>
            </w:r>
            <w:r>
              <w:t xml:space="preserve">(includes amendments listed above except those in the </w:t>
            </w:r>
            <w:r>
              <w:rPr>
                <w:i/>
              </w:rPr>
              <w:t>School Education Act 1999</w:t>
            </w:r>
            <w:r>
              <w:t xml:space="preserve"> and the </w:t>
            </w:r>
            <w:r>
              <w:rPr>
                <w:i/>
              </w:rPr>
              <w:t>Water Services Coordination Amendment Act 1999</w:t>
            </w:r>
            <w:r>
              <w:t>)</w:t>
            </w:r>
          </w:p>
        </w:tc>
      </w:tr>
      <w:tr>
        <w:trPr>
          <w:gridAfter w:val="1"/>
          <w:wAfter w:w="54" w:type="dxa"/>
          <w:cantSplit/>
        </w:trPr>
        <w:tc>
          <w:tcPr>
            <w:tcW w:w="2265" w:type="dxa"/>
            <w:gridSpan w:val="2"/>
          </w:tcPr>
          <w:p>
            <w:pPr>
              <w:pStyle w:val="nTable"/>
              <w:spacing w:after="40"/>
              <w:ind w:right="170"/>
              <w:rPr>
                <w:i/>
              </w:rPr>
            </w:pPr>
            <w:r>
              <w:rPr>
                <w:i/>
              </w:rPr>
              <w:t>Statutes (Repeals and Minor Amendments) Act 2000</w:t>
            </w:r>
            <w:r>
              <w:t xml:space="preserve"> s. 16</w:t>
            </w:r>
          </w:p>
        </w:tc>
        <w:tc>
          <w:tcPr>
            <w:tcW w:w="1133"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After w:val="1"/>
          <w:wAfter w:w="54" w:type="dxa"/>
          <w:cantSplit/>
        </w:trPr>
        <w:tc>
          <w:tcPr>
            <w:tcW w:w="4532" w:type="dxa"/>
            <w:gridSpan w:val="6"/>
          </w:tcPr>
          <w:p>
            <w:pPr>
              <w:pStyle w:val="nTable"/>
              <w:spacing w:after="40"/>
            </w:pPr>
            <w:r>
              <w:t xml:space="preserve">Untitled proclamation published by </w:t>
            </w:r>
            <w:r>
              <w:rPr>
                <w:i/>
              </w:rPr>
              <w:t>Gazette</w:t>
            </w:r>
            <w:r>
              <w:t xml:space="preserve"> 17 Nov 2000 p. 6289</w:t>
            </w:r>
          </w:p>
        </w:tc>
        <w:tc>
          <w:tcPr>
            <w:tcW w:w="2551" w:type="dxa"/>
            <w:gridSpan w:val="2"/>
          </w:tcPr>
          <w:p>
            <w:pPr>
              <w:pStyle w:val="nTable"/>
              <w:spacing w:after="40"/>
            </w:pPr>
            <w:r>
              <w:t xml:space="preserve"> 17 Nov 2000</w:t>
            </w:r>
          </w:p>
        </w:tc>
      </w:tr>
      <w:tr>
        <w:trPr>
          <w:gridAfter w:val="1"/>
          <w:wAfter w:w="54" w:type="dxa"/>
          <w:cantSplit/>
        </w:trPr>
        <w:tc>
          <w:tcPr>
            <w:tcW w:w="2265" w:type="dxa"/>
            <w:gridSpan w:val="2"/>
          </w:tcPr>
          <w:p>
            <w:pPr>
              <w:pStyle w:val="nTable"/>
              <w:spacing w:after="40"/>
              <w:ind w:right="170"/>
              <w:rPr>
                <w:i/>
              </w:rPr>
            </w:pPr>
            <w:r>
              <w:rPr>
                <w:i/>
              </w:rPr>
              <w:t>Corporations (Consequential Amendments) Act 2001</w:t>
            </w:r>
            <w:r>
              <w:t xml:space="preserve"> Pt. 30</w:t>
            </w:r>
          </w:p>
        </w:tc>
        <w:tc>
          <w:tcPr>
            <w:tcW w:w="1133"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54" w:type="dxa"/>
          <w:cantSplit/>
        </w:trPr>
        <w:tc>
          <w:tcPr>
            <w:tcW w:w="2265" w:type="dxa"/>
            <w:gridSpan w:val="2"/>
          </w:tcPr>
          <w:p>
            <w:pPr>
              <w:pStyle w:val="nTable"/>
              <w:spacing w:after="40"/>
              <w:ind w:right="170"/>
            </w:pPr>
            <w:r>
              <w:rPr>
                <w:i/>
              </w:rPr>
              <w:t>Acts Amendment (Equality of Status) Act 2003</w:t>
            </w:r>
            <w:r>
              <w:t xml:space="preserve"> Pt. 26</w:t>
            </w:r>
          </w:p>
        </w:tc>
        <w:tc>
          <w:tcPr>
            <w:tcW w:w="1133"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After w:val="1"/>
          <w:wAfter w:w="54" w:type="dxa"/>
          <w:cantSplit/>
        </w:trPr>
        <w:tc>
          <w:tcPr>
            <w:tcW w:w="2265" w:type="dxa"/>
            <w:gridSpan w:val="2"/>
          </w:tcPr>
          <w:p>
            <w:pPr>
              <w:pStyle w:val="nTable"/>
              <w:spacing w:after="40"/>
              <w:ind w:right="170"/>
              <w:rPr>
                <w:i/>
              </w:rPr>
            </w:pPr>
            <w:r>
              <w:rPr>
                <w:i/>
              </w:rPr>
              <w:t xml:space="preserve">Sentencing Legislation Amendment and Repeal Act 2003 </w:t>
            </w:r>
            <w:r>
              <w:t>s. 71</w:t>
            </w:r>
          </w:p>
        </w:tc>
        <w:tc>
          <w:tcPr>
            <w:tcW w:w="1133" w:type="dxa"/>
            <w:gridSpan w:val="2"/>
          </w:tcPr>
          <w:p>
            <w:pPr>
              <w:pStyle w:val="nTable"/>
              <w:spacing w:after="40"/>
            </w:pPr>
            <w:r>
              <w:t>50 of 2003</w:t>
            </w:r>
          </w:p>
        </w:tc>
        <w:tc>
          <w:tcPr>
            <w:tcW w:w="1134" w:type="dxa"/>
            <w:gridSpan w:val="2"/>
          </w:tcPr>
          <w:p>
            <w:pPr>
              <w:pStyle w:val="nTable"/>
              <w:spacing w:after="40"/>
            </w:pPr>
            <w:r>
              <w:t>9 Jul 2003</w:t>
            </w:r>
          </w:p>
        </w:tc>
        <w:tc>
          <w:tcPr>
            <w:tcW w:w="2551" w:type="dxa"/>
            <w:gridSpan w:val="2"/>
          </w:tcPr>
          <w:p>
            <w:pPr>
              <w:pStyle w:val="nTable"/>
              <w:spacing w:after="40"/>
            </w:pPr>
            <w:r>
              <w:t>15 May 2004 (see s. 2 and</w:t>
            </w:r>
            <w:r>
              <w:rPr>
                <w:i/>
              </w:rPr>
              <w:t xml:space="preserve"> Gazette </w:t>
            </w:r>
            <w:r>
              <w:t>14 May 2004 p. 1445)</w:t>
            </w:r>
          </w:p>
        </w:tc>
      </w:tr>
      <w:tr>
        <w:trPr>
          <w:gridAfter w:val="1"/>
          <w:wAfter w:w="54" w:type="dxa"/>
          <w:cantSplit/>
        </w:trPr>
        <w:tc>
          <w:tcPr>
            <w:tcW w:w="2265" w:type="dxa"/>
            <w:gridSpan w:val="2"/>
          </w:tcPr>
          <w:p>
            <w:pPr>
              <w:pStyle w:val="nTable"/>
              <w:spacing w:after="40"/>
              <w:ind w:right="170"/>
            </w:pPr>
            <w:r>
              <w:rPr>
                <w:i/>
              </w:rPr>
              <w:t>Statutes (Repeals and Minor Amendments) Act 2003</w:t>
            </w:r>
            <w:r>
              <w:t xml:space="preserve"> s. 64</w:t>
            </w:r>
          </w:p>
        </w:tc>
        <w:tc>
          <w:tcPr>
            <w:tcW w:w="1133"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After w:val="1"/>
          <w:wAfter w:w="54" w:type="dxa"/>
          <w:cantSplit/>
        </w:trPr>
        <w:tc>
          <w:tcPr>
            <w:tcW w:w="2265" w:type="dxa"/>
            <w:gridSpan w:val="2"/>
          </w:tcPr>
          <w:p>
            <w:pPr>
              <w:pStyle w:val="nTable"/>
              <w:spacing w:after="40"/>
              <w:rPr>
                <w:snapToGrid w:val="0"/>
              </w:rPr>
            </w:pPr>
            <w:r>
              <w:rPr>
                <w:i/>
                <w:snapToGrid w:val="0"/>
              </w:rPr>
              <w:t>Children and Community Services Act 2004</w:t>
            </w:r>
            <w:r>
              <w:rPr>
                <w:snapToGrid w:val="0"/>
              </w:rPr>
              <w:t xml:space="preserve"> Sch. 2 cl. 12</w:t>
            </w:r>
          </w:p>
        </w:tc>
        <w:tc>
          <w:tcPr>
            <w:tcW w:w="1133" w:type="dxa"/>
            <w:gridSpan w:val="2"/>
          </w:tcPr>
          <w:p>
            <w:pPr>
              <w:pStyle w:val="nTable"/>
              <w:spacing w:after="40"/>
              <w:rPr>
                <w:snapToGrid w:val="0"/>
              </w:rPr>
            </w:pPr>
            <w:r>
              <w:rPr>
                <w:snapToGrid w:val="0"/>
              </w:rPr>
              <w:t>34 of 2004</w:t>
            </w:r>
          </w:p>
        </w:tc>
        <w:tc>
          <w:tcPr>
            <w:tcW w:w="1134" w:type="dxa"/>
            <w:gridSpan w:val="2"/>
          </w:tcPr>
          <w:p>
            <w:pPr>
              <w:pStyle w:val="nTable"/>
              <w:spacing w:after="40"/>
              <w:rPr>
                <w:snapToGrid w:val="0"/>
              </w:rPr>
            </w:pPr>
            <w:r>
              <w:t>20 Oct 2004</w:t>
            </w:r>
          </w:p>
        </w:tc>
        <w:tc>
          <w:tcPr>
            <w:tcW w:w="2551" w:type="dxa"/>
            <w:gridSpan w:val="2"/>
          </w:tcPr>
          <w:p>
            <w:pPr>
              <w:pStyle w:val="nTable"/>
              <w:spacing w:after="40"/>
            </w:pPr>
            <w:r>
              <w:t xml:space="preserve">1 Mar 2006 (see s. 2 and </w:t>
            </w:r>
            <w:r>
              <w:rPr>
                <w:i/>
              </w:rPr>
              <w:t>Gazette</w:t>
            </w:r>
            <w:r>
              <w:t xml:space="preserve"> 14 Feb 2006 p. 695)</w:t>
            </w:r>
          </w:p>
        </w:tc>
      </w:tr>
      <w:tr>
        <w:trPr>
          <w:gridAfter w:val="1"/>
          <w:wAfter w:w="54" w:type="dxa"/>
        </w:trPr>
        <w:tc>
          <w:tcPr>
            <w:tcW w:w="2265" w:type="dxa"/>
            <w:gridSpan w:val="2"/>
          </w:tcPr>
          <w:p>
            <w:pPr>
              <w:pStyle w:val="nTable"/>
              <w:spacing w:after="40"/>
              <w:ind w:right="170"/>
              <w:rPr>
                <w:i/>
                <w:vertAlign w:val="superscript"/>
              </w:rPr>
            </w:pPr>
            <w:r>
              <w:rPr>
                <w:i/>
                <w:snapToGrid w:val="0"/>
              </w:rPr>
              <w:t xml:space="preserve">Courts Legislation Amendment and Repeal Act 2004 </w:t>
            </w:r>
            <w:r>
              <w:rPr>
                <w:snapToGrid w:val="0"/>
              </w:rPr>
              <w:t>s. 141</w:t>
            </w:r>
            <w:r>
              <w:rPr>
                <w:snapToGrid w:val="0"/>
                <w:vertAlign w:val="superscript"/>
              </w:rPr>
              <w:t> 24</w:t>
            </w:r>
          </w:p>
        </w:tc>
        <w:tc>
          <w:tcPr>
            <w:tcW w:w="1133" w:type="dxa"/>
            <w:gridSpan w:val="2"/>
          </w:tcPr>
          <w:p>
            <w:pPr>
              <w:pStyle w:val="nTable"/>
              <w:spacing w:after="40"/>
            </w:pPr>
            <w:r>
              <w:rPr>
                <w:snapToGrid w:val="0"/>
              </w:rPr>
              <w:t>59 of 2004 (as amended by No. 2 of 2008 s. 77(13))</w:t>
            </w:r>
          </w:p>
        </w:tc>
        <w:tc>
          <w:tcPr>
            <w:tcW w:w="1134" w:type="dxa"/>
            <w:gridSpan w:val="2"/>
          </w:tcPr>
          <w:p>
            <w:pPr>
              <w:pStyle w:val="nTable"/>
              <w:spacing w:after="40"/>
            </w:pPr>
            <w:r>
              <w:rPr>
                <w:snapToGrid w:val="0"/>
              </w:rPr>
              <w:t>23 Nov 2004</w:t>
            </w:r>
          </w:p>
        </w:tc>
        <w:tc>
          <w:tcPr>
            <w:tcW w:w="2551" w:type="dxa"/>
            <w:gridSpan w:val="2"/>
          </w:tcPr>
          <w:p>
            <w:pPr>
              <w:pStyle w:val="nTable"/>
              <w:spacing w:after="40"/>
              <w:rPr>
                <w:spacing w:val="-2"/>
              </w:rPr>
            </w:pPr>
            <w:r>
              <w:rPr>
                <w:snapToGrid w:val="0"/>
              </w:rPr>
              <w:t xml:space="preserve">1 May 2005 (see s. 2 and </w:t>
            </w:r>
            <w:r>
              <w:rPr>
                <w:i/>
                <w:snapToGrid w:val="0"/>
              </w:rPr>
              <w:t>Gazette</w:t>
            </w:r>
            <w:r>
              <w:rPr>
                <w:snapToGrid w:val="0"/>
              </w:rPr>
              <w:t xml:space="preserve"> 31 Dec 2004 p. 7128) </w:t>
            </w:r>
          </w:p>
        </w:tc>
      </w:tr>
      <w:tr>
        <w:trPr>
          <w:gridAfter w:val="1"/>
          <w:wAfter w:w="54" w:type="dxa"/>
          <w:cantSplit/>
        </w:trPr>
        <w:tc>
          <w:tcPr>
            <w:tcW w:w="2265" w:type="dxa"/>
            <w:gridSpan w:val="2"/>
          </w:tcPr>
          <w:p>
            <w:pPr>
              <w:pStyle w:val="nTable"/>
              <w:spacing w:after="40"/>
              <w:ind w:right="170"/>
              <w:rPr>
                <w:i/>
              </w:rPr>
            </w:pPr>
            <w:r>
              <w:rPr>
                <w:i/>
              </w:rPr>
              <w:lastRenderedPageBreak/>
              <w:t>State Administrative Tribunal (Conferral of Jurisdiction) Amendment and Repeal Act 2004</w:t>
            </w:r>
            <w:r>
              <w:t xml:space="preserve"> Pt. 2 Div. 58</w:t>
            </w:r>
            <w:r>
              <w:rPr>
                <w:vertAlign w:val="superscript"/>
              </w:rPr>
              <w:t> 25</w:t>
            </w:r>
          </w:p>
        </w:tc>
        <w:tc>
          <w:tcPr>
            <w:tcW w:w="1133" w:type="dxa"/>
            <w:gridSpan w:val="2"/>
          </w:tcPr>
          <w:p>
            <w:pPr>
              <w:pStyle w:val="nTable"/>
              <w:spacing w:after="40"/>
            </w:pPr>
            <w:r>
              <w:t>55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gridAfter w:val="1"/>
          <w:wAfter w:w="54" w:type="dxa"/>
          <w:cantSplit/>
        </w:trPr>
        <w:tc>
          <w:tcPr>
            <w:tcW w:w="2265" w:type="dxa"/>
            <w:gridSpan w:val="2"/>
          </w:tcPr>
          <w:p>
            <w:pPr>
              <w:pStyle w:val="nTable"/>
              <w:spacing w:after="40"/>
              <w:ind w:right="170"/>
            </w:pPr>
            <w:r>
              <w:rPr>
                <w:i/>
              </w:rPr>
              <w:t>Health Legislation Amendment Act 2004</w:t>
            </w:r>
            <w:r>
              <w:t xml:space="preserve"> Pt. 2</w:t>
            </w:r>
          </w:p>
        </w:tc>
        <w:tc>
          <w:tcPr>
            <w:tcW w:w="1133" w:type="dxa"/>
            <w:gridSpan w:val="2"/>
          </w:tcPr>
          <w:p>
            <w:pPr>
              <w:pStyle w:val="nTable"/>
              <w:spacing w:after="40"/>
            </w:pPr>
            <w:r>
              <w:t>61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24 Nov 2004 (see s. 2)</w:t>
            </w:r>
          </w:p>
        </w:tc>
      </w:tr>
      <w:tr>
        <w:trPr>
          <w:gridAfter w:val="1"/>
          <w:wAfter w:w="54" w:type="dxa"/>
          <w:cantSplit/>
        </w:trPr>
        <w:tc>
          <w:tcPr>
            <w:tcW w:w="2265" w:type="dxa"/>
            <w:gridSpan w:val="2"/>
          </w:tcPr>
          <w:p>
            <w:pPr>
              <w:pStyle w:val="nTable"/>
              <w:spacing w:after="40"/>
              <w:ind w:right="170"/>
              <w:rPr>
                <w:i/>
              </w:rPr>
            </w:pPr>
            <w:r>
              <w:rPr>
                <w:i/>
                <w:snapToGrid w:val="0"/>
              </w:rPr>
              <w:t>Criminal Procedure and Appeals (Consequential and Other Provisions) Act 2004</w:t>
            </w:r>
            <w:r>
              <w:rPr>
                <w:snapToGrid w:val="0"/>
              </w:rPr>
              <w:t xml:space="preserve"> s. 78, 80 and 82</w:t>
            </w:r>
          </w:p>
        </w:tc>
        <w:tc>
          <w:tcPr>
            <w:tcW w:w="1133"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rPr>
          <w:gridAfter w:val="1"/>
          <w:wAfter w:w="54" w:type="dxa"/>
          <w:cantSplit/>
        </w:trPr>
        <w:tc>
          <w:tcPr>
            <w:tcW w:w="7083" w:type="dxa"/>
            <w:gridSpan w:val="8"/>
          </w:tcPr>
          <w:p>
            <w:pPr>
              <w:pStyle w:val="nTable"/>
              <w:spacing w:after="40"/>
              <w:rPr>
                <w:snapToGrid w:val="0"/>
              </w:rPr>
            </w:pPr>
            <w:r>
              <w:rPr>
                <w:b/>
              </w:rPr>
              <w:t xml:space="preserve">Reprint 13: The </w:t>
            </w:r>
            <w:r>
              <w:rPr>
                <w:b/>
                <w:i/>
              </w:rPr>
              <w:t>Health Act 1911</w:t>
            </w:r>
            <w:r>
              <w:rPr>
                <w:b/>
              </w:rPr>
              <w:t xml:space="preserve"> as at 15 Jul 2005 </w:t>
            </w:r>
            <w:r>
              <w:t xml:space="preserve">(includes amendments listed above except those in the </w:t>
            </w:r>
            <w:r>
              <w:rPr>
                <w:i/>
                <w:snapToGrid w:val="0"/>
              </w:rPr>
              <w:t>Children and Community Services Act 2004</w:t>
            </w:r>
            <w:r>
              <w:t>)</w:t>
            </w:r>
          </w:p>
        </w:tc>
      </w:tr>
      <w:tr>
        <w:trPr>
          <w:gridAfter w:val="1"/>
          <w:wAfter w:w="54" w:type="dxa"/>
        </w:trPr>
        <w:tc>
          <w:tcPr>
            <w:tcW w:w="2265" w:type="dxa"/>
            <w:gridSpan w:val="2"/>
          </w:tcPr>
          <w:p>
            <w:pPr>
              <w:pStyle w:val="nTable"/>
              <w:spacing w:after="40"/>
            </w:pPr>
            <w:r>
              <w:rPr>
                <w:i/>
              </w:rPr>
              <w:t>Tobacco Products Control Act 2006</w:t>
            </w:r>
            <w:r>
              <w:t xml:space="preserve"> s. 126</w:t>
            </w:r>
          </w:p>
        </w:tc>
        <w:tc>
          <w:tcPr>
            <w:tcW w:w="1133" w:type="dxa"/>
            <w:gridSpan w:val="2"/>
          </w:tcPr>
          <w:p>
            <w:pPr>
              <w:pStyle w:val="nTable"/>
              <w:spacing w:after="40"/>
            </w:pPr>
            <w:r>
              <w:t>5 of 2006</w:t>
            </w:r>
          </w:p>
        </w:tc>
        <w:tc>
          <w:tcPr>
            <w:tcW w:w="1134" w:type="dxa"/>
            <w:gridSpan w:val="2"/>
          </w:tcPr>
          <w:p>
            <w:pPr>
              <w:pStyle w:val="nTable"/>
              <w:spacing w:after="40"/>
            </w:pPr>
            <w:r>
              <w:t>12 Apr 2006</w:t>
            </w:r>
          </w:p>
        </w:tc>
        <w:tc>
          <w:tcPr>
            <w:tcW w:w="2551" w:type="dxa"/>
            <w:gridSpan w:val="2"/>
          </w:tcPr>
          <w:p>
            <w:pPr>
              <w:pStyle w:val="nTable"/>
              <w:spacing w:after="40"/>
            </w:pPr>
            <w:r>
              <w:t xml:space="preserve">31 Jul 2006 (see s. 2 and </w:t>
            </w:r>
            <w:r>
              <w:rPr>
                <w:i/>
              </w:rPr>
              <w:t>Gazette</w:t>
            </w:r>
            <w:r>
              <w:t xml:space="preserve"> 25 Jul 2006 p. 2701)</w:t>
            </w:r>
          </w:p>
        </w:tc>
      </w:tr>
      <w:tr>
        <w:trPr>
          <w:gridAfter w:val="1"/>
          <w:wAfter w:w="54" w:type="dxa"/>
        </w:trPr>
        <w:tc>
          <w:tcPr>
            <w:tcW w:w="2265" w:type="dxa"/>
            <w:gridSpan w:val="2"/>
          </w:tcPr>
          <w:p>
            <w:pPr>
              <w:pStyle w:val="nTable"/>
              <w:spacing w:after="40"/>
            </w:pPr>
            <w:r>
              <w:rPr>
                <w:i/>
              </w:rPr>
              <w:t>Health Amendment Act 2006</w:t>
            </w:r>
            <w:r>
              <w:t xml:space="preserve"> </w:t>
            </w:r>
          </w:p>
        </w:tc>
        <w:tc>
          <w:tcPr>
            <w:tcW w:w="1133" w:type="dxa"/>
            <w:gridSpan w:val="2"/>
          </w:tcPr>
          <w:p>
            <w:pPr>
              <w:pStyle w:val="nTable"/>
              <w:spacing w:after="40"/>
            </w:pPr>
            <w:r>
              <w:t>23 of 2006</w:t>
            </w:r>
          </w:p>
        </w:tc>
        <w:tc>
          <w:tcPr>
            <w:tcW w:w="1134" w:type="dxa"/>
            <w:gridSpan w:val="2"/>
          </w:tcPr>
          <w:p>
            <w:pPr>
              <w:pStyle w:val="nTable"/>
              <w:spacing w:after="40"/>
            </w:pPr>
            <w:r>
              <w:t>9 Jun 2006</w:t>
            </w:r>
          </w:p>
        </w:tc>
        <w:tc>
          <w:tcPr>
            <w:tcW w:w="2551" w:type="dxa"/>
            <w:gridSpan w:val="2"/>
          </w:tcPr>
          <w:p>
            <w:pPr>
              <w:pStyle w:val="nTable"/>
              <w:spacing w:after="40"/>
            </w:pPr>
            <w:r>
              <w:t>7 Jul 2006 (see s. 2)</w:t>
            </w:r>
          </w:p>
        </w:tc>
      </w:tr>
      <w:tr>
        <w:trPr>
          <w:gridAfter w:val="1"/>
          <w:wAfter w:w="54" w:type="dxa"/>
          <w:cantSplit/>
        </w:trPr>
        <w:tc>
          <w:tcPr>
            <w:tcW w:w="2265" w:type="dxa"/>
            <w:gridSpan w:val="2"/>
          </w:tcPr>
          <w:p>
            <w:pPr>
              <w:pStyle w:val="nTable"/>
              <w:spacing w:after="40"/>
              <w:ind w:left="-28"/>
              <w:rPr>
                <w:snapToGrid w:val="0"/>
                <w:vertAlign w:val="superscript"/>
              </w:rPr>
            </w:pPr>
            <w:r>
              <w:rPr>
                <w:i/>
                <w:snapToGrid w:val="0"/>
              </w:rPr>
              <w:t>Machinery of Government (Miscellaneous Amendments) Act 2006</w:t>
            </w:r>
            <w:r>
              <w:rPr>
                <w:snapToGrid w:val="0"/>
              </w:rPr>
              <w:t xml:space="preserve"> Pt. 9 Div. 2</w:t>
            </w:r>
            <w:r>
              <w:rPr>
                <w:snapToGrid w:val="0"/>
                <w:vertAlign w:val="superscript"/>
              </w:rPr>
              <w:t> 26</w:t>
            </w:r>
          </w:p>
        </w:tc>
        <w:tc>
          <w:tcPr>
            <w:tcW w:w="1133"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rPr>
              <w:t>Gazette</w:t>
            </w:r>
            <w:r>
              <w:t xml:space="preserve"> 27 Jun 2006 p. 2347)</w:t>
            </w:r>
          </w:p>
        </w:tc>
      </w:tr>
      <w:tr>
        <w:trPr>
          <w:gridAfter w:val="1"/>
          <w:wAfter w:w="54" w:type="dxa"/>
        </w:trPr>
        <w:tc>
          <w:tcPr>
            <w:tcW w:w="2265" w:type="dxa"/>
            <w:gridSpan w:val="2"/>
          </w:tcPr>
          <w:p>
            <w:pPr>
              <w:pStyle w:val="nTable"/>
              <w:spacing w:after="40"/>
              <w:rPr>
                <w:i/>
                <w:snapToGrid w:val="0"/>
              </w:rPr>
            </w:pPr>
            <w:r>
              <w:rPr>
                <w:i/>
                <w:snapToGrid w:val="0"/>
              </w:rPr>
              <w:t>Nurses and Midwives Act 2006</w:t>
            </w:r>
            <w:r>
              <w:rPr>
                <w:snapToGrid w:val="0"/>
              </w:rPr>
              <w:t xml:space="preserve"> Sch. 3 cl. 9</w:t>
            </w:r>
          </w:p>
        </w:tc>
        <w:tc>
          <w:tcPr>
            <w:tcW w:w="1133" w:type="dxa"/>
            <w:gridSpan w:val="2"/>
          </w:tcPr>
          <w:p>
            <w:pPr>
              <w:pStyle w:val="nTable"/>
              <w:spacing w:after="40"/>
              <w:rPr>
                <w:snapToGrid w:val="0"/>
              </w:rPr>
            </w:pPr>
            <w:r>
              <w:rPr>
                <w:snapToGrid w:val="0"/>
              </w:rPr>
              <w:t>50 of 2006</w:t>
            </w:r>
          </w:p>
        </w:tc>
        <w:tc>
          <w:tcPr>
            <w:tcW w:w="1134" w:type="dxa"/>
            <w:gridSpan w:val="2"/>
          </w:tcPr>
          <w:p>
            <w:pPr>
              <w:pStyle w:val="nTable"/>
              <w:spacing w:after="40"/>
              <w:rPr>
                <w:snapToGrid w:val="0"/>
              </w:rPr>
            </w:pPr>
            <w:r>
              <w:rPr>
                <w:snapToGrid w:val="0"/>
              </w:rPr>
              <w:t>6 Oct 2006</w:t>
            </w:r>
          </w:p>
        </w:tc>
        <w:tc>
          <w:tcPr>
            <w:tcW w:w="2551"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54" w:type="dxa"/>
          <w:cantSplit/>
        </w:trPr>
        <w:tc>
          <w:tcPr>
            <w:tcW w:w="2265" w:type="dxa"/>
            <w:gridSpan w:val="2"/>
          </w:tcPr>
          <w:p>
            <w:pPr>
              <w:pStyle w:val="nTable"/>
              <w:spacing w:after="40"/>
              <w:ind w:left="-28"/>
              <w:rPr>
                <w:i/>
                <w:snapToGrid w:val="0"/>
              </w:rPr>
            </w:pPr>
            <w:r>
              <w:rPr>
                <w:i/>
                <w:snapToGrid w:val="0"/>
              </w:rPr>
              <w:t>Land Information Authority Act 2006</w:t>
            </w:r>
            <w:r>
              <w:rPr>
                <w:snapToGrid w:val="0"/>
              </w:rPr>
              <w:t xml:space="preserve"> s. 135</w:t>
            </w:r>
            <w:r>
              <w:rPr>
                <w:snapToGrid w:val="0"/>
                <w:vertAlign w:val="superscript"/>
              </w:rPr>
              <w:t xml:space="preserve"> </w:t>
            </w:r>
          </w:p>
        </w:tc>
        <w:tc>
          <w:tcPr>
            <w:tcW w:w="1133" w:type="dxa"/>
            <w:gridSpan w:val="2"/>
          </w:tcPr>
          <w:p>
            <w:pPr>
              <w:pStyle w:val="nTable"/>
              <w:spacing w:after="40"/>
              <w:rPr>
                <w:snapToGrid w:val="0"/>
              </w:rPr>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After w:val="1"/>
          <w:wAfter w:w="54" w:type="dxa"/>
        </w:trPr>
        <w:tc>
          <w:tcPr>
            <w:tcW w:w="2265" w:type="dxa"/>
            <w:gridSpan w:val="2"/>
          </w:tcPr>
          <w:p>
            <w:pPr>
              <w:pStyle w:val="nTable"/>
              <w:spacing w:after="40"/>
              <w:rPr>
                <w:i/>
                <w:snapToGrid w:val="0"/>
              </w:rPr>
            </w:pPr>
            <w:r>
              <w:rPr>
                <w:i/>
                <w:snapToGrid w:val="0"/>
              </w:rPr>
              <w:t xml:space="preserve">Financial Legislation Amendment and Repeal Act 2006 </w:t>
            </w:r>
            <w:r>
              <w:rPr>
                <w:iCs/>
                <w:snapToGrid w:val="0"/>
              </w:rPr>
              <w:t>Sch. 1 cl. 80</w:t>
            </w:r>
          </w:p>
        </w:tc>
        <w:tc>
          <w:tcPr>
            <w:tcW w:w="1133"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rPr>
                <w:snapToGrid w:val="0"/>
              </w:rPr>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54" w:type="dxa"/>
        </w:trPr>
        <w:tc>
          <w:tcPr>
            <w:tcW w:w="2265" w:type="dxa"/>
            <w:gridSpan w:val="2"/>
          </w:tcPr>
          <w:p>
            <w:pPr>
              <w:pStyle w:val="nTable"/>
              <w:spacing w:after="40"/>
              <w:rPr>
                <w:i/>
                <w:snapToGrid w:val="0"/>
              </w:rPr>
            </w:pPr>
            <w:r>
              <w:rPr>
                <w:i/>
              </w:rPr>
              <w:t>Chemistry Centre (WA) Act 2007</w:t>
            </w:r>
            <w:r>
              <w:rPr>
                <w:iCs/>
              </w:rPr>
              <w:t xml:space="preserve"> s. 43 </w:t>
            </w:r>
          </w:p>
        </w:tc>
        <w:tc>
          <w:tcPr>
            <w:tcW w:w="1133" w:type="dxa"/>
            <w:gridSpan w:val="2"/>
          </w:tcPr>
          <w:p>
            <w:pPr>
              <w:pStyle w:val="nTable"/>
              <w:spacing w:after="40"/>
              <w:rPr>
                <w:snapToGrid w:val="0"/>
              </w:rPr>
            </w:pPr>
            <w:r>
              <w:t>10 of 2007</w:t>
            </w:r>
          </w:p>
        </w:tc>
        <w:tc>
          <w:tcPr>
            <w:tcW w:w="1134" w:type="dxa"/>
            <w:gridSpan w:val="2"/>
          </w:tcPr>
          <w:p>
            <w:pPr>
              <w:pStyle w:val="nTable"/>
              <w:spacing w:after="40"/>
              <w:rPr>
                <w:snapToGrid w:val="0"/>
              </w:rPr>
            </w:pPr>
            <w:r>
              <w:t>29 Jun 2007</w:t>
            </w:r>
          </w:p>
        </w:tc>
        <w:tc>
          <w:tcPr>
            <w:tcW w:w="2551"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54" w:type="dxa"/>
          <w:cantSplit/>
        </w:trPr>
        <w:tc>
          <w:tcPr>
            <w:tcW w:w="7083" w:type="dxa"/>
            <w:gridSpan w:val="8"/>
          </w:tcPr>
          <w:p>
            <w:pPr>
              <w:pStyle w:val="nTable"/>
              <w:spacing w:after="40"/>
              <w:rPr>
                <w:snapToGrid w:val="0"/>
              </w:rPr>
            </w:pPr>
            <w:r>
              <w:rPr>
                <w:b/>
              </w:rPr>
              <w:t xml:space="preserve">Reprint 14: The </w:t>
            </w:r>
            <w:r>
              <w:rPr>
                <w:b/>
                <w:i/>
              </w:rPr>
              <w:t>Health Act 1911</w:t>
            </w:r>
            <w:r>
              <w:rPr>
                <w:b/>
              </w:rPr>
              <w:t xml:space="preserve"> as at 5 Oct 2007 </w:t>
            </w:r>
            <w:r>
              <w:t>(includes amendments listed above)</w:t>
            </w:r>
          </w:p>
        </w:tc>
      </w:tr>
      <w:tr>
        <w:trPr>
          <w:gridAfter w:val="1"/>
          <w:wAfter w:w="54" w:type="dxa"/>
          <w:cantSplit/>
        </w:trPr>
        <w:tc>
          <w:tcPr>
            <w:tcW w:w="2265" w:type="dxa"/>
            <w:gridSpan w:val="2"/>
          </w:tcPr>
          <w:p>
            <w:pPr>
              <w:pStyle w:val="nTable"/>
              <w:spacing w:after="40"/>
              <w:rPr>
                <w:i/>
                <w:iCs/>
                <w:snapToGrid w:val="0"/>
              </w:rPr>
            </w:pPr>
            <w:r>
              <w:rPr>
                <w:i/>
                <w:snapToGrid w:val="0"/>
              </w:rPr>
              <w:t>Biosecurity and Agriculture Management (Repeal and Consequential Provisions) Act 2007</w:t>
            </w:r>
            <w:r>
              <w:rPr>
                <w:iCs/>
                <w:snapToGrid w:val="0"/>
              </w:rPr>
              <w:t xml:space="preserve"> s. 10</w:t>
            </w:r>
          </w:p>
        </w:tc>
        <w:tc>
          <w:tcPr>
            <w:tcW w:w="1133" w:type="dxa"/>
            <w:gridSpan w:val="2"/>
          </w:tcPr>
          <w:p>
            <w:pPr>
              <w:pStyle w:val="nTable"/>
              <w:spacing w:after="40"/>
              <w:rPr>
                <w:snapToGrid w:val="0"/>
              </w:rPr>
            </w:pPr>
            <w:r>
              <w:rPr>
                <w:snapToGrid w:val="0"/>
              </w:rPr>
              <w:t>24 of 2007</w:t>
            </w:r>
          </w:p>
        </w:tc>
        <w:tc>
          <w:tcPr>
            <w:tcW w:w="1134" w:type="dxa"/>
            <w:gridSpan w:val="2"/>
          </w:tcPr>
          <w:p>
            <w:pPr>
              <w:pStyle w:val="nTable"/>
              <w:spacing w:after="40"/>
            </w:pPr>
            <w:r>
              <w:rPr>
                <w:snapToGrid w:val="0"/>
              </w:rPr>
              <w:t>12 Oct 2007</w:t>
            </w:r>
          </w:p>
        </w:tc>
        <w:tc>
          <w:tcPr>
            <w:tcW w:w="2551" w:type="dxa"/>
            <w:gridSpan w:val="2"/>
          </w:tcPr>
          <w:p>
            <w:pPr>
              <w:pStyle w:val="nTable"/>
              <w:spacing w:after="40"/>
              <w:rPr>
                <w:snapToGrid w:val="0"/>
              </w:rPr>
            </w:pPr>
            <w:r>
              <w:rPr>
                <w:iCs/>
                <w:snapToGrid w:val="0"/>
              </w:rPr>
              <w:t xml:space="preserve">24 Oct 2007 (see s. 2(1) and </w:t>
            </w:r>
            <w:r>
              <w:rPr>
                <w:i/>
                <w:snapToGrid w:val="0"/>
              </w:rPr>
              <w:t>Gazette</w:t>
            </w:r>
            <w:r>
              <w:rPr>
                <w:iCs/>
                <w:snapToGrid w:val="0"/>
              </w:rPr>
              <w:t xml:space="preserve"> 23 Oct 2007 p. 5645</w:t>
            </w:r>
            <w:r>
              <w:rPr>
                <w:snapToGrid w:val="0"/>
              </w:rPr>
              <w:t>)</w:t>
            </w:r>
          </w:p>
        </w:tc>
      </w:tr>
      <w:tr>
        <w:trPr>
          <w:gridAfter w:val="1"/>
          <w:wAfter w:w="54" w:type="dxa"/>
        </w:trPr>
        <w:tc>
          <w:tcPr>
            <w:tcW w:w="2265" w:type="dxa"/>
            <w:gridSpan w:val="2"/>
          </w:tcPr>
          <w:p>
            <w:pPr>
              <w:pStyle w:val="nTable"/>
              <w:spacing w:after="40"/>
              <w:rPr>
                <w:i/>
                <w:snapToGrid w:val="0"/>
              </w:rPr>
            </w:pPr>
            <w:r>
              <w:rPr>
                <w:i/>
                <w:snapToGrid w:val="0"/>
              </w:rPr>
              <w:t xml:space="preserve">Waste Avoidance and Resource Recovery Act 2007 </w:t>
            </w:r>
            <w:r>
              <w:rPr>
                <w:iCs/>
                <w:snapToGrid w:val="0"/>
              </w:rPr>
              <w:t>Sch. 4 cl. 4</w:t>
            </w:r>
          </w:p>
        </w:tc>
        <w:tc>
          <w:tcPr>
            <w:tcW w:w="1133" w:type="dxa"/>
            <w:gridSpan w:val="2"/>
          </w:tcPr>
          <w:p>
            <w:pPr>
              <w:pStyle w:val="nTable"/>
              <w:spacing w:after="40"/>
              <w:rPr>
                <w:snapToGrid w:val="0"/>
              </w:rPr>
            </w:pPr>
            <w:r>
              <w:rPr>
                <w:snapToGrid w:val="0"/>
              </w:rPr>
              <w:t>36 of 2007</w:t>
            </w:r>
          </w:p>
        </w:tc>
        <w:tc>
          <w:tcPr>
            <w:tcW w:w="1134" w:type="dxa"/>
            <w:gridSpan w:val="2"/>
          </w:tcPr>
          <w:p>
            <w:pPr>
              <w:pStyle w:val="nTable"/>
              <w:spacing w:after="40"/>
              <w:rPr>
                <w:snapToGrid w:val="0"/>
              </w:rPr>
            </w:pPr>
            <w:r>
              <w:rPr>
                <w:snapToGrid w:val="0"/>
              </w:rPr>
              <w:t>21 Dec 2007</w:t>
            </w:r>
          </w:p>
        </w:tc>
        <w:tc>
          <w:tcPr>
            <w:tcW w:w="2551" w:type="dxa"/>
            <w:gridSpan w:val="2"/>
          </w:tcPr>
          <w:p>
            <w:pPr>
              <w:pStyle w:val="nTable"/>
              <w:spacing w:after="40"/>
              <w:rPr>
                <w:iCs/>
                <w:snapToGrid w:val="0"/>
              </w:rPr>
            </w:pPr>
            <w:r>
              <w:rPr>
                <w:iCs/>
                <w:snapToGrid w:val="0"/>
              </w:rPr>
              <w:t xml:space="preserve">1 Jul 2008 (see s. 2(b) and </w:t>
            </w:r>
            <w:r>
              <w:rPr>
                <w:i/>
                <w:snapToGrid w:val="0"/>
              </w:rPr>
              <w:t>Gazette</w:t>
            </w:r>
            <w:r>
              <w:rPr>
                <w:iCs/>
                <w:snapToGrid w:val="0"/>
              </w:rPr>
              <w:t xml:space="preserve"> 20 Jun 2008 p. 2705)</w:t>
            </w:r>
          </w:p>
        </w:tc>
      </w:tr>
      <w:tr>
        <w:trPr>
          <w:gridAfter w:val="1"/>
          <w:wAfter w:w="54" w:type="dxa"/>
          <w:cantSplit/>
        </w:trPr>
        <w:tc>
          <w:tcPr>
            <w:tcW w:w="2265" w:type="dxa"/>
            <w:gridSpan w:val="2"/>
          </w:tcPr>
          <w:p>
            <w:pPr>
              <w:pStyle w:val="nTable"/>
              <w:spacing w:after="40"/>
              <w:rPr>
                <w:iCs/>
                <w:vertAlign w:val="superscript"/>
              </w:rPr>
            </w:pPr>
            <w:r>
              <w:rPr>
                <w:i/>
              </w:rPr>
              <w:lastRenderedPageBreak/>
              <w:t>Duties Legislation Amendment Act 2008</w:t>
            </w:r>
            <w:r>
              <w:rPr>
                <w:iCs/>
              </w:rPr>
              <w:t xml:space="preserve"> Sch. 1 cl. 13</w:t>
            </w:r>
          </w:p>
        </w:tc>
        <w:tc>
          <w:tcPr>
            <w:tcW w:w="1133"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blPrEx>
          <w:tblBorders>
            <w:top w:val="single" w:sz="8" w:space="0" w:color="auto"/>
            <w:bottom w:val="single" w:sz="8" w:space="0" w:color="auto"/>
            <w:insideH w:val="single" w:sz="8" w:space="0" w:color="auto"/>
          </w:tblBorders>
        </w:tblPrEx>
        <w:trPr>
          <w:gridAfter w:val="1"/>
          <w:wAfter w:w="54" w:type="dxa"/>
        </w:trPr>
        <w:tc>
          <w:tcPr>
            <w:tcW w:w="2265" w:type="dxa"/>
            <w:gridSpan w:val="2"/>
            <w:tcBorders>
              <w:top w:val="nil"/>
              <w:bottom w:val="nil"/>
            </w:tcBorders>
          </w:tcPr>
          <w:p>
            <w:pPr>
              <w:pStyle w:val="nTable"/>
              <w:spacing w:after="40"/>
            </w:pPr>
            <w:r>
              <w:rPr>
                <w:i/>
                <w:snapToGrid w:val="0"/>
              </w:rPr>
              <w:t>Medical Practitioners Act 2008</w:t>
            </w:r>
            <w:r>
              <w:t xml:space="preserve"> Sch. 3 cl. 23</w:t>
            </w:r>
          </w:p>
        </w:tc>
        <w:tc>
          <w:tcPr>
            <w:tcW w:w="1133"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54" w:type="dxa"/>
          <w:cantSplit/>
        </w:trPr>
        <w:tc>
          <w:tcPr>
            <w:tcW w:w="2265" w:type="dxa"/>
            <w:gridSpan w:val="2"/>
          </w:tcPr>
          <w:p>
            <w:pPr>
              <w:pStyle w:val="nTable"/>
              <w:spacing w:after="40"/>
              <w:rPr>
                <w:i/>
              </w:rPr>
            </w:pPr>
            <w:r>
              <w:rPr>
                <w:i/>
                <w:snapToGrid w:val="0"/>
              </w:rPr>
              <w:t>Criminal Law Amendment (Homicide) Act 2008</w:t>
            </w:r>
            <w:r>
              <w:rPr>
                <w:iCs/>
                <w:snapToGrid w:val="0"/>
              </w:rPr>
              <w:t xml:space="preserve"> s. 34</w:t>
            </w:r>
          </w:p>
        </w:tc>
        <w:tc>
          <w:tcPr>
            <w:tcW w:w="1133" w:type="dxa"/>
            <w:gridSpan w:val="2"/>
          </w:tcPr>
          <w:p>
            <w:pPr>
              <w:pStyle w:val="nTable"/>
              <w:spacing w:after="40"/>
            </w:pPr>
            <w:r>
              <w:t>29 of 2008</w:t>
            </w:r>
          </w:p>
        </w:tc>
        <w:tc>
          <w:tcPr>
            <w:tcW w:w="1134" w:type="dxa"/>
            <w:gridSpan w:val="2"/>
          </w:tcPr>
          <w:p>
            <w:pPr>
              <w:pStyle w:val="nTable"/>
              <w:spacing w:after="40"/>
            </w:pPr>
            <w:r>
              <w:t>27 Jun 2008</w:t>
            </w:r>
          </w:p>
        </w:tc>
        <w:tc>
          <w:tcPr>
            <w:tcW w:w="2551"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gridAfter w:val="1"/>
          <w:wAfter w:w="54" w:type="dxa"/>
          <w:cantSplit/>
        </w:trPr>
        <w:tc>
          <w:tcPr>
            <w:tcW w:w="2265" w:type="dxa"/>
            <w:gridSpan w:val="2"/>
          </w:tcPr>
          <w:p>
            <w:pPr>
              <w:pStyle w:val="nTable"/>
              <w:spacing w:after="40"/>
              <w:ind w:right="113"/>
              <w:rPr>
                <w:i/>
              </w:rPr>
            </w:pPr>
            <w:r>
              <w:rPr>
                <w:i/>
                <w:noProof/>
                <w:snapToGrid w:val="0"/>
              </w:rPr>
              <w:t>Food Act 2008</w:t>
            </w:r>
            <w:r>
              <w:rPr>
                <w:iCs/>
                <w:noProof/>
                <w:snapToGrid w:val="0"/>
              </w:rPr>
              <w:t xml:space="preserve"> s. 147</w:t>
            </w:r>
            <w:r>
              <w:rPr>
                <w:iCs/>
                <w:noProof/>
                <w:snapToGrid w:val="0"/>
                <w:vertAlign w:val="superscript"/>
              </w:rPr>
              <w:t> 27</w:t>
            </w:r>
          </w:p>
        </w:tc>
        <w:tc>
          <w:tcPr>
            <w:tcW w:w="1133" w:type="dxa"/>
            <w:gridSpan w:val="2"/>
          </w:tcPr>
          <w:p>
            <w:pPr>
              <w:pStyle w:val="nTable"/>
              <w:spacing w:after="40"/>
            </w:pPr>
            <w:r>
              <w:t>43 of 2008</w:t>
            </w:r>
          </w:p>
        </w:tc>
        <w:tc>
          <w:tcPr>
            <w:tcW w:w="1134" w:type="dxa"/>
            <w:gridSpan w:val="2"/>
          </w:tcPr>
          <w:p>
            <w:pPr>
              <w:pStyle w:val="nTable"/>
              <w:spacing w:after="40"/>
            </w:pPr>
            <w:r>
              <w:t>8 Jul 2008</w:t>
            </w:r>
          </w:p>
        </w:tc>
        <w:tc>
          <w:tcPr>
            <w:tcW w:w="2551" w:type="dxa"/>
            <w:gridSpan w:val="2"/>
          </w:tcPr>
          <w:p>
            <w:pPr>
              <w:pStyle w:val="nTable"/>
              <w:spacing w:after="40"/>
            </w:pPr>
            <w:r>
              <w:t xml:space="preserve">24 Oct 2009 (see s. 2(1)(b) and (2) and </w:t>
            </w:r>
            <w:r>
              <w:rPr>
                <w:i/>
                <w:iCs/>
              </w:rPr>
              <w:t xml:space="preserve">Gazette </w:t>
            </w:r>
            <w:r>
              <w:t>23 Oct 2009 p. 4157)</w:t>
            </w:r>
          </w:p>
        </w:tc>
      </w:tr>
      <w:tr>
        <w:trPr>
          <w:gridAfter w:val="1"/>
          <w:wAfter w:w="54" w:type="dxa"/>
          <w:cantSplit/>
        </w:trPr>
        <w:tc>
          <w:tcPr>
            <w:tcW w:w="2265" w:type="dxa"/>
            <w:gridSpan w:val="2"/>
          </w:tcPr>
          <w:p>
            <w:pPr>
              <w:pStyle w:val="nTable"/>
              <w:spacing w:after="40"/>
              <w:ind w:right="113"/>
              <w:rPr>
                <w:iCs/>
              </w:rPr>
            </w:pPr>
            <w:r>
              <w:rPr>
                <w:i/>
              </w:rPr>
              <w:t>Statutes (Repeals and Miscellaneous Amendments) Act 2009</w:t>
            </w:r>
            <w:r>
              <w:rPr>
                <w:iCs/>
              </w:rPr>
              <w:t xml:space="preserve"> s. 71</w:t>
            </w:r>
          </w:p>
        </w:tc>
        <w:tc>
          <w:tcPr>
            <w:tcW w:w="1133"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54" w:type="dxa"/>
          <w:cantSplit/>
        </w:trPr>
        <w:tc>
          <w:tcPr>
            <w:tcW w:w="7083" w:type="dxa"/>
            <w:gridSpan w:val="8"/>
          </w:tcPr>
          <w:p>
            <w:pPr>
              <w:pStyle w:val="nTable"/>
              <w:spacing w:after="40"/>
            </w:pPr>
            <w:r>
              <w:rPr>
                <w:b/>
              </w:rPr>
              <w:t xml:space="preserve">Reprint 15: The </w:t>
            </w:r>
            <w:r>
              <w:rPr>
                <w:b/>
                <w:i/>
              </w:rPr>
              <w:t>Health Act 1911</w:t>
            </w:r>
            <w:r>
              <w:rPr>
                <w:b/>
              </w:rPr>
              <w:t xml:space="preserve"> as at 20 Nov 2009 </w:t>
            </w:r>
            <w:r>
              <w:t xml:space="preserve">(includes amendments listed above) (correction by </w:t>
            </w:r>
            <w:r>
              <w:rPr>
                <w:i/>
                <w:iCs/>
              </w:rPr>
              <w:t xml:space="preserve">Gazette </w:t>
            </w:r>
            <w:r>
              <w:t>14 Dec 2010 p. 6301)</w:t>
            </w:r>
          </w:p>
        </w:tc>
      </w:tr>
      <w:tr>
        <w:trPr>
          <w:gridAfter w:val="1"/>
          <w:wAfter w:w="54" w:type="dxa"/>
          <w:cantSplit/>
        </w:trPr>
        <w:tc>
          <w:tcPr>
            <w:tcW w:w="2265" w:type="dxa"/>
            <w:gridSpan w:val="2"/>
          </w:tcPr>
          <w:p>
            <w:pPr>
              <w:pStyle w:val="nTable"/>
              <w:spacing w:after="40"/>
              <w:ind w:right="113"/>
              <w:rPr>
                <w:iCs/>
              </w:rPr>
            </w:pPr>
            <w:r>
              <w:rPr>
                <w:i/>
                <w:snapToGrid w:val="0"/>
              </w:rPr>
              <w:t xml:space="preserve">Health Practitioner Regulation National Law (WA) Act 2010 </w:t>
            </w:r>
            <w:r>
              <w:rPr>
                <w:iCs/>
                <w:snapToGrid w:val="0"/>
              </w:rPr>
              <w:t>Pt. 5 Div. 22</w:t>
            </w:r>
          </w:p>
        </w:tc>
        <w:tc>
          <w:tcPr>
            <w:tcW w:w="1133"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After w:val="1"/>
          <w:wAfter w:w="54" w:type="dxa"/>
          <w:cantSplit/>
        </w:trPr>
        <w:tc>
          <w:tcPr>
            <w:tcW w:w="2265" w:type="dxa"/>
            <w:gridSpan w:val="2"/>
          </w:tcPr>
          <w:p>
            <w:pPr>
              <w:pStyle w:val="nTable"/>
              <w:spacing w:after="40"/>
              <w:ind w:right="113"/>
              <w:rPr>
                <w:i/>
                <w:snapToGrid w:val="0"/>
              </w:rPr>
            </w:pPr>
            <w:r>
              <w:rPr>
                <w:i/>
                <w:snapToGrid w:val="0"/>
              </w:rPr>
              <w:t>Building Act 2011</w:t>
            </w:r>
            <w:r>
              <w:rPr>
                <w:snapToGrid w:val="0"/>
              </w:rPr>
              <w:t xml:space="preserve"> s. 161</w:t>
            </w:r>
          </w:p>
        </w:tc>
        <w:tc>
          <w:tcPr>
            <w:tcW w:w="1133"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54" w:type="dxa"/>
          <w:cantSplit/>
        </w:trPr>
        <w:tc>
          <w:tcPr>
            <w:tcW w:w="2265"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6</w:t>
            </w:r>
          </w:p>
        </w:tc>
        <w:tc>
          <w:tcPr>
            <w:tcW w:w="1133" w:type="dxa"/>
            <w:gridSpan w:val="2"/>
          </w:tcPr>
          <w:p>
            <w:pPr>
              <w:pStyle w:val="nTable"/>
              <w:spacing w:after="40"/>
              <w:rPr>
                <w:snapToGrid w:val="0"/>
              </w:rPr>
            </w:pPr>
            <w:r>
              <w:rPr>
                <w:snapToGrid w:val="0"/>
              </w:rPr>
              <w:t>11 of 2012</w:t>
            </w:r>
          </w:p>
        </w:tc>
        <w:tc>
          <w:tcPr>
            <w:tcW w:w="1134" w:type="dxa"/>
            <w:gridSpan w:val="2"/>
          </w:tcPr>
          <w:p>
            <w:pPr>
              <w:pStyle w:val="nTable"/>
              <w:spacing w:after="40"/>
              <w:rPr>
                <w:snapToGrid w:val="0"/>
              </w:rPr>
            </w:pPr>
            <w:r>
              <w:t>20 Jun 2012</w:t>
            </w:r>
          </w:p>
        </w:tc>
        <w:tc>
          <w:tcPr>
            <w:tcW w:w="2551"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gridAfter w:val="1"/>
          <w:wAfter w:w="54" w:type="dxa"/>
          <w:cantSplit/>
        </w:trPr>
        <w:tc>
          <w:tcPr>
            <w:tcW w:w="2265" w:type="dxa"/>
            <w:gridSpan w:val="2"/>
          </w:tcPr>
          <w:p>
            <w:pPr>
              <w:pStyle w:val="nTable"/>
              <w:spacing w:after="40"/>
              <w:ind w:right="113"/>
              <w:rPr>
                <w:i/>
                <w:snapToGrid w:val="0"/>
              </w:rPr>
            </w:pPr>
            <w:r>
              <w:rPr>
                <w:i/>
                <w:snapToGrid w:val="0"/>
              </w:rPr>
              <w:t>Commercial Arbitration Act 2012</w:t>
            </w:r>
            <w:r>
              <w:rPr>
                <w:snapToGrid w:val="0"/>
              </w:rPr>
              <w:t xml:space="preserve"> s. 45 it. 9</w:t>
            </w:r>
          </w:p>
        </w:tc>
        <w:tc>
          <w:tcPr>
            <w:tcW w:w="1133" w:type="dxa"/>
            <w:gridSpan w:val="2"/>
          </w:tcPr>
          <w:p>
            <w:pPr>
              <w:pStyle w:val="nTable"/>
              <w:spacing w:after="40"/>
              <w:rPr>
                <w:snapToGrid w:val="0"/>
              </w:rPr>
            </w:pPr>
            <w:r>
              <w:rPr>
                <w:snapToGrid w:val="0"/>
              </w:rPr>
              <w:t>23 of 2012</w:t>
            </w:r>
          </w:p>
        </w:tc>
        <w:tc>
          <w:tcPr>
            <w:tcW w:w="1134" w:type="dxa"/>
            <w:gridSpan w:val="2"/>
          </w:tcPr>
          <w:p>
            <w:pPr>
              <w:pStyle w:val="nTable"/>
              <w:spacing w:after="40"/>
            </w:pPr>
            <w:r>
              <w:rPr>
                <w:snapToGrid w:val="0"/>
              </w:rPr>
              <w:t>29 Aug 2012</w:t>
            </w:r>
          </w:p>
        </w:tc>
        <w:tc>
          <w:tcPr>
            <w:tcW w:w="2551" w:type="dxa"/>
            <w:gridSpan w:val="2"/>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54" w:type="dxa"/>
          <w:cantSplit/>
        </w:trPr>
        <w:tc>
          <w:tcPr>
            <w:tcW w:w="2265" w:type="dxa"/>
            <w:gridSpan w:val="2"/>
          </w:tcPr>
          <w:p>
            <w:pPr>
              <w:pStyle w:val="nTable"/>
              <w:spacing w:after="40"/>
              <w:ind w:right="113"/>
              <w:rPr>
                <w:i/>
                <w:snapToGrid w:val="0"/>
              </w:rPr>
            </w:pPr>
            <w:r>
              <w:rPr>
                <w:i/>
                <w:snapToGrid w:val="0"/>
              </w:rPr>
              <w:t>Water Services Legislation Amendment and Repeal Act 2012</w:t>
            </w:r>
            <w:r>
              <w:rPr>
                <w:snapToGrid w:val="0"/>
              </w:rPr>
              <w:t xml:space="preserve"> s. 216</w:t>
            </w:r>
          </w:p>
        </w:tc>
        <w:tc>
          <w:tcPr>
            <w:tcW w:w="1133" w:type="dxa"/>
            <w:gridSpan w:val="2"/>
          </w:tcPr>
          <w:p>
            <w:pPr>
              <w:pStyle w:val="nTable"/>
              <w:spacing w:after="40"/>
              <w:rPr>
                <w:snapToGrid w:val="0"/>
              </w:rPr>
            </w:pPr>
            <w:r>
              <w:rPr>
                <w:snapToGrid w:val="0"/>
              </w:rPr>
              <w:t>25 of 2012</w:t>
            </w:r>
          </w:p>
        </w:tc>
        <w:tc>
          <w:tcPr>
            <w:tcW w:w="1134" w:type="dxa"/>
            <w:gridSpan w:val="2"/>
          </w:tcPr>
          <w:p>
            <w:pPr>
              <w:pStyle w:val="nTable"/>
              <w:spacing w:after="40"/>
              <w:rPr>
                <w:snapToGrid w:val="0"/>
              </w:rPr>
            </w:pPr>
            <w:r>
              <w:rPr>
                <w:snapToGrid w:val="0"/>
              </w:rPr>
              <w:t>3 Sep 2012</w:t>
            </w:r>
          </w:p>
        </w:tc>
        <w:tc>
          <w:tcPr>
            <w:tcW w:w="2551" w:type="dxa"/>
            <w:gridSpan w:val="2"/>
          </w:tcPr>
          <w:p>
            <w:pPr>
              <w:pStyle w:val="nTable"/>
              <w:keepLines/>
              <w:tabs>
                <w:tab w:val="left" w:pos="893"/>
              </w:tabs>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54" w:type="dxa"/>
          <w:cantSplit/>
        </w:trPr>
        <w:tc>
          <w:tcPr>
            <w:tcW w:w="7083" w:type="dxa"/>
            <w:gridSpan w:val="8"/>
            <w:shd w:val="clear" w:color="auto" w:fill="auto"/>
          </w:tcPr>
          <w:p>
            <w:pPr>
              <w:pStyle w:val="nTable"/>
              <w:tabs>
                <w:tab w:val="left" w:pos="893"/>
              </w:tabs>
              <w:spacing w:after="40"/>
              <w:rPr>
                <w:snapToGrid w:val="0"/>
              </w:rPr>
            </w:pPr>
            <w:r>
              <w:rPr>
                <w:b/>
              </w:rPr>
              <w:t xml:space="preserve">Reprint 16:  The </w:t>
            </w:r>
            <w:r>
              <w:rPr>
                <w:b/>
                <w:i/>
              </w:rPr>
              <w:t>Health Act 1911</w:t>
            </w:r>
            <w:r>
              <w:rPr>
                <w:b/>
              </w:rPr>
              <w:t xml:space="preserve"> as at 6 Dec 2013 </w:t>
            </w:r>
            <w:r>
              <w:t>(includes amendments listed above)</w:t>
            </w:r>
          </w:p>
        </w:tc>
      </w:tr>
      <w:tr>
        <w:tblPrEx>
          <w:tblBorders>
            <w:top w:val="single" w:sz="8" w:space="0" w:color="auto"/>
            <w:bottom w:val="single" w:sz="8" w:space="0" w:color="auto"/>
            <w:insideH w:val="single" w:sz="8" w:space="0" w:color="auto"/>
          </w:tblBorders>
        </w:tblPrEx>
        <w:trPr>
          <w:gridAfter w:val="1"/>
          <w:wAfter w:w="54" w:type="dxa"/>
        </w:trPr>
        <w:tc>
          <w:tcPr>
            <w:tcW w:w="2265" w:type="dxa"/>
            <w:gridSpan w:val="2"/>
            <w:tcBorders>
              <w:top w:val="nil"/>
              <w:bottom w:val="nil"/>
            </w:tcBorders>
          </w:tcPr>
          <w:p>
            <w:pPr>
              <w:pStyle w:val="nTable"/>
              <w:spacing w:after="40"/>
              <w:rPr>
                <w:vertAlign w:val="superscript"/>
              </w:rPr>
            </w:pPr>
            <w:r>
              <w:rPr>
                <w:i/>
                <w:noProof/>
                <w:snapToGrid w:val="0"/>
              </w:rPr>
              <w:t>Medicines and Poisons Act 2014</w:t>
            </w:r>
            <w:r>
              <w:rPr>
                <w:noProof/>
                <w:snapToGrid w:val="0"/>
              </w:rPr>
              <w:t xml:space="preserve"> Pt. 11 Div. 1</w:t>
            </w:r>
          </w:p>
        </w:tc>
        <w:tc>
          <w:tcPr>
            <w:tcW w:w="1133" w:type="dxa"/>
            <w:gridSpan w:val="2"/>
            <w:tcBorders>
              <w:top w:val="nil"/>
              <w:bottom w:val="nil"/>
            </w:tcBorders>
          </w:tcPr>
          <w:p>
            <w:pPr>
              <w:pStyle w:val="nTable"/>
              <w:spacing w:after="40"/>
            </w:pPr>
            <w:r>
              <w:t>13 of 2014</w:t>
            </w:r>
          </w:p>
        </w:tc>
        <w:tc>
          <w:tcPr>
            <w:tcW w:w="1134" w:type="dxa"/>
            <w:gridSpan w:val="2"/>
            <w:tcBorders>
              <w:top w:val="nil"/>
              <w:bottom w:val="nil"/>
            </w:tcBorders>
          </w:tcPr>
          <w:p>
            <w:pPr>
              <w:pStyle w:val="nTable"/>
              <w:spacing w:after="40"/>
            </w:pPr>
            <w:r>
              <w:t>2 Jul 2014</w:t>
            </w:r>
          </w:p>
        </w:tc>
        <w:tc>
          <w:tcPr>
            <w:tcW w:w="2551" w:type="dxa"/>
            <w:gridSpan w:val="2"/>
            <w:tcBorders>
              <w:top w:val="nil"/>
              <w:bottom w:val="nil"/>
            </w:tcBorders>
          </w:tcPr>
          <w:p>
            <w:pPr>
              <w:pStyle w:val="nTable"/>
              <w:spacing w:after="40"/>
              <w:rPr>
                <w:snapToGrid w:val="0"/>
              </w:rPr>
            </w:pPr>
            <w:r>
              <w:t xml:space="preserve">30 Jan 2017 (see s. 2(b) and </w:t>
            </w:r>
            <w:r>
              <w:rPr>
                <w:i/>
              </w:rPr>
              <w:t>Gazette</w:t>
            </w:r>
            <w:r>
              <w:t xml:space="preserve"> 17 Jan 2017 p. 403)</w:t>
            </w:r>
          </w:p>
        </w:tc>
      </w:tr>
      <w:tr>
        <w:trPr>
          <w:gridAfter w:val="1"/>
          <w:wAfter w:w="54" w:type="dxa"/>
          <w:cantSplit/>
        </w:trPr>
        <w:tc>
          <w:tcPr>
            <w:tcW w:w="2265" w:type="dxa"/>
            <w:gridSpan w:val="2"/>
          </w:tcPr>
          <w:p>
            <w:pPr>
              <w:pStyle w:val="nTable"/>
              <w:spacing w:after="40"/>
              <w:ind w:right="113"/>
              <w:rPr>
                <w:i/>
                <w:snapToGrid w:val="0"/>
              </w:rPr>
            </w:pPr>
            <w:r>
              <w:rPr>
                <w:i/>
                <w:snapToGrid w:val="0"/>
              </w:rPr>
              <w:t>Statutes (Repeals and Minor Amendments) Act 2014</w:t>
            </w:r>
            <w:r>
              <w:rPr>
                <w:snapToGrid w:val="0"/>
              </w:rPr>
              <w:t xml:space="preserve"> s. 23</w:t>
            </w:r>
          </w:p>
        </w:tc>
        <w:tc>
          <w:tcPr>
            <w:tcW w:w="1133" w:type="dxa"/>
            <w:gridSpan w:val="2"/>
          </w:tcPr>
          <w:p>
            <w:pPr>
              <w:pStyle w:val="nTable"/>
              <w:spacing w:after="40"/>
              <w:rPr>
                <w:snapToGrid w:val="0"/>
              </w:rPr>
            </w:pPr>
            <w:r>
              <w:rPr>
                <w:snapToGrid w:val="0"/>
              </w:rPr>
              <w:t>17 of 2014</w:t>
            </w:r>
          </w:p>
        </w:tc>
        <w:tc>
          <w:tcPr>
            <w:tcW w:w="1134" w:type="dxa"/>
            <w:gridSpan w:val="2"/>
          </w:tcPr>
          <w:p>
            <w:pPr>
              <w:pStyle w:val="nTable"/>
              <w:spacing w:after="40"/>
              <w:rPr>
                <w:snapToGrid w:val="0"/>
              </w:rPr>
            </w:pPr>
            <w:r>
              <w:rPr>
                <w:snapToGrid w:val="0"/>
              </w:rPr>
              <w:t>2 Jul 2014</w:t>
            </w:r>
          </w:p>
        </w:tc>
        <w:tc>
          <w:tcPr>
            <w:tcW w:w="2551" w:type="dxa"/>
            <w:gridSpan w:val="2"/>
          </w:tcPr>
          <w:p>
            <w:pPr>
              <w:pStyle w:val="nTable"/>
              <w:keepLines/>
              <w:tabs>
                <w:tab w:val="left" w:pos="893"/>
              </w:tabs>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54" w:type="dxa"/>
          <w:cantSplit/>
        </w:trPr>
        <w:tc>
          <w:tcPr>
            <w:tcW w:w="2265" w:type="dxa"/>
            <w:gridSpan w:val="2"/>
          </w:tcPr>
          <w:p>
            <w:pPr>
              <w:pStyle w:val="nTable"/>
              <w:spacing w:after="40"/>
              <w:ind w:right="113"/>
              <w:rPr>
                <w:i/>
                <w:snapToGrid w:val="0"/>
              </w:rPr>
            </w:pPr>
            <w:r>
              <w:rPr>
                <w:i/>
                <w:snapToGrid w:val="0"/>
              </w:rPr>
              <w:lastRenderedPageBreak/>
              <w:t>Health Services Act 2016</w:t>
            </w:r>
            <w:r>
              <w:rPr>
                <w:snapToGrid w:val="0"/>
              </w:rPr>
              <w:t xml:space="preserve"> s. 291</w:t>
            </w:r>
          </w:p>
        </w:tc>
        <w:tc>
          <w:tcPr>
            <w:tcW w:w="1133" w:type="dxa"/>
            <w:gridSpan w:val="2"/>
          </w:tcPr>
          <w:p>
            <w:pPr>
              <w:pStyle w:val="nTable"/>
              <w:spacing w:after="40"/>
              <w:rPr>
                <w:snapToGrid w:val="0"/>
              </w:rPr>
            </w:pPr>
            <w:r>
              <w:t>11 of 2016</w:t>
            </w:r>
          </w:p>
        </w:tc>
        <w:tc>
          <w:tcPr>
            <w:tcW w:w="1134" w:type="dxa"/>
            <w:gridSpan w:val="2"/>
          </w:tcPr>
          <w:p>
            <w:pPr>
              <w:pStyle w:val="nTable"/>
              <w:spacing w:after="40"/>
              <w:rPr>
                <w:snapToGrid w:val="0"/>
              </w:rPr>
            </w:pPr>
            <w:r>
              <w:t>26 May 2016</w:t>
            </w:r>
          </w:p>
        </w:tc>
        <w:tc>
          <w:tcPr>
            <w:tcW w:w="2551" w:type="dxa"/>
            <w:gridSpan w:val="2"/>
          </w:tcPr>
          <w:p>
            <w:pPr>
              <w:pStyle w:val="nTable"/>
              <w:keepLines/>
              <w:tabs>
                <w:tab w:val="left" w:pos="893"/>
              </w:tabs>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nil"/>
            </w:tcBorders>
          </w:tcPr>
          <w:p>
            <w:pPr>
              <w:pStyle w:val="nTable"/>
              <w:spacing w:after="40"/>
              <w:rPr>
                <w:noProof/>
                <w:snapToGrid w:val="0"/>
              </w:rPr>
            </w:pPr>
            <w:r>
              <w:rPr>
                <w:i/>
              </w:rPr>
              <w:t>Public Health (Consequential Provisions) Act 2016</w:t>
            </w:r>
            <w:r>
              <w:t xml:space="preserve"> Pt. 2, Pt. 4 Div. 1, Div. 2 (s. 207), Div. 3 (s. 212 and 213), Div. 10 (s. 240, 242 and 243), Div. 12</w:t>
            </w:r>
            <w:r>
              <w:noBreakHyphen/>
              <w:t>15 and Div. 16 (s. 272, 274 and 276)</w:t>
            </w:r>
          </w:p>
        </w:tc>
        <w:tc>
          <w:tcPr>
            <w:tcW w:w="1133" w:type="dxa"/>
            <w:gridSpan w:val="2"/>
            <w:tcBorders>
              <w:top w:val="nil"/>
              <w:bottom w:val="nil"/>
            </w:tcBorders>
          </w:tcPr>
          <w:p>
            <w:pPr>
              <w:pStyle w:val="nTable"/>
              <w:spacing w:after="40"/>
            </w:pPr>
            <w:r>
              <w:t>19 of 2016</w:t>
            </w:r>
          </w:p>
        </w:tc>
        <w:tc>
          <w:tcPr>
            <w:tcW w:w="1133" w:type="dxa"/>
            <w:gridSpan w:val="2"/>
            <w:tcBorders>
              <w:top w:val="nil"/>
              <w:bottom w:val="nil"/>
            </w:tcBorders>
          </w:tcPr>
          <w:p>
            <w:pPr>
              <w:pStyle w:val="nTable"/>
              <w:spacing w:after="40"/>
            </w:pPr>
            <w:r>
              <w:t>25 Jul 2016</w:t>
            </w:r>
          </w:p>
        </w:tc>
        <w:tc>
          <w:tcPr>
            <w:tcW w:w="2555" w:type="dxa"/>
            <w:gridSpan w:val="2"/>
            <w:tcBorders>
              <w:top w:val="nil"/>
              <w:bottom w:val="nil"/>
            </w:tcBorders>
          </w:tcPr>
          <w:p>
            <w:pPr>
              <w:pStyle w:val="nTable"/>
              <w:spacing w:after="40"/>
              <w:rPr>
                <w:snapToGrid w:val="0"/>
              </w:rPr>
            </w:pPr>
            <w:r>
              <w:rPr>
                <w:snapToGrid w:val="0"/>
              </w:rPr>
              <w:t xml:space="preserve">Pt. 2: 24 Jan 2017 (see s. 2(1)(b) and </w:t>
            </w:r>
            <w:r>
              <w:rPr>
                <w:i/>
                <w:snapToGrid w:val="0"/>
              </w:rPr>
              <w:t xml:space="preserve">Gazette </w:t>
            </w:r>
            <w:r>
              <w:rPr>
                <w:snapToGrid w:val="0"/>
              </w:rPr>
              <w:t>10 Jan 2017 p. 165);</w:t>
            </w:r>
            <w:r>
              <w:rPr>
                <w:snapToGrid w:val="0"/>
              </w:rPr>
              <w:br/>
            </w:r>
            <w:r>
              <w:t>Pt. 4 Div. 1, Div. 2 (s. 207), Div. 3 (s. 212 and 213), Div. 10 (s. 240, 242 and 243), Div. 12</w:t>
            </w:r>
            <w:r>
              <w:noBreakHyphen/>
              <w:t xml:space="preserve">14 and Div. 16 (s. 272 and 274): </w:t>
            </w:r>
            <w:r>
              <w:rPr>
                <w:snapToGrid w:val="0"/>
              </w:rPr>
              <w:t xml:space="preserve">20 Sep 2017 (see s. 2(1)(c) and </w:t>
            </w:r>
            <w:r>
              <w:rPr>
                <w:i/>
                <w:snapToGrid w:val="0"/>
              </w:rPr>
              <w:t>Gazette</w:t>
            </w:r>
            <w:r>
              <w:rPr>
                <w:snapToGrid w:val="0"/>
              </w:rPr>
              <w:t xml:space="preserve"> 19 Sep 2017 p. 4880);</w:t>
            </w:r>
            <w:r>
              <w:rPr>
                <w:snapToGrid w:val="0"/>
              </w:rPr>
              <w:br/>
              <w:t xml:space="preserve">Pt. 4 Div. 15 and s. 276: 12 Jan 2019 (see s. 2(1)(c) and </w:t>
            </w:r>
            <w:r>
              <w:rPr>
                <w:i/>
                <w:snapToGrid w:val="0"/>
              </w:rPr>
              <w:t>Gazette</w:t>
            </w:r>
            <w:r>
              <w:rPr>
                <w:snapToGrid w:val="0"/>
              </w:rPr>
              <w:t xml:space="preserve"> 11 Jan 2019 p. 23)</w:t>
            </w:r>
          </w:p>
        </w:tc>
      </w:tr>
      <w:tr>
        <w:tblPrEx>
          <w:tblBorders>
            <w:top w:val="single" w:sz="8" w:space="0" w:color="auto"/>
            <w:bottom w:val="single" w:sz="8" w:space="0" w:color="auto"/>
            <w:insideH w:val="single" w:sz="8" w:space="0" w:color="auto"/>
          </w:tblBorders>
        </w:tblPrEx>
        <w:trPr>
          <w:gridBefore w:val="1"/>
          <w:wBefore w:w="50" w:type="dxa"/>
          <w:cantSplit/>
        </w:trPr>
        <w:tc>
          <w:tcPr>
            <w:tcW w:w="7087" w:type="dxa"/>
            <w:gridSpan w:val="8"/>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Health (Miscellaneous Provisions) Act 1911</w:t>
            </w:r>
            <w:r>
              <w:rPr>
                <w:b/>
                <w:snapToGrid w:val="0"/>
              </w:rPr>
              <w:t xml:space="preserve"> as at 15 Dec 2017</w:t>
            </w:r>
            <w:r>
              <w:rPr>
                <w:snapToGrid w:val="0"/>
              </w:rPr>
              <w:t xml:space="preserve"> (includes amendments listed above except those listed in the </w:t>
            </w:r>
            <w:r>
              <w:rPr>
                <w:i/>
                <w:snapToGrid w:val="0"/>
              </w:rPr>
              <w:t>Public Health (Consequential Provisions) Act 2016</w:t>
            </w:r>
            <w:r>
              <w:rPr>
                <w:snapToGrid w:val="0"/>
              </w:rPr>
              <w:t xml:space="preserve"> Pt. 4 Div. 15 and s. 276)</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nil"/>
            </w:tcBorders>
          </w:tcPr>
          <w:p>
            <w:pPr>
              <w:pStyle w:val="nTable"/>
              <w:spacing w:after="40"/>
              <w:rPr>
                <w:noProof/>
                <w:snapToGrid w:val="0"/>
              </w:rPr>
            </w:pPr>
            <w:r>
              <w:rPr>
                <w:i/>
              </w:rPr>
              <w:t>Health Practitioner Regulation National Law (WA) Amendment Act 2018</w:t>
            </w:r>
            <w:r>
              <w:t xml:space="preserve"> s. 111</w:t>
            </w:r>
          </w:p>
        </w:tc>
        <w:tc>
          <w:tcPr>
            <w:tcW w:w="1133" w:type="dxa"/>
            <w:gridSpan w:val="2"/>
            <w:tcBorders>
              <w:top w:val="nil"/>
              <w:bottom w:val="nil"/>
            </w:tcBorders>
          </w:tcPr>
          <w:p>
            <w:pPr>
              <w:pStyle w:val="nTable"/>
              <w:spacing w:after="40"/>
            </w:pPr>
            <w:r>
              <w:t>4 of 2018</w:t>
            </w:r>
          </w:p>
        </w:tc>
        <w:tc>
          <w:tcPr>
            <w:tcW w:w="1133" w:type="dxa"/>
            <w:gridSpan w:val="2"/>
            <w:tcBorders>
              <w:top w:val="nil"/>
              <w:bottom w:val="nil"/>
            </w:tcBorders>
          </w:tcPr>
          <w:p>
            <w:pPr>
              <w:pStyle w:val="nTable"/>
              <w:spacing w:after="40"/>
            </w:pPr>
            <w:r>
              <w:t>19 Apr 2018</w:t>
            </w:r>
          </w:p>
        </w:tc>
        <w:tc>
          <w:tcPr>
            <w:tcW w:w="2555" w:type="dxa"/>
            <w:gridSpan w:val="2"/>
            <w:tcBorders>
              <w:top w:val="nil"/>
              <w:bottom w:val="nil"/>
            </w:tcBorders>
          </w:tcPr>
          <w:p>
            <w:pPr>
              <w:pStyle w:val="nTable"/>
              <w:spacing w:after="40"/>
              <w:rPr>
                <w:snapToGrid w:val="0"/>
              </w:rPr>
            </w:pPr>
            <w:r>
              <w:t xml:space="preserve">1 Dec 2018 (see s. 2(d) and </w:t>
            </w:r>
            <w:r>
              <w:rPr>
                <w:i/>
              </w:rPr>
              <w:t>Gazette</w:t>
            </w:r>
            <w:r>
              <w:t xml:space="preserve"> 13 Nov 2018 p. 4427</w:t>
            </w:r>
            <w:r>
              <w:noBreakHyphen/>
              <w:t>8)</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single" w:sz="4" w:space="0" w:color="auto"/>
            </w:tcBorders>
          </w:tcPr>
          <w:p>
            <w:pPr>
              <w:pStyle w:val="nTable"/>
              <w:spacing w:after="40"/>
              <w:rPr>
                <w:i/>
              </w:rPr>
            </w:pPr>
            <w:r>
              <w:rPr>
                <w:i/>
              </w:rPr>
              <w:t xml:space="preserve">Work Health and Safety Act 2020 </w:t>
            </w:r>
            <w:r>
              <w:t>Pt. 15 Div. 4 Subdiv. 4</w:t>
            </w:r>
          </w:p>
        </w:tc>
        <w:tc>
          <w:tcPr>
            <w:tcW w:w="1133" w:type="dxa"/>
            <w:gridSpan w:val="2"/>
            <w:tcBorders>
              <w:top w:val="nil"/>
              <w:bottom w:val="single" w:sz="4" w:space="0" w:color="auto"/>
            </w:tcBorders>
          </w:tcPr>
          <w:p>
            <w:pPr>
              <w:pStyle w:val="nTable"/>
              <w:spacing w:after="40"/>
            </w:pPr>
            <w:r>
              <w:t>36 of 2020</w:t>
            </w:r>
          </w:p>
        </w:tc>
        <w:tc>
          <w:tcPr>
            <w:tcW w:w="1133" w:type="dxa"/>
            <w:gridSpan w:val="2"/>
            <w:tcBorders>
              <w:top w:val="nil"/>
              <w:bottom w:val="single" w:sz="4" w:space="0" w:color="auto"/>
            </w:tcBorders>
          </w:tcPr>
          <w:p>
            <w:pPr>
              <w:pStyle w:val="nTable"/>
              <w:spacing w:after="40"/>
            </w:pPr>
            <w:r>
              <w:t>10 Nov 2020</w:t>
            </w:r>
          </w:p>
        </w:tc>
        <w:tc>
          <w:tcPr>
            <w:tcW w:w="2555" w:type="dxa"/>
            <w:gridSpan w:val="2"/>
            <w:tcBorders>
              <w:top w:val="nil"/>
              <w:bottom w:val="single" w:sz="4" w:space="0" w:color="auto"/>
            </w:tcBorders>
          </w:tcPr>
          <w:p>
            <w:pPr>
              <w:pStyle w:val="nTable"/>
              <w:spacing w:after="40"/>
            </w:pPr>
            <w:r>
              <w:rPr>
                <w:snapToGrid w:val="0"/>
              </w:rPr>
              <w:t xml:space="preserve">31 Mar 2022 (see s. 2(1)(c) </w:t>
            </w:r>
            <w:r>
              <w:t>and SL 2022/18 cl. 2</w:t>
            </w:r>
            <w:r>
              <w:rPr>
                <w:snapToGrid w:val="0"/>
              </w:rPr>
              <w:t>)</w:t>
            </w:r>
          </w:p>
        </w:tc>
      </w:tr>
    </w:tbl>
    <w:p>
      <w:pPr>
        <w:pStyle w:val="nHeading3"/>
      </w:pPr>
      <w:bookmarkStart w:id="422" w:name="_Toc98768108"/>
      <w:r>
        <w:t>Uncommenced provisions table</w:t>
      </w:r>
      <w:bookmarkEnd w:id="422"/>
    </w:p>
    <w:p>
      <w:pPr>
        <w:pStyle w:val="nStatement"/>
        <w:keepNext/>
        <w:spacing w:after="240"/>
      </w:pPr>
      <w:r>
        <w:t xml:space="preserve">To view the text of the uncommenced provisions see </w:t>
      </w:r>
      <w:r>
        <w:rPr>
          <w:i/>
        </w:rPr>
        <w:t>Acts as passed</w:t>
      </w:r>
      <w:r>
        <w:t xml:space="preserve"> on the WA Legislation website.</w:t>
      </w:r>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87"/>
      </w:tblGrid>
      <w:tr>
        <w:tc>
          <w:tcPr>
            <w:tcW w:w="2268" w:type="dxa"/>
            <w:tcBorders>
              <w:bottom w:val="single" w:sz="8" w:space="0" w:color="auto"/>
            </w:tcBorders>
          </w:tcPr>
          <w:p>
            <w:pPr>
              <w:pStyle w:val="nTable"/>
              <w:keepNext/>
              <w:spacing w:after="40"/>
              <w:rPr>
                <w:b/>
                <w:snapToGrid w:val="0"/>
              </w:rPr>
            </w:pPr>
            <w:r>
              <w:rPr>
                <w:b/>
                <w:snapToGrid w:val="0"/>
              </w:rPr>
              <w:t>Short title</w:t>
            </w:r>
          </w:p>
        </w:tc>
        <w:tc>
          <w:tcPr>
            <w:tcW w:w="1134" w:type="dxa"/>
            <w:tcBorders>
              <w:bottom w:val="single" w:sz="8" w:space="0" w:color="auto"/>
            </w:tcBorders>
          </w:tcPr>
          <w:p>
            <w:pPr>
              <w:pStyle w:val="nTable"/>
              <w:keepNext/>
              <w:spacing w:after="40"/>
              <w:rPr>
                <w:b/>
                <w:snapToGrid w:val="0"/>
              </w:rPr>
            </w:pPr>
            <w:r>
              <w:rPr>
                <w:b/>
                <w:snapToGrid w:val="0"/>
              </w:rPr>
              <w:t>Number and year</w:t>
            </w:r>
          </w:p>
        </w:tc>
        <w:tc>
          <w:tcPr>
            <w:tcW w:w="1134" w:type="dxa"/>
            <w:tcBorders>
              <w:bottom w:val="single" w:sz="8" w:space="0" w:color="auto"/>
            </w:tcBorders>
          </w:tcPr>
          <w:p>
            <w:pPr>
              <w:pStyle w:val="nTable"/>
              <w:keepNext/>
              <w:spacing w:after="40"/>
              <w:rPr>
                <w:b/>
                <w:snapToGrid w:val="0"/>
              </w:rPr>
            </w:pPr>
            <w:r>
              <w:rPr>
                <w:b/>
                <w:snapToGrid w:val="0"/>
              </w:rPr>
              <w:t>Assent</w:t>
            </w:r>
          </w:p>
        </w:tc>
        <w:tc>
          <w:tcPr>
            <w:tcW w:w="2587" w:type="dxa"/>
            <w:tcBorders>
              <w:bottom w:val="single" w:sz="8" w:space="0" w:color="auto"/>
            </w:tcBorders>
          </w:tcPr>
          <w:p>
            <w:pPr>
              <w:pStyle w:val="nTable"/>
              <w:keepNext/>
              <w:spacing w:after="40"/>
              <w:rPr>
                <w:b/>
                <w:snapToGrid w:val="0"/>
              </w:rPr>
            </w:pPr>
            <w:r>
              <w:rPr>
                <w:b/>
                <w:snapToGrid w:val="0"/>
              </w:rPr>
              <w:t>Commencement</w:t>
            </w:r>
          </w:p>
        </w:tc>
      </w:tr>
      <w:tr>
        <w:tc>
          <w:tcPr>
            <w:tcW w:w="2268" w:type="dxa"/>
            <w:tcBorders>
              <w:top w:val="single" w:sz="8" w:space="0" w:color="auto"/>
              <w:bottom w:val="single" w:sz="4" w:space="0" w:color="auto"/>
            </w:tcBorders>
          </w:tcPr>
          <w:p>
            <w:pPr>
              <w:pStyle w:val="nTable"/>
              <w:spacing w:after="40"/>
              <w:rPr>
                <w:noProof/>
                <w:snapToGrid w:val="0"/>
              </w:rPr>
            </w:pPr>
            <w:r>
              <w:rPr>
                <w:i/>
              </w:rPr>
              <w:t>Public Health (Consequential Provisions) Act 2016</w:t>
            </w:r>
            <w:r>
              <w:t xml:space="preserve"> Pt. 4 Div. 2 (s. 208 and 209), Div. 3 (s. 210, 211, 214-222), Div. 4</w:t>
            </w:r>
            <w:r>
              <w:noBreakHyphen/>
              <w:t>9, Div. 10 (s. 239 and 241), Div. 11 and Div. 16 (s. 249</w:t>
            </w:r>
            <w:r>
              <w:noBreakHyphen/>
              <w:t>271, 273 and 275)</w:t>
            </w:r>
          </w:p>
        </w:tc>
        <w:tc>
          <w:tcPr>
            <w:tcW w:w="1134" w:type="dxa"/>
            <w:tcBorders>
              <w:top w:val="single" w:sz="8" w:space="0" w:color="auto"/>
              <w:bottom w:val="single" w:sz="4" w:space="0" w:color="auto"/>
            </w:tcBorders>
          </w:tcPr>
          <w:p>
            <w:pPr>
              <w:pStyle w:val="nTable"/>
              <w:spacing w:after="40"/>
            </w:pPr>
            <w:r>
              <w:t>19 of 2016</w:t>
            </w:r>
          </w:p>
        </w:tc>
        <w:tc>
          <w:tcPr>
            <w:tcW w:w="1134" w:type="dxa"/>
            <w:tcBorders>
              <w:top w:val="single" w:sz="8" w:space="0" w:color="auto"/>
              <w:bottom w:val="single" w:sz="4" w:space="0" w:color="auto"/>
            </w:tcBorders>
          </w:tcPr>
          <w:p>
            <w:pPr>
              <w:pStyle w:val="nTable"/>
              <w:spacing w:after="40"/>
            </w:pPr>
            <w:r>
              <w:t>25 Jul 2016</w:t>
            </w:r>
          </w:p>
        </w:tc>
        <w:tc>
          <w:tcPr>
            <w:tcW w:w="2587" w:type="dxa"/>
            <w:tcBorders>
              <w:top w:val="single" w:sz="8" w:space="0" w:color="auto"/>
              <w:bottom w:val="single" w:sz="4" w:space="0" w:color="auto"/>
            </w:tcBorders>
          </w:tcPr>
          <w:p>
            <w:pPr>
              <w:pStyle w:val="nTable"/>
              <w:spacing w:after="40"/>
              <w:rPr>
                <w:snapToGrid w:val="0"/>
              </w:rPr>
            </w:pPr>
            <w:r>
              <w:rPr>
                <w:snapToGrid w:val="0"/>
              </w:rPr>
              <w:t>To be proclaimed (see s. 2(1)(c))</w:t>
            </w:r>
          </w:p>
        </w:tc>
      </w:tr>
    </w:tbl>
    <w:p>
      <w:pPr>
        <w:pStyle w:val="nHeading3"/>
      </w:pPr>
      <w:bookmarkStart w:id="423" w:name="_Toc98768109"/>
      <w:r>
        <w:lastRenderedPageBreak/>
        <w:t>Other notes</w:t>
      </w:r>
      <w:bookmarkEnd w:id="423"/>
    </w:p>
    <w:p>
      <w:pPr>
        <w:pStyle w:val="nNote"/>
        <w:spacing w:before="160"/>
        <w:rPr>
          <w:snapToGrid w:val="0"/>
        </w:rPr>
      </w:pPr>
      <w:r>
        <w:rPr>
          <w:snapToGrid w:val="0"/>
          <w:vertAlign w:val="superscript"/>
        </w:rPr>
        <w:t>1</w:t>
      </w:r>
      <w:r>
        <w:rPr>
          <w:snapToGrid w:val="0"/>
        </w:rPr>
        <w:tab/>
        <w:t>Footnote no longer applicable.</w:t>
      </w:r>
    </w:p>
    <w:p>
      <w:pPr>
        <w:pStyle w:val="nNote"/>
        <w:spacing w:before="160"/>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Note"/>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Note"/>
        <w:rPr>
          <w:snapToGrid w:val="0"/>
        </w:rPr>
      </w:pPr>
      <w:r>
        <w:rPr>
          <w:snapToGrid w:val="0"/>
          <w:vertAlign w:val="superscript"/>
        </w:rPr>
        <w:t>4</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Note"/>
        <w:ind w:left="482" w:hanging="482"/>
        <w:rPr>
          <w:snapToGrid w:val="0"/>
        </w:rPr>
      </w:pPr>
      <w:r>
        <w:rPr>
          <w:snapToGrid w:val="0"/>
          <w:vertAlign w:val="superscript"/>
        </w:rPr>
        <w:t>5</w:t>
      </w:r>
      <w:r>
        <w:rPr>
          <w:snapToGrid w:val="0"/>
        </w:rPr>
        <w:tab/>
        <w:t xml:space="preserve">Proclamations relating to offensive trades were published by </w:t>
      </w:r>
      <w:r>
        <w:rPr>
          <w:i/>
          <w:snapToGrid w:val="0"/>
        </w:rPr>
        <w:t>Gazette</w:t>
      </w:r>
      <w:r>
        <w:rPr>
          <w:iCs/>
          <w:snapToGrid w:val="0"/>
        </w:rPr>
        <w:t xml:space="preserve"> on</w:t>
      </w:r>
      <w:r>
        <w:rPr>
          <w:i/>
          <w:snapToGrid w:val="0"/>
        </w:rPr>
        <w:t> </w:t>
      </w:r>
      <w:r>
        <w:rPr>
          <w:snapToGrid w:val="0"/>
        </w:rPr>
        <w:t>—</w:t>
      </w:r>
    </w:p>
    <w:p>
      <w:pPr>
        <w:pStyle w:val="nNote"/>
        <w:keepNext/>
        <w:tabs>
          <w:tab w:val="left" w:pos="1134"/>
        </w:tabs>
        <w:spacing w:before="40"/>
        <w:ind w:left="1134" w:hanging="1134"/>
        <w:rPr>
          <w:snapToGrid w:val="0"/>
        </w:rPr>
      </w:pPr>
      <w:r>
        <w:rPr>
          <w:snapToGrid w:val="0"/>
        </w:rPr>
        <w:tab/>
        <w:t>20 September 1918</w:t>
      </w:r>
    </w:p>
    <w:p>
      <w:pPr>
        <w:pStyle w:val="nNote"/>
        <w:tabs>
          <w:tab w:val="left" w:pos="1134"/>
        </w:tabs>
        <w:spacing w:before="0"/>
        <w:ind w:left="1134" w:hanging="1134"/>
        <w:rPr>
          <w:snapToGrid w:val="0"/>
        </w:rPr>
      </w:pPr>
      <w:r>
        <w:rPr>
          <w:snapToGrid w:val="0"/>
        </w:rPr>
        <w:tab/>
        <w:t>9 April 1948</w:t>
      </w:r>
    </w:p>
    <w:p>
      <w:pPr>
        <w:pStyle w:val="nNote"/>
        <w:tabs>
          <w:tab w:val="left" w:pos="1134"/>
        </w:tabs>
        <w:spacing w:before="0"/>
        <w:ind w:left="1134" w:hanging="1134"/>
        <w:rPr>
          <w:snapToGrid w:val="0"/>
        </w:rPr>
      </w:pPr>
      <w:r>
        <w:rPr>
          <w:snapToGrid w:val="0"/>
        </w:rPr>
        <w:tab/>
        <w:t>10 February 1950</w:t>
      </w:r>
    </w:p>
    <w:p>
      <w:pPr>
        <w:pStyle w:val="nNote"/>
        <w:tabs>
          <w:tab w:val="left" w:pos="1134"/>
        </w:tabs>
        <w:spacing w:before="0"/>
        <w:ind w:left="1134" w:hanging="1134"/>
        <w:rPr>
          <w:snapToGrid w:val="0"/>
        </w:rPr>
      </w:pPr>
      <w:r>
        <w:rPr>
          <w:snapToGrid w:val="0"/>
        </w:rPr>
        <w:tab/>
        <w:t>30 May 1952</w:t>
      </w:r>
    </w:p>
    <w:p>
      <w:pPr>
        <w:pStyle w:val="nNote"/>
        <w:tabs>
          <w:tab w:val="left" w:pos="1134"/>
        </w:tabs>
        <w:spacing w:before="0"/>
        <w:ind w:left="1134" w:hanging="1134"/>
        <w:rPr>
          <w:snapToGrid w:val="0"/>
        </w:rPr>
      </w:pPr>
      <w:r>
        <w:rPr>
          <w:snapToGrid w:val="0"/>
        </w:rPr>
        <w:tab/>
        <w:t>11 January 1957</w:t>
      </w:r>
    </w:p>
    <w:p>
      <w:pPr>
        <w:pStyle w:val="nNote"/>
        <w:tabs>
          <w:tab w:val="left" w:pos="1134"/>
        </w:tabs>
        <w:spacing w:before="0"/>
        <w:ind w:left="1134" w:hanging="1134"/>
        <w:rPr>
          <w:snapToGrid w:val="0"/>
        </w:rPr>
      </w:pPr>
      <w:r>
        <w:rPr>
          <w:snapToGrid w:val="0"/>
        </w:rPr>
        <w:tab/>
        <w:t xml:space="preserve">10 November 1961 (cancelled by </w:t>
      </w:r>
      <w:r>
        <w:rPr>
          <w:i/>
          <w:snapToGrid w:val="0"/>
        </w:rPr>
        <w:t>Gazette</w:t>
      </w:r>
      <w:r>
        <w:rPr>
          <w:snapToGrid w:val="0"/>
        </w:rPr>
        <w:t xml:space="preserve"> 29 November 1985)</w:t>
      </w:r>
    </w:p>
    <w:p>
      <w:pPr>
        <w:pStyle w:val="nNote"/>
        <w:tabs>
          <w:tab w:val="left" w:pos="1134"/>
        </w:tabs>
        <w:spacing w:before="0"/>
        <w:ind w:left="1134" w:hanging="1134"/>
        <w:rPr>
          <w:snapToGrid w:val="0"/>
        </w:rPr>
      </w:pPr>
      <w:r>
        <w:rPr>
          <w:snapToGrid w:val="0"/>
        </w:rPr>
        <w:tab/>
        <w:t>10 March 1967</w:t>
      </w:r>
    </w:p>
    <w:p>
      <w:pPr>
        <w:pStyle w:val="nNote"/>
        <w:tabs>
          <w:tab w:val="left" w:pos="1134"/>
        </w:tabs>
        <w:spacing w:before="0"/>
        <w:ind w:left="1134" w:hanging="1134"/>
        <w:rPr>
          <w:snapToGrid w:val="0"/>
        </w:rPr>
      </w:pPr>
      <w:r>
        <w:rPr>
          <w:snapToGrid w:val="0"/>
        </w:rPr>
        <w:tab/>
        <w:t>16 February 1968</w:t>
      </w:r>
    </w:p>
    <w:p>
      <w:pPr>
        <w:pStyle w:val="nNote"/>
        <w:tabs>
          <w:tab w:val="left" w:pos="1134"/>
        </w:tabs>
        <w:spacing w:before="0"/>
        <w:ind w:left="1134" w:hanging="1134"/>
        <w:rPr>
          <w:snapToGrid w:val="0"/>
        </w:rPr>
      </w:pPr>
      <w:r>
        <w:rPr>
          <w:snapToGrid w:val="0"/>
        </w:rPr>
        <w:tab/>
        <w:t>28 February 1969</w:t>
      </w:r>
    </w:p>
    <w:p>
      <w:pPr>
        <w:pStyle w:val="nNote"/>
        <w:tabs>
          <w:tab w:val="left" w:pos="1134"/>
        </w:tabs>
        <w:spacing w:before="0"/>
        <w:ind w:left="1134" w:hanging="1134"/>
        <w:rPr>
          <w:snapToGrid w:val="0"/>
        </w:rPr>
      </w:pPr>
      <w:r>
        <w:rPr>
          <w:snapToGrid w:val="0"/>
        </w:rPr>
        <w:tab/>
        <w:t>5 December 1969</w:t>
      </w:r>
    </w:p>
    <w:p>
      <w:pPr>
        <w:pStyle w:val="nNote"/>
        <w:tabs>
          <w:tab w:val="left" w:pos="1134"/>
        </w:tabs>
        <w:spacing w:before="0"/>
        <w:ind w:left="1134" w:hanging="1134"/>
        <w:rPr>
          <w:snapToGrid w:val="0"/>
        </w:rPr>
      </w:pPr>
      <w:r>
        <w:rPr>
          <w:snapToGrid w:val="0"/>
        </w:rPr>
        <w:tab/>
        <w:t>16 April 1987</w:t>
      </w:r>
    </w:p>
    <w:p>
      <w:pPr>
        <w:pStyle w:val="nNote"/>
        <w:tabs>
          <w:tab w:val="left" w:pos="1134"/>
        </w:tabs>
        <w:spacing w:before="0"/>
        <w:ind w:left="1134" w:hanging="1134"/>
        <w:rPr>
          <w:snapToGrid w:val="0"/>
        </w:rPr>
      </w:pPr>
      <w:r>
        <w:rPr>
          <w:snapToGrid w:val="0"/>
        </w:rPr>
        <w:tab/>
        <w:t>13 November 1987</w:t>
      </w:r>
    </w:p>
    <w:p>
      <w:pPr>
        <w:pStyle w:val="nNote"/>
        <w:tabs>
          <w:tab w:val="left" w:pos="1134"/>
        </w:tabs>
        <w:spacing w:before="0"/>
        <w:ind w:left="1134" w:hanging="1134"/>
        <w:rPr>
          <w:snapToGrid w:val="0"/>
        </w:rPr>
      </w:pPr>
      <w:r>
        <w:rPr>
          <w:snapToGrid w:val="0"/>
        </w:rPr>
        <w:tab/>
        <w:t>25 August 1989</w:t>
      </w:r>
    </w:p>
    <w:p>
      <w:pPr>
        <w:pStyle w:val="nNote"/>
        <w:tabs>
          <w:tab w:val="left" w:pos="1134"/>
        </w:tabs>
        <w:spacing w:before="0"/>
        <w:ind w:left="1134" w:hanging="1134"/>
        <w:rPr>
          <w:snapToGrid w:val="0"/>
        </w:rPr>
      </w:pPr>
      <w:r>
        <w:rPr>
          <w:snapToGrid w:val="0"/>
        </w:rPr>
        <w:tab/>
        <w:t>26 November 1993</w:t>
      </w:r>
    </w:p>
    <w:p>
      <w:pPr>
        <w:pStyle w:val="nNote"/>
        <w:tabs>
          <w:tab w:val="left" w:pos="1134"/>
        </w:tabs>
        <w:spacing w:before="0"/>
        <w:ind w:left="1134" w:hanging="1134"/>
        <w:rPr>
          <w:snapToGrid w:val="0"/>
        </w:rPr>
      </w:pPr>
      <w:r>
        <w:rPr>
          <w:snapToGrid w:val="0"/>
        </w:rPr>
        <w:tab/>
        <w:t>16 June 1995</w:t>
      </w:r>
    </w:p>
    <w:p>
      <w:pPr>
        <w:pStyle w:val="nNote"/>
        <w:tabs>
          <w:tab w:val="left" w:pos="1134"/>
        </w:tabs>
        <w:spacing w:before="0"/>
        <w:ind w:left="1134" w:hanging="1134"/>
        <w:rPr>
          <w:snapToGrid w:val="0"/>
        </w:rPr>
      </w:pPr>
      <w:r>
        <w:rPr>
          <w:snapToGrid w:val="0"/>
        </w:rPr>
        <w:tab/>
        <w:t>28 June 1996</w:t>
      </w:r>
    </w:p>
    <w:p>
      <w:pPr>
        <w:pStyle w:val="nNote"/>
        <w:rPr>
          <w:snapToGrid w:val="0"/>
        </w:rPr>
      </w:pPr>
      <w:r>
        <w:rPr>
          <w:snapToGrid w:val="0"/>
          <w:vertAlign w:val="superscript"/>
        </w:rPr>
        <w:t>6</w:t>
      </w:r>
      <w:r>
        <w:rPr>
          <w:snapToGrid w:val="0"/>
          <w:vertAlign w:val="superscript"/>
        </w:rPr>
        <w:tab/>
      </w:r>
      <w:r>
        <w:rPr>
          <w:snapToGrid w:val="0"/>
        </w:rPr>
        <w:t xml:space="preserve">Renumbering of sections of the Act and certain Part and Division headings was effected in earlier reprints under the </w:t>
      </w:r>
      <w:r>
        <w:rPr>
          <w:i/>
          <w:snapToGrid w:val="0"/>
        </w:rPr>
        <w:t>Health Act Amendment Act 1919</w:t>
      </w:r>
      <w:r>
        <w:rPr>
          <w:snapToGrid w:val="0"/>
        </w:rPr>
        <w:t xml:space="preserve"> s. 4 and the </w:t>
      </w:r>
      <w:r>
        <w:rPr>
          <w:i/>
          <w:snapToGrid w:val="0"/>
        </w:rPr>
        <w:t>Health Act Amendment Act 1933 (No. 2)</w:t>
      </w:r>
      <w:r>
        <w:rPr>
          <w:snapToGrid w:val="0"/>
        </w:rPr>
        <w:t xml:space="preserve"> s. 42.</w:t>
      </w:r>
    </w:p>
    <w:p>
      <w:pPr>
        <w:pStyle w:val="nNote"/>
      </w:pPr>
      <w:r>
        <w:rPr>
          <w:snapToGrid w:val="0"/>
          <w:vertAlign w:val="superscript"/>
        </w:rPr>
        <w:t>7</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came into operation.</w:t>
      </w:r>
    </w:p>
    <w:p>
      <w:pPr>
        <w:pStyle w:val="nNote"/>
        <w:rPr>
          <w:snapToGrid w:val="0"/>
        </w:rPr>
      </w:pPr>
      <w:r>
        <w:rPr>
          <w:vertAlign w:val="superscript"/>
        </w:rPr>
        <w:t>8</w:t>
      </w:r>
      <w:r>
        <w:tab/>
        <w:t xml:space="preserve">Now known as the </w:t>
      </w:r>
      <w:r>
        <w:rPr>
          <w:i/>
        </w:rPr>
        <w:t>Health (Miscellaneous Provisions) Act 1911</w:t>
      </w:r>
      <w:r>
        <w:t>; short title changed (see note under s. 1).</w:t>
      </w:r>
    </w:p>
    <w:p>
      <w:pPr>
        <w:pStyle w:val="nNote"/>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Note"/>
      </w:pPr>
      <w:r>
        <w:rPr>
          <w:vertAlign w:val="superscript"/>
        </w:rPr>
        <w:t>10</w:t>
      </w:r>
      <w:r>
        <w:tab/>
        <w:t xml:space="preserve">The Third and Fourth Schedules were inserted by the </w:t>
      </w:r>
      <w:r>
        <w:rPr>
          <w:i/>
        </w:rPr>
        <w:t>Metric Conversion Act Amendment Act (No. 2) 1973</w:t>
      </w:r>
      <w:r>
        <w:t>.</w:t>
      </w:r>
    </w:p>
    <w:p>
      <w:pPr>
        <w:pStyle w:val="nNote"/>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Note"/>
        <w:rPr>
          <w:snapToGrid w:val="0"/>
        </w:rPr>
      </w:pPr>
      <w:r>
        <w:rPr>
          <w:snapToGrid w:val="0"/>
          <w:vertAlign w:val="superscript"/>
        </w:rPr>
        <w:lastRenderedPageBreak/>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Note"/>
      </w:pPr>
      <w:r>
        <w:rPr>
          <w:vertAlign w:val="superscript"/>
        </w:rPr>
        <w:t>13</w:t>
      </w:r>
      <w:r>
        <w:tab/>
        <w:t xml:space="preserve">The </w:t>
      </w:r>
      <w:r>
        <w:rPr>
          <w:i/>
        </w:rPr>
        <w:t>Health Amendment Act 1985</w:t>
      </w:r>
      <w:r>
        <w:t xml:space="preserve"> s. 13 is a transitional provision that is of no further effect.</w:t>
      </w:r>
    </w:p>
    <w:p>
      <w:pPr>
        <w:pStyle w:val="nNote"/>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Note"/>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Note"/>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Note"/>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Note"/>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Note"/>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Note"/>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Note"/>
        <w:keepLines/>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came into operation.</w:t>
      </w:r>
    </w:p>
    <w:p>
      <w:pPr>
        <w:pStyle w:val="nNote"/>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Note"/>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23 was deleted by the </w:t>
      </w:r>
      <w:r>
        <w:rPr>
          <w:i/>
          <w:iCs/>
          <w:snapToGrid w:val="0"/>
        </w:rPr>
        <w:t>Criminal Law and Evidence Amendment Act 2008</w:t>
      </w:r>
      <w:r>
        <w:rPr>
          <w:snapToGrid w:val="0"/>
        </w:rPr>
        <w:t xml:space="preserve"> s. 77(13) before it came into operation.</w:t>
      </w:r>
    </w:p>
    <w:p>
      <w:pPr>
        <w:pStyle w:val="nNote"/>
      </w:pPr>
      <w:r>
        <w:rPr>
          <w:vertAlign w:val="superscript"/>
        </w:rPr>
        <w:lastRenderedPageBreak/>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26</w:t>
      </w:r>
      <w:r>
        <w:rPr>
          <w:vertAlign w:val="superscript"/>
        </w:rPr>
        <w:tab/>
      </w:r>
      <w:r>
        <w:t xml:space="preserve">The </w:t>
      </w:r>
      <w:r>
        <w:rPr>
          <w:i/>
        </w:rPr>
        <w:t>Machinery of Government (Miscellaneous Amendments) Act 2006</w:t>
      </w:r>
      <w: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Note"/>
        <w:keepNext/>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keepLines/>
      </w:pPr>
      <w:r>
        <w:t>Part 14</w:t>
      </w:r>
      <w:r>
        <w:rPr>
          <w:rStyle w:val="CharDivNo"/>
        </w:rPr>
        <w:t> </w:t>
      </w:r>
      <w:r>
        <w:t>—</w:t>
      </w:r>
      <w:r>
        <w:rPr>
          <w:rStyle w:val="CharDivText"/>
        </w:rPr>
        <w:t> </w:t>
      </w:r>
      <w:r>
        <w:t>Transitional provisions</w:t>
      </w:r>
    </w:p>
    <w:p>
      <w:pPr>
        <w:pStyle w:val="nzHeading5"/>
      </w:pPr>
      <w:r>
        <w:rPr>
          <w:rStyle w:val="CharSectno"/>
        </w:rPr>
        <w:t>150</w:t>
      </w:r>
      <w:r>
        <w:t>.</w:t>
      </w:r>
      <w:r>
        <w:tab/>
        <w:t>Definition</w:t>
      </w:r>
    </w:p>
    <w:p>
      <w:pPr>
        <w:pStyle w:val="nzSubsection"/>
        <w:keepNext/>
        <w:keepLines/>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w:t>
      </w:r>
      <w:r>
        <w:lastRenderedPageBreak/>
        <w:t>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425" w:name="_Toc98504381"/>
      <w:bookmarkStart w:id="426" w:name="_Toc98504712"/>
      <w:bookmarkStart w:id="427" w:name="_Toc98768110"/>
      <w:r>
        <w:rPr>
          <w:sz w:val="28"/>
        </w:rPr>
        <w:lastRenderedPageBreak/>
        <w:t>Defined terms</w:t>
      </w:r>
      <w:bookmarkEnd w:id="425"/>
      <w:bookmarkEnd w:id="426"/>
      <w:bookmarkEnd w:id="4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Agvet Code of Western Australia</w:t>
      </w:r>
      <w:r>
        <w:tab/>
        <w:t>3(1)</w:t>
      </w:r>
    </w:p>
    <w:p>
      <w:pPr>
        <w:pStyle w:val="DefinedTerms"/>
      </w:pPr>
      <w:r>
        <w:t>analyst</w:t>
      </w:r>
      <w:r>
        <w:tab/>
        <w:t>3(1)</w:t>
      </w:r>
    </w:p>
    <w:p>
      <w:pPr>
        <w:pStyle w:val="DefinedTerms"/>
      </w:pPr>
      <w:r>
        <w:t>Analytical Committee</w:t>
      </w:r>
      <w:r>
        <w:tab/>
        <w:t>3(1), 247AA</w:t>
      </w:r>
    </w:p>
    <w:p>
      <w:pPr>
        <w:pStyle w:val="DefinedTerms"/>
      </w:pPr>
      <w:r>
        <w:t>apparatus for the treatment of sewage</w:t>
      </w:r>
      <w:r>
        <w:tab/>
        <w:t>3(1), 100(4)</w:t>
      </w:r>
    </w:p>
    <w:p>
      <w:pPr>
        <w:pStyle w:val="DefinedTerms"/>
      </w:pPr>
      <w:r>
        <w:t>authorised officer</w:t>
      </w:r>
      <w:r>
        <w:tab/>
        <w:t>3(1) and (2A)</w:t>
      </w:r>
    </w:p>
    <w:p>
      <w:pPr>
        <w:pStyle w:val="DefinedTerms"/>
      </w:pPr>
      <w:r>
        <w:t>authorised person</w:t>
      </w:r>
      <w:r>
        <w:tab/>
        <w:t>173</w:t>
      </w:r>
    </w:p>
    <w:p>
      <w:pPr>
        <w:pStyle w:val="DefinedTerms"/>
      </w:pPr>
      <w:r>
        <w:t>cellar</w:t>
      </w:r>
      <w:r>
        <w:tab/>
        <w:t>3(1)</w:t>
      </w:r>
    </w:p>
    <w:p>
      <w:pPr>
        <w:pStyle w:val="DefinedTerms"/>
      </w:pPr>
      <w:r>
        <w:t>CEO</w:t>
      </w:r>
      <w:r>
        <w:tab/>
        <w:t>3(1)</w:t>
      </w:r>
    </w:p>
    <w:p>
      <w:pPr>
        <w:pStyle w:val="DefinedTerms"/>
      </w:pPr>
      <w:r>
        <w:t>certificate of approval</w:t>
      </w:r>
      <w:r>
        <w:tab/>
        <w:t>173</w:t>
      </w:r>
    </w:p>
    <w:p>
      <w:pPr>
        <w:pStyle w:val="DefinedTerms"/>
      </w:pPr>
      <w:r>
        <w:t>cesspool</w:t>
      </w:r>
      <w:r>
        <w:tab/>
        <w:t>3(1)</w:t>
      </w:r>
    </w:p>
    <w:p>
      <w:pPr>
        <w:pStyle w:val="DefinedTerms"/>
      </w:pPr>
      <w:r>
        <w:t>Chairman</w:t>
      </w:r>
      <w:r>
        <w:tab/>
        <w:t>246B(3)</w:t>
      </w:r>
    </w:p>
    <w:p>
      <w:pPr>
        <w:pStyle w:val="DefinedTerms"/>
      </w:pPr>
      <w:r>
        <w:t>Chief Health Officer</w:t>
      </w:r>
      <w:r>
        <w:tab/>
        <w:t>3(1)</w:t>
      </w:r>
    </w:p>
    <w:p>
      <w:pPr>
        <w:pStyle w:val="DefinedTerms"/>
      </w:pPr>
      <w:r>
        <w:t>child care centre</w:t>
      </w:r>
      <w:r>
        <w:tab/>
        <w:t>337(2A)</w:t>
      </w:r>
    </w:p>
    <w:p>
      <w:pPr>
        <w:pStyle w:val="DefinedTerms"/>
      </w:pPr>
      <w:r>
        <w:t>commencement day</w:t>
      </w:r>
      <w:r>
        <w:tab/>
        <w:t>Sch. 6 cl. 2 and 4</w:t>
      </w:r>
    </w:p>
    <w:p>
      <w:pPr>
        <w:pStyle w:val="DefinedTerms"/>
      </w:pPr>
      <w:r>
        <w:t>Committee</w:t>
      </w:r>
      <w:r>
        <w:tab/>
        <w:t>340A, 340AA, 340BA</w:t>
      </w:r>
    </w:p>
    <w:p>
      <w:pPr>
        <w:pStyle w:val="DefinedTerms"/>
      </w:pPr>
      <w:r>
        <w:t>co</w:t>
      </w:r>
      <w:r>
        <w:noBreakHyphen/>
        <w:t>opted member</w:t>
      </w:r>
      <w:r>
        <w:tab/>
        <w:t>246B(9)</w:t>
      </w:r>
    </w:p>
    <w:p>
      <w:pPr>
        <w:pStyle w:val="DefinedTerms"/>
      </w:pPr>
      <w:r>
        <w:t>daily penalty</w:t>
      </w:r>
      <w:r>
        <w:tab/>
        <w:t>3(1)</w:t>
      </w:r>
    </w:p>
    <w:p>
      <w:pPr>
        <w:pStyle w:val="DefinedTerms"/>
      </w:pPr>
      <w:r>
        <w:t>dairy</w:t>
      </w:r>
      <w:r>
        <w:tab/>
        <w:t>3(1)</w:t>
      </w:r>
    </w:p>
    <w:p>
      <w:pPr>
        <w:pStyle w:val="DefinedTerms"/>
      </w:pPr>
      <w:r>
        <w:t>dairy produce</w:t>
      </w:r>
      <w:r>
        <w:tab/>
        <w:t>3(1)</w:t>
      </w:r>
    </w:p>
    <w:p>
      <w:pPr>
        <w:pStyle w:val="DefinedTerms"/>
      </w:pPr>
      <w:r>
        <w:t>dentist</w:t>
      </w:r>
      <w:r>
        <w:tab/>
        <w:t>331</w:t>
      </w:r>
    </w:p>
    <w:p>
      <w:pPr>
        <w:pStyle w:val="DefinedTerms"/>
      </w:pPr>
      <w:r>
        <w:t>Department</w:t>
      </w:r>
      <w:r>
        <w:tab/>
        <w:t>3(1)</w:t>
      </w:r>
    </w:p>
    <w:p>
      <w:pPr>
        <w:pStyle w:val="DefinedTerms"/>
      </w:pPr>
      <w:r>
        <w:t>departmental officer</w:t>
      </w:r>
      <w:r>
        <w:tab/>
        <w:t>13A(1)</w:t>
      </w:r>
    </w:p>
    <w:p>
      <w:pPr>
        <w:pStyle w:val="DefinedTerms"/>
      </w:pPr>
      <w:r>
        <w:t>disposal</w:t>
      </w:r>
      <w:r>
        <w:tab/>
        <w:t>3(1)</w:t>
      </w:r>
    </w:p>
    <w:p>
      <w:pPr>
        <w:pStyle w:val="DefinedTerms"/>
      </w:pPr>
      <w:r>
        <w:t>district</w:t>
      </w:r>
      <w:r>
        <w:tab/>
        <w:t>3(1)</w:t>
      </w:r>
    </w:p>
    <w:p>
      <w:pPr>
        <w:pStyle w:val="DefinedTerms"/>
      </w:pPr>
      <w:r>
        <w:t>drain</w:t>
      </w:r>
      <w:r>
        <w:tab/>
        <w:t>3(1)</w:t>
      </w:r>
    </w:p>
    <w:p>
      <w:pPr>
        <w:pStyle w:val="DefinedTerms"/>
      </w:pPr>
      <w:r>
        <w:t>employed in the Department</w:t>
      </w:r>
      <w:r>
        <w:tab/>
        <w:t>13A(1)</w:t>
      </w:r>
    </w:p>
    <w:p>
      <w:pPr>
        <w:pStyle w:val="DefinedTerms"/>
      </w:pPr>
      <w:r>
        <w:t>food</w:t>
      </w:r>
      <w:r>
        <w:tab/>
        <w:t>3(1)</w:t>
      </w:r>
    </w:p>
    <w:p>
      <w:pPr>
        <w:pStyle w:val="DefinedTerms"/>
      </w:pPr>
      <w:r>
        <w:t>HIV infection</w:t>
      </w:r>
      <w:r>
        <w:tab/>
        <w:t>3(1)</w:t>
      </w:r>
    </w:p>
    <w:p>
      <w:pPr>
        <w:pStyle w:val="DefinedTerms"/>
      </w:pPr>
      <w:r>
        <w:t>house</w:t>
      </w:r>
      <w:r>
        <w:tab/>
        <w:t>3(1)</w:t>
      </w:r>
    </w:p>
    <w:p>
      <w:pPr>
        <w:pStyle w:val="DefinedTerms"/>
      </w:pPr>
      <w:r>
        <w:t>infectious disease</w:t>
      </w:r>
      <w:r>
        <w:tab/>
        <w:t>3(1)</w:t>
      </w:r>
    </w:p>
    <w:p>
      <w:pPr>
        <w:pStyle w:val="DefinedTerms"/>
      </w:pPr>
      <w:r>
        <w:t>informed consent</w:t>
      </w:r>
      <w:r>
        <w:tab/>
        <w:t>334(5)</w:t>
      </w:r>
    </w:p>
    <w:p>
      <w:pPr>
        <w:pStyle w:val="DefinedTerms"/>
      </w:pPr>
      <w:r>
        <w:t>investigator</w:t>
      </w:r>
      <w:r>
        <w:tab/>
        <w:t>340A, 340AA, 340BA</w:t>
      </w:r>
    </w:p>
    <w:p>
      <w:pPr>
        <w:pStyle w:val="DefinedTerms"/>
      </w:pPr>
      <w:r>
        <w:t>land</w:t>
      </w:r>
      <w:r>
        <w:tab/>
        <w:t>3(1)</w:t>
      </w:r>
    </w:p>
    <w:p>
      <w:pPr>
        <w:pStyle w:val="DefinedTerms"/>
      </w:pPr>
      <w:r>
        <w:t>lodging</w:t>
      </w:r>
      <w:r>
        <w:noBreakHyphen/>
        <w:t>house</w:t>
      </w:r>
      <w:r>
        <w:tab/>
        <w:t>3(1)</w:t>
      </w:r>
    </w:p>
    <w:p>
      <w:pPr>
        <w:pStyle w:val="DefinedTerms"/>
      </w:pPr>
      <w:r>
        <w:t>meat</w:t>
      </w:r>
      <w:r>
        <w:tab/>
        <w:t>3(1)</w:t>
      </w:r>
    </w:p>
    <w:p>
      <w:pPr>
        <w:pStyle w:val="DefinedTerms"/>
      </w:pPr>
      <w:r>
        <w:t>medical practitioner</w:t>
      </w:r>
      <w:r>
        <w:tab/>
        <w:t>3(1)</w:t>
      </w:r>
    </w:p>
    <w:p>
      <w:pPr>
        <w:pStyle w:val="DefinedTerms"/>
      </w:pPr>
      <w:r>
        <w:t>member</w:t>
      </w:r>
      <w:r>
        <w:tab/>
        <w:t>246B(9), 247AA, 340A, 340AA, 340BA</w:t>
      </w:r>
    </w:p>
    <w:p>
      <w:pPr>
        <w:pStyle w:val="DefinedTerms"/>
      </w:pPr>
      <w:r>
        <w:t>metropolitan area</w:t>
      </w:r>
      <w:r>
        <w:tab/>
        <w:t>247AA, 340A, 340AA, 340BA</w:t>
      </w:r>
    </w:p>
    <w:p>
      <w:pPr>
        <w:pStyle w:val="DefinedTerms"/>
      </w:pPr>
      <w:r>
        <w:t>midwife</w:t>
      </w:r>
      <w:r>
        <w:tab/>
        <w:t>3(1)</w:t>
      </w:r>
    </w:p>
    <w:p>
      <w:pPr>
        <w:pStyle w:val="DefinedTerms"/>
      </w:pPr>
      <w:r>
        <w:t>milk</w:t>
      </w:r>
      <w:r>
        <w:tab/>
        <w:t>3(1)</w:t>
      </w:r>
    </w:p>
    <w:p>
      <w:pPr>
        <w:pStyle w:val="DefinedTerms"/>
      </w:pPr>
      <w:r>
        <w:lastRenderedPageBreak/>
        <w:t>Minister</w:t>
      </w:r>
      <w:r>
        <w:tab/>
        <w:t>3(1)</w:t>
      </w:r>
    </w:p>
    <w:p>
      <w:pPr>
        <w:pStyle w:val="DefinedTerms"/>
      </w:pPr>
      <w:r>
        <w:t>municipal fund</w:t>
      </w:r>
      <w:r>
        <w:tab/>
        <w:t>3(1)</w:t>
      </w:r>
    </w:p>
    <w:p>
      <w:pPr>
        <w:pStyle w:val="DefinedTerms"/>
      </w:pPr>
      <w:r>
        <w:t>newspaper</w:t>
      </w:r>
      <w:r>
        <w:tab/>
        <w:t>3(1)</w:t>
      </w:r>
    </w:p>
    <w:p>
      <w:pPr>
        <w:pStyle w:val="DefinedTerms"/>
      </w:pPr>
      <w:r>
        <w:t>nurse</w:t>
      </w:r>
      <w:r>
        <w:tab/>
        <w:t>3(1)</w:t>
      </w:r>
    </w:p>
    <w:p>
      <w:pPr>
        <w:pStyle w:val="DefinedTerms"/>
      </w:pPr>
      <w:r>
        <w:t>nurse practitioner</w:t>
      </w:r>
      <w:r>
        <w:tab/>
        <w:t>3(1)</w:t>
      </w:r>
    </w:p>
    <w:p>
      <w:pPr>
        <w:pStyle w:val="DefinedTerms"/>
      </w:pPr>
      <w:r>
        <w:t>occupier</w:t>
      </w:r>
      <w:r>
        <w:tab/>
        <w:t>3(1), 145(3)</w:t>
      </w:r>
    </w:p>
    <w:p>
      <w:pPr>
        <w:pStyle w:val="DefinedTerms"/>
      </w:pPr>
      <w:r>
        <w:t>offensive</w:t>
      </w:r>
      <w:r>
        <w:tab/>
        <w:t>3(1)</w:t>
      </w:r>
    </w:p>
    <w:p>
      <w:pPr>
        <w:pStyle w:val="DefinedTerms"/>
      </w:pPr>
      <w:r>
        <w:t>offensive matter</w:t>
      </w:r>
      <w:r>
        <w:tab/>
        <w:t>3(1)</w:t>
      </w:r>
    </w:p>
    <w:p>
      <w:pPr>
        <w:pStyle w:val="DefinedTerms"/>
      </w:pPr>
      <w:r>
        <w:t>offensive trade</w:t>
      </w:r>
      <w:r>
        <w:tab/>
        <w:t>186(1)</w:t>
      </w:r>
    </w:p>
    <w:p>
      <w:pPr>
        <w:pStyle w:val="DefinedTerms"/>
      </w:pPr>
      <w:r>
        <w:t>owner</w:t>
      </w:r>
      <w:r>
        <w:tab/>
        <w:t>3(1), 100(4)</w:t>
      </w:r>
    </w:p>
    <w:p>
      <w:pPr>
        <w:pStyle w:val="DefinedTerms"/>
      </w:pPr>
      <w:r>
        <w:t>person in default</w:t>
      </w:r>
      <w:r>
        <w:tab/>
        <w:t>116(e)</w:t>
      </w:r>
    </w:p>
    <w:p>
      <w:pPr>
        <w:pStyle w:val="DefinedTerms"/>
      </w:pPr>
      <w:r>
        <w:t>pesticide</w:t>
      </w:r>
      <w:r>
        <w:tab/>
        <w:t>3(1)</w:t>
      </w:r>
    </w:p>
    <w:p>
      <w:pPr>
        <w:pStyle w:val="DefinedTerms"/>
      </w:pPr>
      <w:r>
        <w:t>Pesticides Advisory Committee</w:t>
      </w:r>
      <w:r>
        <w:tab/>
        <w:t>246</w:t>
      </w:r>
    </w:p>
    <w:p>
      <w:pPr>
        <w:pStyle w:val="DefinedTerms"/>
      </w:pPr>
      <w:r>
        <w:t>piggery</w:t>
      </w:r>
      <w:r>
        <w:tab/>
        <w:t>3(1)</w:t>
      </w:r>
    </w:p>
    <w:p>
      <w:pPr>
        <w:pStyle w:val="DefinedTerms"/>
      </w:pPr>
      <w:r>
        <w:t>pig</w:t>
      </w:r>
      <w:r>
        <w:noBreakHyphen/>
        <w:t>swill</w:t>
      </w:r>
      <w:r>
        <w:tab/>
        <w:t>3(1)</w:t>
      </w:r>
    </w:p>
    <w:p>
      <w:pPr>
        <w:pStyle w:val="DefinedTerms"/>
      </w:pPr>
      <w:r>
        <w:t xml:space="preserve">premises </w:t>
      </w:r>
      <w:r>
        <w:tab/>
        <w:t>3(1)</w:t>
      </w:r>
    </w:p>
    <w:p>
      <w:pPr>
        <w:pStyle w:val="DefinedTerms"/>
      </w:pPr>
      <w:r>
        <w:t>prescribed</w:t>
      </w:r>
      <w:r>
        <w:tab/>
        <w:t>3(1)</w:t>
      </w:r>
    </w:p>
    <w:p>
      <w:pPr>
        <w:pStyle w:val="DefinedTerms"/>
      </w:pPr>
      <w:r>
        <w:t>prescribed condition of health</w:t>
      </w:r>
      <w:r>
        <w:tab/>
        <w:t>289B</w:t>
      </w:r>
    </w:p>
    <w:p>
      <w:pPr>
        <w:pStyle w:val="DefinedTerms"/>
      </w:pPr>
      <w:r>
        <w:t>private place</w:t>
      </w:r>
      <w:r>
        <w:tab/>
        <w:t>3(1)</w:t>
      </w:r>
    </w:p>
    <w:p>
      <w:pPr>
        <w:pStyle w:val="DefinedTerms"/>
      </w:pPr>
      <w:r>
        <w:t>proclamation</w:t>
      </w:r>
      <w:r>
        <w:tab/>
        <w:t>3(1)</w:t>
      </w:r>
    </w:p>
    <w:p>
      <w:pPr>
        <w:pStyle w:val="DefinedTerms"/>
      </w:pPr>
      <w:r>
        <w:t>public building</w:t>
      </w:r>
      <w:r>
        <w:tab/>
        <w:t>173</w:t>
      </w:r>
    </w:p>
    <w:p>
      <w:pPr>
        <w:pStyle w:val="DefinedTerms"/>
      </w:pPr>
      <w:r>
        <w:t>public house</w:t>
      </w:r>
      <w:r>
        <w:tab/>
        <w:t>3(1)</w:t>
      </w:r>
    </w:p>
    <w:p>
      <w:pPr>
        <w:pStyle w:val="DefinedTerms"/>
      </w:pPr>
      <w:r>
        <w:t>public place</w:t>
      </w:r>
      <w:r>
        <w:tab/>
        <w:t>3(1)</w:t>
      </w:r>
    </w:p>
    <w:p>
      <w:pPr>
        <w:pStyle w:val="DefinedTerms"/>
      </w:pPr>
      <w:r>
        <w:t>public vehicle</w:t>
      </w:r>
      <w:r>
        <w:tab/>
        <w:t>3(1)</w:t>
      </w:r>
    </w:p>
    <w:p>
      <w:pPr>
        <w:pStyle w:val="DefinedTerms"/>
      </w:pPr>
      <w:r>
        <w:t>rack</w:t>
      </w:r>
      <w:r>
        <w:noBreakHyphen/>
        <w:t>rent</w:t>
      </w:r>
      <w:r>
        <w:tab/>
        <w:t>3(1)</w:t>
      </w:r>
    </w:p>
    <w:p>
      <w:pPr>
        <w:pStyle w:val="DefinedTerms"/>
      </w:pPr>
      <w:r>
        <w:t>regular member</w:t>
      </w:r>
      <w:r>
        <w:tab/>
        <w:t>246B(9)</w:t>
      </w:r>
    </w:p>
    <w:p>
      <w:pPr>
        <w:pStyle w:val="DefinedTerms"/>
      </w:pPr>
      <w:r>
        <w:t>regulation</w:t>
      </w:r>
      <w:r>
        <w:tab/>
        <w:t>3(1)</w:t>
      </w:r>
    </w:p>
    <w:p>
      <w:pPr>
        <w:pStyle w:val="DefinedTerms"/>
      </w:pPr>
      <w:r>
        <w:t>relative</w:t>
      </w:r>
      <w:r>
        <w:tab/>
        <w:t>3(1)</w:t>
      </w:r>
    </w:p>
    <w:p>
      <w:pPr>
        <w:pStyle w:val="DefinedTerms"/>
      </w:pPr>
      <w:r>
        <w:t>researcher</w:t>
      </w:r>
      <w:r>
        <w:tab/>
        <w:t>340AL(1a)</w:t>
      </w:r>
    </w:p>
    <w:p>
      <w:pPr>
        <w:pStyle w:val="DefinedTerms"/>
      </w:pPr>
      <w:r>
        <w:t>sanitary convenience</w:t>
      </w:r>
      <w:r>
        <w:tab/>
        <w:t>3(1)</w:t>
      </w:r>
    </w:p>
    <w:p>
      <w:pPr>
        <w:pStyle w:val="DefinedTerms"/>
      </w:pPr>
      <w:r>
        <w:t>scheme</w:t>
      </w:r>
      <w:r>
        <w:tab/>
        <w:t>247AA</w:t>
      </w:r>
    </w:p>
    <w:p>
      <w:pPr>
        <w:pStyle w:val="DefinedTerms"/>
      </w:pPr>
      <w:r>
        <w:t>school</w:t>
      </w:r>
      <w:r>
        <w:tab/>
        <w:t>3(1)</w:t>
      </w:r>
    </w:p>
    <w:p>
      <w:pPr>
        <w:pStyle w:val="DefinedTerms"/>
      </w:pPr>
      <w:r>
        <w:t>school dental service</w:t>
      </w:r>
      <w:r>
        <w:tab/>
        <w:t>331</w:t>
      </w:r>
    </w:p>
    <w:p>
      <w:pPr>
        <w:pStyle w:val="DefinedTerms"/>
      </w:pPr>
      <w:r>
        <w:t>school dental therapist</w:t>
      </w:r>
      <w:r>
        <w:tab/>
        <w:t>331</w:t>
      </w:r>
    </w:p>
    <w:p>
      <w:pPr>
        <w:pStyle w:val="DefinedTerms"/>
      </w:pPr>
      <w:r>
        <w:t>section 13</w:t>
      </w:r>
      <w:r>
        <w:tab/>
        <w:t>179(7)</w:t>
      </w:r>
    </w:p>
    <w:p>
      <w:pPr>
        <w:pStyle w:val="DefinedTerms"/>
      </w:pPr>
      <w:r>
        <w:t>sell</w:t>
      </w:r>
      <w:r>
        <w:tab/>
        <w:t>3(1)</w:t>
      </w:r>
    </w:p>
    <w:p>
      <w:pPr>
        <w:pStyle w:val="DefinedTerms"/>
      </w:pPr>
      <w:r>
        <w:t>sewage</w:t>
      </w:r>
      <w:r>
        <w:tab/>
        <w:t>3(1)</w:t>
      </w:r>
    </w:p>
    <w:p>
      <w:pPr>
        <w:pStyle w:val="DefinedTerms"/>
      </w:pPr>
      <w:r>
        <w:t>sewer</w:t>
      </w:r>
      <w:r>
        <w:tab/>
        <w:t>3(1)</w:t>
      </w:r>
    </w:p>
    <w:p>
      <w:pPr>
        <w:pStyle w:val="DefinedTerms"/>
      </w:pPr>
      <w:r>
        <w:t>street</w:t>
      </w:r>
      <w:r>
        <w:tab/>
        <w:t>3(1)</w:t>
      </w:r>
    </w:p>
    <w:p>
      <w:pPr>
        <w:pStyle w:val="DefinedTerms"/>
      </w:pPr>
      <w:r>
        <w:t>therapeutic use</w:t>
      </w:r>
      <w:r>
        <w:tab/>
        <w:t>3(1)</w:t>
      </w:r>
    </w:p>
    <w:p>
      <w:pPr>
        <w:pStyle w:val="DefinedTerms"/>
      </w:pPr>
      <w:r>
        <w:t>this Act</w:t>
      </w:r>
      <w:r>
        <w:tab/>
        <w:t>3(1)</w:t>
      </w:r>
    </w:p>
    <w:p>
      <w:pPr>
        <w:pStyle w:val="DefinedTerms"/>
      </w:pPr>
      <w:r>
        <w:t>trade</w:t>
      </w:r>
      <w:r>
        <w:tab/>
        <w:t>3(1)</w:t>
      </w:r>
    </w:p>
    <w:p>
      <w:pPr>
        <w:pStyle w:val="DefinedTerms"/>
      </w:pPr>
      <w:r>
        <w:t>underground room</w:t>
      </w:r>
      <w:r>
        <w:tab/>
        <w:t>3(1)</w:t>
      </w:r>
    </w:p>
    <w:p>
      <w:pPr>
        <w:pStyle w:val="DefinedTerms"/>
      </w:pPr>
      <w:r>
        <w:t>venereal disease</w:t>
      </w:r>
      <w:r>
        <w:tab/>
        <w:t>3(1)</w:t>
      </w:r>
    </w:p>
    <w:p>
      <w:pPr>
        <w:pStyle w:val="DefinedTerms"/>
      </w:pPr>
      <w:r>
        <w:t>vessel</w:t>
      </w:r>
      <w:r>
        <w:tab/>
        <w:t>3(1)</w:t>
      </w:r>
    </w:p>
    <w:p>
      <w:pPr>
        <w:pStyle w:val="DefinedTerms"/>
      </w:pPr>
      <w:r>
        <w:lastRenderedPageBreak/>
        <w:t>WALGA</w:t>
      </w:r>
      <w:r>
        <w:tab/>
        <w:t>247AA</w:t>
      </w:r>
    </w:p>
    <w:p>
      <w:pPr>
        <w:pStyle w:val="DefinedTerms"/>
      </w:pPr>
      <w:r>
        <w:t>water supply</w:t>
      </w:r>
      <w:r>
        <w:tab/>
        <w:t>129</w:t>
      </w:r>
    </w:p>
    <w:p>
      <w:pPr>
        <w:pStyle w:val="DefinedTerms"/>
      </w:pPr>
      <w:r>
        <w:t>writing</w:t>
      </w:r>
      <w:r>
        <w:tab/>
        <w:t>3(1)</w:t>
      </w:r>
    </w:p>
    <w:p/>
    <w:p>
      <w:pPr>
        <w:sectPr>
          <w:headerReference w:type="even" r:id="rId32"/>
          <w:headerReference w:type="default" r:id="rId33"/>
          <w:pgSz w:w="11907" w:h="16840" w:code="9"/>
          <w:pgMar w:top="2381" w:right="2410" w:bottom="3544" w:left="2410" w:header="720" w:footer="3379"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9" w:type="dxa"/>
      <w:tblLayout w:type="fixed"/>
      <w:tblCellMar>
        <w:left w:w="72" w:type="dxa"/>
        <w:right w:w="72" w:type="dxa"/>
      </w:tblCellMar>
      <w:tblLook w:val="0000" w:firstRow="0" w:lastRow="0" w:firstColumn="0" w:lastColumn="0" w:noHBand="0" w:noVBand="0"/>
    </w:tblPr>
    <w:tblGrid>
      <w:gridCol w:w="1548"/>
      <w:gridCol w:w="5621"/>
    </w:tblGrid>
    <w:tr>
      <w:trPr>
        <w:cantSplit/>
      </w:trPr>
      <w:tc>
        <w:tcPr>
          <w:tcW w:w="7169"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621"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621"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62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09" w:name="Schedule"/>
    <w:bookmarkEnd w:id="40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9" w:type="dxa"/>
      <w:tblLayout w:type="fixed"/>
      <w:tblCellMar>
        <w:left w:w="72" w:type="dxa"/>
        <w:right w:w="72" w:type="dxa"/>
      </w:tblCellMar>
      <w:tblLook w:val="0000" w:firstRow="0" w:lastRow="0" w:firstColumn="0" w:lastColumn="0" w:noHBand="0" w:noVBand="0"/>
    </w:tblPr>
    <w:tblGrid>
      <w:gridCol w:w="1548"/>
      <w:gridCol w:w="5621"/>
    </w:tblGrid>
    <w:tr>
      <w:trPr>
        <w:cantSplit/>
      </w:trPr>
      <w:tc>
        <w:tcPr>
          <w:tcW w:w="7169"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621" w:type="dxa"/>
        </w:tcPr>
        <w:p>
          <w:pPr>
            <w:pStyle w:val="Header"/>
            <w:spacing w:before="40"/>
          </w:pPr>
          <w:r>
            <w:fldChar w:fldCharType="begin"/>
          </w:r>
          <w:r>
            <w:instrText xml:space="preserve"> styleref CharSchText </w:instrText>
          </w:r>
          <w:r>
            <w:fldChar w:fldCharType="separate"/>
          </w:r>
          <w:r>
            <w:t>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621"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62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24" w:name="Compilation"/>
    <w:bookmarkEnd w:id="42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8" w:name="DefinedTerms"/>
    <w:bookmarkEnd w:id="428"/>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9" w:name="Coversheet"/>
    <w:bookmarkEnd w:id="42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939"/>
    </w:tblGrid>
    <w:tr>
      <w:trPr>
        <w:cantSplit/>
      </w:trPr>
      <w:tc>
        <w:tcPr>
          <w:tcW w:w="7487"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939"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939" w:type="dxa"/>
        </w:tcPr>
        <w:p>
          <w:pPr>
            <w:pStyle w:val="Header"/>
            <w:spacing w:before="40"/>
          </w:pPr>
          <w:r>
            <w:fldChar w:fldCharType="begin"/>
          </w:r>
          <w:r>
            <w:instrText xml:space="preserve"> styleref CharDivText </w:instrText>
          </w:r>
          <w:r>
            <w:fldChar w:fldCharType="end"/>
          </w:r>
        </w:p>
      </w:tc>
    </w:tr>
    <w:tr>
      <w:trPr>
        <w:cantSplit/>
      </w:trPr>
      <w:tc>
        <w:tcPr>
          <w:tcW w:w="7487"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99" w:type="dxa"/>
      <w:tblLayout w:type="fixed"/>
      <w:tblCellMar>
        <w:left w:w="28" w:type="dxa"/>
        <w:right w:w="28" w:type="dxa"/>
      </w:tblCellMar>
      <w:tblLook w:val="0000" w:firstRow="0" w:lastRow="0" w:firstColumn="0" w:lastColumn="0" w:noHBand="0" w:noVBand="0"/>
    </w:tblPr>
    <w:tblGrid>
      <w:gridCol w:w="5840"/>
      <w:gridCol w:w="1559"/>
    </w:tblGrid>
    <w:tr>
      <w:trPr>
        <w:cantSplit/>
      </w:trPr>
      <w:tc>
        <w:tcPr>
          <w:tcW w:w="7399" w:type="dxa"/>
          <w:gridSpan w:val="2"/>
          <w:tcMar>
            <w:right w:w="28" w:type="dxa"/>
          </w:tcMar>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840" w:type="dxa"/>
          <w:vAlign w:val="bottom"/>
        </w:tcPr>
        <w:p>
          <w:pPr>
            <w:pStyle w:val="Header"/>
            <w:spacing w:before="40"/>
            <w:jc w:val="right"/>
          </w:pPr>
          <w:r>
            <w:fldChar w:fldCharType="begin"/>
          </w:r>
          <w:r>
            <w:instrText xml:space="preserve"> styleref CharPartText </w:instrText>
          </w:r>
          <w:r>
            <w:fldChar w:fldCharType="end"/>
          </w:r>
        </w:p>
      </w:tc>
      <w:tc>
        <w:tcPr>
          <w:tcW w:w="155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840" w:type="dxa"/>
        </w:tcPr>
        <w:p>
          <w:pPr>
            <w:pStyle w:val="Header"/>
            <w:tabs>
              <w:tab w:val="left" w:pos="4497"/>
              <w:tab w:val="right" w:pos="5784"/>
            </w:tabs>
            <w:spacing w:before="40"/>
            <w:jc w:val="right"/>
          </w:pPr>
          <w:r>
            <w:fldChar w:fldCharType="begin"/>
          </w:r>
          <w:r>
            <w:instrText xml:space="preserve"> styleref CharDivText </w:instrText>
          </w:r>
          <w:r>
            <w:fldChar w:fldCharType="end"/>
          </w:r>
        </w:p>
      </w:tc>
      <w:tc>
        <w:tcPr>
          <w:tcW w:w="155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99"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ind w:right="-284"/>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1097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92C4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62C1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22CE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4899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2EF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740A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5A5F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2C8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EE32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6DAD02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17"/>
  </w:num>
  <w:num w:numId="14">
    <w:abstractNumId w:val="12"/>
  </w:num>
  <w:num w:numId="15">
    <w:abstractNumId w:val="2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34922"/>
    <w:docVar w:name="WAFER_20140113134211" w:val="RemoveTocBookmarks,RemoveUnusedBookmarks,RemoveLanguageTags,UsedStyles,ResetPageSize,UpdateArrangement"/>
    <w:docVar w:name="WAFER_20140113134211_GUID" w:val="4ab095f4-171c-42dc-98c9-627ac28eb587"/>
    <w:docVar w:name="WAFER_20140113135037" w:val="RemoveTocBookmarks,RunningHeaders"/>
    <w:docVar w:name="WAFER_20140113135037_GUID" w:val="d333f023-324f-466e-9b13-c66db14960e1"/>
    <w:docVar w:name="WAFER_20140704133731" w:val="RemoveTocBookmarks,RunningHeaders"/>
    <w:docVar w:name="WAFER_20140704133731_GUID" w:val="51fcb6fe-0637-472e-ae63-f42353f864ff"/>
    <w:docVar w:name="WAFER_20140704133747" w:val="RemoveTocBookmarks,RunningHeaders"/>
    <w:docVar w:name="WAFER_20140704133747_GUID" w:val="584b3b63-9832-4332-af4b-ceeb4a3652ad"/>
    <w:docVar w:name="WAFER_20150515104126" w:val="ResetPageSize,UpdateArrangement,UpdateNTable"/>
    <w:docVar w:name="WAFER_20150515104126_GUID" w:val="d6e66366-a365-42e1-878b-85a73f1fe2e2"/>
    <w:docVar w:name="WAFER_20151104160243" w:val="UpdateStyles"/>
    <w:docVar w:name="WAFER_20151104160243_GUID" w:val="a31bd9db-d321-4867-825c-a9e663f1f7bb"/>
    <w:docVar w:name="WAFER_20151104161023" w:val="UsedStyles"/>
    <w:docVar w:name="WAFER_20151104161023_GUID" w:val="bda79082-7365-4af7-869d-6539e4b0de72"/>
    <w:docVar w:name="WAFER_20170111122008" w:val="RemoveTocBookmarks,RemoveUnusedBookmarks,RemoveLanguageTags,UsedStyles,ResetPageSize"/>
    <w:docVar w:name="WAFER_20170111122008_GUID" w:val="d3807c02-5f13-487e-9920-f783ca7273fd"/>
    <w:docVar w:name="WAFER_20170214142959" w:val="RemoveTocBookmarks,RemoveUnusedBookmarks,RemoveLanguageTags,UsedStyles,ResetPageSize"/>
    <w:docVar w:name="WAFER_20170214142959_GUID" w:val="4a1e40da-a18d-4095-9aab-c3757ce3af9b"/>
    <w:docVar w:name="WAFER_20171006152228" w:val="RemoveTocBookmarks,RemoveUnusedBookmarks,RemoveLanguageTags,UsedStyles,ResetPageSize,RemoveCustomizations"/>
    <w:docVar w:name="WAFER_20171006152228_GUID" w:val="8a1d8de3-4af5-400b-b5fc-9de0e53c1e2d"/>
    <w:docVar w:name="WAFER_20171109141950" w:val="RemoveTocBookmarks,RemoveUnusedBookmarks,RemoveLanguageTags,UsedStyles,RemoveTrackChanges"/>
    <w:docVar w:name="WAFER_20171109141950_GUID" w:val="97b71d00-e698-4cf9-b71b-93fdd6e754c9"/>
    <w:docVar w:name="WAFER_20171109142006" w:val="RemoveTocBookmarks,RemoveLanguageTags,RemoveTrackChanges,RunningHeaders"/>
    <w:docVar w:name="WAFER_20171109142006_GUID" w:val="83397ab0-ccdb-491a-a609-998708a8a468"/>
    <w:docVar w:name="WAFER_202002131403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0311_GUID" w:val="73366879-f1fd-4cfc-ba82-a8f958775e88"/>
    <w:docVar w:name="WAFER_202011091529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52945_GUID" w:val="a9f97e6f-3a0a-4d8b-b74b-dbb6a9d43806"/>
    <w:docVar w:name="WAFER_20220304131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31045_GUID" w:val="b3a5ef97-5797-4bd9-a80f-9b6dfb2dacdd"/>
    <w:docVar w:name="WAFER_202203181243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24353_GUID" w:val="f722fb7b-7d58-4629-8247-2ca36e95cbe8"/>
    <w:docVar w:name="WAFER_202203181349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4922_GUID" w:val="6f4e3663-2d51-4315-9596-503f216bcb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docId w15:val="{002FB835-77F2-4258-8FDD-9149D5EE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322">
      <w:bodyDiv w:val="1"/>
      <w:marLeft w:val="0"/>
      <w:marRight w:val="0"/>
      <w:marTop w:val="0"/>
      <w:marBottom w:val="0"/>
      <w:divBdr>
        <w:top w:val="none" w:sz="0" w:space="0" w:color="auto"/>
        <w:left w:val="none" w:sz="0" w:space="0" w:color="auto"/>
        <w:bottom w:val="none" w:sz="0" w:space="0" w:color="auto"/>
        <w:right w:val="none" w:sz="0" w:space="0" w:color="auto"/>
      </w:divBdr>
    </w:div>
    <w:div w:id="17464249">
      <w:bodyDiv w:val="1"/>
      <w:marLeft w:val="0"/>
      <w:marRight w:val="0"/>
      <w:marTop w:val="0"/>
      <w:marBottom w:val="0"/>
      <w:divBdr>
        <w:top w:val="none" w:sz="0" w:space="0" w:color="auto"/>
        <w:left w:val="none" w:sz="0" w:space="0" w:color="auto"/>
        <w:bottom w:val="none" w:sz="0" w:space="0" w:color="auto"/>
        <w:right w:val="none" w:sz="0" w:space="0" w:color="auto"/>
      </w:divBdr>
    </w:div>
    <w:div w:id="56054569">
      <w:bodyDiv w:val="1"/>
      <w:marLeft w:val="0"/>
      <w:marRight w:val="0"/>
      <w:marTop w:val="0"/>
      <w:marBottom w:val="0"/>
      <w:divBdr>
        <w:top w:val="none" w:sz="0" w:space="0" w:color="auto"/>
        <w:left w:val="none" w:sz="0" w:space="0" w:color="auto"/>
        <w:bottom w:val="none" w:sz="0" w:space="0" w:color="auto"/>
        <w:right w:val="none" w:sz="0" w:space="0" w:color="auto"/>
      </w:divBdr>
    </w:div>
    <w:div w:id="69425581">
      <w:bodyDiv w:val="1"/>
      <w:marLeft w:val="0"/>
      <w:marRight w:val="0"/>
      <w:marTop w:val="0"/>
      <w:marBottom w:val="0"/>
      <w:divBdr>
        <w:top w:val="none" w:sz="0" w:space="0" w:color="auto"/>
        <w:left w:val="none" w:sz="0" w:space="0" w:color="auto"/>
        <w:bottom w:val="none" w:sz="0" w:space="0" w:color="auto"/>
        <w:right w:val="none" w:sz="0" w:space="0" w:color="auto"/>
      </w:divBdr>
    </w:div>
    <w:div w:id="86195777">
      <w:bodyDiv w:val="1"/>
      <w:marLeft w:val="0"/>
      <w:marRight w:val="0"/>
      <w:marTop w:val="0"/>
      <w:marBottom w:val="0"/>
      <w:divBdr>
        <w:top w:val="none" w:sz="0" w:space="0" w:color="auto"/>
        <w:left w:val="none" w:sz="0" w:space="0" w:color="auto"/>
        <w:bottom w:val="none" w:sz="0" w:space="0" w:color="auto"/>
        <w:right w:val="none" w:sz="0" w:space="0" w:color="auto"/>
      </w:divBdr>
    </w:div>
    <w:div w:id="89595036">
      <w:bodyDiv w:val="1"/>
      <w:marLeft w:val="0"/>
      <w:marRight w:val="0"/>
      <w:marTop w:val="0"/>
      <w:marBottom w:val="0"/>
      <w:divBdr>
        <w:top w:val="none" w:sz="0" w:space="0" w:color="auto"/>
        <w:left w:val="none" w:sz="0" w:space="0" w:color="auto"/>
        <w:bottom w:val="none" w:sz="0" w:space="0" w:color="auto"/>
        <w:right w:val="none" w:sz="0" w:space="0" w:color="auto"/>
      </w:divBdr>
    </w:div>
    <w:div w:id="95099019">
      <w:bodyDiv w:val="1"/>
      <w:marLeft w:val="0"/>
      <w:marRight w:val="0"/>
      <w:marTop w:val="0"/>
      <w:marBottom w:val="0"/>
      <w:divBdr>
        <w:top w:val="none" w:sz="0" w:space="0" w:color="auto"/>
        <w:left w:val="none" w:sz="0" w:space="0" w:color="auto"/>
        <w:bottom w:val="none" w:sz="0" w:space="0" w:color="auto"/>
        <w:right w:val="none" w:sz="0" w:space="0" w:color="auto"/>
      </w:divBdr>
    </w:div>
    <w:div w:id="104008578">
      <w:bodyDiv w:val="1"/>
      <w:marLeft w:val="0"/>
      <w:marRight w:val="0"/>
      <w:marTop w:val="0"/>
      <w:marBottom w:val="0"/>
      <w:divBdr>
        <w:top w:val="none" w:sz="0" w:space="0" w:color="auto"/>
        <w:left w:val="none" w:sz="0" w:space="0" w:color="auto"/>
        <w:bottom w:val="none" w:sz="0" w:space="0" w:color="auto"/>
        <w:right w:val="none" w:sz="0" w:space="0" w:color="auto"/>
      </w:divBdr>
    </w:div>
    <w:div w:id="227880625">
      <w:bodyDiv w:val="1"/>
      <w:marLeft w:val="0"/>
      <w:marRight w:val="0"/>
      <w:marTop w:val="0"/>
      <w:marBottom w:val="0"/>
      <w:divBdr>
        <w:top w:val="none" w:sz="0" w:space="0" w:color="auto"/>
        <w:left w:val="none" w:sz="0" w:space="0" w:color="auto"/>
        <w:bottom w:val="none" w:sz="0" w:space="0" w:color="auto"/>
        <w:right w:val="none" w:sz="0" w:space="0" w:color="auto"/>
      </w:divBdr>
    </w:div>
    <w:div w:id="290207552">
      <w:bodyDiv w:val="1"/>
      <w:marLeft w:val="0"/>
      <w:marRight w:val="0"/>
      <w:marTop w:val="0"/>
      <w:marBottom w:val="0"/>
      <w:divBdr>
        <w:top w:val="none" w:sz="0" w:space="0" w:color="auto"/>
        <w:left w:val="none" w:sz="0" w:space="0" w:color="auto"/>
        <w:bottom w:val="none" w:sz="0" w:space="0" w:color="auto"/>
        <w:right w:val="none" w:sz="0" w:space="0" w:color="auto"/>
      </w:divBdr>
    </w:div>
    <w:div w:id="389350415">
      <w:bodyDiv w:val="1"/>
      <w:marLeft w:val="0"/>
      <w:marRight w:val="0"/>
      <w:marTop w:val="0"/>
      <w:marBottom w:val="0"/>
      <w:divBdr>
        <w:top w:val="none" w:sz="0" w:space="0" w:color="auto"/>
        <w:left w:val="none" w:sz="0" w:space="0" w:color="auto"/>
        <w:bottom w:val="none" w:sz="0" w:space="0" w:color="auto"/>
        <w:right w:val="none" w:sz="0" w:space="0" w:color="auto"/>
      </w:divBdr>
    </w:div>
    <w:div w:id="393048378">
      <w:bodyDiv w:val="1"/>
      <w:marLeft w:val="0"/>
      <w:marRight w:val="0"/>
      <w:marTop w:val="0"/>
      <w:marBottom w:val="0"/>
      <w:divBdr>
        <w:top w:val="none" w:sz="0" w:space="0" w:color="auto"/>
        <w:left w:val="none" w:sz="0" w:space="0" w:color="auto"/>
        <w:bottom w:val="none" w:sz="0" w:space="0" w:color="auto"/>
        <w:right w:val="none" w:sz="0" w:space="0" w:color="auto"/>
      </w:divBdr>
    </w:div>
    <w:div w:id="440222411">
      <w:bodyDiv w:val="1"/>
      <w:marLeft w:val="0"/>
      <w:marRight w:val="0"/>
      <w:marTop w:val="0"/>
      <w:marBottom w:val="0"/>
      <w:divBdr>
        <w:top w:val="none" w:sz="0" w:space="0" w:color="auto"/>
        <w:left w:val="none" w:sz="0" w:space="0" w:color="auto"/>
        <w:bottom w:val="none" w:sz="0" w:space="0" w:color="auto"/>
        <w:right w:val="none" w:sz="0" w:space="0" w:color="auto"/>
      </w:divBdr>
    </w:div>
    <w:div w:id="442966722">
      <w:bodyDiv w:val="1"/>
      <w:marLeft w:val="0"/>
      <w:marRight w:val="0"/>
      <w:marTop w:val="0"/>
      <w:marBottom w:val="0"/>
      <w:divBdr>
        <w:top w:val="none" w:sz="0" w:space="0" w:color="auto"/>
        <w:left w:val="none" w:sz="0" w:space="0" w:color="auto"/>
        <w:bottom w:val="none" w:sz="0" w:space="0" w:color="auto"/>
        <w:right w:val="none" w:sz="0" w:space="0" w:color="auto"/>
      </w:divBdr>
    </w:div>
    <w:div w:id="470902126">
      <w:bodyDiv w:val="1"/>
      <w:marLeft w:val="0"/>
      <w:marRight w:val="0"/>
      <w:marTop w:val="0"/>
      <w:marBottom w:val="0"/>
      <w:divBdr>
        <w:top w:val="none" w:sz="0" w:space="0" w:color="auto"/>
        <w:left w:val="none" w:sz="0" w:space="0" w:color="auto"/>
        <w:bottom w:val="none" w:sz="0" w:space="0" w:color="auto"/>
        <w:right w:val="none" w:sz="0" w:space="0" w:color="auto"/>
      </w:divBdr>
    </w:div>
    <w:div w:id="505637290">
      <w:bodyDiv w:val="1"/>
      <w:marLeft w:val="0"/>
      <w:marRight w:val="0"/>
      <w:marTop w:val="0"/>
      <w:marBottom w:val="0"/>
      <w:divBdr>
        <w:top w:val="none" w:sz="0" w:space="0" w:color="auto"/>
        <w:left w:val="none" w:sz="0" w:space="0" w:color="auto"/>
        <w:bottom w:val="none" w:sz="0" w:space="0" w:color="auto"/>
        <w:right w:val="none" w:sz="0" w:space="0" w:color="auto"/>
      </w:divBdr>
    </w:div>
    <w:div w:id="523249693">
      <w:bodyDiv w:val="1"/>
      <w:marLeft w:val="0"/>
      <w:marRight w:val="0"/>
      <w:marTop w:val="0"/>
      <w:marBottom w:val="0"/>
      <w:divBdr>
        <w:top w:val="none" w:sz="0" w:space="0" w:color="auto"/>
        <w:left w:val="none" w:sz="0" w:space="0" w:color="auto"/>
        <w:bottom w:val="none" w:sz="0" w:space="0" w:color="auto"/>
        <w:right w:val="none" w:sz="0" w:space="0" w:color="auto"/>
      </w:divBdr>
    </w:div>
    <w:div w:id="567957996">
      <w:bodyDiv w:val="1"/>
      <w:marLeft w:val="0"/>
      <w:marRight w:val="0"/>
      <w:marTop w:val="0"/>
      <w:marBottom w:val="0"/>
      <w:divBdr>
        <w:top w:val="none" w:sz="0" w:space="0" w:color="auto"/>
        <w:left w:val="none" w:sz="0" w:space="0" w:color="auto"/>
        <w:bottom w:val="none" w:sz="0" w:space="0" w:color="auto"/>
        <w:right w:val="none" w:sz="0" w:space="0" w:color="auto"/>
      </w:divBdr>
    </w:div>
    <w:div w:id="638876251">
      <w:bodyDiv w:val="1"/>
      <w:marLeft w:val="0"/>
      <w:marRight w:val="0"/>
      <w:marTop w:val="0"/>
      <w:marBottom w:val="0"/>
      <w:divBdr>
        <w:top w:val="none" w:sz="0" w:space="0" w:color="auto"/>
        <w:left w:val="none" w:sz="0" w:space="0" w:color="auto"/>
        <w:bottom w:val="none" w:sz="0" w:space="0" w:color="auto"/>
        <w:right w:val="none" w:sz="0" w:space="0" w:color="auto"/>
      </w:divBdr>
    </w:div>
    <w:div w:id="668144404">
      <w:bodyDiv w:val="1"/>
      <w:marLeft w:val="0"/>
      <w:marRight w:val="0"/>
      <w:marTop w:val="0"/>
      <w:marBottom w:val="0"/>
      <w:divBdr>
        <w:top w:val="none" w:sz="0" w:space="0" w:color="auto"/>
        <w:left w:val="none" w:sz="0" w:space="0" w:color="auto"/>
        <w:bottom w:val="none" w:sz="0" w:space="0" w:color="auto"/>
        <w:right w:val="none" w:sz="0" w:space="0" w:color="auto"/>
      </w:divBdr>
    </w:div>
    <w:div w:id="713580359">
      <w:bodyDiv w:val="1"/>
      <w:marLeft w:val="0"/>
      <w:marRight w:val="0"/>
      <w:marTop w:val="0"/>
      <w:marBottom w:val="0"/>
      <w:divBdr>
        <w:top w:val="none" w:sz="0" w:space="0" w:color="auto"/>
        <w:left w:val="none" w:sz="0" w:space="0" w:color="auto"/>
        <w:bottom w:val="none" w:sz="0" w:space="0" w:color="auto"/>
        <w:right w:val="none" w:sz="0" w:space="0" w:color="auto"/>
      </w:divBdr>
    </w:div>
    <w:div w:id="764766002">
      <w:bodyDiv w:val="1"/>
      <w:marLeft w:val="0"/>
      <w:marRight w:val="0"/>
      <w:marTop w:val="0"/>
      <w:marBottom w:val="0"/>
      <w:divBdr>
        <w:top w:val="none" w:sz="0" w:space="0" w:color="auto"/>
        <w:left w:val="none" w:sz="0" w:space="0" w:color="auto"/>
        <w:bottom w:val="none" w:sz="0" w:space="0" w:color="auto"/>
        <w:right w:val="none" w:sz="0" w:space="0" w:color="auto"/>
      </w:divBdr>
    </w:div>
    <w:div w:id="779227137">
      <w:bodyDiv w:val="1"/>
      <w:marLeft w:val="0"/>
      <w:marRight w:val="0"/>
      <w:marTop w:val="0"/>
      <w:marBottom w:val="0"/>
      <w:divBdr>
        <w:top w:val="none" w:sz="0" w:space="0" w:color="auto"/>
        <w:left w:val="none" w:sz="0" w:space="0" w:color="auto"/>
        <w:bottom w:val="none" w:sz="0" w:space="0" w:color="auto"/>
        <w:right w:val="none" w:sz="0" w:space="0" w:color="auto"/>
      </w:divBdr>
    </w:div>
    <w:div w:id="875848732">
      <w:bodyDiv w:val="1"/>
      <w:marLeft w:val="0"/>
      <w:marRight w:val="0"/>
      <w:marTop w:val="0"/>
      <w:marBottom w:val="0"/>
      <w:divBdr>
        <w:top w:val="none" w:sz="0" w:space="0" w:color="auto"/>
        <w:left w:val="none" w:sz="0" w:space="0" w:color="auto"/>
        <w:bottom w:val="none" w:sz="0" w:space="0" w:color="auto"/>
        <w:right w:val="none" w:sz="0" w:space="0" w:color="auto"/>
      </w:divBdr>
    </w:div>
    <w:div w:id="994725842">
      <w:bodyDiv w:val="1"/>
      <w:marLeft w:val="0"/>
      <w:marRight w:val="0"/>
      <w:marTop w:val="0"/>
      <w:marBottom w:val="0"/>
      <w:divBdr>
        <w:top w:val="none" w:sz="0" w:space="0" w:color="auto"/>
        <w:left w:val="none" w:sz="0" w:space="0" w:color="auto"/>
        <w:bottom w:val="none" w:sz="0" w:space="0" w:color="auto"/>
        <w:right w:val="none" w:sz="0" w:space="0" w:color="auto"/>
      </w:divBdr>
    </w:div>
    <w:div w:id="1085347763">
      <w:bodyDiv w:val="1"/>
      <w:marLeft w:val="0"/>
      <w:marRight w:val="0"/>
      <w:marTop w:val="0"/>
      <w:marBottom w:val="0"/>
      <w:divBdr>
        <w:top w:val="none" w:sz="0" w:space="0" w:color="auto"/>
        <w:left w:val="none" w:sz="0" w:space="0" w:color="auto"/>
        <w:bottom w:val="none" w:sz="0" w:space="0" w:color="auto"/>
        <w:right w:val="none" w:sz="0" w:space="0" w:color="auto"/>
      </w:divBdr>
    </w:div>
    <w:div w:id="1090929491">
      <w:bodyDiv w:val="1"/>
      <w:marLeft w:val="0"/>
      <w:marRight w:val="0"/>
      <w:marTop w:val="0"/>
      <w:marBottom w:val="0"/>
      <w:divBdr>
        <w:top w:val="none" w:sz="0" w:space="0" w:color="auto"/>
        <w:left w:val="none" w:sz="0" w:space="0" w:color="auto"/>
        <w:bottom w:val="none" w:sz="0" w:space="0" w:color="auto"/>
        <w:right w:val="none" w:sz="0" w:space="0" w:color="auto"/>
      </w:divBdr>
    </w:div>
    <w:div w:id="1338078727">
      <w:bodyDiv w:val="1"/>
      <w:marLeft w:val="0"/>
      <w:marRight w:val="0"/>
      <w:marTop w:val="0"/>
      <w:marBottom w:val="0"/>
      <w:divBdr>
        <w:top w:val="none" w:sz="0" w:space="0" w:color="auto"/>
        <w:left w:val="none" w:sz="0" w:space="0" w:color="auto"/>
        <w:bottom w:val="none" w:sz="0" w:space="0" w:color="auto"/>
        <w:right w:val="none" w:sz="0" w:space="0" w:color="auto"/>
      </w:divBdr>
    </w:div>
    <w:div w:id="1373531243">
      <w:bodyDiv w:val="1"/>
      <w:marLeft w:val="0"/>
      <w:marRight w:val="0"/>
      <w:marTop w:val="0"/>
      <w:marBottom w:val="0"/>
      <w:divBdr>
        <w:top w:val="none" w:sz="0" w:space="0" w:color="auto"/>
        <w:left w:val="none" w:sz="0" w:space="0" w:color="auto"/>
        <w:bottom w:val="none" w:sz="0" w:space="0" w:color="auto"/>
        <w:right w:val="none" w:sz="0" w:space="0" w:color="auto"/>
      </w:divBdr>
    </w:div>
    <w:div w:id="1419398324">
      <w:bodyDiv w:val="1"/>
      <w:marLeft w:val="0"/>
      <w:marRight w:val="0"/>
      <w:marTop w:val="0"/>
      <w:marBottom w:val="0"/>
      <w:divBdr>
        <w:top w:val="none" w:sz="0" w:space="0" w:color="auto"/>
        <w:left w:val="none" w:sz="0" w:space="0" w:color="auto"/>
        <w:bottom w:val="none" w:sz="0" w:space="0" w:color="auto"/>
        <w:right w:val="none" w:sz="0" w:space="0" w:color="auto"/>
      </w:divBdr>
    </w:div>
    <w:div w:id="1466855468">
      <w:bodyDiv w:val="1"/>
      <w:marLeft w:val="0"/>
      <w:marRight w:val="0"/>
      <w:marTop w:val="0"/>
      <w:marBottom w:val="0"/>
      <w:divBdr>
        <w:top w:val="none" w:sz="0" w:space="0" w:color="auto"/>
        <w:left w:val="none" w:sz="0" w:space="0" w:color="auto"/>
        <w:bottom w:val="none" w:sz="0" w:space="0" w:color="auto"/>
        <w:right w:val="none" w:sz="0" w:space="0" w:color="auto"/>
      </w:divBdr>
    </w:div>
    <w:div w:id="1577083992">
      <w:bodyDiv w:val="1"/>
      <w:marLeft w:val="0"/>
      <w:marRight w:val="0"/>
      <w:marTop w:val="0"/>
      <w:marBottom w:val="0"/>
      <w:divBdr>
        <w:top w:val="none" w:sz="0" w:space="0" w:color="auto"/>
        <w:left w:val="none" w:sz="0" w:space="0" w:color="auto"/>
        <w:bottom w:val="none" w:sz="0" w:space="0" w:color="auto"/>
        <w:right w:val="none" w:sz="0" w:space="0" w:color="auto"/>
      </w:divBdr>
    </w:div>
    <w:div w:id="1598295135">
      <w:bodyDiv w:val="1"/>
      <w:marLeft w:val="0"/>
      <w:marRight w:val="0"/>
      <w:marTop w:val="0"/>
      <w:marBottom w:val="0"/>
      <w:divBdr>
        <w:top w:val="none" w:sz="0" w:space="0" w:color="auto"/>
        <w:left w:val="none" w:sz="0" w:space="0" w:color="auto"/>
        <w:bottom w:val="none" w:sz="0" w:space="0" w:color="auto"/>
        <w:right w:val="none" w:sz="0" w:space="0" w:color="auto"/>
      </w:divBdr>
    </w:div>
    <w:div w:id="1599602809">
      <w:bodyDiv w:val="1"/>
      <w:marLeft w:val="0"/>
      <w:marRight w:val="0"/>
      <w:marTop w:val="0"/>
      <w:marBottom w:val="0"/>
      <w:divBdr>
        <w:top w:val="none" w:sz="0" w:space="0" w:color="auto"/>
        <w:left w:val="none" w:sz="0" w:space="0" w:color="auto"/>
        <w:bottom w:val="none" w:sz="0" w:space="0" w:color="auto"/>
        <w:right w:val="none" w:sz="0" w:space="0" w:color="auto"/>
      </w:divBdr>
    </w:div>
    <w:div w:id="1686983031">
      <w:bodyDiv w:val="1"/>
      <w:marLeft w:val="0"/>
      <w:marRight w:val="0"/>
      <w:marTop w:val="0"/>
      <w:marBottom w:val="0"/>
      <w:divBdr>
        <w:top w:val="none" w:sz="0" w:space="0" w:color="auto"/>
        <w:left w:val="none" w:sz="0" w:space="0" w:color="auto"/>
        <w:bottom w:val="none" w:sz="0" w:space="0" w:color="auto"/>
        <w:right w:val="none" w:sz="0" w:space="0" w:color="auto"/>
      </w:divBdr>
    </w:div>
    <w:div w:id="1988319145">
      <w:bodyDiv w:val="1"/>
      <w:marLeft w:val="0"/>
      <w:marRight w:val="0"/>
      <w:marTop w:val="0"/>
      <w:marBottom w:val="0"/>
      <w:divBdr>
        <w:top w:val="none" w:sz="0" w:space="0" w:color="auto"/>
        <w:left w:val="none" w:sz="0" w:space="0" w:color="auto"/>
        <w:bottom w:val="none" w:sz="0" w:space="0" w:color="auto"/>
        <w:right w:val="none" w:sz="0" w:space="0" w:color="auto"/>
      </w:divBdr>
    </w:div>
    <w:div w:id="2083288355">
      <w:bodyDiv w:val="1"/>
      <w:marLeft w:val="0"/>
      <w:marRight w:val="0"/>
      <w:marTop w:val="0"/>
      <w:marBottom w:val="0"/>
      <w:divBdr>
        <w:top w:val="none" w:sz="0" w:space="0" w:color="auto"/>
        <w:left w:val="none" w:sz="0" w:space="0" w:color="auto"/>
        <w:bottom w:val="none" w:sz="0" w:space="0" w:color="auto"/>
        <w:right w:val="none" w:sz="0" w:space="0" w:color="auto"/>
      </w:divBdr>
    </w:div>
    <w:div w:id="2093382414">
      <w:bodyDiv w:val="1"/>
      <w:marLeft w:val="0"/>
      <w:marRight w:val="0"/>
      <w:marTop w:val="0"/>
      <w:marBottom w:val="0"/>
      <w:divBdr>
        <w:top w:val="none" w:sz="0" w:space="0" w:color="auto"/>
        <w:left w:val="none" w:sz="0" w:space="0" w:color="auto"/>
        <w:bottom w:val="none" w:sz="0" w:space="0" w:color="auto"/>
        <w:right w:val="none" w:sz="0" w:space="0" w:color="auto"/>
      </w:divBdr>
    </w:div>
    <w:div w:id="209967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0F924-1C29-4E22-9C68-1BA0D905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71815</Words>
  <Characters>333227</Characters>
  <Application>Microsoft Office Word</Application>
  <DocSecurity>0</DocSecurity>
  <Lines>8769</Lines>
  <Paragraphs>4091</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400951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(Miscellaneous Provisions) Act 1911 - 17-f0-00</dc:title>
  <dc:subject/>
  <dc:creator/>
  <cp:keywords/>
  <dc:description/>
  <cp:lastModifiedBy>Master Repository Process</cp:lastModifiedBy>
  <cp:revision>4</cp:revision>
  <cp:lastPrinted>2019-01-10T06:54:00Z</cp:lastPrinted>
  <dcterms:created xsi:type="dcterms:W3CDTF">2022-03-30T03:39:00Z</dcterms:created>
  <dcterms:modified xsi:type="dcterms:W3CDTF">2022-03-30T03:40:00Z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DocumentType">
    <vt:lpwstr>Act</vt:lpwstr>
  </property>
  <property fmtid="{D5CDD505-2E9C-101B-9397-08002B2CF9AE}" pid="4" name="OwlsUID">
    <vt:i4>343</vt:i4>
  </property>
  <property fmtid="{D5CDD505-2E9C-101B-9397-08002B2CF9AE}" pid="5" name="ReprintedAsAt">
    <vt:filetime>2017-12-14T16:00:00Z</vt:filetime>
  </property>
  <property fmtid="{D5CDD505-2E9C-101B-9397-08002B2CF9AE}" pid="6" name="ReprintNo">
    <vt:lpwstr>17</vt:lpwstr>
  </property>
  <property fmtid="{D5CDD505-2E9C-101B-9397-08002B2CF9AE}" pid="7" name="AsAtDate">
    <vt:lpwstr>31 Mar 2022</vt:lpwstr>
  </property>
  <property fmtid="{D5CDD505-2E9C-101B-9397-08002B2CF9AE}" pid="8" name="Suffix">
    <vt:lpwstr>17-f0-00</vt:lpwstr>
  </property>
  <property fmtid="{D5CDD505-2E9C-101B-9397-08002B2CF9AE}" pid="9" name="CommencementDate">
    <vt:lpwstr>20220331</vt:lpwstr>
  </property>
</Properties>
</file>