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_Toc98506032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_Toc98506033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_Toc98506034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_Toc98506035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_Toc98506037 \h </w:instrText>
      </w:r>
      <w:r>
        <w:fldChar w:fldCharType="separate"/>
      </w:r>
      <w:r>
        <w:t>10</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_Toc98506038 \h </w:instrText>
      </w:r>
      <w:r>
        <w:fldChar w:fldCharType="separate"/>
      </w:r>
      <w:r>
        <w:t>11</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_Toc98506039 \h </w:instrText>
      </w:r>
      <w:r>
        <w:fldChar w:fldCharType="separate"/>
      </w:r>
      <w:r>
        <w:t>12</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_Toc98506040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_Toc98506042 \h </w:instrText>
      </w:r>
      <w:r>
        <w:fldChar w:fldCharType="separate"/>
      </w:r>
      <w:r>
        <w:t>13</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_Toc98506043 \h </w:instrText>
      </w:r>
      <w:r>
        <w:fldChar w:fldCharType="separate"/>
      </w:r>
      <w:r>
        <w:t>13</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_Toc98506044 \h </w:instrText>
      </w:r>
      <w:r>
        <w:fldChar w:fldCharType="separate"/>
      </w:r>
      <w:r>
        <w:t>14</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_Toc98506045 \h </w:instrText>
      </w:r>
      <w:r>
        <w:fldChar w:fldCharType="separate"/>
      </w:r>
      <w:r>
        <w:t>14</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_Toc98506046 \h </w:instrText>
      </w:r>
      <w:r>
        <w:fldChar w:fldCharType="separate"/>
      </w:r>
      <w:r>
        <w:t>15</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_Toc98506047 \h </w:instrText>
      </w:r>
      <w:r>
        <w:fldChar w:fldCharType="separate"/>
      </w:r>
      <w:r>
        <w:t>16</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_Toc98506048 \h </w:instrText>
      </w:r>
      <w:r>
        <w:fldChar w:fldCharType="separate"/>
      </w:r>
      <w:r>
        <w:t>17</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_Toc98506049 \h </w:instrText>
      </w:r>
      <w:r>
        <w:fldChar w:fldCharType="separate"/>
      </w:r>
      <w:r>
        <w:t>17</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_Toc98506050 \h </w:instrText>
      </w:r>
      <w:r>
        <w:fldChar w:fldCharType="separate"/>
      </w:r>
      <w:r>
        <w:t>18</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_Toc98506051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_Toc98506052 \h </w:instrText>
      </w:r>
      <w:r>
        <w:fldChar w:fldCharType="separate"/>
      </w:r>
      <w:r>
        <w:t>19</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_Toc98506053 \h </w:instrText>
      </w:r>
      <w:r>
        <w:fldChar w:fldCharType="separate"/>
      </w:r>
      <w:r>
        <w:t>19</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_Toc98506054 \h </w:instrText>
      </w:r>
      <w:r>
        <w:fldChar w:fldCharType="separate"/>
      </w:r>
      <w:r>
        <w:t>20</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_Toc98506055 \h </w:instrText>
      </w:r>
      <w:r>
        <w:fldChar w:fldCharType="separate"/>
      </w:r>
      <w:r>
        <w:t>20</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_Toc98506056 \h </w:instrText>
      </w:r>
      <w:r>
        <w:fldChar w:fldCharType="separate"/>
      </w:r>
      <w:r>
        <w:t>21</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_Toc98506057 \h </w:instrText>
      </w:r>
      <w:r>
        <w:fldChar w:fldCharType="separate"/>
      </w:r>
      <w:r>
        <w:t>22</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_Toc98506058 \h </w:instrText>
      </w:r>
      <w:r>
        <w:fldChar w:fldCharType="separate"/>
      </w:r>
      <w:r>
        <w:t>23</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_Toc98506059 \h </w:instrText>
      </w:r>
      <w:r>
        <w:fldChar w:fldCharType="separate"/>
      </w:r>
      <w:r>
        <w:t>24</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_Toc98506060 \h </w:instrText>
      </w:r>
      <w:r>
        <w:fldChar w:fldCharType="separate"/>
      </w:r>
      <w:r>
        <w:t>26</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_Toc98506061 \h </w:instrText>
      </w:r>
      <w:r>
        <w:fldChar w:fldCharType="separate"/>
      </w:r>
      <w:r>
        <w:t>26</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_Toc98506062 \h </w:instrText>
      </w:r>
      <w:r>
        <w:fldChar w:fldCharType="separate"/>
      </w:r>
      <w:r>
        <w:t>26</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_Toc98506063 \h </w:instrText>
      </w:r>
      <w:r>
        <w:fldChar w:fldCharType="separate"/>
      </w:r>
      <w:r>
        <w:t>27</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_Toc98506064 \h </w:instrText>
      </w:r>
      <w:r>
        <w:fldChar w:fldCharType="separate"/>
      </w:r>
      <w:r>
        <w:t>27</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_Toc98506065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_Toc98506066 \h </w:instrText>
      </w:r>
      <w:r>
        <w:fldChar w:fldCharType="separate"/>
      </w:r>
      <w:r>
        <w:t>28</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_Toc98506067 \h </w:instrText>
      </w:r>
      <w:r>
        <w:fldChar w:fldCharType="separate"/>
      </w:r>
      <w:r>
        <w:t>29</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_Toc98506068 \h </w:instrText>
      </w:r>
      <w:r>
        <w:fldChar w:fldCharType="separate"/>
      </w:r>
      <w:r>
        <w:t>30</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_Toc98506069 \h </w:instrText>
      </w:r>
      <w:r>
        <w:fldChar w:fldCharType="separate"/>
      </w:r>
      <w:r>
        <w:t>30</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_Toc98506070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_Toc98506072 \h </w:instrText>
      </w:r>
      <w:r>
        <w:fldChar w:fldCharType="separate"/>
      </w:r>
      <w:r>
        <w:t>32</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_Toc98506073 \h </w:instrText>
      </w:r>
      <w:r>
        <w:fldChar w:fldCharType="separate"/>
      </w:r>
      <w:r>
        <w:t>32</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_Toc98506074 \h </w:instrText>
      </w:r>
      <w:r>
        <w:fldChar w:fldCharType="separate"/>
      </w:r>
      <w:r>
        <w:t>34</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_Toc98506075 \h </w:instrText>
      </w:r>
      <w:r>
        <w:fldChar w:fldCharType="separate"/>
      </w:r>
      <w:r>
        <w:t>34</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_Toc98506076 \h </w:instrText>
      </w:r>
      <w:r>
        <w:fldChar w:fldCharType="separate"/>
      </w:r>
      <w:r>
        <w:t>35</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_Toc98506077 \h </w:instrText>
      </w:r>
      <w:r>
        <w:fldChar w:fldCharType="separate"/>
      </w:r>
      <w:r>
        <w:t>35</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_Toc98506078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_Toc98506080 \h </w:instrText>
      </w:r>
      <w:r>
        <w:fldChar w:fldCharType="separate"/>
      </w:r>
      <w:r>
        <w:t>38</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_Toc98506081 \h </w:instrText>
      </w:r>
      <w:r>
        <w:fldChar w:fldCharType="separate"/>
      </w:r>
      <w:r>
        <w:t>38</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_Toc98506082 \h </w:instrText>
      </w:r>
      <w:r>
        <w:fldChar w:fldCharType="separate"/>
      </w:r>
      <w:r>
        <w:t>38</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_Toc98506083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_Toc98506084 \h </w:instrText>
      </w:r>
      <w:r>
        <w:fldChar w:fldCharType="separate"/>
      </w:r>
      <w:r>
        <w:t>41</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_Toc98506085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certification and records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_Toc98506088 \h </w:instrText>
      </w:r>
      <w:r>
        <w:fldChar w:fldCharType="separate"/>
      </w:r>
      <w:r>
        <w:t>43</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_Toc98506089 \h </w:instrText>
      </w:r>
      <w:r>
        <w:fldChar w:fldCharType="separate"/>
      </w:r>
      <w:r>
        <w:t>43</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_Toc98506090 \h </w:instrText>
      </w:r>
      <w:r>
        <w:fldChar w:fldCharType="separate"/>
      </w:r>
      <w:r>
        <w:t>44</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_Toc98506091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_Toc98506093 \h </w:instrText>
      </w:r>
      <w:r>
        <w:fldChar w:fldCharType="separate"/>
      </w:r>
      <w:r>
        <w:t>47</w:t>
      </w:r>
      <w:r>
        <w:fldChar w:fldCharType="end"/>
      </w:r>
    </w:p>
    <w:p>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_Toc98506094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_Toc98506096 \h </w:instrText>
      </w:r>
      <w:r>
        <w:fldChar w:fldCharType="separate"/>
      </w:r>
      <w:r>
        <w:t>48</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_Toc98506097 \h </w:instrText>
      </w:r>
      <w:r>
        <w:fldChar w:fldCharType="separate"/>
      </w:r>
      <w:r>
        <w:t>49</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_Toc98506098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_Toc98506100 \h </w:instrText>
      </w:r>
      <w:r>
        <w:fldChar w:fldCharType="separate"/>
      </w:r>
      <w:r>
        <w:t>51</w:t>
      </w:r>
      <w:r>
        <w:fldChar w:fldCharType="end"/>
      </w:r>
    </w:p>
    <w:p>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_Toc98506101 \h </w:instrText>
      </w:r>
      <w:r>
        <w:fldChar w:fldCharType="separate"/>
      </w:r>
      <w:r>
        <w:t>52</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_Toc98506102 \h </w:instrText>
      </w:r>
      <w:r>
        <w:fldChar w:fldCharType="separate"/>
      </w:r>
      <w:r>
        <w:t>52</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_Toc98506103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_Toc98506105 \h </w:instrText>
      </w:r>
      <w:r>
        <w:fldChar w:fldCharType="separate"/>
      </w:r>
      <w:r>
        <w:t>53</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_Toc98506106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_Toc98506108 \h </w:instrText>
      </w:r>
      <w:r>
        <w:fldChar w:fldCharType="separate"/>
      </w:r>
      <w:r>
        <w:t>55</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_Toc98506109 \h </w:instrText>
      </w:r>
      <w:r>
        <w:fldChar w:fldCharType="separate"/>
      </w:r>
      <w:r>
        <w:t>56</w:t>
      </w:r>
      <w:r>
        <w:fldChar w:fldCharType="end"/>
      </w:r>
    </w:p>
    <w:p>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_Toc98506110 \h </w:instrText>
      </w:r>
      <w:r>
        <w:fldChar w:fldCharType="separate"/>
      </w:r>
      <w:r>
        <w:t>61</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_Toc98506111 \h </w:instrText>
      </w:r>
      <w:r>
        <w:fldChar w:fldCharType="separate"/>
      </w:r>
      <w:r>
        <w:t>61</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_Toc98506112 \h </w:instrText>
      </w:r>
      <w:r>
        <w:fldChar w:fldCharType="separate"/>
      </w:r>
      <w:r>
        <w:t>62</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_Toc98506113 \h </w:instrText>
      </w:r>
      <w:r>
        <w:fldChar w:fldCharType="separate"/>
      </w:r>
      <w:r>
        <w:t>63</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_Toc98506114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Plumbing standards for plumbing and plumbing work on subdivided land</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_Toc98506116 \h </w:instrText>
      </w:r>
      <w:r>
        <w:fldChar w:fldCharType="separate"/>
      </w:r>
      <w:r>
        <w:t>65</w:t>
      </w:r>
      <w:r>
        <w:fldChar w:fldCharType="end"/>
      </w:r>
    </w:p>
    <w:p>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_Toc98506117 \h </w:instrText>
      </w:r>
      <w:r>
        <w:fldChar w:fldCharType="separate"/>
      </w:r>
      <w:r>
        <w:t>66</w:t>
      </w:r>
      <w:r>
        <w:fldChar w:fldCharType="end"/>
      </w:r>
    </w:p>
    <w:p>
      <w:pPr>
        <w:pStyle w:val="TOC8"/>
        <w:rPr>
          <w:rFonts w:asciiTheme="minorHAnsi" w:eastAsiaTheme="minorEastAsia" w:hAnsiTheme="minorHAnsi" w:cstheme="minorBidi"/>
          <w:szCs w:val="22"/>
        </w:rPr>
      </w:pPr>
      <w:r>
        <w:t>57.</w:t>
      </w:r>
      <w:r>
        <w:tab/>
        <w:t>Service lines</w:t>
      </w:r>
      <w:r>
        <w:tab/>
      </w:r>
      <w:r>
        <w:fldChar w:fldCharType="begin"/>
      </w:r>
      <w:r>
        <w:instrText xml:space="preserve"> PAGEREF _Toc98506118 \h </w:instrText>
      </w:r>
      <w:r>
        <w:fldChar w:fldCharType="separate"/>
      </w:r>
      <w:r>
        <w:t>67</w:t>
      </w:r>
      <w:r>
        <w:fldChar w:fldCharType="end"/>
      </w:r>
    </w:p>
    <w:p>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_Toc98506119 \h </w:instrText>
      </w:r>
      <w:r>
        <w:fldChar w:fldCharType="separate"/>
      </w:r>
      <w:r>
        <w:t>69</w:t>
      </w:r>
      <w:r>
        <w:fldChar w:fldCharType="end"/>
      </w:r>
    </w:p>
    <w:p>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_Toc98506120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_Toc98506123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_Toc98506125 \h </w:instrText>
      </w:r>
      <w:r>
        <w:fldChar w:fldCharType="separate"/>
      </w:r>
      <w:r>
        <w:t>72</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_Toc98506126 \h </w:instrText>
      </w:r>
      <w:r>
        <w:fldChar w:fldCharType="separate"/>
      </w:r>
      <w:r>
        <w:t>72</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_Toc98506127 \h </w:instrText>
      </w:r>
      <w:r>
        <w:fldChar w:fldCharType="separate"/>
      </w:r>
      <w:r>
        <w:t>73</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_Toc98506128 \h </w:instrText>
      </w:r>
      <w:r>
        <w:fldChar w:fldCharType="separate"/>
      </w:r>
      <w:r>
        <w:t>74</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_Toc98506129 \h </w:instrText>
      </w:r>
      <w:r>
        <w:fldChar w:fldCharType="separate"/>
      </w:r>
      <w:r>
        <w:t>75</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_Toc98506130 \h </w:instrText>
      </w:r>
      <w:r>
        <w:fldChar w:fldCharType="separate"/>
      </w:r>
      <w:r>
        <w:t>77</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_Toc98506131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_Toc98506133 \h </w:instrText>
      </w:r>
      <w:r>
        <w:fldChar w:fldCharType="separate"/>
      </w:r>
      <w:r>
        <w:t>79</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_Toc98506134 \h </w:instrText>
      </w:r>
      <w:r>
        <w:fldChar w:fldCharType="separate"/>
      </w:r>
      <w:r>
        <w:t>79</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_Toc98506135 \h </w:instrText>
      </w:r>
      <w:r>
        <w:fldChar w:fldCharType="separate"/>
      </w:r>
      <w:r>
        <w:t>80</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_Toc98506136 \h </w:instrText>
      </w:r>
      <w:r>
        <w:fldChar w:fldCharType="separate"/>
      </w:r>
      <w:r>
        <w:t>81</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_Toc98506137 \h </w:instrText>
      </w:r>
      <w:r>
        <w:fldChar w:fldCharType="separate"/>
      </w:r>
      <w:r>
        <w:t>81</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_Toc98506138 \h </w:instrText>
      </w:r>
      <w:r>
        <w:fldChar w:fldCharType="separate"/>
      </w:r>
      <w:r>
        <w:t>82</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_Toc98506139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_Toc98506141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_Toc98506143 \h </w:instrText>
      </w:r>
      <w:r>
        <w:fldChar w:fldCharType="separate"/>
      </w:r>
      <w:r>
        <w:t>83</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_Toc98506144 \h </w:instrText>
      </w:r>
      <w:r>
        <w:fldChar w:fldCharType="separate"/>
      </w:r>
      <w:r>
        <w:t>84</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_Toc98506145 \h </w:instrText>
      </w:r>
      <w:r>
        <w:fldChar w:fldCharType="separate"/>
      </w:r>
      <w:r>
        <w:t>85</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_Toc98506146 \h </w:instrText>
      </w:r>
      <w:r>
        <w:fldChar w:fldCharType="separate"/>
      </w:r>
      <w:r>
        <w:t>85</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_Toc98506147 \h </w:instrText>
      </w:r>
      <w:r>
        <w:fldChar w:fldCharType="separate"/>
      </w:r>
      <w:r>
        <w:t>86</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_Toc98506148 \h </w:instrText>
      </w:r>
      <w:r>
        <w:fldChar w:fldCharType="separate"/>
      </w:r>
      <w:r>
        <w:t>87</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_Toc98506149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_Toc98506151 \h </w:instrText>
      </w:r>
      <w:r>
        <w:fldChar w:fldCharType="separate"/>
      </w:r>
      <w:r>
        <w:t>88</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_Toc98506152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_Toc98506154 \h </w:instrText>
      </w:r>
      <w:r>
        <w:fldChar w:fldCharType="separate"/>
      </w:r>
      <w:r>
        <w:t>90</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_Toc98506155 \h </w:instrText>
      </w:r>
      <w:r>
        <w:fldChar w:fldCharType="separate"/>
      </w:r>
      <w:r>
        <w:t>91</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_Toc98506156 \h </w:instrText>
      </w:r>
      <w:r>
        <w:fldChar w:fldCharType="separate"/>
      </w:r>
      <w:r>
        <w:t>91</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_Toc98506157 \h </w:instrText>
      </w:r>
      <w:r>
        <w:fldChar w:fldCharType="separate"/>
      </w:r>
      <w:r>
        <w:t>92</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_Toc98506158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_Toc98506159 \h </w:instrText>
      </w:r>
      <w:r>
        <w:fldChar w:fldCharType="separate"/>
      </w:r>
      <w:r>
        <w:t>93</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_Toc98506160 \h </w:instrText>
      </w:r>
      <w:r>
        <w:fldChar w:fldCharType="separate"/>
      </w:r>
      <w:r>
        <w:t>94</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_Toc98506161 \h </w:instrText>
      </w:r>
      <w:r>
        <w:fldChar w:fldCharType="separate"/>
      </w:r>
      <w:r>
        <w:t>95</w:t>
      </w:r>
      <w:r>
        <w:fldChar w:fldCharType="end"/>
      </w:r>
    </w:p>
    <w:p>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_Toc98506162 \h </w:instrText>
      </w:r>
      <w:r>
        <w:fldChar w:fldCharType="separate"/>
      </w:r>
      <w:r>
        <w:t>95</w:t>
      </w:r>
      <w:r>
        <w:fldChar w:fldCharType="end"/>
      </w:r>
    </w:p>
    <w:p>
      <w:pPr>
        <w:pStyle w:val="TOC8"/>
        <w:rPr>
          <w:rFonts w:asciiTheme="minorHAnsi" w:eastAsiaTheme="minorEastAsia" w:hAnsiTheme="minorHAnsi" w:cstheme="minorBidi"/>
          <w:szCs w:val="22"/>
        </w:rPr>
      </w:pPr>
      <w:r>
        <w:t>110.</w:t>
      </w:r>
      <w:r>
        <w:tab/>
        <w:t xml:space="preserve">Transitional provision for </w:t>
      </w:r>
      <w:r>
        <w:rPr>
          <w:i/>
        </w:rPr>
        <w:t>Plumbers Licensing and Plumbing Standards Amendment Regulations 2019</w:t>
      </w:r>
      <w:r>
        <w:tab/>
      </w:r>
      <w:r>
        <w:fldChar w:fldCharType="begin"/>
      </w:r>
      <w:r>
        <w:instrText xml:space="preserve"> PAGEREF _Toc98506163 \h </w:instrText>
      </w:r>
      <w:r>
        <w:fldChar w:fldCharType="separate"/>
      </w:r>
      <w:r>
        <w:t>95</w:t>
      </w:r>
      <w:r>
        <w:fldChar w:fldCharType="end"/>
      </w:r>
    </w:p>
    <w:p>
      <w:pPr>
        <w:pStyle w:val="TOC8"/>
        <w:rPr>
          <w:rFonts w:asciiTheme="minorHAnsi" w:eastAsiaTheme="minorEastAsia" w:hAnsiTheme="minorHAnsi" w:cstheme="minorBidi"/>
          <w:szCs w:val="22"/>
        </w:rPr>
      </w:pPr>
      <w:r>
        <w:t>111.</w:t>
      </w:r>
      <w:r>
        <w:tab/>
        <w:t xml:space="preserve">Transitional provisions for </w:t>
      </w:r>
      <w:r>
        <w:rPr>
          <w:i/>
        </w:rPr>
        <w:t>Plumbers Licensing and Plumbing Standards Amendment Regulations (No. 3) 2019</w:t>
      </w:r>
      <w:r>
        <w:tab/>
      </w:r>
      <w:r>
        <w:fldChar w:fldCharType="begin"/>
      </w:r>
      <w:r>
        <w:instrText xml:space="preserve"> PAGEREF _Toc98506164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Authorisation fees</w:t>
      </w:r>
    </w:p>
    <w:p>
      <w:pPr>
        <w:pStyle w:val="TOC4"/>
        <w:tabs>
          <w:tab w:val="right" w:leader="dot" w:pos="7077"/>
        </w:tabs>
        <w:rPr>
          <w:rFonts w:asciiTheme="minorHAnsi" w:eastAsiaTheme="minorEastAsia" w:hAnsiTheme="minorHAnsi" w:cstheme="minorBidi"/>
          <w:b w:val="0"/>
          <w:szCs w:val="22"/>
        </w:rPr>
      </w:pPr>
      <w:r>
        <w:t>Division 2 — Compliance fees</w:t>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_Toc98506169 \h </w:instrText>
      </w:r>
      <w:r>
        <w:fldChar w:fldCharType="separate"/>
      </w:r>
      <w:r>
        <w:t>100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_Toc98506170 \h </w:instrText>
      </w:r>
      <w:r>
        <w:fldChar w:fldCharType="separate"/>
      </w:r>
      <w:r>
        <w:t>100</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_Toc98506171 \h </w:instrText>
      </w:r>
      <w:r>
        <w:fldChar w:fldCharType="separate"/>
      </w:r>
      <w:r>
        <w:t>100</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_Toc98506172 \h </w:instrText>
      </w:r>
      <w:r>
        <w:fldChar w:fldCharType="separate"/>
      </w:r>
      <w:r>
        <w:t>101</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_Toc98506173 \h </w:instrText>
      </w:r>
      <w:r>
        <w:fldChar w:fldCharType="separate"/>
      </w:r>
      <w:r>
        <w:t>101</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_Toc98506174 \h </w:instrText>
      </w:r>
      <w:r>
        <w:fldChar w:fldCharType="separate"/>
      </w:r>
      <w:r>
        <w:t>101</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_Toc98506175 \h </w:instrText>
      </w:r>
      <w:r>
        <w:fldChar w:fldCharType="separate"/>
      </w:r>
      <w:r>
        <w:t>102</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_Toc98506176 \h </w:instrText>
      </w:r>
      <w:r>
        <w:fldChar w:fldCharType="separate"/>
      </w:r>
      <w:r>
        <w:t>102</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_Toc98506177 \h </w:instrText>
      </w:r>
      <w:r>
        <w:fldChar w:fldCharType="separate"/>
      </w:r>
      <w:r>
        <w:t>102</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_Toc98506178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_Toc98506181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_Toc98506183 \h </w:instrText>
      </w:r>
      <w:r>
        <w:fldChar w:fldCharType="separate"/>
      </w:r>
      <w:r>
        <w:t>103</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_Toc98506184 \h </w:instrText>
      </w:r>
      <w:r>
        <w:fldChar w:fldCharType="separate"/>
      </w:r>
      <w:r>
        <w:t>104</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_Toc98506185 \h </w:instrText>
      </w:r>
      <w:r>
        <w:fldChar w:fldCharType="separate"/>
      </w:r>
      <w:r>
        <w:t>104</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_Toc98506186 \h </w:instrText>
      </w:r>
      <w:r>
        <w:fldChar w:fldCharType="separate"/>
      </w:r>
      <w:r>
        <w:t>105</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_Toc98506187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_Toc98506189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_Toc98506192 \h </w:instrText>
      </w:r>
      <w:r>
        <w:fldChar w:fldCharType="separate"/>
      </w:r>
      <w:r>
        <w:t>110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_Toc98506193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98496887"/>
      <w:bookmarkStart w:id="4" w:name="_Toc98497268"/>
      <w:bookmarkStart w:id="5" w:name="_Toc9850603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98506032"/>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7" w:name="_Toc9850603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8" w:name="_Toc98506034"/>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 Division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 45DA(2); or</w:t>
      </w:r>
    </w:p>
    <w:p>
      <w:pPr>
        <w:pStyle w:val="Defpara"/>
      </w:pPr>
      <w:r>
        <w:tab/>
        <w:t>(b)</w:t>
      </w:r>
      <w:r>
        <w:tab/>
        <w:t>that is otherwise in the possession of the Board;</w:t>
      </w:r>
    </w:p>
    <w:p>
      <w:pPr>
        <w:pStyle w:val="Defstart"/>
      </w:pPr>
      <w:r>
        <w:rPr>
          <w:b/>
        </w:rPr>
        <w:lastRenderedPageBreak/>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lastRenderedPageBreak/>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 Division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lastRenderedPageBreak/>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 Division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2011</w:t>
      </w:r>
      <w:r>
        <w:t xml:space="preserve"> (Commonwealth) section 3);</w:t>
      </w:r>
    </w:p>
    <w:p>
      <w:pPr>
        <w:pStyle w:val="Defstart"/>
      </w:pPr>
      <w:r>
        <w:lastRenderedPageBreak/>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 Division 1;</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lastRenderedPageBreak/>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lastRenderedPageBreak/>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 SL 2021/86 r. 57; SL 2021/89 r. 4.]</w:t>
      </w:r>
    </w:p>
    <w:p>
      <w:pPr>
        <w:pStyle w:val="Heading5"/>
        <w:spacing w:before="120"/>
      </w:pPr>
      <w:bookmarkStart w:id="9" w:name="_Toc98506035"/>
      <w:r>
        <w:rPr>
          <w:rStyle w:val="CharSectno"/>
        </w:rPr>
        <w:t>4</w:t>
      </w:r>
      <w:r>
        <w:t>.</w:t>
      </w:r>
      <w:r>
        <w:tab/>
        <w:t>Plumbing work specified (Act s. 59I)</w:t>
      </w:r>
      <w:bookmarkEnd w:id="9"/>
    </w:p>
    <w:p>
      <w:pPr>
        <w:pStyle w:val="Subsection"/>
        <w:keepNext/>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lastRenderedPageBreak/>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10" w:name="_Toc98496892"/>
      <w:bookmarkStart w:id="11" w:name="_Toc98497273"/>
      <w:bookmarkStart w:id="12" w:name="_Toc98506036"/>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98506037"/>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14" w:name="_Toc98506038"/>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15" w:name="_Toc98506039"/>
      <w:r>
        <w:rPr>
          <w:rStyle w:val="CharSectno"/>
        </w:rPr>
        <w:lastRenderedPageBreak/>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16" w:name="_Toc98506040"/>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98496897"/>
      <w:bookmarkStart w:id="18" w:name="_Toc98497278"/>
      <w:bookmarkStart w:id="19" w:name="_Toc98506041"/>
      <w:r>
        <w:rPr>
          <w:rStyle w:val="CharPartNo"/>
        </w:rPr>
        <w:lastRenderedPageBreak/>
        <w:t>Part 3</w:t>
      </w:r>
      <w:r>
        <w:t xml:space="preserve"> — </w:t>
      </w:r>
      <w:r>
        <w:rPr>
          <w:rStyle w:val="CharPartText"/>
        </w:rPr>
        <w:t>Licences and permits</w:t>
      </w:r>
      <w:bookmarkEnd w:id="17"/>
      <w:bookmarkEnd w:id="18"/>
      <w:bookmarkEnd w:id="19"/>
    </w:p>
    <w:p>
      <w:pPr>
        <w:pStyle w:val="Footnoteheading"/>
      </w:pPr>
      <w:r>
        <w:tab/>
        <w:t>[Heading inserted: Gazette 7 Oct 2005 p. 4511.]</w:t>
      </w:r>
    </w:p>
    <w:p>
      <w:pPr>
        <w:pStyle w:val="Heading5"/>
      </w:pPr>
      <w:bookmarkStart w:id="20" w:name="_Toc98506042"/>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or pre</w:t>
      </w:r>
      <w:r>
        <w:noBreakHyphen/>
        <w:t>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 SL 2021/89 r. 5.]</w:t>
      </w:r>
    </w:p>
    <w:p>
      <w:pPr>
        <w:pStyle w:val="Heading5"/>
      </w:pPr>
      <w:bookmarkStart w:id="21" w:name="_Toc98506043"/>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22" w:name="_Toc98506044"/>
      <w:r>
        <w:rPr>
          <w:rStyle w:val="CharSectno"/>
        </w:rPr>
        <w:lastRenderedPageBreak/>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23" w:name="_Toc98506045"/>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lastRenderedPageBreak/>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 or pre</w:t>
      </w:r>
      <w:r>
        <w:noBreakHyphen/>
        <w:t>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 SL 2021/89 r. 6.]</w:t>
      </w:r>
    </w:p>
    <w:p>
      <w:pPr>
        <w:pStyle w:val="Heading5"/>
      </w:pPr>
      <w:bookmarkStart w:id="24" w:name="_Toc98506046"/>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 SL 2021/89 r. 7.]</w:t>
      </w:r>
    </w:p>
    <w:p>
      <w:pPr>
        <w:pStyle w:val="Heading5"/>
      </w:pPr>
      <w:bookmarkStart w:id="25" w:name="_Toc98506047"/>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26" w:name="_Toc98506048"/>
      <w:r>
        <w:rPr>
          <w:rStyle w:val="CharSectno"/>
        </w:rPr>
        <w:lastRenderedPageBreak/>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27" w:name="_Toc98506049"/>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lastRenderedPageBreak/>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28" w:name="_Toc98506050"/>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29" w:name="_Toc98506051"/>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lastRenderedPageBreak/>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30" w:name="_Toc98506052"/>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31" w:name="_Toc98506053"/>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lastRenderedPageBreak/>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32" w:name="_Toc98506054"/>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33" w:name="_Toc98506055"/>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lastRenderedPageBreak/>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34" w:name="_Toc98506056"/>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lastRenderedPageBreak/>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35" w:name="_Toc98506057"/>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36" w:name="_Toc98506058"/>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37" w:name="_Toc98506059"/>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lastRenderedPageBreak/>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38" w:name="_Toc98506060"/>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39" w:name="_Toc98506061"/>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 Division 1.</w:t>
      </w:r>
    </w:p>
    <w:p>
      <w:pPr>
        <w:pStyle w:val="Footnotesection"/>
        <w:ind w:left="890" w:hanging="890"/>
      </w:pPr>
      <w:r>
        <w:tab/>
        <w:t>[Regulation 22 amended: Gazette 28 Jun 2004 p. 2413; 7 Oct 2005 p. 4517; SL 2020/196 r. 54.]</w:t>
      </w:r>
    </w:p>
    <w:p>
      <w:pPr>
        <w:pStyle w:val="Heading5"/>
      </w:pPr>
      <w:bookmarkStart w:id="40" w:name="_Toc98506062"/>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41" w:name="_Toc98506063"/>
      <w:r>
        <w:rPr>
          <w:rStyle w:val="CharSectno"/>
        </w:rPr>
        <w:lastRenderedPageBreak/>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42" w:name="_Toc98506064"/>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43" w:name="_Toc98506065"/>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lastRenderedPageBreak/>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44" w:name="_Toc98506066"/>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45" w:name="_Toc98506067"/>
      <w:r>
        <w:rPr>
          <w:rStyle w:val="CharSectno"/>
        </w:rPr>
        <w:lastRenderedPageBreak/>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apprentice or pre</w:t>
      </w:r>
      <w:r>
        <w:noBreakHyphen/>
        <w:t>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 SL 2021/89 r. 8.]</w:t>
      </w:r>
    </w:p>
    <w:p>
      <w:pPr>
        <w:pStyle w:val="Heading5"/>
        <w:keepLines w:val="0"/>
      </w:pPr>
      <w:bookmarkStart w:id="46" w:name="_Toc98506068"/>
      <w:r>
        <w:rPr>
          <w:rStyle w:val="CharSectno"/>
        </w:rPr>
        <w:lastRenderedPageBreak/>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47" w:name="_Toc98506069"/>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48" w:name="_Toc98506070"/>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49" w:name="_Toc98496927"/>
      <w:bookmarkStart w:id="50" w:name="_Toc98497308"/>
      <w:bookmarkStart w:id="51" w:name="_Toc98506071"/>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98506072"/>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53" w:name="_Toc98506073"/>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lastRenderedPageBreak/>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lastRenderedPageBreak/>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54" w:name="_Toc98506074"/>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55" w:name="_Toc98506075"/>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56" w:name="_Toc98506076"/>
      <w:r>
        <w:rPr>
          <w:rStyle w:val="CharSectno"/>
        </w:rPr>
        <w:lastRenderedPageBreak/>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57" w:name="_Toc98506077"/>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lastRenderedPageBreak/>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58" w:name="_Toc98506078"/>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59" w:name="_Toc98496935"/>
      <w:bookmarkStart w:id="60" w:name="_Toc98497316"/>
      <w:bookmarkStart w:id="61" w:name="_Toc98506079"/>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Gazette 13 Dec 2016 p. 5620.]</w:t>
      </w:r>
    </w:p>
    <w:p>
      <w:pPr>
        <w:pStyle w:val="Heading5"/>
      </w:pPr>
      <w:bookmarkStart w:id="62" w:name="_Toc98506080"/>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63" w:name="_Toc98506081"/>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64" w:name="_Toc98506082"/>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lastRenderedPageBreak/>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lastRenderedPageBreak/>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65" w:name="_Toc98506083"/>
      <w:r>
        <w:rPr>
          <w:rStyle w:val="CharSectno"/>
        </w:rPr>
        <w:lastRenderedPageBreak/>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66" w:name="_Toc98506084"/>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work health and safety training necessary to carry out the work safely and competently.</w:t>
      </w:r>
    </w:p>
    <w:p>
      <w:pPr>
        <w:pStyle w:val="Penstart"/>
      </w:pPr>
      <w:r>
        <w:tab/>
        <w:t>Penalty for this subregulation: a fine of $1 000.</w:t>
      </w:r>
    </w:p>
    <w:p>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 SL 2022/26 r. 14.]</w:t>
      </w:r>
    </w:p>
    <w:p>
      <w:pPr>
        <w:pStyle w:val="Heading5"/>
      </w:pPr>
      <w:bookmarkStart w:id="67" w:name="_Toc98506085"/>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68" w:name="_Toc98496942"/>
      <w:bookmarkStart w:id="69" w:name="_Toc98497323"/>
      <w:bookmarkStart w:id="70" w:name="_Toc98506086"/>
      <w:r>
        <w:rPr>
          <w:rStyle w:val="CharPartNo"/>
        </w:rPr>
        <w:lastRenderedPageBreak/>
        <w:t>Part 5</w:t>
      </w:r>
      <w:r>
        <w:rPr>
          <w:b w:val="0"/>
        </w:rPr>
        <w:t> </w:t>
      </w:r>
      <w:r>
        <w:t>—</w:t>
      </w:r>
      <w:r>
        <w:rPr>
          <w:b w:val="0"/>
        </w:rPr>
        <w:t> </w:t>
      </w:r>
      <w:r>
        <w:rPr>
          <w:rStyle w:val="CharPartText"/>
        </w:rPr>
        <w:t>Notification, certification and records of plumbing work</w:t>
      </w:r>
      <w:bookmarkEnd w:id="68"/>
      <w:bookmarkEnd w:id="69"/>
      <w:bookmarkEnd w:id="70"/>
    </w:p>
    <w:p>
      <w:pPr>
        <w:pStyle w:val="Footnoteheading"/>
        <w:tabs>
          <w:tab w:val="left" w:pos="840"/>
        </w:tabs>
      </w:pPr>
      <w:r>
        <w:tab/>
        <w:t>[Heading inserted: Gazette 18 Oct 2019 p. 3675.]</w:t>
      </w:r>
    </w:p>
    <w:p>
      <w:pPr>
        <w:pStyle w:val="Heading3"/>
      </w:pPr>
      <w:bookmarkStart w:id="71" w:name="_Toc98496943"/>
      <w:bookmarkStart w:id="72" w:name="_Toc98497324"/>
      <w:bookmarkStart w:id="73" w:name="_Toc98506087"/>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Gazette 28 Jun 2004 p. 2416.]</w:t>
      </w:r>
    </w:p>
    <w:p>
      <w:pPr>
        <w:pStyle w:val="Heading5"/>
      </w:pPr>
      <w:bookmarkStart w:id="74" w:name="_Toc98506088"/>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75" w:name="_Toc98506089"/>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lastRenderedPageBreak/>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76" w:name="_Toc98506090"/>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lastRenderedPageBreak/>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77" w:name="_Toc98506091"/>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78" w:name="_Toc98496948"/>
      <w:bookmarkStart w:id="79" w:name="_Toc98497329"/>
      <w:bookmarkStart w:id="80" w:name="_Toc98506092"/>
      <w:r>
        <w:rPr>
          <w:rStyle w:val="CharDivNo"/>
        </w:rPr>
        <w:lastRenderedPageBreak/>
        <w:t>Division 2</w:t>
      </w:r>
      <w:r>
        <w:t> — </w:t>
      </w:r>
      <w:r>
        <w:rPr>
          <w:rStyle w:val="CharDivText"/>
        </w:rPr>
        <w:t>Minor plumbing work</w:t>
      </w:r>
      <w:bookmarkEnd w:id="78"/>
      <w:bookmarkEnd w:id="79"/>
      <w:bookmarkEnd w:id="80"/>
    </w:p>
    <w:p>
      <w:pPr>
        <w:pStyle w:val="Footnoteheading"/>
        <w:keepNext/>
        <w:tabs>
          <w:tab w:val="left" w:pos="840"/>
        </w:tabs>
      </w:pPr>
      <w:r>
        <w:tab/>
        <w:t>[Heading inserted: Gazette 28 Jun 2004 p. 2419.]</w:t>
      </w:r>
    </w:p>
    <w:p>
      <w:pPr>
        <w:pStyle w:val="Heading5"/>
      </w:pPr>
      <w:bookmarkStart w:id="81" w:name="_Toc98506093"/>
      <w:r>
        <w:rPr>
          <w:rStyle w:val="CharSectno"/>
        </w:rPr>
        <w:t>44</w:t>
      </w:r>
      <w:r>
        <w:t>.</w:t>
      </w:r>
      <w:r>
        <w:tab/>
        <w:t>Application of Division</w:t>
      </w:r>
      <w:bookmarkEnd w:id="81"/>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82" w:name="_Toc98506094"/>
      <w:r>
        <w:rPr>
          <w:rStyle w:val="CharSectno"/>
        </w:rPr>
        <w:t>44A</w:t>
      </w:r>
      <w:r>
        <w:t>.</w:t>
      </w:r>
      <w:r>
        <w:tab/>
        <w:t>Records of minor plumbing work</w:t>
      </w:r>
      <w:bookmarkEnd w:id="82"/>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83" w:name="_Toc98496951"/>
      <w:bookmarkStart w:id="84" w:name="_Toc98497332"/>
      <w:bookmarkStart w:id="85" w:name="_Toc98506095"/>
      <w:r>
        <w:rPr>
          <w:rStyle w:val="CharDivNo"/>
        </w:rPr>
        <w:t>Division 2A</w:t>
      </w:r>
      <w:r>
        <w:t> — </w:t>
      </w:r>
      <w:r>
        <w:rPr>
          <w:rStyle w:val="CharDivText"/>
        </w:rPr>
        <w:t>Plumbing work including performance solutions</w:t>
      </w:r>
      <w:bookmarkEnd w:id="83"/>
      <w:bookmarkEnd w:id="84"/>
      <w:bookmarkEnd w:id="85"/>
    </w:p>
    <w:p>
      <w:pPr>
        <w:pStyle w:val="Footnoteheading"/>
      </w:pPr>
      <w:r>
        <w:tab/>
        <w:t>[Heading inserted: Gazette 13 Dec 2016 p. 5628.]</w:t>
      </w:r>
    </w:p>
    <w:p>
      <w:pPr>
        <w:pStyle w:val="Heading5"/>
      </w:pPr>
      <w:bookmarkStart w:id="86" w:name="_Toc98506096"/>
      <w:r>
        <w:rPr>
          <w:rStyle w:val="CharSectno"/>
        </w:rPr>
        <w:t>45A</w:t>
      </w:r>
      <w:r>
        <w:t>.</w:t>
      </w:r>
      <w:r>
        <w:tab/>
        <w:t>Notice of intention to include performance solution</w:t>
      </w:r>
      <w:bookmarkEnd w:id="86"/>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Division 2; and</w:t>
      </w:r>
    </w:p>
    <w:p>
      <w:pPr>
        <w:pStyle w:val="Indenta"/>
      </w:pPr>
      <w:r>
        <w:lastRenderedPageBreak/>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 SL 2020/196 r. 54.]</w:t>
      </w:r>
    </w:p>
    <w:p>
      <w:pPr>
        <w:pStyle w:val="Heading5"/>
      </w:pPr>
      <w:bookmarkStart w:id="87" w:name="_Toc98506097"/>
      <w:r>
        <w:rPr>
          <w:rStyle w:val="CharSectno"/>
        </w:rPr>
        <w:t>45B</w:t>
      </w:r>
      <w:r>
        <w:t>.</w:t>
      </w:r>
      <w:r>
        <w:tab/>
        <w:t>Certificate of compliance for performance solution</w:t>
      </w:r>
      <w:bookmarkEnd w:id="87"/>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keepNext/>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88" w:name="_Toc98506098"/>
      <w:r>
        <w:rPr>
          <w:rStyle w:val="CharSectno"/>
        </w:rPr>
        <w:t>45C</w:t>
      </w:r>
      <w:r>
        <w:t>.</w:t>
      </w:r>
      <w:r>
        <w:tab/>
        <w:t>Non-completion of plumbing work including performance solution</w:t>
      </w:r>
      <w:bookmarkEnd w:id="8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pPr>
      <w:r>
        <w:tab/>
        <w:t>(a)</w:t>
      </w:r>
      <w:r>
        <w:tab/>
        <w:t>the contractor has given a notice of intention to carry out the work; and</w:t>
      </w:r>
    </w:p>
    <w:p>
      <w:pPr>
        <w:pStyle w:val="Indenta"/>
        <w:keepNext/>
      </w:pPr>
      <w:r>
        <w:lastRenderedPageBreak/>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89" w:name="_Toc98496955"/>
      <w:bookmarkStart w:id="90" w:name="_Toc98497336"/>
      <w:bookmarkStart w:id="91" w:name="_Toc98506099"/>
      <w:r>
        <w:rPr>
          <w:rStyle w:val="CharDivNo"/>
        </w:rPr>
        <w:t>Division 2B</w:t>
      </w:r>
      <w:r>
        <w:t> — </w:t>
      </w:r>
      <w:r>
        <w:rPr>
          <w:rStyle w:val="CharDivText"/>
        </w:rPr>
        <w:t>Drainage plumbing diagrams for drainage plumbing work</w:t>
      </w:r>
      <w:bookmarkEnd w:id="89"/>
      <w:bookmarkEnd w:id="90"/>
      <w:bookmarkEnd w:id="91"/>
    </w:p>
    <w:p>
      <w:pPr>
        <w:pStyle w:val="Footnoteheading"/>
        <w:spacing w:before="160"/>
      </w:pPr>
      <w:r>
        <w:tab/>
        <w:t>[Heading inserted: Gazette 13 Dec 2016 p. 5628.]</w:t>
      </w:r>
    </w:p>
    <w:p>
      <w:pPr>
        <w:pStyle w:val="Heading5"/>
        <w:keepNext w:val="0"/>
        <w:spacing w:before="260"/>
      </w:pPr>
      <w:bookmarkStart w:id="92" w:name="_Toc98506100"/>
      <w:r>
        <w:rPr>
          <w:rStyle w:val="CharSectno"/>
        </w:rPr>
        <w:t>45D</w:t>
      </w:r>
      <w:r>
        <w:t>.</w:t>
      </w:r>
      <w:r>
        <w:tab/>
        <w:t>Drainage plumbing diagram to be given to Board</w:t>
      </w:r>
      <w:bookmarkEnd w:id="92"/>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keepNext/>
        <w:spacing w:before="100"/>
      </w:pPr>
      <w:r>
        <w:tab/>
        <w:t>(b)</w:t>
      </w:r>
      <w:r>
        <w:tab/>
        <w:t>wastewater or other waste to an apparatus for the treatment of sewage.</w:t>
      </w:r>
    </w:p>
    <w:p>
      <w:pPr>
        <w:pStyle w:val="Footnotesection"/>
      </w:pPr>
      <w:r>
        <w:tab/>
        <w:t>[Regulation 45D inserted: Gazette 13 Dec 2016 p. 5628.]</w:t>
      </w:r>
    </w:p>
    <w:p>
      <w:pPr>
        <w:pStyle w:val="Heading5"/>
      </w:pPr>
      <w:bookmarkStart w:id="93" w:name="_Toc98506101"/>
      <w:r>
        <w:rPr>
          <w:rStyle w:val="CharSectno"/>
        </w:rPr>
        <w:lastRenderedPageBreak/>
        <w:t>45DA</w:t>
      </w:r>
      <w:r>
        <w:t>.</w:t>
      </w:r>
      <w:r>
        <w:tab/>
        <w:t>Diagram of sanitary drainage service line or sanitary drainage connection point to be given</w:t>
      </w:r>
      <w:bookmarkEnd w:id="93"/>
    </w:p>
    <w:p>
      <w:pPr>
        <w:pStyle w:val="Subsection"/>
        <w:keepNext/>
      </w:pPr>
      <w:r>
        <w:tab/>
        <w:t>(1)</w:t>
      </w:r>
      <w:r>
        <w:tab/>
        <w:t xml:space="preserve">In this regulation each of the following terms has the meaning given in regulation 55 — </w:t>
      </w:r>
    </w:p>
    <w:p>
      <w:pPr>
        <w:pStyle w:val="Defstart"/>
        <w:keepNext/>
      </w:pPr>
      <w:r>
        <w:tab/>
      </w:r>
      <w:r>
        <w:rPr>
          <w:rStyle w:val="CharDefText"/>
        </w:rPr>
        <w:t>lot</w:t>
      </w:r>
      <w:r>
        <w:t xml:space="preserve"> </w:t>
      </w:r>
    </w:p>
    <w:p>
      <w:pPr>
        <w:pStyle w:val="Defstart"/>
        <w:keepNext/>
      </w:pPr>
      <w:r>
        <w:tab/>
      </w:r>
      <w:r>
        <w:rPr>
          <w:rStyle w:val="CharDefText"/>
        </w:rPr>
        <w:t>sanitary drainage connection point</w:t>
      </w:r>
      <w:r>
        <w:t xml:space="preserve"> </w:t>
      </w:r>
    </w:p>
    <w:p>
      <w:pPr>
        <w:pStyle w:val="Defstart"/>
        <w:keepNext/>
      </w:pPr>
      <w:r>
        <w:tab/>
      </w:r>
      <w:r>
        <w:rPr>
          <w:rStyle w:val="CharDefText"/>
        </w:rPr>
        <w:t>sanitary drainage service line</w:t>
      </w:r>
      <w:r>
        <w:t xml:space="preserve"> </w:t>
      </w:r>
    </w:p>
    <w:p>
      <w:pPr>
        <w:pStyle w:val="Defstart"/>
      </w:pPr>
      <w:r>
        <w:tab/>
      </w:r>
      <w:r>
        <w:rPr>
          <w:rStyle w:val="CharDefText"/>
        </w:rPr>
        <w:t>subdivided land</w:t>
      </w:r>
      <w:r>
        <w:t xml:space="preserve"> </w:t>
      </w:r>
    </w:p>
    <w:p>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pPr>
        <w:pStyle w:val="Indenta"/>
      </w:pPr>
      <w:r>
        <w:tab/>
        <w:t>(a)</w:t>
      </w:r>
      <w:r>
        <w:tab/>
        <w:t>in the approved form; and</w:t>
      </w:r>
    </w:p>
    <w:p>
      <w:pPr>
        <w:pStyle w:val="Indenta"/>
      </w:pPr>
      <w:r>
        <w:tab/>
        <w:t>(b)</w:t>
      </w:r>
      <w:r>
        <w:tab/>
        <w:t>at the same time as a certificate of compliance for the work is given to the Board under these regulations.</w:t>
      </w:r>
    </w:p>
    <w:p>
      <w:pPr>
        <w:pStyle w:val="Penstart"/>
      </w:pPr>
      <w:r>
        <w:tab/>
        <w:t>Penalty for this subregulation: a fine of $5 000.</w:t>
      </w:r>
    </w:p>
    <w:p>
      <w:pPr>
        <w:pStyle w:val="Footnotesection"/>
      </w:pPr>
      <w:r>
        <w:tab/>
        <w:t>[Regulation 45DA inserted: SL 2020/132 r. 5.]</w:t>
      </w:r>
    </w:p>
    <w:p>
      <w:pPr>
        <w:pStyle w:val="Heading5"/>
        <w:spacing w:before="260"/>
      </w:pPr>
      <w:bookmarkStart w:id="94" w:name="_Toc98506102"/>
      <w:r>
        <w:rPr>
          <w:rStyle w:val="CharSectno"/>
        </w:rPr>
        <w:t>45E</w:t>
      </w:r>
      <w:r>
        <w:t>.</w:t>
      </w:r>
      <w:r>
        <w:tab/>
        <w:t>Application to obtain copy of drainage plumbing diagram</w:t>
      </w:r>
      <w:bookmarkEnd w:id="9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 Division 2.</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 SL 2020/196 r. 54.]</w:t>
      </w:r>
    </w:p>
    <w:p>
      <w:pPr>
        <w:pStyle w:val="Heading5"/>
      </w:pPr>
      <w:bookmarkStart w:id="95" w:name="_Toc98506103"/>
      <w:r>
        <w:rPr>
          <w:rStyle w:val="CharSectno"/>
        </w:rPr>
        <w:lastRenderedPageBreak/>
        <w:t>45F</w:t>
      </w:r>
      <w:r>
        <w:t>.</w:t>
      </w:r>
      <w:r>
        <w:tab/>
        <w:t>Copy of drainage plumbing diagram may be provided</w:t>
      </w:r>
      <w:bookmarkEnd w:id="95"/>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96" w:name="_Toc98496960"/>
      <w:bookmarkStart w:id="97" w:name="_Toc98497341"/>
      <w:bookmarkStart w:id="98" w:name="_Toc98506104"/>
      <w:r>
        <w:rPr>
          <w:rStyle w:val="CharDivNo"/>
        </w:rPr>
        <w:t>Division 3</w:t>
      </w:r>
      <w:r>
        <w:t> —</w:t>
      </w:r>
      <w:r>
        <w:rPr>
          <w:rStyle w:val="CharDivText"/>
        </w:rPr>
        <w:t> General provisions</w:t>
      </w:r>
      <w:bookmarkEnd w:id="96"/>
      <w:bookmarkEnd w:id="97"/>
      <w:bookmarkEnd w:id="98"/>
    </w:p>
    <w:p>
      <w:pPr>
        <w:pStyle w:val="Footnoteheading"/>
        <w:tabs>
          <w:tab w:val="left" w:pos="840"/>
        </w:tabs>
      </w:pPr>
      <w:r>
        <w:tab/>
        <w:t>[Heading inserted: Gazette 28 Jun 2004 p. 2420.]</w:t>
      </w:r>
    </w:p>
    <w:p>
      <w:pPr>
        <w:pStyle w:val="Heading5"/>
      </w:pPr>
      <w:bookmarkStart w:id="99" w:name="_Toc98506105"/>
      <w:r>
        <w:rPr>
          <w:rStyle w:val="CharSectno"/>
        </w:rPr>
        <w:t>45</w:t>
      </w:r>
      <w:r>
        <w:t>.</w:t>
      </w:r>
      <w:r>
        <w:tab/>
        <w:t>New installation fee</w:t>
      </w:r>
      <w:bookmarkEnd w:id="99"/>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 Division 2.</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 amended: SL 2020/196 r. 54.]</w:t>
      </w:r>
    </w:p>
    <w:p>
      <w:pPr>
        <w:pStyle w:val="Heading5"/>
      </w:pPr>
      <w:bookmarkStart w:id="100" w:name="_Toc98506106"/>
      <w:r>
        <w:rPr>
          <w:rStyle w:val="CharSectno"/>
        </w:rPr>
        <w:lastRenderedPageBreak/>
        <w:t>46</w:t>
      </w:r>
      <w:r>
        <w:t>.</w:t>
      </w:r>
      <w:r>
        <w:tab/>
        <w:t>False or misleading statements in notices etc., offence</w:t>
      </w:r>
      <w:bookmarkEnd w:id="10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101" w:name="_Toc98496963"/>
      <w:bookmarkStart w:id="102" w:name="_Toc98497344"/>
      <w:bookmarkStart w:id="103" w:name="_Toc98506107"/>
      <w:r>
        <w:rPr>
          <w:rStyle w:val="CharPartNo"/>
        </w:rPr>
        <w:lastRenderedPageBreak/>
        <w:t>Part 6</w:t>
      </w:r>
      <w:r>
        <w:rPr>
          <w:rStyle w:val="CharDivNo"/>
        </w:rPr>
        <w:t> </w:t>
      </w:r>
      <w:r>
        <w:t>—</w:t>
      </w:r>
      <w:r>
        <w:rPr>
          <w:rStyle w:val="CharDivText"/>
        </w:rPr>
        <w:t> </w:t>
      </w:r>
      <w:r>
        <w:rPr>
          <w:rStyle w:val="CharPartText"/>
        </w:rPr>
        <w:t>Plumbing standards</w:t>
      </w:r>
      <w:bookmarkEnd w:id="101"/>
      <w:bookmarkEnd w:id="102"/>
      <w:bookmarkEnd w:id="103"/>
    </w:p>
    <w:p>
      <w:pPr>
        <w:pStyle w:val="Footnoteheading"/>
      </w:pPr>
      <w:r>
        <w:tab/>
        <w:t>[Heading inserted: Gazette 24 Apr 2015 p. 1499.]</w:t>
      </w:r>
    </w:p>
    <w:p>
      <w:pPr>
        <w:pStyle w:val="Ednotesection"/>
      </w:pPr>
      <w:r>
        <w:t>[</w:t>
      </w:r>
      <w:r>
        <w:rPr>
          <w:b/>
        </w:rPr>
        <w:t>47.</w:t>
      </w:r>
      <w:r>
        <w:tab/>
        <w:t>Deleted: SL 2020/132 r. 6.]</w:t>
      </w:r>
    </w:p>
    <w:p>
      <w:pPr>
        <w:pStyle w:val="Heading5"/>
      </w:pPr>
      <w:bookmarkStart w:id="104" w:name="_Toc98506108"/>
      <w:r>
        <w:rPr>
          <w:rStyle w:val="CharSectno"/>
        </w:rPr>
        <w:t>48</w:t>
      </w:r>
      <w:r>
        <w:t>.</w:t>
      </w:r>
      <w:r>
        <w:tab/>
        <w:t>Plumbing standards</w:t>
      </w:r>
      <w:bookmarkEnd w:id="104"/>
    </w:p>
    <w:p>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pPr>
        <w:pStyle w:val="Indenta"/>
      </w:pPr>
      <w:r>
        <w:tab/>
        <w:t>(a)</w:t>
      </w:r>
      <w:r>
        <w:tab/>
        <w:t>the requirements set out in subregulation (2), subject to the modifications in regulation 49; and</w:t>
      </w:r>
    </w:p>
    <w:p>
      <w:pPr>
        <w:pStyle w:val="Indenta"/>
      </w:pPr>
      <w:r>
        <w:tab/>
        <w:t>(b)</w:t>
      </w:r>
      <w:r>
        <w:tab/>
        <w:t>if the plumbing and plumbing work is work to which a provision of Part 6A applies — the requirements set out in the provision.</w:t>
      </w:r>
    </w:p>
    <w:p>
      <w:pPr>
        <w:pStyle w:val="Subsection"/>
      </w:pPr>
      <w:r>
        <w:tab/>
        <w:t>(2)</w:t>
      </w:r>
      <w:r>
        <w:tab/>
        <w:t xml:space="preserve">For the purposes of subregulation (1)(a), the requirements are those — </w:t>
      </w:r>
    </w:p>
    <w:p>
      <w:pPr>
        <w:pStyle w:val="Indenta"/>
      </w:pPr>
      <w:r>
        <w:tab/>
        <w:t>(a)</w:t>
      </w:r>
      <w:r>
        <w:tab/>
        <w:t xml:space="preserve">set out in the following provisions of the Plumbing Code — </w:t>
      </w:r>
    </w:p>
    <w:p>
      <w:pPr>
        <w:pStyle w:val="Indenti"/>
      </w:pPr>
      <w:r>
        <w:tab/>
        <w:t>(i)</w:t>
      </w:r>
      <w:r>
        <w:tab/>
        <w:t xml:space="preserve">Section A; </w:t>
      </w:r>
    </w:p>
    <w:p>
      <w:pPr>
        <w:pStyle w:val="Indenti"/>
      </w:pPr>
      <w:r>
        <w:tab/>
        <w:t>(ii)</w:t>
      </w:r>
      <w:r>
        <w:tab/>
        <w:t>Parts B1, B2 (other than Part B2.4), B3, B4 and B5;</w:t>
      </w:r>
    </w:p>
    <w:p>
      <w:pPr>
        <w:pStyle w:val="Indenti"/>
        <w:rPr>
          <w:rStyle w:val="DraftersNotes"/>
        </w:rPr>
      </w:pPr>
      <w:r>
        <w:tab/>
        <w:t>(iii)</w:t>
      </w:r>
      <w:r>
        <w:tab/>
        <w:t>Section C;</w:t>
      </w:r>
    </w:p>
    <w:p>
      <w:pPr>
        <w:pStyle w:val="Indenta"/>
      </w:pPr>
      <w:r>
        <w:tab/>
      </w:r>
      <w:r>
        <w:tab/>
        <w:t>and</w:t>
      </w:r>
    </w:p>
    <w:p>
      <w:pPr>
        <w:pStyle w:val="Indenta"/>
      </w:pPr>
      <w:r>
        <w:tab/>
        <w:t>(b)</w:t>
      </w:r>
      <w:r>
        <w:tab/>
        <w:t xml:space="preserve">that 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 48 inserted: SL 2020/132 r. 6.]</w:t>
      </w:r>
    </w:p>
    <w:p>
      <w:pPr>
        <w:pStyle w:val="Heading5"/>
      </w:pPr>
      <w:bookmarkStart w:id="105" w:name="_Toc98506109"/>
      <w:r>
        <w:rPr>
          <w:rStyle w:val="CharSectno"/>
        </w:rPr>
        <w:lastRenderedPageBreak/>
        <w:t>49</w:t>
      </w:r>
      <w:r>
        <w:t>.</w:t>
      </w:r>
      <w:r>
        <w:tab/>
        <w:t>Modifications to Plumbing Code</w:t>
      </w:r>
      <w:bookmarkEnd w:id="105"/>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lastRenderedPageBreak/>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lastRenderedPageBreak/>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lastRenderedPageBreak/>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lastRenderedPageBreak/>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106" w:name="_Toc98506110"/>
      <w:r>
        <w:rPr>
          <w:rStyle w:val="CharSectno"/>
        </w:rPr>
        <w:t>50</w:t>
      </w:r>
      <w:r>
        <w:t>.</w:t>
      </w:r>
      <w:r>
        <w:tab/>
        <w:t>Compliance with plumbing standards and standard of work</w:t>
      </w:r>
      <w:bookmarkEnd w:id="106"/>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107" w:name="_Toc98506111"/>
      <w:r>
        <w:rPr>
          <w:rStyle w:val="CharSectno"/>
        </w:rPr>
        <w:t>51</w:t>
      </w:r>
      <w:r>
        <w:t>.</w:t>
      </w:r>
      <w:r>
        <w:tab/>
        <w:t>Connecting unsafe plumbing</w:t>
      </w:r>
      <w:bookmarkEnd w:id="107"/>
    </w:p>
    <w:p>
      <w:pPr>
        <w:pStyle w:val="Subsection"/>
      </w:pPr>
      <w:r>
        <w:tab/>
        <w:t>(1)</w:t>
      </w:r>
      <w:r>
        <w:tab/>
        <w:t xml:space="preserve">A person who is a responsible person for plumbing work must ensure that plumbing is not connected to a water supply system, a sewerage system or an apparatus for the treatment of </w:t>
      </w:r>
      <w:r>
        <w:lastRenderedPageBreak/>
        <w:t>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108" w:name="_Toc98506112"/>
      <w:r>
        <w:rPr>
          <w:rStyle w:val="CharSectno"/>
        </w:rPr>
        <w:t>52</w:t>
      </w:r>
      <w:r>
        <w:t>.</w:t>
      </w:r>
      <w:r>
        <w:tab/>
        <w:t>Specifications not to be exceeded</w:t>
      </w:r>
      <w:bookmarkEnd w:id="108"/>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109" w:name="_Toc98506113"/>
      <w:r>
        <w:rPr>
          <w:rStyle w:val="CharSectno"/>
        </w:rPr>
        <w:lastRenderedPageBreak/>
        <w:t>53</w:t>
      </w:r>
      <w:r>
        <w:t>.</w:t>
      </w:r>
      <w:r>
        <w:tab/>
        <w:t>Liquid waste from airconditioners</w:t>
      </w:r>
      <w:bookmarkEnd w:id="109"/>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110" w:name="_Toc98506114"/>
      <w:r>
        <w:rPr>
          <w:rStyle w:val="CharSectno"/>
        </w:rPr>
        <w:t>54</w:t>
      </w:r>
      <w:r>
        <w:t>.</w:t>
      </w:r>
      <w:r>
        <w:tab/>
        <w:t>Non</w:t>
      </w:r>
      <w:r>
        <w:noBreakHyphen/>
        <w:t>application, modification of, plumbing standards</w:t>
      </w:r>
      <w:bookmarkEnd w:id="110"/>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lastRenderedPageBreak/>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 Division 2.</w:t>
      </w:r>
    </w:p>
    <w:p>
      <w:pPr>
        <w:pStyle w:val="Footnotesection"/>
      </w:pPr>
      <w:r>
        <w:tab/>
        <w:t>[Regulation 54 inserted: Gazette 24 Apr 2015 p. 1514</w:t>
      </w:r>
      <w:r>
        <w:noBreakHyphen/>
        <w:t>15; amended: SL 2020/196 r. 54.]</w:t>
      </w:r>
    </w:p>
    <w:p>
      <w:pPr>
        <w:pStyle w:val="Heading2"/>
      </w:pPr>
      <w:bookmarkStart w:id="111" w:name="_Toc98496971"/>
      <w:bookmarkStart w:id="112" w:name="_Toc98497352"/>
      <w:bookmarkStart w:id="113" w:name="_Toc98506115"/>
      <w:r>
        <w:rPr>
          <w:rStyle w:val="CharPartNo"/>
        </w:rPr>
        <w:lastRenderedPageBreak/>
        <w:t>Part 6A</w:t>
      </w:r>
      <w:r>
        <w:rPr>
          <w:b w:val="0"/>
        </w:rPr>
        <w:t> </w:t>
      </w:r>
      <w:r>
        <w:t>—</w:t>
      </w:r>
      <w:r>
        <w:rPr>
          <w:b w:val="0"/>
        </w:rPr>
        <w:t> </w:t>
      </w:r>
      <w:r>
        <w:rPr>
          <w:rStyle w:val="CharPartText"/>
        </w:rPr>
        <w:t>Plumbing standards for plumbing and plumbing work on subdivided land</w:t>
      </w:r>
      <w:bookmarkEnd w:id="111"/>
      <w:bookmarkEnd w:id="112"/>
      <w:bookmarkEnd w:id="113"/>
    </w:p>
    <w:p>
      <w:pPr>
        <w:pStyle w:val="Footnoteheading"/>
      </w:pPr>
      <w:r>
        <w:tab/>
        <w:t>[Heading inserted: SL 2020/132 r. 7.]</w:t>
      </w:r>
    </w:p>
    <w:p>
      <w:pPr>
        <w:pStyle w:val="Heading5"/>
      </w:pPr>
      <w:bookmarkStart w:id="114" w:name="_Toc98506116"/>
      <w:r>
        <w:rPr>
          <w:rStyle w:val="CharSectno"/>
        </w:rPr>
        <w:t>55</w:t>
      </w:r>
      <w:r>
        <w:t>.</w:t>
      </w:r>
      <w:r>
        <w:tab/>
        <w:t>Terms used</w:t>
      </w:r>
      <w:bookmarkEnd w:id="114"/>
    </w:p>
    <w:p>
      <w:pPr>
        <w:pStyle w:val="Subsection"/>
      </w:pPr>
      <w:r>
        <w:tab/>
      </w:r>
      <w:r>
        <w:tab/>
        <w:t xml:space="preserve">In this Part — </w:t>
      </w:r>
    </w:p>
    <w:p>
      <w:pPr>
        <w:pStyle w:val="Defstart"/>
      </w:pPr>
      <w:r>
        <w:tab/>
      </w:r>
      <w:r>
        <w:rPr>
          <w:rStyle w:val="CharDefText"/>
        </w:rPr>
        <w:t>approved disposal system</w:t>
      </w:r>
      <w:r>
        <w:t xml:space="preserve"> has the meaning given in the Plumbing Code Schedule 3;</w:t>
      </w:r>
    </w:p>
    <w:p>
      <w:pPr>
        <w:pStyle w:val="Defstart"/>
      </w:pPr>
      <w:r>
        <w:tab/>
      </w:r>
      <w:r>
        <w:rPr>
          <w:rStyle w:val="CharDefText"/>
        </w:rPr>
        <w:t>common property</w:t>
      </w:r>
      <w:r>
        <w:t>, in relation to subdivided land, means a part of the land shown on a proposed scheme plan as common property;</w:t>
      </w:r>
    </w:p>
    <w:p>
      <w:pPr>
        <w:pStyle w:val="Defstart"/>
      </w:pPr>
      <w:r>
        <w:tab/>
      </w:r>
      <w:r>
        <w:rPr>
          <w:rStyle w:val="CharDefText"/>
        </w:rPr>
        <w:t>connection point</w:t>
      </w:r>
      <w:r>
        <w:t xml:space="preserve"> means a sanitary drainage connection point or water service connection point;</w:t>
      </w:r>
    </w:p>
    <w:p>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pPr>
        <w:pStyle w:val="Defstart"/>
      </w:pPr>
      <w:r>
        <w:tab/>
      </w:r>
      <w:r>
        <w:rPr>
          <w:rStyle w:val="CharDefText"/>
        </w:rPr>
        <w:t>proposed scheme plan</w:t>
      </w:r>
      <w:r>
        <w:t xml:space="preserve">, in relation to land, means — </w:t>
      </w:r>
    </w:p>
    <w:p>
      <w:pPr>
        <w:pStyle w:val="Defpara"/>
      </w:pPr>
      <w:r>
        <w:tab/>
        <w:t>(a)</w:t>
      </w:r>
      <w:r>
        <w:tab/>
        <w:t>a scheme plan proposed to be registered for a survey</w:t>
      </w:r>
      <w:r>
        <w:noBreakHyphen/>
        <w:t xml:space="preserve">strata scheme (as defined in the </w:t>
      </w:r>
      <w:r>
        <w:rPr>
          <w:i/>
        </w:rPr>
        <w:t>Strata Titles Act 1985</w:t>
      </w:r>
      <w:r>
        <w:t xml:space="preserve"> section 9) under the </w:t>
      </w:r>
      <w:r>
        <w:rPr>
          <w:i/>
        </w:rPr>
        <w:t>Strata Titles Act 1985</w:t>
      </w:r>
      <w:r>
        <w:t>; or</w:t>
      </w:r>
    </w:p>
    <w:p>
      <w:pPr>
        <w:pStyle w:val="Defpara"/>
      </w:pPr>
      <w:r>
        <w:tab/>
        <w:t>(b)</w:t>
      </w:r>
      <w:r>
        <w:tab/>
        <w:t xml:space="preserve">a scheme plan proposed to be registered for a community titles (land) scheme (as defined in the </w:t>
      </w:r>
      <w:r>
        <w:rPr>
          <w:i/>
        </w:rPr>
        <w:t>Community Titles Act 2018</w:t>
      </w:r>
      <w:r>
        <w:t xml:space="preserve"> section 11(8)) under the </w:t>
      </w:r>
      <w:r>
        <w:rPr>
          <w:i/>
        </w:rPr>
        <w:t>Community Titles Act 2018</w:t>
      </w:r>
      <w:r>
        <w:t>;</w:t>
      </w:r>
    </w:p>
    <w:p>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pPr>
        <w:pStyle w:val="Defstart"/>
      </w:pPr>
      <w:r>
        <w:lastRenderedPageBreak/>
        <w:tab/>
      </w:r>
      <w:r>
        <w:rPr>
          <w:rStyle w:val="CharDefText"/>
        </w:rPr>
        <w:t>service line</w:t>
      </w:r>
      <w:r>
        <w:t xml:space="preserve"> means a sanitary drainage service line or water service line;</w:t>
      </w:r>
    </w:p>
    <w:p>
      <w:pPr>
        <w:pStyle w:val="Defstart"/>
      </w:pPr>
      <w:r>
        <w:tab/>
      </w:r>
      <w:r>
        <w:rPr>
          <w:rStyle w:val="CharDefText"/>
        </w:rPr>
        <w:t>subdivided land</w:t>
      </w:r>
      <w:r>
        <w:t xml:space="preserve"> means land the subject of a proposed scheme plan;</w:t>
      </w:r>
    </w:p>
    <w:p>
      <w:pPr>
        <w:pStyle w:val="Defstart"/>
      </w:pPr>
      <w:r>
        <w:tab/>
      </w:r>
      <w:r>
        <w:rPr>
          <w:rStyle w:val="CharDefText"/>
        </w:rPr>
        <w:t>water service connection point</w:t>
      </w:r>
      <w:r>
        <w:t>, for a lot on subdivided land, means a point on the lot at which a water service for a building on the lot can be connected to a water service line;</w:t>
      </w:r>
    </w:p>
    <w:p>
      <w:pPr>
        <w:pStyle w:val="Defstart"/>
      </w:pPr>
      <w:r>
        <w:tab/>
      </w:r>
      <w:r>
        <w:rPr>
          <w:rStyle w:val="CharDefText"/>
        </w:rPr>
        <w:t>water service line</w:t>
      </w:r>
      <w:r>
        <w:t>, for a lot on subdivided land, means a pipe connecting a water services provider’s meter assembly to the water service connection point for the lot.</w:t>
      </w:r>
    </w:p>
    <w:p>
      <w:pPr>
        <w:pStyle w:val="Footnotesection"/>
      </w:pPr>
      <w:r>
        <w:tab/>
        <w:t>[Regulation 55 inserted: SL 2020/132 r. 7; amended: SL 2021/71 r. 9.]</w:t>
      </w:r>
    </w:p>
    <w:p>
      <w:pPr>
        <w:pStyle w:val="Heading5"/>
      </w:pPr>
      <w:bookmarkStart w:id="115" w:name="_Toc98506117"/>
      <w:r>
        <w:rPr>
          <w:rStyle w:val="CharSectno"/>
        </w:rPr>
        <w:t>56</w:t>
      </w:r>
      <w:r>
        <w:t>.</w:t>
      </w:r>
      <w:r>
        <w:tab/>
        <w:t>Connection points</w:t>
      </w:r>
      <w:bookmarkEnd w:id="115"/>
    </w:p>
    <w:p>
      <w:pPr>
        <w:pStyle w:val="Subsection"/>
      </w:pPr>
      <w:r>
        <w:tab/>
        <w:t>(1)</w:t>
      </w:r>
      <w:r>
        <w:tab/>
        <w:t xml:space="preserve">This regulation applies to plumbing and plumbing work that is the installation of a connection point for a lot on subdivided land. </w:t>
      </w:r>
    </w:p>
    <w:p>
      <w:pPr>
        <w:pStyle w:val="Subsection"/>
      </w:pPr>
      <w:r>
        <w:tab/>
        <w:t>(2)</w:t>
      </w:r>
      <w:r>
        <w:tab/>
        <w:t xml:space="preserve">A responsible person for the installation of a sanitary drainage connection point for the lot on subdivided land must ensure — </w:t>
      </w:r>
    </w:p>
    <w:p>
      <w:pPr>
        <w:pStyle w:val="Indenta"/>
      </w:pPr>
      <w:r>
        <w:tab/>
        <w:t>(a)</w:t>
      </w:r>
      <w:r>
        <w:tab/>
        <w:t xml:space="preserve">the sanitary drainage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pPr>
        <w:pStyle w:val="Indenti"/>
      </w:pPr>
      <w:r>
        <w:tab/>
        <w:t>(iv)</w:t>
      </w:r>
      <w:r>
        <w:tab/>
        <w:t xml:space="preserve">of a size, type and quality to perform the function for which it is installed; </w:t>
      </w:r>
    </w:p>
    <w:p>
      <w:pPr>
        <w:pStyle w:val="Indenta"/>
      </w:pPr>
      <w:r>
        <w:tab/>
      </w:r>
      <w:r>
        <w:tab/>
        <w:t>and</w:t>
      </w:r>
    </w:p>
    <w:p>
      <w:pPr>
        <w:pStyle w:val="Indenta"/>
      </w:pPr>
      <w:r>
        <w:lastRenderedPageBreak/>
        <w:tab/>
        <w:t>(b)</w:t>
      </w:r>
      <w:r>
        <w:tab/>
        <w:t xml:space="preserve">a pipe is placed immediately above where the sanitary drainage connection point is located that has — </w:t>
      </w:r>
    </w:p>
    <w:p>
      <w:pPr>
        <w:pStyle w:val="Indenti"/>
      </w:pPr>
      <w:r>
        <w:tab/>
        <w:t>(i)</w:t>
      </w:r>
      <w:r>
        <w:tab/>
        <w:t>a nominal diameter of 40 mm; and</w:t>
      </w:r>
    </w:p>
    <w:p>
      <w:pPr>
        <w:pStyle w:val="Indenti"/>
      </w:pPr>
      <w:r>
        <w:tab/>
        <w:t>(ii)</w:t>
      </w:r>
      <w:r>
        <w:tab/>
        <w:t>tape attached to the pipe that indicates that a sanitary drainage connection point is underneath the pipe; and</w:t>
      </w:r>
    </w:p>
    <w:p>
      <w:pPr>
        <w:pStyle w:val="Indenti"/>
      </w:pPr>
      <w:r>
        <w:tab/>
        <w:t>(iii)</w:t>
      </w:r>
      <w:r>
        <w:tab/>
        <w:t>a 40 mm cap placed on the exposed end of the pipe.</w:t>
      </w:r>
    </w:p>
    <w:p>
      <w:pPr>
        <w:pStyle w:val="Subsection"/>
      </w:pPr>
      <w:r>
        <w:tab/>
        <w:t>(3)</w:t>
      </w:r>
      <w:r>
        <w:tab/>
        <w:t xml:space="preserve">A responsible person for the installation of a water service connection point for the lot on subdivided land must ensure — </w:t>
      </w:r>
    </w:p>
    <w:p>
      <w:pPr>
        <w:pStyle w:val="Indenta"/>
      </w:pPr>
      <w:r>
        <w:tab/>
        <w:t>(a)</w:t>
      </w:r>
      <w:r>
        <w:tab/>
        <w:t xml:space="preserve">the water service connection point is — </w:t>
      </w:r>
    </w:p>
    <w:p>
      <w:pPr>
        <w:pStyle w:val="Indenti"/>
      </w:pPr>
      <w:r>
        <w:tab/>
        <w:t>(i)</w:t>
      </w:r>
      <w:r>
        <w:tab/>
        <w:t>installed for the lot; and</w:t>
      </w:r>
    </w:p>
    <w:p>
      <w:pPr>
        <w:pStyle w:val="Indenti"/>
      </w:pPr>
      <w:r>
        <w:tab/>
        <w:t>(ii)</w:t>
      </w:r>
      <w:r>
        <w:tab/>
        <w:t>subject to regulation 58(3), installed on the lot; and</w:t>
      </w:r>
    </w:p>
    <w:p>
      <w:pPr>
        <w:pStyle w:val="Indenti"/>
      </w:pPr>
      <w:r>
        <w:tab/>
        <w:t>(iii)</w:t>
      </w:r>
      <w:r>
        <w:tab/>
        <w:t xml:space="preserve">of a size, type and quality to perform the function for which it is installed; </w:t>
      </w:r>
    </w:p>
    <w:p>
      <w:pPr>
        <w:pStyle w:val="Indenta"/>
      </w:pPr>
      <w:r>
        <w:tab/>
      </w:r>
      <w:r>
        <w:tab/>
        <w:t>and</w:t>
      </w:r>
    </w:p>
    <w:p>
      <w:pPr>
        <w:pStyle w:val="Indenta"/>
      </w:pPr>
      <w:r>
        <w:tab/>
        <w:t>(b)</w:t>
      </w:r>
      <w:r>
        <w:tab/>
        <w:t xml:space="preserve">a pipe is placed immediately above where the water service connection point is located that has — </w:t>
      </w:r>
    </w:p>
    <w:p>
      <w:pPr>
        <w:pStyle w:val="Indenti"/>
      </w:pPr>
      <w:r>
        <w:tab/>
        <w:t>(i)</w:t>
      </w:r>
      <w:r>
        <w:tab/>
        <w:t>a nominal diameter of 40 mm; and</w:t>
      </w:r>
    </w:p>
    <w:p>
      <w:pPr>
        <w:pStyle w:val="Indenti"/>
      </w:pPr>
      <w:r>
        <w:tab/>
        <w:t>(ii)</w:t>
      </w:r>
      <w:r>
        <w:tab/>
        <w:t>tape attached to the pipe that indicates that a water service connection point is underneath the pipe; and</w:t>
      </w:r>
    </w:p>
    <w:p>
      <w:pPr>
        <w:pStyle w:val="Indenti"/>
      </w:pPr>
      <w:r>
        <w:tab/>
        <w:t>(iii)</w:t>
      </w:r>
      <w:r>
        <w:tab/>
        <w:t>a 40 mm cap placed on the exposed end of the pipe.</w:t>
      </w:r>
    </w:p>
    <w:p>
      <w:pPr>
        <w:pStyle w:val="Footnotesection"/>
      </w:pPr>
      <w:r>
        <w:tab/>
        <w:t>[Regulation 56 inserted: SL 2020/132 r. 7.]</w:t>
      </w:r>
    </w:p>
    <w:p>
      <w:pPr>
        <w:pStyle w:val="Heading5"/>
      </w:pPr>
      <w:bookmarkStart w:id="116" w:name="_Toc98506118"/>
      <w:r>
        <w:rPr>
          <w:rStyle w:val="CharSectno"/>
        </w:rPr>
        <w:t>57</w:t>
      </w:r>
      <w:r>
        <w:t>.</w:t>
      </w:r>
      <w:r>
        <w:tab/>
        <w:t>Service lines</w:t>
      </w:r>
      <w:bookmarkEnd w:id="116"/>
      <w:r>
        <w:t xml:space="preserve"> </w:t>
      </w:r>
    </w:p>
    <w:p>
      <w:pPr>
        <w:pStyle w:val="Subsection"/>
      </w:pPr>
      <w:r>
        <w:tab/>
        <w:t>(1)</w:t>
      </w:r>
      <w:r>
        <w:tab/>
        <w:t xml:space="preserve">In this regulation — </w:t>
      </w:r>
    </w:p>
    <w:p>
      <w:pPr>
        <w:pStyle w:val="Defstart"/>
      </w:pPr>
      <w:r>
        <w:tab/>
      </w:r>
      <w:r>
        <w:rPr>
          <w:rStyle w:val="CharDefText"/>
        </w:rPr>
        <w:t>internal boundary</w:t>
      </w:r>
      <w:r>
        <w:t xml:space="preserve">, in relation to a lot on subdivided land, means the boundary of the lot on subdivided land as shown on </w:t>
      </w:r>
      <w:r>
        <w:lastRenderedPageBreak/>
        <w:t xml:space="preserve">the proposed scheme plan, other than the part of the boundary of the lot that is the main boundary; </w:t>
      </w:r>
    </w:p>
    <w:p>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pPr>
        <w:pStyle w:val="Subsection"/>
      </w:pPr>
      <w:r>
        <w:tab/>
        <w:t>(2)</w:t>
      </w:r>
      <w:r>
        <w:tab/>
        <w:t>This regulation applies to plumbing and plumbing work that is the installation of a service line for a lot on subdivided land.</w:t>
      </w:r>
    </w:p>
    <w:p>
      <w:pPr>
        <w:pStyle w:val="Subsection"/>
      </w:pPr>
      <w:r>
        <w:tab/>
        <w:t>(3)</w:t>
      </w:r>
      <w:r>
        <w:tab/>
        <w:t xml:space="preserve">A responsible person for the installation of the service line for the lot on subdivided land must ensure that the service line is — </w:t>
      </w:r>
    </w:p>
    <w:p>
      <w:pPr>
        <w:pStyle w:val="Indenta"/>
      </w:pPr>
      <w:r>
        <w:tab/>
        <w:t>(a)</w:t>
      </w:r>
      <w:r>
        <w:tab/>
        <w:t xml:space="preserve">installed for the lot; and </w:t>
      </w:r>
    </w:p>
    <w:p>
      <w:pPr>
        <w:pStyle w:val="Indenta"/>
      </w:pPr>
      <w:r>
        <w:tab/>
        <w:t>(b)</w:t>
      </w:r>
      <w:r>
        <w:tab/>
        <w:t xml:space="preserve">installed — </w:t>
      </w:r>
    </w:p>
    <w:p>
      <w:pPr>
        <w:pStyle w:val="Indenti"/>
      </w:pPr>
      <w:r>
        <w:tab/>
        <w:t>(i)</w:t>
      </w:r>
      <w:r>
        <w:tab/>
        <w:t>within the main boundary of the subdivided land; and</w:t>
      </w:r>
    </w:p>
    <w:p>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pPr>
        <w:pStyle w:val="Indenta"/>
      </w:pPr>
      <w:r>
        <w:tab/>
        <w:t>(a)</w:t>
      </w:r>
      <w:r>
        <w:tab/>
        <w:t xml:space="preserve">installed — </w:t>
      </w:r>
    </w:p>
    <w:p>
      <w:pPr>
        <w:pStyle w:val="Indenti"/>
      </w:pPr>
      <w:r>
        <w:tab/>
        <w:t>(i)</w:t>
      </w:r>
      <w:r>
        <w:tab/>
        <w:t>parallel with the main boundary of the subdivided land; and</w:t>
      </w:r>
    </w:p>
    <w:p>
      <w:pPr>
        <w:pStyle w:val="Indenti"/>
      </w:pPr>
      <w:r>
        <w:tab/>
        <w:t>(ii)</w:t>
      </w:r>
      <w:r>
        <w:tab/>
        <w:t xml:space="preserve">no more than 1.5 m from the main boundary; </w:t>
      </w:r>
    </w:p>
    <w:p>
      <w:pPr>
        <w:pStyle w:val="Indenta"/>
      </w:pPr>
      <w:r>
        <w:tab/>
      </w:r>
      <w:r>
        <w:tab/>
        <w:t>or</w:t>
      </w:r>
    </w:p>
    <w:p>
      <w:pPr>
        <w:pStyle w:val="Indenta"/>
      </w:pPr>
      <w:r>
        <w:tab/>
        <w:t>(b)</w:t>
      </w:r>
      <w:r>
        <w:tab/>
        <w:t xml:space="preserve">installed — </w:t>
      </w:r>
    </w:p>
    <w:p>
      <w:pPr>
        <w:pStyle w:val="Indenti"/>
      </w:pPr>
      <w:r>
        <w:tab/>
        <w:t>(i)</w:t>
      </w:r>
      <w:r>
        <w:tab/>
        <w:t>parallel with an internal boundary of the lot; and</w:t>
      </w:r>
    </w:p>
    <w:p>
      <w:pPr>
        <w:pStyle w:val="Indenti"/>
      </w:pPr>
      <w:r>
        <w:tab/>
        <w:t>(ii)</w:t>
      </w:r>
      <w:r>
        <w:tab/>
        <w:t xml:space="preserve">no more than 1 m from the internal boundary of the lot; </w:t>
      </w:r>
    </w:p>
    <w:p>
      <w:pPr>
        <w:pStyle w:val="Indenta"/>
      </w:pPr>
      <w:r>
        <w:tab/>
      </w:r>
      <w:r>
        <w:tab/>
        <w:t>or</w:t>
      </w:r>
    </w:p>
    <w:p>
      <w:pPr>
        <w:pStyle w:val="Indenta"/>
      </w:pPr>
      <w:r>
        <w:lastRenderedPageBreak/>
        <w:tab/>
        <w:t>(c)</w:t>
      </w:r>
      <w:r>
        <w:tab/>
        <w:t>if the lot is on subdivided land to which regulation 58 applies — installed in accordance with regulation 58(2).</w:t>
      </w:r>
    </w:p>
    <w:p>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pPr>
        <w:pStyle w:val="Footnotesection"/>
      </w:pPr>
      <w:r>
        <w:tab/>
        <w:t>[Regulation 57 inserted: SL 2020/132 r. 7.]</w:t>
      </w:r>
    </w:p>
    <w:p>
      <w:pPr>
        <w:pStyle w:val="Heading5"/>
      </w:pPr>
      <w:bookmarkStart w:id="117" w:name="_Toc98506119"/>
      <w:r>
        <w:rPr>
          <w:rStyle w:val="CharSectno"/>
        </w:rPr>
        <w:t>58</w:t>
      </w:r>
      <w:r>
        <w:t>.</w:t>
      </w:r>
      <w:r>
        <w:tab/>
        <w:t>Connection points and service lines on rear driveway for particular subdivided land</w:t>
      </w:r>
      <w:bookmarkEnd w:id="117"/>
    </w:p>
    <w:p>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pPr>
        <w:pStyle w:val="Indenta"/>
      </w:pPr>
      <w:r>
        <w:tab/>
        <w:t>(a)</w:t>
      </w:r>
      <w:r>
        <w:tab/>
        <w:t>the land will be divided into 2 lots; and</w:t>
      </w:r>
    </w:p>
    <w:p>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pPr>
        <w:pStyle w:val="Indenta"/>
      </w:pPr>
      <w:r>
        <w:tab/>
        <w:t>(d)</w:t>
      </w:r>
      <w:r>
        <w:tab/>
        <w:t>the rear driveway is part of the rear lot or is common property.</w:t>
      </w:r>
    </w:p>
    <w:p>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pPr>
        <w:pStyle w:val="Footnotesection"/>
      </w:pPr>
      <w:r>
        <w:tab/>
        <w:t>[Regulation 58 inserted: SL 2020/132 r. 7.]</w:t>
      </w:r>
    </w:p>
    <w:p>
      <w:pPr>
        <w:pStyle w:val="Heading5"/>
      </w:pPr>
      <w:bookmarkStart w:id="118" w:name="_Toc98506120"/>
      <w:r>
        <w:rPr>
          <w:rStyle w:val="CharSectno"/>
        </w:rPr>
        <w:lastRenderedPageBreak/>
        <w:t>59</w:t>
      </w:r>
      <w:r>
        <w:t>.</w:t>
      </w:r>
      <w:r>
        <w:tab/>
        <w:t>Service lines on subdivided land with existing building to be moved to be in accordance with r. 57 and 58</w:t>
      </w:r>
      <w:bookmarkEnd w:id="118"/>
    </w:p>
    <w:p>
      <w:pPr>
        <w:pStyle w:val="Subsection"/>
      </w:pPr>
      <w:r>
        <w:tab/>
        <w:t>(1)</w:t>
      </w:r>
      <w:r>
        <w:tab/>
        <w:t xml:space="preserve">This regulation applies to plumbing and plumbing work that is the installation of a service line for a lot on subdivided land if — </w:t>
      </w:r>
    </w:p>
    <w:p>
      <w:pPr>
        <w:pStyle w:val="Indenta"/>
      </w:pPr>
      <w:r>
        <w:tab/>
        <w:t>(a)</w:t>
      </w:r>
      <w:r>
        <w:tab/>
        <w:t xml:space="preserve">the subdivided land has an existing building on it that is connected to existing service lines; and </w:t>
      </w:r>
    </w:p>
    <w:p>
      <w:pPr>
        <w:pStyle w:val="Indenta"/>
      </w:pPr>
      <w:r>
        <w:tab/>
        <w:t>(b)</w:t>
      </w:r>
      <w:r>
        <w:tab/>
        <w:t xml:space="preserve">the existing building will be on 1 of the lots (the </w:t>
      </w:r>
      <w:r>
        <w:rPr>
          <w:rStyle w:val="CharDefText"/>
        </w:rPr>
        <w:t>existing building lot</w:t>
      </w:r>
      <w:r>
        <w:t>) on the subdivided land; and</w:t>
      </w:r>
    </w:p>
    <w:p>
      <w:pPr>
        <w:pStyle w:val="Indenta"/>
      </w:pPr>
      <w:r>
        <w:tab/>
        <w:t>(c)</w:t>
      </w:r>
      <w:r>
        <w:tab/>
        <w:t>the existing service lines for the existing building will not be wholly within the existing building lot.</w:t>
      </w:r>
    </w:p>
    <w:p>
      <w:pPr>
        <w:pStyle w:val="Subsection"/>
      </w:pPr>
      <w:r>
        <w:tab/>
        <w:t>(2)</w:t>
      </w:r>
      <w:r>
        <w:tab/>
        <w:t>A responsible person for the installation of the service line must ensure that the service line for the existing building lot is installed in accordance with regulations 57 and 58.</w:t>
      </w:r>
    </w:p>
    <w:p>
      <w:pPr>
        <w:pStyle w:val="Footnotesection"/>
      </w:pPr>
      <w:r>
        <w:tab/>
        <w:t>[Regulation 59 inserted: SL 2020/132 r. 7; amended: SL 2021/71 r. 10.]</w:t>
      </w:r>
    </w:p>
    <w:p>
      <w:pPr>
        <w:pStyle w:val="Ednotesection"/>
      </w:pPr>
      <w:r>
        <w:t>[</w:t>
      </w:r>
      <w:r>
        <w:rPr>
          <w:b/>
        </w:rPr>
        <w:t>60</w:t>
      </w:r>
      <w:r>
        <w:rPr>
          <w:b/>
        </w:rPr>
        <w:noBreakHyphen/>
        <w:t>65.</w:t>
      </w:r>
      <w:r>
        <w:tab/>
        <w:t>Deleted: Gazette 24 Apr 2015 p. 1499.]</w:t>
      </w:r>
    </w:p>
    <w:p>
      <w:pPr>
        <w:pStyle w:val="Heading2"/>
      </w:pPr>
      <w:bookmarkStart w:id="119" w:name="_Toc98496977"/>
      <w:bookmarkStart w:id="120" w:name="_Toc98497358"/>
      <w:bookmarkStart w:id="121" w:name="_Toc98506121"/>
      <w:r>
        <w:rPr>
          <w:rStyle w:val="CharPartNo"/>
        </w:rPr>
        <w:lastRenderedPageBreak/>
        <w:t>Part 7</w:t>
      </w:r>
      <w:r>
        <w:rPr>
          <w:b w:val="0"/>
        </w:rPr>
        <w:t> </w:t>
      </w:r>
      <w:r>
        <w:t>—</w:t>
      </w:r>
      <w:r>
        <w:rPr>
          <w:b w:val="0"/>
        </w:rPr>
        <w:t> </w:t>
      </w:r>
      <w:r>
        <w:rPr>
          <w:rStyle w:val="CharPartText"/>
        </w:rPr>
        <w:t>Inspection, investigation and enforcement</w:t>
      </w:r>
      <w:bookmarkEnd w:id="119"/>
      <w:bookmarkEnd w:id="120"/>
      <w:bookmarkEnd w:id="121"/>
    </w:p>
    <w:p>
      <w:pPr>
        <w:pStyle w:val="Footnoteheading"/>
        <w:tabs>
          <w:tab w:val="left" w:pos="840"/>
        </w:tabs>
      </w:pPr>
      <w:r>
        <w:tab/>
        <w:t>[Heading inserted: Gazette 28 Jun 2004 p. 2432.]</w:t>
      </w:r>
    </w:p>
    <w:p>
      <w:pPr>
        <w:pStyle w:val="Heading3"/>
      </w:pPr>
      <w:bookmarkStart w:id="122" w:name="_Toc98496978"/>
      <w:bookmarkStart w:id="123" w:name="_Toc98497359"/>
      <w:bookmarkStart w:id="124" w:name="_Toc98506122"/>
      <w:r>
        <w:rPr>
          <w:rStyle w:val="CharDivNo"/>
        </w:rPr>
        <w:t>Division 1</w:t>
      </w:r>
      <w:r>
        <w:t> — </w:t>
      </w:r>
      <w:r>
        <w:rPr>
          <w:rStyle w:val="CharDivText"/>
        </w:rPr>
        <w:t>Plumbing compliance officers</w:t>
      </w:r>
      <w:bookmarkEnd w:id="122"/>
      <w:bookmarkEnd w:id="123"/>
      <w:bookmarkEnd w:id="124"/>
    </w:p>
    <w:p>
      <w:pPr>
        <w:pStyle w:val="Footnoteheading"/>
        <w:tabs>
          <w:tab w:val="left" w:pos="840"/>
        </w:tabs>
      </w:pPr>
      <w:r>
        <w:tab/>
        <w:t>[Heading inserted: Gazette 28 Jun 2004 p. 2432.]</w:t>
      </w:r>
    </w:p>
    <w:p>
      <w:pPr>
        <w:pStyle w:val="Heading5"/>
        <w:spacing w:before="240"/>
      </w:pPr>
      <w:bookmarkStart w:id="125" w:name="_Toc98506123"/>
      <w:r>
        <w:rPr>
          <w:rStyle w:val="CharSectno"/>
        </w:rPr>
        <w:t>66</w:t>
      </w:r>
      <w:r>
        <w:t>.</w:t>
      </w:r>
      <w:r>
        <w:tab/>
        <w:t>Plumbing compliance officers, designation of and identity cards for</w:t>
      </w:r>
      <w:bookmarkEnd w:id="12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126" w:name="_Toc98496980"/>
      <w:bookmarkStart w:id="127" w:name="_Toc98497361"/>
      <w:bookmarkStart w:id="128" w:name="_Toc98506124"/>
      <w:r>
        <w:rPr>
          <w:rStyle w:val="CharDivNo"/>
        </w:rPr>
        <w:lastRenderedPageBreak/>
        <w:t>Division 2</w:t>
      </w:r>
      <w:r>
        <w:t> — </w:t>
      </w:r>
      <w:r>
        <w:rPr>
          <w:rStyle w:val="CharDivText"/>
        </w:rPr>
        <w:t>Inspection and rectification of plumbing work</w:t>
      </w:r>
      <w:bookmarkEnd w:id="126"/>
      <w:bookmarkEnd w:id="127"/>
      <w:bookmarkEnd w:id="128"/>
    </w:p>
    <w:p>
      <w:pPr>
        <w:pStyle w:val="Footnoteheading"/>
        <w:keepNext/>
        <w:keepLines/>
        <w:tabs>
          <w:tab w:val="left" w:pos="840"/>
        </w:tabs>
      </w:pPr>
      <w:r>
        <w:tab/>
        <w:t>[Heading inserted: Gazette 28 Jun 2004 p. 2433.]</w:t>
      </w:r>
    </w:p>
    <w:p>
      <w:pPr>
        <w:pStyle w:val="Heading5"/>
      </w:pPr>
      <w:bookmarkStart w:id="129" w:name="_Toc98506125"/>
      <w:r>
        <w:rPr>
          <w:rStyle w:val="CharSectno"/>
        </w:rPr>
        <w:t>67</w:t>
      </w:r>
      <w:r>
        <w:t>.</w:t>
      </w:r>
      <w:r>
        <w:tab/>
        <w:t>Entry for inspection purposes, rules applying to</w:t>
      </w:r>
      <w:bookmarkEnd w:id="12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130" w:name="_Toc98506126"/>
      <w:r>
        <w:rPr>
          <w:rStyle w:val="CharSectno"/>
        </w:rPr>
        <w:t>68</w:t>
      </w:r>
      <w:r>
        <w:t>.</w:t>
      </w:r>
      <w:r>
        <w:tab/>
        <w:t>Inspection of plumbing work by officer, notice of etc.</w:t>
      </w:r>
      <w:bookmarkEnd w:id="130"/>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131" w:name="_Toc98506127"/>
      <w:r>
        <w:rPr>
          <w:rStyle w:val="CharSectno"/>
        </w:rPr>
        <w:t>69</w:t>
      </w:r>
      <w:r>
        <w:t>.</w:t>
      </w:r>
      <w:r>
        <w:tab/>
        <w:t>Notice of inspection may be given to dwelling owner etc. in some cases</w:t>
      </w:r>
      <w:bookmarkEnd w:id="131"/>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lastRenderedPageBreak/>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132" w:name="_Toc98506128"/>
      <w:r>
        <w:rPr>
          <w:rStyle w:val="CharSectno"/>
        </w:rPr>
        <w:t>70</w:t>
      </w:r>
      <w:r>
        <w:t>.</w:t>
      </w:r>
      <w:r>
        <w:tab/>
        <w:t>Drainage plumbing work (major plumbing work) ready for inspection, notice to be given to Board of</w:t>
      </w:r>
      <w:bookmarkEnd w:id="132"/>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lastRenderedPageBreak/>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133" w:name="_Toc98506129"/>
      <w:r>
        <w:rPr>
          <w:rStyle w:val="CharSectno"/>
        </w:rPr>
        <w:t>71</w:t>
      </w:r>
      <w:r>
        <w:t>.</w:t>
      </w:r>
      <w:r>
        <w:tab/>
        <w:t>Rectification notices</w:t>
      </w:r>
      <w:bookmarkEnd w:id="133"/>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lastRenderedPageBreak/>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keepNext/>
      </w:pPr>
      <w:r>
        <w:lastRenderedPageBreak/>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134" w:name="_Toc98506130"/>
      <w:r>
        <w:rPr>
          <w:rStyle w:val="CharSectno"/>
        </w:rPr>
        <w:t>72</w:t>
      </w:r>
      <w:r>
        <w:t>.</w:t>
      </w:r>
      <w:r>
        <w:tab/>
        <w:t>Rectification notice to be complied with etc.</w:t>
      </w:r>
      <w:bookmarkEnd w:id="13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keepNext/>
      </w:pPr>
      <w:r>
        <w:lastRenderedPageBreak/>
        <w:tab/>
        <w:t>(b)</w:t>
      </w:r>
      <w:r>
        <w:tab/>
        <w:t>if the officer cannot be notified — the Board,</w:t>
      </w:r>
    </w:p>
    <w:p>
      <w:pPr>
        <w:pStyle w:val="Subsection"/>
        <w:keepNext/>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135" w:name="_Toc98506131"/>
      <w:r>
        <w:rPr>
          <w:rStyle w:val="CharSectno"/>
        </w:rPr>
        <w:t>73</w:t>
      </w:r>
      <w:r>
        <w:t>.</w:t>
      </w:r>
      <w:r>
        <w:tab/>
        <w:t>Inspection of rectified plumbing work, fee for</w:t>
      </w:r>
      <w:bookmarkEnd w:id="13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Division 2 for each hour or part</w:t>
      </w:r>
      <w:r>
        <w:noBreakHyphen/>
        <w:t>hour of the inspection.</w:t>
      </w:r>
    </w:p>
    <w:p>
      <w:pPr>
        <w:pStyle w:val="Footnotesection"/>
      </w:pPr>
      <w:r>
        <w:tab/>
        <w:t>[Regulation 73 inserted: Gazette 28 Jun 2004 p. 2439; amended: SL 2020/196 r. 54.]</w:t>
      </w:r>
    </w:p>
    <w:p>
      <w:pPr>
        <w:pStyle w:val="Heading3"/>
      </w:pPr>
      <w:bookmarkStart w:id="136" w:name="_Toc98496988"/>
      <w:bookmarkStart w:id="137" w:name="_Toc98497369"/>
      <w:bookmarkStart w:id="138" w:name="_Toc98506132"/>
      <w:r>
        <w:rPr>
          <w:rStyle w:val="CharDivNo"/>
        </w:rPr>
        <w:t>Division 3</w:t>
      </w:r>
      <w:r>
        <w:t> — </w:t>
      </w:r>
      <w:r>
        <w:rPr>
          <w:rStyle w:val="CharDivText"/>
        </w:rPr>
        <w:t>Infringement notices</w:t>
      </w:r>
      <w:bookmarkEnd w:id="136"/>
      <w:bookmarkEnd w:id="137"/>
      <w:bookmarkEnd w:id="138"/>
    </w:p>
    <w:p>
      <w:pPr>
        <w:pStyle w:val="Footnoteheading"/>
        <w:tabs>
          <w:tab w:val="left" w:pos="840"/>
        </w:tabs>
      </w:pPr>
      <w:r>
        <w:tab/>
        <w:t>[Heading inserted: Gazette 28 Jun 2004 p. 2440.]</w:t>
      </w:r>
    </w:p>
    <w:p>
      <w:pPr>
        <w:pStyle w:val="Heading5"/>
      </w:pPr>
      <w:bookmarkStart w:id="139" w:name="_Toc98506133"/>
      <w:r>
        <w:rPr>
          <w:rStyle w:val="CharSectno"/>
        </w:rPr>
        <w:t>74</w:t>
      </w:r>
      <w:r>
        <w:t>.</w:t>
      </w:r>
      <w:r>
        <w:tab/>
        <w:t>Terms used</w:t>
      </w:r>
      <w:bookmarkEnd w:id="139"/>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140" w:name="_Toc98506134"/>
      <w:r>
        <w:rPr>
          <w:rStyle w:val="CharSectno"/>
        </w:rPr>
        <w:t>75</w:t>
      </w:r>
      <w:r>
        <w:t>.</w:t>
      </w:r>
      <w:r>
        <w:tab/>
        <w:t>Infringement notices, issue of</w:t>
      </w:r>
      <w:bookmarkEnd w:id="14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lastRenderedPageBreak/>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 SL 2020/132 r. 8.]</w:t>
      </w:r>
    </w:p>
    <w:p>
      <w:pPr>
        <w:pStyle w:val="Heading5"/>
      </w:pPr>
      <w:bookmarkStart w:id="141" w:name="_Toc98506135"/>
      <w:r>
        <w:rPr>
          <w:rStyle w:val="CharSectno"/>
        </w:rPr>
        <w:t>76</w:t>
      </w:r>
      <w:r>
        <w:t>.</w:t>
      </w:r>
      <w:r>
        <w:tab/>
        <w:t>Extending time to pay modified penalty</w:t>
      </w:r>
      <w:bookmarkEnd w:id="14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lastRenderedPageBreak/>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142" w:name="_Toc98506136"/>
      <w:r>
        <w:rPr>
          <w:rStyle w:val="CharSectno"/>
        </w:rPr>
        <w:t>77</w:t>
      </w:r>
      <w:r>
        <w:t>.</w:t>
      </w:r>
      <w:r>
        <w:tab/>
        <w:t>Withdrawing infringement notice</w:t>
      </w:r>
      <w:bookmarkEnd w:id="142"/>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143" w:name="_Toc98506137"/>
      <w:r>
        <w:rPr>
          <w:rStyle w:val="CharSectno"/>
        </w:rPr>
        <w:t>78</w:t>
      </w:r>
      <w:r>
        <w:t>.</w:t>
      </w:r>
      <w:r>
        <w:tab/>
        <w:t>Payment of modified penalty, consequences of</w:t>
      </w:r>
      <w:bookmarkEnd w:id="143"/>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144" w:name="_Toc98506138"/>
      <w:r>
        <w:rPr>
          <w:rStyle w:val="CharSectno"/>
        </w:rPr>
        <w:lastRenderedPageBreak/>
        <w:t>79</w:t>
      </w:r>
      <w:r>
        <w:t>.</w:t>
      </w:r>
      <w:r>
        <w:tab/>
        <w:t>Paid modified penalties, application of</w:t>
      </w:r>
      <w:bookmarkEnd w:id="144"/>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145" w:name="_Toc98506139"/>
      <w:r>
        <w:rPr>
          <w:rStyle w:val="CharSectno"/>
        </w:rPr>
        <w:t>80</w:t>
      </w:r>
      <w:r>
        <w:t>.</w:t>
      </w:r>
      <w:r>
        <w:tab/>
        <w:t>Designation of employee of department as authorised person</w:t>
      </w:r>
      <w:bookmarkEnd w:id="145"/>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146" w:name="_Toc98496996"/>
      <w:bookmarkStart w:id="147" w:name="_Toc98497377"/>
      <w:bookmarkStart w:id="148" w:name="_Toc98506140"/>
      <w:r>
        <w:rPr>
          <w:rStyle w:val="CharDivNo"/>
        </w:rPr>
        <w:t>Division 4</w:t>
      </w:r>
      <w:r>
        <w:t> — </w:t>
      </w:r>
      <w:r>
        <w:rPr>
          <w:rStyle w:val="CharDivText"/>
        </w:rPr>
        <w:t>Dangerous situations</w:t>
      </w:r>
      <w:bookmarkEnd w:id="146"/>
      <w:bookmarkEnd w:id="147"/>
      <w:bookmarkEnd w:id="148"/>
    </w:p>
    <w:p>
      <w:pPr>
        <w:pStyle w:val="Footnoteheading"/>
        <w:keepNext/>
        <w:keepLines/>
        <w:tabs>
          <w:tab w:val="left" w:pos="840"/>
        </w:tabs>
        <w:spacing w:before="100"/>
      </w:pPr>
      <w:r>
        <w:tab/>
        <w:t>[Heading inserted: Gazette 28 Jun 2004 p. 2442.]</w:t>
      </w:r>
    </w:p>
    <w:p>
      <w:pPr>
        <w:pStyle w:val="Heading5"/>
        <w:spacing w:before="180"/>
      </w:pPr>
      <w:bookmarkStart w:id="149" w:name="_Toc98506141"/>
      <w:r>
        <w:rPr>
          <w:rStyle w:val="CharSectno"/>
        </w:rPr>
        <w:t>81</w:t>
      </w:r>
      <w:r>
        <w:t>.</w:t>
      </w:r>
      <w:r>
        <w:tab/>
        <w:t>Plumbing compliance officers’ powers to deal with dangerous situations</w:t>
      </w:r>
      <w:bookmarkEnd w:id="14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lastRenderedPageBreak/>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150" w:name="_Toc98496998"/>
      <w:bookmarkStart w:id="151" w:name="_Toc98497379"/>
      <w:bookmarkStart w:id="152" w:name="_Toc98506142"/>
      <w:r>
        <w:rPr>
          <w:rStyle w:val="CharDivNo"/>
        </w:rPr>
        <w:t>Division 5</w:t>
      </w:r>
      <w:r>
        <w:t> — </w:t>
      </w:r>
      <w:r>
        <w:rPr>
          <w:rStyle w:val="CharDivText"/>
        </w:rPr>
        <w:t>Powers of entry, inspection and investigation</w:t>
      </w:r>
      <w:bookmarkEnd w:id="150"/>
      <w:bookmarkEnd w:id="151"/>
      <w:bookmarkEnd w:id="152"/>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153" w:name="_Toc98506143"/>
      <w:r>
        <w:rPr>
          <w:rStyle w:val="CharSectno"/>
        </w:rPr>
        <w:t>82</w:t>
      </w:r>
      <w:r>
        <w:t>.</w:t>
      </w:r>
      <w:r>
        <w:tab/>
        <w:t>Terms used</w:t>
      </w:r>
      <w:bookmarkEnd w:id="153"/>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154" w:name="_Toc98506144"/>
      <w:r>
        <w:rPr>
          <w:rStyle w:val="CharSectno"/>
        </w:rPr>
        <w:lastRenderedPageBreak/>
        <w:t>83</w:t>
      </w:r>
      <w:r>
        <w:t>.</w:t>
      </w:r>
      <w:r>
        <w:tab/>
        <w:t>Power to enter for inspection or compliance purposes</w:t>
      </w:r>
      <w:bookmarkEnd w:id="154"/>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155" w:name="_Toc98506145"/>
      <w:r>
        <w:rPr>
          <w:rStyle w:val="CharSectno"/>
        </w:rPr>
        <w:lastRenderedPageBreak/>
        <w:t>84</w:t>
      </w:r>
      <w:r>
        <w:t>.</w:t>
      </w:r>
      <w:r>
        <w:tab/>
        <w:t>Notice of intention to enter dwelling, issue of</w:t>
      </w:r>
      <w:bookmarkEnd w:id="155"/>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156" w:name="_Toc98506146"/>
      <w:r>
        <w:rPr>
          <w:rStyle w:val="CharSectno"/>
        </w:rPr>
        <w:t>85</w:t>
      </w:r>
      <w:r>
        <w:t>.</w:t>
      </w:r>
      <w:r>
        <w:tab/>
        <w:t>General powers for inspection and compliance purposes</w:t>
      </w:r>
      <w:bookmarkEnd w:id="15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lastRenderedPageBreak/>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157" w:name="_Toc98506147"/>
      <w:r>
        <w:rPr>
          <w:rStyle w:val="CharSectno"/>
        </w:rPr>
        <w:t>86</w:t>
      </w:r>
      <w:r>
        <w:t>.</w:t>
      </w:r>
      <w:r>
        <w:tab/>
        <w:t>Entry warrants</w:t>
      </w:r>
      <w:bookmarkEnd w:id="157"/>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lastRenderedPageBreak/>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158" w:name="_Toc98506148"/>
      <w:r>
        <w:rPr>
          <w:rStyle w:val="CharSectno"/>
        </w:rPr>
        <w:t>87</w:t>
      </w:r>
      <w:r>
        <w:t>.</w:t>
      </w:r>
      <w:r>
        <w:tab/>
        <w:t>Assistants and equipment, use of</w:t>
      </w:r>
      <w:bookmarkEnd w:id="158"/>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159" w:name="_Toc98506149"/>
      <w:r>
        <w:rPr>
          <w:rStyle w:val="CharSectno"/>
        </w:rPr>
        <w:t>88</w:t>
      </w:r>
      <w:r>
        <w:t>.</w:t>
      </w:r>
      <w:r>
        <w:tab/>
        <w:t>Purpose of entry to be given on request</w:t>
      </w:r>
      <w:bookmarkEnd w:id="15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160" w:name="_Toc98497006"/>
      <w:bookmarkStart w:id="161" w:name="_Toc98497387"/>
      <w:bookmarkStart w:id="162" w:name="_Toc98506150"/>
      <w:r>
        <w:rPr>
          <w:rStyle w:val="CharDivNo"/>
        </w:rPr>
        <w:lastRenderedPageBreak/>
        <w:t>Division 6</w:t>
      </w:r>
      <w:r>
        <w:t> — </w:t>
      </w:r>
      <w:r>
        <w:rPr>
          <w:rStyle w:val="CharDivText"/>
        </w:rPr>
        <w:t>General provisions</w:t>
      </w:r>
      <w:bookmarkEnd w:id="160"/>
      <w:bookmarkEnd w:id="161"/>
      <w:bookmarkEnd w:id="162"/>
    </w:p>
    <w:p>
      <w:pPr>
        <w:pStyle w:val="Footnoteheading"/>
        <w:keepNext/>
        <w:tabs>
          <w:tab w:val="left" w:pos="840"/>
        </w:tabs>
      </w:pPr>
      <w:r>
        <w:tab/>
        <w:t>[Heading inserted: Gazette 28 Jun 2004 p. 2448.]</w:t>
      </w:r>
    </w:p>
    <w:p>
      <w:pPr>
        <w:pStyle w:val="Heading5"/>
      </w:pPr>
      <w:bookmarkStart w:id="163" w:name="_Toc98506151"/>
      <w:r>
        <w:rPr>
          <w:rStyle w:val="CharSectno"/>
        </w:rPr>
        <w:t>89</w:t>
      </w:r>
      <w:r>
        <w:t>.</w:t>
      </w:r>
      <w:r>
        <w:tab/>
        <w:t>Remedial action by State under r. 72(5) or 81, recovering cost of</w:t>
      </w:r>
      <w:bookmarkEnd w:id="163"/>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164" w:name="_Toc98506152"/>
      <w:r>
        <w:rPr>
          <w:rStyle w:val="CharSectno"/>
        </w:rPr>
        <w:t>90</w:t>
      </w:r>
      <w:r>
        <w:t>.</w:t>
      </w:r>
      <w:r>
        <w:tab/>
        <w:t>Offences</w:t>
      </w:r>
      <w:bookmarkEnd w:id="16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lastRenderedPageBreak/>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165" w:name="_Toc98497009"/>
      <w:bookmarkStart w:id="166" w:name="_Toc98497390"/>
      <w:bookmarkStart w:id="167" w:name="_Toc98506153"/>
      <w:r>
        <w:rPr>
          <w:rStyle w:val="CharPartNo"/>
        </w:rPr>
        <w:lastRenderedPageBreak/>
        <w:t>Part 8</w:t>
      </w:r>
      <w:r>
        <w:rPr>
          <w:rStyle w:val="CharDivNo"/>
        </w:rPr>
        <w:t> </w:t>
      </w:r>
      <w:r>
        <w:t>—</w:t>
      </w:r>
      <w:r>
        <w:rPr>
          <w:rStyle w:val="CharDivText"/>
        </w:rPr>
        <w:t> </w:t>
      </w:r>
      <w:r>
        <w:rPr>
          <w:rStyle w:val="CharPartText"/>
        </w:rPr>
        <w:t>Miscellaneous provisions</w:t>
      </w:r>
      <w:bookmarkEnd w:id="165"/>
      <w:bookmarkEnd w:id="166"/>
      <w:bookmarkEnd w:id="167"/>
    </w:p>
    <w:p>
      <w:pPr>
        <w:pStyle w:val="Footnoteheading"/>
        <w:tabs>
          <w:tab w:val="left" w:pos="840"/>
        </w:tabs>
      </w:pPr>
      <w:r>
        <w:tab/>
        <w:t>[Heading inserted: Gazette 28 Jun 2004 p. 2449.]</w:t>
      </w:r>
    </w:p>
    <w:p>
      <w:pPr>
        <w:pStyle w:val="Heading5"/>
      </w:pPr>
      <w:bookmarkStart w:id="168" w:name="_Toc98506154"/>
      <w:r>
        <w:rPr>
          <w:rStyle w:val="CharSectno"/>
        </w:rPr>
        <w:t>100</w:t>
      </w:r>
      <w:r>
        <w:t>.</w:t>
      </w:r>
      <w:r>
        <w:tab/>
        <w:t>Application to SAT for review of certain decisions of Board</w:t>
      </w:r>
      <w:bookmarkEnd w:id="168"/>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169" w:name="_Toc98506155"/>
      <w:r>
        <w:rPr>
          <w:rStyle w:val="CharSectno"/>
        </w:rPr>
        <w:lastRenderedPageBreak/>
        <w:t>102</w:t>
      </w:r>
      <w:r>
        <w:t>.</w:t>
      </w:r>
      <w:r>
        <w:tab/>
        <w:t>Register of licences etc., public access to etc.</w:t>
      </w:r>
      <w:bookmarkEnd w:id="169"/>
    </w:p>
    <w:p>
      <w:pPr>
        <w:pStyle w:val="Subsection"/>
        <w:keepNext/>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 Division 1.</w:t>
      </w:r>
    </w:p>
    <w:p>
      <w:pPr>
        <w:pStyle w:val="Subsection"/>
        <w:spacing w:before="120"/>
        <w:rPr>
          <w:b/>
          <w:sz w:val="20"/>
        </w:rPr>
      </w:pPr>
      <w:r>
        <w:tab/>
        <w:t>(4)</w:t>
      </w:r>
      <w:r>
        <w:tab/>
        <w:t>A person may obtain from the Board an extract from the register relating to a particular licence or permit on payment of the fee set out in Schedule 1 Division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 SL 2020/196 r. 54.]</w:t>
      </w:r>
    </w:p>
    <w:p>
      <w:pPr>
        <w:pStyle w:val="Heading5"/>
        <w:keepNext w:val="0"/>
        <w:keepLines w:val="0"/>
        <w:spacing w:before="180"/>
      </w:pPr>
      <w:bookmarkStart w:id="170" w:name="_Toc98506156"/>
      <w:r>
        <w:rPr>
          <w:rStyle w:val="CharSectno"/>
        </w:rPr>
        <w:t>103</w:t>
      </w:r>
      <w:r>
        <w:t>.</w:t>
      </w:r>
      <w:r>
        <w:tab/>
        <w:t>Register, content of</w:t>
      </w:r>
      <w:bookmarkEnd w:id="17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lastRenderedPageBreak/>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171" w:name="_Toc98506157"/>
      <w:r>
        <w:rPr>
          <w:rStyle w:val="CharSectno"/>
        </w:rPr>
        <w:t>104</w:t>
      </w:r>
      <w:r>
        <w:t>.</w:t>
      </w:r>
      <w:r>
        <w:tab/>
        <w:t>Register, Board may amend etc.</w:t>
      </w:r>
      <w:bookmarkEnd w:id="171"/>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172" w:name="_Toc98506158"/>
      <w:r>
        <w:rPr>
          <w:rStyle w:val="CharSectno"/>
        </w:rPr>
        <w:t>105</w:t>
      </w:r>
      <w:r>
        <w:t>.</w:t>
      </w:r>
      <w:r>
        <w:tab/>
        <w:t>Change of address etc., licensee etc. to notify Board of</w:t>
      </w:r>
      <w:bookmarkEnd w:id="172"/>
    </w:p>
    <w:p>
      <w:pPr>
        <w:pStyle w:val="Subsection"/>
        <w:keepNext/>
      </w:pPr>
      <w:r>
        <w:tab/>
      </w:r>
      <w:r>
        <w:tab/>
        <w:t xml:space="preserve">A licensee or permit holder must notify the Board in writing of a change in the licensee’s or permit holder’s address or telephone </w:t>
      </w:r>
      <w:r>
        <w:lastRenderedPageBreak/>
        <w:t>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173" w:name="_Toc98506159"/>
      <w:r>
        <w:rPr>
          <w:rStyle w:val="CharSectno"/>
        </w:rPr>
        <w:t>106</w:t>
      </w:r>
      <w:r>
        <w:t>.</w:t>
      </w:r>
      <w:r>
        <w:tab/>
        <w:t>Forms, approval of etc.</w:t>
      </w:r>
      <w:bookmarkEnd w:id="173"/>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keepNext/>
      </w:pPr>
      <w:r>
        <w:tab/>
        <w:t>(3)</w:t>
      </w:r>
      <w:r>
        <w:tab/>
        <w:t xml:space="preserve">The Board must make available notices and certificates required under regulations 41(1), 42(1), 45A(1), 45B(1) and 111(3)  that comply with the Board’s approval and requirements under this regulation, and the Board may charge a fee that does not exceed </w:t>
      </w:r>
      <w:r>
        <w:lastRenderedPageBreak/>
        <w:t>the relevant fee set out in Schedule 1 Division 2 item 1, 2, 3, 10 or 11.</w:t>
      </w:r>
    </w:p>
    <w:p>
      <w:pPr>
        <w:pStyle w:val="Footnotesection"/>
      </w:pPr>
      <w:r>
        <w:tab/>
        <w:t>[Regulation 106 inserted: Gazette 28 Jun 2004 p. 2451; amended: Gazette 13 Dec 2016 p. 5629; 23 Jun 2017 p. 3248; 18 Jun 2019 p. 2107; 18 Oct 2019 p. 3677; SL 2020/196 r. 54.]</w:t>
      </w:r>
    </w:p>
    <w:p>
      <w:pPr>
        <w:pStyle w:val="Heading5"/>
      </w:pPr>
      <w:bookmarkStart w:id="174" w:name="_Toc98506160"/>
      <w:r>
        <w:rPr>
          <w:rStyle w:val="CharSectno"/>
        </w:rPr>
        <w:t>107</w:t>
      </w:r>
      <w:r>
        <w:t>.</w:t>
      </w:r>
      <w:r>
        <w:tab/>
        <w:t>Evidentiary provisions</w:t>
      </w:r>
      <w:bookmarkEnd w:id="17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175" w:name="_Toc98506161"/>
      <w:r>
        <w:rPr>
          <w:rStyle w:val="CharSectno"/>
        </w:rPr>
        <w:lastRenderedPageBreak/>
        <w:t>108</w:t>
      </w:r>
      <w:r>
        <w:t>.</w:t>
      </w:r>
      <w:r>
        <w:tab/>
        <w:t>Information about Board, Board may publish</w:t>
      </w:r>
      <w:bookmarkEnd w:id="175"/>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176" w:name="_Toc98506162"/>
      <w:r>
        <w:rPr>
          <w:rStyle w:val="CharSectno"/>
        </w:rPr>
        <w:t>109</w:t>
      </w:r>
      <w:r>
        <w:t>.</w:t>
      </w:r>
      <w:r>
        <w:tab/>
        <w:t>Information that may be disclosed (Act s. 60B(2)(b))</w:t>
      </w:r>
      <w:bookmarkEnd w:id="17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Ednotesection"/>
      </w:pPr>
      <w:r>
        <w:t>[</w:t>
      </w:r>
      <w:r>
        <w:rPr>
          <w:b/>
        </w:rPr>
        <w:t>109A.</w:t>
      </w:r>
      <w:r>
        <w:tab/>
        <w:t>Deleted: SL 2021/86 r. 58.]</w:t>
      </w:r>
    </w:p>
    <w:p>
      <w:pPr>
        <w:pStyle w:val="Heading5"/>
      </w:pPr>
      <w:bookmarkStart w:id="177" w:name="_Toc98506163"/>
      <w:r>
        <w:rPr>
          <w:rStyle w:val="CharSectno"/>
        </w:rPr>
        <w:t>110</w:t>
      </w:r>
      <w:r>
        <w:t>.</w:t>
      </w:r>
      <w:r>
        <w:tab/>
        <w:t xml:space="preserve">Transitional provision for </w:t>
      </w:r>
      <w:r>
        <w:rPr>
          <w:i/>
        </w:rPr>
        <w:t>Plumbers Licensing and Plumbing Standards Amendment Regulations 2019</w:t>
      </w:r>
      <w:bookmarkEnd w:id="177"/>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178" w:name="_Toc98506164"/>
      <w:r>
        <w:rPr>
          <w:rStyle w:val="CharSectno"/>
        </w:rPr>
        <w:t>111</w:t>
      </w:r>
      <w:r>
        <w:t>.</w:t>
      </w:r>
      <w:r>
        <w:tab/>
        <w:t xml:space="preserve">Transitional provisions for </w:t>
      </w:r>
      <w:r>
        <w:rPr>
          <w:i/>
        </w:rPr>
        <w:t>Plumbers Licensing and Plumbing Standards Amendment Regulations (No. 3) 2019</w:t>
      </w:r>
      <w:bookmarkEnd w:id="178"/>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lastRenderedPageBreak/>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9" w:name="_Toc98497021"/>
      <w:bookmarkStart w:id="180" w:name="_Toc98497402"/>
      <w:bookmarkStart w:id="181" w:name="_Toc98506165"/>
      <w:r>
        <w:rPr>
          <w:rStyle w:val="CharSchNo"/>
        </w:rPr>
        <w:lastRenderedPageBreak/>
        <w:t>Schedule 1 </w:t>
      </w:r>
      <w:r>
        <w:t>— </w:t>
      </w:r>
      <w:r>
        <w:rPr>
          <w:rStyle w:val="CharSchText"/>
        </w:rPr>
        <w:t>Fees</w:t>
      </w:r>
      <w:bookmarkEnd w:id="179"/>
      <w:bookmarkEnd w:id="180"/>
      <w:bookmarkEnd w:id="181"/>
    </w:p>
    <w:p>
      <w:pPr>
        <w:pStyle w:val="yShoulderClause"/>
      </w:pPr>
      <w:r>
        <w:t>[r. 3, 22, 45A, 45E, 45, 54, 73, 102 and 106]</w:t>
      </w:r>
    </w:p>
    <w:p>
      <w:pPr>
        <w:pStyle w:val="yFootnoteheading"/>
      </w:pPr>
      <w:r>
        <w:tab/>
        <w:t>[Heading inserted: SL 2021/86 r. 59.]</w:t>
      </w:r>
    </w:p>
    <w:p>
      <w:pPr>
        <w:pStyle w:val="yHeading3"/>
      </w:pPr>
      <w:bookmarkStart w:id="182" w:name="_Toc98497022"/>
      <w:bookmarkStart w:id="183" w:name="_Toc98497403"/>
      <w:bookmarkStart w:id="184" w:name="_Toc98506166"/>
      <w:r>
        <w:rPr>
          <w:rStyle w:val="CharSDivNo"/>
        </w:rPr>
        <w:t>Division 1</w:t>
      </w:r>
      <w:r>
        <w:t> — </w:t>
      </w:r>
      <w:r>
        <w:rPr>
          <w:rStyle w:val="CharSDivText"/>
        </w:rPr>
        <w:t>Authorisation fees</w:t>
      </w:r>
      <w:bookmarkEnd w:id="182"/>
      <w:bookmarkEnd w:id="183"/>
      <w:bookmarkEnd w:id="184"/>
    </w:p>
    <w:p>
      <w:pPr>
        <w:pStyle w:val="yFootnoteheading"/>
        <w:spacing w:after="120"/>
      </w:pPr>
      <w:r>
        <w:tab/>
        <w:t>[Heading inserted: SL 2021/86 r. 59.]</w:t>
      </w:r>
    </w:p>
    <w:tbl>
      <w:tblPr>
        <w:tblW w:w="7088" w:type="dxa"/>
        <w:jc w:val="center"/>
        <w:tblLayout w:type="fixed"/>
        <w:tblLook w:val="0000" w:firstRow="0" w:lastRow="0" w:firstColumn="0" w:lastColumn="0" w:noHBand="0" w:noVBand="0"/>
      </w:tblPr>
      <w:tblGrid>
        <w:gridCol w:w="709"/>
        <w:gridCol w:w="4961"/>
        <w:gridCol w:w="1418"/>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8"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w:t>
            </w:r>
          </w:p>
        </w:tc>
      </w:tr>
      <w:tr>
        <w:trPr>
          <w:cantSplit/>
          <w:jc w:val="center"/>
        </w:trPr>
        <w:tc>
          <w:tcPr>
            <w:tcW w:w="709" w:type="dxa"/>
            <w:noWrap/>
          </w:tcPr>
          <w:p>
            <w:pPr>
              <w:pStyle w:val="yTableNAm"/>
            </w:pPr>
            <w:r>
              <w:t>1.</w:t>
            </w:r>
          </w:p>
        </w:tc>
        <w:tc>
          <w:tcPr>
            <w:tcW w:w="4961" w:type="dxa"/>
            <w:noWrap/>
          </w:tcPr>
          <w:p>
            <w:pPr>
              <w:pStyle w:val="yTableNAm"/>
            </w:pPr>
            <w:r>
              <w:t>Application for plumbing contractor’s licence (r. 15)</w:t>
            </w:r>
          </w:p>
        </w:tc>
        <w:tc>
          <w:tcPr>
            <w:tcW w:w="1418" w:type="dxa"/>
            <w:noWrap/>
            <w:vAlign w:val="bottom"/>
          </w:tcPr>
          <w:p>
            <w:pPr>
              <w:pStyle w:val="yTableNAm"/>
              <w:jc w:val="right"/>
            </w:pPr>
            <w:r>
              <w:t>66.50</w:t>
            </w:r>
          </w:p>
        </w:tc>
      </w:tr>
      <w:tr>
        <w:trPr>
          <w:cantSplit/>
          <w:jc w:val="center"/>
        </w:trPr>
        <w:tc>
          <w:tcPr>
            <w:tcW w:w="709" w:type="dxa"/>
            <w:noWrap/>
          </w:tcPr>
          <w:p>
            <w:pPr>
              <w:pStyle w:val="yTableNAm"/>
            </w:pPr>
            <w:r>
              <w:t>2.</w:t>
            </w:r>
          </w:p>
        </w:tc>
        <w:tc>
          <w:tcPr>
            <w:tcW w:w="4961" w:type="dxa"/>
            <w:noWrap/>
          </w:tcPr>
          <w:p>
            <w:pPr>
              <w:pStyle w:val="yTableNAm"/>
            </w:pPr>
            <w:r>
              <w:t>Application for tradesperson’s licence or tradesperson’s licence (drainage plumbing) (r. 15)</w:t>
            </w:r>
          </w:p>
        </w:tc>
        <w:tc>
          <w:tcPr>
            <w:tcW w:w="1418" w:type="dxa"/>
            <w:noWrap/>
            <w:vAlign w:val="bottom"/>
          </w:tcPr>
          <w:p>
            <w:pPr>
              <w:pStyle w:val="yTableNAm"/>
              <w:jc w:val="right"/>
            </w:pPr>
            <w:r>
              <w:t>29.50</w:t>
            </w:r>
          </w:p>
        </w:tc>
      </w:tr>
      <w:tr>
        <w:trPr>
          <w:cantSplit/>
          <w:jc w:val="center"/>
        </w:trPr>
        <w:tc>
          <w:tcPr>
            <w:tcW w:w="709" w:type="dxa"/>
            <w:noWrap/>
          </w:tcPr>
          <w:p>
            <w:pPr>
              <w:pStyle w:val="yTableNAm"/>
            </w:pPr>
            <w:r>
              <w:t>3.</w:t>
            </w:r>
          </w:p>
        </w:tc>
        <w:tc>
          <w:tcPr>
            <w:tcW w:w="4961" w:type="dxa"/>
            <w:noWrap/>
          </w:tcPr>
          <w:p>
            <w:pPr>
              <w:pStyle w:val="yTableNAm"/>
            </w:pPr>
            <w:r>
              <w:t>Application for provisional tradesperson’s licence or provisional tradesperson’s licence (drainage plumbing)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4.</w:t>
            </w:r>
          </w:p>
        </w:tc>
        <w:tc>
          <w:tcPr>
            <w:tcW w:w="4961" w:type="dxa"/>
            <w:noWrap/>
          </w:tcPr>
          <w:p>
            <w:pPr>
              <w:pStyle w:val="yTableNAm"/>
            </w:pPr>
            <w:r>
              <w:t>Application for restricted plumbing permit (r. 15)</w:t>
            </w:r>
          </w:p>
        </w:tc>
        <w:tc>
          <w:tcPr>
            <w:tcW w:w="1418" w:type="dxa"/>
            <w:noWrap/>
            <w:vAlign w:val="bottom"/>
          </w:tcPr>
          <w:p>
            <w:pPr>
              <w:pStyle w:val="yTableNAm"/>
              <w:jc w:val="right"/>
            </w:pPr>
            <w:r>
              <w:t>25.00</w:t>
            </w:r>
          </w:p>
        </w:tc>
      </w:tr>
      <w:tr>
        <w:trPr>
          <w:cantSplit/>
          <w:jc w:val="center"/>
        </w:trPr>
        <w:tc>
          <w:tcPr>
            <w:tcW w:w="709" w:type="dxa"/>
            <w:noWrap/>
          </w:tcPr>
          <w:p>
            <w:pPr>
              <w:pStyle w:val="yTableNAm"/>
            </w:pPr>
            <w:r>
              <w:t>5.</w:t>
            </w:r>
          </w:p>
        </w:tc>
        <w:tc>
          <w:tcPr>
            <w:tcW w:w="4961" w:type="dxa"/>
            <w:noWrap/>
          </w:tcPr>
          <w:p>
            <w:pPr>
              <w:pStyle w:val="yTableNAm"/>
            </w:pPr>
            <w:r>
              <w:t>Issue of plumbing contractor’s licence (r. 17)</w:t>
            </w:r>
          </w:p>
        </w:tc>
        <w:tc>
          <w:tcPr>
            <w:tcW w:w="1418" w:type="dxa"/>
            <w:noWrap/>
            <w:vAlign w:val="bottom"/>
          </w:tcPr>
          <w:p>
            <w:pPr>
              <w:pStyle w:val="yTableNAm"/>
              <w:jc w:val="right"/>
            </w:pPr>
            <w:r>
              <w:t>680.00</w:t>
            </w:r>
          </w:p>
        </w:tc>
      </w:tr>
      <w:tr>
        <w:trPr>
          <w:cantSplit/>
          <w:jc w:val="center"/>
        </w:trPr>
        <w:tc>
          <w:tcPr>
            <w:tcW w:w="709" w:type="dxa"/>
            <w:noWrap/>
          </w:tcPr>
          <w:p>
            <w:pPr>
              <w:pStyle w:val="yTableNAm"/>
            </w:pPr>
            <w:r>
              <w:t>6.</w:t>
            </w:r>
          </w:p>
        </w:tc>
        <w:tc>
          <w:tcPr>
            <w:tcW w:w="4961" w:type="dxa"/>
            <w:noWrap/>
          </w:tcPr>
          <w:p>
            <w:pPr>
              <w:pStyle w:val="yTableNAm"/>
            </w:pPr>
            <w:r>
              <w:t>Issue of tradesperson’s licence or tradesperson’s licence (drainage plumbing) (r. 17)</w:t>
            </w:r>
          </w:p>
        </w:tc>
        <w:tc>
          <w:tcPr>
            <w:tcW w:w="1418" w:type="dxa"/>
            <w:noWrap/>
            <w:vAlign w:val="bottom"/>
          </w:tcPr>
          <w:p>
            <w:pPr>
              <w:pStyle w:val="yTableNAm"/>
              <w:jc w:val="right"/>
            </w:pPr>
            <w:r>
              <w:t>240.00</w:t>
            </w:r>
          </w:p>
        </w:tc>
      </w:tr>
      <w:tr>
        <w:trPr>
          <w:cantSplit/>
          <w:jc w:val="center"/>
        </w:trPr>
        <w:tc>
          <w:tcPr>
            <w:tcW w:w="709" w:type="dxa"/>
            <w:noWrap/>
          </w:tcPr>
          <w:p>
            <w:pPr>
              <w:pStyle w:val="yTableNAm"/>
            </w:pPr>
            <w:r>
              <w:t>7.</w:t>
            </w:r>
          </w:p>
        </w:tc>
        <w:tc>
          <w:tcPr>
            <w:tcW w:w="4961" w:type="dxa"/>
            <w:noWrap/>
          </w:tcPr>
          <w:p>
            <w:pPr>
              <w:pStyle w:val="yTableNAm"/>
            </w:pPr>
            <w:r>
              <w:t>Issue of provisional tradesperson’s licence or provisional tradesperson’s licence (drainage plumbing) (r. 17)</w:t>
            </w:r>
          </w:p>
        </w:tc>
        <w:tc>
          <w:tcPr>
            <w:tcW w:w="1418" w:type="dxa"/>
            <w:noWrap/>
            <w:vAlign w:val="bottom"/>
          </w:tcPr>
          <w:p>
            <w:pPr>
              <w:pStyle w:val="yTableNAm"/>
              <w:jc w:val="right"/>
            </w:pPr>
            <w:r>
              <w:t>75.00</w:t>
            </w:r>
          </w:p>
        </w:tc>
      </w:tr>
      <w:tr>
        <w:trPr>
          <w:cantSplit/>
          <w:jc w:val="center"/>
        </w:trPr>
        <w:tc>
          <w:tcPr>
            <w:tcW w:w="709" w:type="dxa"/>
            <w:noWrap/>
          </w:tcPr>
          <w:p>
            <w:pPr>
              <w:pStyle w:val="yTableNAm"/>
            </w:pPr>
            <w:r>
              <w:t>8.</w:t>
            </w:r>
          </w:p>
        </w:tc>
        <w:tc>
          <w:tcPr>
            <w:tcW w:w="4961" w:type="dxa"/>
            <w:noWrap/>
          </w:tcPr>
          <w:p>
            <w:pPr>
              <w:pStyle w:val="yTableNAm"/>
            </w:pPr>
            <w:r>
              <w:t>Issue of restricted plumbing permit (r. 17)</w:t>
            </w:r>
          </w:p>
        </w:tc>
        <w:tc>
          <w:tcPr>
            <w:tcW w:w="1418" w:type="dxa"/>
            <w:noWrap/>
            <w:vAlign w:val="bottom"/>
          </w:tcPr>
          <w:p>
            <w:pPr>
              <w:pStyle w:val="yTableNAm"/>
              <w:jc w:val="right"/>
            </w:pPr>
            <w:r>
              <w:t>301.00</w:t>
            </w:r>
          </w:p>
        </w:tc>
      </w:tr>
      <w:tr>
        <w:trPr>
          <w:cantSplit/>
          <w:jc w:val="center"/>
        </w:trPr>
        <w:tc>
          <w:tcPr>
            <w:tcW w:w="709" w:type="dxa"/>
            <w:noWrap/>
          </w:tcPr>
          <w:p>
            <w:pPr>
              <w:pStyle w:val="yTableNAm"/>
            </w:pPr>
            <w:r>
              <w:t>9.</w:t>
            </w:r>
          </w:p>
        </w:tc>
        <w:tc>
          <w:tcPr>
            <w:tcW w:w="4961" w:type="dxa"/>
            <w:noWrap/>
          </w:tcPr>
          <w:p>
            <w:pPr>
              <w:pStyle w:val="yTableNAm"/>
            </w:pPr>
            <w:r>
              <w:t>Renewal of plumbing contractor’s licence (r. 19A)</w:t>
            </w:r>
          </w:p>
        </w:tc>
        <w:tc>
          <w:tcPr>
            <w:tcW w:w="1418" w:type="dxa"/>
            <w:noWrap/>
            <w:vAlign w:val="bottom"/>
          </w:tcPr>
          <w:p>
            <w:pPr>
              <w:pStyle w:val="yTableNAm"/>
              <w:jc w:val="right"/>
            </w:pPr>
            <w:r>
              <w:t>680.00</w:t>
            </w:r>
          </w:p>
        </w:tc>
      </w:tr>
      <w:tr>
        <w:trPr>
          <w:cantSplit/>
          <w:jc w:val="center"/>
        </w:trPr>
        <w:tc>
          <w:tcPr>
            <w:tcW w:w="709" w:type="dxa"/>
            <w:noWrap/>
          </w:tcPr>
          <w:p>
            <w:pPr>
              <w:pStyle w:val="yTableNAm"/>
            </w:pPr>
            <w:r>
              <w:t>10.</w:t>
            </w:r>
          </w:p>
        </w:tc>
        <w:tc>
          <w:tcPr>
            <w:tcW w:w="4961" w:type="dxa"/>
            <w:noWrap/>
          </w:tcPr>
          <w:p>
            <w:pPr>
              <w:pStyle w:val="yTableNAm"/>
            </w:pPr>
            <w:r>
              <w:t>Renewal of tradesperson’s licence or tradesperson’s licence (drainage plumbing) (r. 19A)</w:t>
            </w:r>
          </w:p>
        </w:tc>
        <w:tc>
          <w:tcPr>
            <w:tcW w:w="1418" w:type="dxa"/>
            <w:noWrap/>
            <w:vAlign w:val="bottom"/>
          </w:tcPr>
          <w:p>
            <w:pPr>
              <w:pStyle w:val="yTableNAm"/>
              <w:jc w:val="right"/>
            </w:pPr>
            <w:r>
              <w:t>240.00</w:t>
            </w:r>
          </w:p>
        </w:tc>
      </w:tr>
      <w:tr>
        <w:trPr>
          <w:cantSplit/>
          <w:jc w:val="center"/>
        </w:trPr>
        <w:tc>
          <w:tcPr>
            <w:tcW w:w="709" w:type="dxa"/>
            <w:noWrap/>
          </w:tcPr>
          <w:p>
            <w:pPr>
              <w:pStyle w:val="yTableNAm"/>
            </w:pPr>
            <w:r>
              <w:t>11.</w:t>
            </w:r>
          </w:p>
        </w:tc>
        <w:tc>
          <w:tcPr>
            <w:tcW w:w="4961" w:type="dxa"/>
            <w:noWrap/>
          </w:tcPr>
          <w:p>
            <w:pPr>
              <w:pStyle w:val="yTableNAm"/>
            </w:pPr>
            <w:r>
              <w:t>Renewal of provisional tradesperson’s licence or provisional tradesperson’s licence (drainage plumbing) (r. 19A)</w:t>
            </w:r>
          </w:p>
        </w:tc>
        <w:tc>
          <w:tcPr>
            <w:tcW w:w="1418" w:type="dxa"/>
            <w:noWrap/>
            <w:vAlign w:val="bottom"/>
          </w:tcPr>
          <w:p>
            <w:pPr>
              <w:pStyle w:val="yTableNAm"/>
              <w:jc w:val="right"/>
            </w:pPr>
            <w:r>
              <w:t>79.00</w:t>
            </w:r>
          </w:p>
        </w:tc>
      </w:tr>
      <w:tr>
        <w:trPr>
          <w:cantSplit/>
          <w:jc w:val="center"/>
        </w:trPr>
        <w:tc>
          <w:tcPr>
            <w:tcW w:w="709" w:type="dxa"/>
            <w:noWrap/>
          </w:tcPr>
          <w:p>
            <w:pPr>
              <w:pStyle w:val="yTableNAm"/>
            </w:pPr>
            <w:r>
              <w:t>12.</w:t>
            </w:r>
          </w:p>
        </w:tc>
        <w:tc>
          <w:tcPr>
            <w:tcW w:w="4961" w:type="dxa"/>
            <w:noWrap/>
          </w:tcPr>
          <w:p>
            <w:pPr>
              <w:pStyle w:val="yTableNAm"/>
            </w:pPr>
            <w:r>
              <w:t>Renewal of restricted plumbing permit (r. 19A)</w:t>
            </w:r>
          </w:p>
        </w:tc>
        <w:tc>
          <w:tcPr>
            <w:tcW w:w="1418" w:type="dxa"/>
            <w:noWrap/>
            <w:vAlign w:val="bottom"/>
          </w:tcPr>
          <w:p>
            <w:pPr>
              <w:pStyle w:val="yTableNAm"/>
              <w:jc w:val="right"/>
            </w:pPr>
            <w:r>
              <w:t>309.00</w:t>
            </w:r>
          </w:p>
        </w:tc>
      </w:tr>
      <w:tr>
        <w:trPr>
          <w:cantSplit/>
          <w:jc w:val="center"/>
        </w:trPr>
        <w:tc>
          <w:tcPr>
            <w:tcW w:w="709" w:type="dxa"/>
            <w:noWrap/>
          </w:tcPr>
          <w:p>
            <w:pPr>
              <w:pStyle w:val="yTableNAm"/>
            </w:pPr>
            <w:r>
              <w:t>13.</w:t>
            </w:r>
          </w:p>
        </w:tc>
        <w:tc>
          <w:tcPr>
            <w:tcW w:w="4961" w:type="dxa"/>
            <w:noWrap/>
          </w:tcPr>
          <w:p>
            <w:pPr>
              <w:pStyle w:val="yTableNAm"/>
            </w:pPr>
            <w:r>
              <w:t>Issue of duplicate licence or permit (r. 22)</w:t>
            </w:r>
          </w:p>
        </w:tc>
        <w:tc>
          <w:tcPr>
            <w:tcW w:w="1418" w:type="dxa"/>
            <w:noWrap/>
            <w:vAlign w:val="bottom"/>
          </w:tcPr>
          <w:p>
            <w:pPr>
              <w:pStyle w:val="yTableNAm"/>
              <w:jc w:val="right"/>
            </w:pPr>
            <w:r>
              <w:t>65.00</w:t>
            </w:r>
          </w:p>
        </w:tc>
      </w:tr>
      <w:tr>
        <w:trPr>
          <w:cantSplit/>
          <w:jc w:val="center"/>
        </w:trPr>
        <w:tc>
          <w:tcPr>
            <w:tcW w:w="709" w:type="dxa"/>
            <w:noWrap/>
          </w:tcPr>
          <w:p>
            <w:pPr>
              <w:pStyle w:val="yTableNAm"/>
            </w:pPr>
            <w:r>
              <w:lastRenderedPageBreak/>
              <w:t>14.</w:t>
            </w:r>
          </w:p>
        </w:tc>
        <w:tc>
          <w:tcPr>
            <w:tcW w:w="4961" w:type="dxa"/>
            <w:noWrap/>
          </w:tcPr>
          <w:p>
            <w:pPr>
              <w:pStyle w:val="yTableNAm"/>
            </w:pPr>
            <w:r>
              <w:t>Copy of register (r. 102(3))</w:t>
            </w:r>
          </w:p>
        </w:tc>
        <w:tc>
          <w:tcPr>
            <w:tcW w:w="1418" w:type="dxa"/>
            <w:noWrap/>
            <w:vAlign w:val="bottom"/>
          </w:tcPr>
          <w:p>
            <w:pPr>
              <w:pStyle w:val="yTableNAm"/>
              <w:jc w:val="right"/>
            </w:pPr>
            <w:r>
              <w:t>61.80</w:t>
            </w:r>
          </w:p>
        </w:tc>
      </w:tr>
      <w:tr>
        <w:trPr>
          <w:cantSplit/>
          <w:jc w:val="center"/>
        </w:trPr>
        <w:tc>
          <w:tcPr>
            <w:tcW w:w="709" w:type="dxa"/>
            <w:tcBorders>
              <w:bottom w:val="single" w:sz="4" w:space="0" w:color="auto"/>
            </w:tcBorders>
            <w:noWrap/>
          </w:tcPr>
          <w:p>
            <w:pPr>
              <w:pStyle w:val="yTableNAm"/>
              <w:spacing w:after="120"/>
            </w:pPr>
            <w:r>
              <w:t>15.</w:t>
            </w:r>
          </w:p>
        </w:tc>
        <w:tc>
          <w:tcPr>
            <w:tcW w:w="4961" w:type="dxa"/>
            <w:tcBorders>
              <w:bottom w:val="single" w:sz="4" w:space="0" w:color="auto"/>
            </w:tcBorders>
            <w:noWrap/>
          </w:tcPr>
          <w:p>
            <w:pPr>
              <w:pStyle w:val="yTableNAm"/>
              <w:spacing w:after="120"/>
            </w:pPr>
            <w:r>
              <w:t>Extract from register (r. 102(4))</w:t>
            </w:r>
          </w:p>
        </w:tc>
        <w:tc>
          <w:tcPr>
            <w:tcW w:w="1418" w:type="dxa"/>
            <w:tcBorders>
              <w:bottom w:val="single" w:sz="4" w:space="0" w:color="auto"/>
            </w:tcBorders>
            <w:noWrap/>
            <w:vAlign w:val="bottom"/>
          </w:tcPr>
          <w:p>
            <w:pPr>
              <w:pStyle w:val="yTableNAm"/>
              <w:spacing w:after="120"/>
              <w:jc w:val="right"/>
            </w:pPr>
            <w:r>
              <w:t>61.80</w:t>
            </w:r>
          </w:p>
        </w:tc>
      </w:tr>
    </w:tbl>
    <w:p>
      <w:pPr>
        <w:pStyle w:val="yEdnotesection"/>
      </w:pPr>
      <w:r>
        <w:tab/>
        <w:t>[Division 1 inserted: SL 2021/86 r. 59.]</w:t>
      </w:r>
    </w:p>
    <w:p>
      <w:pPr>
        <w:pStyle w:val="yHeading3"/>
      </w:pPr>
      <w:bookmarkStart w:id="185" w:name="_Toc98497023"/>
      <w:bookmarkStart w:id="186" w:name="_Toc98497404"/>
      <w:bookmarkStart w:id="187" w:name="_Toc98506167"/>
      <w:r>
        <w:rPr>
          <w:rStyle w:val="CharSDivNo"/>
        </w:rPr>
        <w:t>Division 2</w:t>
      </w:r>
      <w:r>
        <w:t> — </w:t>
      </w:r>
      <w:r>
        <w:rPr>
          <w:rStyle w:val="CharSDivText"/>
        </w:rPr>
        <w:t>Compliance fees</w:t>
      </w:r>
      <w:bookmarkEnd w:id="185"/>
      <w:bookmarkEnd w:id="186"/>
      <w:bookmarkEnd w:id="187"/>
    </w:p>
    <w:p>
      <w:pPr>
        <w:pStyle w:val="yFootnoteheading"/>
        <w:spacing w:after="120"/>
      </w:pPr>
      <w:r>
        <w:tab/>
        <w:t>[Heading inserted: SL 2021/86 r. 59.]</w:t>
      </w:r>
    </w:p>
    <w:tbl>
      <w:tblPr>
        <w:tblW w:w="7088" w:type="dxa"/>
        <w:tblLayout w:type="fixed"/>
        <w:tblLook w:val="0000" w:firstRow="0" w:lastRow="0" w:firstColumn="0" w:lastColumn="0" w:noHBand="0" w:noVBand="0"/>
      </w:tblPr>
      <w:tblGrid>
        <w:gridCol w:w="709"/>
        <w:gridCol w:w="4928"/>
        <w:gridCol w:w="1451"/>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28"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51" w:type="dxa"/>
            <w:tcBorders>
              <w:top w:val="single" w:sz="4" w:space="0" w:color="auto"/>
              <w:bottom w:val="single" w:sz="4" w:space="0" w:color="auto"/>
            </w:tcBorders>
            <w:noWrap/>
          </w:tcPr>
          <w:p>
            <w:pPr>
              <w:pStyle w:val="yTableNAm"/>
              <w:jc w:val="center"/>
              <w:rPr>
                <w:b/>
              </w:rPr>
            </w:pPr>
            <w:r>
              <w:rPr>
                <w:b/>
              </w:rPr>
              <w:t>Column 2</w:t>
            </w:r>
          </w:p>
          <w:p>
            <w:pPr>
              <w:pStyle w:val="yTableNAm"/>
              <w:jc w:val="center"/>
              <w:rPr>
                <w:b/>
              </w:rPr>
            </w:pPr>
            <w:r>
              <w:rPr>
                <w:b/>
              </w:rPr>
              <w:t>Fee ($)</w:t>
            </w:r>
          </w:p>
        </w:tc>
      </w:tr>
      <w:tr>
        <w:trPr>
          <w:cantSplit/>
        </w:trPr>
        <w:tc>
          <w:tcPr>
            <w:tcW w:w="709" w:type="dxa"/>
            <w:noWrap/>
          </w:tcPr>
          <w:p>
            <w:pPr>
              <w:pStyle w:val="yTableNAm"/>
            </w:pPr>
            <w:r>
              <w:t>1.</w:t>
            </w:r>
          </w:p>
        </w:tc>
        <w:tc>
          <w:tcPr>
            <w:tcW w:w="4928" w:type="dxa"/>
            <w:noWrap/>
          </w:tcPr>
          <w:p>
            <w:pPr>
              <w:pStyle w:val="yTableNAm"/>
            </w:pPr>
            <w:r>
              <w:t>Combined notice of intention and certificate of compliance (r. 41(1) and 42(1)) — 1 notice/certificate</w:t>
            </w:r>
          </w:p>
        </w:tc>
        <w:tc>
          <w:tcPr>
            <w:tcW w:w="1451" w:type="dxa"/>
            <w:tcBorders>
              <w:top w:val="single" w:sz="4" w:space="0" w:color="auto"/>
            </w:tcBorders>
            <w:noWrap/>
            <w:vAlign w:val="bottom"/>
          </w:tcPr>
          <w:p>
            <w:pPr>
              <w:pStyle w:val="yTableNAm"/>
              <w:jc w:val="right"/>
            </w:pPr>
            <w:r>
              <w:t>22.50</w:t>
            </w:r>
          </w:p>
        </w:tc>
      </w:tr>
      <w:tr>
        <w:trPr>
          <w:cantSplit/>
        </w:trPr>
        <w:tc>
          <w:tcPr>
            <w:tcW w:w="709" w:type="dxa"/>
            <w:noWrap/>
          </w:tcPr>
          <w:p>
            <w:pPr>
              <w:pStyle w:val="yTableNAm"/>
            </w:pPr>
            <w:r>
              <w:t>2.</w:t>
            </w:r>
          </w:p>
        </w:tc>
        <w:tc>
          <w:tcPr>
            <w:tcW w:w="4928" w:type="dxa"/>
            <w:noWrap/>
          </w:tcPr>
          <w:p>
            <w:pPr>
              <w:pStyle w:val="yTableNAm"/>
            </w:pPr>
            <w:r>
              <w:t>Combined notice of intention and certificate of compliance (r. 41(1) and 42(1)) — booklet of 2 or more notices/certificates</w:t>
            </w:r>
          </w:p>
        </w:tc>
        <w:tc>
          <w:tcPr>
            <w:tcW w:w="1451" w:type="dxa"/>
            <w:noWrap/>
          </w:tcPr>
          <w:p>
            <w:pPr>
              <w:pStyle w:val="yTableNAm"/>
              <w:jc w:val="right"/>
            </w:pPr>
            <w:r>
              <w:br/>
            </w:r>
            <w:r>
              <w:br/>
              <w:t>22.50 per notice/</w:t>
            </w:r>
            <w:r>
              <w:br/>
              <w:t>certificate</w:t>
            </w:r>
          </w:p>
        </w:tc>
      </w:tr>
      <w:tr>
        <w:trPr>
          <w:cantSplit/>
        </w:trPr>
        <w:tc>
          <w:tcPr>
            <w:tcW w:w="709" w:type="dxa"/>
            <w:noWrap/>
          </w:tcPr>
          <w:p>
            <w:pPr>
              <w:pStyle w:val="yTableNAm"/>
            </w:pPr>
            <w:r>
              <w:t>3.</w:t>
            </w:r>
          </w:p>
        </w:tc>
        <w:tc>
          <w:tcPr>
            <w:tcW w:w="4928" w:type="dxa"/>
            <w:noWrap/>
          </w:tcPr>
          <w:p>
            <w:pPr>
              <w:pStyle w:val="yTableNAm"/>
            </w:pPr>
            <w:r>
              <w:t>Combined notice of intention and certificate of compliance to carry out work that includes performance solution (r. 45A(1) and 45B(1)) — 1 notice/certificate</w:t>
            </w:r>
          </w:p>
        </w:tc>
        <w:tc>
          <w:tcPr>
            <w:tcW w:w="1451" w:type="dxa"/>
            <w:noWrap/>
          </w:tcPr>
          <w:p>
            <w:pPr>
              <w:pStyle w:val="yTableNAm"/>
              <w:jc w:val="right"/>
            </w:pPr>
            <w:r>
              <w:br/>
            </w:r>
            <w:r>
              <w:br/>
            </w:r>
            <w:r>
              <w:br/>
              <w:t>23.45</w:t>
            </w:r>
          </w:p>
        </w:tc>
      </w:tr>
      <w:tr>
        <w:trPr>
          <w:cantSplit/>
        </w:trPr>
        <w:tc>
          <w:tcPr>
            <w:tcW w:w="709" w:type="dxa"/>
            <w:noWrap/>
          </w:tcPr>
          <w:p>
            <w:pPr>
              <w:pStyle w:val="yTableNAm"/>
            </w:pPr>
            <w:r>
              <w:t>4.</w:t>
            </w:r>
          </w:p>
        </w:tc>
        <w:tc>
          <w:tcPr>
            <w:tcW w:w="4928" w:type="dxa"/>
            <w:noWrap/>
          </w:tcPr>
          <w:p>
            <w:pPr>
              <w:pStyle w:val="yTableNAm"/>
            </w:pPr>
            <w:r>
              <w:t>Lodgment fee for notice of intention to carry out work that includes performance solution (r. 45A(3))</w:t>
            </w:r>
          </w:p>
        </w:tc>
        <w:tc>
          <w:tcPr>
            <w:tcW w:w="1451" w:type="dxa"/>
            <w:noWrap/>
            <w:vAlign w:val="bottom"/>
          </w:tcPr>
          <w:p>
            <w:pPr>
              <w:pStyle w:val="yTableNAm"/>
              <w:jc w:val="right"/>
            </w:pPr>
            <w:r>
              <w:t>795.60</w:t>
            </w:r>
          </w:p>
        </w:tc>
      </w:tr>
      <w:tr>
        <w:trPr>
          <w:cantSplit/>
        </w:trPr>
        <w:tc>
          <w:tcPr>
            <w:tcW w:w="709" w:type="dxa"/>
            <w:noWrap/>
          </w:tcPr>
          <w:p>
            <w:pPr>
              <w:pStyle w:val="yTableNAm"/>
            </w:pPr>
            <w:r>
              <w:t>5.</w:t>
            </w:r>
          </w:p>
        </w:tc>
        <w:tc>
          <w:tcPr>
            <w:tcW w:w="4928" w:type="dxa"/>
            <w:noWrap/>
          </w:tcPr>
          <w:p>
            <w:pPr>
              <w:pStyle w:val="yTableNAm"/>
            </w:pPr>
            <w:r>
              <w:t>Copy of a drainage plumbing diagram (r. 45E)</w:t>
            </w:r>
          </w:p>
        </w:tc>
        <w:tc>
          <w:tcPr>
            <w:tcW w:w="1451" w:type="dxa"/>
            <w:noWrap/>
            <w:vAlign w:val="bottom"/>
          </w:tcPr>
          <w:p>
            <w:pPr>
              <w:pStyle w:val="yTableNAm"/>
              <w:jc w:val="right"/>
            </w:pPr>
            <w:r>
              <w:t>11.00</w:t>
            </w:r>
          </w:p>
        </w:tc>
      </w:tr>
      <w:tr>
        <w:trPr>
          <w:cantSplit/>
        </w:trPr>
        <w:tc>
          <w:tcPr>
            <w:tcW w:w="709" w:type="dxa"/>
            <w:noWrap/>
          </w:tcPr>
          <w:p>
            <w:pPr>
              <w:pStyle w:val="yTableNAm"/>
            </w:pPr>
            <w:r>
              <w:t>6.</w:t>
            </w:r>
          </w:p>
        </w:tc>
        <w:tc>
          <w:tcPr>
            <w:tcW w:w="4928" w:type="dxa"/>
            <w:noWrap/>
          </w:tcPr>
          <w:p>
            <w:pPr>
              <w:pStyle w:val="yTableNAm"/>
            </w:pPr>
            <w:r>
              <w:t>New installation fee for plumbing work involving 9 or less fixtures (r. 45)</w:t>
            </w:r>
          </w:p>
        </w:tc>
        <w:tc>
          <w:tcPr>
            <w:tcW w:w="1451" w:type="dxa"/>
            <w:noWrap/>
            <w:vAlign w:val="bottom"/>
          </w:tcPr>
          <w:p>
            <w:pPr>
              <w:pStyle w:val="yTableNAm"/>
              <w:jc w:val="right"/>
            </w:pPr>
            <w:r>
              <w:t>69.25</w:t>
            </w:r>
          </w:p>
        </w:tc>
      </w:tr>
      <w:tr>
        <w:trPr>
          <w:cantSplit/>
        </w:trPr>
        <w:tc>
          <w:tcPr>
            <w:tcW w:w="709" w:type="dxa"/>
            <w:noWrap/>
          </w:tcPr>
          <w:p>
            <w:pPr>
              <w:pStyle w:val="yTableNAm"/>
            </w:pPr>
            <w:r>
              <w:lastRenderedPageBreak/>
              <w:t>7.</w:t>
            </w:r>
          </w:p>
        </w:tc>
        <w:tc>
          <w:tcPr>
            <w:tcW w:w="4928" w:type="dxa"/>
            <w:noWrap/>
          </w:tcPr>
          <w:p>
            <w:pPr>
              <w:pStyle w:val="yTableNAm"/>
            </w:pPr>
            <w:r>
              <w:t>New installation fee for plumbing work involving more than 9 fixtures (r. 45)</w:t>
            </w:r>
          </w:p>
        </w:tc>
        <w:tc>
          <w:tcPr>
            <w:tcW w:w="1451" w:type="dxa"/>
            <w:noWrap/>
          </w:tcPr>
          <w:p>
            <w:pPr>
              <w:pStyle w:val="yTableNAm"/>
              <w:jc w:val="right"/>
            </w:pPr>
            <w:r>
              <w:br/>
              <w:t>69.25 plus 11.40 for each fixture more than 9</w:t>
            </w:r>
          </w:p>
        </w:tc>
      </w:tr>
      <w:tr>
        <w:trPr>
          <w:cantSplit/>
        </w:trPr>
        <w:tc>
          <w:tcPr>
            <w:tcW w:w="709" w:type="dxa"/>
            <w:noWrap/>
          </w:tcPr>
          <w:p>
            <w:pPr>
              <w:pStyle w:val="yTableNAm"/>
            </w:pPr>
            <w:r>
              <w:t>8.</w:t>
            </w:r>
          </w:p>
        </w:tc>
        <w:tc>
          <w:tcPr>
            <w:tcW w:w="4928" w:type="dxa"/>
            <w:noWrap/>
          </w:tcPr>
          <w:p>
            <w:pPr>
              <w:pStyle w:val="yTableNAm"/>
            </w:pPr>
            <w:r>
              <w:t>Application for declaration for non</w:t>
            </w:r>
            <w:r>
              <w:noBreakHyphen/>
              <w:t>application or modification of plumbing standards (r. 54)</w:t>
            </w:r>
          </w:p>
        </w:tc>
        <w:tc>
          <w:tcPr>
            <w:tcW w:w="1451" w:type="dxa"/>
            <w:noWrap/>
            <w:vAlign w:val="bottom"/>
          </w:tcPr>
          <w:p>
            <w:pPr>
              <w:pStyle w:val="yTableNAm"/>
              <w:jc w:val="right"/>
            </w:pPr>
            <w:r>
              <w:t>795.60</w:t>
            </w:r>
          </w:p>
        </w:tc>
      </w:tr>
      <w:tr>
        <w:trPr>
          <w:cantSplit/>
        </w:trPr>
        <w:tc>
          <w:tcPr>
            <w:tcW w:w="709" w:type="dxa"/>
            <w:noWrap/>
          </w:tcPr>
          <w:p>
            <w:pPr>
              <w:pStyle w:val="yTableNAm"/>
              <w:spacing w:after="120"/>
            </w:pPr>
            <w:r>
              <w:t>9.</w:t>
            </w:r>
          </w:p>
        </w:tc>
        <w:tc>
          <w:tcPr>
            <w:tcW w:w="4928" w:type="dxa"/>
            <w:noWrap/>
          </w:tcPr>
          <w:p>
            <w:pPr>
              <w:pStyle w:val="yTableNAm"/>
              <w:spacing w:after="120"/>
            </w:pPr>
            <w:r>
              <w:t>Re</w:t>
            </w:r>
            <w:r>
              <w:noBreakHyphen/>
              <w:t>inspection fee per hour or part</w:t>
            </w:r>
            <w:r>
              <w:noBreakHyphen/>
              <w:t>hour (r. 73)</w:t>
            </w:r>
          </w:p>
        </w:tc>
        <w:tc>
          <w:tcPr>
            <w:tcW w:w="1451" w:type="dxa"/>
            <w:noWrap/>
            <w:vAlign w:val="bottom"/>
          </w:tcPr>
          <w:p>
            <w:pPr>
              <w:pStyle w:val="yTableNAm"/>
              <w:spacing w:after="120"/>
              <w:jc w:val="right"/>
            </w:pPr>
            <w:r>
              <w:t>130.00</w:t>
            </w:r>
          </w:p>
        </w:tc>
      </w:tr>
      <w:tr>
        <w:trPr>
          <w:cantSplit/>
        </w:trPr>
        <w:tc>
          <w:tcPr>
            <w:tcW w:w="709" w:type="dxa"/>
            <w:noWrap/>
          </w:tcPr>
          <w:p>
            <w:pPr>
              <w:pStyle w:val="yTableNAm"/>
              <w:spacing w:after="120"/>
            </w:pPr>
            <w:r>
              <w:t>10.</w:t>
            </w:r>
          </w:p>
        </w:tc>
        <w:tc>
          <w:tcPr>
            <w:tcW w:w="4928" w:type="dxa"/>
            <w:noWrap/>
          </w:tcPr>
          <w:p>
            <w:pPr>
              <w:pStyle w:val="yTableNAm"/>
              <w:spacing w:after="120"/>
            </w:pPr>
            <w:r>
              <w:t>Multi</w:t>
            </w:r>
            <w:r>
              <w:noBreakHyphen/>
              <w:t>entry certificate of compliance (r. 111(3)) — 1 multi</w:t>
            </w:r>
            <w:r>
              <w:noBreakHyphen/>
              <w:t>entry certificate</w:t>
            </w:r>
          </w:p>
        </w:tc>
        <w:tc>
          <w:tcPr>
            <w:tcW w:w="1451" w:type="dxa"/>
            <w:noWrap/>
            <w:vAlign w:val="bottom"/>
          </w:tcPr>
          <w:p>
            <w:pPr>
              <w:pStyle w:val="yTableNAm"/>
              <w:spacing w:after="120"/>
              <w:jc w:val="right"/>
            </w:pPr>
            <w:r>
              <w:t>17.00</w:t>
            </w:r>
          </w:p>
        </w:tc>
      </w:tr>
      <w:tr>
        <w:trPr>
          <w:cantSplit/>
        </w:trPr>
        <w:tc>
          <w:tcPr>
            <w:tcW w:w="709" w:type="dxa"/>
            <w:tcBorders>
              <w:bottom w:val="single" w:sz="4" w:space="0" w:color="auto"/>
            </w:tcBorders>
            <w:noWrap/>
          </w:tcPr>
          <w:p>
            <w:pPr>
              <w:pStyle w:val="yTableNAm"/>
              <w:spacing w:after="120"/>
            </w:pPr>
            <w:r>
              <w:t>11.</w:t>
            </w:r>
          </w:p>
        </w:tc>
        <w:tc>
          <w:tcPr>
            <w:tcW w:w="4928" w:type="dxa"/>
            <w:tcBorders>
              <w:bottom w:val="single" w:sz="4" w:space="0" w:color="auto"/>
            </w:tcBorders>
            <w:noWrap/>
          </w:tcPr>
          <w:p>
            <w:pPr>
              <w:pStyle w:val="yTableNAm"/>
              <w:spacing w:after="120"/>
            </w:pPr>
            <w:r>
              <w:t>Multi</w:t>
            </w:r>
            <w:r>
              <w:noBreakHyphen/>
              <w:t>entry certificate of compliance (r. 111(3)) — booklet of 2 or more multi</w:t>
            </w:r>
            <w:r>
              <w:noBreakHyphen/>
              <w:t>entry certificates</w:t>
            </w:r>
          </w:p>
        </w:tc>
        <w:tc>
          <w:tcPr>
            <w:tcW w:w="1451" w:type="dxa"/>
            <w:tcBorders>
              <w:bottom w:val="single" w:sz="4" w:space="0" w:color="auto"/>
            </w:tcBorders>
            <w:noWrap/>
            <w:vAlign w:val="bottom"/>
          </w:tcPr>
          <w:p>
            <w:pPr>
              <w:pStyle w:val="yTableNAm"/>
              <w:spacing w:after="120"/>
              <w:jc w:val="right"/>
            </w:pPr>
            <w:r>
              <w:t>16.80 per certificate</w:t>
            </w:r>
          </w:p>
        </w:tc>
      </w:tr>
    </w:tbl>
    <w:p>
      <w:pPr>
        <w:pStyle w:val="yEdnotesection"/>
      </w:pPr>
      <w:r>
        <w:tab/>
        <w:t>[Division 2 inserted: SL 2021/86 r. 59.]</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89" w:name="_Toc98497024"/>
      <w:bookmarkStart w:id="190" w:name="_Toc98497405"/>
      <w:bookmarkStart w:id="191" w:name="_Toc98506168"/>
      <w:r>
        <w:rPr>
          <w:rStyle w:val="CharSchNo"/>
        </w:rPr>
        <w:lastRenderedPageBreak/>
        <w:t>Schedule 2</w:t>
      </w:r>
      <w:r>
        <w:rPr>
          <w:rStyle w:val="CharSDivNo"/>
          <w:sz w:val="28"/>
        </w:rPr>
        <w:t> </w:t>
      </w:r>
      <w:r>
        <w:t>—</w:t>
      </w:r>
      <w:r>
        <w:rPr>
          <w:rStyle w:val="CharSDivText"/>
          <w:sz w:val="28"/>
        </w:rPr>
        <w:t> </w:t>
      </w:r>
      <w:r>
        <w:rPr>
          <w:rStyle w:val="CharSchText"/>
        </w:rPr>
        <w:t>Constitution and proceedings</w:t>
      </w:r>
      <w:bookmarkEnd w:id="189"/>
      <w:bookmarkEnd w:id="190"/>
      <w:bookmarkEnd w:id="191"/>
    </w:p>
    <w:p>
      <w:pPr>
        <w:pStyle w:val="yShoulderClause"/>
      </w:pPr>
      <w:r>
        <w:t>[r. 8]</w:t>
      </w:r>
    </w:p>
    <w:p>
      <w:pPr>
        <w:pStyle w:val="yHeading5"/>
        <w:outlineLvl w:val="9"/>
      </w:pPr>
      <w:bookmarkStart w:id="192" w:name="_Toc98506169"/>
      <w:r>
        <w:rPr>
          <w:rStyle w:val="CharSClsNo"/>
        </w:rPr>
        <w:t>1</w:t>
      </w:r>
      <w:r>
        <w:t>.</w:t>
      </w:r>
      <w:r>
        <w:tab/>
        <w:t>Term used: meeting</w:t>
      </w:r>
      <w:bookmarkEnd w:id="192"/>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93" w:name="_Toc98506170"/>
      <w:r>
        <w:rPr>
          <w:rStyle w:val="CharSClsNo"/>
        </w:rPr>
        <w:t>2</w:t>
      </w:r>
      <w:r>
        <w:t>.</w:t>
      </w:r>
      <w:r>
        <w:tab/>
        <w:t>Term of office</w:t>
      </w:r>
      <w:bookmarkEnd w:id="193"/>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outlineLvl w:val="9"/>
      </w:pPr>
      <w:bookmarkStart w:id="194" w:name="_Toc98506171"/>
      <w:r>
        <w:rPr>
          <w:rStyle w:val="CharSClsNo"/>
        </w:rPr>
        <w:t>3</w:t>
      </w:r>
      <w:r>
        <w:t>.</w:t>
      </w:r>
      <w:r>
        <w:tab/>
        <w:t>Vacancies, when they occur</w:t>
      </w:r>
      <w:bookmarkEnd w:id="19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lastRenderedPageBreak/>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outlineLvl w:val="9"/>
      </w:pPr>
      <w:bookmarkStart w:id="195" w:name="_Toc98506172"/>
      <w:r>
        <w:rPr>
          <w:rStyle w:val="CharSClsNo"/>
        </w:rPr>
        <w:t>4</w:t>
      </w:r>
      <w:r>
        <w:t>.</w:t>
      </w:r>
      <w:r>
        <w:tab/>
        <w:t>Alternate members, appointment of etc.</w:t>
      </w:r>
      <w:bookmarkEnd w:id="195"/>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96" w:name="_Toc98506173"/>
      <w:r>
        <w:rPr>
          <w:rStyle w:val="CharSClsNo"/>
        </w:rPr>
        <w:t>5</w:t>
      </w:r>
      <w:r>
        <w:t>.</w:t>
      </w:r>
      <w:r>
        <w:tab/>
        <w:t>Leave of absence</w:t>
      </w:r>
      <w:bookmarkEnd w:id="196"/>
    </w:p>
    <w:p>
      <w:pPr>
        <w:pStyle w:val="ySubsection"/>
      </w:pPr>
      <w:r>
        <w:tab/>
      </w:r>
      <w:r>
        <w:tab/>
        <w:t>The Board may grant leave of absence to a member on the terms and conditions that it thinks fit.</w:t>
      </w:r>
    </w:p>
    <w:p>
      <w:pPr>
        <w:pStyle w:val="yHeading5"/>
        <w:outlineLvl w:val="9"/>
      </w:pPr>
      <w:bookmarkStart w:id="197" w:name="_Toc98506174"/>
      <w:r>
        <w:rPr>
          <w:rStyle w:val="CharSClsNo"/>
        </w:rPr>
        <w:t>6</w:t>
      </w:r>
      <w:r>
        <w:t>.</w:t>
      </w:r>
      <w:r>
        <w:tab/>
        <w:t>General procedure</w:t>
      </w:r>
      <w:bookmarkEnd w:id="197"/>
    </w:p>
    <w:p>
      <w:pPr>
        <w:pStyle w:val="ySubsection"/>
      </w:pPr>
      <w:r>
        <w:tab/>
        <w:t>(1)</w:t>
      </w:r>
      <w:r>
        <w:tab/>
        <w:t>The chairperson, or in the absence of the chairperson the deputy chairperson, is to preside at all meetings at which he or she is present.</w:t>
      </w:r>
    </w:p>
    <w:p>
      <w:pPr>
        <w:pStyle w:val="ySubsection"/>
      </w:pPr>
      <w:r>
        <w:lastRenderedPageBreak/>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98" w:name="_Toc98506175"/>
      <w:r>
        <w:rPr>
          <w:rStyle w:val="CharSClsNo"/>
        </w:rPr>
        <w:t>7</w:t>
      </w:r>
      <w:r>
        <w:t>.</w:t>
      </w:r>
      <w:r>
        <w:tab/>
        <w:t>Quorum</w:t>
      </w:r>
      <w:bookmarkEnd w:id="198"/>
    </w:p>
    <w:p>
      <w:pPr>
        <w:pStyle w:val="ySubsection"/>
        <w:keepNext/>
      </w:pPr>
      <w:r>
        <w:tab/>
      </w:r>
      <w:r>
        <w:tab/>
        <w:t>A quorum for a meeting is 4 members.</w:t>
      </w:r>
    </w:p>
    <w:p>
      <w:pPr>
        <w:pStyle w:val="yFootnotesection"/>
      </w:pPr>
      <w:r>
        <w:tab/>
        <w:t>[Clause 7 amended: Gazette 1 Jun 2004 p. 1911.]</w:t>
      </w:r>
    </w:p>
    <w:p>
      <w:pPr>
        <w:pStyle w:val="yHeading5"/>
        <w:outlineLvl w:val="9"/>
      </w:pPr>
      <w:bookmarkStart w:id="199" w:name="_Toc98506176"/>
      <w:r>
        <w:rPr>
          <w:rStyle w:val="CharSClsNo"/>
        </w:rPr>
        <w:t>8</w:t>
      </w:r>
      <w:r>
        <w:t>.</w:t>
      </w:r>
      <w:r>
        <w:tab/>
        <w:t>Voting</w:t>
      </w:r>
      <w:bookmarkEnd w:id="19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200" w:name="_Toc98506177"/>
      <w:r>
        <w:rPr>
          <w:rStyle w:val="CharSClsNo"/>
        </w:rPr>
        <w:t>9</w:t>
      </w:r>
      <w:r>
        <w:t>.</w:t>
      </w:r>
      <w:r>
        <w:tab/>
        <w:t>Resolutions may be passed without meeting</w:t>
      </w:r>
      <w:bookmarkEnd w:id="20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201" w:name="_Toc98506178"/>
      <w:r>
        <w:rPr>
          <w:rStyle w:val="CharSClsNo"/>
        </w:rPr>
        <w:t>10</w:t>
      </w:r>
      <w:r>
        <w:t>.</w:t>
      </w:r>
      <w:r>
        <w:tab/>
        <w:t>Holding meetings remotely</w:t>
      </w:r>
      <w:bookmarkEnd w:id="201"/>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202" w:name="_Toc98497035"/>
      <w:bookmarkStart w:id="203" w:name="_Toc98497416"/>
      <w:bookmarkStart w:id="204" w:name="_Toc98506179"/>
      <w:r>
        <w:rPr>
          <w:rStyle w:val="CharSchNo"/>
        </w:rPr>
        <w:lastRenderedPageBreak/>
        <w:t>Schedule 3</w:t>
      </w:r>
      <w:r>
        <w:t> — </w:t>
      </w:r>
      <w:r>
        <w:rPr>
          <w:rStyle w:val="CharSchText"/>
        </w:rPr>
        <w:t>Licence or permit requirements</w:t>
      </w:r>
      <w:bookmarkEnd w:id="202"/>
      <w:bookmarkEnd w:id="203"/>
      <w:bookmarkEnd w:id="204"/>
    </w:p>
    <w:p>
      <w:pPr>
        <w:pStyle w:val="yShoulderClause"/>
      </w:pPr>
      <w:r>
        <w:t>[r. 17(1)(b)]</w:t>
      </w:r>
    </w:p>
    <w:p>
      <w:pPr>
        <w:pStyle w:val="yFootnoteheading"/>
      </w:pPr>
      <w:r>
        <w:tab/>
        <w:t>[Heading inserted: Gazette 19 Dec 2014 p. 4838.]</w:t>
      </w:r>
    </w:p>
    <w:p>
      <w:pPr>
        <w:pStyle w:val="yHeading3"/>
      </w:pPr>
      <w:bookmarkStart w:id="205" w:name="_Toc98497036"/>
      <w:bookmarkStart w:id="206" w:name="_Toc98497417"/>
      <w:bookmarkStart w:id="207" w:name="_Toc98506180"/>
      <w:r>
        <w:rPr>
          <w:rStyle w:val="CharSDivNo"/>
        </w:rPr>
        <w:t>Division 1</w:t>
      </w:r>
      <w:r>
        <w:t> — </w:t>
      </w:r>
      <w:r>
        <w:rPr>
          <w:rStyle w:val="CharSDivText"/>
        </w:rPr>
        <w:t>Preliminary</w:t>
      </w:r>
      <w:bookmarkEnd w:id="205"/>
      <w:bookmarkEnd w:id="206"/>
      <w:bookmarkEnd w:id="207"/>
    </w:p>
    <w:p>
      <w:pPr>
        <w:pStyle w:val="yFootnoteheading"/>
      </w:pPr>
      <w:r>
        <w:tab/>
        <w:t>[Heading inserted: Gazette 19 Dec 2014 p. 4838.]</w:t>
      </w:r>
    </w:p>
    <w:p>
      <w:pPr>
        <w:pStyle w:val="yHeading5"/>
      </w:pPr>
      <w:bookmarkStart w:id="208" w:name="_Toc98506181"/>
      <w:r>
        <w:rPr>
          <w:rStyle w:val="CharSClsNo"/>
        </w:rPr>
        <w:t>1</w:t>
      </w:r>
      <w:r>
        <w:t>.</w:t>
      </w:r>
      <w:r>
        <w:tab/>
        <w:t>Terms used</w:t>
      </w:r>
      <w:bookmarkEnd w:id="208"/>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209" w:name="_Toc98497038"/>
      <w:bookmarkStart w:id="210" w:name="_Toc98497419"/>
      <w:bookmarkStart w:id="211" w:name="_Toc98506182"/>
      <w:r>
        <w:rPr>
          <w:rStyle w:val="CharSDivNo"/>
        </w:rPr>
        <w:t>Division 2</w:t>
      </w:r>
      <w:r>
        <w:t> — </w:t>
      </w:r>
      <w:r>
        <w:rPr>
          <w:rStyle w:val="CharSDivText"/>
        </w:rPr>
        <w:t>Licence requirements</w:t>
      </w:r>
      <w:bookmarkEnd w:id="209"/>
      <w:bookmarkEnd w:id="210"/>
      <w:bookmarkEnd w:id="211"/>
    </w:p>
    <w:p>
      <w:pPr>
        <w:pStyle w:val="yFootnoteheading"/>
      </w:pPr>
      <w:r>
        <w:tab/>
        <w:t>[Heading inserted: Gazette 19 Dec 2014 p. 4839.]</w:t>
      </w:r>
    </w:p>
    <w:p>
      <w:pPr>
        <w:pStyle w:val="yHeading5"/>
      </w:pPr>
      <w:bookmarkStart w:id="212" w:name="_Toc98506183"/>
      <w:r>
        <w:rPr>
          <w:rStyle w:val="CharSClsNo"/>
        </w:rPr>
        <w:t>2</w:t>
      </w:r>
      <w:r>
        <w:t>.</w:t>
      </w:r>
      <w:r>
        <w:tab/>
        <w:t>Plumbing contractor’s licence</w:t>
      </w:r>
      <w:bookmarkEnd w:id="212"/>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lastRenderedPageBreak/>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213" w:name="_Toc98506184"/>
      <w:r>
        <w:rPr>
          <w:rStyle w:val="CharSClsNo"/>
        </w:rPr>
        <w:t>3</w:t>
      </w:r>
      <w:r>
        <w:t>.</w:t>
      </w:r>
      <w:r>
        <w:tab/>
        <w:t>Tradesperson’s licence</w:t>
      </w:r>
      <w:bookmarkEnd w:id="213"/>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214" w:name="_Toc98506185"/>
      <w:r>
        <w:rPr>
          <w:rStyle w:val="CharSClsNo"/>
        </w:rPr>
        <w:t>4</w:t>
      </w:r>
      <w:r>
        <w:t>.</w:t>
      </w:r>
      <w:r>
        <w:tab/>
        <w:t>Tradesperson’s licence (drainage plumbing)</w:t>
      </w:r>
      <w:bookmarkEnd w:id="21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lastRenderedPageBreak/>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215" w:name="_Toc98506186"/>
      <w:r>
        <w:rPr>
          <w:rStyle w:val="CharSClsNo"/>
        </w:rPr>
        <w:t>5</w:t>
      </w:r>
      <w:r>
        <w:t>.</w:t>
      </w:r>
      <w:r>
        <w:tab/>
        <w:t>Provisional tradesperson’s licence</w:t>
      </w:r>
      <w:bookmarkEnd w:id="215"/>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216" w:name="_Toc98506187"/>
      <w:r>
        <w:rPr>
          <w:rStyle w:val="CharSClsNo"/>
        </w:rPr>
        <w:t>6</w:t>
      </w:r>
      <w:r>
        <w:t>.</w:t>
      </w:r>
      <w:r>
        <w:tab/>
        <w:t>Provisional tradesperson’s licence (drainage plumbing)</w:t>
      </w:r>
      <w:bookmarkEnd w:id="216"/>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217" w:name="_Toc98497044"/>
      <w:bookmarkStart w:id="218" w:name="_Toc98497425"/>
      <w:bookmarkStart w:id="219" w:name="_Toc98506188"/>
      <w:r>
        <w:rPr>
          <w:rStyle w:val="CharSDivNo"/>
        </w:rPr>
        <w:lastRenderedPageBreak/>
        <w:t>Division 3</w:t>
      </w:r>
      <w:r>
        <w:t> — </w:t>
      </w:r>
      <w:r>
        <w:rPr>
          <w:rStyle w:val="CharSDivText"/>
        </w:rPr>
        <w:t>Permit requirements</w:t>
      </w:r>
      <w:bookmarkEnd w:id="217"/>
      <w:bookmarkEnd w:id="218"/>
      <w:bookmarkEnd w:id="219"/>
    </w:p>
    <w:p>
      <w:pPr>
        <w:pStyle w:val="yFootnoteheading"/>
        <w:keepNext/>
      </w:pPr>
      <w:r>
        <w:tab/>
        <w:t>[Heading inserted: Gazette 19 Dec 2014 p. 4840.]</w:t>
      </w:r>
    </w:p>
    <w:p>
      <w:pPr>
        <w:pStyle w:val="yHeading5"/>
      </w:pPr>
      <w:bookmarkStart w:id="220" w:name="_Toc98506189"/>
      <w:r>
        <w:rPr>
          <w:rStyle w:val="CharSClsNo"/>
        </w:rPr>
        <w:t>7</w:t>
      </w:r>
      <w:r>
        <w:t>.</w:t>
      </w:r>
      <w:r>
        <w:tab/>
        <w:t>Restricted plumbing permit</w:t>
      </w:r>
      <w:bookmarkEnd w:id="22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8"/>
          <w:pgSz w:w="11907" w:h="16840" w:code="9"/>
          <w:pgMar w:top="2381" w:right="2410" w:bottom="3544" w:left="2410" w:header="720" w:footer="3544" w:gutter="0"/>
          <w:cols w:space="720"/>
        </w:sectPr>
      </w:pPr>
    </w:p>
    <w:p>
      <w:pPr>
        <w:pStyle w:val="yScheduleHeading"/>
        <w:outlineLvl w:val="0"/>
      </w:pPr>
      <w:bookmarkStart w:id="221" w:name="_Toc98497046"/>
      <w:bookmarkStart w:id="222" w:name="_Toc98497427"/>
      <w:bookmarkStart w:id="223" w:name="_Toc98506190"/>
      <w:r>
        <w:rPr>
          <w:rStyle w:val="CharSchNo"/>
        </w:rPr>
        <w:lastRenderedPageBreak/>
        <w:t>Schedule 4</w:t>
      </w:r>
      <w:r>
        <w:rPr>
          <w:rStyle w:val="CharSDivNo"/>
        </w:rPr>
        <w:t> </w:t>
      </w:r>
      <w:r>
        <w:t>—</w:t>
      </w:r>
      <w:r>
        <w:rPr>
          <w:rStyle w:val="CharSDivText"/>
        </w:rPr>
        <w:t> </w:t>
      </w:r>
      <w:r>
        <w:rPr>
          <w:rStyle w:val="CharSchText"/>
        </w:rPr>
        <w:t>Forms</w:t>
      </w:r>
      <w:bookmarkEnd w:id="221"/>
      <w:bookmarkEnd w:id="222"/>
      <w:bookmarkEnd w:id="223"/>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Footnotesection"/>
      </w:pPr>
      <w:r>
        <w:rPr>
          <w:bCs/>
          <w:iCs/>
        </w:rPr>
        <w:tab/>
        <w:t>[Form 2</w:t>
      </w:r>
      <w:r>
        <w:t> inserted: Gazette 28 Jun 2004 p. 2463; amended: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224" w:name="_Toc98497047"/>
      <w:bookmarkStart w:id="225" w:name="_Toc98497428"/>
      <w:bookmarkStart w:id="226" w:name="_Toc98506191"/>
      <w:r>
        <w:lastRenderedPageBreak/>
        <w:t>Notes</w:t>
      </w:r>
      <w:bookmarkEnd w:id="224"/>
      <w:bookmarkEnd w:id="225"/>
      <w:bookmarkEnd w:id="226"/>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p>
    <w:p>
      <w:pPr>
        <w:pStyle w:val="nHeading3"/>
      </w:pPr>
      <w:bookmarkStart w:id="227" w:name="_Toc98506192"/>
      <w:r>
        <w:t>Compilation table</w:t>
      </w:r>
      <w:bookmarkEnd w:id="22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c>
          <w:tcPr>
            <w:tcW w:w="3119" w:type="dxa"/>
            <w:tcBorders>
              <w:top w:val="nil"/>
              <w:bottom w:val="nil"/>
            </w:tcBorders>
          </w:tcPr>
          <w:p>
            <w:pPr>
              <w:pStyle w:val="nTable"/>
              <w:spacing w:after="40"/>
              <w:rPr>
                <w:i/>
              </w:rPr>
            </w:pPr>
            <w:r>
              <w:rPr>
                <w:i/>
              </w:rPr>
              <w:t>Plumbers Licensing and Plumbing Standards Amendment Regulations 2020</w:t>
            </w:r>
          </w:p>
        </w:tc>
        <w:tc>
          <w:tcPr>
            <w:tcW w:w="1276" w:type="dxa"/>
            <w:tcBorders>
              <w:top w:val="nil"/>
              <w:bottom w:val="nil"/>
            </w:tcBorders>
          </w:tcPr>
          <w:p>
            <w:pPr>
              <w:pStyle w:val="nTable"/>
              <w:spacing w:after="40"/>
            </w:pPr>
            <w:r>
              <w:t>SL 2020/132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9" w:type="dxa"/>
            <w:tcBorders>
              <w:top w:val="nil"/>
              <w:bottom w:val="nil"/>
            </w:tcBorders>
          </w:tcPr>
          <w:p>
            <w:pPr>
              <w:pStyle w:val="nTable"/>
              <w:spacing w:after="40"/>
              <w:rPr>
                <w:i/>
              </w:rPr>
            </w:pPr>
            <w:r>
              <w:rPr>
                <w:i/>
              </w:rPr>
              <w:t>Plumbers Licensing and Plumbing Standards Amendment Regulations (No. 3) 2021</w:t>
            </w:r>
          </w:p>
        </w:tc>
        <w:tc>
          <w:tcPr>
            <w:tcW w:w="1276" w:type="dxa"/>
            <w:tcBorders>
              <w:top w:val="nil"/>
              <w:bottom w:val="nil"/>
            </w:tcBorders>
          </w:tcPr>
          <w:p>
            <w:pPr>
              <w:pStyle w:val="nTable"/>
              <w:spacing w:after="40"/>
            </w:pPr>
            <w:r>
              <w:t>SL 2021/89</w:t>
            </w:r>
            <w:r>
              <w:br/>
              <w:t>18 Jun 2021</w:t>
            </w:r>
          </w:p>
        </w:tc>
        <w:tc>
          <w:tcPr>
            <w:tcW w:w="2693" w:type="dxa"/>
            <w:tcBorders>
              <w:top w:val="nil"/>
              <w:bottom w:val="nil"/>
            </w:tcBorders>
          </w:tcPr>
          <w:p>
            <w:pPr>
              <w:pStyle w:val="nTable"/>
              <w:spacing w:after="40"/>
            </w:pPr>
            <w:r>
              <w:t>r. 1 and 2: 18 Jun 2021 (see r. 2(a));</w:t>
            </w:r>
            <w:r>
              <w:br/>
              <w:t>Regulations other than r. 1 and 2: 19 Jun 2021 (see r. 2(b))</w:t>
            </w:r>
          </w:p>
        </w:tc>
      </w:tr>
      <w:tr>
        <w:tc>
          <w:tcPr>
            <w:tcW w:w="3119" w:type="dxa"/>
            <w:tcBorders>
              <w:top w:val="nil"/>
              <w:bottom w:val="nil"/>
            </w:tcBorders>
          </w:tcPr>
          <w:p>
            <w:pPr>
              <w:pStyle w:val="nTable"/>
              <w:spacing w:after="40"/>
              <w:rPr>
                <w:i/>
              </w:rPr>
            </w:pPr>
            <w:r>
              <w:rPr>
                <w:i/>
              </w:rPr>
              <w:t xml:space="preserve">Commerce Regulations Amendment (Community Titles) Regulations 2021 </w:t>
            </w:r>
            <w:r>
              <w:t>Pt. 4</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c>
          <w:tcPr>
            <w:tcW w:w="3119" w:type="dxa"/>
            <w:tcBorders>
              <w:top w:val="nil"/>
              <w:bottom w:val="nil"/>
            </w:tcBorders>
          </w:tcPr>
          <w:p>
            <w:pPr>
              <w:pStyle w:val="nTable"/>
              <w:spacing w:after="40"/>
              <w:rPr>
                <w:i/>
              </w:rPr>
            </w:pPr>
            <w:r>
              <w:rPr>
                <w:i/>
              </w:rPr>
              <w:lastRenderedPageBreak/>
              <w:t>Commerce Regulations Amendment (Fees and Charges) Regulations 2021</w:t>
            </w:r>
            <w:r>
              <w:t xml:space="preserve"> Pt. 17</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9" w:type="dxa"/>
            <w:tcBorders>
              <w:top w:val="nil"/>
              <w:bottom w:val="single" w:sz="4" w:space="0" w:color="auto"/>
            </w:tcBorders>
          </w:tcPr>
          <w:p>
            <w:pPr>
              <w:pStyle w:val="nTable"/>
              <w:spacing w:after="40"/>
              <w:rPr>
                <w:i/>
              </w:rPr>
            </w:pPr>
            <w:r>
              <w:rPr>
                <w:i/>
              </w:rPr>
              <w:t>Commerce Regulations Amendment (Work Health and Safety) Regulations 2022</w:t>
            </w:r>
            <w:r>
              <w:t xml:space="preserve"> Pt. 4</w:t>
            </w:r>
          </w:p>
        </w:tc>
        <w:tc>
          <w:tcPr>
            <w:tcW w:w="1276" w:type="dxa"/>
            <w:tcBorders>
              <w:top w:val="nil"/>
              <w:bottom w:val="single" w:sz="4" w:space="0" w:color="auto"/>
            </w:tcBorders>
          </w:tcPr>
          <w:p>
            <w:pPr>
              <w:pStyle w:val="nTable"/>
              <w:spacing w:after="40"/>
            </w:pPr>
            <w:r>
              <w:t>SL 2022/26 11 Mar 2022</w:t>
            </w:r>
          </w:p>
        </w:tc>
        <w:tc>
          <w:tcPr>
            <w:tcW w:w="2693" w:type="dxa"/>
            <w:tcBorders>
              <w:top w:val="nil"/>
              <w:bottom w:val="single" w:sz="4" w:space="0" w:color="auto"/>
            </w:tcBorders>
          </w:tcPr>
          <w:p>
            <w:pPr>
              <w:pStyle w:val="nTable"/>
              <w:spacing w:after="40"/>
            </w:pPr>
            <w:r>
              <w:t>31 Mar 2022 (see r. 2(b) and SL 2022/18 cl. 2)</w:t>
            </w:r>
          </w:p>
        </w:tc>
      </w:tr>
    </w:tbl>
    <w:p>
      <w:pPr>
        <w:pStyle w:val="nHeading3"/>
      </w:pPr>
      <w:bookmarkStart w:id="228" w:name="_Toc98506193"/>
      <w:r>
        <w:t>Other notes</w:t>
      </w:r>
      <w:bookmarkEnd w:id="228"/>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230" w:name="_Toc98497051"/>
      <w:bookmarkStart w:id="231" w:name="_Toc98497431"/>
      <w:bookmarkStart w:id="232" w:name="_Toc98506194"/>
      <w:r>
        <w:rPr>
          <w:sz w:val="28"/>
        </w:rPr>
        <w:lastRenderedPageBreak/>
        <w:t>Defined terms</w:t>
      </w:r>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disposal system</w:t>
      </w:r>
      <w:r>
        <w:tab/>
        <w:t>55</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common property</w:t>
      </w:r>
      <w:r>
        <w:tab/>
        <w:t>55</w:t>
      </w:r>
    </w:p>
    <w:p>
      <w:pPr>
        <w:pStyle w:val="DefinedTerms"/>
      </w:pPr>
      <w:r>
        <w:t>compliance purposes</w:t>
      </w:r>
      <w:r>
        <w:tab/>
        <w:t>82</w:t>
      </w:r>
    </w:p>
    <w:p>
      <w:pPr>
        <w:pStyle w:val="DefinedTerms"/>
      </w:pPr>
      <w:r>
        <w:t>compression union</w:t>
      </w:r>
      <w:r>
        <w:tab/>
        <w:t>13A(4)</w:t>
      </w:r>
    </w:p>
    <w:p>
      <w:pPr>
        <w:pStyle w:val="DefinedTerms"/>
      </w:pPr>
      <w:r>
        <w:t>connection point</w:t>
      </w:r>
      <w:r>
        <w:tab/>
        <w:t>55</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eligible remote community</w:t>
      </w:r>
      <w:r>
        <w:tab/>
        <w:t>37</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building lot</w:t>
      </w:r>
      <w:r>
        <w:tab/>
        <w:t>59(1)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lastRenderedPageBreak/>
        <w:t>fixture</w:t>
      </w:r>
      <w:r>
        <w:tab/>
        <w:t>3(1), 45(4)</w:t>
      </w:r>
    </w:p>
    <w:p>
      <w:pPr>
        <w:pStyle w:val="DefinedTerms"/>
      </w:pPr>
      <w:r>
        <w:t>former regulation 44</w:t>
      </w:r>
      <w:r>
        <w:tab/>
        <w:t>111(1)</w:t>
      </w:r>
    </w:p>
    <w:p>
      <w:pPr>
        <w:pStyle w:val="DefinedTerms"/>
      </w:pPr>
      <w:r>
        <w:t>front lot</w:t>
      </w:r>
      <w:r>
        <w:tab/>
        <w:t>58(1)</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internal boundary</w:t>
      </w:r>
      <w:r>
        <w:tab/>
        <w:t>57(1)</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lot</w:t>
      </w:r>
      <w:r>
        <w:tab/>
        <w:t>45DA(1), 55</w:t>
      </w:r>
    </w:p>
    <w:p>
      <w:pPr>
        <w:pStyle w:val="DefinedTerms"/>
      </w:pPr>
      <w:r>
        <w:t>main boundary</w:t>
      </w:r>
      <w:r>
        <w:tab/>
        <w:t>57(1)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National Construction Code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48(1)</w:t>
      </w:r>
    </w:p>
    <w:p>
      <w:pPr>
        <w:pStyle w:val="DefinedTerms"/>
      </w:pPr>
      <w:r>
        <w:t>pre-apprentice</w:t>
      </w:r>
      <w:r>
        <w:tab/>
        <w:t>3(1)</w:t>
      </w:r>
    </w:p>
    <w:p>
      <w:pPr>
        <w:pStyle w:val="DefinedTerms"/>
      </w:pPr>
      <w:r>
        <w:t>prescribed offence</w:t>
      </w:r>
      <w:r>
        <w:tab/>
        <w:t>74</w:t>
      </w:r>
    </w:p>
    <w:p>
      <w:pPr>
        <w:pStyle w:val="DefinedTerms"/>
      </w:pPr>
      <w:r>
        <w:t>previous contractor</w:t>
      </w:r>
      <w:r>
        <w:tab/>
        <w:t>45B(4)</w:t>
      </w:r>
    </w:p>
    <w:p>
      <w:pPr>
        <w:pStyle w:val="DefinedTerms"/>
      </w:pPr>
      <w:r>
        <w:t>previous contractor or permit holder</w:t>
      </w:r>
      <w:r>
        <w:tab/>
        <w:t>42(5)</w:t>
      </w:r>
    </w:p>
    <w:p>
      <w:pPr>
        <w:pStyle w:val="DefinedTerms"/>
      </w:pPr>
      <w:r>
        <w:t>principal plumbing</w:t>
      </w:r>
      <w:r>
        <w:tab/>
        <w:t>42(2), 45B(2)</w:t>
      </w:r>
    </w:p>
    <w:p>
      <w:pPr>
        <w:pStyle w:val="DefinedTerms"/>
      </w:pPr>
      <w:r>
        <w:t>proposed scheme plan</w:t>
      </w:r>
      <w:r>
        <w:tab/>
        <w:t>55</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rear driveway</w:t>
      </w:r>
      <w:r>
        <w:tab/>
        <w:t>58(1)</w:t>
      </w:r>
    </w:p>
    <w:p>
      <w:pPr>
        <w:pStyle w:val="DefinedTerms"/>
      </w:pPr>
      <w:r>
        <w:t>rear lot</w:t>
      </w:r>
      <w:r>
        <w:tab/>
        <w:t>58(1)</w:t>
      </w:r>
    </w:p>
    <w:p>
      <w:pPr>
        <w:pStyle w:val="DefinedTerms"/>
      </w:pPr>
      <w:r>
        <w:t>register</w:t>
      </w:r>
      <w:r>
        <w:tab/>
        <w:t>3(1)</w:t>
      </w:r>
    </w:p>
    <w:p>
      <w:pPr>
        <w:pStyle w:val="DefinedTerms"/>
      </w:pPr>
      <w:r>
        <w:lastRenderedPageBreak/>
        <w:t>registered training provider</w:t>
      </w:r>
      <w:r>
        <w:tab/>
        <w:t>Sch. 3 cl. 1</w:t>
      </w:r>
    </w:p>
    <w:p>
      <w:pPr>
        <w:pStyle w:val="DefinedTerms"/>
      </w:pPr>
      <w:r>
        <w:t>re-issue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3(1)</w:t>
      </w:r>
    </w:p>
    <w:p>
      <w:pPr>
        <w:pStyle w:val="DefinedTerms"/>
      </w:pPr>
      <w:r>
        <w:t>restricted plumbing</w:t>
      </w:r>
      <w:r>
        <w:tab/>
        <w:t>Sch. 3 cl. 7(1)</w:t>
      </w:r>
    </w:p>
    <w:p>
      <w:pPr>
        <w:pStyle w:val="DefinedTerms"/>
      </w:pPr>
      <w:r>
        <w:t>restricted plumbing permit</w:t>
      </w:r>
      <w:r>
        <w:tab/>
        <w:t>3(1)</w:t>
      </w:r>
    </w:p>
    <w:p>
      <w:pPr>
        <w:pStyle w:val="DefinedTerms"/>
      </w:pPr>
      <w:r>
        <w:t>sanitary drainage connection point</w:t>
      </w:r>
      <w:r>
        <w:tab/>
        <w:t>45DA(1), 55</w:t>
      </w:r>
    </w:p>
    <w:p>
      <w:pPr>
        <w:pStyle w:val="DefinedTerms"/>
      </w:pPr>
      <w:r>
        <w:t>sanitary drainage service line</w:t>
      </w:r>
      <w:r>
        <w:tab/>
        <w:t>45DA(1), 55</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line</w:t>
      </w:r>
      <w:r>
        <w:tab/>
        <w:t>55</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subdivided land</w:t>
      </w:r>
      <w:r>
        <w:tab/>
        <w:t>45DA(1), 55</w:t>
      </w:r>
    </w:p>
    <w:p>
      <w:pPr>
        <w:pStyle w:val="DefinedTerms"/>
      </w:pPr>
      <w:r>
        <w:t>temperature/pressure relief valve</w:t>
      </w:r>
      <w:r>
        <w:tab/>
        <w:t>13A(4)</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trade waste</w:t>
      </w:r>
      <w:r>
        <w:tab/>
        <w:t>3(1)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 connection point</w:t>
      </w:r>
      <w:r>
        <w:tab/>
        <w:t>55</w:t>
      </w:r>
    </w:p>
    <w:p>
      <w:pPr>
        <w:pStyle w:val="DefinedTerms"/>
      </w:pPr>
      <w:r>
        <w:t>water service line</w:t>
      </w:r>
      <w:r>
        <w:tab/>
        <w:t>55</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keepNext/>
        <w:keepLine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88" w:name="Schedule"/>
    <w:bookmarkEnd w:id="1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Compliance fees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3" w:name="DefinedTerms"/>
    <w:bookmarkEnd w:id="2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15250"/>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 w:name="WAFER_20210621152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2307_GUID" w:val="36714cc9-e30c-46d0-9ca1-0b05d7a21021"/>
    <w:docVar w:name="WAFER_202106240938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858_GUID" w:val="fe68c331-1798-4632-b52c-3f3f40a24ffe"/>
    <w:docVar w:name="WAFER_2022030108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83520_GUID" w:val="1ed3d10a-851d-4a3b-9d4b-d59f7760b658"/>
    <w:docVar w:name="WAFER_20220308114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811_GUID" w:val="bb8c382d-435e-4cef-850b-fcb5ede27b7a"/>
    <w:docVar w:name="WAFER_20220318115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15250_GUID" w:val="07e0881d-90b4-4db5-9efc-6050def90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E74A-AD9D-4B5E-B050-FCC9D317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27982</Words>
  <Characters>137954</Characters>
  <Application>Microsoft Office Word</Application>
  <DocSecurity>0</DocSecurity>
  <Lines>4180</Lines>
  <Paragraphs>2514</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2000 - 05-p0-00</dc:title>
  <dc:subject/>
  <dc:creator/>
  <cp:keywords/>
  <dc:description/>
  <cp:lastModifiedBy>Master Repository Process</cp:lastModifiedBy>
  <cp:revision>4</cp:revision>
  <cp:lastPrinted>2019-12-03T07:40:00Z</cp:lastPrinted>
  <dcterms:created xsi:type="dcterms:W3CDTF">2022-03-30T04:36:00Z</dcterms:created>
  <dcterms:modified xsi:type="dcterms:W3CDTF">2022-03-30T04:36:00Z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31 Mar 2022</vt:lpwstr>
  </property>
  <property fmtid="{D5CDD505-2E9C-101B-9397-08002B2CF9AE}" pid="8" name="Suffix">
    <vt:lpwstr>05-p0-00</vt:lpwstr>
  </property>
  <property fmtid="{D5CDD505-2E9C-101B-9397-08002B2CF9AE}" pid="9" name="CommencementDate">
    <vt:lpwstr>20220331</vt:lpwstr>
  </property>
</Properties>
</file>