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_Toc98857431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_Toc98857432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_Toc98857433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_Toc98857434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_Toc98857437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_Toc98857438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_Toc98857440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_Toc98857441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_Toc98857442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_Toc98857444 \h </w:instrText>
      </w:r>
      <w:r>
        <w:fldChar w:fldCharType="separate"/>
      </w:r>
      <w:r>
        <w:t>9</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_Toc98857445 \h </w:instrText>
      </w:r>
      <w:r>
        <w:fldChar w:fldCharType="separate"/>
      </w:r>
      <w:r>
        <w:t>14</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_Toc98857446 \h </w:instrText>
      </w:r>
      <w:r>
        <w:fldChar w:fldCharType="separate"/>
      </w:r>
      <w:r>
        <w:t>16</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_Toc98857447 \h </w:instrText>
      </w:r>
      <w:r>
        <w:fldChar w:fldCharType="separate"/>
      </w:r>
      <w:r>
        <w:t>18</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_Toc98857448 \h </w:instrText>
      </w:r>
      <w:r>
        <w:fldChar w:fldCharType="separate"/>
      </w:r>
      <w:r>
        <w:t>21</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_Toc98857449 \h </w:instrText>
      </w:r>
      <w:r>
        <w:fldChar w:fldCharType="separate"/>
      </w:r>
      <w:r>
        <w:t>22</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_Toc98857450 \h </w:instrText>
      </w:r>
      <w:r>
        <w:fldChar w:fldCharType="separate"/>
      </w:r>
      <w:r>
        <w:t>27</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_Toc98857451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_Toc98857453 \h </w:instrText>
      </w:r>
      <w:r>
        <w:fldChar w:fldCharType="separate"/>
      </w:r>
      <w:r>
        <w:t>34</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_Toc98857454 \h </w:instrText>
      </w:r>
      <w:r>
        <w:fldChar w:fldCharType="separate"/>
      </w:r>
      <w:r>
        <w:t>36</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_Toc98857455 \h </w:instrText>
      </w:r>
      <w:r>
        <w:fldChar w:fldCharType="separate"/>
      </w:r>
      <w:r>
        <w:t>37</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_Toc98857456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_Toc98857458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_Toc98857459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_Toc98857461 \h </w:instrText>
      </w:r>
      <w:r>
        <w:fldChar w:fldCharType="separate"/>
      </w:r>
      <w:r>
        <w:t>41</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_Toc98857462 \h </w:instrText>
      </w:r>
      <w:r>
        <w:fldChar w:fldCharType="separate"/>
      </w:r>
      <w:r>
        <w:t>44</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_Toc98857463 \h </w:instrText>
      </w:r>
      <w:r>
        <w:fldChar w:fldCharType="separate"/>
      </w:r>
      <w:r>
        <w:t>45</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_Toc98857464 \h </w:instrText>
      </w:r>
      <w:r>
        <w:fldChar w:fldCharType="separate"/>
      </w:r>
      <w:r>
        <w:t>48</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_Toc98857465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_Toc98857469 \h </w:instrText>
      </w:r>
      <w:r>
        <w:fldChar w:fldCharType="separate"/>
      </w:r>
      <w:r>
        <w:t>114</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_Toc98857470 \h </w:instrText>
      </w:r>
      <w:r>
        <w:fldChar w:fldCharType="separate"/>
      </w:r>
      <w:r>
        <w:t>115</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_Toc98857471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_Toc98857473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_Toc98857474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3" w:name="_Toc98851987"/>
      <w:bookmarkStart w:id="4" w:name="_Toc98852795"/>
      <w:bookmarkStart w:id="5" w:name="_Toc98857430"/>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9885743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7" w:name="_Toc9885743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8" w:name="_Toc98857433"/>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98857434"/>
      <w:r>
        <w:rPr>
          <w:rStyle w:val="CharSectno"/>
        </w:rPr>
        <w:lastRenderedPageBreak/>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98851992"/>
      <w:bookmarkStart w:id="11" w:name="_Toc98852800"/>
      <w:bookmarkStart w:id="12" w:name="_Toc98857435"/>
      <w:r>
        <w:rPr>
          <w:rStyle w:val="CharPartNo"/>
        </w:rPr>
        <w:lastRenderedPageBreak/>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98851993"/>
      <w:bookmarkStart w:id="14" w:name="_Toc98852801"/>
      <w:bookmarkStart w:id="15" w:name="_Toc98857436"/>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98857437"/>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Practice for Retirement Villages 2022</w:t>
      </w:r>
      <w:r>
        <w:t xml:space="preserve"> set out in the </w:t>
      </w:r>
      <w:r>
        <w:rPr>
          <w:i/>
        </w:rPr>
        <w:t>Fair Trading (Retirement Villages Code) Regulations 2022</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keepNex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lastRenderedPageBreak/>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keepNext/>
      </w:pPr>
      <w:r>
        <w:tab/>
      </w:r>
      <w:r>
        <w:rPr>
          <w:rStyle w:val="CharDefText"/>
        </w:rPr>
        <w:t>specified</w:t>
      </w:r>
      <w:r>
        <w:t xml:space="preserve"> means specified in a residence contract.</w:t>
      </w:r>
    </w:p>
    <w:p>
      <w:pPr>
        <w:pStyle w:val="Footnotesection"/>
        <w:keepLines w:val="0"/>
        <w:ind w:left="890" w:hanging="890"/>
      </w:pPr>
      <w:r>
        <w:tab/>
        <w:t>[Regulation 4A inserted: Gazette 24 Mar 2015 p. 995</w:t>
      </w:r>
      <w:r>
        <w:noBreakHyphen/>
        <w:t>6; amended: Gazette 23 Mar 2016 p. 861</w:t>
      </w:r>
      <w:r>
        <w:noBreakHyphen/>
        <w:t xml:space="preserve">2; 28 Sep 2018 p. 3719; 22 Mar 2019 p. 935; 27 Sep 2019 p. 3497; SL 2020/22 r. 4; </w:t>
      </w:r>
      <w:r>
        <w:lastRenderedPageBreak/>
        <w:t>SL 2020/157 r. 4; SL 2021/32 r. 4; SL 2021/158 r. 4; SL 2022/41 r. 4.]</w:t>
      </w:r>
    </w:p>
    <w:p>
      <w:pPr>
        <w:pStyle w:val="Heading5"/>
      </w:pPr>
      <w:bookmarkStart w:id="17" w:name="_Toc98857438"/>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98851996"/>
      <w:bookmarkStart w:id="19" w:name="_Toc98852804"/>
      <w:bookmarkStart w:id="20" w:name="_Toc98857439"/>
      <w:r>
        <w:rPr>
          <w:rStyle w:val="CharDivNo"/>
        </w:rPr>
        <w:t>Division 2</w:t>
      </w:r>
      <w:r>
        <w:t> — </w:t>
      </w:r>
      <w:r>
        <w:rPr>
          <w:rStyle w:val="CharDivText"/>
        </w:rPr>
        <w:t>Section 13 requirements</w:t>
      </w:r>
      <w:bookmarkEnd w:id="18"/>
      <w:bookmarkEnd w:id="19"/>
      <w:bookmarkEnd w:id="20"/>
    </w:p>
    <w:p>
      <w:pPr>
        <w:pStyle w:val="Footnoteheading"/>
        <w:keepNext/>
      </w:pPr>
      <w:r>
        <w:tab/>
        <w:t>[Heading inserted: Gazette 24 Mar 2015 p. 997.]</w:t>
      </w:r>
    </w:p>
    <w:p>
      <w:pPr>
        <w:pStyle w:val="Heading5"/>
      </w:pPr>
      <w:bookmarkStart w:id="21" w:name="_Toc98857440"/>
      <w:r>
        <w:rPr>
          <w:rStyle w:val="CharSectno"/>
        </w:rPr>
        <w:t>4</w:t>
      </w:r>
      <w:r>
        <w:t>.</w:t>
      </w:r>
      <w:r>
        <w:tab/>
        <w:t>Section 13 statement</w:t>
      </w:r>
      <w:bookmarkEnd w:id="21"/>
    </w:p>
    <w:p>
      <w:pPr>
        <w:pStyle w:val="Subsection"/>
        <w:keepNext/>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lastRenderedPageBreak/>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98857441"/>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98857442"/>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lastRenderedPageBreak/>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lastRenderedPageBreak/>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lastRenderedPageBreak/>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24" w:name="_Toc98852000"/>
      <w:bookmarkStart w:id="25" w:name="_Toc98852808"/>
      <w:bookmarkStart w:id="26" w:name="_Toc98857443"/>
      <w:r>
        <w:rPr>
          <w:rStyle w:val="CharDivNo"/>
        </w:rPr>
        <w:t>Division 3</w:t>
      </w:r>
      <w:r>
        <w:t> — </w:t>
      </w:r>
      <w:r>
        <w:rPr>
          <w:rStyle w:val="CharDivText"/>
        </w:rPr>
        <w:t>Matters to be included in residence contract</w:t>
      </w:r>
      <w:bookmarkEnd w:id="24"/>
      <w:bookmarkEnd w:id="25"/>
      <w:bookmarkEnd w:id="26"/>
    </w:p>
    <w:p>
      <w:pPr>
        <w:pStyle w:val="Footnoteheading"/>
        <w:keepNext/>
      </w:pPr>
      <w:r>
        <w:tab/>
        <w:t>[Heading inserted: Gazette 24 Mar 2015 p. 999.]</w:t>
      </w:r>
    </w:p>
    <w:p>
      <w:pPr>
        <w:pStyle w:val="Heading5"/>
      </w:pPr>
      <w:bookmarkStart w:id="27" w:name="_Toc98857444"/>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lastRenderedPageBreak/>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lastRenderedPageBreak/>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lastRenderedPageBreak/>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28" w:name="_Toc98857445"/>
      <w:r>
        <w:rPr>
          <w:rStyle w:val="CharSectno"/>
        </w:rPr>
        <w:lastRenderedPageBreak/>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lastRenderedPageBreak/>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98857446"/>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lastRenderedPageBreak/>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98857447"/>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lastRenderedPageBreak/>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98857448"/>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lastRenderedPageBreak/>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32" w:name="_Toc98857449"/>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lastRenderedPageBreak/>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keepNext/>
              <w:spacing w:before="0"/>
            </w:pPr>
          </w:p>
        </w:tc>
        <w:tc>
          <w:tcPr>
            <w:tcW w:w="4819" w:type="dxa"/>
            <w:tcBorders>
              <w:top w:val="nil"/>
            </w:tcBorders>
          </w:tcPr>
          <w:p>
            <w:pPr>
              <w:pStyle w:val="TableNAm"/>
              <w:keepNext/>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98857450"/>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lastRenderedPageBreak/>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lastRenderedPageBreak/>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98857451"/>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keepNext/>
      </w:pPr>
      <w:r>
        <w:tab/>
        <w:t>(a)</w:t>
      </w:r>
      <w:r>
        <w:tab/>
        <w:t xml:space="preserve">a provision that the resident is entitled to arrange for urgent repairs that are the responsibility of the administering body to be carried out on any fixtures, chattels or capital items included in, or attached or </w:t>
      </w:r>
      <w:r>
        <w:lastRenderedPageBreak/>
        <w:t xml:space="preserve">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35" w:name="_Toc98852009"/>
      <w:bookmarkStart w:id="36" w:name="_Toc98852817"/>
      <w:bookmarkStart w:id="37" w:name="_Toc98857452"/>
      <w:r>
        <w:rPr>
          <w:rStyle w:val="CharDivNo"/>
        </w:rPr>
        <w:lastRenderedPageBreak/>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98857453"/>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lastRenderedPageBreak/>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lastRenderedPageBreak/>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98857454"/>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98857455"/>
      <w:r>
        <w:rPr>
          <w:rStyle w:val="CharSectno"/>
        </w:rPr>
        <w:lastRenderedPageBreak/>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98857456"/>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98852014"/>
      <w:bookmarkStart w:id="43" w:name="_Toc98852822"/>
      <w:bookmarkStart w:id="44" w:name="_Toc98857457"/>
      <w:r>
        <w:rPr>
          <w:rStyle w:val="CharPartNo"/>
        </w:rPr>
        <w:lastRenderedPageBreak/>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98857458"/>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98857459"/>
      <w:r>
        <w:rPr>
          <w:rStyle w:val="CharSectno"/>
        </w:rPr>
        <w:lastRenderedPageBreak/>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98852017"/>
      <w:bookmarkStart w:id="48" w:name="_Toc98852825"/>
      <w:bookmarkStart w:id="49" w:name="_Toc98857460"/>
      <w:r>
        <w:rPr>
          <w:rStyle w:val="CharPartNo"/>
        </w:rPr>
        <w:lastRenderedPageBreak/>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98857461"/>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lastRenderedPageBreak/>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lastRenderedPageBreak/>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lastRenderedPageBreak/>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98857462"/>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98857463"/>
      <w:r>
        <w:rPr>
          <w:rStyle w:val="CharSectno"/>
        </w:rPr>
        <w:lastRenderedPageBreak/>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lastRenderedPageBreak/>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98857464"/>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$159.00.</w:t>
      </w:r>
    </w:p>
    <w:p>
      <w:pPr>
        <w:pStyle w:val="Subsection"/>
        <w:spacing w:before="120"/>
      </w:pPr>
      <w:r>
        <w:lastRenderedPageBreak/>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 SL 2021/86 r. 65.]</w:t>
      </w:r>
    </w:p>
    <w:p>
      <w:pPr>
        <w:pStyle w:val="Heading5"/>
      </w:pPr>
      <w:bookmarkStart w:id="54" w:name="_Toc98857465"/>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lastRenderedPageBreak/>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98852023"/>
      <w:bookmarkStart w:id="57" w:name="_Toc98852831"/>
      <w:bookmarkStart w:id="58" w:name="_Toc98857466"/>
      <w:bookmarkEnd w:id="55"/>
      <w:r>
        <w:rPr>
          <w:rStyle w:val="CharSchNo"/>
        </w:rPr>
        <w:lastRenderedPageBreak/>
        <w:t>Schedule 1</w:t>
      </w:r>
      <w:bookmarkEnd w:id="56"/>
      <w:bookmarkEnd w:id="57"/>
      <w:bookmarkEnd w:id="58"/>
    </w:p>
    <w:p>
      <w:pPr>
        <w:pStyle w:val="yHeading2"/>
        <w:outlineLvl w:val="9"/>
        <w:rPr>
          <w:b w:val="0"/>
          <w:snapToGrid/>
          <w:sz w:val="24"/>
        </w:rPr>
      </w:pPr>
      <w:bookmarkStart w:id="59" w:name="_Toc98852024"/>
      <w:bookmarkStart w:id="60" w:name="_Toc98852832"/>
      <w:bookmarkStart w:id="61" w:name="_Toc98857467"/>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lastRenderedPageBreak/>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lastRenderedPageBreak/>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lastRenderedPageBreak/>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lastRenderedPageBreak/>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lastRenderedPageBreak/>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lastRenderedPageBreak/>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lastRenderedPageBreak/>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lastRenderedPageBreak/>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lastRenderedPageBreak/>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lastRenderedPageBreak/>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lastRenderedPageBreak/>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lastRenderedPageBreak/>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lastRenderedPageBreak/>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lastRenderedPageBreak/>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lastRenderedPageBreak/>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lastRenderedPageBreak/>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lastRenderedPageBreak/>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lastRenderedPageBreak/>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lastRenderedPageBreak/>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lastRenderedPageBreak/>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lastRenderedPageBreak/>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lastRenderedPageBreak/>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lastRenderedPageBreak/>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 xml:space="preserve">the right to exclusively occupy the residential premises has been given up by the former resident (or, if the former resident is deceased, by the estate of the </w:t>
      </w:r>
      <w:r>
        <w:rPr>
          <w:rFonts w:eastAsiaTheme="minorHAnsi"/>
          <w:sz w:val="18"/>
          <w:szCs w:val="18"/>
        </w:rPr>
        <w:lastRenderedPageBreak/>
        <w:t>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(Retirement Villages Code) Regulations 2022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szCs w:val="18"/>
        </w:rPr>
        <w:t>17.</w:t>
      </w:r>
      <w:r>
        <w:rPr>
          <w:sz w:val="18"/>
          <w:szCs w:val="18"/>
        </w:rPr>
        <w:tab/>
      </w:r>
      <w:r>
        <w:rPr>
          <w:rFonts w:eastAsiaTheme="minorHAnsi"/>
          <w:sz w:val="18"/>
          <w:szCs w:val="18"/>
        </w:rPr>
        <w:t>Financial</w:t>
      </w:r>
      <w:r>
        <w:rPr>
          <w:sz w:val="18"/>
          <w:szCs w:val="18"/>
        </w:rPr>
        <w:t xml:space="preserve"> statements are required to be provided to residents under codes of practice made under the </w:t>
      </w:r>
      <w:r>
        <w:rPr>
          <w:i/>
          <w:sz w:val="18"/>
          <w:szCs w:val="18"/>
        </w:rPr>
        <w:t>Fair Trading Act 2010</w:t>
      </w:r>
      <w:r>
        <w:rPr>
          <w:sz w:val="18"/>
          <w:szCs w:val="18"/>
        </w:rPr>
        <w:t xml:space="preserve">. The most recent code that requires a statement of income and expenditure to be provided to residents is in the </w:t>
      </w:r>
      <w:r>
        <w:rPr>
          <w:i/>
          <w:sz w:val="18"/>
          <w:szCs w:val="18"/>
        </w:rPr>
        <w:t>Fair Trading (Retirement Villages Code) Regulations 2022</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most recently in the </w:t>
      </w:r>
      <w:r>
        <w:rPr>
          <w:i/>
          <w:sz w:val="18"/>
          <w:szCs w:val="18"/>
        </w:rPr>
        <w:t xml:space="preserve">Fair Trading (Retirement Villages Code) Regulations 2022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lastRenderedPageBreak/>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lastRenderedPageBreak/>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lastRenderedPageBreak/>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 SL 2021/158 r. 5; SL 2022/41 r. 5.]</w:t>
      </w:r>
    </w:p>
    <w:p>
      <w:pPr>
        <w:pStyle w:val="yMiscellaneousHeading"/>
        <w:pageBreakBefore/>
        <w:rPr>
          <w:b/>
        </w:rPr>
      </w:pPr>
      <w:r>
        <w:rPr>
          <w:b/>
        </w:rPr>
        <w:lastRenderedPageBreak/>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lastRenderedPageBreak/>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lastRenderedPageBreak/>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lastRenderedPageBreak/>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lastRenderedPageBreak/>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lastRenderedPageBreak/>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lastRenderedPageBreak/>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lastRenderedPageBreak/>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lastRenderedPageBreak/>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lastRenderedPageBreak/>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lastRenderedPageBreak/>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lastRenderedPageBreak/>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lastRenderedPageBreak/>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r>
      <w:r>
        <w:rPr>
          <w:rFonts w:eastAsiaTheme="minorHAnsi"/>
          <w:sz w:val="18"/>
          <w:szCs w:val="18"/>
        </w:rPr>
        <w:t>Financial</w:t>
      </w:r>
      <w:r>
        <w:rPr>
          <w:sz w:val="18"/>
        </w:rPr>
        <w:t xml:space="preserve"> statements are required to be provided to residents under codes of practice made under the </w:t>
      </w:r>
      <w:r>
        <w:rPr>
          <w:i/>
          <w:sz w:val="18"/>
        </w:rPr>
        <w:t>Fair Trading Act 2010</w:t>
      </w:r>
      <w:r>
        <w:rPr>
          <w:sz w:val="18"/>
        </w:rPr>
        <w:t xml:space="preserve">. </w:t>
      </w:r>
      <w:r>
        <w:rPr>
          <w:sz w:val="18"/>
          <w:szCs w:val="18"/>
        </w:rPr>
        <w:t xml:space="preserve">The most recent code that requires a statement of income and expenditure to be provided to residents is in the </w:t>
      </w:r>
      <w:r>
        <w:rPr>
          <w:i/>
          <w:sz w:val="18"/>
          <w:szCs w:val="18"/>
        </w:rPr>
        <w:t>Fair Trading (Retirement Villages Code) Regulations 2022</w:t>
      </w:r>
      <w:r>
        <w:rPr>
          <w:sz w:val="18"/>
          <w:szCs w:val="18"/>
        </w:rPr>
        <w:t xml:space="preserve"> (see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lastRenderedPageBreak/>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keepNext/>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keepNext/>
        <w:tabs>
          <w:tab w:val="left" w:pos="700"/>
        </w:tabs>
        <w:ind w:left="700" w:hanging="416"/>
        <w:rPr>
          <w:rFonts w:eastAsiaTheme="minorHAnsi"/>
          <w:sz w:val="18"/>
          <w:szCs w:val="18"/>
        </w:rPr>
      </w:pPr>
      <w:r>
        <w:rPr>
          <w:rFonts w:eastAsiaTheme="minorHAnsi"/>
          <w:sz w:val="18"/>
          <w:szCs w:val="18"/>
        </w:rPr>
        <w:lastRenderedPageBreak/>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 SL 2021/158 r. 6; SL 2022/41 r. 6.]</w:t>
      </w:r>
    </w:p>
    <w:p>
      <w:pPr>
        <w:pStyle w:val="yTable"/>
        <w:pageBreakBefore/>
        <w:jc w:val="center"/>
        <w:rPr>
          <w:b/>
          <w:snapToGrid w:val="0"/>
        </w:rPr>
      </w:pPr>
      <w:r>
        <w:rPr>
          <w:b/>
          <w:snapToGrid w:val="0"/>
        </w:rPr>
        <w:lastRenderedPageBreak/>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lastRenderedPageBreak/>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63" w:name="_Toc98852025"/>
      <w:bookmarkStart w:id="64" w:name="_Toc98852833"/>
      <w:bookmarkStart w:id="65" w:name="_Toc98857468"/>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98857469"/>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98857470"/>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98857471"/>
      <w:r>
        <w:rPr>
          <w:rStyle w:val="CharSClsNo"/>
        </w:rPr>
        <w:lastRenderedPageBreak/>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9" w:name="_Toc98852029"/>
      <w:bookmarkStart w:id="70" w:name="_Toc98852837"/>
      <w:bookmarkStart w:id="71" w:name="_Toc98857472"/>
      <w:r>
        <w:lastRenderedPageBreak/>
        <w:t>Notes</w:t>
      </w:r>
      <w:bookmarkEnd w:id="69"/>
      <w:bookmarkEnd w:id="70"/>
      <w:bookmarkEnd w:id="71"/>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p>
    <w:p>
      <w:pPr>
        <w:pStyle w:val="nHeading3"/>
      </w:pPr>
      <w:bookmarkStart w:id="72" w:name="_Toc98857473"/>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19</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rPr>
                <w:i/>
              </w:rPr>
            </w:pPr>
            <w:r>
              <w:rPr>
                <w:i/>
              </w:rPr>
              <w:t>Retirement Villages Amendment Regulations (No. 2) 2021</w:t>
            </w:r>
          </w:p>
        </w:tc>
        <w:tc>
          <w:tcPr>
            <w:tcW w:w="1276" w:type="dxa"/>
            <w:tcBorders>
              <w:top w:val="nil"/>
              <w:bottom w:val="nil"/>
            </w:tcBorders>
          </w:tcPr>
          <w:p>
            <w:pPr>
              <w:pStyle w:val="nTable"/>
              <w:spacing w:after="40"/>
            </w:pPr>
            <w:r>
              <w:t>SL 2021/158 10 Sep 2021</w:t>
            </w:r>
          </w:p>
        </w:tc>
        <w:tc>
          <w:tcPr>
            <w:tcW w:w="2693" w:type="dxa"/>
            <w:tcBorders>
              <w:top w:val="nil"/>
              <w:bottom w:val="nil"/>
            </w:tcBorders>
          </w:tcPr>
          <w:p>
            <w:pPr>
              <w:pStyle w:val="nTable"/>
              <w:spacing w:after="40"/>
            </w:pPr>
            <w:r>
              <w:t>r. 1 and 2: 10 Sep 2021 (see r. 2(a));</w:t>
            </w:r>
            <w:r>
              <w:br/>
              <w:t>Regulations other than r. 1 and 2: 1 Oct 2021 (see r. 2(b))</w:t>
            </w:r>
          </w:p>
        </w:tc>
      </w:tr>
      <w:tr>
        <w:trPr>
          <w:cantSplit/>
        </w:trPr>
        <w:tc>
          <w:tcPr>
            <w:tcW w:w="3118" w:type="dxa"/>
            <w:tcBorders>
              <w:top w:val="nil"/>
              <w:bottom w:val="single" w:sz="4" w:space="0" w:color="auto"/>
            </w:tcBorders>
          </w:tcPr>
          <w:p>
            <w:pPr>
              <w:pStyle w:val="nTable"/>
              <w:spacing w:after="40"/>
              <w:rPr>
                <w:i/>
              </w:rPr>
            </w:pPr>
            <w:r>
              <w:rPr>
                <w:i/>
              </w:rPr>
              <w:lastRenderedPageBreak/>
              <w:t>Retirement Villages Amendment Regulations 2022</w:t>
            </w:r>
          </w:p>
        </w:tc>
        <w:tc>
          <w:tcPr>
            <w:tcW w:w="1276" w:type="dxa"/>
            <w:tcBorders>
              <w:top w:val="nil"/>
              <w:bottom w:val="single" w:sz="4" w:space="0" w:color="auto"/>
            </w:tcBorders>
          </w:tcPr>
          <w:p>
            <w:pPr>
              <w:pStyle w:val="nTable"/>
              <w:spacing w:after="40"/>
            </w:pPr>
            <w:r>
              <w:t>SL 2022/41 25 Mar 2022</w:t>
            </w:r>
          </w:p>
        </w:tc>
        <w:tc>
          <w:tcPr>
            <w:tcW w:w="2693" w:type="dxa"/>
            <w:tcBorders>
              <w:top w:val="nil"/>
              <w:bottom w:val="single" w:sz="4" w:space="0" w:color="auto"/>
            </w:tcBorders>
          </w:tcPr>
          <w:p>
            <w:pPr>
              <w:pStyle w:val="nTable"/>
              <w:spacing w:after="40"/>
            </w:pPr>
            <w:r>
              <w:t>r. 1 and 2: 25 Mar 2022 (see r. 2(a));</w:t>
            </w:r>
            <w:r>
              <w:br/>
              <w:t>Regulations other than r. 1 and 2: 1 Apr 2022 (see r. 2(b))</w:t>
            </w:r>
          </w:p>
        </w:tc>
      </w:tr>
    </w:tbl>
    <w:p>
      <w:pPr>
        <w:pStyle w:val="nHeading3"/>
      </w:pPr>
      <w:bookmarkStart w:id="73" w:name="_Toc98857474"/>
      <w:r>
        <w:t>Other notes</w:t>
      </w:r>
      <w:bookmarkEnd w:id="73"/>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5" w:name="_Toc98852032"/>
      <w:bookmarkStart w:id="76" w:name="_Toc98852840"/>
      <w:bookmarkStart w:id="77" w:name="_Toc98857475"/>
      <w:r>
        <w:rPr>
          <w:sz w:val="28"/>
        </w:rPr>
        <w:lastRenderedPageBreak/>
        <w:t>Defined terms</w:t>
      </w:r>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belongs</w:t>
      </w:r>
      <w:r>
        <w:tab/>
        <w:t>6(3)</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community corporation</w:t>
      </w:r>
      <w:r>
        <w:tab/>
        <w:t>6(3)</w:t>
      </w:r>
    </w:p>
    <w:p>
      <w:pPr>
        <w:pStyle w:val="DefinedTerms"/>
      </w:pPr>
      <w:r>
        <w:t>community titles scheme</w:t>
      </w:r>
      <w:r>
        <w:tab/>
        <w:t>6(3)</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scheme by-laws</w:t>
      </w:r>
      <w:r>
        <w:tab/>
        <w:t>6(3)</w:t>
      </w:r>
    </w:p>
    <w:p>
      <w:pPr>
        <w:pStyle w:val="DefinedTerms"/>
      </w:pPr>
      <w:r>
        <w:t>scheme plan</w:t>
      </w:r>
      <w:r>
        <w:tab/>
        <w:t>6(3)</w:t>
      </w:r>
    </w:p>
    <w:p>
      <w:pPr>
        <w:pStyle w:val="DefinedTerms"/>
      </w:pPr>
      <w:r>
        <w:t>security interest</w:t>
      </w:r>
      <w:r>
        <w:tab/>
        <w:t>11(1)</w:t>
      </w:r>
    </w:p>
    <w:p>
      <w:pPr>
        <w:pStyle w:val="DefinedTerms"/>
      </w:pPr>
      <w:r>
        <w:t>short-term residence contract</w:t>
      </w:r>
      <w:r>
        <w:tab/>
        <w:t>4A</w:t>
      </w:r>
    </w:p>
    <w:p>
      <w:pPr>
        <w:pStyle w:val="DefinedTerms"/>
      </w:pPr>
      <w:r>
        <w:t>short-term section 13 statement</w:t>
      </w:r>
      <w:r>
        <w:tab/>
        <w:t>13(1)</w:t>
      </w:r>
    </w:p>
    <w:p>
      <w:pPr>
        <w:pStyle w:val="DefinedTerms"/>
      </w:pPr>
      <w:r>
        <w:t>special resolution</w:t>
      </w:r>
      <w:r>
        <w:tab/>
        <w:t>11(1)</w:t>
      </w:r>
    </w:p>
    <w:p>
      <w:pPr>
        <w:pStyle w:val="DefinedTerms"/>
      </w:pPr>
      <w:r>
        <w:t>specified</w:t>
      </w:r>
      <w:r>
        <w:tab/>
        <w:t>4A</w:t>
      </w:r>
    </w:p>
    <w:p>
      <w:pPr>
        <w:pStyle w:val="DefinedTerms"/>
      </w:pPr>
      <w:r>
        <w:t>tier 2 scheme</w:t>
      </w:r>
      <w:r>
        <w:tab/>
        <w:t>6(3)</w:t>
      </w:r>
    </w:p>
    <w:p>
      <w:pPr>
        <w:pStyle w:val="DefinedTerms"/>
      </w:pPr>
      <w:r>
        <w:t>tier 3 scheme</w:t>
      </w:r>
      <w:r>
        <w:tab/>
        <w:t>6(3)</w:t>
      </w:r>
    </w:p>
    <w:p>
      <w:pPr>
        <w:pStyle w:val="DefinedTerms"/>
      </w:pPr>
      <w:r>
        <w:t>transitional period</w:t>
      </w:r>
      <w:r>
        <w:tab/>
        <w:t>13(1)</w:t>
      </w:r>
    </w:p>
    <w:p>
      <w:pPr>
        <w:pStyle w:val="DefinedTerms"/>
      </w:pPr>
      <w:r>
        <w:lastRenderedPageBreak/>
        <w:t>urgent repair</w:t>
      </w:r>
      <w:r>
        <w:tab/>
        <w:t>7H(1)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2555"/>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 w:name="WAFER_20210907144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4701_GUID" w:val="0c5e429c-9d9e-4d05-b87a-d7445d1fae26"/>
    <w:docVar w:name="WAFER_20210924122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22056_GUID" w:val="570d4a07-ecb7-4ff8-9361-e4ae9bcc3bdf"/>
    <w:docVar w:name="WAFER_20220322142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2555_GUID" w:val="649aeb98-6c86-44da-a3fd-9cfb670c87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CA66-D2F5-41D1-AF8C-114E1B60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21860</Words>
  <Characters>112145</Characters>
  <Application>Microsoft Office Word</Application>
  <DocSecurity>0</DocSecurity>
  <Lines>4875</Lines>
  <Paragraphs>2436</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1992 - 02-u0-00</dc:title>
  <dc:subject/>
  <dc:creator/>
  <cp:keywords/>
  <dc:description/>
  <cp:lastModifiedBy>Master Repository Process</cp:lastModifiedBy>
  <cp:revision>4</cp:revision>
  <cp:lastPrinted>2017-02-16T08:31:00Z</cp:lastPrinted>
  <dcterms:created xsi:type="dcterms:W3CDTF">2022-03-31T05:02:00Z</dcterms:created>
  <dcterms:modified xsi:type="dcterms:W3CDTF">2022-03-31T05:02:00Z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Apr 2022</vt:lpwstr>
  </property>
  <property fmtid="{D5CDD505-2E9C-101B-9397-08002B2CF9AE}" pid="8" name="Suffix">
    <vt:lpwstr>02-u0-00</vt:lpwstr>
  </property>
  <property fmtid="{D5CDD505-2E9C-101B-9397-08002B2CF9AE}" pid="9" name="CommencementDate">
    <vt:lpwstr>20220401</vt:lpwstr>
  </property>
</Properties>
</file>