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_Toc100135418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_Toc100135419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_Toc100135420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_Toc100135421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Moorings in mooring control areas, installation and use of</w:t>
      </w:r>
      <w:r>
        <w:tab/>
      </w:r>
      <w:r>
        <w:fldChar w:fldCharType="begin"/>
      </w:r>
      <w:r>
        <w:instrText xml:space="preserve"> PAGEREF _Toc100135422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Mooring site, application for registration of</w:t>
      </w:r>
      <w:r>
        <w:tab/>
      </w:r>
      <w:r>
        <w:fldChar w:fldCharType="begin"/>
      </w:r>
      <w:r>
        <w:instrText xml:space="preserve"> PAGEREF _Toc100135423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_Toc100135424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Approval for installation of mooring at mooring site</w:t>
      </w:r>
      <w:r>
        <w:tab/>
      </w:r>
      <w:r>
        <w:fldChar w:fldCharType="begin"/>
      </w:r>
      <w:r>
        <w:instrText xml:space="preserve"> PAGEREF _Toc100135425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Moorings may be required to be relocated</w:t>
      </w:r>
      <w:r>
        <w:tab/>
      </w:r>
      <w:r>
        <w:fldChar w:fldCharType="begin"/>
      </w:r>
      <w:r>
        <w:instrText xml:space="preserve"> PAGEREF _Toc100135426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Moorings to be kept maintained</w:t>
      </w:r>
      <w:r>
        <w:tab/>
      </w:r>
      <w:r>
        <w:fldChar w:fldCharType="begin"/>
      </w:r>
      <w:r>
        <w:instrText xml:space="preserve"> PAGEREF _Toc100135427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Mooring may be required to be repaired etc.</w:t>
      </w:r>
      <w:r>
        <w:tab/>
      </w:r>
      <w:r>
        <w:fldChar w:fldCharType="begin"/>
      </w:r>
      <w:r>
        <w:instrText xml:space="preserve"> PAGEREF _Toc100135428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Mooring site owner’s rights limited</w:t>
      </w:r>
      <w:r>
        <w:tab/>
      </w:r>
      <w:r>
        <w:fldChar w:fldCharType="begin"/>
      </w:r>
      <w:r>
        <w:instrText xml:space="preserve"> PAGEREF _Toc100135429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Floats on moorings, specifications for</w:t>
      </w:r>
      <w:r>
        <w:tab/>
      </w:r>
      <w:r>
        <w:fldChar w:fldCharType="begin"/>
      </w:r>
      <w:r>
        <w:instrText xml:space="preserve"> PAGEREF _Toc100135430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Mooring to be suited to vessel etc.</w:t>
      </w:r>
      <w:r>
        <w:tab/>
      </w:r>
      <w:r>
        <w:fldChar w:fldCharType="begin"/>
      </w:r>
      <w:r>
        <w:instrText xml:space="preserve"> PAGEREF _Toc100135431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Mooring site registration may be terminated</w:t>
      </w:r>
      <w:r>
        <w:tab/>
      </w:r>
      <w:r>
        <w:fldChar w:fldCharType="begin"/>
      </w:r>
      <w:r>
        <w:instrText xml:space="preserve"> PAGEREF _Toc100135432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Moorings, use of</w:t>
      </w:r>
      <w:r>
        <w:tab/>
      </w:r>
      <w:r>
        <w:fldChar w:fldCharType="begin"/>
      </w:r>
      <w:r>
        <w:instrText xml:space="preserve"> PAGEREF _Toc100135433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Prevention of collisions</w:t>
      </w:r>
      <w:r>
        <w:tab/>
      </w:r>
      <w:r>
        <w:fldChar w:fldCharType="begin"/>
      </w:r>
      <w:r>
        <w:instrText xml:space="preserve"> PAGEREF _Toc100135434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Change of registered particulars etc., notice of to be given</w:t>
      </w:r>
      <w:r>
        <w:tab/>
      </w:r>
      <w:r>
        <w:fldChar w:fldCharType="begin"/>
      </w:r>
      <w:r>
        <w:instrText xml:space="preserve"> PAGEREF _Toc100135435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Mooring site may be surrendered</w:t>
      </w:r>
      <w:r>
        <w:tab/>
      </w:r>
      <w:r>
        <w:fldChar w:fldCharType="begin"/>
      </w:r>
      <w:r>
        <w:instrText xml:space="preserve"> PAGEREF _Toc100135436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w:t>
      </w:r>
      <w:r>
        <w:tab/>
      </w:r>
      <w:r>
        <w:fldChar w:fldCharType="begin"/>
      </w:r>
      <w:r>
        <w:instrText xml:space="preserve"> PAGEREF _Toc100135437 \h </w:instrText>
      </w:r>
      <w:r>
        <w:fldChar w:fldCharType="separate"/>
      </w:r>
      <w:r>
        <w:t>11</w:t>
      </w:r>
      <w:r>
        <w:fldChar w:fldCharType="end"/>
      </w:r>
    </w:p>
    <w:p>
      <w:pPr>
        <w:pStyle w:val="TOC8"/>
        <w:rPr>
          <w:rFonts w:asciiTheme="minorHAnsi" w:eastAsiaTheme="minorEastAsia" w:hAnsiTheme="minorHAnsi" w:cstheme="minorBidi"/>
          <w:szCs w:val="22"/>
        </w:rPr>
      </w:pPr>
      <w:r>
        <w:t>20.</w:t>
      </w:r>
      <w:r>
        <w:tab/>
        <w:t>Authorised fee officers</w:t>
      </w:r>
      <w:r>
        <w:tab/>
      </w:r>
      <w:r>
        <w:fldChar w:fldCharType="begin"/>
      </w:r>
      <w:r>
        <w:instrText xml:space="preserve"> PAGEREF _Toc100135438 \h </w:instrText>
      </w:r>
      <w:r>
        <w:fldChar w:fldCharType="separate"/>
      </w:r>
      <w:r>
        <w:t>12</w:t>
      </w:r>
      <w:r>
        <w:fldChar w:fldCharType="end"/>
      </w:r>
    </w:p>
    <w:p>
      <w:pPr>
        <w:pStyle w:val="TOC8"/>
        <w:rPr>
          <w:rFonts w:asciiTheme="minorHAnsi" w:eastAsiaTheme="minorEastAsia" w:hAnsiTheme="minorHAnsi" w:cstheme="minorBidi"/>
          <w:szCs w:val="22"/>
        </w:rPr>
      </w:pPr>
      <w:r>
        <w:t>21.</w:t>
      </w:r>
      <w:r>
        <w:tab/>
        <w:t>Waiver of fees</w:t>
      </w:r>
      <w:r>
        <w:tab/>
      </w:r>
      <w:r>
        <w:fldChar w:fldCharType="begin"/>
      </w:r>
      <w:r>
        <w:instrText xml:space="preserve"> PAGEREF _Toc100135439 \h </w:instrText>
      </w:r>
      <w:r>
        <w:fldChar w:fldCharType="separate"/>
      </w:r>
      <w:r>
        <w:t>12</w:t>
      </w:r>
      <w:r>
        <w:fldChar w:fldCharType="end"/>
      </w:r>
    </w:p>
    <w:p>
      <w:pPr>
        <w:pStyle w:val="TOC8"/>
        <w:rPr>
          <w:rFonts w:asciiTheme="minorHAnsi" w:eastAsiaTheme="minorEastAsia" w:hAnsiTheme="minorHAnsi" w:cstheme="minorBidi"/>
          <w:szCs w:val="22"/>
        </w:rPr>
      </w:pPr>
      <w:r>
        <w:t>22.</w:t>
      </w:r>
      <w:r>
        <w:tab/>
        <w:t>Details of waivers to be accessible on website</w:t>
      </w:r>
      <w:r>
        <w:tab/>
      </w:r>
      <w:r>
        <w:fldChar w:fldCharType="begin"/>
      </w:r>
      <w:r>
        <w:instrText xml:space="preserve"> PAGEREF _Toc100135440 \h </w:instrText>
      </w:r>
      <w:r>
        <w:fldChar w:fldCharType="separate"/>
      </w:r>
      <w:r>
        <w:t>13</w:t>
      </w:r>
      <w:r>
        <w:fldChar w:fldCharType="end"/>
      </w:r>
    </w:p>
    <w:p>
      <w:pPr>
        <w:pStyle w:val="TOC8"/>
        <w:rPr>
          <w:rFonts w:asciiTheme="minorHAnsi" w:eastAsiaTheme="minorEastAsia" w:hAnsiTheme="minorHAnsi" w:cstheme="minorBidi"/>
          <w:szCs w:val="22"/>
        </w:rPr>
      </w:pPr>
      <w:r>
        <w:t>23.</w:t>
      </w:r>
      <w:r>
        <w:tab/>
        <w:t>Effect of waiver</w:t>
      </w:r>
      <w:r>
        <w:tab/>
      </w:r>
      <w:r>
        <w:fldChar w:fldCharType="begin"/>
      </w:r>
      <w:r>
        <w:instrText xml:space="preserve"> PAGEREF _Toc100135441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24.</w:t>
      </w:r>
      <w:r>
        <w:tab/>
        <w:t>Refund of fees</w:t>
      </w:r>
      <w:r>
        <w:tab/>
      </w:r>
      <w:r>
        <w:fldChar w:fldCharType="begin"/>
      </w:r>
      <w:r>
        <w:instrText xml:space="preserve"> PAGEREF _Toc100135442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_Toc100135444 \h </w:instrText>
      </w:r>
      <w:r>
        <w:fldChar w:fldCharType="separate"/>
      </w:r>
      <w:r>
        <w:t>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_Toc100135445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3" w:name="_Toc10013541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4" w:name="_Toc10013541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5" w:name="_Toc83377567"/>
      <w:bookmarkStart w:id="6" w:name="_Toc100135420"/>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tab/>
      </w:r>
      <w:r>
        <w:rPr>
          <w:rStyle w:val="CharDefText"/>
        </w:rPr>
        <w:t>authorised fee officer</w:t>
      </w:r>
      <w:r>
        <w:t xml:space="preserve"> means a person designated under regulation 20 acting in accordance with the terms of the designation;</w:t>
      </w:r>
    </w:p>
    <w:p>
      <w:pPr>
        <w:pStyle w:val="Defstart"/>
      </w:pPr>
      <w:r>
        <w:rPr>
          <w:b/>
        </w:rPr>
        <w:tab/>
      </w:r>
      <w:r>
        <w:rPr>
          <w:rStyle w:val="CharDefText"/>
        </w:rPr>
        <w:t>displacement tonneage</w:t>
      </w:r>
      <w:r>
        <w:t xml:space="preserve"> means the weight of the vessel or other floating object in metric tonnes;</w:t>
      </w:r>
    </w:p>
    <w:p>
      <w:pPr>
        <w:pStyle w:val="Defstart"/>
      </w:pPr>
      <w:r>
        <w:tab/>
      </w:r>
      <w:r>
        <w:rPr>
          <w:rStyle w:val="CharDefText"/>
        </w:rPr>
        <w:t>fee</w:t>
      </w:r>
      <w:r>
        <w:t xml:space="preserve"> means a fee, due or charge in respect of which these regulations make provision;</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lastRenderedPageBreak/>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Defstart"/>
      </w:pPr>
      <w:r>
        <w:tab/>
      </w:r>
      <w:r>
        <w:rPr>
          <w:rStyle w:val="CharDefText"/>
        </w:rPr>
        <w:t>written instrument</w:t>
      </w:r>
      <w:r>
        <w:t xml:space="preserve"> means an instrument in writing signed by a controlling authority or by an authorised fee officer.</w:t>
      </w:r>
    </w:p>
    <w:p>
      <w:pPr>
        <w:pStyle w:val="Footnotesection"/>
      </w:pPr>
      <w:r>
        <w:tab/>
        <w:t xml:space="preserve">[Regulation 3 amended: Gazette 31 Dec 1993 p. 6910; 11 Dec 1998 p. 6650; SL 2022/47 r. 9.] </w:t>
      </w:r>
    </w:p>
    <w:p>
      <w:pPr>
        <w:pStyle w:val="Heading5"/>
        <w:rPr>
          <w:snapToGrid w:val="0"/>
        </w:rPr>
      </w:pPr>
      <w:bookmarkStart w:id="7" w:name="_Toc100135421"/>
      <w:r>
        <w:rPr>
          <w:rStyle w:val="CharSectno"/>
        </w:rPr>
        <w:t>4</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pPr>
      <w:r>
        <w:tab/>
        <w:t>(3)</w:t>
      </w:r>
      <w:r>
        <w:tab/>
        <w:t xml:space="preserve">Subregulation (2) has effect subject to the </w:t>
      </w:r>
      <w:r>
        <w:rPr>
          <w:i/>
        </w:rPr>
        <w:t>Mooring Regulations 1998</w:t>
      </w:r>
      <w:r>
        <w:t xml:space="preserve"> regulation 35.</w:t>
      </w:r>
    </w:p>
    <w:p>
      <w:pPr>
        <w:pStyle w:val="Footnotesection"/>
      </w:pPr>
      <w:r>
        <w:tab/>
        <w:t>[Regulation 4 amended: Gazette 11 Dec 1998 p. 6650; SL 2021/147 r. 36.]</w:t>
      </w:r>
    </w:p>
    <w:p>
      <w:pPr>
        <w:pStyle w:val="Heading5"/>
        <w:rPr>
          <w:snapToGrid w:val="0"/>
        </w:rPr>
      </w:pPr>
      <w:bookmarkStart w:id="8" w:name="_Toc100135422"/>
      <w:r>
        <w:rPr>
          <w:rStyle w:val="CharSectno"/>
        </w:rPr>
        <w:t>5</w:t>
      </w:r>
      <w:r>
        <w:rPr>
          <w:snapToGrid w:val="0"/>
        </w:rPr>
        <w:t>.</w:t>
      </w:r>
      <w:r>
        <w:rPr>
          <w:snapToGrid w:val="0"/>
        </w:rPr>
        <w:tab/>
        <w:t>Moorings in mooring control areas, installation and use of</w:t>
      </w:r>
      <w:bookmarkEnd w:id="8"/>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keepNext/>
      </w:pPr>
      <w:r>
        <w:lastRenderedPageBreak/>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9" w:name="_Toc100135423"/>
      <w:r>
        <w:rPr>
          <w:rStyle w:val="CharSectno"/>
        </w:rPr>
        <w:t>6</w:t>
      </w:r>
      <w:r>
        <w:rPr>
          <w:snapToGrid w:val="0"/>
        </w:rPr>
        <w:t>.</w:t>
      </w:r>
      <w:r>
        <w:rPr>
          <w:snapToGrid w:val="0"/>
        </w:rPr>
        <w:tab/>
        <w:t>Mooring site, application for registration of</w:t>
      </w:r>
      <w:bookmarkEnd w:id="9"/>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lastRenderedPageBreak/>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10" w:name="_Toc100135424"/>
      <w:r>
        <w:rPr>
          <w:rStyle w:val="CharSectno"/>
        </w:rPr>
        <w:t>7</w:t>
      </w:r>
      <w:r>
        <w:rPr>
          <w:snapToGrid w:val="0"/>
        </w:rPr>
        <w:t>.</w:t>
      </w:r>
      <w:r>
        <w:rPr>
          <w:snapToGrid w:val="0"/>
        </w:rPr>
        <w:tab/>
        <w:t>Fees</w:t>
      </w:r>
      <w:bookmarkEnd w:id="10"/>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11" w:name="_Toc100135425"/>
      <w:r>
        <w:rPr>
          <w:rStyle w:val="CharSectno"/>
        </w:rPr>
        <w:lastRenderedPageBreak/>
        <w:t>8</w:t>
      </w:r>
      <w:r>
        <w:rPr>
          <w:snapToGrid w:val="0"/>
        </w:rPr>
        <w:t>.</w:t>
      </w:r>
      <w:r>
        <w:rPr>
          <w:snapToGrid w:val="0"/>
        </w:rPr>
        <w:tab/>
        <w:t>Approval for installation of mooring at mooring site</w:t>
      </w:r>
      <w:bookmarkEnd w:id="11"/>
    </w:p>
    <w:p>
      <w:pPr>
        <w:pStyle w:val="Subsection"/>
        <w:keepNext/>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lastRenderedPageBreak/>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12" w:name="_Toc100135426"/>
      <w:r>
        <w:rPr>
          <w:rStyle w:val="CharSectno"/>
        </w:rPr>
        <w:t>9</w:t>
      </w:r>
      <w:r>
        <w:rPr>
          <w:snapToGrid w:val="0"/>
        </w:rPr>
        <w:t>.</w:t>
      </w:r>
      <w:r>
        <w:rPr>
          <w:snapToGrid w:val="0"/>
        </w:rPr>
        <w:tab/>
        <w:t>Moorings may be required to be relocated</w:t>
      </w:r>
      <w:bookmarkEnd w:id="12"/>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13" w:name="_Toc100135427"/>
      <w:r>
        <w:rPr>
          <w:rStyle w:val="CharSectno"/>
        </w:rPr>
        <w:t>10</w:t>
      </w:r>
      <w:r>
        <w:rPr>
          <w:snapToGrid w:val="0"/>
        </w:rPr>
        <w:t>.</w:t>
      </w:r>
      <w:r>
        <w:rPr>
          <w:snapToGrid w:val="0"/>
        </w:rPr>
        <w:tab/>
        <w:t>Moorings to be kept maintained</w:t>
      </w:r>
      <w:bookmarkEnd w:id="13"/>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lastRenderedPageBreak/>
        <w:tab/>
        <w:t>(c)</w:t>
      </w:r>
      <w:r>
        <w:rPr>
          <w:snapToGrid w:val="0"/>
        </w:rPr>
        <w:tab/>
        <w:t>so that it at all times complies with regulation 13 and regulation 14(1).</w:t>
      </w:r>
    </w:p>
    <w:p>
      <w:pPr>
        <w:pStyle w:val="Heading5"/>
        <w:rPr>
          <w:snapToGrid w:val="0"/>
        </w:rPr>
      </w:pPr>
      <w:bookmarkStart w:id="14" w:name="_Toc100135428"/>
      <w:r>
        <w:rPr>
          <w:rStyle w:val="CharSectno"/>
        </w:rPr>
        <w:t>11</w:t>
      </w:r>
      <w:r>
        <w:rPr>
          <w:snapToGrid w:val="0"/>
        </w:rPr>
        <w:t>.</w:t>
      </w:r>
      <w:r>
        <w:rPr>
          <w:snapToGrid w:val="0"/>
        </w:rPr>
        <w:tab/>
        <w:t>Mooring may be required to be repaired etc.</w:t>
      </w:r>
      <w:bookmarkEnd w:id="14"/>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15" w:name="_Toc100135429"/>
      <w:r>
        <w:rPr>
          <w:rStyle w:val="CharSectno"/>
        </w:rPr>
        <w:t>12</w:t>
      </w:r>
      <w:r>
        <w:rPr>
          <w:snapToGrid w:val="0"/>
        </w:rPr>
        <w:t>.</w:t>
      </w:r>
      <w:r>
        <w:rPr>
          <w:snapToGrid w:val="0"/>
        </w:rPr>
        <w:tab/>
        <w:t>Mooring site owner’s rights limited</w:t>
      </w:r>
      <w:bookmarkEnd w:id="15"/>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lastRenderedPageBreak/>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16" w:name="_Toc100135430"/>
      <w:r>
        <w:rPr>
          <w:rStyle w:val="CharSectno"/>
        </w:rPr>
        <w:t>13</w:t>
      </w:r>
      <w:r>
        <w:rPr>
          <w:snapToGrid w:val="0"/>
        </w:rPr>
        <w:t>.</w:t>
      </w:r>
      <w:r>
        <w:rPr>
          <w:snapToGrid w:val="0"/>
        </w:rPr>
        <w:tab/>
        <w:t>Floats on moorings, specifications for</w:t>
      </w:r>
      <w:bookmarkEnd w:id="16"/>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17" w:name="_Toc100135431"/>
      <w:r>
        <w:rPr>
          <w:rStyle w:val="CharSectno"/>
        </w:rPr>
        <w:t>14</w:t>
      </w:r>
      <w:r>
        <w:rPr>
          <w:snapToGrid w:val="0"/>
        </w:rPr>
        <w:t>.</w:t>
      </w:r>
      <w:r>
        <w:rPr>
          <w:snapToGrid w:val="0"/>
        </w:rPr>
        <w:tab/>
        <w:t>Mooring to be suited to vessel etc.</w:t>
      </w:r>
      <w:bookmarkEnd w:id="17"/>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lastRenderedPageBreak/>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18" w:name="_Toc100135432"/>
      <w:r>
        <w:rPr>
          <w:rStyle w:val="CharSectno"/>
        </w:rPr>
        <w:t>15</w:t>
      </w:r>
      <w:r>
        <w:rPr>
          <w:snapToGrid w:val="0"/>
        </w:rPr>
        <w:t>.</w:t>
      </w:r>
      <w:r>
        <w:rPr>
          <w:snapToGrid w:val="0"/>
        </w:rPr>
        <w:tab/>
        <w:t>Mooring site registration may be terminated</w:t>
      </w:r>
      <w:bookmarkEnd w:id="18"/>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19" w:name="_Toc100135433"/>
      <w:r>
        <w:rPr>
          <w:rStyle w:val="CharSectno"/>
        </w:rPr>
        <w:t>16</w:t>
      </w:r>
      <w:r>
        <w:rPr>
          <w:snapToGrid w:val="0"/>
        </w:rPr>
        <w:t>.</w:t>
      </w:r>
      <w:r>
        <w:rPr>
          <w:snapToGrid w:val="0"/>
        </w:rPr>
        <w:tab/>
        <w:t>Moorings, use of</w:t>
      </w:r>
      <w:bookmarkEnd w:id="19"/>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keepNext/>
        <w:spacing w:before="60"/>
        <w:rPr>
          <w:snapToGrid w:val="0"/>
        </w:rPr>
      </w:pPr>
      <w:r>
        <w:rPr>
          <w:snapToGrid w:val="0"/>
        </w:rPr>
        <w:lastRenderedPageBreak/>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20" w:name="_Toc100135434"/>
      <w:r>
        <w:rPr>
          <w:rStyle w:val="CharSectno"/>
        </w:rPr>
        <w:t>16A</w:t>
      </w:r>
      <w:r>
        <w:rPr>
          <w:snapToGrid w:val="0"/>
        </w:rPr>
        <w:t>.</w:t>
      </w:r>
      <w:r>
        <w:rPr>
          <w:snapToGrid w:val="0"/>
        </w:rPr>
        <w:tab/>
        <w:t>Prevention of collisions</w:t>
      </w:r>
      <w:bookmarkEnd w:id="20"/>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21" w:name="_Toc100135435"/>
      <w:r>
        <w:rPr>
          <w:rStyle w:val="CharSectno"/>
        </w:rPr>
        <w:t>17</w:t>
      </w:r>
      <w:r>
        <w:rPr>
          <w:snapToGrid w:val="0"/>
        </w:rPr>
        <w:t>.</w:t>
      </w:r>
      <w:r>
        <w:rPr>
          <w:snapToGrid w:val="0"/>
        </w:rPr>
        <w:tab/>
        <w:t>Change of registered particulars etc., notice of to be given</w:t>
      </w:r>
      <w:bookmarkEnd w:id="21"/>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lastRenderedPageBreak/>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22" w:name="_Toc100135436"/>
      <w:r>
        <w:rPr>
          <w:rStyle w:val="CharSectno"/>
        </w:rPr>
        <w:t>18</w:t>
      </w:r>
      <w:r>
        <w:rPr>
          <w:snapToGrid w:val="0"/>
        </w:rPr>
        <w:t>.</w:t>
      </w:r>
      <w:r>
        <w:rPr>
          <w:snapToGrid w:val="0"/>
        </w:rPr>
        <w:tab/>
        <w:t>Mooring site may be surrendered</w:t>
      </w:r>
      <w:bookmarkEnd w:id="22"/>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23" w:name="_Toc100135437"/>
      <w:r>
        <w:rPr>
          <w:rStyle w:val="CharSectno"/>
        </w:rPr>
        <w:t>19</w:t>
      </w:r>
      <w:r>
        <w:rPr>
          <w:snapToGrid w:val="0"/>
        </w:rPr>
        <w:t>.</w:t>
      </w:r>
      <w:r>
        <w:rPr>
          <w:snapToGrid w:val="0"/>
        </w:rPr>
        <w:tab/>
        <w:t>Offences</w:t>
      </w:r>
      <w:bookmarkEnd w:id="23"/>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Heading5"/>
      </w:pPr>
      <w:bookmarkStart w:id="24" w:name="_Toc97643730"/>
      <w:bookmarkStart w:id="25" w:name="_Toc100048245"/>
      <w:bookmarkStart w:id="26" w:name="_Toc100135438"/>
      <w:r>
        <w:rPr>
          <w:rStyle w:val="CharSectno"/>
        </w:rPr>
        <w:lastRenderedPageBreak/>
        <w:t>20</w:t>
      </w:r>
      <w:r>
        <w:t>.</w:t>
      </w:r>
      <w:r>
        <w:tab/>
        <w:t>Authorised fee officers</w:t>
      </w:r>
      <w:bookmarkEnd w:id="24"/>
      <w:bookmarkEnd w:id="25"/>
      <w:bookmarkEnd w:id="26"/>
    </w:p>
    <w:p>
      <w:pPr>
        <w:pStyle w:val="Subsection"/>
      </w:pPr>
      <w:r>
        <w:tab/>
        <w:t>(1)</w:t>
      </w:r>
      <w:r>
        <w:tab/>
        <w:t>A controlling authority may, in writing, designate a person to be an authorised fee officer for the purposes of these regulations in relation to fees payable to that controlling authority.</w:t>
      </w:r>
    </w:p>
    <w:p>
      <w:pPr>
        <w:pStyle w:val="Subsection"/>
      </w:pPr>
      <w:r>
        <w:tab/>
        <w:t>(2)</w:t>
      </w:r>
      <w:r>
        <w:tab/>
        <w:t xml:space="preserve">A designation under this regulation may authorise the person to act — </w:t>
      </w:r>
    </w:p>
    <w:p>
      <w:pPr>
        <w:pStyle w:val="Indenta"/>
      </w:pPr>
      <w:r>
        <w:tab/>
        <w:t>(a)</w:t>
      </w:r>
      <w:r>
        <w:tab/>
        <w:t>generally for the purposes of these regulations; or</w:t>
      </w:r>
    </w:p>
    <w:p>
      <w:pPr>
        <w:pStyle w:val="Indenta"/>
        <w:keepNext/>
      </w:pPr>
      <w:r>
        <w:tab/>
        <w:t>(b)</w:t>
      </w:r>
      <w:r>
        <w:tab/>
        <w:t xml:space="preserve">as specified in the terms of the designation, only — </w:t>
      </w:r>
    </w:p>
    <w:p>
      <w:pPr>
        <w:pStyle w:val="Indenti"/>
      </w:pPr>
      <w:r>
        <w:tab/>
        <w:t>(i)</w:t>
      </w:r>
      <w:r>
        <w:tab/>
        <w:t>in relation to particular functions under these regulations;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 person performing a function in reliance on a designation under this regulation is taken to do so in accordance with the terms of the designation unless the contrary is shown.</w:t>
      </w:r>
    </w:p>
    <w:p>
      <w:pPr>
        <w:pStyle w:val="Footnotesection"/>
      </w:pPr>
      <w:r>
        <w:tab/>
        <w:t>[Regulation 20 inserted: SL 2022/47 r. 10.]</w:t>
      </w:r>
    </w:p>
    <w:p>
      <w:pPr>
        <w:pStyle w:val="Heading5"/>
      </w:pPr>
      <w:bookmarkStart w:id="27" w:name="_Toc97643731"/>
      <w:bookmarkStart w:id="28" w:name="_Toc100048246"/>
      <w:bookmarkStart w:id="29" w:name="_Toc100135439"/>
      <w:r>
        <w:rPr>
          <w:rStyle w:val="CharSectno"/>
        </w:rPr>
        <w:t>21</w:t>
      </w:r>
      <w:r>
        <w:t>.</w:t>
      </w:r>
      <w:r>
        <w:tab/>
        <w:t>Waiver of fees</w:t>
      </w:r>
      <w:bookmarkEnd w:id="27"/>
      <w:bookmarkEnd w:id="28"/>
      <w:bookmarkEnd w:id="29"/>
      <w:r>
        <w:t xml:space="preserve"> </w:t>
      </w:r>
    </w:p>
    <w:p>
      <w:pPr>
        <w:pStyle w:val="Subsection"/>
      </w:pPr>
      <w:r>
        <w:tab/>
        <w:t>(1)</w:t>
      </w:r>
      <w:r>
        <w:tab/>
        <w:t xml:space="preserve">A controlling authority or an authorised fee officer designated by it may by written instrument waive in whole or in part, during a period specified in the instrument, a fee or a class of fees payable to the controlling authority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controlling authority or an authorised fee officer designated by it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lastRenderedPageBreak/>
        <w:tab/>
        <w:t>(b)</w:t>
      </w:r>
      <w:r>
        <w:tab/>
        <w:t>if a waiver made under subregulation (1) is in effect — alter the date on which the waiver is to cease to have effect, but not to a date earlier than the day after the date on which the amending instrument is signed.</w:t>
      </w:r>
    </w:p>
    <w:p>
      <w:pPr>
        <w:pStyle w:val="Subsection"/>
        <w:keepNext/>
      </w:pPr>
      <w:r>
        <w:tab/>
        <w:t>(3)</w:t>
      </w:r>
      <w:r>
        <w:tab/>
        <w:t xml:space="preserve">A written instrument made under this regulation is not subsidiary legislation for the purposes of the </w:t>
      </w:r>
      <w:r>
        <w:rPr>
          <w:i/>
        </w:rPr>
        <w:t>Interpretation Act 1984</w:t>
      </w:r>
      <w:r>
        <w:t>.</w:t>
      </w:r>
    </w:p>
    <w:p>
      <w:pPr>
        <w:pStyle w:val="Footnotesection"/>
      </w:pPr>
      <w:bookmarkStart w:id="30" w:name="_Toc97643732"/>
      <w:bookmarkStart w:id="31" w:name="_Toc100048247"/>
      <w:r>
        <w:tab/>
        <w:t>[Regulation 21 inserted: SL 2022/47 r. 10.]</w:t>
      </w:r>
    </w:p>
    <w:p>
      <w:pPr>
        <w:pStyle w:val="Heading5"/>
      </w:pPr>
      <w:bookmarkStart w:id="32" w:name="_Toc100135440"/>
      <w:r>
        <w:rPr>
          <w:rStyle w:val="CharSectno"/>
        </w:rPr>
        <w:t>22</w:t>
      </w:r>
      <w:r>
        <w:t>.</w:t>
      </w:r>
      <w:r>
        <w:tab/>
        <w:t>Details of waivers to be accessible on website</w:t>
      </w:r>
      <w:bookmarkEnd w:id="30"/>
      <w:bookmarkEnd w:id="31"/>
      <w:bookmarkEnd w:id="32"/>
    </w:p>
    <w:p>
      <w:pPr>
        <w:pStyle w:val="Subsection"/>
      </w:pPr>
      <w:r>
        <w:tab/>
        <w:t>(1)</w:t>
      </w:r>
      <w:r>
        <w:tab/>
        <w:t xml:space="preserve">While a waiver made under regulation 21(1) is in effect and for at least 12 months after it ceases to have effect, the controlling authority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21(2), relating to the waiver.</w:t>
      </w:r>
    </w:p>
    <w:p>
      <w:pPr>
        <w:pStyle w:val="Subsection"/>
      </w:pPr>
      <w:r>
        <w:tab/>
        <w:t>(2)</w:t>
      </w:r>
      <w:r>
        <w:tab/>
        <w:t>A failure to comply with subregulation (1) does not affect the validity of the written instrument or instruments concerned.</w:t>
      </w:r>
    </w:p>
    <w:p>
      <w:pPr>
        <w:pStyle w:val="Footnotesection"/>
      </w:pPr>
      <w:bookmarkStart w:id="33" w:name="_Toc97643733"/>
      <w:bookmarkStart w:id="34" w:name="_Toc100048248"/>
      <w:r>
        <w:tab/>
        <w:t>[Regulation 22 inserted: SL 2022/47 r. 10.]</w:t>
      </w:r>
    </w:p>
    <w:p>
      <w:pPr>
        <w:pStyle w:val="Heading5"/>
      </w:pPr>
      <w:bookmarkStart w:id="35" w:name="_Toc100135441"/>
      <w:r>
        <w:rPr>
          <w:rStyle w:val="CharSectno"/>
        </w:rPr>
        <w:t>23</w:t>
      </w:r>
      <w:r>
        <w:t>.</w:t>
      </w:r>
      <w:r>
        <w:tab/>
        <w:t>Effect of waiver</w:t>
      </w:r>
      <w:bookmarkEnd w:id="33"/>
      <w:bookmarkEnd w:id="34"/>
      <w:bookmarkEnd w:id="35"/>
    </w:p>
    <w:p>
      <w:pPr>
        <w:pStyle w:val="Subsection"/>
      </w:pPr>
      <w:r>
        <w:tab/>
      </w:r>
      <w:r>
        <w:tab/>
        <w:t xml:space="preserve">Despite any other provision of these regulations, if a fee that would otherwise be payable is waived under regulation 21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bookmarkStart w:id="36" w:name="_Toc97643734"/>
      <w:bookmarkStart w:id="37" w:name="_Toc100048249"/>
      <w:r>
        <w:tab/>
        <w:t>[Regulation 23 inserted: SL 2022/47 r. 10.]</w:t>
      </w:r>
    </w:p>
    <w:p>
      <w:pPr>
        <w:pStyle w:val="Heading5"/>
      </w:pPr>
      <w:bookmarkStart w:id="38" w:name="_Toc100135442"/>
      <w:r>
        <w:rPr>
          <w:rStyle w:val="CharSectno"/>
        </w:rPr>
        <w:lastRenderedPageBreak/>
        <w:t>24</w:t>
      </w:r>
      <w:r>
        <w:t>.</w:t>
      </w:r>
      <w:r>
        <w:tab/>
        <w:t>Refund of fees</w:t>
      </w:r>
      <w:bookmarkEnd w:id="36"/>
      <w:bookmarkEnd w:id="37"/>
      <w:bookmarkEnd w:id="38"/>
    </w:p>
    <w:p>
      <w:pPr>
        <w:pStyle w:val="Subsection"/>
      </w:pPr>
      <w:r>
        <w:tab/>
        <w:t>(1)</w:t>
      </w:r>
      <w:r>
        <w:tab/>
        <w:t>A controlling authority or an authorised fee officer designated by it may refund in whole or in part any fee that has been paid to the controlling authority.</w:t>
      </w:r>
    </w:p>
    <w:p>
      <w:pPr>
        <w:pStyle w:val="Subsection"/>
        <w:keepNext/>
      </w:pPr>
      <w:r>
        <w:tab/>
        <w:t>(2)</w:t>
      </w:r>
      <w:r>
        <w:tab/>
        <w:t xml:space="preserve">If a fee is refunded under subregulation (1) the rights and obligations under the Act of every person — </w:t>
      </w:r>
    </w:p>
    <w:p>
      <w:pPr>
        <w:pStyle w:val="Indenta"/>
      </w:pPr>
      <w:r>
        <w:tab/>
        <w:t>(a)</w:t>
      </w:r>
      <w:r>
        <w:tab/>
        <w:t>are as specified by the controlling authority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24 inserted: SL 2022/47 r. 10.]</w:t>
      </w:r>
    </w:p>
    <w:p>
      <w:pPr>
        <w:pStyle w:val="yEdnotesection"/>
      </w:pPr>
      <w:r>
        <w:tab/>
        <w:t>[Schedule deleted: Gazette 11 Feb 2011 p. 483.]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100050557"/>
      <w:bookmarkStart w:id="40" w:name="_Toc100051045"/>
      <w:bookmarkStart w:id="41" w:name="_Toc100064106"/>
      <w:bookmarkStart w:id="42" w:name="_Toc100129271"/>
      <w:bookmarkStart w:id="43" w:name="_Toc100135443"/>
      <w:r>
        <w:lastRenderedPageBreak/>
        <w:t>Notes</w:t>
      </w:r>
      <w:bookmarkEnd w:id="39"/>
      <w:bookmarkEnd w:id="40"/>
      <w:bookmarkEnd w:id="41"/>
      <w:bookmarkEnd w:id="42"/>
      <w:bookmarkEnd w:id="43"/>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w:t>
      </w:r>
    </w:p>
    <w:p>
      <w:pPr>
        <w:pStyle w:val="nHeading3"/>
      </w:pPr>
      <w:bookmarkStart w:id="44" w:name="_Toc100135444"/>
      <w:r>
        <w:t>Compilation table</w:t>
      </w:r>
      <w:bookmarkEnd w:id="4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9" w:type="dxa"/>
            <w:tcBorders>
              <w:top w:val="nil"/>
              <w:bottom w:val="nil"/>
            </w:tcBorders>
          </w:tcPr>
          <w:p>
            <w:pPr>
              <w:pStyle w:val="nTable"/>
              <w:spacing w:after="40"/>
              <w:rPr>
                <w:i/>
              </w:rPr>
            </w:pPr>
            <w:r>
              <w:rPr>
                <w:i/>
              </w:rPr>
              <w:t>Transport Regulations Amendment (Mooring Management) Regulations 2021</w:t>
            </w:r>
            <w:r>
              <w:t xml:space="preserve"> Pt. 3</w:t>
            </w:r>
          </w:p>
        </w:tc>
        <w:tc>
          <w:tcPr>
            <w:tcW w:w="1276" w:type="dxa"/>
            <w:tcBorders>
              <w:top w:val="nil"/>
              <w:bottom w:val="nil"/>
            </w:tcBorders>
          </w:tcPr>
          <w:p>
            <w:pPr>
              <w:pStyle w:val="nTable"/>
              <w:spacing w:after="40"/>
            </w:pPr>
            <w:r>
              <w:t>SL 2021/147 13 Aug 2021</w:t>
            </w:r>
          </w:p>
        </w:tc>
        <w:tc>
          <w:tcPr>
            <w:tcW w:w="2693" w:type="dxa"/>
            <w:tcBorders>
              <w:top w:val="nil"/>
              <w:bottom w:val="nil"/>
            </w:tcBorders>
          </w:tcPr>
          <w:p>
            <w:pPr>
              <w:pStyle w:val="nTable"/>
              <w:spacing w:after="40"/>
              <w:rPr>
                <w:snapToGrid w:val="0"/>
                <w:spacing w:val="-2"/>
              </w:rPr>
            </w:pPr>
            <w:r>
              <w:t>28 Sep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pPr>
            <w:r>
              <w:rPr>
                <w:i/>
              </w:rPr>
              <w:t>Transport Regulations Amendment (Waiver and Refund) Regulations 2022</w:t>
            </w:r>
            <w:r>
              <w:t xml:space="preserve"> Pt. 4</w:t>
            </w:r>
          </w:p>
        </w:tc>
        <w:tc>
          <w:tcPr>
            <w:tcW w:w="1276" w:type="dxa"/>
            <w:tcBorders>
              <w:bottom w:val="single" w:sz="4" w:space="0" w:color="auto"/>
            </w:tcBorders>
          </w:tcPr>
          <w:p>
            <w:pPr>
              <w:pStyle w:val="nTable"/>
              <w:spacing w:after="40"/>
            </w:pPr>
            <w:r>
              <w:t>SL 2022/47 8 Apr 2022</w:t>
            </w:r>
          </w:p>
        </w:tc>
        <w:tc>
          <w:tcPr>
            <w:tcW w:w="2693" w:type="dxa"/>
            <w:tcBorders>
              <w:bottom w:val="single" w:sz="4" w:space="0" w:color="auto"/>
            </w:tcBorders>
          </w:tcPr>
          <w:p>
            <w:pPr>
              <w:pStyle w:val="nTable"/>
              <w:spacing w:after="40"/>
            </w:pPr>
            <w:r>
              <w:t>9 Apr 2022 (see r. 2(b))</w:t>
            </w:r>
          </w:p>
        </w:tc>
      </w:tr>
    </w:tbl>
    <w:p>
      <w:pPr>
        <w:pStyle w:val="nHeading3"/>
      </w:pPr>
      <w:bookmarkStart w:id="45" w:name="_Toc100135445"/>
      <w:r>
        <w:t>Other notes</w:t>
      </w:r>
      <w:bookmarkEnd w:id="45"/>
    </w:p>
    <w:p>
      <w:pPr>
        <w:pStyle w:val="nNote"/>
        <w:rPr>
          <w:i/>
        </w:rPr>
      </w:pPr>
      <w:r>
        <w:rPr>
          <w:vertAlign w:val="superscript"/>
        </w:rPr>
        <w:t>1</w:t>
      </w:r>
      <w:r>
        <w:tab/>
        <w:t xml:space="preserve">Repealed by the </w:t>
      </w:r>
      <w:r>
        <w:rPr>
          <w:i/>
        </w:rPr>
        <w:t>Interpretation Act 1984</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7" w:name="_Toc100135446"/>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amending instrument</w:t>
      </w:r>
      <w:r>
        <w:tab/>
        <w:t>21(2)</w:t>
      </w:r>
    </w:p>
    <w:p>
      <w:pPr>
        <w:pStyle w:val="DefinedTerms"/>
      </w:pPr>
      <w:r>
        <w:t>authorised fee officer</w:t>
      </w:r>
      <w:r>
        <w:tab/>
        <w:t>3</w:t>
      </w:r>
    </w:p>
    <w:p>
      <w:pPr>
        <w:pStyle w:val="DefinedTerms"/>
      </w:pPr>
      <w:r>
        <w:t>displacement tonneage</w:t>
      </w:r>
      <w:r>
        <w:tab/>
        <w:t>3</w:t>
      </w:r>
    </w:p>
    <w:p>
      <w:pPr>
        <w:pStyle w:val="DefinedTerms"/>
      </w:pPr>
      <w:r>
        <w:t>fee</w:t>
      </w:r>
      <w:r>
        <w:tab/>
        <w:t>3</w:t>
      </w:r>
    </w:p>
    <w:p>
      <w:pPr>
        <w:pStyle w:val="DefinedTerms"/>
      </w:pPr>
      <w:r>
        <w:t>mooring</w:t>
      </w:r>
      <w:r>
        <w:tab/>
        <w:t>3</w:t>
      </w:r>
    </w:p>
    <w:p>
      <w:pPr>
        <w:pStyle w:val="DefinedTerms"/>
      </w:pPr>
      <w:r>
        <w:t>mooring apparatus</w:t>
      </w:r>
      <w:r>
        <w:tab/>
        <w:t>2</w:t>
      </w:r>
    </w:p>
    <w:p>
      <w:pPr>
        <w:pStyle w:val="DefinedTerms"/>
      </w:pPr>
      <w:r>
        <w:t>person</w:t>
      </w:r>
      <w:r>
        <w:tab/>
        <w:t>3</w:t>
      </w:r>
    </w:p>
    <w:p>
      <w:pPr>
        <w:pStyle w:val="DefinedTerms"/>
      </w:pPr>
      <w:r>
        <w:t>registered owner</w:t>
      </w:r>
      <w:r>
        <w:tab/>
        <w:t>3</w:t>
      </w:r>
    </w:p>
    <w:p>
      <w:pPr>
        <w:pStyle w:val="DefinedTerms"/>
      </w:pPr>
      <w:r>
        <w:t>written instrument</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RuleResults&gt;&lt;/RuleResults&gt;"/>
    <w:docVar w:name="WAFER" w:val="20220405111318"/>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 w:name="WAFER_202204051113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1318_GUID" w:val="b1648c4f-79ae-46e8-8c5c-ca2fc8214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4101</Words>
  <Characters>20346</Characters>
  <Application>Microsoft Office Word</Application>
  <DocSecurity>0</DocSecurity>
  <Lines>581</Lines>
  <Paragraphs>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1983 - 01-f0-00</dc:title>
  <dc:subject/>
  <dc:creator/>
  <cp:keywords/>
  <dc:description/>
  <cp:lastModifiedBy>Master Repository Process</cp:lastModifiedBy>
  <cp:revision>4</cp:revision>
  <cp:lastPrinted>2003-08-05T02:03:00Z</cp:lastPrinted>
  <dcterms:created xsi:type="dcterms:W3CDTF">2022-04-07T07:49:00Z</dcterms:created>
  <dcterms:modified xsi:type="dcterms:W3CDTF">2022-04-07T07:49:00Z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AsAtDate">
    <vt:lpwstr>09 Apr 2022</vt:lpwstr>
  </property>
  <property fmtid="{D5CDD505-2E9C-101B-9397-08002B2CF9AE}" pid="6" name="Suffix">
    <vt:lpwstr>01-f0-00</vt:lpwstr>
  </property>
  <property fmtid="{D5CDD505-2E9C-101B-9397-08002B2CF9AE}" pid="7" name="CommencementDate">
    <vt:lpwstr>20220409</vt:lpwstr>
  </property>
</Properties>
</file>