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9" w:rsidRDefault="00AF2AF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3B6D89" w:rsidRDefault="00AF2AF3">
      <w:pPr>
        <w:pStyle w:val="PrincipalActReg"/>
        <w:spacing w:before="2400" w:after="0"/>
      </w:pPr>
      <w:r>
        <w:t>Telecommunications (Interception) Western Australia Act 1996</w:t>
      </w:r>
    </w:p>
    <w:p w:rsidR="003B6D89" w:rsidRDefault="00AF2AF3">
      <w:pPr>
        <w:pStyle w:val="NameofActReg"/>
        <w:spacing w:before="3760" w:after="4200"/>
      </w:pPr>
      <w:r>
        <w:rPr>
          <w:noProof/>
        </w:rPr>
        <w:t>Telecommunications (Interception) Western Australia Regulations 1996</w:t>
      </w:r>
    </w:p>
    <w:p w:rsidR="003B6D89" w:rsidRDefault="003B6D89">
      <w:pPr>
        <w:jc w:val="center"/>
        <w:rPr>
          <w:b/>
        </w:rPr>
        <w:sectPr w:rsidR="003B6D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3B6D89">
        <w:trPr>
          <w:cantSplit/>
        </w:trPr>
        <w:tc>
          <w:tcPr>
            <w:tcW w:w="2434" w:type="dxa"/>
            <w:vMerge w:val="restart"/>
          </w:tcPr>
          <w:p w:rsidR="003B6D89" w:rsidRDefault="003B6D89"/>
        </w:tc>
        <w:tc>
          <w:tcPr>
            <w:tcW w:w="2434" w:type="dxa"/>
            <w:vMerge w:val="restart"/>
          </w:tcPr>
          <w:p w:rsidR="003B6D89" w:rsidRDefault="003B6D89">
            <w:pPr>
              <w:jc w:val="center"/>
            </w:pPr>
          </w:p>
        </w:tc>
        <w:tc>
          <w:tcPr>
            <w:tcW w:w="2434" w:type="dxa"/>
          </w:tcPr>
          <w:p w:rsidR="003B6D89" w:rsidRDefault="003B6D89">
            <w:pPr>
              <w:rPr>
                <w:sz w:val="22"/>
              </w:rPr>
            </w:pPr>
          </w:p>
        </w:tc>
      </w:tr>
      <w:tr w:rsidR="003B6D89">
        <w:trPr>
          <w:cantSplit/>
        </w:trPr>
        <w:tc>
          <w:tcPr>
            <w:tcW w:w="2434" w:type="dxa"/>
            <w:vMerge/>
          </w:tcPr>
          <w:p w:rsidR="003B6D89" w:rsidRDefault="003B6D89"/>
        </w:tc>
        <w:tc>
          <w:tcPr>
            <w:tcW w:w="2434" w:type="dxa"/>
            <w:vMerge/>
          </w:tcPr>
          <w:p w:rsidR="003B6D89" w:rsidRDefault="003B6D89">
            <w:pPr>
              <w:jc w:val="center"/>
            </w:pPr>
          </w:p>
        </w:tc>
        <w:tc>
          <w:tcPr>
            <w:tcW w:w="2434" w:type="dxa"/>
          </w:tcPr>
          <w:p w:rsidR="003B6D89" w:rsidRDefault="00AF2AF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6 February 2004</w:t>
            </w:r>
          </w:p>
        </w:tc>
      </w:tr>
    </w:tbl>
    <w:p w:rsidR="003B6D89" w:rsidRDefault="00AF2AF3">
      <w:pPr>
        <w:pStyle w:val="WA"/>
        <w:spacing w:before="120"/>
      </w:pPr>
      <w:r>
        <w:t>Western Australia</w:t>
      </w:r>
    </w:p>
    <w:p w:rsidR="003B6D89" w:rsidRDefault="00AF2AF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C30C8">
        <w:rPr>
          <w:noProof/>
        </w:rPr>
        <w:t>Telecommunications (Interception) Western Australia Regulations 1996</w:t>
      </w:r>
      <w:r>
        <w:fldChar w:fldCharType="end"/>
      </w:r>
    </w:p>
    <w:p w:rsidR="003B6D89" w:rsidRDefault="00AF2AF3">
      <w:pPr>
        <w:pStyle w:val="Arrangement"/>
      </w:pPr>
      <w:r>
        <w:t>CONTENTS</w:t>
      </w:r>
    </w:p>
    <w:p w:rsidR="003B6D89" w:rsidRDefault="00AF2AF3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_Toc65992544 \h </w:instrText>
      </w:r>
      <w:r>
        <w:rPr>
          <w:noProof/>
        </w:rPr>
      </w:r>
      <w:r>
        <w:rPr>
          <w:noProof/>
        </w:rPr>
        <w:fldChar w:fldCharType="separate"/>
      </w:r>
      <w:r w:rsidR="001C30C8">
        <w:rPr>
          <w:noProof/>
        </w:rPr>
        <w:t>1</w:t>
      </w:r>
      <w:r>
        <w:rPr>
          <w:noProof/>
        </w:rPr>
        <w:fldChar w:fldCharType="end"/>
      </w:r>
    </w:p>
    <w:p w:rsidR="003B6D89" w:rsidRDefault="00AF2AF3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_Toc65992545 \h </w:instrText>
      </w:r>
      <w:r>
        <w:rPr>
          <w:noProof/>
        </w:rPr>
      </w:r>
      <w:r>
        <w:rPr>
          <w:noProof/>
        </w:rPr>
        <w:fldChar w:fldCharType="separate"/>
      </w:r>
      <w:r w:rsidR="001C30C8">
        <w:rPr>
          <w:noProof/>
        </w:rPr>
        <w:t>1</w:t>
      </w:r>
      <w:r>
        <w:rPr>
          <w:noProof/>
        </w:rPr>
        <w:fldChar w:fldCharType="end"/>
      </w:r>
    </w:p>
    <w:p w:rsidR="003B6D89" w:rsidRDefault="00AF2AF3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_Toc65992546 \h </w:instrText>
      </w:r>
      <w:r>
        <w:rPr>
          <w:noProof/>
        </w:rPr>
      </w:r>
      <w:r>
        <w:rPr>
          <w:noProof/>
        </w:rPr>
        <w:fldChar w:fldCharType="separate"/>
      </w:r>
      <w:r w:rsidR="001C30C8">
        <w:rPr>
          <w:noProof/>
        </w:rPr>
        <w:t>1</w:t>
      </w:r>
      <w:r>
        <w:rPr>
          <w:noProof/>
        </w:rPr>
        <w:fldChar w:fldCharType="end"/>
      </w:r>
    </w:p>
    <w:p w:rsidR="003B6D89" w:rsidRDefault="00AF2AF3">
      <w:pPr>
        <w:pStyle w:val="TOC4"/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Parliamentary Commissioner and officers of the Commissioner prescribed as inspecting officers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_Toc65992547 \h </w:instrText>
      </w:r>
      <w:r>
        <w:rPr>
          <w:noProof/>
        </w:rPr>
      </w:r>
      <w:r>
        <w:rPr>
          <w:noProof/>
        </w:rPr>
        <w:fldChar w:fldCharType="separate"/>
      </w:r>
      <w:r w:rsidR="001C30C8">
        <w:rPr>
          <w:noProof/>
        </w:rPr>
        <w:t>1</w:t>
      </w:r>
      <w:r>
        <w:rPr>
          <w:noProof/>
        </w:rPr>
        <w:fldChar w:fldCharType="end"/>
      </w:r>
    </w:p>
    <w:p w:rsidR="003B6D89" w:rsidRDefault="00AF2AF3">
      <w:pPr>
        <w:pStyle w:val="TOC4"/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Parliamentary Commissioner prescribed as principal inspector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_Toc65992548 \h </w:instrText>
      </w:r>
      <w:r>
        <w:rPr>
          <w:noProof/>
        </w:rPr>
      </w:r>
      <w:r>
        <w:rPr>
          <w:noProof/>
        </w:rPr>
        <w:fldChar w:fldCharType="separate"/>
      </w:r>
      <w:r w:rsidR="001C30C8">
        <w:rPr>
          <w:noProof/>
        </w:rPr>
        <w:t>2</w:t>
      </w:r>
      <w:r>
        <w:rPr>
          <w:noProof/>
        </w:rPr>
        <w:fldChar w:fldCharType="end"/>
      </w:r>
    </w:p>
    <w:p w:rsidR="003B6D89" w:rsidRDefault="00AF2AF3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3B6D89" w:rsidRDefault="00AF2AF3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_Toc65992549 \h </w:instrText>
      </w:r>
      <w:r>
        <w:rPr>
          <w:noProof/>
        </w:rPr>
      </w:r>
      <w:r>
        <w:rPr>
          <w:noProof/>
        </w:rPr>
        <w:fldChar w:fldCharType="separate"/>
      </w:r>
      <w:r w:rsidR="001C30C8">
        <w:rPr>
          <w:noProof/>
        </w:rPr>
        <w:t>3</w:t>
      </w:r>
      <w:r>
        <w:rPr>
          <w:noProof/>
        </w:rPr>
        <w:fldChar w:fldCharType="end"/>
      </w:r>
    </w:p>
    <w:p w:rsidR="003B6D89" w:rsidRDefault="00AF2AF3">
      <w:pPr>
        <w:pStyle w:val="TOC2"/>
      </w:pPr>
      <w:r>
        <w:fldChar w:fldCharType="end"/>
      </w:r>
    </w:p>
    <w:p w:rsidR="003B6D89" w:rsidRDefault="00AF2AF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B6D89" w:rsidRDefault="003B6D89">
      <w:pPr>
        <w:pStyle w:val="NoteHeading"/>
        <w:sectPr w:rsidR="003B6D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3B6D89">
        <w:trPr>
          <w:cantSplit/>
        </w:trPr>
        <w:tc>
          <w:tcPr>
            <w:tcW w:w="2434" w:type="dxa"/>
            <w:vMerge w:val="restart"/>
          </w:tcPr>
          <w:p w:rsidR="003B6D89" w:rsidRDefault="003B6D89"/>
        </w:tc>
        <w:tc>
          <w:tcPr>
            <w:tcW w:w="2434" w:type="dxa"/>
            <w:vMerge w:val="restart"/>
          </w:tcPr>
          <w:p w:rsidR="003B6D89" w:rsidRDefault="00AF2AF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1805"/>
                  <wp:effectExtent l="0" t="0" r="0" b="444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3B6D89" w:rsidRDefault="003B6D89">
            <w:pPr>
              <w:rPr>
                <w:sz w:val="22"/>
              </w:rPr>
            </w:pPr>
          </w:p>
        </w:tc>
      </w:tr>
      <w:tr w:rsidR="003B6D89">
        <w:trPr>
          <w:cantSplit/>
        </w:trPr>
        <w:tc>
          <w:tcPr>
            <w:tcW w:w="2434" w:type="dxa"/>
            <w:vMerge/>
          </w:tcPr>
          <w:p w:rsidR="003B6D89" w:rsidRDefault="003B6D89"/>
        </w:tc>
        <w:tc>
          <w:tcPr>
            <w:tcW w:w="2434" w:type="dxa"/>
            <w:vMerge/>
          </w:tcPr>
          <w:p w:rsidR="003B6D89" w:rsidRDefault="003B6D89">
            <w:pPr>
              <w:jc w:val="center"/>
            </w:pPr>
          </w:p>
        </w:tc>
        <w:tc>
          <w:tcPr>
            <w:tcW w:w="2434" w:type="dxa"/>
          </w:tcPr>
          <w:p w:rsidR="003B6D89" w:rsidRDefault="00AF2AF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6</w:t>
            </w:r>
            <w:r>
              <w:rPr>
                <w:b/>
                <w:snapToGrid w:val="0"/>
                <w:sz w:val="22"/>
              </w:rPr>
              <w:t xml:space="preserve"> February 2004</w:t>
            </w:r>
          </w:p>
        </w:tc>
      </w:tr>
    </w:tbl>
    <w:p w:rsidR="003B6D89" w:rsidRDefault="00AF2AF3">
      <w:pPr>
        <w:pStyle w:val="WA"/>
        <w:spacing w:before="120"/>
      </w:pPr>
      <w:r>
        <w:t>Western Australia</w:t>
      </w:r>
    </w:p>
    <w:p w:rsidR="003B6D89" w:rsidRDefault="00AF2AF3">
      <w:pPr>
        <w:pStyle w:val="PrincipalActReg"/>
      </w:pPr>
      <w:r>
        <w:t>Telecommunications (Interception) Western Australia Act 1996</w:t>
      </w:r>
    </w:p>
    <w:p w:rsidR="003B6D89" w:rsidRDefault="00AF2AF3">
      <w:pPr>
        <w:pStyle w:val="NameofActReg"/>
      </w:pPr>
      <w:r>
        <w:t>Telecommunications (Interception) Western Australia Regulations 1996</w:t>
      </w:r>
    </w:p>
    <w:p w:rsidR="003B6D89" w:rsidRDefault="00AF2AF3">
      <w:pPr>
        <w:pStyle w:val="Heading5"/>
        <w:rPr>
          <w:snapToGrid w:val="0"/>
        </w:rPr>
      </w:pPr>
      <w:bookmarkStart w:id="1" w:name="_Toc429799253"/>
      <w:bookmarkStart w:id="2" w:name="_Toc6599254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3B6D89" w:rsidRDefault="00AF2AF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Telecommunications (Interception) Western Australia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B6D89" w:rsidRDefault="00AF2AF3">
      <w:pPr>
        <w:pStyle w:val="Heading5"/>
        <w:rPr>
          <w:snapToGrid w:val="0"/>
        </w:rPr>
      </w:pPr>
      <w:bookmarkStart w:id="3" w:name="_Toc429799254"/>
      <w:bookmarkStart w:id="4" w:name="_Toc6599254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3B6D89" w:rsidRDefault="00AF2AF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Telecommunications (Interception) Western Australia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B6D89" w:rsidRDefault="00AF2AF3">
      <w:pPr>
        <w:pStyle w:val="Heading5"/>
        <w:rPr>
          <w:snapToGrid w:val="0"/>
        </w:rPr>
      </w:pPr>
      <w:bookmarkStart w:id="5" w:name="_Toc429799255"/>
      <w:bookmarkStart w:id="6" w:name="_Toc659925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 w:rsidR="003B6D89" w:rsidRDefault="00AF2AF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3B6D89" w:rsidRDefault="00AF2AF3">
      <w:pPr>
        <w:pStyle w:val="Defstart"/>
      </w:pPr>
      <w:r>
        <w:rPr>
          <w:b/>
        </w:rPr>
        <w:tab/>
      </w:r>
      <w:r>
        <w:rPr>
          <w:rStyle w:val="CharDefText"/>
        </w:rPr>
        <w:t>officer of the Commissioner</w:t>
      </w:r>
      <w:r>
        <w:t xml:space="preserve"> and </w:t>
      </w:r>
      <w:r>
        <w:rPr>
          <w:rStyle w:val="CharDefText"/>
        </w:rPr>
        <w:t>Parliamentary Commissioner</w:t>
      </w:r>
      <w:r>
        <w:t xml:space="preserve"> have the meanings given in section 19 of the Act.</w:t>
      </w:r>
    </w:p>
    <w:p w:rsidR="003B6D89" w:rsidRDefault="00AF2AF3">
      <w:pPr>
        <w:pStyle w:val="Heading5"/>
        <w:rPr>
          <w:snapToGrid w:val="0"/>
        </w:rPr>
      </w:pPr>
      <w:bookmarkStart w:id="7" w:name="_Toc429799256"/>
      <w:bookmarkStart w:id="8" w:name="_Toc6599254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and officers of the Commissioner prescribed as inspecting officers</w:t>
      </w:r>
      <w:bookmarkEnd w:id="7"/>
      <w:bookmarkEnd w:id="8"/>
      <w:r>
        <w:rPr>
          <w:snapToGrid w:val="0"/>
        </w:rPr>
        <w:t xml:space="preserve"> </w:t>
      </w:r>
    </w:p>
    <w:p w:rsidR="003B6D89" w:rsidRDefault="00AF2AF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Parliamentary Commissioner is an inspecting officer for the purposes of the Act.</w:t>
      </w:r>
    </w:p>
    <w:p w:rsidR="003B6D89" w:rsidRDefault="00AF2AF3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Each officer of the Commissioner is an inspecting officer for the purposes of the Act.</w:t>
      </w:r>
    </w:p>
    <w:p w:rsidR="003B6D89" w:rsidRDefault="00AF2AF3">
      <w:pPr>
        <w:pStyle w:val="Heading5"/>
        <w:rPr>
          <w:snapToGrid w:val="0"/>
        </w:rPr>
      </w:pPr>
      <w:bookmarkStart w:id="9" w:name="_Toc429799257"/>
      <w:bookmarkStart w:id="10" w:name="_Toc6599254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Parliamentary Commissioner prescribed as principal inspector</w:t>
      </w:r>
      <w:bookmarkEnd w:id="9"/>
      <w:bookmarkEnd w:id="10"/>
      <w:r>
        <w:rPr>
          <w:snapToGrid w:val="0"/>
        </w:rPr>
        <w:t xml:space="preserve"> </w:t>
      </w:r>
    </w:p>
    <w:p w:rsidR="003B6D89" w:rsidRDefault="00AF2AF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Parliamentary Commissioner is the principal inspector for the purposes of the Act.</w:t>
      </w:r>
    </w:p>
    <w:p w:rsidR="003B6D89" w:rsidRDefault="003B6D89">
      <w:pPr>
        <w:rPr>
          <w:rStyle w:val="CharDivText"/>
        </w:rPr>
        <w:sectPr w:rsidR="003B6D8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B6D89" w:rsidRDefault="00AF2AF3">
      <w:pPr>
        <w:pStyle w:val="nHeading2"/>
      </w:pPr>
      <w:r>
        <w:lastRenderedPageBreak/>
        <w:t>Notes</w:t>
      </w:r>
    </w:p>
    <w:p w:rsidR="003B6D89" w:rsidRDefault="00AF2AF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6 February 2004 of the </w:t>
      </w:r>
      <w:r>
        <w:rPr>
          <w:i/>
          <w:noProof/>
          <w:snapToGrid w:val="0"/>
        </w:rPr>
        <w:t>Telecommunications (Interception) Western Australia Regulations 1996</w:t>
      </w:r>
      <w:r>
        <w:rPr>
          <w:snapToGrid w:val="0"/>
        </w:rPr>
        <w:t xml:space="preserve">.  The following table contains information about these regulations and any reprint. </w:t>
      </w:r>
    </w:p>
    <w:p w:rsidR="003B6D89" w:rsidRDefault="00AF2AF3">
      <w:pPr>
        <w:pStyle w:val="nHeading3"/>
        <w:rPr>
          <w:snapToGrid w:val="0"/>
        </w:rPr>
      </w:pPr>
      <w:bookmarkStart w:id="11" w:name="_Toc65992549"/>
      <w:r>
        <w:rPr>
          <w:snapToGrid w:val="0"/>
        </w:rPr>
        <w:t>Compilation table</w:t>
      </w:r>
      <w:bookmarkEnd w:id="11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B6D89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B6D89" w:rsidRDefault="00AF2AF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B6D89" w:rsidRDefault="00AF2AF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B6D89" w:rsidRDefault="00AF2AF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B6D89">
        <w:tc>
          <w:tcPr>
            <w:tcW w:w="3118" w:type="dxa"/>
            <w:tcBorders>
              <w:top w:val="nil"/>
              <w:bottom w:val="nil"/>
            </w:tcBorders>
          </w:tcPr>
          <w:p w:rsidR="003B6D89" w:rsidRDefault="00AF2AF3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Telecommunications (Interception) Western Australia Regulations 1996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6D89" w:rsidRDefault="00AF2AF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1996 p. 7146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6D89" w:rsidRDefault="00AF2AF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25 Dec 1996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Dec 1996 p. 7099)</w:t>
            </w:r>
          </w:p>
        </w:tc>
      </w:tr>
      <w:tr w:rsidR="003B6D89"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 w:rsidR="003B6D89" w:rsidRDefault="00AF2AF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Telecommunications (Interception) Western Australia Regulations 1996</w:t>
            </w:r>
            <w:r>
              <w:rPr>
                <w:b/>
                <w:sz w:val="19"/>
              </w:rPr>
              <w:t xml:space="preserve"> as at 6 Feb 2004</w:t>
            </w:r>
          </w:p>
        </w:tc>
      </w:tr>
    </w:tbl>
    <w:p w:rsidR="003B6D89" w:rsidRDefault="003B6D89"/>
    <w:p w:rsidR="003B6D89" w:rsidRDefault="003B6D89">
      <w:pPr>
        <w:sectPr w:rsidR="003B6D89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B6D89" w:rsidRDefault="003B6D89"/>
    <w:sectPr w:rsidR="003B6D89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89" w:rsidRDefault="00AF2AF3">
      <w:r>
        <w:separator/>
      </w:r>
    </w:p>
  </w:endnote>
  <w:endnote w:type="continuationSeparator" w:id="0">
    <w:p w:rsidR="003B6D89" w:rsidRDefault="00AF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C30C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B6D89" w:rsidRDefault="00AF2AF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C30C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C30C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B6D89" w:rsidRDefault="00AF2AF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Footer"/>
      <w:tabs>
        <w:tab w:val="clear" w:pos="4153"/>
        <w:tab w:val="right" w:pos="7088"/>
      </w:tabs>
      <w:rPr>
        <w:rStyle w:val="PageNumber"/>
      </w:rPr>
    </w:pPr>
  </w:p>
  <w:p w:rsidR="003B6D89" w:rsidRDefault="00AF2AF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06 Feb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C30C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C30C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B6D89" w:rsidRDefault="00AF2AF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89" w:rsidRDefault="00AF2AF3">
      <w:r>
        <w:separator/>
      </w:r>
    </w:p>
  </w:footnote>
  <w:footnote w:type="continuationSeparator" w:id="0">
    <w:p w:rsidR="003B6D89" w:rsidRDefault="00AF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B6D89">
      <w:trPr>
        <w:cantSplit/>
      </w:trPr>
      <w:tc>
        <w:tcPr>
          <w:tcW w:w="7312" w:type="dxa"/>
          <w:gridSpan w:val="2"/>
        </w:tcPr>
        <w:p w:rsidR="003B6D89" w:rsidRDefault="00AF2AF3">
          <w:pPr>
            <w:pStyle w:val="HeaderActNameLeft"/>
          </w:pPr>
          <w:fldSimple w:instr=" Styleref &quot;Name of Act/Reg&quot; ">
            <w:r w:rsidR="001C30C8">
              <w:rPr>
                <w:noProof/>
              </w:rPr>
              <w:t>Telecommunications (Interception) Western Australia Regulations 1996</w:t>
            </w:r>
          </w:fldSimple>
        </w:p>
      </w:tc>
    </w:tr>
    <w:tr w:rsidR="003B6D89">
      <w:tc>
        <w:tcPr>
          <w:tcW w:w="1548" w:type="dxa"/>
        </w:tcPr>
        <w:p w:rsidR="003B6D89" w:rsidRDefault="003B6D89">
          <w:pPr>
            <w:pStyle w:val="HeaderNumberLeft"/>
          </w:pPr>
        </w:p>
      </w:tc>
      <w:tc>
        <w:tcPr>
          <w:tcW w:w="5764" w:type="dxa"/>
        </w:tcPr>
        <w:p w:rsidR="003B6D89" w:rsidRDefault="003B6D89">
          <w:pPr>
            <w:pStyle w:val="HeaderTextLeft"/>
          </w:pPr>
        </w:p>
      </w:tc>
    </w:tr>
    <w:tr w:rsidR="003B6D89">
      <w:tc>
        <w:tcPr>
          <w:tcW w:w="1548" w:type="dxa"/>
        </w:tcPr>
        <w:p w:rsidR="003B6D89" w:rsidRDefault="003B6D89">
          <w:pPr>
            <w:pStyle w:val="HeaderNumberLeft"/>
          </w:pPr>
        </w:p>
      </w:tc>
      <w:tc>
        <w:tcPr>
          <w:tcW w:w="5764" w:type="dxa"/>
        </w:tcPr>
        <w:p w:rsidR="003B6D89" w:rsidRDefault="003B6D89">
          <w:pPr>
            <w:pStyle w:val="HeaderTextLeft"/>
          </w:pPr>
        </w:p>
      </w:tc>
    </w:tr>
    <w:tr w:rsidR="003B6D89">
      <w:trPr>
        <w:cantSplit/>
      </w:trPr>
      <w:tc>
        <w:tcPr>
          <w:tcW w:w="7312" w:type="dxa"/>
          <w:gridSpan w:val="2"/>
        </w:tcPr>
        <w:p w:rsidR="003B6D89" w:rsidRDefault="003B6D89">
          <w:pPr>
            <w:pStyle w:val="HeaderSectionLeft"/>
          </w:pPr>
        </w:p>
      </w:tc>
    </w:tr>
  </w:tbl>
  <w:p w:rsidR="003B6D89" w:rsidRDefault="003B6D8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B6D89">
      <w:trPr>
        <w:cantSplit/>
      </w:trPr>
      <w:tc>
        <w:tcPr>
          <w:tcW w:w="7263" w:type="dxa"/>
          <w:gridSpan w:val="2"/>
        </w:tcPr>
        <w:p w:rsidR="003B6D89" w:rsidRDefault="00AF2AF3">
          <w:pPr>
            <w:pStyle w:val="HeaderActNameRight"/>
            <w:ind w:right="17"/>
          </w:pPr>
          <w:fldSimple w:instr=" Styleref &quot;Name of Act/Reg&quot; ">
            <w:r w:rsidR="001C30C8">
              <w:rPr>
                <w:noProof/>
              </w:rPr>
              <w:t>Telecommunications (Interception) Western Australia Regulations 1996</w:t>
            </w:r>
          </w:fldSimple>
        </w:p>
      </w:tc>
    </w:tr>
    <w:tr w:rsidR="003B6D89">
      <w:tc>
        <w:tcPr>
          <w:tcW w:w="5715" w:type="dxa"/>
        </w:tcPr>
        <w:p w:rsidR="003B6D89" w:rsidRDefault="003B6D89">
          <w:pPr>
            <w:pStyle w:val="HeaderTextRight"/>
          </w:pPr>
        </w:p>
      </w:tc>
      <w:tc>
        <w:tcPr>
          <w:tcW w:w="1548" w:type="dxa"/>
        </w:tcPr>
        <w:p w:rsidR="003B6D89" w:rsidRDefault="003B6D89">
          <w:pPr>
            <w:pStyle w:val="HeaderNumberRight"/>
            <w:ind w:right="17"/>
          </w:pPr>
        </w:p>
      </w:tc>
    </w:tr>
    <w:tr w:rsidR="003B6D89">
      <w:tc>
        <w:tcPr>
          <w:tcW w:w="5715" w:type="dxa"/>
        </w:tcPr>
        <w:p w:rsidR="003B6D89" w:rsidRDefault="003B6D89">
          <w:pPr>
            <w:pStyle w:val="HeaderTextRight"/>
          </w:pPr>
        </w:p>
      </w:tc>
      <w:tc>
        <w:tcPr>
          <w:tcW w:w="1548" w:type="dxa"/>
        </w:tcPr>
        <w:p w:rsidR="003B6D89" w:rsidRDefault="003B6D89">
          <w:pPr>
            <w:pStyle w:val="HeaderNumberRight"/>
            <w:ind w:right="17"/>
          </w:pPr>
        </w:p>
      </w:tc>
    </w:tr>
    <w:tr w:rsidR="003B6D89">
      <w:trPr>
        <w:cantSplit/>
      </w:trPr>
      <w:tc>
        <w:tcPr>
          <w:tcW w:w="7263" w:type="dxa"/>
          <w:gridSpan w:val="2"/>
        </w:tcPr>
        <w:p w:rsidR="003B6D89" w:rsidRDefault="003B6D89">
          <w:pPr>
            <w:pStyle w:val="HeaderSectionRight"/>
            <w:ind w:right="17"/>
          </w:pPr>
        </w:p>
      </w:tc>
    </w:tr>
  </w:tbl>
  <w:p w:rsidR="003B6D89" w:rsidRDefault="003B6D89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AF2AF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C30C8">
      <w:rPr>
        <w:i/>
        <w:noProof/>
      </w:rPr>
      <w:t>Telecommunications (Interception) Western Australia Regulations 1996</w:t>
    </w:r>
    <w:r>
      <w:rPr>
        <w:i/>
      </w:rPr>
      <w:fldChar w:fldCharType="end"/>
    </w:r>
  </w:p>
  <w:p w:rsidR="003B6D89" w:rsidRDefault="003B6D89">
    <w:pPr>
      <w:pStyle w:val="headerpartodd"/>
      <w:ind w:left="0" w:firstLine="0"/>
      <w:rPr>
        <w:b w:val="0"/>
        <w:i/>
      </w:rPr>
    </w:pPr>
  </w:p>
  <w:p w:rsidR="003B6D89" w:rsidRDefault="003B6D89">
    <w:pPr>
      <w:pStyle w:val="headerpart"/>
    </w:pPr>
  </w:p>
  <w:p w:rsidR="003B6D89" w:rsidRDefault="003B6D89">
    <w:pPr>
      <w:pStyle w:val="headerpart"/>
    </w:pPr>
  </w:p>
  <w:p w:rsidR="003B6D89" w:rsidRDefault="003B6D89">
    <w:pPr>
      <w:pBdr>
        <w:bottom w:val="single" w:sz="6" w:space="1" w:color="auto"/>
      </w:pBdr>
      <w:rPr>
        <w:b/>
      </w:rPr>
    </w:pPr>
  </w:p>
  <w:p w:rsidR="003B6D89" w:rsidRDefault="003B6D89"/>
  <w:p w:rsidR="003B6D89" w:rsidRDefault="003B6D8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AF2AF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C30C8">
      <w:rPr>
        <w:i/>
        <w:noProof/>
      </w:rPr>
      <w:t>Telecommunications (Interception) Western Australia Regulations 1996</w:t>
    </w:r>
    <w:r>
      <w:rPr>
        <w:i/>
      </w:rPr>
      <w:fldChar w:fldCharType="end"/>
    </w:r>
  </w:p>
  <w:p w:rsidR="003B6D89" w:rsidRDefault="003B6D89">
    <w:pPr>
      <w:pStyle w:val="headerpartodd"/>
      <w:ind w:left="0" w:firstLine="0"/>
      <w:jc w:val="right"/>
      <w:rPr>
        <w:b w:val="0"/>
        <w:i/>
      </w:rPr>
    </w:pPr>
  </w:p>
  <w:p w:rsidR="003B6D89" w:rsidRDefault="003B6D89">
    <w:pPr>
      <w:pStyle w:val="headerpart"/>
      <w:jc w:val="right"/>
    </w:pPr>
  </w:p>
  <w:p w:rsidR="003B6D89" w:rsidRDefault="003B6D89">
    <w:pPr>
      <w:pStyle w:val="headerpart"/>
      <w:jc w:val="right"/>
    </w:pPr>
  </w:p>
  <w:p w:rsidR="003B6D89" w:rsidRDefault="003B6D89">
    <w:pPr>
      <w:pBdr>
        <w:bottom w:val="single" w:sz="6" w:space="1" w:color="auto"/>
      </w:pBdr>
      <w:jc w:val="right"/>
      <w:rPr>
        <w:b/>
      </w:rPr>
    </w:pPr>
  </w:p>
  <w:p w:rsidR="003B6D89" w:rsidRDefault="003B6D89"/>
  <w:p w:rsidR="003B6D89" w:rsidRDefault="003B6D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B6D89">
      <w:trPr>
        <w:cantSplit/>
      </w:trPr>
      <w:tc>
        <w:tcPr>
          <w:tcW w:w="7312" w:type="dxa"/>
          <w:gridSpan w:val="2"/>
        </w:tcPr>
        <w:p w:rsidR="003B6D89" w:rsidRDefault="00AF2AF3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1C30C8">
            <w:rPr>
              <w:i w:val="0"/>
              <w:noProof/>
            </w:rPr>
            <w:t>Telecommunications (Interception) Western Australia Regulations 1996</w:t>
          </w:r>
          <w:r>
            <w:rPr>
              <w:i w:val="0"/>
            </w:rPr>
            <w:fldChar w:fldCharType="end"/>
          </w:r>
        </w:p>
      </w:tc>
    </w:tr>
    <w:tr w:rsidR="003B6D89">
      <w:tc>
        <w:tcPr>
          <w:tcW w:w="1548" w:type="dxa"/>
        </w:tcPr>
        <w:p w:rsidR="003B6D89" w:rsidRDefault="003B6D89">
          <w:pPr>
            <w:pStyle w:val="HeaderNumberLeft"/>
          </w:pPr>
        </w:p>
      </w:tc>
      <w:tc>
        <w:tcPr>
          <w:tcW w:w="5764" w:type="dxa"/>
        </w:tcPr>
        <w:p w:rsidR="003B6D89" w:rsidRDefault="003B6D89">
          <w:pPr>
            <w:pStyle w:val="HeaderTextLeft"/>
          </w:pPr>
        </w:p>
      </w:tc>
    </w:tr>
    <w:tr w:rsidR="003B6D89">
      <w:tc>
        <w:tcPr>
          <w:tcW w:w="1548" w:type="dxa"/>
        </w:tcPr>
        <w:p w:rsidR="003B6D89" w:rsidRDefault="003B6D89">
          <w:pPr>
            <w:pStyle w:val="HeaderNumberLeft"/>
          </w:pPr>
        </w:p>
      </w:tc>
      <w:tc>
        <w:tcPr>
          <w:tcW w:w="5764" w:type="dxa"/>
        </w:tcPr>
        <w:p w:rsidR="003B6D89" w:rsidRDefault="003B6D89">
          <w:pPr>
            <w:pStyle w:val="HeaderTextLeft"/>
          </w:pPr>
        </w:p>
      </w:tc>
    </w:tr>
    <w:tr w:rsidR="003B6D89">
      <w:trPr>
        <w:cantSplit/>
      </w:trPr>
      <w:tc>
        <w:tcPr>
          <w:tcW w:w="7312" w:type="dxa"/>
          <w:gridSpan w:val="2"/>
        </w:tcPr>
        <w:p w:rsidR="003B6D89" w:rsidRDefault="003B6D89">
          <w:pPr>
            <w:pStyle w:val="HeaderSectionLeft"/>
          </w:pPr>
        </w:p>
      </w:tc>
    </w:tr>
  </w:tbl>
  <w:p w:rsidR="003B6D89" w:rsidRDefault="003B6D8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B6D89">
      <w:trPr>
        <w:cantSplit/>
      </w:trPr>
      <w:tc>
        <w:tcPr>
          <w:tcW w:w="7312" w:type="dxa"/>
          <w:gridSpan w:val="2"/>
        </w:tcPr>
        <w:p w:rsidR="003B6D89" w:rsidRDefault="00AF2AF3">
          <w:pPr>
            <w:pStyle w:val="HeaderActNameRight"/>
          </w:pPr>
          <w:fldSimple w:instr=" Styleref &quot;Name of Act/Reg&quot; ">
            <w:r w:rsidR="001C30C8">
              <w:rPr>
                <w:noProof/>
              </w:rPr>
              <w:t>Telecommunications (Interception) Western Australia Regulations 1996</w:t>
            </w:r>
          </w:fldSimple>
        </w:p>
      </w:tc>
    </w:tr>
    <w:tr w:rsidR="003B6D89">
      <w:tc>
        <w:tcPr>
          <w:tcW w:w="5760" w:type="dxa"/>
        </w:tcPr>
        <w:p w:rsidR="003B6D89" w:rsidRDefault="003B6D89">
          <w:pPr>
            <w:pStyle w:val="HeaderTextRight"/>
          </w:pPr>
        </w:p>
      </w:tc>
      <w:tc>
        <w:tcPr>
          <w:tcW w:w="1552" w:type="dxa"/>
        </w:tcPr>
        <w:p w:rsidR="003B6D89" w:rsidRDefault="003B6D89">
          <w:pPr>
            <w:pStyle w:val="HeaderNumberRight"/>
          </w:pPr>
        </w:p>
      </w:tc>
    </w:tr>
    <w:tr w:rsidR="003B6D89">
      <w:tc>
        <w:tcPr>
          <w:tcW w:w="5760" w:type="dxa"/>
        </w:tcPr>
        <w:p w:rsidR="003B6D89" w:rsidRDefault="003B6D89">
          <w:pPr>
            <w:pStyle w:val="HeaderTextRight"/>
          </w:pPr>
        </w:p>
      </w:tc>
      <w:tc>
        <w:tcPr>
          <w:tcW w:w="1552" w:type="dxa"/>
        </w:tcPr>
        <w:p w:rsidR="003B6D89" w:rsidRDefault="003B6D89">
          <w:pPr>
            <w:pStyle w:val="HeaderNumberRight"/>
          </w:pPr>
        </w:p>
      </w:tc>
    </w:tr>
    <w:tr w:rsidR="003B6D89">
      <w:trPr>
        <w:cantSplit/>
      </w:trPr>
      <w:tc>
        <w:tcPr>
          <w:tcW w:w="7312" w:type="dxa"/>
          <w:gridSpan w:val="2"/>
        </w:tcPr>
        <w:p w:rsidR="003B6D89" w:rsidRDefault="003B6D89">
          <w:pPr>
            <w:pStyle w:val="HeaderSectionRight"/>
          </w:pPr>
        </w:p>
      </w:tc>
    </w:tr>
  </w:tbl>
  <w:p w:rsidR="003B6D89" w:rsidRDefault="003B6D8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B6D89">
      <w:trPr>
        <w:cantSplit/>
      </w:trPr>
      <w:tc>
        <w:tcPr>
          <w:tcW w:w="7263" w:type="dxa"/>
          <w:gridSpan w:val="2"/>
        </w:tcPr>
        <w:p w:rsidR="003B6D89" w:rsidRDefault="00AF2AF3">
          <w:pPr>
            <w:pStyle w:val="HeaderActNameLeft"/>
          </w:pPr>
          <w:fldSimple w:instr=" Styleref &quot;Name of Act/Reg&quot; ">
            <w:r w:rsidR="001C30C8">
              <w:rPr>
                <w:noProof/>
              </w:rPr>
              <w:t>Telecommunications (Interception) Western Australia Regulations 1996</w:t>
            </w:r>
          </w:fldSimple>
        </w:p>
      </w:tc>
    </w:tr>
    <w:tr w:rsidR="003B6D89">
      <w:tc>
        <w:tcPr>
          <w:tcW w:w="1548" w:type="dxa"/>
        </w:tcPr>
        <w:p w:rsidR="003B6D89" w:rsidRDefault="00AF2AF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3B6D89" w:rsidRDefault="00AF2AF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B6D89">
      <w:tc>
        <w:tcPr>
          <w:tcW w:w="1548" w:type="dxa"/>
        </w:tcPr>
        <w:p w:rsidR="003B6D89" w:rsidRDefault="00AF2AF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B6D89" w:rsidRDefault="00AF2AF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B6D89">
      <w:trPr>
        <w:cantSplit/>
      </w:trPr>
      <w:tc>
        <w:tcPr>
          <w:tcW w:w="7263" w:type="dxa"/>
          <w:gridSpan w:val="2"/>
        </w:tcPr>
        <w:p w:rsidR="003B6D89" w:rsidRDefault="00AF2AF3">
          <w:pPr>
            <w:pStyle w:val="HeaderSectionLeft"/>
          </w:pPr>
          <w:r>
            <w:t xml:space="preserve">r. </w:t>
          </w:r>
          <w:fldSimple w:instr=" styleref CharSectno ">
            <w:r w:rsidR="001C30C8">
              <w:rPr>
                <w:noProof/>
              </w:rPr>
              <w:t>1</w:t>
            </w:r>
          </w:fldSimple>
        </w:p>
      </w:tc>
    </w:tr>
  </w:tbl>
  <w:p w:rsidR="003B6D89" w:rsidRDefault="003B6D8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B6D89">
      <w:trPr>
        <w:cantSplit/>
      </w:trPr>
      <w:tc>
        <w:tcPr>
          <w:tcW w:w="7312" w:type="dxa"/>
          <w:gridSpan w:val="2"/>
        </w:tcPr>
        <w:p w:rsidR="003B6D89" w:rsidRDefault="00AF2AF3">
          <w:pPr>
            <w:pStyle w:val="HeaderActNameRight"/>
          </w:pPr>
          <w:fldSimple w:instr=" Styleref &quot;Name of Act/Reg&quot; ">
            <w:r w:rsidR="001C30C8">
              <w:rPr>
                <w:noProof/>
              </w:rPr>
              <w:t>Telecommunications (Interception) Western Australia Regulations 1996</w:t>
            </w:r>
          </w:fldSimple>
        </w:p>
      </w:tc>
    </w:tr>
    <w:tr w:rsidR="003B6D89">
      <w:tc>
        <w:tcPr>
          <w:tcW w:w="5985" w:type="dxa"/>
        </w:tcPr>
        <w:p w:rsidR="003B6D89" w:rsidRDefault="00AF2AF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B6D89" w:rsidRDefault="00AF2AF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B6D89">
      <w:tc>
        <w:tcPr>
          <w:tcW w:w="5985" w:type="dxa"/>
        </w:tcPr>
        <w:p w:rsidR="003B6D89" w:rsidRDefault="00AF2AF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B6D89" w:rsidRDefault="00AF2AF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B6D89">
      <w:trPr>
        <w:cantSplit/>
      </w:trPr>
      <w:tc>
        <w:tcPr>
          <w:tcW w:w="7312" w:type="dxa"/>
          <w:gridSpan w:val="2"/>
        </w:tcPr>
        <w:p w:rsidR="003B6D89" w:rsidRDefault="00AF2AF3">
          <w:pPr>
            <w:pStyle w:val="HeaderSectionRight"/>
          </w:pPr>
          <w:r>
            <w:t xml:space="preserve">s. </w:t>
          </w:r>
          <w:fldSimple w:instr=" styleref CharSectno ">
            <w:r w:rsidR="001C30C8">
              <w:rPr>
                <w:noProof/>
              </w:rPr>
              <w:t>1</w:t>
            </w:r>
          </w:fldSimple>
        </w:p>
      </w:tc>
    </w:tr>
  </w:tbl>
  <w:p w:rsidR="003B6D89" w:rsidRDefault="003B6D89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89" w:rsidRDefault="003B6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9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3"/>
    <w:rsid w:val="00117674"/>
    <w:rsid w:val="001C30C8"/>
    <w:rsid w:val="0027365E"/>
    <w:rsid w:val="003B6D89"/>
    <w:rsid w:val="00A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</Words>
  <Characters>2222</Characters>
  <Application>Microsoft Office Word</Application>
  <DocSecurity>0</DocSecurity>
  <Lines>101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2518</CharactersWithSpaces>
  <SharedDoc>false</SharedDoc>
  <HLinks>
    <vt:vector size="12" baseType="variant">
      <vt:variant>
        <vt:i4>65542</vt:i4>
      </vt:variant>
      <vt:variant>
        <vt:i4>1992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(Interception) Western Australia Regulations 1996 - 01-a0-05</dc:title>
  <dc:subject/>
  <dc:creator>David Harrold</dc:creator>
  <cp:keywords/>
  <cp:lastModifiedBy>svcMRProcess</cp:lastModifiedBy>
  <cp:revision>4</cp:revision>
  <cp:lastPrinted>2004-02-20T03:34:00Z</cp:lastPrinted>
  <dcterms:created xsi:type="dcterms:W3CDTF">2013-02-19T01:34:00Z</dcterms:created>
  <dcterms:modified xsi:type="dcterms:W3CDTF">2013-02-19T01:34:00Z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1996 p.7146</vt:lpwstr>
  </property>
  <property fmtid="{D5CDD505-2E9C-101B-9397-08002B2CF9AE}" pid="3" name="CommencementDate">
    <vt:lpwstr>20040206</vt:lpwstr>
  </property>
  <property fmtid="{D5CDD505-2E9C-101B-9397-08002B2CF9AE}" pid="4" name="DocumentType">
    <vt:lpwstr>Reg</vt:lpwstr>
  </property>
  <property fmtid="{D5CDD505-2E9C-101B-9397-08002B2CF9AE}" pid="5" name="OwlsUID">
    <vt:i4>4803</vt:i4>
  </property>
  <property fmtid="{D5CDD505-2E9C-101B-9397-08002B2CF9AE}" pid="6" name="AsAtDate">
    <vt:lpwstr>06 Feb 2004</vt:lpwstr>
  </property>
  <property fmtid="{D5CDD505-2E9C-101B-9397-08002B2CF9AE}" pid="7" name="Suffix">
    <vt:lpwstr>01-a0-05</vt:lpwstr>
  </property>
</Properties>
</file>