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Valuers Licensing Act 1978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Valuers Licensing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_Toc106096760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_Toc106096761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_Toc106096762 \h </w:instrText>
      </w:r>
      <w:r>
        <w:fldChar w:fldCharType="separate"/>
      </w:r>
      <w:r>
        <w:t>2</w:t>
      </w:r>
      <w:r>
        <w:fldChar w:fldCharType="end"/>
      </w:r>
    </w:p>
    <w:p>
      <w:pPr>
        <w:pStyle w:val="TOC8"/>
        <w:rPr>
          <w:rFonts w:asciiTheme="minorHAnsi" w:eastAsiaTheme="minorEastAsia" w:hAnsiTheme="minorHAnsi" w:cstheme="minorBidi"/>
          <w:szCs w:val="22"/>
        </w:rPr>
      </w:pPr>
      <w:r>
        <w:t>15.</w:t>
      </w:r>
      <w:r>
        <w:tab/>
        <w:t>Powers of investigation</w:t>
      </w:r>
      <w:r>
        <w:tab/>
      </w:r>
      <w:r>
        <w:fldChar w:fldCharType="begin"/>
      </w:r>
      <w:r>
        <w:instrText xml:space="preserve"> PAGEREF _Toc106096763 \h </w:instrText>
      </w:r>
      <w:r>
        <w:fldChar w:fldCharType="separate"/>
      </w:r>
      <w:r>
        <w:t>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Application for review by SAT of certain decisions under Part III</w:t>
      </w:r>
      <w:r>
        <w:tab/>
      </w:r>
      <w:r>
        <w:fldChar w:fldCharType="begin"/>
      </w:r>
      <w:r>
        <w:instrText xml:space="preserve"> PAGEREF _Toc106096764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III — Licensing</w:t>
      </w:r>
    </w:p>
    <w:p>
      <w:pPr>
        <w:pStyle w:val="TOC8"/>
        <w:rPr>
          <w:rFonts w:asciiTheme="minorHAnsi" w:eastAsiaTheme="minorEastAsia" w:hAnsiTheme="minorHAnsi" w:cstheme="minorBidi"/>
          <w:szCs w:val="22"/>
        </w:rPr>
      </w:pPr>
      <w:r>
        <w:t>17</w:t>
      </w:r>
      <w:r>
        <w:rPr>
          <w:snapToGrid w:val="0"/>
        </w:rPr>
        <w:t>.</w:t>
      </w:r>
      <w:r>
        <w:rPr>
          <w:snapToGrid w:val="0"/>
        </w:rPr>
        <w:tab/>
        <w:t>Applications for licences</w:t>
      </w:r>
      <w:r>
        <w:tab/>
      </w:r>
      <w:r>
        <w:fldChar w:fldCharType="begin"/>
      </w:r>
      <w:r>
        <w:instrText xml:space="preserve"> PAGEREF _Toc106096766 \h </w:instrText>
      </w:r>
      <w:r>
        <w:fldChar w:fldCharType="separate"/>
      </w:r>
      <w:r>
        <w:t>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Grant of licence</w:t>
      </w:r>
      <w:r>
        <w:tab/>
      </w:r>
      <w:r>
        <w:fldChar w:fldCharType="begin"/>
      </w:r>
      <w:r>
        <w:instrText xml:space="preserve"> PAGEREF _Toc106096767 \h </w:instrText>
      </w:r>
      <w:r>
        <w:fldChar w:fldCharType="separate"/>
      </w:r>
      <w:r>
        <w:t>5</w:t>
      </w:r>
      <w:r>
        <w:fldChar w:fldCharType="end"/>
      </w:r>
    </w:p>
    <w:p>
      <w:pPr>
        <w:pStyle w:val="TOC8"/>
        <w:rPr>
          <w:rFonts w:asciiTheme="minorHAnsi" w:eastAsiaTheme="minorEastAsia" w:hAnsiTheme="minorHAnsi" w:cstheme="minorBidi"/>
          <w:szCs w:val="22"/>
        </w:rPr>
      </w:pPr>
      <w:r>
        <w:t>19A.</w:t>
      </w:r>
      <w:r>
        <w:tab/>
        <w:t>Commissioner may grant licence without notice to applicant</w:t>
      </w:r>
      <w:r>
        <w:tab/>
      </w:r>
      <w:r>
        <w:fldChar w:fldCharType="begin"/>
      </w:r>
      <w:r>
        <w:instrText xml:space="preserve"> PAGEREF _Toc106096768 \h </w:instrText>
      </w:r>
      <w:r>
        <w:fldChar w:fldCharType="separate"/>
      </w:r>
      <w:r>
        <w:t>6</w:t>
      </w:r>
      <w:r>
        <w:fldChar w:fldCharType="end"/>
      </w:r>
    </w:p>
    <w:p>
      <w:pPr>
        <w:pStyle w:val="TOC8"/>
        <w:rPr>
          <w:rFonts w:asciiTheme="minorHAnsi" w:eastAsiaTheme="minorEastAsia" w:hAnsiTheme="minorHAnsi" w:cstheme="minorBidi"/>
          <w:szCs w:val="22"/>
        </w:rPr>
      </w:pPr>
      <w:r>
        <w:t>20A.</w:t>
      </w:r>
      <w:r>
        <w:tab/>
        <w:t>SAT may suspend licence in some cases</w:t>
      </w:r>
      <w:r>
        <w:tab/>
      </w:r>
      <w:r>
        <w:fldChar w:fldCharType="begin"/>
      </w:r>
      <w:r>
        <w:instrText xml:space="preserve"> PAGEREF _Toc106096769 \h </w:instrText>
      </w:r>
      <w:r>
        <w:fldChar w:fldCharType="separate"/>
      </w:r>
      <w:r>
        <w:t>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Expiry and surrender of licence</w:t>
      </w:r>
      <w:r>
        <w:tab/>
      </w:r>
      <w:r>
        <w:fldChar w:fldCharType="begin"/>
      </w:r>
      <w:r>
        <w:instrText xml:space="preserve"> PAGEREF _Toc106096770 \h </w:instrText>
      </w:r>
      <w:r>
        <w:fldChar w:fldCharType="separate"/>
      </w:r>
      <w:r>
        <w:t>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Renewal of licence</w:t>
      </w:r>
      <w:r>
        <w:tab/>
      </w:r>
      <w:r>
        <w:fldChar w:fldCharType="begin"/>
      </w:r>
      <w:r>
        <w:instrText xml:space="preserve"> PAGEREF _Toc106096771 \h </w:instrText>
      </w:r>
      <w:r>
        <w:fldChar w:fldCharType="separate"/>
      </w:r>
      <w:r>
        <w:t>7</w:t>
      </w:r>
      <w:r>
        <w:fldChar w:fldCharType="end"/>
      </w:r>
    </w:p>
    <w:p>
      <w:pPr>
        <w:pStyle w:val="TOC8"/>
        <w:rPr>
          <w:rFonts w:asciiTheme="minorHAnsi" w:eastAsiaTheme="minorEastAsia" w:hAnsiTheme="minorHAnsi" w:cstheme="minorBidi"/>
          <w:szCs w:val="22"/>
        </w:rPr>
      </w:pPr>
      <w:r>
        <w:t>23A.</w:t>
      </w:r>
      <w:r>
        <w:tab/>
        <w:t>Duplicate licence</w:t>
      </w:r>
      <w:r>
        <w:tab/>
      </w:r>
      <w:r>
        <w:fldChar w:fldCharType="begin"/>
      </w:r>
      <w:r>
        <w:instrText xml:space="preserve"> PAGEREF _Toc106096772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of the practice of valuation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23</w:t>
      </w:r>
      <w:r>
        <w:rPr>
          <w:snapToGrid w:val="0"/>
        </w:rPr>
        <w:t>.</w:t>
      </w:r>
      <w:r>
        <w:rPr>
          <w:snapToGrid w:val="0"/>
        </w:rPr>
        <w:tab/>
        <w:t>Valuers to be licensed</w:t>
      </w:r>
      <w:r>
        <w:tab/>
      </w:r>
      <w:r>
        <w:fldChar w:fldCharType="begin"/>
      </w:r>
      <w:r>
        <w:instrText xml:space="preserve"> PAGEREF _Toc106096775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False claim of being licensed</w:t>
      </w:r>
      <w:r>
        <w:tab/>
      </w:r>
      <w:r>
        <w:fldChar w:fldCharType="begin"/>
      </w:r>
      <w:r>
        <w:instrText xml:space="preserve"> PAGEREF _Toc106096776 \h </w:instrText>
      </w:r>
      <w:r>
        <w:fldChar w:fldCharType="separate"/>
      </w:r>
      <w:r>
        <w:t>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Remuneration of licensed valuers</w:t>
      </w:r>
      <w:r>
        <w:tab/>
      </w:r>
      <w:r>
        <w:fldChar w:fldCharType="begin"/>
      </w:r>
      <w:r>
        <w:instrText xml:space="preserve"> PAGEREF _Toc106096777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Discipline</w:t>
      </w:r>
    </w:p>
    <w:p>
      <w:pPr>
        <w:pStyle w:val="TOC8"/>
        <w:rPr>
          <w:rFonts w:asciiTheme="minorHAnsi" w:eastAsiaTheme="minorEastAsia" w:hAnsiTheme="minorHAnsi" w:cstheme="minorBidi"/>
          <w:szCs w:val="22"/>
        </w:rPr>
      </w:pPr>
      <w:r>
        <w:t>26</w:t>
      </w:r>
      <w:r>
        <w:rPr>
          <w:snapToGrid w:val="0"/>
        </w:rPr>
        <w:t>.</w:t>
      </w:r>
      <w:r>
        <w:rPr>
          <w:snapToGrid w:val="0"/>
        </w:rPr>
        <w:tab/>
        <w:t>Licensed valuers’ code of conduct</w:t>
      </w:r>
      <w:r>
        <w:tab/>
      </w:r>
      <w:r>
        <w:fldChar w:fldCharType="begin"/>
      </w:r>
      <w:r>
        <w:instrText xml:space="preserve"> PAGEREF _Toc106096779 \h </w:instrText>
      </w:r>
      <w:r>
        <w:fldChar w:fldCharType="separate"/>
      </w:r>
      <w:r>
        <w:t>11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Disciplinary proceedings against licensed valuers</w:t>
      </w:r>
      <w:r>
        <w:tab/>
      </w:r>
      <w:r>
        <w:fldChar w:fldCharType="begin"/>
      </w:r>
      <w:r>
        <w:instrText xml:space="preserve"> PAGEREF _Toc106096780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28</w:t>
      </w:r>
      <w:r>
        <w:rPr>
          <w:snapToGrid w:val="0"/>
        </w:rPr>
        <w:t>.</w:t>
      </w:r>
      <w:r>
        <w:rPr>
          <w:snapToGrid w:val="0"/>
        </w:rPr>
        <w:tab/>
        <w:t>SAT’s powers on disciplinary proceedings</w:t>
      </w:r>
      <w:r>
        <w:tab/>
      </w:r>
      <w:r>
        <w:fldChar w:fldCharType="begin"/>
      </w:r>
      <w:r>
        <w:instrText xml:space="preserve"> PAGEREF _Toc106096781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29</w:t>
      </w:r>
      <w:r>
        <w:rPr>
          <w:snapToGrid w:val="0"/>
        </w:rPr>
        <w:t>.</w:t>
      </w:r>
      <w:r>
        <w:rPr>
          <w:snapToGrid w:val="0"/>
        </w:rPr>
        <w:tab/>
        <w:t>Register of licensed valuers</w:t>
      </w:r>
      <w:r>
        <w:tab/>
      </w:r>
      <w:r>
        <w:fldChar w:fldCharType="begin"/>
      </w:r>
      <w:r>
        <w:instrText xml:space="preserve"> PAGEREF _Toc106096783 \h </w:instrText>
      </w:r>
      <w:r>
        <w:fldChar w:fldCharType="separate"/>
      </w:r>
      <w:r>
        <w:t>13</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Change of particulars, licensee to notify Commissioner</w:t>
      </w:r>
      <w:r>
        <w:tab/>
      </w:r>
      <w:r>
        <w:fldChar w:fldCharType="begin"/>
      </w:r>
      <w:r>
        <w:instrText xml:space="preserve"> PAGEREF _Toc106096784 \h </w:instrText>
      </w:r>
      <w:r>
        <w:fldChar w:fldCharType="separate"/>
      </w:r>
      <w:r>
        <w:t>13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Commissioner’s certificate</w:t>
      </w:r>
      <w:r>
        <w:tab/>
      </w:r>
      <w:r>
        <w:fldChar w:fldCharType="begin"/>
      </w:r>
      <w:r>
        <w:instrText xml:space="preserve"> PAGEREF _Toc106096785 \h </w:instrText>
      </w:r>
      <w:r>
        <w:fldChar w:fldCharType="separate"/>
      </w:r>
      <w:r>
        <w:t>13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 by department</w:t>
      </w:r>
      <w:r>
        <w:tab/>
      </w:r>
      <w:r>
        <w:fldChar w:fldCharType="begin"/>
      </w:r>
      <w:r>
        <w:instrText xml:space="preserve"> PAGEREF _Toc106096786 \h </w:instrText>
      </w:r>
      <w:r>
        <w:fldChar w:fldCharType="separate"/>
      </w:r>
      <w:r>
        <w:t>14</w:t>
      </w:r>
      <w:r>
        <w:fldChar w:fldCharType="end"/>
      </w:r>
    </w:p>
    <w:p>
      <w:pPr>
        <w:pStyle w:val="TOC8"/>
        <w:rPr>
          <w:rFonts w:asciiTheme="minorHAnsi" w:eastAsiaTheme="minorEastAsia" w:hAnsiTheme="minorHAnsi" w:cstheme="minorBidi"/>
          <w:szCs w:val="22"/>
        </w:rPr>
      </w:pPr>
      <w:r>
        <w:t>33.</w:t>
      </w:r>
      <w:r>
        <w:tab/>
        <w:t>Confidentiality of information officially obtained</w:t>
      </w:r>
      <w:r>
        <w:tab/>
      </w:r>
      <w:r>
        <w:fldChar w:fldCharType="begin"/>
      </w:r>
      <w:r>
        <w:instrText xml:space="preserve"> PAGEREF _Toc106096787 \h </w:instrText>
      </w:r>
      <w:r>
        <w:fldChar w:fldCharType="separate"/>
      </w:r>
      <w:r>
        <w:t>15</w:t>
      </w:r>
      <w:r>
        <w:fldChar w:fldCharType="end"/>
      </w:r>
    </w:p>
    <w:p>
      <w:pPr>
        <w:pStyle w:val="TOC8"/>
        <w:rPr>
          <w:rFonts w:asciiTheme="minorHAnsi" w:eastAsiaTheme="minorEastAsia" w:hAnsiTheme="minorHAnsi" w:cstheme="minorBidi"/>
          <w:szCs w:val="22"/>
        </w:rPr>
      </w:pPr>
      <w:r>
        <w:t>33A.</w:t>
      </w:r>
      <w:r>
        <w:tab/>
        <w:t>Offence of giving false or misleading information</w:t>
      </w:r>
      <w:r>
        <w:tab/>
      </w:r>
      <w:r>
        <w:fldChar w:fldCharType="begin"/>
      </w:r>
      <w:r>
        <w:instrText xml:space="preserve"> PAGEREF _Toc106096788 \h </w:instrText>
      </w:r>
      <w:r>
        <w:fldChar w:fldCharType="separate"/>
      </w:r>
      <w:r>
        <w:t>15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corporations</w:t>
      </w:r>
      <w:r>
        <w:tab/>
      </w:r>
      <w:r>
        <w:fldChar w:fldCharType="begin"/>
      </w:r>
      <w:r>
        <w:instrText xml:space="preserve"> PAGEREF _Toc106096789 \h </w:instrText>
      </w:r>
      <w:r>
        <w:fldChar w:fldCharType="separate"/>
      </w:r>
      <w:r>
        <w:t>15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Proceedings for offences</w:t>
      </w:r>
      <w:r>
        <w:tab/>
      </w:r>
      <w:r>
        <w:fldChar w:fldCharType="begin"/>
      </w:r>
      <w:r>
        <w:instrText xml:space="preserve"> PAGEREF _Toc106096790 \h </w:instrText>
      </w:r>
      <w:r>
        <w:fldChar w:fldCharType="separate"/>
      </w:r>
      <w:r>
        <w:t>16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Regulations</w:t>
      </w:r>
      <w:r>
        <w:tab/>
      </w:r>
      <w:r>
        <w:fldChar w:fldCharType="begin"/>
      </w:r>
      <w:r>
        <w:instrText xml:space="preserve"> PAGEREF _Toc106096791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w:t>
      </w:r>
      <w:r>
        <w:rPr>
          <w:b w:val="0"/>
        </w:rPr>
        <w:t> </w:t>
      </w:r>
      <w:r>
        <w:t>—</w:t>
      </w:r>
      <w:r>
        <w:rPr>
          <w:b w:val="0"/>
        </w:rPr>
        <w:t> </w:t>
      </w:r>
      <w:r>
        <w:t>Miscellaneous transitional matters</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_Toc106096793 \h </w:instrText>
      </w:r>
      <w:r>
        <w:fldChar w:fldCharType="separate"/>
      </w:r>
      <w:r>
        <w:t>18</w:t>
      </w:r>
      <w:r>
        <w:fldChar w:fldCharType="end"/>
      </w:r>
    </w:p>
    <w:p>
      <w:pPr>
        <w:pStyle w:val="TOC8"/>
        <w:rPr>
          <w:rFonts w:asciiTheme="minorHAnsi" w:eastAsiaTheme="minorEastAsia" w:hAnsiTheme="minorHAnsi" w:cstheme="minorBidi"/>
          <w:szCs w:val="22"/>
        </w:rPr>
      </w:pPr>
      <w:r>
        <w:t>38.</w:t>
      </w:r>
      <w:r>
        <w:tab/>
        <w:t>Former Board abolished</w:t>
      </w:r>
      <w:r>
        <w:tab/>
      </w:r>
      <w:r>
        <w:fldChar w:fldCharType="begin"/>
      </w:r>
      <w:r>
        <w:instrText xml:space="preserve"> PAGEREF _Toc106096794 \h </w:instrText>
      </w:r>
      <w:r>
        <w:fldChar w:fldCharType="separate"/>
      </w:r>
      <w:r>
        <w:t>18</w:t>
      </w:r>
      <w:r>
        <w:fldChar w:fldCharType="end"/>
      </w:r>
    </w:p>
    <w:p>
      <w:pPr>
        <w:pStyle w:val="TOC8"/>
        <w:rPr>
          <w:rFonts w:asciiTheme="minorHAnsi" w:eastAsiaTheme="minorEastAsia" w:hAnsiTheme="minorHAnsi" w:cstheme="minorBidi"/>
          <w:szCs w:val="22"/>
        </w:rPr>
      </w:pPr>
      <w:r>
        <w:t>39.</w:t>
      </w:r>
      <w:r>
        <w:tab/>
        <w:t>References to former Board or Registrar</w:t>
      </w:r>
      <w:r>
        <w:tab/>
      </w:r>
      <w:r>
        <w:fldChar w:fldCharType="begin"/>
      </w:r>
      <w:r>
        <w:instrText xml:space="preserve"> PAGEREF _Toc106096795 \h </w:instrText>
      </w:r>
      <w:r>
        <w:fldChar w:fldCharType="separate"/>
      </w:r>
      <w:r>
        <w:t>18</w:t>
      </w:r>
      <w:r>
        <w:fldChar w:fldCharType="end"/>
      </w:r>
    </w:p>
    <w:p>
      <w:pPr>
        <w:pStyle w:val="TOC8"/>
        <w:rPr>
          <w:rFonts w:asciiTheme="minorHAnsi" w:eastAsiaTheme="minorEastAsia" w:hAnsiTheme="minorHAnsi" w:cstheme="minorBidi"/>
          <w:szCs w:val="22"/>
        </w:rPr>
      </w:pPr>
      <w:r>
        <w:t>40.</w:t>
      </w:r>
      <w:r>
        <w:tab/>
        <w:t>Immunity continues</w:t>
      </w:r>
      <w:r>
        <w:tab/>
      </w:r>
      <w:r>
        <w:fldChar w:fldCharType="begin"/>
      </w:r>
      <w:r>
        <w:instrText xml:space="preserve"> PAGEREF _Toc106096796 \h </w:instrText>
      </w:r>
      <w:r>
        <w:fldChar w:fldCharType="separate"/>
      </w:r>
      <w:r>
        <w:t>19</w:t>
      </w:r>
      <w:r>
        <w:fldChar w:fldCharType="end"/>
      </w:r>
    </w:p>
    <w:p>
      <w:pPr>
        <w:pStyle w:val="TOC8"/>
        <w:rPr>
          <w:rFonts w:asciiTheme="minorHAnsi" w:eastAsiaTheme="minorEastAsia" w:hAnsiTheme="minorHAnsi" w:cstheme="minorBidi"/>
          <w:szCs w:val="22"/>
        </w:rPr>
      </w:pPr>
      <w:r>
        <w:t>41.</w:t>
      </w:r>
      <w:r>
        <w:tab/>
        <w:t>Notices of maximum amounts of remuneration</w:t>
      </w:r>
      <w:r>
        <w:tab/>
      </w:r>
      <w:r>
        <w:fldChar w:fldCharType="begin"/>
      </w:r>
      <w:r>
        <w:instrText xml:space="preserve"> PAGEREF _Toc106096797 \h </w:instrText>
      </w:r>
      <w:r>
        <w:fldChar w:fldCharType="separate"/>
      </w:r>
      <w:r>
        <w:t>19</w:t>
      </w:r>
      <w:r>
        <w:fldChar w:fldCharType="end"/>
      </w:r>
    </w:p>
    <w:p>
      <w:pPr>
        <w:pStyle w:val="TOC8"/>
        <w:rPr>
          <w:rFonts w:asciiTheme="minorHAnsi" w:eastAsiaTheme="minorEastAsia" w:hAnsiTheme="minorHAnsi" w:cstheme="minorBidi"/>
          <w:szCs w:val="22"/>
        </w:rPr>
      </w:pPr>
      <w:r>
        <w:t>42.</w:t>
      </w:r>
      <w:r>
        <w:tab/>
        <w:t>Unfinished proceedings by former Registrar</w:t>
      </w:r>
      <w:r>
        <w:tab/>
      </w:r>
      <w:r>
        <w:fldChar w:fldCharType="begin"/>
      </w:r>
      <w:r>
        <w:instrText xml:space="preserve"> PAGEREF _Toc106096798 \h </w:instrText>
      </w:r>
      <w:r>
        <w:fldChar w:fldCharType="separate"/>
      </w:r>
      <w:r>
        <w:t>19</w:t>
      </w:r>
      <w:r>
        <w:fldChar w:fldCharType="end"/>
      </w:r>
    </w:p>
    <w:p>
      <w:pPr>
        <w:pStyle w:val="TOC8"/>
        <w:rPr>
          <w:rFonts w:asciiTheme="minorHAnsi" w:eastAsiaTheme="minorEastAsia" w:hAnsiTheme="minorHAnsi" w:cstheme="minorBidi"/>
          <w:szCs w:val="22"/>
        </w:rPr>
      </w:pPr>
      <w:r>
        <w:t>43.</w:t>
      </w:r>
      <w:r>
        <w:tab/>
        <w:t>Unfinished proceedings by former Board</w:t>
      </w:r>
      <w:r>
        <w:tab/>
      </w:r>
      <w:r>
        <w:fldChar w:fldCharType="begin"/>
      </w:r>
      <w:r>
        <w:instrText xml:space="preserve"> PAGEREF _Toc106096799 \h </w:instrText>
      </w:r>
      <w:r>
        <w:fldChar w:fldCharType="separate"/>
      </w:r>
      <w:r>
        <w:t>19</w:t>
      </w:r>
      <w:r>
        <w:fldChar w:fldCharType="end"/>
      </w:r>
    </w:p>
    <w:p>
      <w:pPr>
        <w:pStyle w:val="TOC8"/>
        <w:rPr>
          <w:rFonts w:asciiTheme="minorHAnsi" w:eastAsiaTheme="minorEastAsia" w:hAnsiTheme="minorHAnsi" w:cstheme="minorBidi"/>
          <w:szCs w:val="22"/>
        </w:rPr>
      </w:pPr>
      <w:r>
        <w:t>44.</w:t>
      </w:r>
      <w:r>
        <w:tab/>
        <w:t>Winding</w:t>
      </w:r>
      <w:r>
        <w:noBreakHyphen/>
        <w:t>up by former Board</w:t>
      </w:r>
      <w:r>
        <w:tab/>
      </w:r>
      <w:r>
        <w:fldChar w:fldCharType="begin"/>
      </w:r>
      <w:r>
        <w:instrText xml:space="preserve"> PAGEREF _Toc106096800 \h </w:instrText>
      </w:r>
      <w:r>
        <w:fldChar w:fldCharType="separate"/>
      </w:r>
      <w:r>
        <w:t>20</w:t>
      </w:r>
      <w:r>
        <w:fldChar w:fldCharType="end"/>
      </w:r>
    </w:p>
    <w:p>
      <w:pPr>
        <w:pStyle w:val="TOC8"/>
        <w:rPr>
          <w:rFonts w:asciiTheme="minorHAnsi" w:eastAsiaTheme="minorEastAsia" w:hAnsiTheme="minorHAnsi" w:cstheme="minorBidi"/>
          <w:szCs w:val="22"/>
        </w:rPr>
      </w:pPr>
      <w:r>
        <w:t>45.</w:t>
      </w:r>
      <w:r>
        <w:tab/>
        <w:t>Final report by former Board</w:t>
      </w:r>
      <w:r>
        <w:tab/>
      </w:r>
      <w:r>
        <w:fldChar w:fldCharType="begin"/>
      </w:r>
      <w:r>
        <w:instrText xml:space="preserve"> PAGEREF _Toc106096801 \h </w:instrText>
      </w:r>
      <w:r>
        <w:fldChar w:fldCharType="separate"/>
      </w:r>
      <w:r>
        <w:t>20</w:t>
      </w:r>
      <w:r>
        <w:fldChar w:fldCharType="end"/>
      </w:r>
    </w:p>
    <w:p>
      <w:pPr>
        <w:pStyle w:val="TOC8"/>
        <w:rPr>
          <w:rFonts w:asciiTheme="minorHAnsi" w:eastAsiaTheme="minorEastAsia" w:hAnsiTheme="minorHAnsi" w:cstheme="minorBidi"/>
          <w:szCs w:val="22"/>
        </w:rPr>
      </w:pPr>
      <w:r>
        <w:t>46.</w:t>
      </w:r>
      <w:r>
        <w:tab/>
        <w:t>Transitional regulations</w:t>
      </w:r>
      <w:r>
        <w:tab/>
      </w:r>
      <w:r>
        <w:fldChar w:fldCharType="begin"/>
      </w:r>
      <w:r>
        <w:instrText xml:space="preserve"> PAGEREF _Toc106096802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_Toc106096804 \h </w:instrText>
      </w:r>
      <w:r>
        <w:fldChar w:fldCharType="separate"/>
      </w:r>
      <w:r>
        <w:t>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_Toc106096805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_Toc106096806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80" w:after="1440"/>
      </w:pPr>
      <w:r>
        <w:t>Land Valuers Licensing Act 1978</w:t>
      </w:r>
    </w:p>
    <w:p>
      <w:pPr>
        <w:pStyle w:val="LongTitle"/>
        <w:rPr>
          <w:snapToGrid w:val="0"/>
        </w:rPr>
      </w:pPr>
      <w:r>
        <w:rPr>
          <w:snapToGrid w:val="0"/>
        </w:rPr>
        <w:t>An Act to provide for the licensing of land valuers and for related purposes.</w:t>
      </w:r>
    </w:p>
    <w:p>
      <w:pPr>
        <w:pStyle w:val="Heading2"/>
      </w:pPr>
      <w:bookmarkStart w:id="3" w:name="_Toc106010029"/>
      <w:bookmarkStart w:id="4" w:name="_Toc106010126"/>
      <w:bookmarkStart w:id="5" w:name="_Toc10609675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06096760"/>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Land Valuers Licensing Act 1978</w:t>
      </w:r>
      <w:r>
        <w:rPr>
          <w:snapToGrid w:val="0"/>
        </w:rPr>
        <w:t>.</w:t>
      </w:r>
    </w:p>
    <w:p>
      <w:pPr>
        <w:pStyle w:val="Heading5"/>
        <w:spacing w:before="240"/>
        <w:rPr>
          <w:snapToGrid w:val="0"/>
        </w:rPr>
      </w:pPr>
      <w:bookmarkStart w:id="7" w:name="_Toc106096761"/>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This Act shall come into operation on a date to be fixed by proclamation.</w:t>
      </w:r>
    </w:p>
    <w:p>
      <w:pPr>
        <w:pStyle w:val="Ednotesection"/>
        <w:spacing w:before="240"/>
      </w:pPr>
      <w:r>
        <w:t>[</w:t>
      </w:r>
      <w:r>
        <w:rPr>
          <w:b/>
        </w:rPr>
        <w:t>3.</w:t>
      </w:r>
      <w:r>
        <w:tab/>
        <w:t>Deleted: No. 56 of 1995 s. 26.]</w:t>
      </w:r>
    </w:p>
    <w:p>
      <w:pPr>
        <w:pStyle w:val="Heading5"/>
        <w:spacing w:before="240"/>
        <w:rPr>
          <w:snapToGrid w:val="0"/>
        </w:rPr>
      </w:pPr>
      <w:bookmarkStart w:id="8" w:name="_Toc106096762"/>
      <w:r>
        <w:rPr>
          <w:rStyle w:val="CharSectno"/>
        </w:rPr>
        <w:t>4</w:t>
      </w:r>
      <w:r>
        <w:rPr>
          <w:snapToGrid w:val="0"/>
        </w:rPr>
        <w:t>.</w:t>
      </w:r>
      <w:r>
        <w:rPr>
          <w:snapToGrid w:val="0"/>
        </w:rPr>
        <w:tab/>
        <w:t>Terms used</w:t>
      </w:r>
      <w:bookmarkEnd w:id="8"/>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lastRenderedPageBreak/>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No. 15 of 1984 s. 3; No. 56 of 1995 s. 27; No. 65 of 2003 s. 44(2); No. 74 of 2003 s. 74(2); No. 55 of 2004 s. 586; No. 21 of 2008 s. 671(2); No. 58 of 2010 s. 14 and 31.]</w:t>
      </w:r>
    </w:p>
    <w:p>
      <w:pPr>
        <w:pStyle w:val="Footnoteheading"/>
      </w:pPr>
      <w:r>
        <w:tab/>
        <w:t>[Part II heading deleted: No. 58 of 2010 s. 15.]</w:t>
      </w:r>
    </w:p>
    <w:p>
      <w:pPr>
        <w:pStyle w:val="Footnoteheading"/>
      </w:pPr>
      <w:r>
        <w:tab/>
        <w:t>[Heading deleted: No. 58 of 2010 s. 16.]</w:t>
      </w:r>
    </w:p>
    <w:p>
      <w:pPr>
        <w:pStyle w:val="Ednotesection"/>
      </w:pPr>
      <w:r>
        <w:t>[</w:t>
      </w:r>
      <w:r>
        <w:rPr>
          <w:b/>
        </w:rPr>
        <w:t>5-11.</w:t>
      </w:r>
      <w:r>
        <w:tab/>
        <w:t>Deleted: No. 58 of 2010 s. 16.]</w:t>
      </w:r>
    </w:p>
    <w:p>
      <w:pPr>
        <w:pStyle w:val="Footnoteheading"/>
      </w:pPr>
      <w:r>
        <w:tab/>
        <w:t>[Heading deleted: No. 58 of 2010 s. 17.]</w:t>
      </w:r>
    </w:p>
    <w:p>
      <w:pPr>
        <w:pStyle w:val="Ednotesection"/>
      </w:pPr>
      <w:r>
        <w:t>[</w:t>
      </w:r>
      <w:r>
        <w:rPr>
          <w:b/>
        </w:rPr>
        <w:t>12-14.</w:t>
      </w:r>
      <w:r>
        <w:tab/>
        <w:t>Deleted: No. 58 of 2010 s. 18.]</w:t>
      </w:r>
    </w:p>
    <w:p>
      <w:pPr>
        <w:pStyle w:val="Heading5"/>
      </w:pPr>
      <w:bookmarkStart w:id="9" w:name="_Toc106096763"/>
      <w:r>
        <w:rPr>
          <w:rStyle w:val="CharSectno"/>
        </w:rPr>
        <w:t>15</w:t>
      </w:r>
      <w:r>
        <w:t>.</w:t>
      </w:r>
      <w:r>
        <w:tab/>
        <w:t>Powers of investigation</w:t>
      </w:r>
      <w:bookmarkEnd w:id="9"/>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No. 58 of 2010 s. 19.]</w:t>
      </w:r>
    </w:p>
    <w:p>
      <w:pPr>
        <w:pStyle w:val="Ednotesection"/>
      </w:pPr>
      <w:r>
        <w:t>[</w:t>
      </w:r>
      <w:r>
        <w:rPr>
          <w:b/>
        </w:rPr>
        <w:t>15A-15C.</w:t>
      </w:r>
      <w:r>
        <w:rPr>
          <w:b/>
        </w:rPr>
        <w:tab/>
      </w:r>
      <w:r>
        <w:t>Deleted: No. 58 of 2010 s. 20.]</w:t>
      </w:r>
    </w:p>
    <w:p>
      <w:pPr>
        <w:pStyle w:val="Heading5"/>
        <w:rPr>
          <w:snapToGrid w:val="0"/>
        </w:rPr>
      </w:pPr>
      <w:bookmarkStart w:id="10" w:name="_Toc106096764"/>
      <w:r>
        <w:rPr>
          <w:rStyle w:val="CharSectno"/>
        </w:rPr>
        <w:t>16</w:t>
      </w:r>
      <w:r>
        <w:rPr>
          <w:snapToGrid w:val="0"/>
        </w:rPr>
        <w:t>.</w:t>
      </w:r>
      <w:r>
        <w:rPr>
          <w:snapToGrid w:val="0"/>
        </w:rPr>
        <w:tab/>
        <w:t>Application for review by SAT of certain decisions under Part III</w:t>
      </w:r>
      <w:bookmarkEnd w:id="10"/>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lastRenderedPageBreak/>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is to be made.</w:t>
      </w:r>
    </w:p>
    <w:p>
      <w:pPr>
        <w:pStyle w:val="Footnotesection"/>
      </w:pPr>
      <w:r>
        <w:tab/>
        <w:t>[Section 16 inserted: No. 55 of 2004 s. 592; amended: No. 58 of 2010 s. 31; No. 23 of 2014 s. 15.]</w:t>
      </w:r>
    </w:p>
    <w:p>
      <w:pPr>
        <w:pStyle w:val="Heading2"/>
      </w:pPr>
      <w:bookmarkStart w:id="11" w:name="_Toc106010035"/>
      <w:bookmarkStart w:id="12" w:name="_Toc106010132"/>
      <w:bookmarkStart w:id="13" w:name="_Toc106096765"/>
      <w:r>
        <w:rPr>
          <w:rStyle w:val="CharPartNo"/>
        </w:rPr>
        <w:lastRenderedPageBreak/>
        <w:t>Part III</w:t>
      </w:r>
      <w:r>
        <w:rPr>
          <w:rStyle w:val="CharDivNo"/>
        </w:rPr>
        <w:t> </w:t>
      </w:r>
      <w:r>
        <w:t>—</w:t>
      </w:r>
      <w:r>
        <w:rPr>
          <w:rStyle w:val="CharDivText"/>
        </w:rPr>
        <w:t> </w:t>
      </w:r>
      <w:r>
        <w:rPr>
          <w:rStyle w:val="CharPartText"/>
        </w:rPr>
        <w:t>Licensing</w:t>
      </w:r>
      <w:bookmarkEnd w:id="11"/>
      <w:bookmarkEnd w:id="12"/>
      <w:bookmarkEnd w:id="13"/>
    </w:p>
    <w:p>
      <w:pPr>
        <w:pStyle w:val="Heading5"/>
        <w:rPr>
          <w:snapToGrid w:val="0"/>
        </w:rPr>
      </w:pPr>
      <w:bookmarkStart w:id="14" w:name="_Toc106096766"/>
      <w:r>
        <w:rPr>
          <w:rStyle w:val="CharSectno"/>
        </w:rPr>
        <w:t>17</w:t>
      </w:r>
      <w:r>
        <w:rPr>
          <w:snapToGrid w:val="0"/>
        </w:rPr>
        <w:t>.</w:t>
      </w:r>
      <w:r>
        <w:rPr>
          <w:snapToGrid w:val="0"/>
        </w:rPr>
        <w:tab/>
        <w:t>Applications for licences</w:t>
      </w:r>
      <w:bookmarkEnd w:id="14"/>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No. 58 of 2010 s. 21 and 31; correction to reprint: Gazette 24 Aug 2012 p. 3959; amended: No. 23 of 2014 s. 16; No. 44 of 2016 s. 16.]</w:t>
      </w:r>
    </w:p>
    <w:p>
      <w:pPr>
        <w:pStyle w:val="Ednotesection"/>
      </w:pPr>
      <w:r>
        <w:t>[</w:t>
      </w:r>
      <w:r>
        <w:rPr>
          <w:b/>
        </w:rPr>
        <w:t>18.</w:t>
      </w:r>
      <w:r>
        <w:tab/>
        <w:t>Deleted: No. 23 of 2014 s. 17.]</w:t>
      </w:r>
    </w:p>
    <w:p>
      <w:pPr>
        <w:pStyle w:val="Heading5"/>
        <w:rPr>
          <w:snapToGrid w:val="0"/>
        </w:rPr>
      </w:pPr>
      <w:bookmarkStart w:id="15" w:name="_Toc106096767"/>
      <w:r>
        <w:rPr>
          <w:rStyle w:val="CharSectno"/>
        </w:rPr>
        <w:t>19</w:t>
      </w:r>
      <w:r>
        <w:rPr>
          <w:snapToGrid w:val="0"/>
        </w:rPr>
        <w:t>.</w:t>
      </w:r>
      <w:r>
        <w:rPr>
          <w:snapToGrid w:val="0"/>
        </w:rPr>
        <w:tab/>
        <w:t>Grant of licence</w:t>
      </w:r>
      <w:bookmarkEnd w:id="15"/>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w:t>
      </w:r>
      <w:r>
        <w:t>pays to the Commissioner the prescribed fee and</w:t>
      </w:r>
      <w:r>
        <w:rPr>
          <w:snapToGrid w:val="0"/>
        </w:rPr>
        <w:t xml:space="preserve">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lastRenderedPageBreak/>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No. 74 of 2003 s. 74(3); No. 55 of 2004 s. 593; No. 58 of 2010 s. 31; No. 44 of 2016 s. 17.]</w:t>
      </w:r>
    </w:p>
    <w:p>
      <w:pPr>
        <w:pStyle w:val="Heading5"/>
      </w:pPr>
      <w:bookmarkStart w:id="16" w:name="_Toc106096768"/>
      <w:r>
        <w:rPr>
          <w:rStyle w:val="CharSectno"/>
        </w:rPr>
        <w:t>19A</w:t>
      </w:r>
      <w:r>
        <w:t>.</w:t>
      </w:r>
      <w:r>
        <w:tab/>
        <w:t>Commissioner may grant licence without notice to applicant</w:t>
      </w:r>
      <w:bookmarkEnd w:id="16"/>
    </w:p>
    <w:p>
      <w:pPr>
        <w:pStyle w:val="Subsection"/>
        <w:rPr>
          <w:snapToGrid w:val="0"/>
        </w:rPr>
      </w:pPr>
      <w:r>
        <w:rPr>
          <w:snapToGrid w:val="0"/>
        </w:rPr>
        <w:tab/>
        <w:t>(1)</w:t>
      </w:r>
      <w:r>
        <w:rPr>
          <w:snapToGrid w:val="0"/>
        </w:rPr>
        <w:tab/>
        <w:t xml:space="preserve">Subject to this Part, a licence may be granted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No. 55 of 2004 s. 594; amended: No. 58 of 2010 s. 23 and 31; No. 23 of 2014 s. 18.]</w:t>
      </w:r>
    </w:p>
    <w:p>
      <w:pPr>
        <w:pStyle w:val="Ednotesection"/>
        <w:ind w:left="890" w:hanging="890"/>
      </w:pPr>
      <w:r>
        <w:t>[</w:t>
      </w:r>
      <w:r>
        <w:rPr>
          <w:b/>
        </w:rPr>
        <w:t>20.</w:t>
      </w:r>
      <w:r>
        <w:tab/>
        <w:t>Deleted: No. 25 of 2019 s. 34.]</w:t>
      </w:r>
    </w:p>
    <w:p>
      <w:pPr>
        <w:pStyle w:val="Heading5"/>
      </w:pPr>
      <w:bookmarkStart w:id="17" w:name="_Toc106096769"/>
      <w:r>
        <w:rPr>
          <w:rStyle w:val="CharSectno"/>
        </w:rPr>
        <w:t>20A</w:t>
      </w:r>
      <w:r>
        <w:t>.</w:t>
      </w:r>
      <w:r>
        <w:tab/>
        <w:t>SAT may suspend licence in some cases</w:t>
      </w:r>
      <w:bookmarkEnd w:id="17"/>
    </w:p>
    <w:p>
      <w:pPr>
        <w:pStyle w:val="Subsection"/>
        <w:rPr>
          <w:snapToGrid w:val="0"/>
        </w:rPr>
      </w:pPr>
      <w:r>
        <w:rPr>
          <w:snapToGrid w:val="0"/>
        </w:rPr>
        <w:tab/>
        <w:t>(1)</w:t>
      </w:r>
      <w:r>
        <w:rPr>
          <w:snapToGrid w:val="0"/>
        </w:rPr>
        <w:tab/>
        <w:t xml:space="preserve">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w:t>
      </w:r>
      <w:r>
        <w:rPr>
          <w:snapToGrid w:val="0"/>
        </w:rPr>
        <w:lastRenderedPageBreak/>
        <w:t>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No. 55 of 2004 s. 595.]</w:t>
      </w:r>
    </w:p>
    <w:p>
      <w:pPr>
        <w:pStyle w:val="Heading5"/>
        <w:rPr>
          <w:snapToGrid w:val="0"/>
        </w:rPr>
      </w:pPr>
      <w:bookmarkStart w:id="18" w:name="_Toc106096770"/>
      <w:r>
        <w:rPr>
          <w:rStyle w:val="CharSectno"/>
        </w:rPr>
        <w:t>21</w:t>
      </w:r>
      <w:r>
        <w:rPr>
          <w:snapToGrid w:val="0"/>
        </w:rPr>
        <w:t>.</w:t>
      </w:r>
      <w:r>
        <w:rPr>
          <w:snapToGrid w:val="0"/>
        </w:rPr>
        <w:tab/>
        <w:t>Expiry and surrender of licence</w:t>
      </w:r>
      <w:bookmarkEnd w:id="18"/>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No. 56 of 1995 s. 28; No. 55 of 2004 s. 596; No. 58 of 2010 s. 24 and 31.]</w:t>
      </w:r>
    </w:p>
    <w:p>
      <w:pPr>
        <w:pStyle w:val="Heading5"/>
        <w:rPr>
          <w:snapToGrid w:val="0"/>
        </w:rPr>
      </w:pPr>
      <w:bookmarkStart w:id="19" w:name="_Toc106096771"/>
      <w:r>
        <w:rPr>
          <w:rStyle w:val="CharSectno"/>
        </w:rPr>
        <w:t>22</w:t>
      </w:r>
      <w:r>
        <w:rPr>
          <w:snapToGrid w:val="0"/>
        </w:rPr>
        <w:t>.</w:t>
      </w:r>
      <w:r>
        <w:rPr>
          <w:snapToGrid w:val="0"/>
        </w:rPr>
        <w:tab/>
        <w:t>Renewal of licence</w:t>
      </w:r>
      <w:bookmarkEnd w:id="19"/>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pPr>
      <w:r>
        <w:tab/>
        <w:t>(a)</w:t>
      </w:r>
      <w:r>
        <w:tab/>
        <w:t xml:space="preserve">an application is made during the period that begins on the day on which the licence expired and ends on the </w:t>
      </w:r>
      <w:r>
        <w:lastRenderedPageBreak/>
        <w:t>day that is 28 days after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Subsection"/>
      </w:pPr>
      <w:r>
        <w:tab/>
        <w:t>(4)</w:t>
      </w:r>
      <w:r>
        <w:tab/>
        <w:t>Section 19 applies to an application under this section as if it were an application for a licence under section 17.</w:t>
      </w:r>
    </w:p>
    <w:p>
      <w:pPr>
        <w:pStyle w:val="Footnotesection"/>
        <w:spacing w:before="100"/>
        <w:ind w:left="890" w:hanging="890"/>
      </w:pPr>
      <w:r>
        <w:tab/>
        <w:t>[Section 22 amended: No. 56 of 1995 s. 29; No. 58 of 2010 s. 25 and 31; No. 23 of 2014 s. 19; No. 25 of 2019 s. 35.]</w:t>
      </w:r>
    </w:p>
    <w:p>
      <w:pPr>
        <w:pStyle w:val="Heading5"/>
      </w:pPr>
      <w:bookmarkStart w:id="20" w:name="_Toc106096772"/>
      <w:r>
        <w:rPr>
          <w:rStyle w:val="CharSectno"/>
        </w:rPr>
        <w:t>23A</w:t>
      </w:r>
      <w:r>
        <w:t>.</w:t>
      </w:r>
      <w:r>
        <w:tab/>
        <w:t>Duplicate licence</w:t>
      </w:r>
      <w:bookmarkEnd w:id="20"/>
    </w:p>
    <w:p>
      <w:pPr>
        <w:pStyle w:val="Subsection"/>
      </w:pPr>
      <w:r>
        <w:tab/>
      </w:r>
      <w:r>
        <w:tab/>
        <w:t>If a licence has been lost or destroyed, the Commissioner may issue a duplicate licence on payment by the holder of the prescribed fee.</w:t>
      </w:r>
    </w:p>
    <w:p>
      <w:pPr>
        <w:pStyle w:val="Footnotesection"/>
        <w:spacing w:before="100"/>
        <w:ind w:left="890" w:hanging="890"/>
      </w:pPr>
      <w:r>
        <w:tab/>
        <w:t>[Section 23A inserted: No. 23 of 2014 s. 20.]</w:t>
      </w:r>
    </w:p>
    <w:p>
      <w:pPr>
        <w:pStyle w:val="Heading2"/>
      </w:pPr>
      <w:bookmarkStart w:id="21" w:name="_Toc106010043"/>
      <w:bookmarkStart w:id="22" w:name="_Toc106010140"/>
      <w:bookmarkStart w:id="23" w:name="_Toc106096773"/>
      <w:r>
        <w:rPr>
          <w:rStyle w:val="CharPartNo"/>
        </w:rPr>
        <w:lastRenderedPageBreak/>
        <w:t>Part IV</w:t>
      </w:r>
      <w:r>
        <w:t> — </w:t>
      </w:r>
      <w:r>
        <w:rPr>
          <w:rStyle w:val="CharPartText"/>
        </w:rPr>
        <w:t>Control of the practice of valuation</w:t>
      </w:r>
      <w:bookmarkEnd w:id="21"/>
      <w:bookmarkEnd w:id="22"/>
      <w:bookmarkEnd w:id="23"/>
    </w:p>
    <w:p>
      <w:pPr>
        <w:pStyle w:val="Heading3"/>
      </w:pPr>
      <w:bookmarkStart w:id="24" w:name="_Toc106010044"/>
      <w:bookmarkStart w:id="25" w:name="_Toc106010141"/>
      <w:bookmarkStart w:id="26" w:name="_Toc106096774"/>
      <w:r>
        <w:rPr>
          <w:rStyle w:val="CharDivNo"/>
        </w:rPr>
        <w:t>Division 1</w:t>
      </w:r>
      <w:r>
        <w:rPr>
          <w:snapToGrid w:val="0"/>
        </w:rPr>
        <w:t> — </w:t>
      </w:r>
      <w:r>
        <w:rPr>
          <w:rStyle w:val="CharDivText"/>
        </w:rPr>
        <w:t>General</w:t>
      </w:r>
      <w:bookmarkEnd w:id="24"/>
      <w:bookmarkEnd w:id="25"/>
      <w:bookmarkEnd w:id="26"/>
    </w:p>
    <w:p>
      <w:pPr>
        <w:pStyle w:val="Heading5"/>
        <w:spacing w:before="180"/>
        <w:rPr>
          <w:snapToGrid w:val="0"/>
        </w:rPr>
      </w:pPr>
      <w:bookmarkStart w:id="27" w:name="_Toc106096775"/>
      <w:r>
        <w:rPr>
          <w:rStyle w:val="CharSectno"/>
        </w:rPr>
        <w:t>23</w:t>
      </w:r>
      <w:r>
        <w:rPr>
          <w:snapToGrid w:val="0"/>
        </w:rPr>
        <w:t>.</w:t>
      </w:r>
      <w:r>
        <w:rPr>
          <w:snapToGrid w:val="0"/>
        </w:rPr>
        <w:tab/>
        <w:t>Valuers to be licensed</w:t>
      </w:r>
      <w:bookmarkEnd w:id="27"/>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r>
      <w:r>
        <w:t>Penalty for this subsection: a fine of $100 000.</w:t>
      </w:r>
    </w:p>
    <w:p>
      <w:pPr>
        <w:pStyle w:val="Subsection"/>
        <w:spacing w:before="120"/>
        <w:rPr>
          <w:snapToGrid w:val="0"/>
        </w:rPr>
      </w:pPr>
      <w:r>
        <w:rPr>
          <w:snapToGrid w:val="0"/>
        </w:rPr>
        <w:tab/>
        <w:t>(2)</w:t>
      </w:r>
      <w:r>
        <w:rPr>
          <w:snapToGrid w:val="0"/>
        </w:rPr>
        <w:tab/>
        <w:t xml:space="preserve">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w:t>
      </w:r>
      <w:r>
        <w:t>a person</w:t>
      </w:r>
      <w:r>
        <w:rPr>
          <w:snapToGrid w:val="0"/>
        </w:rPr>
        <w:t xml:space="preserve">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No. 15 of 1984 s. 5; No. 69 of 2006 s. 17; No. 23 of 2014 s. 21; No. 25 of 2019 s. 37.]</w:t>
      </w:r>
    </w:p>
    <w:p>
      <w:pPr>
        <w:pStyle w:val="Heading5"/>
        <w:spacing w:before="180"/>
        <w:rPr>
          <w:snapToGrid w:val="0"/>
        </w:rPr>
      </w:pPr>
      <w:bookmarkStart w:id="28" w:name="_Toc106096776"/>
      <w:r>
        <w:rPr>
          <w:rStyle w:val="CharSectno"/>
        </w:rPr>
        <w:t>24</w:t>
      </w:r>
      <w:r>
        <w:rPr>
          <w:snapToGrid w:val="0"/>
        </w:rPr>
        <w:t>.</w:t>
      </w:r>
      <w:r>
        <w:rPr>
          <w:snapToGrid w:val="0"/>
        </w:rPr>
        <w:tab/>
        <w:t>False claim of being licensed</w:t>
      </w:r>
      <w:bookmarkEnd w:id="28"/>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r>
      <w:r>
        <w:t>Penalty for this subsection: a fine of $100 000.</w:t>
      </w:r>
    </w:p>
    <w:p>
      <w:pPr>
        <w:pStyle w:val="Subsection"/>
        <w:keepLines/>
        <w:spacing w:before="120"/>
        <w:rPr>
          <w:snapToGrid w:val="0"/>
        </w:rPr>
      </w:pPr>
      <w:r>
        <w:rPr>
          <w:snapToGrid w:val="0"/>
        </w:rPr>
        <w:lastRenderedPageBreak/>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No. 69 of 2006 s. 18; No. 25 of 2019 s. 37.]</w:t>
      </w:r>
    </w:p>
    <w:p>
      <w:pPr>
        <w:pStyle w:val="Heading5"/>
        <w:spacing w:before="180"/>
        <w:rPr>
          <w:snapToGrid w:val="0"/>
        </w:rPr>
      </w:pPr>
      <w:bookmarkStart w:id="29" w:name="_Toc106096777"/>
      <w:r>
        <w:rPr>
          <w:rStyle w:val="CharSectno"/>
        </w:rPr>
        <w:t>25</w:t>
      </w:r>
      <w:r>
        <w:rPr>
          <w:snapToGrid w:val="0"/>
        </w:rPr>
        <w:t>.</w:t>
      </w:r>
      <w:r>
        <w:rPr>
          <w:snapToGrid w:val="0"/>
        </w:rPr>
        <w:tab/>
        <w:t>Remuneration of licensed valuers</w:t>
      </w:r>
      <w:bookmarkEnd w:id="29"/>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r>
      <w:r>
        <w:t>Penalty for this subsection: a fine of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No. 15 of 1984 s. 6; No. 69 of 2006 s. 19; No. 58 of 2010 s. 31; No. 25 of 2019 s. 37.]</w:t>
      </w:r>
    </w:p>
    <w:p>
      <w:pPr>
        <w:pStyle w:val="Heading3"/>
        <w:keepLines/>
        <w:spacing w:before="200"/>
      </w:pPr>
      <w:bookmarkStart w:id="30" w:name="_Toc106010048"/>
      <w:bookmarkStart w:id="31" w:name="_Toc106010145"/>
      <w:bookmarkStart w:id="32" w:name="_Toc106096778"/>
      <w:r>
        <w:rPr>
          <w:rStyle w:val="CharDivNo"/>
        </w:rPr>
        <w:lastRenderedPageBreak/>
        <w:t>Division 2</w:t>
      </w:r>
      <w:r>
        <w:rPr>
          <w:snapToGrid w:val="0"/>
        </w:rPr>
        <w:t> — </w:t>
      </w:r>
      <w:r>
        <w:rPr>
          <w:rStyle w:val="CharDivText"/>
        </w:rPr>
        <w:t>Discipline</w:t>
      </w:r>
      <w:bookmarkEnd w:id="30"/>
      <w:bookmarkEnd w:id="31"/>
      <w:bookmarkEnd w:id="32"/>
    </w:p>
    <w:p>
      <w:pPr>
        <w:pStyle w:val="Heading5"/>
        <w:spacing w:before="180"/>
        <w:rPr>
          <w:snapToGrid w:val="0"/>
        </w:rPr>
      </w:pPr>
      <w:bookmarkStart w:id="33" w:name="_Toc106096779"/>
      <w:r>
        <w:rPr>
          <w:rStyle w:val="CharSectno"/>
        </w:rPr>
        <w:t>26</w:t>
      </w:r>
      <w:r>
        <w:rPr>
          <w:snapToGrid w:val="0"/>
        </w:rPr>
        <w:t>.</w:t>
      </w:r>
      <w:r>
        <w:rPr>
          <w:snapToGrid w:val="0"/>
        </w:rPr>
        <w:tab/>
        <w:t>Licensed valuers’ code of conduct</w:t>
      </w:r>
      <w:bookmarkEnd w:id="33"/>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No. 15 of 1984 s. 7; amended: No. 58 of 2010 s. 31.]</w:t>
      </w:r>
    </w:p>
    <w:p>
      <w:pPr>
        <w:pStyle w:val="Heading5"/>
        <w:rPr>
          <w:snapToGrid w:val="0"/>
        </w:rPr>
      </w:pPr>
      <w:bookmarkStart w:id="34" w:name="_Toc106096780"/>
      <w:r>
        <w:rPr>
          <w:rStyle w:val="CharSectno"/>
        </w:rPr>
        <w:t>27</w:t>
      </w:r>
      <w:r>
        <w:rPr>
          <w:snapToGrid w:val="0"/>
        </w:rPr>
        <w:t>.</w:t>
      </w:r>
      <w:r>
        <w:rPr>
          <w:snapToGrid w:val="0"/>
        </w:rPr>
        <w:tab/>
        <w:t>Disciplinary proceedings against licensed valuers</w:t>
      </w:r>
      <w:bookmarkEnd w:id="34"/>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No. 55 of 2004 s. 597; amended: No. 58 of 2010 s. 31.]</w:t>
      </w:r>
    </w:p>
    <w:p>
      <w:pPr>
        <w:pStyle w:val="Heading5"/>
        <w:rPr>
          <w:snapToGrid w:val="0"/>
        </w:rPr>
      </w:pPr>
      <w:bookmarkStart w:id="35" w:name="_Toc106096781"/>
      <w:r>
        <w:rPr>
          <w:rStyle w:val="CharSectno"/>
        </w:rPr>
        <w:t>28</w:t>
      </w:r>
      <w:r>
        <w:rPr>
          <w:snapToGrid w:val="0"/>
        </w:rPr>
        <w:t>.</w:t>
      </w:r>
      <w:r>
        <w:rPr>
          <w:snapToGrid w:val="0"/>
        </w:rPr>
        <w:tab/>
        <w:t>SAT’s powers on disciplinary proceedings</w:t>
      </w:r>
      <w:bookmarkEnd w:id="35"/>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lastRenderedPageBreak/>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No. 55 of 2004 s. 598; No. 69 of 2006 s. 20.]</w:t>
      </w:r>
    </w:p>
    <w:p>
      <w:pPr>
        <w:pStyle w:val="Heading2"/>
      </w:pPr>
      <w:bookmarkStart w:id="36" w:name="_Toc106010052"/>
      <w:bookmarkStart w:id="37" w:name="_Toc106010149"/>
      <w:bookmarkStart w:id="38" w:name="_Toc106096782"/>
      <w:r>
        <w:rPr>
          <w:rStyle w:val="CharPartNo"/>
        </w:rPr>
        <w:lastRenderedPageBreak/>
        <w:t>Part V</w:t>
      </w:r>
      <w:r>
        <w:rPr>
          <w:rStyle w:val="CharDivNo"/>
        </w:rPr>
        <w:t> </w:t>
      </w:r>
      <w:r>
        <w:t>—</w:t>
      </w:r>
      <w:r>
        <w:rPr>
          <w:rStyle w:val="CharDivText"/>
        </w:rPr>
        <w:t> </w:t>
      </w:r>
      <w:r>
        <w:rPr>
          <w:rStyle w:val="CharPartText"/>
        </w:rPr>
        <w:t>Miscellaneous</w:t>
      </w:r>
      <w:bookmarkEnd w:id="36"/>
      <w:bookmarkEnd w:id="37"/>
      <w:bookmarkEnd w:id="38"/>
    </w:p>
    <w:p>
      <w:pPr>
        <w:pStyle w:val="Heading5"/>
        <w:spacing w:before="120"/>
        <w:rPr>
          <w:snapToGrid w:val="0"/>
        </w:rPr>
      </w:pPr>
      <w:bookmarkStart w:id="39" w:name="_Toc106096783"/>
      <w:r>
        <w:rPr>
          <w:rStyle w:val="CharSectno"/>
        </w:rPr>
        <w:t>29</w:t>
      </w:r>
      <w:r>
        <w:rPr>
          <w:snapToGrid w:val="0"/>
        </w:rPr>
        <w:t>.</w:t>
      </w:r>
      <w:r>
        <w:rPr>
          <w:snapToGrid w:val="0"/>
        </w:rPr>
        <w:tab/>
        <w:t>Register of licensed valuers</w:t>
      </w:r>
      <w:bookmarkEnd w:id="39"/>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No. 58 of 2010 s. 31.]</w:t>
      </w:r>
    </w:p>
    <w:p>
      <w:pPr>
        <w:pStyle w:val="Heading5"/>
        <w:spacing w:before="120"/>
        <w:rPr>
          <w:snapToGrid w:val="0"/>
        </w:rPr>
      </w:pPr>
      <w:bookmarkStart w:id="40" w:name="_Toc106096784"/>
      <w:r>
        <w:rPr>
          <w:rStyle w:val="CharSectno"/>
        </w:rPr>
        <w:t>29A</w:t>
      </w:r>
      <w:r>
        <w:rPr>
          <w:snapToGrid w:val="0"/>
        </w:rPr>
        <w:t>.</w:t>
      </w:r>
      <w:r>
        <w:rPr>
          <w:snapToGrid w:val="0"/>
        </w:rPr>
        <w:tab/>
        <w:t>Change of particulars, licensee to notify Commissioner</w:t>
      </w:r>
      <w:bookmarkEnd w:id="40"/>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r>
      <w:r>
        <w:t>Penalty for this subsection: a fine of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No. 56 of 1995 s. 30; amended: No. 69 of 2006 s. 21; No. 58 of 2010 s. 31; No. 25 of 2019 s. 37.]</w:t>
      </w:r>
    </w:p>
    <w:p>
      <w:pPr>
        <w:pStyle w:val="Heading5"/>
        <w:spacing w:before="120"/>
        <w:rPr>
          <w:snapToGrid w:val="0"/>
        </w:rPr>
      </w:pPr>
      <w:bookmarkStart w:id="41" w:name="_Toc106096785"/>
      <w:r>
        <w:rPr>
          <w:rStyle w:val="CharSectno"/>
        </w:rPr>
        <w:t>30</w:t>
      </w:r>
      <w:r>
        <w:rPr>
          <w:snapToGrid w:val="0"/>
        </w:rPr>
        <w:t>.</w:t>
      </w:r>
      <w:r>
        <w:rPr>
          <w:snapToGrid w:val="0"/>
        </w:rPr>
        <w:tab/>
        <w:t>Commissioner’s certificate</w:t>
      </w:r>
      <w:bookmarkEnd w:id="41"/>
    </w:p>
    <w:p>
      <w:pPr>
        <w:pStyle w:val="Ednotesubsection"/>
      </w:pPr>
      <w:r>
        <w:tab/>
        <w:t>[(1), (2)</w:t>
      </w:r>
      <w:r>
        <w:tab/>
        <w:t>deleted]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lastRenderedPageBreak/>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No. 58 of 2010 s. 31; No. 23 of 2014 s. 22.]</w:t>
      </w:r>
    </w:p>
    <w:p>
      <w:pPr>
        <w:pStyle w:val="Heading5"/>
        <w:rPr>
          <w:snapToGrid w:val="0"/>
        </w:rPr>
      </w:pPr>
      <w:bookmarkStart w:id="42" w:name="_Toc106096786"/>
      <w:r>
        <w:rPr>
          <w:rStyle w:val="CharSectno"/>
        </w:rPr>
        <w:t>31</w:t>
      </w:r>
      <w:r>
        <w:rPr>
          <w:snapToGrid w:val="0"/>
        </w:rPr>
        <w:t>.</w:t>
      </w:r>
      <w:r>
        <w:rPr>
          <w:snapToGrid w:val="0"/>
        </w:rPr>
        <w:tab/>
        <w:t>Annual report by department</w:t>
      </w:r>
      <w:bookmarkEnd w:id="42"/>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No. 55 of 2004 s. 599; No. 58 of 2010 s. 26 and 31.]</w:t>
      </w:r>
    </w:p>
    <w:p>
      <w:pPr>
        <w:pStyle w:val="Ednotesection"/>
      </w:pPr>
      <w:r>
        <w:t>[</w:t>
      </w:r>
      <w:r>
        <w:rPr>
          <w:b/>
        </w:rPr>
        <w:t>32.</w:t>
      </w:r>
      <w:r>
        <w:tab/>
        <w:t>Deleted: No. 58 of 2010 s. 27.]</w:t>
      </w:r>
    </w:p>
    <w:p>
      <w:pPr>
        <w:pStyle w:val="Heading5"/>
      </w:pPr>
      <w:bookmarkStart w:id="43" w:name="_Toc106096787"/>
      <w:r>
        <w:rPr>
          <w:rStyle w:val="CharSectno"/>
        </w:rPr>
        <w:lastRenderedPageBreak/>
        <w:t>33</w:t>
      </w:r>
      <w:r>
        <w:t>.</w:t>
      </w:r>
      <w:r>
        <w:tab/>
        <w:t>Confidentiality of information officially obtained</w:t>
      </w:r>
      <w:bookmarkEnd w:id="43"/>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No. 58 of 2010 s. 28.]</w:t>
      </w:r>
    </w:p>
    <w:p>
      <w:pPr>
        <w:pStyle w:val="Heading5"/>
      </w:pPr>
      <w:bookmarkStart w:id="44" w:name="_Toc106096788"/>
      <w:r>
        <w:rPr>
          <w:rStyle w:val="CharSectno"/>
        </w:rPr>
        <w:t>33A</w:t>
      </w:r>
      <w:r>
        <w:t>.</w:t>
      </w:r>
      <w:r>
        <w:tab/>
        <w:t>Offence of giving false or misleading information</w:t>
      </w:r>
      <w:bookmarkEnd w:id="44"/>
    </w:p>
    <w:p>
      <w:pPr>
        <w:pStyle w:val="Subsection"/>
      </w:pPr>
      <w:r>
        <w:tab/>
        <w:t>(1)</w:t>
      </w:r>
      <w:r>
        <w:tab/>
        <w:t>A person who gives false or misleading information to the Commissioner when required to give information to the Commissioner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if the person does 1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33A inserted: No. 25 of 2019 s. 36.]</w:t>
      </w:r>
    </w:p>
    <w:p>
      <w:pPr>
        <w:pStyle w:val="Heading5"/>
        <w:rPr>
          <w:snapToGrid w:val="0"/>
        </w:rPr>
      </w:pPr>
      <w:bookmarkStart w:id="45" w:name="_Toc106096789"/>
      <w:r>
        <w:rPr>
          <w:rStyle w:val="CharSectno"/>
        </w:rPr>
        <w:t>34</w:t>
      </w:r>
      <w:r>
        <w:rPr>
          <w:snapToGrid w:val="0"/>
        </w:rPr>
        <w:t>.</w:t>
      </w:r>
      <w:r>
        <w:rPr>
          <w:snapToGrid w:val="0"/>
        </w:rPr>
        <w:tab/>
        <w:t>Offences by corporations</w:t>
      </w:r>
      <w:bookmarkEnd w:id="45"/>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46" w:name="_Toc106096790"/>
      <w:r>
        <w:rPr>
          <w:rStyle w:val="CharSectno"/>
        </w:rPr>
        <w:lastRenderedPageBreak/>
        <w:t>35</w:t>
      </w:r>
      <w:r>
        <w:rPr>
          <w:snapToGrid w:val="0"/>
        </w:rPr>
        <w:t>.</w:t>
      </w:r>
      <w:r>
        <w:rPr>
          <w:snapToGrid w:val="0"/>
        </w:rPr>
        <w:tab/>
        <w:t>Proceedings for offences</w:t>
      </w:r>
      <w:bookmarkEnd w:id="46"/>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No. 59 of 2004 s. 141; No. 84 of 2004 s. 78; No. 58 of 2010 s. 31.]</w:t>
      </w:r>
    </w:p>
    <w:p>
      <w:pPr>
        <w:pStyle w:val="Heading5"/>
        <w:rPr>
          <w:snapToGrid w:val="0"/>
        </w:rPr>
      </w:pPr>
      <w:bookmarkStart w:id="47" w:name="_Toc106096791"/>
      <w:r>
        <w:rPr>
          <w:rStyle w:val="CharSectno"/>
        </w:rPr>
        <w:t>36</w:t>
      </w:r>
      <w:r>
        <w:rPr>
          <w:snapToGrid w:val="0"/>
        </w:rPr>
        <w:t>.</w:t>
      </w:r>
      <w:r>
        <w:rPr>
          <w:snapToGrid w:val="0"/>
        </w:rPr>
        <w:tab/>
        <w:t>Regulations</w:t>
      </w:r>
      <w:bookmarkEnd w:id="47"/>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Ednotesubsection"/>
        <w:keepNext/>
      </w:pPr>
      <w:r>
        <w:lastRenderedPageBreak/>
        <w:tab/>
        <w:t>[(3)</w:t>
      </w:r>
      <w:r>
        <w:tab/>
        <w:t>deleted]</w:t>
      </w:r>
    </w:p>
    <w:p>
      <w:pPr>
        <w:pStyle w:val="Footnotesection"/>
      </w:pPr>
      <w:r>
        <w:tab/>
        <w:t>[Section 36 amended: No. 65 of 1987 s. 38; No. 56 of 1995 s. 31; No. 55 of 2004 s. 600; No. 69 of 2006 s. 23; No. 58 of 2010 s. 29; No. 34 of 2020 s. 99(2).]</w:t>
      </w:r>
    </w:p>
    <w:p>
      <w:pPr>
        <w:pStyle w:val="Heading2"/>
      </w:pPr>
      <w:bookmarkStart w:id="48" w:name="_Toc106010062"/>
      <w:bookmarkStart w:id="49" w:name="_Toc106010159"/>
      <w:bookmarkStart w:id="50" w:name="_Toc106096792"/>
      <w:r>
        <w:rPr>
          <w:rStyle w:val="CharPartNo"/>
        </w:rPr>
        <w:lastRenderedPageBreak/>
        <w:t>Part VI</w:t>
      </w:r>
      <w:r>
        <w:rPr>
          <w:b w:val="0"/>
        </w:rPr>
        <w:t> </w:t>
      </w:r>
      <w:r>
        <w:t>—</w:t>
      </w:r>
      <w:r>
        <w:rPr>
          <w:b w:val="0"/>
        </w:rPr>
        <w:t> </w:t>
      </w:r>
      <w:r>
        <w:rPr>
          <w:rStyle w:val="CharPartText"/>
        </w:rPr>
        <w:t>Miscellaneous transitional matters</w:t>
      </w:r>
      <w:bookmarkEnd w:id="48"/>
      <w:bookmarkEnd w:id="49"/>
      <w:bookmarkEnd w:id="50"/>
    </w:p>
    <w:p>
      <w:pPr>
        <w:pStyle w:val="Footnotesection"/>
        <w:spacing w:before="100"/>
        <w:ind w:left="890" w:hanging="890"/>
      </w:pPr>
      <w:r>
        <w:tab/>
        <w:t>[Heading inserted: No. 58 of 2010 s. 30.]</w:t>
      </w:r>
    </w:p>
    <w:p>
      <w:pPr>
        <w:pStyle w:val="Heading5"/>
      </w:pPr>
      <w:bookmarkStart w:id="51" w:name="_Toc106096793"/>
      <w:r>
        <w:rPr>
          <w:rStyle w:val="CharSectno"/>
        </w:rPr>
        <w:t>37</w:t>
      </w:r>
      <w:r>
        <w:t>.</w:t>
      </w:r>
      <w:r>
        <w:tab/>
        <w:t>Terms used</w:t>
      </w:r>
      <w:bookmarkEnd w:id="51"/>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No. 58 of 2010 s. 30.]</w:t>
      </w:r>
    </w:p>
    <w:p>
      <w:pPr>
        <w:pStyle w:val="Heading5"/>
      </w:pPr>
      <w:bookmarkStart w:id="52" w:name="_Toc106096794"/>
      <w:r>
        <w:rPr>
          <w:rStyle w:val="CharSectno"/>
        </w:rPr>
        <w:t>38</w:t>
      </w:r>
      <w:r>
        <w:t>.</w:t>
      </w:r>
      <w:r>
        <w:tab/>
        <w:t>Former Board abolished</w:t>
      </w:r>
      <w:bookmarkEnd w:id="52"/>
    </w:p>
    <w:p>
      <w:pPr>
        <w:pStyle w:val="Subsection"/>
      </w:pPr>
      <w:r>
        <w:tab/>
      </w:r>
      <w:r>
        <w:tab/>
        <w:t>Subject to sections 44 and 45, at the beginning of the commencement day, the former Board is abolished and its members go out of office.</w:t>
      </w:r>
    </w:p>
    <w:p>
      <w:pPr>
        <w:pStyle w:val="Footnotesection"/>
      </w:pPr>
      <w:r>
        <w:tab/>
        <w:t>[Section 38 inserted: No. 58 of 2010 s. 30.]</w:t>
      </w:r>
    </w:p>
    <w:p>
      <w:pPr>
        <w:pStyle w:val="Heading5"/>
      </w:pPr>
      <w:bookmarkStart w:id="53" w:name="_Toc106096795"/>
      <w:r>
        <w:rPr>
          <w:rStyle w:val="CharSectno"/>
        </w:rPr>
        <w:t>39</w:t>
      </w:r>
      <w:r>
        <w:t>.</w:t>
      </w:r>
      <w:r>
        <w:tab/>
        <w:t>References to former Board or Registrar</w:t>
      </w:r>
      <w:bookmarkEnd w:id="53"/>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No. 58 of 2010 s. 30.]</w:t>
      </w:r>
    </w:p>
    <w:p>
      <w:pPr>
        <w:pStyle w:val="Heading5"/>
      </w:pPr>
      <w:bookmarkStart w:id="54" w:name="_Toc106096796"/>
      <w:r>
        <w:rPr>
          <w:rStyle w:val="CharSectno"/>
        </w:rPr>
        <w:lastRenderedPageBreak/>
        <w:t>40</w:t>
      </w:r>
      <w:r>
        <w:t>.</w:t>
      </w:r>
      <w:r>
        <w:tab/>
        <w:t>Immunity continues</w:t>
      </w:r>
      <w:bookmarkEnd w:id="54"/>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No. 58 of 2010 s. 30.]</w:t>
      </w:r>
    </w:p>
    <w:p>
      <w:pPr>
        <w:pStyle w:val="Heading5"/>
      </w:pPr>
      <w:bookmarkStart w:id="55" w:name="_Toc106096797"/>
      <w:r>
        <w:rPr>
          <w:rStyle w:val="CharSectno"/>
        </w:rPr>
        <w:t>41</w:t>
      </w:r>
      <w:r>
        <w:t>.</w:t>
      </w:r>
      <w:r>
        <w:tab/>
        <w:t>Notices of maximum amounts of remuneration</w:t>
      </w:r>
      <w:bookmarkEnd w:id="55"/>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No. 58 of 2010 s. 30.]</w:t>
      </w:r>
    </w:p>
    <w:p>
      <w:pPr>
        <w:pStyle w:val="Heading5"/>
      </w:pPr>
      <w:bookmarkStart w:id="56" w:name="_Toc106096798"/>
      <w:r>
        <w:rPr>
          <w:rStyle w:val="CharSectno"/>
        </w:rPr>
        <w:t>42</w:t>
      </w:r>
      <w:r>
        <w:t>.</w:t>
      </w:r>
      <w:r>
        <w:tab/>
        <w:t>Unfinished proceedings by former Registrar</w:t>
      </w:r>
      <w:bookmarkEnd w:id="56"/>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No. 58 of 2010 s. 30.]</w:t>
      </w:r>
    </w:p>
    <w:p>
      <w:pPr>
        <w:pStyle w:val="Heading5"/>
      </w:pPr>
      <w:bookmarkStart w:id="57" w:name="_Toc106096799"/>
      <w:r>
        <w:rPr>
          <w:rStyle w:val="CharSectno"/>
        </w:rPr>
        <w:t>43</w:t>
      </w:r>
      <w:r>
        <w:t>.</w:t>
      </w:r>
      <w:r>
        <w:tab/>
        <w:t>Unfinished proceedings by former Board</w:t>
      </w:r>
      <w:bookmarkEnd w:id="57"/>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lastRenderedPageBreak/>
        <w:tab/>
        <w:t>(b)</w:t>
      </w:r>
      <w:r>
        <w:tab/>
        <w:t>are to continue under the direction and control of the Commissioner.</w:t>
      </w:r>
    </w:p>
    <w:p>
      <w:pPr>
        <w:pStyle w:val="Footnotesection"/>
      </w:pPr>
      <w:r>
        <w:tab/>
        <w:t>[Section 43 inserted: No. 58 of 2010 s. 30.]</w:t>
      </w:r>
    </w:p>
    <w:p>
      <w:pPr>
        <w:pStyle w:val="Heading5"/>
      </w:pPr>
      <w:bookmarkStart w:id="58" w:name="_Toc106096800"/>
      <w:r>
        <w:rPr>
          <w:rStyle w:val="CharSectno"/>
        </w:rPr>
        <w:t>44</w:t>
      </w:r>
      <w:r>
        <w:t>.</w:t>
      </w:r>
      <w:r>
        <w:tab/>
        <w:t>Winding</w:t>
      </w:r>
      <w:r>
        <w:noBreakHyphen/>
        <w:t>up by former Board</w:t>
      </w:r>
      <w:bookmarkEnd w:id="58"/>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No. 58 of 2010 s. 30.]</w:t>
      </w:r>
    </w:p>
    <w:p>
      <w:pPr>
        <w:pStyle w:val="Heading5"/>
      </w:pPr>
      <w:bookmarkStart w:id="59" w:name="_Toc106096801"/>
      <w:r>
        <w:rPr>
          <w:rStyle w:val="CharSectno"/>
        </w:rPr>
        <w:t>45</w:t>
      </w:r>
      <w:r>
        <w:t>.</w:t>
      </w:r>
      <w:r>
        <w:tab/>
        <w:t>Final report by former Board</w:t>
      </w:r>
      <w:bookmarkEnd w:id="59"/>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No. 58 of 2010 s. 30.]</w:t>
      </w:r>
    </w:p>
    <w:p>
      <w:pPr>
        <w:pStyle w:val="Heading5"/>
      </w:pPr>
      <w:bookmarkStart w:id="60" w:name="_Toc106096802"/>
      <w:r>
        <w:rPr>
          <w:rStyle w:val="CharSectno"/>
        </w:rPr>
        <w:lastRenderedPageBreak/>
        <w:t>46</w:t>
      </w:r>
      <w:r>
        <w:t>.</w:t>
      </w:r>
      <w:r>
        <w:tab/>
        <w:t>Transitional regulations</w:t>
      </w:r>
      <w:bookmarkEnd w:id="60"/>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lastRenderedPageBreak/>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61" w:name="_Toc106010073"/>
      <w:bookmarkStart w:id="62" w:name="_Toc106010170"/>
      <w:bookmarkStart w:id="63" w:name="_Toc106096803"/>
      <w:r>
        <w:lastRenderedPageBreak/>
        <w:t>Notes</w:t>
      </w:r>
      <w:bookmarkEnd w:id="61"/>
      <w:bookmarkEnd w:id="62"/>
      <w:bookmarkEnd w:id="63"/>
    </w:p>
    <w:p>
      <w:pPr>
        <w:pStyle w:val="nStatement"/>
      </w:pPr>
      <w:r>
        <w:t xml:space="preserve">This is a compilation of the </w:t>
      </w:r>
      <w:r>
        <w:rPr>
          <w:i/>
          <w:noProof/>
        </w:rPr>
        <w:t>Land Valuers Licensing Act 1978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4" w:name="_Toc106096804"/>
      <w: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13"/>
            </w:pPr>
            <w:r>
              <w:rPr>
                <w:i/>
              </w:rPr>
              <w:t>Land Valuers Licensing Act 1978</w:t>
            </w:r>
          </w:p>
        </w:tc>
        <w:tc>
          <w:tcPr>
            <w:tcW w:w="1134" w:type="dxa"/>
            <w:tcBorders>
              <w:top w:val="single" w:sz="8" w:space="0" w:color="auto"/>
            </w:tcBorders>
          </w:tcPr>
          <w:p>
            <w:pPr>
              <w:pStyle w:val="nTable"/>
              <w:spacing w:after="40"/>
            </w:pPr>
            <w:r>
              <w:t>55 of 1978</w:t>
            </w:r>
          </w:p>
        </w:tc>
        <w:tc>
          <w:tcPr>
            <w:tcW w:w="1134" w:type="dxa"/>
            <w:tcBorders>
              <w:top w:val="single" w:sz="8" w:space="0" w:color="auto"/>
            </w:tcBorders>
          </w:tcPr>
          <w:p>
            <w:pPr>
              <w:pStyle w:val="nTable"/>
              <w:spacing w:after="40"/>
            </w:pPr>
            <w:r>
              <w:t>6 Sep 1978</w:t>
            </w:r>
          </w:p>
        </w:tc>
        <w:tc>
          <w:tcPr>
            <w:tcW w:w="2552" w:type="dxa"/>
            <w:tcBorders>
              <w:top w:val="single" w:sz="8" w:space="0" w:color="auto"/>
            </w:tcBorders>
          </w:tcPr>
          <w:p>
            <w:pPr>
              <w:pStyle w:val="nTable"/>
              <w:spacing w:after="40"/>
            </w:pPr>
            <w:r>
              <w:t xml:space="preserve">1 Jul 1979 (see s. 2 and </w:t>
            </w:r>
            <w:r>
              <w:rPr>
                <w:i/>
              </w:rPr>
              <w:t>Gazette</w:t>
            </w:r>
            <w:r>
              <w:t xml:space="preserve"> 22 Jun 1979 p. 1677)</w:t>
            </w:r>
          </w:p>
        </w:tc>
      </w:tr>
      <w:tr>
        <w:trPr>
          <w:cantSplit/>
        </w:trPr>
        <w:tc>
          <w:tcPr>
            <w:tcW w:w="2269" w:type="dxa"/>
          </w:tcPr>
          <w:p>
            <w:pPr>
              <w:pStyle w:val="nTable"/>
              <w:spacing w:after="40"/>
              <w:ind w:right="113"/>
              <w:rPr>
                <w:i/>
                <w:vertAlign w:val="superscript"/>
              </w:rPr>
            </w:pPr>
            <w:r>
              <w:rPr>
                <w:i/>
              </w:rPr>
              <w:t>Land Valuers Licensing Amendment Act 1984</w:t>
            </w:r>
            <w:r>
              <w:rPr>
                <w:i/>
                <w:vertAlign w:val="superscript"/>
              </w:rPr>
              <w:t> </w:t>
            </w:r>
            <w:r>
              <w:rPr>
                <w:vertAlign w:val="superscript"/>
              </w:rPr>
              <w:t>1</w:t>
            </w:r>
          </w:p>
        </w:tc>
        <w:tc>
          <w:tcPr>
            <w:tcW w:w="1134" w:type="dxa"/>
          </w:tcPr>
          <w:p>
            <w:pPr>
              <w:pStyle w:val="nTable"/>
              <w:spacing w:after="40"/>
            </w:pPr>
            <w:r>
              <w:t>15 of 1984</w:t>
            </w:r>
          </w:p>
        </w:tc>
        <w:tc>
          <w:tcPr>
            <w:tcW w:w="1134" w:type="dxa"/>
          </w:tcPr>
          <w:p>
            <w:pPr>
              <w:pStyle w:val="nTable"/>
              <w:spacing w:after="40"/>
            </w:pPr>
            <w:r>
              <w:t>31 May 1984</w:t>
            </w:r>
          </w:p>
        </w:tc>
        <w:tc>
          <w:tcPr>
            <w:tcW w:w="2552" w:type="dxa"/>
          </w:tcPr>
          <w:p>
            <w:pPr>
              <w:pStyle w:val="nTable"/>
              <w:spacing w:after="40"/>
            </w:pPr>
            <w:r>
              <w:t>Act other than s. 3 and 7: 28 Jun 1984 (see s. 2(1));</w:t>
            </w:r>
            <w:r>
              <w:br/>
              <w:t xml:space="preserve">s. 3 and 7: 26 Jul 1985 (see s. 2(2) and </w:t>
            </w:r>
            <w:r>
              <w:rPr>
                <w:i/>
              </w:rPr>
              <w:t>Gazette</w:t>
            </w:r>
            <w:r>
              <w:t xml:space="preserve"> 26 Jul 1985 p. 2639)</w:t>
            </w:r>
          </w:p>
        </w:tc>
      </w:tr>
      <w:tr>
        <w:trPr>
          <w:cantSplit/>
        </w:trPr>
        <w:tc>
          <w:tcPr>
            <w:tcW w:w="2269" w:type="dxa"/>
          </w:tcPr>
          <w:p>
            <w:pPr>
              <w:pStyle w:val="nTable"/>
              <w:spacing w:after="40"/>
              <w:ind w:right="113"/>
            </w:pPr>
            <w:r>
              <w:rPr>
                <w:i/>
              </w:rPr>
              <w:t>Acts Amendment (Legal Practitioners, Costs and Taxation) Act 1987</w:t>
            </w:r>
            <w:r>
              <w:t xml:space="preserve"> Pt. XI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9" w:type="dxa"/>
          </w:tcPr>
          <w:p>
            <w:pPr>
              <w:pStyle w:val="nTable"/>
              <w:spacing w:after="40"/>
              <w:ind w:right="113"/>
            </w:pPr>
            <w:r>
              <w:rPr>
                <w:i/>
              </w:rPr>
              <w:t xml:space="preserve">Acts Amendment (Public Sector Management) Act 1994 </w:t>
            </w:r>
            <w:r>
              <w:t>s. 3(1)</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rPr>
                <w:vertAlign w:val="superscript"/>
              </w:rPr>
            </w:pPr>
            <w:r>
              <w:rPr>
                <w:i/>
              </w:rPr>
              <w:t xml:space="preserve">Business Licensing Amendment Act 1995 </w:t>
            </w:r>
            <w:r>
              <w:t>Pt. 6</w:t>
            </w:r>
            <w:r>
              <w:rPr>
                <w:vertAlign w:val="superscript"/>
              </w:rPr>
              <w:t> 2</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7089" w:type="dxa"/>
            <w:gridSpan w:val="4"/>
          </w:tcPr>
          <w:p>
            <w:pPr>
              <w:pStyle w:val="nTable"/>
              <w:spacing w:after="40"/>
            </w:pPr>
            <w:r>
              <w:rPr>
                <w:b/>
              </w:rPr>
              <w:t xml:space="preserve">Reprint of the </w:t>
            </w:r>
            <w:r>
              <w:rPr>
                <w:b/>
                <w:i/>
              </w:rPr>
              <w:t>Land Valuers Licensing Act 1978</w:t>
            </w:r>
            <w:r>
              <w:rPr>
                <w:b/>
              </w:rPr>
              <w:t xml:space="preserve"> as at 3 May 2002</w:t>
            </w:r>
            <w:r>
              <w:br/>
              <w:t>(includes amendments listed above)</w:t>
            </w:r>
          </w:p>
        </w:tc>
      </w:tr>
      <w:tr>
        <w:trPr>
          <w:cantSplit/>
        </w:trPr>
        <w:tc>
          <w:tcPr>
            <w:tcW w:w="2269" w:type="dxa"/>
          </w:tcPr>
          <w:p>
            <w:pPr>
              <w:pStyle w:val="nTable"/>
              <w:spacing w:after="40"/>
              <w:ind w:right="113"/>
            </w:pPr>
            <w:r>
              <w:rPr>
                <w:i/>
              </w:rPr>
              <w:t xml:space="preserve">Acts Amendment and Repeal (Courts and Legal Practice) Act 2003 </w:t>
            </w:r>
            <w:r>
              <w:t>s. 44 and 115</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9" w:type="dxa"/>
          </w:tcPr>
          <w:p>
            <w:pPr>
              <w:pStyle w:val="nTable"/>
              <w:spacing w:after="40"/>
              <w:ind w:right="113"/>
              <w:rPr>
                <w:vertAlign w:val="superscript"/>
              </w:rPr>
            </w:pPr>
            <w:r>
              <w:rPr>
                <w:i/>
              </w:rPr>
              <w:t>Statutes (Repeals and Minor Amendments) Act 2003</w:t>
            </w:r>
            <w:r>
              <w:t xml:space="preserve"> s. 74</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2269"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ind w:right="113"/>
              <w:rPr>
                <w:i/>
              </w:rPr>
            </w:pPr>
            <w:r>
              <w:rPr>
                <w:i/>
                <w:snapToGrid w:val="0"/>
              </w:rPr>
              <w:lastRenderedPageBreak/>
              <w:t xml:space="preserve">State Administrative Tribunal (Conferral of Jurisdiction) Amendment and Repeal Act 2004 </w:t>
            </w:r>
            <w:r>
              <w:rPr>
                <w:snapToGrid w:val="0"/>
              </w:rPr>
              <w:t>Pt. 2 Div. 70</w:t>
            </w:r>
            <w:r>
              <w:rPr>
                <w:snapToGrid w:val="0"/>
                <w:vertAlign w:val="superscript"/>
              </w:rPr>
              <w:t> 3</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9" w:type="dxa"/>
          </w:tcPr>
          <w:p>
            <w:pPr>
              <w:pStyle w:val="nTable"/>
              <w:spacing w:after="40"/>
              <w:ind w:right="113"/>
              <w:rPr>
                <w:i/>
                <w:snapToGrid w:val="0"/>
                <w:vertAlign w:val="superscript"/>
              </w:rPr>
            </w:pPr>
            <w:r>
              <w:rPr>
                <w:i/>
                <w:snapToGrid w:val="0"/>
              </w:rPr>
              <w:t>Criminal Procedure and Appeals (Consequential and Other Provisions) Act 2004</w:t>
            </w:r>
            <w:r>
              <w:rPr>
                <w:snapToGrid w:val="0"/>
              </w:rPr>
              <w:t xml:space="preserve"> s. 78 </w:t>
            </w:r>
            <w:r>
              <w:rPr>
                <w:snapToGrid w:val="0"/>
                <w:vertAlign w:val="superscript"/>
              </w:rPr>
              <w:t>4</w:t>
            </w:r>
          </w:p>
        </w:tc>
        <w:tc>
          <w:tcPr>
            <w:tcW w:w="1134" w:type="dxa"/>
          </w:tcPr>
          <w:p>
            <w:pPr>
              <w:pStyle w:val="nTable"/>
              <w:spacing w:after="40"/>
            </w:pPr>
            <w:r>
              <w:rPr>
                <w:snapToGrid w:val="0"/>
              </w:rPr>
              <w:t>84 of 2004 (as amended by No. 2 of 2008 s. 78(2)(b))</w:t>
            </w:r>
          </w:p>
        </w:tc>
        <w:tc>
          <w:tcPr>
            <w:tcW w:w="1134" w:type="dxa"/>
          </w:tcPr>
          <w:p>
            <w:pPr>
              <w:pStyle w:val="nTable"/>
              <w:spacing w:after="40"/>
            </w:pPr>
            <w:r>
              <w:t>16 Dec 2004</w:t>
            </w:r>
          </w:p>
        </w:tc>
        <w:tc>
          <w:tcPr>
            <w:tcW w:w="2552" w:type="dxa"/>
          </w:tcPr>
          <w:p>
            <w:pPr>
              <w:pStyle w:val="nTable"/>
              <w:spacing w:after="40"/>
              <w:rPr>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2:  The </w:t>
            </w:r>
            <w:r>
              <w:rPr>
                <w:b/>
                <w:i/>
              </w:rPr>
              <w:t>Land Valuers Licensing Act 1978</w:t>
            </w:r>
            <w:r>
              <w:rPr>
                <w:b/>
              </w:rPr>
              <w:t xml:space="preserve"> as at 12 May 2006</w:t>
            </w:r>
            <w:r>
              <w:br/>
              <w:t>(includes amendments listed above)</w:t>
            </w:r>
          </w:p>
        </w:tc>
      </w:tr>
      <w:tr>
        <w:trPr>
          <w:cantSplit/>
        </w:trPr>
        <w:tc>
          <w:tcPr>
            <w:tcW w:w="2269" w:type="dxa"/>
          </w:tcPr>
          <w:p>
            <w:pPr>
              <w:pStyle w:val="nTable"/>
              <w:spacing w:after="40"/>
              <w:ind w:right="113"/>
              <w:rPr>
                <w:iCs/>
                <w:snapToGrid w:val="0"/>
              </w:rPr>
            </w:pPr>
            <w:r>
              <w:rPr>
                <w:i/>
                <w:snapToGrid w:val="0"/>
              </w:rPr>
              <w:t>Consumer Protection Legislation Amendment and Repeal Act 2006</w:t>
            </w:r>
            <w:r>
              <w:rPr>
                <w:iCs/>
                <w:snapToGrid w:val="0"/>
              </w:rPr>
              <w:t xml:space="preserve"> Pt. 6</w:t>
            </w:r>
          </w:p>
        </w:tc>
        <w:tc>
          <w:tcPr>
            <w:tcW w:w="1134" w:type="dxa"/>
          </w:tcPr>
          <w:p>
            <w:pPr>
              <w:pStyle w:val="nTable"/>
              <w:spacing w:after="40"/>
            </w:pPr>
            <w:r>
              <w:rPr>
                <w:snapToGrid w:val="0"/>
              </w:rPr>
              <w:t>69 of 2006</w:t>
            </w:r>
          </w:p>
        </w:tc>
        <w:tc>
          <w:tcPr>
            <w:tcW w:w="1134" w:type="dxa"/>
          </w:tcPr>
          <w:p>
            <w:pPr>
              <w:pStyle w:val="nTable"/>
              <w:spacing w:after="40"/>
            </w:pPr>
            <w:r>
              <w:t>13 Dec 2006</w:t>
            </w:r>
          </w:p>
        </w:tc>
        <w:tc>
          <w:tcPr>
            <w:tcW w:w="2552" w:type="dxa"/>
          </w:tcPr>
          <w:p>
            <w:pPr>
              <w:pStyle w:val="nTable"/>
              <w:spacing w:after="40"/>
              <w:rPr>
                <w:spacing w:val="-2"/>
              </w:rPr>
            </w:pPr>
            <w:r>
              <w:rPr>
                <w:snapToGrid w:val="0"/>
              </w:rPr>
              <w:t xml:space="preserve">14 Jul 2007 (see s. 2 and </w:t>
            </w:r>
            <w:r>
              <w:rPr>
                <w:i/>
                <w:iCs/>
                <w:snapToGrid w:val="0"/>
              </w:rPr>
              <w:t>Gazette</w:t>
            </w:r>
            <w:r>
              <w:rPr>
                <w:snapToGrid w:val="0"/>
              </w:rPr>
              <w:t xml:space="preserve"> 13 Jul 2007 p. 3453)</w:t>
            </w:r>
          </w:p>
        </w:tc>
      </w:tr>
      <w:tr>
        <w:trPr>
          <w:cantSplit/>
        </w:trPr>
        <w:tc>
          <w:tcPr>
            <w:tcW w:w="2269" w:type="dxa"/>
          </w:tcPr>
          <w:p>
            <w:pPr>
              <w:pStyle w:val="nTable"/>
              <w:spacing w:after="40"/>
              <w:ind w:right="113"/>
              <w:rPr>
                <w:i/>
                <w:snapToGrid w:val="0"/>
                <w:vertAlign w:val="superscript"/>
              </w:rPr>
            </w:pPr>
            <w:r>
              <w:rPr>
                <w:i/>
                <w:snapToGrid w:val="0"/>
              </w:rPr>
              <w:t>Criminal Law and Evidence Amendment Act 2008</w:t>
            </w:r>
            <w:r>
              <w:rPr>
                <w:iCs/>
                <w:snapToGrid w:val="0"/>
              </w:rPr>
              <w:t xml:space="preserve"> s. 65</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9" w:type="dxa"/>
          </w:tcPr>
          <w:p>
            <w:pPr>
              <w:pStyle w:val="nTable"/>
              <w:spacing w:after="40"/>
              <w:ind w:right="113"/>
              <w:rPr>
                <w:i/>
                <w:snapToGrid w:val="0"/>
              </w:rPr>
            </w:pPr>
            <w:r>
              <w:rPr>
                <w:i/>
                <w:iCs/>
                <w:snapToGrid w:val="0"/>
              </w:rPr>
              <w:t>Legal Profession Act 2008</w:t>
            </w:r>
            <w:r>
              <w:rPr>
                <w:snapToGrid w:val="0"/>
              </w:rPr>
              <w:t xml:space="preserve"> s. 671</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7089" w:type="dxa"/>
            <w:gridSpan w:val="4"/>
          </w:tcPr>
          <w:p>
            <w:pPr>
              <w:pStyle w:val="nTable"/>
              <w:spacing w:after="40"/>
              <w:rPr>
                <w:snapToGrid w:val="0"/>
                <w:spacing w:val="-2"/>
              </w:rPr>
            </w:pPr>
            <w:r>
              <w:rPr>
                <w:b/>
              </w:rPr>
              <w:t xml:space="preserve">Reprint 3:  The </w:t>
            </w:r>
            <w:r>
              <w:rPr>
                <w:b/>
                <w:i/>
              </w:rPr>
              <w:t>Land Valuers Licensing Act 1978</w:t>
            </w:r>
            <w:r>
              <w:rPr>
                <w:b/>
              </w:rPr>
              <w:t xml:space="preserve"> as at 17 Jul 2009</w:t>
            </w:r>
            <w:r>
              <w:br/>
              <w:t>(includes amendments listed above)</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49</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shd w:val="clear" w:color="auto" w:fill="auto"/>
          </w:tcPr>
          <w:p>
            <w:pPr>
              <w:pStyle w:val="nTable"/>
              <w:spacing w:after="40"/>
              <w:rPr>
                <w:i/>
                <w:snapToGrid w:val="0"/>
              </w:rPr>
            </w:pPr>
            <w:r>
              <w:rPr>
                <w:i/>
                <w:snapToGrid w:val="0"/>
              </w:rPr>
              <w:t>Acts Amendment (Fair Trading) Act 2010</w:t>
            </w:r>
            <w:r>
              <w:rPr>
                <w:snapToGrid w:val="0"/>
              </w:rPr>
              <w:t xml:space="preserve"> Pt. 3</w:t>
            </w:r>
          </w:p>
        </w:tc>
        <w:tc>
          <w:tcPr>
            <w:tcW w:w="1134" w:type="dxa"/>
            <w:shd w:val="clear" w:color="auto" w:fill="auto"/>
          </w:tcPr>
          <w:p>
            <w:pPr>
              <w:pStyle w:val="nTable"/>
              <w:spacing w:after="40"/>
            </w:pPr>
            <w:r>
              <w:t>58 of 2010</w:t>
            </w:r>
          </w:p>
        </w:tc>
        <w:tc>
          <w:tcPr>
            <w:tcW w:w="1134" w:type="dxa"/>
            <w:shd w:val="clear" w:color="auto" w:fill="auto"/>
          </w:tcPr>
          <w:p>
            <w:pPr>
              <w:pStyle w:val="nTable"/>
              <w:spacing w:after="40"/>
            </w:pPr>
            <w:r>
              <w:t>8 Dec 2010</w:t>
            </w:r>
          </w:p>
        </w:tc>
        <w:tc>
          <w:tcPr>
            <w:tcW w:w="2552" w:type="dxa"/>
            <w:shd w:val="clear" w:color="auto" w:fill="auto"/>
          </w:tcPr>
          <w:p>
            <w:pPr>
              <w:pStyle w:val="nTable"/>
              <w:spacing w:after="40"/>
            </w:pPr>
            <w:r>
              <w:t xml:space="preserve">1 Jul 2011 (see s. 2(c) and </w:t>
            </w:r>
            <w:r>
              <w:rPr>
                <w:i/>
              </w:rPr>
              <w:t>Gazette</w:t>
            </w:r>
            <w:r>
              <w:t xml:space="preserve"> 7 Jun 2011 p. 2057)</w:t>
            </w:r>
          </w:p>
        </w:tc>
      </w:tr>
      <w:tr>
        <w:trPr>
          <w:cantSplit/>
        </w:trPr>
        <w:tc>
          <w:tcPr>
            <w:tcW w:w="7089" w:type="dxa"/>
            <w:gridSpan w:val="4"/>
            <w:shd w:val="clear" w:color="auto" w:fill="auto"/>
          </w:tcPr>
          <w:p>
            <w:pPr>
              <w:pStyle w:val="nTable"/>
              <w:spacing w:after="40"/>
            </w:pPr>
            <w:r>
              <w:rPr>
                <w:b/>
              </w:rPr>
              <w:t xml:space="preserve">Reprint 4:  The </w:t>
            </w:r>
            <w:r>
              <w:rPr>
                <w:b/>
                <w:i/>
              </w:rPr>
              <w:t>Land Valuers Licensing Act 1978</w:t>
            </w:r>
            <w:r>
              <w:rPr>
                <w:b/>
              </w:rPr>
              <w:t xml:space="preserve"> as at 14 Oct  2011</w:t>
            </w:r>
            <w:r>
              <w:br/>
              <w:t xml:space="preserve">(includes amendments listed above) (correction to reprint in </w:t>
            </w:r>
            <w:r>
              <w:rPr>
                <w:i/>
              </w:rPr>
              <w:t>Gazette</w:t>
            </w:r>
            <w:r>
              <w:t xml:space="preserve"> 24 Aug 2012 p. 3959)</w:t>
            </w:r>
          </w:p>
        </w:tc>
      </w:tr>
      <w:tr>
        <w:trPr>
          <w:cantSplit/>
        </w:trPr>
        <w:tc>
          <w:tcPr>
            <w:tcW w:w="2269" w:type="dxa"/>
            <w:shd w:val="clear" w:color="auto" w:fill="auto"/>
          </w:tcPr>
          <w:p>
            <w:pPr>
              <w:pStyle w:val="nTable"/>
              <w:spacing w:after="40"/>
              <w:rPr>
                <w:i/>
                <w:snapToGrid w:val="0"/>
              </w:rPr>
            </w:pPr>
            <w:r>
              <w:rPr>
                <w:i/>
                <w:snapToGrid w:val="0"/>
              </w:rPr>
              <w:t>Consumer Protection Legislation Amendment Act 2014</w:t>
            </w:r>
            <w:r>
              <w:rPr>
                <w:snapToGrid w:val="0"/>
              </w:rPr>
              <w:t xml:space="preserve"> Pt. 5</w:t>
            </w:r>
          </w:p>
        </w:tc>
        <w:tc>
          <w:tcPr>
            <w:tcW w:w="1134" w:type="dxa"/>
            <w:shd w:val="clear" w:color="auto" w:fill="auto"/>
          </w:tcPr>
          <w:p>
            <w:pPr>
              <w:pStyle w:val="nTable"/>
              <w:spacing w:after="40"/>
            </w:pPr>
            <w:r>
              <w:rPr>
                <w:snapToGrid w:val="0"/>
              </w:rPr>
              <w:t>23 of 2014</w:t>
            </w:r>
          </w:p>
        </w:tc>
        <w:tc>
          <w:tcPr>
            <w:tcW w:w="1134" w:type="dxa"/>
            <w:shd w:val="clear" w:color="auto" w:fill="auto"/>
          </w:tcPr>
          <w:p>
            <w:pPr>
              <w:pStyle w:val="nTable"/>
              <w:spacing w:after="40"/>
            </w:pPr>
            <w:r>
              <w:rPr>
                <w:snapToGrid w:val="0"/>
              </w:rPr>
              <w:t>9 Oct 2014</w:t>
            </w:r>
          </w:p>
        </w:tc>
        <w:tc>
          <w:tcPr>
            <w:tcW w:w="2552" w:type="dxa"/>
            <w:shd w:val="clear" w:color="auto" w:fill="auto"/>
          </w:tcPr>
          <w:p>
            <w:pPr>
              <w:pStyle w:val="nTable"/>
              <w:spacing w:after="40"/>
            </w:pPr>
            <w:r>
              <w:rPr>
                <w:snapToGrid w:val="0"/>
              </w:rPr>
              <w:t xml:space="preserve">19 Nov 2014 (see s. 2(b) and </w:t>
            </w:r>
            <w:r>
              <w:rPr>
                <w:i/>
                <w:snapToGrid w:val="0"/>
              </w:rPr>
              <w:t>Gazette</w:t>
            </w:r>
            <w:r>
              <w:rPr>
                <w:snapToGrid w:val="0"/>
              </w:rPr>
              <w:t xml:space="preserve"> 18 Nov 2014 p. 4315)</w:t>
            </w:r>
          </w:p>
        </w:tc>
      </w:tr>
      <w:tr>
        <w:trPr>
          <w:cantSplit/>
        </w:trPr>
        <w:tc>
          <w:tcPr>
            <w:tcW w:w="2269" w:type="dxa"/>
            <w:shd w:val="clear" w:color="auto" w:fill="auto"/>
          </w:tcPr>
          <w:p>
            <w:pPr>
              <w:pStyle w:val="nTable"/>
              <w:spacing w:after="40"/>
              <w:rPr>
                <w:i/>
                <w:snapToGrid w:val="0"/>
              </w:rPr>
            </w:pPr>
            <w:r>
              <w:rPr>
                <w:i/>
              </w:rPr>
              <w:t>Licensing Provisions Amendment Act 2016</w:t>
            </w:r>
            <w:r>
              <w:t xml:space="preserve"> Pt. 4</w:t>
            </w:r>
            <w:r>
              <w:rPr>
                <w:vertAlign w:val="superscript"/>
              </w:rPr>
              <w:t> </w:t>
            </w:r>
          </w:p>
        </w:tc>
        <w:tc>
          <w:tcPr>
            <w:tcW w:w="1134" w:type="dxa"/>
            <w:shd w:val="clear" w:color="auto" w:fill="auto"/>
          </w:tcPr>
          <w:p>
            <w:pPr>
              <w:pStyle w:val="nTable"/>
              <w:spacing w:after="40"/>
              <w:rPr>
                <w:snapToGrid w:val="0"/>
              </w:rPr>
            </w:pPr>
            <w:r>
              <w:t>44 of 2016</w:t>
            </w:r>
          </w:p>
        </w:tc>
        <w:tc>
          <w:tcPr>
            <w:tcW w:w="1134" w:type="dxa"/>
            <w:shd w:val="clear" w:color="auto" w:fill="auto"/>
          </w:tcPr>
          <w:p>
            <w:pPr>
              <w:pStyle w:val="nTable"/>
              <w:spacing w:after="40"/>
              <w:rPr>
                <w:snapToGrid w:val="0"/>
              </w:rPr>
            </w:pPr>
            <w:r>
              <w:t>1 Dec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 xml:space="preserve">Gazette </w:t>
            </w:r>
            <w:r>
              <w:rPr>
                <w:snapToGrid w:val="0"/>
              </w:rPr>
              <w:t>30 Jun 2017 p. 3551)</w:t>
            </w:r>
          </w:p>
        </w:tc>
      </w:tr>
      <w:tr>
        <w:trPr>
          <w:cantSplit/>
        </w:trPr>
        <w:tc>
          <w:tcPr>
            <w:tcW w:w="2269" w:type="dxa"/>
            <w:shd w:val="clear" w:color="auto" w:fill="auto"/>
          </w:tcPr>
          <w:p>
            <w:pPr>
              <w:pStyle w:val="nTable"/>
              <w:spacing w:after="40"/>
            </w:pPr>
            <w:r>
              <w:rPr>
                <w:i/>
              </w:rPr>
              <w:t xml:space="preserve">Consumer Protection Legislation Amendment Act 2019 </w:t>
            </w:r>
            <w:r>
              <w:t>Pt. 7</w:t>
            </w:r>
          </w:p>
        </w:tc>
        <w:tc>
          <w:tcPr>
            <w:tcW w:w="1134" w:type="dxa"/>
            <w:shd w:val="clear" w:color="auto" w:fill="auto"/>
          </w:tcPr>
          <w:p>
            <w:pPr>
              <w:pStyle w:val="nTable"/>
              <w:spacing w:after="40"/>
            </w:pPr>
            <w:r>
              <w:t>25 of 2019</w:t>
            </w:r>
          </w:p>
        </w:tc>
        <w:tc>
          <w:tcPr>
            <w:tcW w:w="1134" w:type="dxa"/>
            <w:shd w:val="clear" w:color="auto" w:fill="auto"/>
          </w:tcPr>
          <w:p>
            <w:pPr>
              <w:pStyle w:val="nTable"/>
              <w:spacing w:after="40"/>
            </w:pPr>
            <w:r>
              <w:t>24 Oct 2019</w:t>
            </w:r>
          </w:p>
        </w:tc>
        <w:tc>
          <w:tcPr>
            <w:tcW w:w="2552" w:type="dxa"/>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r>
        <w:trPr>
          <w:cantSplit/>
        </w:trPr>
        <w:tc>
          <w:tcPr>
            <w:tcW w:w="2269" w:type="dxa"/>
            <w:tcBorders>
              <w:bottom w:val="single" w:sz="4" w:space="0" w:color="auto"/>
            </w:tcBorders>
            <w:shd w:val="clear" w:color="auto" w:fill="auto"/>
          </w:tcPr>
          <w:p>
            <w:pPr>
              <w:pStyle w:val="nTable"/>
              <w:spacing w:after="40"/>
            </w:pPr>
            <w:r>
              <w:rPr>
                <w:i/>
              </w:rPr>
              <w:t>COVID</w:t>
            </w:r>
            <w:r>
              <w:rPr>
                <w:i/>
              </w:rPr>
              <w:noBreakHyphen/>
              <w:t>19 Response and Economic Recovery Omnibus Act 2020</w:t>
            </w:r>
            <w:r>
              <w:t xml:space="preserve"> s. 99</w:t>
            </w:r>
          </w:p>
        </w:tc>
        <w:tc>
          <w:tcPr>
            <w:tcW w:w="1134" w:type="dxa"/>
            <w:tcBorders>
              <w:bottom w:val="single" w:sz="4" w:space="0" w:color="auto"/>
            </w:tcBorders>
            <w:shd w:val="clear" w:color="auto" w:fill="auto"/>
          </w:tcPr>
          <w:p>
            <w:pPr>
              <w:pStyle w:val="nTable"/>
              <w:spacing w:after="40"/>
            </w:pPr>
            <w:r>
              <w:t>34 of 2020</w:t>
            </w:r>
          </w:p>
        </w:tc>
        <w:tc>
          <w:tcPr>
            <w:tcW w:w="1134" w:type="dxa"/>
            <w:tcBorders>
              <w:bottom w:val="single" w:sz="4" w:space="0" w:color="auto"/>
            </w:tcBorders>
            <w:shd w:val="clear" w:color="auto" w:fill="auto"/>
          </w:tcPr>
          <w:p>
            <w:pPr>
              <w:pStyle w:val="nTable"/>
              <w:spacing w:after="40"/>
            </w:pPr>
            <w:r>
              <w:t>11 Sep 2020</w:t>
            </w:r>
          </w:p>
        </w:tc>
        <w:tc>
          <w:tcPr>
            <w:tcW w:w="2552" w:type="dxa"/>
            <w:tcBorders>
              <w:bottom w:val="single" w:sz="4" w:space="0" w:color="auto"/>
            </w:tcBorders>
            <w:shd w:val="clear" w:color="auto" w:fill="auto"/>
          </w:tcPr>
          <w:p>
            <w:pPr>
              <w:pStyle w:val="nTable"/>
              <w:spacing w:after="40"/>
              <w:rPr>
                <w:snapToGrid w:val="0"/>
              </w:rPr>
            </w:pPr>
            <w:r>
              <w:rPr>
                <w:snapToGrid w:val="0"/>
              </w:rPr>
              <w:t>12 Sep 2020 (see s. 2(b))</w:t>
            </w:r>
          </w:p>
        </w:tc>
      </w:tr>
    </w:tbl>
    <w:p>
      <w:pPr>
        <w:pStyle w:val="nHeading3"/>
      </w:pPr>
      <w:bookmarkStart w:id="65" w:name="_Toc106096805"/>
      <w:r>
        <w:lastRenderedPageBreak/>
        <w:t>Uncommenced provisions table</w:t>
      </w:r>
      <w:bookmarkEnd w:id="65"/>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Mutual Recognition (Western Australia) Amendment Act 2022</w:t>
            </w:r>
            <w:r>
              <w:t xml:space="preserve"> Pt. 3 Div. 8</w:t>
            </w:r>
          </w:p>
        </w:tc>
        <w:tc>
          <w:tcPr>
            <w:tcW w:w="1134" w:type="dxa"/>
            <w:tcBorders>
              <w:bottom w:val="nil"/>
            </w:tcBorders>
          </w:tcPr>
          <w:p>
            <w:pPr>
              <w:pStyle w:val="nTable"/>
              <w:spacing w:after="40"/>
            </w:pPr>
            <w:r>
              <w:t>7 of 2022</w:t>
            </w:r>
          </w:p>
        </w:tc>
        <w:tc>
          <w:tcPr>
            <w:tcW w:w="1134" w:type="dxa"/>
            <w:tcBorders>
              <w:bottom w:val="nil"/>
            </w:tcBorders>
          </w:tcPr>
          <w:p>
            <w:pPr>
              <w:pStyle w:val="nTable"/>
              <w:spacing w:after="40"/>
            </w:pPr>
            <w:r>
              <w:t>29 Mar 2022</w:t>
            </w:r>
          </w:p>
        </w:tc>
        <w:tc>
          <w:tcPr>
            <w:tcW w:w="2552" w:type="dxa"/>
            <w:tcBorders>
              <w:bottom w:val="nil"/>
            </w:tcBorders>
          </w:tcPr>
          <w:p>
            <w:pPr>
              <w:pStyle w:val="nTable"/>
              <w:spacing w:after="40"/>
            </w:pPr>
            <w:r>
              <w:t>1 Jul 2022 (see s. 2(b) and SL 2022/80 cl. 2)</w:t>
            </w:r>
          </w:p>
        </w:tc>
      </w:tr>
      <w:tr>
        <w:tc>
          <w:tcPr>
            <w:tcW w:w="2268" w:type="dxa"/>
            <w:tcBorders>
              <w:top w:val="nil"/>
            </w:tcBorders>
          </w:tcPr>
          <w:p>
            <w:pPr>
              <w:pStyle w:val="nTable"/>
              <w:spacing w:after="40"/>
            </w:pPr>
            <w:r>
              <w:rPr>
                <w:i/>
              </w:rPr>
              <w:t>Legal Profession Uniform Law Application Act 2022</w:t>
            </w:r>
            <w:r>
              <w:t xml:space="preserve"> s. 424</w:t>
            </w:r>
          </w:p>
        </w:tc>
        <w:tc>
          <w:tcPr>
            <w:tcW w:w="1134" w:type="dxa"/>
            <w:tcBorders>
              <w:top w:val="nil"/>
            </w:tcBorders>
          </w:tcPr>
          <w:p>
            <w:pPr>
              <w:pStyle w:val="nTable"/>
              <w:spacing w:after="40"/>
            </w:pPr>
            <w:r>
              <w:t>9 of 2022</w:t>
            </w:r>
          </w:p>
        </w:tc>
        <w:tc>
          <w:tcPr>
            <w:tcW w:w="1134" w:type="dxa"/>
            <w:tcBorders>
              <w:top w:val="nil"/>
            </w:tcBorders>
          </w:tcPr>
          <w:p>
            <w:pPr>
              <w:pStyle w:val="nTable"/>
              <w:spacing w:after="40"/>
            </w:pPr>
            <w:r>
              <w:t>14 Apr 2022</w:t>
            </w:r>
          </w:p>
        </w:tc>
        <w:tc>
          <w:tcPr>
            <w:tcW w:w="2552" w:type="dxa"/>
            <w:tcBorders>
              <w:top w:val="nil"/>
            </w:tcBorders>
          </w:tcPr>
          <w:p>
            <w:pPr>
              <w:pStyle w:val="nTable"/>
              <w:spacing w:after="40"/>
            </w:pPr>
            <w:r>
              <w:t>To be proclaimed (see s. 2(c))</w:t>
            </w:r>
          </w:p>
        </w:tc>
      </w:tr>
    </w:tbl>
    <w:p>
      <w:pPr>
        <w:pStyle w:val="nHeading3"/>
      </w:pPr>
      <w:bookmarkStart w:id="66" w:name="_Toc106096806"/>
      <w:r>
        <w:t>Other notes</w:t>
      </w:r>
      <w:bookmarkEnd w:id="66"/>
    </w:p>
    <w:p>
      <w:pPr>
        <w:pStyle w:val="nNote"/>
        <w:keepNext/>
        <w:keepLines/>
        <w:spacing w:before="120"/>
        <w:rPr>
          <w:snapToGrid w:val="0"/>
        </w:rPr>
      </w:pPr>
      <w:r>
        <w:rPr>
          <w:snapToGrid w:val="0"/>
          <w:vertAlign w:val="superscript"/>
        </w:rPr>
        <w:t>1</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Note"/>
        <w:spacing w:before="120"/>
        <w:ind w:left="459" w:hanging="459"/>
        <w:rPr>
          <w:snapToGrid w:val="0"/>
        </w:rPr>
      </w:pPr>
      <w:r>
        <w:rPr>
          <w:snapToGrid w:val="0"/>
          <w:vertAlign w:val="superscript"/>
        </w:rPr>
        <w:t>2</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Note"/>
        <w:spacing w:before="120"/>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spacing w:before="120"/>
        <w:rPr>
          <w:snapToGrid w:val="0"/>
        </w:rPr>
      </w:pPr>
      <w:r>
        <w:rPr>
          <w:vertAlign w:val="superscript"/>
        </w:rPr>
        <w:t>4</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68" w:name="_Toc106010077"/>
      <w:bookmarkStart w:id="69" w:name="_Toc106010174"/>
      <w:bookmarkStart w:id="70" w:name="_Toc106096807"/>
      <w:r>
        <w:rPr>
          <w:sz w:val="28"/>
        </w:rPr>
        <w:lastRenderedPageBreak/>
        <w:t>Defined terms</w:t>
      </w:r>
      <w:bookmarkEnd w:id="68"/>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w:t>
      </w:r>
      <w:r>
        <w:tab/>
        <w:t>4</w:t>
      </w:r>
    </w:p>
    <w:p>
      <w:pPr>
        <w:pStyle w:val="DefinedTerms"/>
      </w:pPr>
      <w:r>
        <w:t>Australian Property Institute</w:t>
      </w:r>
      <w:r>
        <w:tab/>
        <w:t>4</w:t>
      </w:r>
    </w:p>
    <w:p>
      <w:pPr>
        <w:pStyle w:val="DefinedTerms"/>
      </w:pPr>
      <w:r>
        <w:t>commencement day</w:t>
      </w:r>
      <w:r>
        <w:tab/>
        <w:t>37</w:t>
      </w:r>
    </w:p>
    <w:p>
      <w:pPr>
        <w:pStyle w:val="DefinedTerms"/>
      </w:pPr>
      <w:r>
        <w:t>Commissioner</w:t>
      </w:r>
      <w:r>
        <w:tab/>
        <w:t>4</w:t>
      </w:r>
    </w:p>
    <w:p>
      <w:pPr>
        <w:pStyle w:val="DefinedTerms"/>
      </w:pPr>
      <w:r>
        <w:t>corporation</w:t>
      </w:r>
      <w:r>
        <w:tab/>
        <w:t>4</w:t>
      </w:r>
    </w:p>
    <w:p>
      <w:pPr>
        <w:pStyle w:val="DefinedTerms"/>
      </w:pPr>
      <w:r>
        <w:t>department</w:t>
      </w:r>
      <w:r>
        <w:tab/>
        <w:t>4</w:t>
      </w:r>
    </w:p>
    <w:p>
      <w:pPr>
        <w:pStyle w:val="DefinedTerms"/>
      </w:pPr>
      <w:r>
        <w:t>former Board</w:t>
      </w:r>
      <w:r>
        <w:tab/>
        <w:t>37</w:t>
      </w:r>
    </w:p>
    <w:p>
      <w:pPr>
        <w:pStyle w:val="DefinedTerms"/>
      </w:pPr>
      <w:r>
        <w:t>former Registrar</w:t>
      </w:r>
      <w:r>
        <w:tab/>
        <w:t>37</w:t>
      </w:r>
    </w:p>
    <w:p>
      <w:pPr>
        <w:pStyle w:val="DefinedTerms"/>
      </w:pPr>
      <w:r>
        <w:t>land</w:t>
      </w:r>
      <w:r>
        <w:tab/>
        <w:t>4</w:t>
      </w:r>
    </w:p>
    <w:p>
      <w:pPr>
        <w:pStyle w:val="DefinedTerms"/>
      </w:pPr>
      <w:r>
        <w:t>lawyer</w:t>
      </w:r>
      <w:r>
        <w:tab/>
        <w:t>4</w:t>
      </w:r>
    </w:p>
    <w:p>
      <w:pPr>
        <w:pStyle w:val="DefinedTerms"/>
      </w:pPr>
      <w:r>
        <w:t>legal practitioner</w:t>
      </w:r>
      <w:r>
        <w:tab/>
        <w:t>4</w:t>
      </w:r>
    </w:p>
    <w:p>
      <w:pPr>
        <w:pStyle w:val="DefinedTerms"/>
      </w:pPr>
      <w:r>
        <w:t>liability</w:t>
      </w:r>
      <w:r>
        <w:tab/>
        <w:t>37</w:t>
      </w:r>
    </w:p>
    <w:p>
      <w:pPr>
        <w:pStyle w:val="DefinedTerms"/>
      </w:pPr>
      <w:r>
        <w:t>licence</w:t>
      </w:r>
      <w:r>
        <w:tab/>
        <w:t>4</w:t>
      </w:r>
    </w:p>
    <w:p>
      <w:pPr>
        <w:pStyle w:val="DefinedTerms"/>
      </w:pPr>
      <w:r>
        <w:t>licensed valuer</w:t>
      </w:r>
      <w:r>
        <w:tab/>
        <w:t>4</w:t>
      </w:r>
    </w:p>
    <w:p>
      <w:pPr>
        <w:pStyle w:val="DefinedTerms"/>
      </w:pPr>
      <w:r>
        <w:t>licensed valuers code of conduct</w:t>
      </w:r>
      <w:r>
        <w:tab/>
        <w:t>4</w:t>
      </w:r>
    </w:p>
    <w:p>
      <w:pPr>
        <w:pStyle w:val="DefinedTerms"/>
      </w:pPr>
      <w:r>
        <w:t>officer</w:t>
      </w:r>
      <w:r>
        <w:tab/>
        <w:t>4</w:t>
      </w:r>
    </w:p>
    <w:p>
      <w:pPr>
        <w:pStyle w:val="DefinedTerms"/>
      </w:pPr>
      <w:r>
        <w:t>person aggrieved</w:t>
      </w:r>
      <w:r>
        <w:tab/>
        <w:t>16(2)</w:t>
      </w:r>
    </w:p>
    <w:p>
      <w:pPr>
        <w:pStyle w:val="DefinedTerms"/>
      </w:pPr>
      <w:r>
        <w:t>residual assets</w:t>
      </w:r>
      <w:r>
        <w:tab/>
        <w:t>44</w:t>
      </w:r>
    </w:p>
    <w:p>
      <w:pPr>
        <w:pStyle w:val="DefinedTerms"/>
      </w:pPr>
      <w:r>
        <w:t>reviewable decision</w:t>
      </w:r>
      <w:r>
        <w:tab/>
        <w:t>16(2)</w:t>
      </w:r>
    </w:p>
    <w:p>
      <w:pPr>
        <w:pStyle w:val="DefinedTerms"/>
      </w:pPr>
      <w:r>
        <w:t>right</w:t>
      </w:r>
      <w:r>
        <w:tab/>
        <w:t>37</w:t>
      </w:r>
    </w:p>
    <w:p>
      <w:pPr>
        <w:pStyle w:val="DefinedTerms"/>
      </w:pPr>
      <w:r>
        <w:t>specified</w:t>
      </w:r>
      <w:r>
        <w:tab/>
        <w:t>46(6)</w:t>
      </w:r>
    </w:p>
    <w:p>
      <w:pPr>
        <w:pStyle w:val="DefinedTerms"/>
      </w:pPr>
      <w:r>
        <w:t>transitional matter</w:t>
      </w:r>
      <w:r>
        <w:tab/>
        <w:t>46(2)</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04-j0-01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Valuers Licensing Act 1978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3102203"/>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 w:name="WAFER_20141119103312" w:val="RemoveTocBookmarks,RunningHeaders"/>
    <w:docVar w:name="WAFER_20141119103312_GUID" w:val="e6f6b6fa-b544-4564-866e-047962d15f5f"/>
    <w:docVar w:name="WAFER_20150519160733" w:val="ResetPageSize,UpdateArrangement,UpdateNTable"/>
    <w:docVar w:name="WAFER_20150519160733_GUID" w:val="db0eb6a1-859c-460f-bf5b-2ea4e6d0f742"/>
    <w:docVar w:name="WAFER_20151105140916" w:val="UpdateStyles,UsedStyles"/>
    <w:docVar w:name="WAFER_20151105140916_GUID" w:val="fdd3cd7c-6974-4d65-a3cf-4a942fc85e67"/>
    <w:docVar w:name="WAFER_20191219140659" w:val="RemoveTocBookmarks,RemoveUnusedBookmarks,RemoveLanguageTags,ResetPageSize,RunningHeaders,UpdateStyles,UsedStyles"/>
    <w:docVar w:name="WAFER_20191219140659_GUID" w:val="7314a8e8-3dfc-4622-b4a6-b7477c491c41"/>
    <w:docVar w:name="WAFER_202002101600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0034_GUID" w:val="c00711b0-bfe0-42ba-86af-0f294d7794b6"/>
    <w:docVar w:name="WAFER_202009111154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115401_GUID" w:val="c128666f-6106-4bcf-9066-bf30192cf507"/>
    <w:docVar w:name="WAFER_202203291549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9154944_GUID" w:val="b4798d31-5be4-4f4a-bd55-d213419d93a2"/>
    <w:docVar w:name="WAFER_202204081622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62242_GUID" w:val="8cc2fe78-ab17-4045-8474-564b5109187d"/>
    <w:docVar w:name="WAFER_20220613102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203_GUID" w:val="a243600d-441e-4ce4-9ad6-18c9bf122d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5:docId w15:val="{83AD877B-29C5-43A9-BCA4-EDEA410E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5865</Words>
  <Characters>27451</Characters>
  <Application>Microsoft Office Word</Application>
  <DocSecurity>0</DocSecurity>
  <Lines>857</Lines>
  <Paragraphs>555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1978 - 04-j0-01</dc:title>
  <dc:subject/>
  <dc:creator/>
  <cp:keywords/>
  <dc:description/>
  <cp:lastModifiedBy>Master Repository Process</cp:lastModifiedBy>
  <cp:revision>4</cp:revision>
  <cp:lastPrinted>2011-11-07T07:27:00Z</cp:lastPrinted>
  <dcterms:created xsi:type="dcterms:W3CDTF">2022-06-17T02:50:00Z</dcterms:created>
  <dcterms:modified xsi:type="dcterms:W3CDTF">2022-06-17T02:50:00Z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DocumentType">
    <vt:lpwstr>Act</vt:lpwstr>
  </property>
  <property fmtid="{D5CDD505-2E9C-101B-9397-08002B2CF9AE}" pid="4" name="OwlsUID">
    <vt:i4>436</vt:i4>
  </property>
  <property fmtid="{D5CDD505-2E9C-101B-9397-08002B2CF9AE}" pid="5" name="ReprintNo">
    <vt:lpwstr>4</vt:lpwstr>
  </property>
  <property fmtid="{D5CDD505-2E9C-101B-9397-08002B2CF9AE}" pid="6" name="ReprintedAsAt">
    <vt:filetime>2011-10-13T16:00:00Z</vt:filetime>
  </property>
  <property fmtid="{D5CDD505-2E9C-101B-9397-08002B2CF9AE}" pid="7" name="AsAtDate">
    <vt:lpwstr>14 Apr 2022</vt:lpwstr>
  </property>
  <property fmtid="{D5CDD505-2E9C-101B-9397-08002B2CF9AE}" pid="8" name="Suffix">
    <vt:lpwstr>04-j0-01</vt:lpwstr>
  </property>
  <property fmtid="{D5CDD505-2E9C-101B-9397-08002B2CF9AE}" pid="9" name="CommencementDate">
    <vt:lpwstr>20220414</vt:lpwstr>
  </property>
</Properties>
</file>