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Penalties (Appeals) Act 1990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_Toc100569303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_Toc100569304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_Toc100569305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Racing Penalties Appeal Tribunal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administration</w:t>
      </w:r>
    </w:p>
    <w:p>
      <w:pPr>
        <w:pStyle w:val="TOC8"/>
        <w:rPr>
          <w:rFonts w:asciiTheme="minorHAnsi" w:eastAsiaTheme="minorEastAsia" w:hAnsiTheme="minorHAnsi" w:cstheme="minorBidi"/>
          <w:szCs w:val="22"/>
        </w:rPr>
      </w:pPr>
      <w:r>
        <w:t>4</w:t>
      </w:r>
      <w:r>
        <w:rPr>
          <w:snapToGrid w:val="0"/>
        </w:rPr>
        <w:t>.</w:t>
      </w:r>
      <w:r>
        <w:rPr>
          <w:snapToGrid w:val="0"/>
        </w:rPr>
        <w:tab/>
        <w:t>Racing Penalties Appeal Tribunal of Western Australia</w:t>
      </w:r>
      <w:r>
        <w:tab/>
      </w:r>
      <w:r>
        <w:fldChar w:fldCharType="begin"/>
      </w:r>
      <w:r>
        <w:instrText xml:space="preserve"> PAGEREF _Toc100569308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 and acting Chairperson</w:t>
      </w:r>
      <w:r>
        <w:tab/>
      </w:r>
      <w:r>
        <w:fldChar w:fldCharType="begin"/>
      </w:r>
      <w:r>
        <w:instrText xml:space="preserve"> PAGEREF _Toc100569309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Panel of members</w:t>
      </w:r>
      <w:r>
        <w:tab/>
      </w:r>
      <w:r>
        <w:fldChar w:fldCharType="begin"/>
      </w:r>
      <w:r>
        <w:instrText xml:space="preserve"> PAGEREF _Toc100569310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Eligibility to sit on particular Tribunal</w:t>
      </w:r>
      <w:r>
        <w:tab/>
      </w:r>
      <w:r>
        <w:fldChar w:fldCharType="begin"/>
      </w:r>
      <w:r>
        <w:instrText xml:space="preserve"> PAGEREF _Toc100569311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Registrar</w:t>
      </w:r>
      <w:r>
        <w:tab/>
      </w:r>
      <w:r>
        <w:fldChar w:fldCharType="begin"/>
      </w:r>
      <w:r>
        <w:instrText xml:space="preserve"> PAGEREF _Toc100569312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with Minister</w:t>
      </w:r>
      <w:r>
        <w:tab/>
      </w:r>
      <w:r>
        <w:fldChar w:fldCharType="begin"/>
      </w:r>
      <w:r>
        <w:instrText xml:space="preserve"> PAGEREF _Toc100569313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and functions</w:t>
      </w:r>
    </w:p>
    <w:p>
      <w:pPr>
        <w:pStyle w:val="TOC8"/>
        <w:rPr>
          <w:rFonts w:asciiTheme="minorHAnsi" w:eastAsiaTheme="minorEastAsia" w:hAnsiTheme="minorHAnsi" w:cstheme="minorBidi"/>
          <w:szCs w:val="22"/>
        </w:rPr>
      </w:pPr>
      <w:r>
        <w:t>10</w:t>
      </w:r>
      <w:r>
        <w:rPr>
          <w:snapToGrid w:val="0"/>
        </w:rPr>
        <w:t>.</w:t>
      </w:r>
      <w:r>
        <w:rPr>
          <w:snapToGrid w:val="0"/>
        </w:rPr>
        <w:tab/>
        <w:t>Jurisdiction, as variously constituted</w:t>
      </w:r>
      <w:r>
        <w:tab/>
      </w:r>
      <w:r>
        <w:fldChar w:fldCharType="begin"/>
      </w:r>
      <w:r>
        <w:instrText xml:space="preserve"> PAGEREF _Toc100569315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before Tribunal</w:t>
      </w:r>
      <w:r>
        <w:tab/>
      </w:r>
      <w:r>
        <w:fldChar w:fldCharType="begin"/>
      </w:r>
      <w:r>
        <w:instrText xml:space="preserve"> PAGEREF _Toc100569316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Appeals which are not to be heard by Tribunal</w:t>
      </w:r>
      <w:r>
        <w:tab/>
      </w:r>
      <w:r>
        <w:fldChar w:fldCharType="begin"/>
      </w:r>
      <w:r>
        <w:instrText xml:space="preserve"> PAGEREF _Toc100569317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Appeals which shall be heard by Tribunal</w:t>
      </w:r>
      <w:r>
        <w:tab/>
      </w:r>
      <w:r>
        <w:fldChar w:fldCharType="begin"/>
      </w:r>
      <w:r>
        <w:instrText xml:space="preserve"> PAGEREF _Toc100569318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Determination of an appeal</w:t>
      </w:r>
      <w:r>
        <w:tab/>
      </w:r>
      <w:r>
        <w:fldChar w:fldCharType="begin"/>
      </w:r>
      <w:r>
        <w:instrText xml:space="preserve"> PAGEREF _Toc100569319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avenues of appeal may no longer be applicable</w:t>
      </w:r>
      <w:r>
        <w:tab/>
      </w:r>
      <w:r>
        <w:fldChar w:fldCharType="begin"/>
      </w:r>
      <w:r>
        <w:instrText xml:space="preserve"> PAGEREF _Toc100569320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Procedures and powers</w:t>
      </w:r>
    </w:p>
    <w:p>
      <w:pPr>
        <w:pStyle w:val="TOC8"/>
        <w:rPr>
          <w:rFonts w:asciiTheme="minorHAnsi" w:eastAsiaTheme="minorEastAsia" w:hAnsiTheme="minorHAnsi" w:cstheme="minorBidi"/>
          <w:szCs w:val="22"/>
        </w:rPr>
      </w:pPr>
      <w:r>
        <w:t>16</w:t>
      </w:r>
      <w:r>
        <w:rPr>
          <w:snapToGrid w:val="0"/>
        </w:rPr>
        <w:t>.</w:t>
      </w:r>
      <w:r>
        <w:rPr>
          <w:snapToGrid w:val="0"/>
        </w:rPr>
        <w:tab/>
        <w:t>Procedure on making an appeal</w:t>
      </w:r>
      <w:r>
        <w:tab/>
      </w:r>
      <w:r>
        <w:fldChar w:fldCharType="begin"/>
      </w:r>
      <w:r>
        <w:instrText xml:space="preserve"> PAGEREF _Toc100569322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Hearing powers</w:t>
      </w:r>
      <w:r>
        <w:tab/>
      </w:r>
      <w:r>
        <w:fldChar w:fldCharType="begin"/>
      </w:r>
      <w:r>
        <w:instrText xml:space="preserve"> PAGEREF _Toc100569323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Withdrawal of appeals</w:t>
      </w:r>
      <w:r>
        <w:tab/>
      </w:r>
      <w:r>
        <w:fldChar w:fldCharType="begin"/>
      </w:r>
      <w:r>
        <w:instrText xml:space="preserve"> PAGEREF _Toc100569324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Disobedience to determinations of Tribunal</w:t>
      </w:r>
      <w:r>
        <w:tab/>
      </w:r>
      <w:r>
        <w:fldChar w:fldCharType="begin"/>
      </w:r>
      <w:r>
        <w:instrText xml:space="preserve"> PAGEREF _Toc100569325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20</w:t>
      </w:r>
      <w:r>
        <w:rPr>
          <w:snapToGrid w:val="0"/>
        </w:rPr>
        <w:t>.</w:t>
      </w:r>
      <w:r>
        <w:rPr>
          <w:snapToGrid w:val="0"/>
        </w:rPr>
        <w:tab/>
        <w:t>Offences</w:t>
      </w:r>
      <w:r>
        <w:tab/>
      </w:r>
      <w:r>
        <w:fldChar w:fldCharType="begin"/>
      </w:r>
      <w:r>
        <w:instrText xml:space="preserve"> PAGEREF _Toc100569327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Reasons for determinations</w:t>
      </w:r>
      <w:r>
        <w:tab/>
      </w:r>
      <w:r>
        <w:fldChar w:fldCharType="begin"/>
      </w:r>
      <w:r>
        <w:instrText xml:space="preserve"> PAGEREF _Toc100569328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w:t>
      </w:r>
      <w:r>
        <w:tab/>
      </w:r>
      <w:r>
        <w:fldChar w:fldCharType="begin"/>
      </w:r>
      <w:r>
        <w:instrText xml:space="preserve"> PAGEREF _Toc100569329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Evidentiary provisions, and recovery of moneys ordered to be paid</w:t>
      </w:r>
      <w:r>
        <w:tab/>
      </w:r>
      <w:r>
        <w:fldChar w:fldCharType="begin"/>
      </w:r>
      <w:r>
        <w:instrText xml:space="preserve"> PAGEREF _Toc100569330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Finance and audit</w:t>
      </w:r>
      <w:r>
        <w:tab/>
      </w:r>
      <w:r>
        <w:fldChar w:fldCharType="begin"/>
      </w:r>
      <w:r>
        <w:instrText xml:space="preserve"> PAGEREF _Toc100569331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_Toc100569332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Transitional</w:t>
      </w:r>
      <w:r>
        <w:tab/>
      </w:r>
      <w:r>
        <w:fldChar w:fldCharType="begin"/>
      </w:r>
      <w:r>
        <w:instrText xml:space="preserve"> PAGEREF _Toc100569333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 </w:t>
      </w:r>
      <w:r>
        <w:rPr>
          <w:bCs/>
        </w:rPr>
        <w:t>Provisions with respect to the constitution and membership of the Racing Penalties Appeal Tribunal of Western Australia</w:t>
      </w:r>
    </w:p>
    <w:p>
      <w:pPr>
        <w:pStyle w:val="TOC8"/>
        <w:rPr>
          <w:rFonts w:asciiTheme="minorHAnsi" w:eastAsiaTheme="minorEastAsia" w:hAnsiTheme="minorHAnsi" w:cstheme="minorBidi"/>
          <w:szCs w:val="22"/>
        </w:rPr>
      </w:pPr>
      <w:r>
        <w:t>1</w:t>
      </w:r>
      <w:r>
        <w:rPr>
          <w:snapToGrid w:val="0"/>
        </w:rPr>
        <w:t>.</w:t>
      </w:r>
      <w:r>
        <w:rPr>
          <w:snapToGrid w:val="0"/>
        </w:rPr>
        <w:tab/>
        <w:t>Public service officer may be member of a Tribunal</w:t>
      </w:r>
      <w:r>
        <w:tab/>
      </w:r>
      <w:r>
        <w:fldChar w:fldCharType="begin"/>
      </w:r>
      <w:r>
        <w:instrText xml:space="preserve"> PAGEREF _Toc100569335 \h </w:instrText>
      </w:r>
      <w:r>
        <w:fldChar w:fldCharType="separate"/>
      </w:r>
      <w:r>
        <w:t>32</w:t>
      </w:r>
      <w:r>
        <w:fldChar w:fldCharType="end"/>
      </w:r>
    </w:p>
    <w:p>
      <w:pPr>
        <w:pStyle w:val="TOC8"/>
        <w:rPr>
          <w:rFonts w:asciiTheme="minorHAnsi" w:eastAsiaTheme="minorEastAsia" w:hAnsiTheme="minorHAnsi" w:cstheme="minorBidi"/>
          <w:szCs w:val="22"/>
        </w:rPr>
      </w:pPr>
      <w:r>
        <w:rPr>
          <w:snapToGrid w:val="0"/>
        </w:rPr>
        <w:t>2.</w:t>
      </w:r>
      <w:r>
        <w:rPr>
          <w:snapToGrid w:val="0"/>
        </w:rPr>
        <w:tab/>
        <w:t>Remuneration</w:t>
      </w:r>
      <w:r>
        <w:tab/>
      </w:r>
      <w:r>
        <w:fldChar w:fldCharType="begin"/>
      </w:r>
      <w:r>
        <w:instrText xml:space="preserve"> PAGEREF _Toc100569336 \h </w:instrText>
      </w:r>
      <w:r>
        <w:fldChar w:fldCharType="separate"/>
      </w:r>
      <w:r>
        <w:t>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Eligibility for, and vacation of, office and conditions of appointment</w:t>
      </w:r>
      <w:r>
        <w:tab/>
      </w:r>
      <w:r>
        <w:fldChar w:fldCharType="begin"/>
      </w:r>
      <w:r>
        <w:instrText xml:space="preserve"> PAGEREF _Toc100569337 \h </w:instrText>
      </w:r>
      <w:r>
        <w:fldChar w:fldCharType="separate"/>
      </w:r>
      <w:r>
        <w:t>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from office</w:t>
      </w:r>
      <w:r>
        <w:tab/>
      </w:r>
      <w:r>
        <w:fldChar w:fldCharType="begin"/>
      </w:r>
      <w:r>
        <w:instrText xml:space="preserve"> PAGEREF _Toc100569338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proceedings etc.</w:t>
      </w:r>
      <w:r>
        <w:tab/>
      </w:r>
      <w:r>
        <w:fldChar w:fldCharType="begin"/>
      </w:r>
      <w:r>
        <w:instrText xml:space="preserve"> PAGEREF _Toc100569339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Presumptions</w:t>
      </w:r>
      <w:r>
        <w:tab/>
      </w:r>
      <w:r>
        <w:fldChar w:fldCharType="begin"/>
      </w:r>
      <w:r>
        <w:instrText xml:space="preserve"> PAGEREF _Toc100569340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_Toc100569342 \h </w:instrText>
      </w:r>
      <w:r>
        <w:fldChar w:fldCharType="separate"/>
      </w:r>
      <w:r>
        <w:t>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_Toc100569343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_Toc100569344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080"/>
      </w:pPr>
      <w:r>
        <w:t>Racing Penalties (Appeals) Act 1990</w:t>
      </w:r>
    </w:p>
    <w:p>
      <w:pPr>
        <w:pStyle w:val="LongTitle"/>
        <w:rPr>
          <w:snapToGrid w:val="0"/>
        </w:rPr>
      </w:pPr>
      <w:r>
        <w:rPr>
          <w:snapToGrid w:val="0"/>
        </w:rPr>
        <w:t>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3" w:name="_Toc100558573"/>
      <w:bookmarkStart w:id="4" w:name="_Toc100558779"/>
      <w:bookmarkStart w:id="5" w:name="_Toc10056930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056930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rPr>
        <w:t>.</w:t>
      </w:r>
    </w:p>
    <w:p>
      <w:pPr>
        <w:pStyle w:val="Heading5"/>
        <w:rPr>
          <w:snapToGrid w:val="0"/>
        </w:rPr>
      </w:pPr>
      <w:bookmarkStart w:id="7" w:name="_Toc10056930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rPr>
          <w:snapToGrid w:val="0"/>
        </w:rPr>
      </w:pPr>
      <w:bookmarkStart w:id="8" w:name="_Toc10056930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lastRenderedPageBreak/>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No. 11 of 1992 s. 70; No. 23 of 1998 s. 20; No. 35 of 2003 s. 180.]</w:t>
      </w:r>
    </w:p>
    <w:p>
      <w:pPr>
        <w:pStyle w:val="Heading2"/>
      </w:pPr>
      <w:bookmarkStart w:id="9" w:name="_Toc100558577"/>
      <w:bookmarkStart w:id="10" w:name="_Toc100558783"/>
      <w:bookmarkStart w:id="11" w:name="_Toc100569306"/>
      <w:r>
        <w:rPr>
          <w:rStyle w:val="CharPartNo"/>
        </w:rPr>
        <w:lastRenderedPageBreak/>
        <w:t>Part 2</w:t>
      </w:r>
      <w:r>
        <w:t> — </w:t>
      </w:r>
      <w:r>
        <w:rPr>
          <w:rStyle w:val="CharPartText"/>
        </w:rPr>
        <w:t>The Racing Penalties Appeal Tribunal of Western Australia</w:t>
      </w:r>
      <w:bookmarkEnd w:id="9"/>
      <w:bookmarkEnd w:id="10"/>
      <w:bookmarkEnd w:id="11"/>
    </w:p>
    <w:p>
      <w:pPr>
        <w:pStyle w:val="Heading3"/>
      </w:pPr>
      <w:bookmarkStart w:id="12" w:name="_Toc100558578"/>
      <w:bookmarkStart w:id="13" w:name="_Toc100558784"/>
      <w:bookmarkStart w:id="14" w:name="_Toc100569307"/>
      <w:r>
        <w:rPr>
          <w:rStyle w:val="CharDivNo"/>
        </w:rPr>
        <w:t>Division 1</w:t>
      </w:r>
      <w:r>
        <w:rPr>
          <w:snapToGrid w:val="0"/>
        </w:rPr>
        <w:t> — </w:t>
      </w:r>
      <w:r>
        <w:rPr>
          <w:rStyle w:val="CharDivText"/>
        </w:rPr>
        <w:t>Constitution and administration</w:t>
      </w:r>
      <w:bookmarkEnd w:id="12"/>
      <w:bookmarkEnd w:id="13"/>
      <w:bookmarkEnd w:id="14"/>
    </w:p>
    <w:p>
      <w:pPr>
        <w:pStyle w:val="Heading5"/>
        <w:rPr>
          <w:snapToGrid w:val="0"/>
        </w:rPr>
      </w:pPr>
      <w:bookmarkStart w:id="15" w:name="_Toc100569308"/>
      <w:r>
        <w:rPr>
          <w:rStyle w:val="CharSectno"/>
        </w:rPr>
        <w:t>4</w:t>
      </w:r>
      <w:r>
        <w:rPr>
          <w:snapToGrid w:val="0"/>
        </w:rPr>
        <w:t>.</w:t>
      </w:r>
      <w:r>
        <w:rPr>
          <w:snapToGrid w:val="0"/>
        </w:rPr>
        <w:tab/>
        <w:t>Racing Penalties Appeal Tribunal of Western Australia</w:t>
      </w:r>
      <w:bookmarkEnd w:id="15"/>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No. 32 of 1994 s. 19.]</w:t>
      </w:r>
    </w:p>
    <w:p>
      <w:pPr>
        <w:pStyle w:val="Heading5"/>
        <w:rPr>
          <w:snapToGrid w:val="0"/>
        </w:rPr>
      </w:pPr>
      <w:bookmarkStart w:id="16" w:name="_Toc100569309"/>
      <w:r>
        <w:rPr>
          <w:rStyle w:val="CharSectno"/>
        </w:rPr>
        <w:t>5</w:t>
      </w:r>
      <w:r>
        <w:rPr>
          <w:snapToGrid w:val="0"/>
        </w:rPr>
        <w:t>.</w:t>
      </w:r>
      <w:r>
        <w:rPr>
          <w:snapToGrid w:val="0"/>
        </w:rPr>
        <w:tab/>
        <w:t>Chairperson and acting Chairperson</w:t>
      </w:r>
      <w:bookmarkEnd w:id="16"/>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lastRenderedPageBreak/>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No. 65 of 2003 s. 116; No. 21 of 2008 s. 695(2).]</w:t>
      </w:r>
    </w:p>
    <w:p>
      <w:pPr>
        <w:pStyle w:val="Heading5"/>
        <w:spacing w:before="180"/>
        <w:rPr>
          <w:snapToGrid w:val="0"/>
        </w:rPr>
      </w:pPr>
      <w:bookmarkStart w:id="17" w:name="_Toc100569310"/>
      <w:r>
        <w:rPr>
          <w:rStyle w:val="CharSectno"/>
        </w:rPr>
        <w:t>6</w:t>
      </w:r>
      <w:r>
        <w:rPr>
          <w:snapToGrid w:val="0"/>
        </w:rPr>
        <w:t>.</w:t>
      </w:r>
      <w:r>
        <w:rPr>
          <w:snapToGrid w:val="0"/>
        </w:rPr>
        <w:tab/>
        <w:t>Panel of members</w:t>
      </w:r>
      <w:bookmarkEnd w:id="17"/>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No. 24 of 2000 s. 37.]</w:t>
      </w:r>
    </w:p>
    <w:p>
      <w:pPr>
        <w:pStyle w:val="Heading5"/>
        <w:rPr>
          <w:snapToGrid w:val="0"/>
        </w:rPr>
      </w:pPr>
      <w:bookmarkStart w:id="18" w:name="_Toc100569311"/>
      <w:r>
        <w:rPr>
          <w:rStyle w:val="CharSectno"/>
        </w:rPr>
        <w:lastRenderedPageBreak/>
        <w:t>7</w:t>
      </w:r>
      <w:r>
        <w:rPr>
          <w:snapToGrid w:val="0"/>
        </w:rPr>
        <w:t>.</w:t>
      </w:r>
      <w:r>
        <w:rPr>
          <w:snapToGrid w:val="0"/>
        </w:rPr>
        <w:tab/>
        <w:t>Eligibility to sit on particular Tribunal</w:t>
      </w:r>
      <w:bookmarkEnd w:id="18"/>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lastRenderedPageBreak/>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No. 35 of 2003 s. 181.]</w:t>
      </w:r>
    </w:p>
    <w:p>
      <w:pPr>
        <w:pStyle w:val="Heading5"/>
        <w:rPr>
          <w:snapToGrid w:val="0"/>
        </w:rPr>
      </w:pPr>
      <w:bookmarkStart w:id="19" w:name="_Toc100569312"/>
      <w:r>
        <w:rPr>
          <w:rStyle w:val="CharSectno"/>
        </w:rPr>
        <w:t>8</w:t>
      </w:r>
      <w:r>
        <w:rPr>
          <w:snapToGrid w:val="0"/>
        </w:rPr>
        <w:t>.</w:t>
      </w:r>
      <w:r>
        <w:rPr>
          <w:snapToGrid w:val="0"/>
        </w:rPr>
        <w:tab/>
        <w:t>Registrar</w:t>
      </w:r>
      <w:bookmarkEnd w:id="19"/>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No. 32 of 1994 s. 19.]</w:t>
      </w:r>
    </w:p>
    <w:p>
      <w:pPr>
        <w:pStyle w:val="Heading5"/>
        <w:rPr>
          <w:snapToGrid w:val="0"/>
        </w:rPr>
      </w:pPr>
      <w:bookmarkStart w:id="20" w:name="_Toc100569313"/>
      <w:r>
        <w:rPr>
          <w:rStyle w:val="CharSectno"/>
        </w:rPr>
        <w:t>9</w:t>
      </w:r>
      <w:r>
        <w:rPr>
          <w:snapToGrid w:val="0"/>
        </w:rPr>
        <w:t>.</w:t>
      </w:r>
      <w:r>
        <w:rPr>
          <w:snapToGrid w:val="0"/>
        </w:rPr>
        <w:tab/>
        <w:t>Relationship with Minister</w:t>
      </w:r>
      <w:bookmarkEnd w:id="20"/>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lastRenderedPageBreak/>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lastRenderedPageBreak/>
        <w:tab/>
        <w:t>(b)</w:t>
      </w:r>
      <w:r>
        <w:tab/>
        <w:t>complying with a written law, or an order or resolution of a House of Parliament, that requires information to be furnished to a House of Parliament.</w:t>
      </w:r>
    </w:p>
    <w:p>
      <w:pPr>
        <w:pStyle w:val="Footnotesection"/>
      </w:pPr>
      <w:r>
        <w:tab/>
        <w:t>[Section 9 amended: No. 77 of 2006 Sch. 1 cl. 143(1).]</w:t>
      </w:r>
    </w:p>
    <w:p>
      <w:pPr>
        <w:pStyle w:val="Heading3"/>
      </w:pPr>
      <w:bookmarkStart w:id="21" w:name="_Toc100558585"/>
      <w:bookmarkStart w:id="22" w:name="_Toc100558791"/>
      <w:bookmarkStart w:id="23" w:name="_Toc100569314"/>
      <w:r>
        <w:rPr>
          <w:rStyle w:val="CharDivNo"/>
        </w:rPr>
        <w:t>Division 2</w:t>
      </w:r>
      <w:r>
        <w:rPr>
          <w:snapToGrid w:val="0"/>
        </w:rPr>
        <w:t> — </w:t>
      </w:r>
      <w:r>
        <w:rPr>
          <w:rStyle w:val="CharDivText"/>
        </w:rPr>
        <w:t>Jurisdiction and functions</w:t>
      </w:r>
      <w:bookmarkEnd w:id="21"/>
      <w:bookmarkEnd w:id="22"/>
      <w:bookmarkEnd w:id="23"/>
    </w:p>
    <w:p>
      <w:pPr>
        <w:pStyle w:val="Heading5"/>
        <w:rPr>
          <w:snapToGrid w:val="0"/>
        </w:rPr>
      </w:pPr>
      <w:bookmarkStart w:id="24" w:name="_Toc100569315"/>
      <w:r>
        <w:rPr>
          <w:rStyle w:val="CharSectno"/>
        </w:rPr>
        <w:t>10</w:t>
      </w:r>
      <w:r>
        <w:rPr>
          <w:snapToGrid w:val="0"/>
        </w:rPr>
        <w:t>.</w:t>
      </w:r>
      <w:r>
        <w:rPr>
          <w:snapToGrid w:val="0"/>
        </w:rPr>
        <w:tab/>
        <w:t>Jurisdiction, as variously constituted</w:t>
      </w:r>
      <w:bookmarkEnd w:id="24"/>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lastRenderedPageBreak/>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25" w:name="_Toc100569316"/>
      <w:r>
        <w:rPr>
          <w:rStyle w:val="CharSectno"/>
        </w:rPr>
        <w:lastRenderedPageBreak/>
        <w:t>11</w:t>
      </w:r>
      <w:r>
        <w:rPr>
          <w:snapToGrid w:val="0"/>
        </w:rPr>
        <w:t>.</w:t>
      </w:r>
      <w:r>
        <w:rPr>
          <w:snapToGrid w:val="0"/>
        </w:rPr>
        <w:tab/>
        <w:t>Proceedings before Tribunal</w:t>
      </w:r>
      <w:bookmarkEnd w:id="25"/>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lastRenderedPageBreak/>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26" w:name="_Toc100569317"/>
      <w:r>
        <w:rPr>
          <w:rStyle w:val="CharSectno"/>
        </w:rPr>
        <w:t>12</w:t>
      </w:r>
      <w:r>
        <w:rPr>
          <w:snapToGrid w:val="0"/>
        </w:rPr>
        <w:t>.</w:t>
      </w:r>
      <w:r>
        <w:rPr>
          <w:snapToGrid w:val="0"/>
        </w:rPr>
        <w:tab/>
        <w:t>Appeals which are not to be heard by Tribunal</w:t>
      </w:r>
      <w:bookmarkEnd w:id="26"/>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w:t>
      </w:r>
      <w:r>
        <w:rPr>
          <w:snapToGrid w:val="0"/>
        </w:rPr>
        <w:lastRenderedPageBreak/>
        <w:t xml:space="preserve">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r>
        <w:tab/>
        <w:t>[Section 12 amended: No. 35 of 2003 s. 182.]</w:t>
      </w:r>
    </w:p>
    <w:p>
      <w:pPr>
        <w:pStyle w:val="Heading5"/>
        <w:rPr>
          <w:snapToGrid w:val="0"/>
        </w:rPr>
      </w:pPr>
      <w:bookmarkStart w:id="27" w:name="_Toc100569318"/>
      <w:r>
        <w:rPr>
          <w:rStyle w:val="CharSectno"/>
        </w:rPr>
        <w:t>13</w:t>
      </w:r>
      <w:r>
        <w:rPr>
          <w:snapToGrid w:val="0"/>
        </w:rPr>
        <w:t>.</w:t>
      </w:r>
      <w:r>
        <w:rPr>
          <w:snapToGrid w:val="0"/>
        </w:rPr>
        <w:tab/>
        <w:t>Appeals which shall be heard by Tribunal</w:t>
      </w:r>
      <w:bookmarkEnd w:id="27"/>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lastRenderedPageBreak/>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 xml:space="preserve">On an application made under subsection (3), the Chairperson may give directions as to the further proceedings in the matter, </w:t>
      </w:r>
      <w:r>
        <w:rPr>
          <w:snapToGrid w:val="0"/>
        </w:rPr>
        <w:lastRenderedPageBreak/>
        <w:t>including directions of a kind to which section 17(7) refers or as to the effect to be given to any determination, and effect shall be given to any such direction by any person to whom the direction applies.</w:t>
      </w:r>
    </w:p>
    <w:p>
      <w:pPr>
        <w:pStyle w:val="Footnotesection"/>
      </w:pPr>
      <w:r>
        <w:tab/>
        <w:t>[Section 13 amended: No. 35 of 2003 s. 183.]</w:t>
      </w:r>
    </w:p>
    <w:p>
      <w:pPr>
        <w:pStyle w:val="Heading5"/>
        <w:rPr>
          <w:snapToGrid w:val="0"/>
        </w:rPr>
      </w:pPr>
      <w:bookmarkStart w:id="28" w:name="_Toc100569319"/>
      <w:r>
        <w:rPr>
          <w:rStyle w:val="CharSectno"/>
        </w:rPr>
        <w:t>14</w:t>
      </w:r>
      <w:r>
        <w:rPr>
          <w:snapToGrid w:val="0"/>
        </w:rPr>
        <w:t>.</w:t>
      </w:r>
      <w:r>
        <w:rPr>
          <w:snapToGrid w:val="0"/>
        </w:rPr>
        <w:tab/>
        <w:t>Determination of an appeal</w:t>
      </w:r>
      <w:bookmarkEnd w:id="28"/>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r>
        <w:tab/>
        <w:t>[Section 14 amended: No. 35 of 2003 s. 184.]</w:t>
      </w:r>
    </w:p>
    <w:p>
      <w:pPr>
        <w:pStyle w:val="Heading5"/>
        <w:rPr>
          <w:snapToGrid w:val="0"/>
        </w:rPr>
      </w:pPr>
      <w:bookmarkStart w:id="29" w:name="_Toc100569320"/>
      <w:r>
        <w:rPr>
          <w:rStyle w:val="CharSectno"/>
        </w:rPr>
        <w:lastRenderedPageBreak/>
        <w:t>15</w:t>
      </w:r>
      <w:r>
        <w:rPr>
          <w:snapToGrid w:val="0"/>
        </w:rPr>
        <w:t>.</w:t>
      </w:r>
      <w:r>
        <w:rPr>
          <w:snapToGrid w:val="0"/>
        </w:rPr>
        <w:tab/>
        <w:t>Other avenues of appeal may no longer be applicable</w:t>
      </w:r>
      <w:bookmarkEnd w:id="29"/>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No. 35 of 2003 s. 185.]</w:t>
      </w:r>
    </w:p>
    <w:p>
      <w:pPr>
        <w:pStyle w:val="Heading3"/>
      </w:pPr>
      <w:bookmarkStart w:id="30" w:name="_Toc100558592"/>
      <w:bookmarkStart w:id="31" w:name="_Toc100558798"/>
      <w:bookmarkStart w:id="32" w:name="_Toc100569321"/>
      <w:r>
        <w:rPr>
          <w:rStyle w:val="CharDivNo"/>
        </w:rPr>
        <w:t>Division 3</w:t>
      </w:r>
      <w:r>
        <w:rPr>
          <w:snapToGrid w:val="0"/>
        </w:rPr>
        <w:t> — </w:t>
      </w:r>
      <w:r>
        <w:rPr>
          <w:rStyle w:val="CharDivText"/>
        </w:rPr>
        <w:t>Procedures and powers</w:t>
      </w:r>
      <w:bookmarkEnd w:id="30"/>
      <w:bookmarkEnd w:id="31"/>
      <w:bookmarkEnd w:id="32"/>
    </w:p>
    <w:p>
      <w:pPr>
        <w:pStyle w:val="Heading5"/>
        <w:rPr>
          <w:snapToGrid w:val="0"/>
        </w:rPr>
      </w:pPr>
      <w:bookmarkStart w:id="33" w:name="_Toc100569322"/>
      <w:r>
        <w:rPr>
          <w:rStyle w:val="CharSectno"/>
        </w:rPr>
        <w:t>16</w:t>
      </w:r>
      <w:r>
        <w:rPr>
          <w:snapToGrid w:val="0"/>
        </w:rPr>
        <w:t>.</w:t>
      </w:r>
      <w:r>
        <w:rPr>
          <w:snapToGrid w:val="0"/>
        </w:rPr>
        <w:tab/>
        <w:t>Procedure on making an appeal</w:t>
      </w:r>
      <w:bookmarkEnd w:id="33"/>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lastRenderedPageBreak/>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lastRenderedPageBreak/>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r>
        <w:tab/>
        <w:t>[Section 16 amended: No. 35 of 2003 s. 186; No. 65 of 2003 s. 58(2); No. 21 of 2008 s. 695(3).]</w:t>
      </w:r>
    </w:p>
    <w:p>
      <w:pPr>
        <w:pStyle w:val="Heading5"/>
        <w:rPr>
          <w:snapToGrid w:val="0"/>
        </w:rPr>
      </w:pPr>
      <w:bookmarkStart w:id="34" w:name="_Toc100569323"/>
      <w:r>
        <w:rPr>
          <w:rStyle w:val="CharSectno"/>
        </w:rPr>
        <w:t>17</w:t>
      </w:r>
      <w:r>
        <w:rPr>
          <w:snapToGrid w:val="0"/>
        </w:rPr>
        <w:t>.</w:t>
      </w:r>
      <w:r>
        <w:rPr>
          <w:snapToGrid w:val="0"/>
        </w:rPr>
        <w:tab/>
        <w:t>Hearing powers</w:t>
      </w:r>
      <w:bookmarkEnd w:id="34"/>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lastRenderedPageBreak/>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 xml:space="preserve">A person is not excused from complying with a requirement under subsection (4) to swear or affirm, or to answer any </w:t>
      </w:r>
      <w:r>
        <w:rPr>
          <w:snapToGrid w:val="0"/>
        </w:rPr>
        <w:lastRenderedPageBreak/>
        <w:t>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lastRenderedPageBreak/>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 xml:space="preserve">An order for the payment of costs shall not be imposed save where the member presiding is satisfied that the appeal, or the </w:t>
      </w:r>
      <w:r>
        <w:rPr>
          <w:snapToGrid w:val="0"/>
        </w:rPr>
        <w:lastRenderedPageBreak/>
        <w:t>aspect of the appeal to which the order relates, was vexatious or frivolous.</w:t>
      </w:r>
    </w:p>
    <w:p>
      <w:pPr>
        <w:pStyle w:val="Footnotesection"/>
        <w:spacing w:before="80"/>
        <w:ind w:left="890" w:hanging="890"/>
      </w:pPr>
      <w:r>
        <w:tab/>
        <w:t>[Section 17 amended: No. 35 of 2003 s. 187.]</w:t>
      </w:r>
    </w:p>
    <w:p>
      <w:pPr>
        <w:pStyle w:val="Heading5"/>
        <w:rPr>
          <w:snapToGrid w:val="0"/>
        </w:rPr>
      </w:pPr>
      <w:bookmarkStart w:id="35" w:name="_Toc100569324"/>
      <w:r>
        <w:rPr>
          <w:rStyle w:val="CharSectno"/>
        </w:rPr>
        <w:t>18</w:t>
      </w:r>
      <w:r>
        <w:rPr>
          <w:snapToGrid w:val="0"/>
        </w:rPr>
        <w:t>.</w:t>
      </w:r>
      <w:r>
        <w:rPr>
          <w:snapToGrid w:val="0"/>
        </w:rPr>
        <w:tab/>
        <w:t>Withdrawal of appeals</w:t>
      </w:r>
      <w:bookmarkEnd w:id="35"/>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36" w:name="_Toc100569325"/>
      <w:r>
        <w:rPr>
          <w:rStyle w:val="CharSectno"/>
        </w:rPr>
        <w:t>19</w:t>
      </w:r>
      <w:r>
        <w:rPr>
          <w:snapToGrid w:val="0"/>
        </w:rPr>
        <w:t>.</w:t>
      </w:r>
      <w:r>
        <w:rPr>
          <w:snapToGrid w:val="0"/>
        </w:rPr>
        <w:tab/>
        <w:t>Disobedience to determinations of Tribunal</w:t>
      </w:r>
      <w:bookmarkEnd w:id="36"/>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w:t>
      </w:r>
      <w:r>
        <w:rPr>
          <w:snapToGrid w:val="0"/>
        </w:rPr>
        <w:lastRenderedPageBreak/>
        <w:t xml:space="preserve">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No. 35 of 2003 s. 188.]</w:t>
      </w:r>
    </w:p>
    <w:p>
      <w:pPr>
        <w:pStyle w:val="Heading2"/>
      </w:pPr>
      <w:bookmarkStart w:id="37" w:name="_Toc100558597"/>
      <w:bookmarkStart w:id="38" w:name="_Toc100558803"/>
      <w:bookmarkStart w:id="39" w:name="_Toc100569326"/>
      <w:r>
        <w:rPr>
          <w:rStyle w:val="CharPartNo"/>
        </w:rPr>
        <w:lastRenderedPageBreak/>
        <w:t>Part 3</w:t>
      </w:r>
      <w:r>
        <w:rPr>
          <w:rStyle w:val="CharDivNo"/>
        </w:rPr>
        <w:t> </w:t>
      </w:r>
      <w:r>
        <w:t>—</w:t>
      </w:r>
      <w:r>
        <w:rPr>
          <w:rStyle w:val="CharDivText"/>
        </w:rPr>
        <w:t> </w:t>
      </w:r>
      <w:r>
        <w:rPr>
          <w:rStyle w:val="CharPartText"/>
        </w:rPr>
        <w:t>Miscellaneous</w:t>
      </w:r>
      <w:bookmarkEnd w:id="37"/>
      <w:bookmarkEnd w:id="38"/>
      <w:bookmarkEnd w:id="39"/>
    </w:p>
    <w:p>
      <w:pPr>
        <w:pStyle w:val="Heading5"/>
        <w:rPr>
          <w:snapToGrid w:val="0"/>
        </w:rPr>
      </w:pPr>
      <w:bookmarkStart w:id="40" w:name="_Toc100569327"/>
      <w:r>
        <w:rPr>
          <w:rStyle w:val="CharSectno"/>
        </w:rPr>
        <w:t>20</w:t>
      </w:r>
      <w:r>
        <w:rPr>
          <w:snapToGrid w:val="0"/>
        </w:rPr>
        <w:t>.</w:t>
      </w:r>
      <w:r>
        <w:rPr>
          <w:snapToGrid w:val="0"/>
        </w:rPr>
        <w:tab/>
        <w:t>Offences</w:t>
      </w:r>
      <w:bookmarkEnd w:id="40"/>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41" w:name="_Toc100569328"/>
      <w:r>
        <w:rPr>
          <w:rStyle w:val="CharSectno"/>
        </w:rPr>
        <w:lastRenderedPageBreak/>
        <w:t>21</w:t>
      </w:r>
      <w:r>
        <w:rPr>
          <w:snapToGrid w:val="0"/>
        </w:rPr>
        <w:t>.</w:t>
      </w:r>
      <w:r>
        <w:rPr>
          <w:snapToGrid w:val="0"/>
        </w:rPr>
        <w:tab/>
        <w:t>Reasons for determinations</w:t>
      </w:r>
      <w:bookmarkEnd w:id="41"/>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42" w:name="_Toc100569329"/>
      <w:r>
        <w:rPr>
          <w:rStyle w:val="CharSectno"/>
        </w:rPr>
        <w:t>22</w:t>
      </w:r>
      <w:r>
        <w:rPr>
          <w:snapToGrid w:val="0"/>
        </w:rPr>
        <w:t>.</w:t>
      </w:r>
      <w:r>
        <w:rPr>
          <w:snapToGrid w:val="0"/>
        </w:rPr>
        <w:tab/>
        <w:t>Protection</w:t>
      </w:r>
      <w:bookmarkEnd w:id="42"/>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43" w:name="_Toc100569330"/>
      <w:r>
        <w:rPr>
          <w:rStyle w:val="CharSectno"/>
        </w:rPr>
        <w:t>23</w:t>
      </w:r>
      <w:r>
        <w:rPr>
          <w:snapToGrid w:val="0"/>
        </w:rPr>
        <w:t>.</w:t>
      </w:r>
      <w:r>
        <w:rPr>
          <w:snapToGrid w:val="0"/>
        </w:rPr>
        <w:tab/>
        <w:t>Evidentiary provisions, and recovery of moneys ordered to be paid</w:t>
      </w:r>
      <w:bookmarkEnd w:id="43"/>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 xml:space="preserve">a document purporting to record a determination made by the Tribunal and purporting to be certified by the Registrar to be such a record, or a copy of it, shall be </w:t>
      </w:r>
      <w:r>
        <w:rPr>
          <w:snapToGrid w:val="0"/>
        </w:rPr>
        <w:lastRenderedPageBreak/>
        <w:t>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No. 59 of 2004 s. 142.]</w:t>
      </w:r>
    </w:p>
    <w:p>
      <w:pPr>
        <w:pStyle w:val="Heading5"/>
        <w:spacing w:before="240"/>
        <w:rPr>
          <w:snapToGrid w:val="0"/>
        </w:rPr>
      </w:pPr>
      <w:bookmarkStart w:id="44" w:name="_Toc100569331"/>
      <w:r>
        <w:rPr>
          <w:rStyle w:val="CharSectno"/>
        </w:rPr>
        <w:t>24</w:t>
      </w:r>
      <w:r>
        <w:rPr>
          <w:snapToGrid w:val="0"/>
        </w:rPr>
        <w:t>.</w:t>
      </w:r>
      <w:r>
        <w:rPr>
          <w:snapToGrid w:val="0"/>
        </w:rPr>
        <w:tab/>
        <w:t>Finance and audit</w:t>
      </w:r>
      <w:bookmarkEnd w:id="44"/>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lastRenderedPageBreak/>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106(1)(h) of the RWWA Act, would otherwise be available to be paid or credited to racing clubs by RWWA under section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lastRenderedPageBreak/>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No. 11 of 1992 s. 71; No. 49 of 1996 s. 59; No. 35 of 2003 s. 189; No. 28 of 2006 s. 407; No. 77 of 2006 Sch. 1 cl. 143(2)</w:t>
      </w:r>
      <w:r>
        <w:noBreakHyphen/>
        <w:t>(4); No. 2 of 2007 s. 7; No. 37 of 2018 s. 77.]</w:t>
      </w:r>
    </w:p>
    <w:p>
      <w:pPr>
        <w:pStyle w:val="Heading5"/>
        <w:rPr>
          <w:snapToGrid w:val="0"/>
        </w:rPr>
      </w:pPr>
      <w:bookmarkStart w:id="45" w:name="_Toc100569332"/>
      <w:r>
        <w:rPr>
          <w:rStyle w:val="CharSectno"/>
        </w:rPr>
        <w:t>25</w:t>
      </w:r>
      <w:r>
        <w:rPr>
          <w:snapToGrid w:val="0"/>
        </w:rPr>
        <w:t>.</w:t>
      </w:r>
      <w:r>
        <w:rPr>
          <w:snapToGrid w:val="0"/>
        </w:rPr>
        <w:tab/>
        <w:t>Regulations</w:t>
      </w:r>
      <w:bookmarkEnd w:id="4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lastRenderedPageBreak/>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r>
        <w:tab/>
        <w:t>[Section 25 amended: No. 35 of 2003 s. 190; No. 65 of 2003 s. 58(3); No. 21 of 2008 s. 695(4).]</w:t>
      </w:r>
    </w:p>
    <w:p>
      <w:pPr>
        <w:pStyle w:val="Heading5"/>
        <w:rPr>
          <w:snapToGrid w:val="0"/>
        </w:rPr>
      </w:pPr>
      <w:bookmarkStart w:id="46" w:name="_Toc100569333"/>
      <w:r>
        <w:rPr>
          <w:rStyle w:val="CharSectno"/>
        </w:rPr>
        <w:t>26</w:t>
      </w:r>
      <w:r>
        <w:rPr>
          <w:snapToGrid w:val="0"/>
        </w:rPr>
        <w:t>.</w:t>
      </w:r>
      <w:r>
        <w:rPr>
          <w:snapToGrid w:val="0"/>
        </w:rPr>
        <w:tab/>
        <w:t>Transitional</w:t>
      </w:r>
      <w:bookmarkEnd w:id="46"/>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 xml:space="preserve">any legal or other proceedings or any remedies that might, but for this Act, have been commenced or </w:t>
      </w:r>
      <w:r>
        <w:rPr>
          <w:snapToGrid w:val="0"/>
        </w:rPr>
        <w:lastRenderedPageBreak/>
        <w:t>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No. 35 of 2003 s. 191.]</w:t>
      </w:r>
    </w:p>
    <w:p>
      <w:pPr>
        <w:pStyle w:val="Ednotesection"/>
        <w:ind w:left="0" w:firstLine="0"/>
      </w:pPr>
      <w:r>
        <w:t>[</w:t>
      </w:r>
      <w:r>
        <w:rPr>
          <w:b/>
        </w:rPr>
        <w:t>28, 29.</w:t>
      </w:r>
      <w:r>
        <w:tab/>
        <w:t>Omitted under the Reprints Act 1984 s. 7(4)(e).]</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47" w:name="_Toc100558605"/>
      <w:bookmarkStart w:id="48" w:name="_Toc100558811"/>
      <w:bookmarkStart w:id="49" w:name="_Toc100569334"/>
      <w:r>
        <w:rPr>
          <w:rStyle w:val="CharSchNo"/>
        </w:rPr>
        <w:lastRenderedPageBreak/>
        <w:t>Schedule</w:t>
      </w:r>
      <w:r>
        <w:t> — </w:t>
      </w:r>
      <w:r>
        <w:rPr>
          <w:rStyle w:val="CharSchText"/>
          <w:bCs/>
        </w:rPr>
        <w:t>Provisions with respect to the constitution and membership of the Racing Penalties Appeal Tribunal of Western Australia</w:t>
      </w:r>
      <w:bookmarkEnd w:id="47"/>
      <w:bookmarkEnd w:id="48"/>
      <w:bookmarkEnd w:id="49"/>
    </w:p>
    <w:p>
      <w:pPr>
        <w:pStyle w:val="yShoulderClause"/>
        <w:spacing w:before="100"/>
        <w:rPr>
          <w:snapToGrid w:val="0"/>
        </w:rPr>
      </w:pPr>
      <w:r>
        <w:rPr>
          <w:snapToGrid w:val="0"/>
        </w:rPr>
        <w:t>[s. 4(4)]</w:t>
      </w:r>
    </w:p>
    <w:p>
      <w:pPr>
        <w:pStyle w:val="yFootnoteheading"/>
      </w:pPr>
      <w:r>
        <w:tab/>
        <w:t>[Heading amended: No. 19 of 2010 s. 4.]</w:t>
      </w:r>
    </w:p>
    <w:p>
      <w:pPr>
        <w:pStyle w:val="yHeading5"/>
        <w:spacing w:before="240"/>
        <w:outlineLvl w:val="9"/>
        <w:rPr>
          <w:snapToGrid w:val="0"/>
        </w:rPr>
      </w:pPr>
      <w:bookmarkStart w:id="50" w:name="_Toc100569335"/>
      <w:r>
        <w:rPr>
          <w:rStyle w:val="CharSClsNo"/>
        </w:rPr>
        <w:t>1</w:t>
      </w:r>
      <w:r>
        <w:rPr>
          <w:snapToGrid w:val="0"/>
        </w:rPr>
        <w:t>.</w:t>
      </w:r>
      <w:r>
        <w:rPr>
          <w:snapToGrid w:val="0"/>
        </w:rPr>
        <w:tab/>
        <w:t>Public service officer may be member of a Tribunal</w:t>
      </w:r>
      <w:bookmarkEnd w:id="50"/>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Public Sector Commissioner</w:t>
      </w:r>
      <w:r>
        <w:rPr>
          <w:snapToGrid w:val="0"/>
        </w:rPr>
        <w:t>, may from time to time determine.</w:t>
      </w:r>
    </w:p>
    <w:p>
      <w:pPr>
        <w:pStyle w:val="yFootnotesection"/>
      </w:pPr>
      <w:r>
        <w:tab/>
        <w:t>[Clause 1 amended: No. 32 of 1994 s. 19; No. 39 of 2010 s. 89.]</w:t>
      </w:r>
    </w:p>
    <w:p>
      <w:pPr>
        <w:pStyle w:val="yHeading5"/>
        <w:spacing w:before="240"/>
        <w:outlineLvl w:val="9"/>
        <w:rPr>
          <w:snapToGrid w:val="0"/>
        </w:rPr>
      </w:pPr>
      <w:bookmarkStart w:id="51" w:name="_Toc100569336"/>
      <w:r>
        <w:rPr>
          <w:snapToGrid w:val="0"/>
        </w:rPr>
        <w:t>2.</w:t>
      </w:r>
      <w:r>
        <w:rPr>
          <w:snapToGrid w:val="0"/>
        </w:rPr>
        <w:tab/>
        <w:t>Remuneration</w:t>
      </w:r>
      <w:bookmarkEnd w:id="51"/>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Public Sector Commissioner</w:t>
      </w:r>
      <w:r>
        <w:rPr>
          <w:snapToGrid w:val="0"/>
        </w:rPr>
        <w:t>, may from time to time determine.</w:t>
      </w:r>
    </w:p>
    <w:p>
      <w:pPr>
        <w:pStyle w:val="yFootnotesection"/>
      </w:pPr>
      <w:r>
        <w:tab/>
        <w:t>[Clause 2 amended: No. 39 of 2010 s. 89.]</w:t>
      </w:r>
    </w:p>
    <w:p>
      <w:pPr>
        <w:pStyle w:val="yHeading5"/>
        <w:spacing w:before="240"/>
        <w:outlineLvl w:val="9"/>
        <w:rPr>
          <w:snapToGrid w:val="0"/>
        </w:rPr>
      </w:pPr>
      <w:bookmarkStart w:id="52" w:name="_Toc100569337"/>
      <w:r>
        <w:rPr>
          <w:rStyle w:val="CharSClsNo"/>
        </w:rPr>
        <w:t>3</w:t>
      </w:r>
      <w:r>
        <w:rPr>
          <w:snapToGrid w:val="0"/>
        </w:rPr>
        <w:t>.</w:t>
      </w:r>
      <w:r>
        <w:rPr>
          <w:snapToGrid w:val="0"/>
        </w:rPr>
        <w:tab/>
        <w:t>Eligibility for, and vacation of, office and conditions of appointment</w:t>
      </w:r>
      <w:bookmarkEnd w:id="52"/>
    </w:p>
    <w:p>
      <w:pPr>
        <w:pStyle w:val="yEdnotesubsection"/>
        <w:keepLines/>
        <w:spacing w:before="120"/>
      </w:pPr>
      <w:r>
        <w:tab/>
        <w:t>[(1)</w:t>
      </w:r>
      <w:r>
        <w:tab/>
        <w:t>deleted]</w:t>
      </w:r>
    </w:p>
    <w:p>
      <w:pPr>
        <w:pStyle w:val="ySubsection"/>
        <w:spacing w:before="120"/>
        <w:rPr>
          <w:snapToGrid w:val="0"/>
        </w:rPr>
      </w:pPr>
      <w:r>
        <w:rPr>
          <w:snapToGrid w:val="0"/>
        </w:rPr>
        <w:lastRenderedPageBreak/>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No. 42 of 1997 s. 8; No. 23 of 1998 s. 20; No. 35 of 2003 s. 192.]</w:t>
      </w:r>
    </w:p>
    <w:p>
      <w:pPr>
        <w:pStyle w:val="yHeading5"/>
        <w:spacing w:before="240"/>
        <w:outlineLvl w:val="9"/>
        <w:rPr>
          <w:snapToGrid w:val="0"/>
        </w:rPr>
      </w:pPr>
      <w:bookmarkStart w:id="53" w:name="_Toc100569338"/>
      <w:r>
        <w:rPr>
          <w:rStyle w:val="CharSClsNo"/>
        </w:rPr>
        <w:lastRenderedPageBreak/>
        <w:t>4</w:t>
      </w:r>
      <w:r>
        <w:rPr>
          <w:snapToGrid w:val="0"/>
        </w:rPr>
        <w:t>.</w:t>
      </w:r>
      <w:r>
        <w:rPr>
          <w:snapToGrid w:val="0"/>
        </w:rPr>
        <w:tab/>
        <w:t>Removal from office</w:t>
      </w:r>
      <w:bookmarkEnd w:id="53"/>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No. 18 of 2009 s. 72.]</w:t>
      </w:r>
    </w:p>
    <w:p>
      <w:pPr>
        <w:pStyle w:val="yHeading5"/>
        <w:spacing w:before="240"/>
        <w:outlineLvl w:val="9"/>
        <w:rPr>
          <w:snapToGrid w:val="0"/>
        </w:rPr>
      </w:pPr>
      <w:bookmarkStart w:id="54" w:name="_Toc100569339"/>
      <w:r>
        <w:rPr>
          <w:rStyle w:val="CharSClsNo"/>
        </w:rPr>
        <w:t>5</w:t>
      </w:r>
      <w:r>
        <w:rPr>
          <w:snapToGrid w:val="0"/>
        </w:rPr>
        <w:t>.</w:t>
      </w:r>
      <w:r>
        <w:rPr>
          <w:snapToGrid w:val="0"/>
        </w:rPr>
        <w:tab/>
        <w:t>Validity of proceedings etc.</w:t>
      </w:r>
      <w:bookmarkEnd w:id="54"/>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lastRenderedPageBreak/>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55" w:name="_Toc100569340"/>
      <w:r>
        <w:rPr>
          <w:rStyle w:val="CharSClsNo"/>
        </w:rPr>
        <w:t>6</w:t>
      </w:r>
      <w:r>
        <w:rPr>
          <w:snapToGrid w:val="0"/>
        </w:rPr>
        <w:t>.</w:t>
      </w:r>
      <w:r>
        <w:rPr>
          <w:snapToGrid w:val="0"/>
        </w:rPr>
        <w:tab/>
        <w:t>Presumptions</w:t>
      </w:r>
      <w:bookmarkEnd w:id="55"/>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57" w:name="_Toc100558612"/>
      <w:bookmarkStart w:id="58" w:name="_Toc100558818"/>
      <w:bookmarkStart w:id="59" w:name="_Toc100569341"/>
      <w:r>
        <w:lastRenderedPageBreak/>
        <w:t>Notes</w:t>
      </w:r>
      <w:bookmarkEnd w:id="57"/>
      <w:bookmarkEnd w:id="58"/>
      <w:bookmarkEnd w:id="59"/>
    </w:p>
    <w:p>
      <w:pPr>
        <w:pStyle w:val="nStatement"/>
      </w:pPr>
      <w:r>
        <w:t xml:space="preserve">This is a compilation of the </w:t>
      </w:r>
      <w:r>
        <w:rPr>
          <w:i/>
          <w:noProof/>
        </w:rPr>
        <w:t>Racing Penalties (Appeals)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0" w:name="_Toc100569342"/>
      <w:r>
        <w:t>Compilation table</w:t>
      </w:r>
      <w:bookmarkEnd w:id="6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lastRenderedPageBreak/>
              <w:t>Racing and Gambling Legislation Amendment and Repeal Act 2003</w:t>
            </w:r>
            <w:r>
              <w:t xml:space="preserve"> Pt. 11</w:t>
            </w:r>
            <w:r>
              <w:rPr>
                <w:vertAlign w:val="superscript"/>
              </w:rPr>
              <w:t> 1, 2</w:t>
            </w:r>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 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r>
        <w:trPr>
          <w:cantSplit/>
        </w:trPr>
        <w:tc>
          <w:tcPr>
            <w:tcW w:w="2269" w:type="dxa"/>
          </w:tcPr>
          <w:p>
            <w:pPr>
              <w:pStyle w:val="nTable"/>
              <w:spacing w:after="36"/>
              <w:rPr>
                <w:iCs/>
                <w:snapToGrid w:val="0"/>
              </w:rPr>
            </w:pPr>
            <w:r>
              <w:rPr>
                <w:i/>
                <w:iCs/>
                <w:snapToGrid w:val="0"/>
              </w:rPr>
              <w:t>Public Sector Reform Act 2010</w:t>
            </w:r>
            <w:r>
              <w:rPr>
                <w:iCs/>
                <w:snapToGrid w:val="0"/>
              </w:rPr>
              <w:t xml:space="preserve"> s. 89</w:t>
            </w:r>
          </w:p>
        </w:tc>
        <w:tc>
          <w:tcPr>
            <w:tcW w:w="1134" w:type="dxa"/>
          </w:tcPr>
          <w:p>
            <w:pPr>
              <w:pStyle w:val="nTable"/>
              <w:spacing w:after="36"/>
            </w:pPr>
            <w:r>
              <w:rPr>
                <w:snapToGrid w:val="0"/>
              </w:rPr>
              <w:t>39 of 2010</w:t>
            </w:r>
          </w:p>
        </w:tc>
        <w:tc>
          <w:tcPr>
            <w:tcW w:w="1134" w:type="dxa"/>
          </w:tcPr>
          <w:p>
            <w:pPr>
              <w:pStyle w:val="nTable"/>
              <w:spacing w:after="36"/>
            </w:pPr>
            <w:r>
              <w:rPr>
                <w:snapToGrid w:val="0"/>
              </w:rPr>
              <w:t>1 Oct 2010</w:t>
            </w:r>
          </w:p>
        </w:tc>
        <w:tc>
          <w:tcPr>
            <w:tcW w:w="2552" w:type="dxa"/>
          </w:tcPr>
          <w:p>
            <w:pPr>
              <w:pStyle w:val="nTable"/>
              <w:spacing w:after="36"/>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8" w:space="0" w:color="auto"/>
            </w:tcBorders>
          </w:tcPr>
          <w:p>
            <w:pPr>
              <w:pStyle w:val="nTable"/>
              <w:spacing w:after="36"/>
              <w:rPr>
                <w:i/>
                <w:iCs/>
                <w:snapToGrid w:val="0"/>
              </w:rPr>
            </w:pPr>
            <w:r>
              <w:rPr>
                <w:i/>
              </w:rPr>
              <w:t>Betting Tax Assessment Act 2018</w:t>
            </w:r>
            <w:r>
              <w:t xml:space="preserve"> Pt. 8 Div 2 Subdiv. 4</w:t>
            </w:r>
          </w:p>
        </w:tc>
        <w:tc>
          <w:tcPr>
            <w:tcW w:w="1134" w:type="dxa"/>
            <w:tcBorders>
              <w:bottom w:val="single" w:sz="8" w:space="0" w:color="auto"/>
            </w:tcBorders>
          </w:tcPr>
          <w:p>
            <w:pPr>
              <w:pStyle w:val="nTable"/>
              <w:spacing w:after="36"/>
              <w:rPr>
                <w:snapToGrid w:val="0"/>
              </w:rPr>
            </w:pPr>
            <w:r>
              <w:t>37 of 2018</w:t>
            </w:r>
          </w:p>
        </w:tc>
        <w:tc>
          <w:tcPr>
            <w:tcW w:w="1134" w:type="dxa"/>
            <w:tcBorders>
              <w:bottom w:val="single" w:sz="8" w:space="0" w:color="auto"/>
            </w:tcBorders>
          </w:tcPr>
          <w:p>
            <w:pPr>
              <w:pStyle w:val="nTable"/>
              <w:spacing w:after="36"/>
              <w:rPr>
                <w:snapToGrid w:val="0"/>
              </w:rPr>
            </w:pPr>
            <w:r>
              <w:t>12 Dec 2018</w:t>
            </w:r>
          </w:p>
        </w:tc>
        <w:tc>
          <w:tcPr>
            <w:tcW w:w="2552" w:type="dxa"/>
            <w:tcBorders>
              <w:bottom w:val="single" w:sz="8" w:space="0" w:color="auto"/>
            </w:tcBorders>
          </w:tcPr>
          <w:p>
            <w:pPr>
              <w:pStyle w:val="nTable"/>
              <w:spacing w:after="36"/>
              <w:rPr>
                <w:snapToGrid w:val="0"/>
              </w:rPr>
            </w:pPr>
            <w:r>
              <w:t xml:space="preserve">1 Feb 2019 (see s. 2(b) and </w:t>
            </w:r>
            <w:r>
              <w:rPr>
                <w:i/>
              </w:rPr>
              <w:t>Gazette</w:t>
            </w:r>
            <w:r>
              <w:t xml:space="preserve"> 25 Jan 2019 p. 193)</w:t>
            </w:r>
          </w:p>
        </w:tc>
      </w:tr>
    </w:tbl>
    <w:p>
      <w:pPr>
        <w:pStyle w:val="nHeading3"/>
      </w:pPr>
      <w:bookmarkStart w:id="61" w:name="_Toc100569343"/>
      <w:r>
        <w:lastRenderedPageBreak/>
        <w:t>Uncommenced provisions table</w:t>
      </w:r>
      <w:bookmarkEnd w:id="6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154</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2(1)(b)(xiii))</w:t>
            </w:r>
          </w:p>
        </w:tc>
      </w:tr>
      <w:tr>
        <w:tc>
          <w:tcPr>
            <w:tcW w:w="2268" w:type="dxa"/>
            <w:tcBorders>
              <w:top w:val="nil"/>
            </w:tcBorders>
          </w:tcPr>
          <w:p>
            <w:pPr>
              <w:pStyle w:val="nTable"/>
              <w:spacing w:after="40"/>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62" w:name="_Toc100569344"/>
      <w:r>
        <w:t>Other notes</w:t>
      </w:r>
      <w:bookmarkEnd w:id="62"/>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spacing w:before="160"/>
      </w:pPr>
      <w:r>
        <w:rPr>
          <w:vertAlign w:val="superscript"/>
        </w:rPr>
        <w:t>2</w:t>
      </w:r>
      <w:r>
        <w:tab/>
        <w:t xml:space="preserve">The </w:t>
      </w:r>
      <w:r>
        <w:rPr>
          <w:i/>
        </w:rPr>
        <w:t>Racing and Gambling Legislation Amendment and Repeal Act 2003</w:t>
      </w:r>
      <w:r>
        <w:t xml:space="preserve"> Pt. 11 Div. 2 are transitional provisions that are of no further effect.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64" w:name="_Toc100558616"/>
      <w:bookmarkStart w:id="65" w:name="_Toc100558822"/>
      <w:bookmarkStart w:id="66" w:name="_Toc100569345"/>
      <w:r>
        <w:rPr>
          <w:sz w:val="28"/>
        </w:rPr>
        <w:lastRenderedPageBreak/>
        <w:t>Defined terms</w:t>
      </w:r>
      <w:bookmarkEnd w:id="64"/>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appellant</w:t>
      </w:r>
      <w:r>
        <w:tab/>
        <w:t>13(1)</w:t>
      </w:r>
    </w:p>
    <w:p>
      <w:pPr>
        <w:pStyle w:val="DefinedTerms"/>
      </w:pPr>
      <w:r>
        <w:t>bet</w:t>
      </w:r>
      <w:r>
        <w:tab/>
        <w:t>3(1)</w:t>
      </w:r>
    </w:p>
    <w:p>
      <w:pPr>
        <w:pStyle w:val="DefinedTerms"/>
      </w:pPr>
      <w:r>
        <w:t>bookmaker</w:t>
      </w:r>
      <w:r>
        <w:tab/>
        <w:t>3(1)</w:t>
      </w:r>
    </w:p>
    <w:p>
      <w:pPr>
        <w:pStyle w:val="DefinedTerms"/>
      </w:pPr>
      <w:r>
        <w:t>Chairperson</w:t>
      </w:r>
      <w:r>
        <w:tab/>
        <w:t>3(1)</w:t>
      </w:r>
    </w:p>
    <w:p>
      <w:pPr>
        <w:pStyle w:val="DefinedTerms"/>
      </w:pPr>
      <w:r>
        <w:t>determination</w:t>
      </w:r>
      <w:r>
        <w:tab/>
        <w:t>3(1)</w:t>
      </w:r>
    </w:p>
    <w:p>
      <w:pPr>
        <w:pStyle w:val="DefinedTerms"/>
      </w:pPr>
      <w:r>
        <w:t>document</w:t>
      </w:r>
      <w:r>
        <w:tab/>
        <w:t>9(6)</w:t>
      </w:r>
    </w:p>
    <w:p>
      <w:pPr>
        <w:pStyle w:val="DefinedTerms"/>
      </w:pPr>
      <w:r>
        <w:t>horse</w:t>
      </w:r>
      <w:r>
        <w:tab/>
        <w:t>3(1)</w:t>
      </w:r>
    </w:p>
    <w:p>
      <w:pPr>
        <w:pStyle w:val="DefinedTerms"/>
      </w:pPr>
      <w:r>
        <w:t>information</w:t>
      </w:r>
      <w:r>
        <w:tab/>
        <w:t>9(6)</w:t>
      </w:r>
    </w:p>
    <w:p>
      <w:pPr>
        <w:pStyle w:val="DefinedTerms"/>
      </w:pPr>
      <w:r>
        <w:t>member</w:t>
      </w:r>
      <w:r>
        <w:tab/>
        <w:t>3(1)</w:t>
      </w:r>
    </w:p>
    <w:p>
      <w:pPr>
        <w:pStyle w:val="DefinedTerms"/>
      </w:pPr>
      <w:r>
        <w:t>owner</w:t>
      </w:r>
      <w:r>
        <w:tab/>
        <w:t>3(1)</w:t>
      </w:r>
    </w:p>
    <w:p>
      <w:pPr>
        <w:pStyle w:val="DefinedTerms"/>
      </w:pPr>
      <w:r>
        <w:t>pacer</w:t>
      </w:r>
      <w:r>
        <w:tab/>
        <w:t>3(1)</w:t>
      </w:r>
    </w:p>
    <w:p>
      <w:pPr>
        <w:pStyle w:val="DefinedTerms"/>
      </w:pPr>
      <w:r>
        <w:t>parliamentary purposes</w:t>
      </w:r>
      <w:r>
        <w:tab/>
        <w:t>9(6)</w:t>
      </w:r>
    </w:p>
    <w:p>
      <w:pPr>
        <w:pStyle w:val="DefinedTerms"/>
      </w:pPr>
      <w:r>
        <w:t>race</w:t>
      </w:r>
      <w:r>
        <w:tab/>
        <w:t>3(1)</w:t>
      </w:r>
    </w:p>
    <w:p>
      <w:pPr>
        <w:pStyle w:val="DefinedTerms"/>
      </w:pPr>
      <w:r>
        <w:t>race meeting</w:t>
      </w:r>
      <w:r>
        <w:tab/>
        <w:t>3(1)</w:t>
      </w:r>
    </w:p>
    <w:p>
      <w:pPr>
        <w:pStyle w:val="DefinedTerms"/>
      </w:pPr>
      <w:r>
        <w:t>racecourse</w:t>
      </w:r>
      <w:r>
        <w:tab/>
        <w:t>3(1)</w:t>
      </w:r>
    </w:p>
    <w:p>
      <w:pPr>
        <w:pStyle w:val="DefinedTerms"/>
      </w:pPr>
      <w:r>
        <w:t>racing</w:t>
      </w:r>
      <w:r>
        <w:tab/>
        <w:t>3(1)</w:t>
      </w:r>
    </w:p>
    <w:p>
      <w:pPr>
        <w:pStyle w:val="DefinedTerms"/>
      </w:pPr>
      <w:r>
        <w:t>Registrar</w:t>
      </w:r>
      <w:r>
        <w:tab/>
        <w:t>3(1)</w:t>
      </w:r>
    </w:p>
    <w:p>
      <w:pPr>
        <w:pStyle w:val="DefinedTerms"/>
      </w:pPr>
      <w:r>
        <w:t>runner</w:t>
      </w:r>
      <w:r>
        <w:tab/>
        <w:t>3(1)</w:t>
      </w:r>
    </w:p>
    <w:p>
      <w:pPr>
        <w:pStyle w:val="DefinedTerms"/>
      </w:pPr>
      <w:r>
        <w:t>RWWA</w:t>
      </w:r>
      <w:r>
        <w:tab/>
        <w:t>3(1)</w:t>
      </w:r>
    </w:p>
    <w:p>
      <w:pPr>
        <w:pStyle w:val="DefinedTerms"/>
      </w:pPr>
      <w:r>
        <w:t>RWWA Act</w:t>
      </w:r>
      <w:r>
        <w:tab/>
        <w:t>3(1)</w:t>
      </w:r>
    </w:p>
    <w:p>
      <w:pPr>
        <w:pStyle w:val="DefinedTerms"/>
      </w:pPr>
      <w:r>
        <w:t>steward</w:t>
      </w:r>
      <w:r>
        <w:tab/>
        <w:t>3(1)</w:t>
      </w:r>
    </w:p>
    <w:p>
      <w:pPr>
        <w:pStyle w:val="DefinedTerms"/>
      </w:pPr>
      <w:r>
        <w:t>thoroughbred</w:t>
      </w:r>
      <w:r>
        <w:tab/>
        <w:t>3(1)</w:t>
      </w:r>
    </w:p>
    <w:p>
      <w:pPr>
        <w:pStyle w:val="DefinedTerms"/>
      </w:pPr>
      <w:r>
        <w:t>trial</w:t>
      </w:r>
      <w:r>
        <w:tab/>
        <w:t>3(1)</w:t>
      </w:r>
    </w:p>
    <w:p>
      <w:pPr>
        <w:pStyle w:val="DefinedTerms"/>
      </w:pPr>
      <w:r>
        <w:t>Tribunal</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 w:name="Schedule"/>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3443"/>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 w:name="WAFER_20190920155435" w:val="RemoveTocBookmarks,RemoveUnusedBookmarks,RemoveLanguageTags,ResetPageSize,RunningHeaders,UpdateStyles,UsedStyles"/>
    <w:docVar w:name="WAFER_20190920155435_GUID" w:val="6f97200b-61d3-4074-abab-460b1f146acd"/>
    <w:docVar w:name="WAFER_202002121659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5920_GUID" w:val="8edda220-727b-44e8-ac65-f91bd447705c"/>
    <w:docVar w:name="WAFER_20220411083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3443_GUID" w:val="3732f26c-a6f2-422f-bd39-c840402fbf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1DD609F2-00B0-4999-B6F5-B49357EC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360"/>
        <w:tab w:val="num" w:pos="1440"/>
      </w:tabs>
      <w:ind w:left="1440" w:firstLine="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9868</Words>
  <Characters>46185</Characters>
  <Application>Microsoft Office Word</Application>
  <DocSecurity>0</DocSecurity>
  <Lines>1319</Lines>
  <Paragraphs>757</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55296</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1990 - 03-h0-00</dc:title>
  <dc:subject/>
  <dc:creator/>
  <cp:keywords/>
  <dc:description/>
  <cp:lastModifiedBy>Master Repository Process</cp:lastModifiedBy>
  <cp:revision>4</cp:revision>
  <cp:lastPrinted>2010-10-01T03:28:00Z</cp:lastPrinted>
  <dcterms:created xsi:type="dcterms:W3CDTF">2022-04-14T10:17:00Z</dcterms:created>
  <dcterms:modified xsi:type="dcterms:W3CDTF">2022-04-14T10:17:00Z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DocumentType">
    <vt:lpwstr>Act</vt:lpwstr>
  </property>
  <property fmtid="{D5CDD505-2E9C-101B-9397-08002B2CF9AE}" pid="4" name="OwlsUID">
    <vt:i4>652</vt:i4>
  </property>
  <property fmtid="{D5CDD505-2E9C-101B-9397-08002B2CF9AE}" pid="5" name="ReprintedAsAt">
    <vt:filetime>2010-09-23T16:00:00Z</vt:filetime>
  </property>
  <property fmtid="{D5CDD505-2E9C-101B-9397-08002B2CF9AE}" pid="6" name="ReprintNo">
    <vt:lpwstr>3</vt:lpwstr>
  </property>
  <property fmtid="{D5CDD505-2E9C-101B-9397-08002B2CF9AE}" pid="7" name="AsAtDate">
    <vt:lpwstr>14 Apr 2022</vt:lpwstr>
  </property>
  <property fmtid="{D5CDD505-2E9C-101B-9397-08002B2CF9AE}" pid="8" name="Suffix">
    <vt:lpwstr>03-h0-00</vt:lpwstr>
  </property>
  <property fmtid="{D5CDD505-2E9C-101B-9397-08002B2CF9AE}" pid="9" name="CommencementDate">
    <vt:lpwstr>20220414</vt:lpwstr>
  </property>
</Properties>
</file>