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Registration of Deeds Act 1856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Application of Act</w:t>
      </w:r>
      <w:r>
        <w:tab/>
      </w:r>
      <w:r>
        <w:fldChar w:fldCharType="begin"/>
      </w:r>
      <w:r>
        <w:instrText xml:space="preserve"> PAGEREF _Toc100567650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w:t>
      </w:r>
      <w:r>
        <w:tab/>
      </w:r>
      <w:r>
        <w:fldChar w:fldCharType="begin"/>
      </w:r>
      <w:r>
        <w:instrText xml:space="preserve"> PAGEREF _Toc100567651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Assistant Registrar of Deeds and Transfers</w:t>
      </w:r>
      <w:r>
        <w:tab/>
      </w:r>
      <w:r>
        <w:fldChar w:fldCharType="begin"/>
      </w:r>
      <w:r>
        <w:instrText xml:space="preserve"> PAGEREF _Toc100567652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Priority according to date of registration</w:t>
      </w:r>
      <w:r>
        <w:tab/>
      </w:r>
      <w:r>
        <w:fldChar w:fldCharType="begin"/>
      </w:r>
      <w:r>
        <w:instrText xml:space="preserve"> PAGEREF _Toc100567653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for registration</w:t>
      </w:r>
      <w:r>
        <w:tab/>
      </w:r>
      <w:r>
        <w:fldChar w:fldCharType="begin"/>
      </w:r>
      <w:r>
        <w:instrText xml:space="preserve"> PAGEREF _Toc100567654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Purchaser not disturbed by suppressed will if unregistered</w:t>
      </w:r>
      <w:r>
        <w:tab/>
      </w:r>
      <w:r>
        <w:fldChar w:fldCharType="begin"/>
      </w:r>
      <w:r>
        <w:instrText xml:space="preserve"> PAGEREF _Toc100567655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for registration</w:t>
      </w:r>
      <w:r>
        <w:tab/>
      </w:r>
      <w:r>
        <w:fldChar w:fldCharType="begin"/>
      </w:r>
      <w:r>
        <w:instrText xml:space="preserve"> PAGEREF _Toc100567656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Claimant’s signature to affidavit authorises registration</w:t>
      </w:r>
      <w:r>
        <w:tab/>
      </w:r>
      <w:r>
        <w:fldChar w:fldCharType="begin"/>
      </w:r>
      <w:r>
        <w:instrText xml:space="preserve"> PAGEREF _Toc100567657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required in memorials</w:t>
      </w:r>
      <w:r>
        <w:tab/>
      </w:r>
      <w:r>
        <w:fldChar w:fldCharType="begin"/>
      </w:r>
      <w:r>
        <w:instrText xml:space="preserve"> PAGEREF _Toc100567658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time</w:t>
      </w:r>
      <w:r>
        <w:tab/>
      </w:r>
      <w:r>
        <w:fldChar w:fldCharType="begin"/>
      </w:r>
      <w:r>
        <w:instrText xml:space="preserve"> PAGEREF _Toc100567659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Memorials to be registered in succession, and books and indexes to be kept</w:t>
      </w:r>
      <w:r>
        <w:tab/>
      </w:r>
      <w:r>
        <w:fldChar w:fldCharType="begin"/>
      </w:r>
      <w:r>
        <w:instrText xml:space="preserve"> PAGEREF _Toc100567660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Mortgages and judgments</w:t>
      </w:r>
      <w:r>
        <w:tab/>
      </w:r>
      <w:r>
        <w:fldChar w:fldCharType="begin"/>
      </w:r>
      <w:r>
        <w:instrText xml:space="preserve"> PAGEREF _Toc100567661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Contents of certificate</w:t>
      </w:r>
      <w:r>
        <w:tab/>
      </w:r>
      <w:r>
        <w:fldChar w:fldCharType="begin"/>
      </w:r>
      <w:r>
        <w:instrText xml:space="preserve"> PAGEREF _Toc100567662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Anyone may deposit for safe custody, any deed or will</w:t>
      </w:r>
      <w:r>
        <w:tab/>
      </w:r>
      <w:r>
        <w:fldChar w:fldCharType="begin"/>
      </w:r>
      <w:r>
        <w:instrText xml:space="preserve"> PAGEREF _Toc100567663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Enrolment</w:t>
      </w:r>
      <w:r>
        <w:tab/>
      </w:r>
      <w:r>
        <w:fldChar w:fldCharType="begin"/>
      </w:r>
      <w:r>
        <w:instrText xml:space="preserve"> PAGEREF _Toc100567664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Lost instrument</w:t>
      </w:r>
      <w:r>
        <w:tab/>
      </w:r>
      <w:r>
        <w:fldChar w:fldCharType="begin"/>
      </w:r>
      <w:r>
        <w:instrText xml:space="preserve"> PAGEREF _Toc100567665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 registrations even if informal evidence of facts and circumstances</w:t>
      </w:r>
      <w:r>
        <w:tab/>
      </w:r>
      <w:r>
        <w:fldChar w:fldCharType="begin"/>
      </w:r>
      <w:r>
        <w:instrText xml:space="preserve"> PAGEREF _Toc100567666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cancel false or fraudulent registration</w:t>
      </w:r>
      <w:r>
        <w:tab/>
      </w:r>
      <w:r>
        <w:fldChar w:fldCharType="begin"/>
      </w:r>
      <w:r>
        <w:instrText xml:space="preserve"> PAGEREF _Toc100567667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Mistake or omission, if not wilful, may be rectified by court</w:t>
      </w:r>
      <w:r>
        <w:tab/>
      </w:r>
      <w:r>
        <w:fldChar w:fldCharType="begin"/>
      </w:r>
      <w:r>
        <w:instrText xml:space="preserve"> PAGEREF _Toc100567668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_Toc100567669 \h </w:instrText>
      </w:r>
      <w:r>
        <w:fldChar w:fldCharType="separate"/>
      </w:r>
      <w:r>
        <w:t>11</w:t>
      </w:r>
      <w:r>
        <w:fldChar w:fldCharType="end"/>
      </w:r>
    </w:p>
    <w:p>
      <w:pPr>
        <w:pStyle w:val="TOC8"/>
        <w:rPr>
          <w:rFonts w:asciiTheme="minorHAnsi" w:eastAsiaTheme="minorEastAsia" w:hAnsiTheme="minorHAnsi" w:cstheme="minorBidi"/>
          <w:szCs w:val="22"/>
        </w:rPr>
      </w:pPr>
      <w:r>
        <w:t>22AA.</w:t>
      </w:r>
      <w:r>
        <w:tab/>
        <w:t>Certain prescribed fees may exceed cost recovery</w:t>
      </w:r>
      <w:r>
        <w:tab/>
      </w:r>
      <w:r>
        <w:fldChar w:fldCharType="begin"/>
      </w:r>
      <w:r>
        <w:instrText xml:space="preserve"> PAGEREF _Toc100567670 \h </w:instrText>
      </w:r>
      <w:r>
        <w:fldChar w:fldCharType="separate"/>
      </w:r>
      <w:r>
        <w:t>11</w:t>
      </w:r>
      <w:r>
        <w:fldChar w:fldCharType="end"/>
      </w:r>
    </w:p>
    <w:p>
      <w:pPr>
        <w:pStyle w:val="TOC8"/>
        <w:rPr>
          <w:rFonts w:asciiTheme="minorHAnsi" w:eastAsiaTheme="minorEastAsia" w:hAnsiTheme="minorHAnsi" w:cstheme="minorBidi"/>
          <w:szCs w:val="22"/>
        </w:rPr>
      </w:pPr>
      <w:r>
        <w:t>22AB.</w:t>
      </w:r>
      <w:r>
        <w:tab/>
        <w:t>Expiry of section 22AA</w:t>
      </w:r>
      <w:r>
        <w:tab/>
      </w:r>
      <w:r>
        <w:fldChar w:fldCharType="begin"/>
      </w:r>
      <w:r>
        <w:instrText xml:space="preserve"> PAGEREF _Toc100567671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22A</w:t>
      </w:r>
      <w:r>
        <w:rPr>
          <w:snapToGrid w:val="0"/>
        </w:rPr>
        <w:t>.</w:t>
      </w:r>
      <w:r>
        <w:rPr>
          <w:snapToGrid w:val="0"/>
        </w:rPr>
        <w:tab/>
        <w:t>Validation</w:t>
      </w:r>
      <w:r>
        <w:tab/>
      </w:r>
      <w:r>
        <w:fldChar w:fldCharType="begin"/>
      </w:r>
      <w:r>
        <w:instrText xml:space="preserve"> PAGEREF _Toc100567672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Short title</w:t>
      </w:r>
      <w:r>
        <w:tab/>
      </w:r>
      <w:r>
        <w:fldChar w:fldCharType="begin"/>
      </w:r>
      <w:r>
        <w:instrText xml:space="preserve"> PAGEREF _Toc100567673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_Toc100567675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_Toc100567676 \h </w:instrText>
      </w:r>
      <w:r>
        <w:fldChar w:fldCharType="separate"/>
      </w:r>
      <w:r>
        <w:t>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_Toc100567677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No. 17 of 1974 s. 9.] </w:t>
      </w:r>
    </w:p>
    <w:p>
      <w:pPr>
        <w:pStyle w:val="Preamble1"/>
        <w:spacing w:before="36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3" w:name="_Toc100567650"/>
      <w:r>
        <w:rPr>
          <w:rStyle w:val="CharSectno"/>
        </w:rPr>
        <w:t>1</w:t>
      </w:r>
      <w:r>
        <w:t>.</w:t>
      </w:r>
      <w:r>
        <w:tab/>
        <w:t>Application of Act</w:t>
      </w:r>
      <w:bookmarkEnd w:id="3"/>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No. 59 of 2004 s. 135.] </w:t>
      </w:r>
    </w:p>
    <w:p>
      <w:pPr>
        <w:pStyle w:val="Heading5"/>
        <w:rPr>
          <w:snapToGrid w:val="0"/>
        </w:rPr>
      </w:pPr>
      <w:bookmarkStart w:id="4" w:name="_Toc100567651"/>
      <w:r>
        <w:rPr>
          <w:rStyle w:val="CharSectno"/>
        </w:rPr>
        <w:t>2</w:t>
      </w:r>
      <w:r>
        <w:rPr>
          <w:snapToGrid w:val="0"/>
        </w:rPr>
        <w:t>.</w:t>
      </w:r>
      <w:r>
        <w:rPr>
          <w:snapToGrid w:val="0"/>
        </w:rPr>
        <w:tab/>
        <w:t>Office</w:t>
      </w:r>
      <w:bookmarkEnd w:id="4"/>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w:t>
      </w:r>
      <w:r>
        <w:rPr>
          <w:snapToGrid w:val="0"/>
        </w:rPr>
        <w:lastRenderedPageBreak/>
        <w:t xml:space="preserve">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No. 17 of 1974 s. 3 and 9; No. 60 of 2006 s. 150(2).] </w:t>
      </w:r>
    </w:p>
    <w:p>
      <w:pPr>
        <w:pStyle w:val="Heading5"/>
        <w:rPr>
          <w:snapToGrid w:val="0"/>
        </w:rPr>
      </w:pPr>
      <w:bookmarkStart w:id="5" w:name="_Toc100567652"/>
      <w:r>
        <w:rPr>
          <w:rStyle w:val="CharSectno"/>
        </w:rPr>
        <w:t>2A</w:t>
      </w:r>
      <w:r>
        <w:rPr>
          <w:snapToGrid w:val="0"/>
        </w:rPr>
        <w:t>.</w:t>
      </w:r>
      <w:r>
        <w:rPr>
          <w:snapToGrid w:val="0"/>
        </w:rPr>
        <w:tab/>
        <w:t>Assistant Registrar of Deeds and Transfers</w:t>
      </w:r>
      <w:bookmarkEnd w:id="5"/>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No. 17 of 1974 s. 4; amended: No. 60 of 2006 s. 150(3).]</w:t>
      </w:r>
    </w:p>
    <w:p>
      <w:pPr>
        <w:pStyle w:val="Heading5"/>
        <w:rPr>
          <w:snapToGrid w:val="0"/>
        </w:rPr>
      </w:pPr>
      <w:bookmarkStart w:id="6" w:name="_Toc100567653"/>
      <w:r>
        <w:rPr>
          <w:rStyle w:val="CharSectno"/>
        </w:rPr>
        <w:t>3</w:t>
      </w:r>
      <w:r>
        <w:rPr>
          <w:snapToGrid w:val="0"/>
        </w:rPr>
        <w:t>.</w:t>
      </w:r>
      <w:r>
        <w:rPr>
          <w:snapToGrid w:val="0"/>
        </w:rPr>
        <w:tab/>
        <w:t>Priority according to date of registration</w:t>
      </w:r>
      <w:bookmarkEnd w:id="6"/>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w:t>
      </w:r>
      <w:r>
        <w:rPr>
          <w:snapToGrid w:val="0"/>
        </w:rPr>
        <w:lastRenderedPageBreak/>
        <w:t xml:space="preserve">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No. 17 of 1974 s. 9.] </w:t>
      </w:r>
    </w:p>
    <w:p>
      <w:pPr>
        <w:pStyle w:val="Heading5"/>
        <w:rPr>
          <w:snapToGrid w:val="0"/>
        </w:rPr>
      </w:pPr>
      <w:bookmarkStart w:id="7" w:name="_Toc100567654"/>
      <w:r>
        <w:rPr>
          <w:rStyle w:val="CharSectno"/>
        </w:rPr>
        <w:t>4</w:t>
      </w:r>
      <w:r>
        <w:rPr>
          <w:snapToGrid w:val="0"/>
        </w:rPr>
        <w:t>.</w:t>
      </w:r>
      <w:r>
        <w:rPr>
          <w:snapToGrid w:val="0"/>
        </w:rPr>
        <w:tab/>
        <w:t>Times for registration</w:t>
      </w:r>
      <w:bookmarkEnd w:id="7"/>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No. 14 of 1974 s. 9.] </w:t>
      </w:r>
    </w:p>
    <w:p>
      <w:pPr>
        <w:pStyle w:val="Heading5"/>
        <w:spacing w:before="210"/>
        <w:rPr>
          <w:snapToGrid w:val="0"/>
        </w:rPr>
      </w:pPr>
      <w:bookmarkStart w:id="8" w:name="_Toc100567655"/>
      <w:r>
        <w:rPr>
          <w:rStyle w:val="CharSectno"/>
        </w:rPr>
        <w:t>5</w:t>
      </w:r>
      <w:r>
        <w:rPr>
          <w:snapToGrid w:val="0"/>
        </w:rPr>
        <w:t>.</w:t>
      </w:r>
      <w:r>
        <w:rPr>
          <w:snapToGrid w:val="0"/>
        </w:rPr>
        <w:tab/>
        <w:t>Purchaser not disturbed by suppressed will if unregistered</w:t>
      </w:r>
      <w:bookmarkEnd w:id="8"/>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9" w:name="_Toc100567656"/>
      <w:r>
        <w:rPr>
          <w:rStyle w:val="CharSectno"/>
        </w:rPr>
        <w:t>6</w:t>
      </w:r>
      <w:r>
        <w:rPr>
          <w:snapToGrid w:val="0"/>
        </w:rPr>
        <w:t>.</w:t>
      </w:r>
      <w:r>
        <w:rPr>
          <w:snapToGrid w:val="0"/>
        </w:rPr>
        <w:tab/>
        <w:t>Memorial for registration</w:t>
      </w:r>
      <w:bookmarkEnd w:id="9"/>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w:t>
      </w:r>
      <w:r>
        <w:rPr>
          <w:snapToGrid w:val="0"/>
        </w:rPr>
        <w:lastRenderedPageBreak/>
        <w:t xml:space="preserve">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No. 23 of 1923 s. 2; amended: No. 17 of 1974 s. 9; No. 65 of 2003 s. 60; No. 60 of 2006 s. 150(4); No. 21 of 2008 s. 697.] </w:t>
      </w:r>
    </w:p>
    <w:p>
      <w:pPr>
        <w:pStyle w:val="Heading5"/>
        <w:rPr>
          <w:snapToGrid w:val="0"/>
        </w:rPr>
      </w:pPr>
      <w:bookmarkStart w:id="10" w:name="_Toc100567657"/>
      <w:r>
        <w:rPr>
          <w:rStyle w:val="CharSectno"/>
        </w:rPr>
        <w:t>7</w:t>
      </w:r>
      <w:r>
        <w:rPr>
          <w:snapToGrid w:val="0"/>
        </w:rPr>
        <w:t>.</w:t>
      </w:r>
      <w:r>
        <w:rPr>
          <w:snapToGrid w:val="0"/>
        </w:rPr>
        <w:tab/>
        <w:t>Claimant’s signature to affidavit authorises registration</w:t>
      </w:r>
      <w:bookmarkEnd w:id="10"/>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11" w:name="_Toc100567658"/>
      <w:r>
        <w:rPr>
          <w:rStyle w:val="CharSectno"/>
        </w:rPr>
        <w:t>8</w:t>
      </w:r>
      <w:r>
        <w:rPr>
          <w:snapToGrid w:val="0"/>
        </w:rPr>
        <w:t>.</w:t>
      </w:r>
      <w:r>
        <w:rPr>
          <w:snapToGrid w:val="0"/>
        </w:rPr>
        <w:tab/>
        <w:t>Particulars required in memorials</w:t>
      </w:r>
      <w:bookmarkEnd w:id="11"/>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w:t>
      </w:r>
      <w:r>
        <w:rPr>
          <w:snapToGrid w:val="0"/>
        </w:rPr>
        <w:lastRenderedPageBreak/>
        <w:t>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12" w:name="_Toc100567659"/>
      <w:r>
        <w:rPr>
          <w:rStyle w:val="CharSectno"/>
        </w:rPr>
        <w:t>9</w:t>
      </w:r>
      <w:r>
        <w:rPr>
          <w:snapToGrid w:val="0"/>
        </w:rPr>
        <w:t>.</w:t>
      </w:r>
      <w:r>
        <w:rPr>
          <w:snapToGrid w:val="0"/>
        </w:rPr>
        <w:tab/>
        <w:t>Order of time</w:t>
      </w:r>
      <w:bookmarkEnd w:id="12"/>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No. 60 of 2006 s. 150(5).]</w:t>
      </w:r>
    </w:p>
    <w:p>
      <w:pPr>
        <w:pStyle w:val="Heading5"/>
        <w:rPr>
          <w:snapToGrid w:val="0"/>
        </w:rPr>
      </w:pPr>
      <w:bookmarkStart w:id="13" w:name="_Toc100567660"/>
      <w:r>
        <w:rPr>
          <w:rStyle w:val="CharSectno"/>
        </w:rPr>
        <w:t>10</w:t>
      </w:r>
      <w:r>
        <w:rPr>
          <w:snapToGrid w:val="0"/>
        </w:rPr>
        <w:t>.</w:t>
      </w:r>
      <w:r>
        <w:rPr>
          <w:snapToGrid w:val="0"/>
        </w:rPr>
        <w:tab/>
        <w:t>Memorials to be registered in succession, and books and indexes to be kept</w:t>
      </w:r>
      <w:bookmarkEnd w:id="13"/>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 xml:space="preserve">office, and there kept for future reference when required; and he shall also keep an alphabetical index of the districts, towns and places mentioned in every such memorial, and also a like index or indexes of the names of the several </w:t>
      </w:r>
      <w:r>
        <w:rPr>
          <w:snapToGrid w:val="0"/>
        </w:rPr>
        <w:lastRenderedPageBreak/>
        <w:t>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No. 17 of 1974 s. 9; No. 60 of 2006 s. 150(6).] </w:t>
      </w:r>
    </w:p>
    <w:p>
      <w:pPr>
        <w:pStyle w:val="Heading5"/>
        <w:rPr>
          <w:snapToGrid w:val="0"/>
        </w:rPr>
      </w:pPr>
      <w:bookmarkStart w:id="14" w:name="_Toc100567661"/>
      <w:r>
        <w:rPr>
          <w:rStyle w:val="CharSectno"/>
        </w:rPr>
        <w:t>11</w:t>
      </w:r>
      <w:r>
        <w:rPr>
          <w:snapToGrid w:val="0"/>
        </w:rPr>
        <w:t>.</w:t>
      </w:r>
      <w:r>
        <w:rPr>
          <w:snapToGrid w:val="0"/>
        </w:rPr>
        <w:tab/>
        <w:t>Mortgages and judgments</w:t>
      </w:r>
      <w:bookmarkEnd w:id="14"/>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No. 17 of 1974 s. 9; No. 60 of 2006 s. 150(7).] </w:t>
      </w:r>
    </w:p>
    <w:p>
      <w:pPr>
        <w:pStyle w:val="Heading5"/>
        <w:rPr>
          <w:snapToGrid w:val="0"/>
        </w:rPr>
      </w:pPr>
      <w:bookmarkStart w:id="15" w:name="_Toc100567662"/>
      <w:r>
        <w:rPr>
          <w:rStyle w:val="CharSectno"/>
        </w:rPr>
        <w:lastRenderedPageBreak/>
        <w:t>12</w:t>
      </w:r>
      <w:r>
        <w:rPr>
          <w:snapToGrid w:val="0"/>
        </w:rPr>
        <w:t>.</w:t>
      </w:r>
      <w:r>
        <w:rPr>
          <w:snapToGrid w:val="0"/>
        </w:rPr>
        <w:tab/>
        <w:t>Contents of certificate</w:t>
      </w:r>
      <w:bookmarkEnd w:id="15"/>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No. 60 of 2006 s. 150(8).]</w:t>
      </w:r>
    </w:p>
    <w:p>
      <w:pPr>
        <w:pStyle w:val="Heading5"/>
        <w:rPr>
          <w:snapToGrid w:val="0"/>
        </w:rPr>
      </w:pPr>
      <w:bookmarkStart w:id="16" w:name="_Toc100567663"/>
      <w:r>
        <w:rPr>
          <w:rStyle w:val="CharSectno"/>
        </w:rPr>
        <w:t>13</w:t>
      </w:r>
      <w:r>
        <w:rPr>
          <w:snapToGrid w:val="0"/>
        </w:rPr>
        <w:t>.</w:t>
      </w:r>
      <w:r>
        <w:rPr>
          <w:snapToGrid w:val="0"/>
        </w:rPr>
        <w:tab/>
        <w:t>Anyone may deposit for safe custody, any deed or will</w:t>
      </w:r>
      <w:bookmarkEnd w:id="16"/>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w:t>
      </w:r>
      <w:r>
        <w:rPr>
          <w:snapToGrid w:val="0"/>
        </w:rPr>
        <w:lastRenderedPageBreak/>
        <w:t xml:space="preserve">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No. 59 of 2004 s. 136; No. 60 of 2006 s. 150(9).]</w:t>
      </w:r>
    </w:p>
    <w:p>
      <w:pPr>
        <w:pStyle w:val="Heading5"/>
        <w:rPr>
          <w:snapToGrid w:val="0"/>
        </w:rPr>
      </w:pPr>
      <w:bookmarkStart w:id="17" w:name="_Toc100567664"/>
      <w:r>
        <w:rPr>
          <w:rStyle w:val="CharSectno"/>
        </w:rPr>
        <w:t>14</w:t>
      </w:r>
      <w:r>
        <w:rPr>
          <w:snapToGrid w:val="0"/>
        </w:rPr>
        <w:t>.</w:t>
      </w:r>
      <w:r>
        <w:rPr>
          <w:snapToGrid w:val="0"/>
        </w:rPr>
        <w:tab/>
        <w:t>Enrolment</w:t>
      </w:r>
      <w:bookmarkEnd w:id="17"/>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18" w:name="_Toc100567665"/>
      <w:r>
        <w:rPr>
          <w:rStyle w:val="CharSectno"/>
        </w:rPr>
        <w:t>15</w:t>
      </w:r>
      <w:r>
        <w:rPr>
          <w:snapToGrid w:val="0"/>
        </w:rPr>
        <w:t>.</w:t>
      </w:r>
      <w:r>
        <w:rPr>
          <w:snapToGrid w:val="0"/>
        </w:rPr>
        <w:tab/>
        <w:t>Lost instrument</w:t>
      </w:r>
      <w:bookmarkEnd w:id="18"/>
      <w:r>
        <w:rPr>
          <w:snapToGrid w:val="0"/>
        </w:rPr>
        <w:t xml:space="preserve"> </w:t>
      </w:r>
    </w:p>
    <w:p>
      <w:pPr>
        <w:pStyle w:val="Subsection"/>
        <w:rPr>
          <w:snapToGrid w:val="0"/>
        </w:rPr>
      </w:pPr>
      <w:r>
        <w:rPr>
          <w:snapToGrid w:val="0"/>
        </w:rPr>
        <w:tab/>
      </w:r>
      <w:r>
        <w:rPr>
          <w:snapToGrid w:val="0"/>
        </w:rPr>
        <w:tab/>
        <w:t xml:space="preserve">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w:t>
      </w:r>
      <w:r>
        <w:rPr>
          <w:snapToGrid w:val="0"/>
        </w:rPr>
        <w:lastRenderedPageBreak/>
        <w:t>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19" w:name="_Toc100567666"/>
      <w:r>
        <w:rPr>
          <w:rStyle w:val="CharSectno"/>
        </w:rPr>
        <w:t>16</w:t>
      </w:r>
      <w:r>
        <w:rPr>
          <w:snapToGrid w:val="0"/>
        </w:rPr>
        <w:t>.</w:t>
      </w:r>
      <w:r>
        <w:rPr>
          <w:snapToGrid w:val="0"/>
        </w:rPr>
        <w:tab/>
        <w:t>Prior registrations even if informal evidence of facts and circumstances</w:t>
      </w:r>
      <w:bookmarkEnd w:id="19"/>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No. 17 of 1974 s. 9.] </w:t>
      </w:r>
    </w:p>
    <w:p>
      <w:pPr>
        <w:pStyle w:val="Ednotesection"/>
      </w:pPr>
      <w:r>
        <w:t>[</w:t>
      </w:r>
      <w:r>
        <w:rPr>
          <w:b/>
        </w:rPr>
        <w:t>17, 18.</w:t>
      </w:r>
      <w:r>
        <w:tab/>
        <w:t xml:space="preserve">Deleted: 1 and 2 Edw. VII No. 14 s. 3.] </w:t>
      </w:r>
    </w:p>
    <w:p>
      <w:pPr>
        <w:pStyle w:val="Heading5"/>
        <w:rPr>
          <w:snapToGrid w:val="0"/>
        </w:rPr>
      </w:pPr>
      <w:bookmarkStart w:id="20" w:name="_Toc100567667"/>
      <w:r>
        <w:rPr>
          <w:rStyle w:val="CharSectno"/>
        </w:rPr>
        <w:t>19</w:t>
      </w:r>
      <w:r>
        <w:rPr>
          <w:snapToGrid w:val="0"/>
        </w:rPr>
        <w:t>.</w:t>
      </w:r>
      <w:r>
        <w:rPr>
          <w:snapToGrid w:val="0"/>
        </w:rPr>
        <w:tab/>
        <w:t>Court may cancel false or fraudulent registration</w:t>
      </w:r>
      <w:bookmarkEnd w:id="20"/>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No. 59 of 2004 s. 136.] </w:t>
      </w:r>
    </w:p>
    <w:p>
      <w:pPr>
        <w:pStyle w:val="Heading5"/>
        <w:rPr>
          <w:snapToGrid w:val="0"/>
        </w:rPr>
      </w:pPr>
      <w:bookmarkStart w:id="21" w:name="_Toc100567668"/>
      <w:r>
        <w:rPr>
          <w:rStyle w:val="CharSectno"/>
        </w:rPr>
        <w:lastRenderedPageBreak/>
        <w:t>20</w:t>
      </w:r>
      <w:r>
        <w:rPr>
          <w:snapToGrid w:val="0"/>
        </w:rPr>
        <w:t>.</w:t>
      </w:r>
      <w:r>
        <w:rPr>
          <w:snapToGrid w:val="0"/>
        </w:rPr>
        <w:tab/>
        <w:t>Mistake or omission, if not wilful, may be rectified by court</w:t>
      </w:r>
      <w:bookmarkEnd w:id="21"/>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No. 17 of 1974 s. 9; No. 59 of 2004 s. 136.] </w:t>
      </w:r>
    </w:p>
    <w:p>
      <w:pPr>
        <w:pStyle w:val="Ednotesection"/>
      </w:pPr>
      <w:r>
        <w:t>[</w:t>
      </w:r>
      <w:r>
        <w:rPr>
          <w:b/>
        </w:rPr>
        <w:t>21.</w:t>
      </w:r>
      <w:r>
        <w:tab/>
        <w:t xml:space="preserve">Deleted: No. 17 of 1974 s. 5.] </w:t>
      </w:r>
    </w:p>
    <w:p>
      <w:pPr>
        <w:pStyle w:val="Heading5"/>
        <w:rPr>
          <w:snapToGrid w:val="0"/>
        </w:rPr>
      </w:pPr>
      <w:bookmarkStart w:id="22" w:name="_Toc100567669"/>
      <w:r>
        <w:rPr>
          <w:rStyle w:val="CharSectno"/>
        </w:rPr>
        <w:lastRenderedPageBreak/>
        <w:t>22</w:t>
      </w:r>
      <w:r>
        <w:rPr>
          <w:snapToGrid w:val="0"/>
        </w:rPr>
        <w:t>.</w:t>
      </w:r>
      <w:r>
        <w:rPr>
          <w:snapToGrid w:val="0"/>
        </w:rPr>
        <w:tab/>
        <w:t>Regulations</w:t>
      </w:r>
      <w:bookmarkEnd w:id="22"/>
      <w:r>
        <w:rPr>
          <w:snapToGrid w:val="0"/>
        </w:rPr>
        <w:t xml:space="preserve"> </w:t>
      </w:r>
    </w:p>
    <w:p>
      <w:pPr>
        <w:pStyle w:val="Subsection"/>
        <w:keepNext/>
        <w:keepLines/>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keepNext/>
        <w:keepLines/>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No. 17 of 1974 s. 6; amended: No. 60 of 2006 s. 150(10).] </w:t>
      </w:r>
    </w:p>
    <w:p>
      <w:pPr>
        <w:pStyle w:val="Heading5"/>
      </w:pPr>
      <w:bookmarkStart w:id="23" w:name="_Toc100567670"/>
      <w:r>
        <w:rPr>
          <w:rStyle w:val="CharSectno"/>
        </w:rPr>
        <w:t>22AA</w:t>
      </w:r>
      <w:r>
        <w:t>.</w:t>
      </w:r>
      <w:r>
        <w:tab/>
        <w:t>Certain prescribed fees may exceed cost recovery</w:t>
      </w:r>
      <w:bookmarkEnd w:id="23"/>
    </w:p>
    <w:p>
      <w:pPr>
        <w:pStyle w:val="Subsection"/>
      </w:pPr>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22AA inserted: No. 11 of 2015 s. 6; amended: No. 12 of 2015 s. 4.]</w:t>
      </w:r>
    </w:p>
    <w:p>
      <w:pPr>
        <w:pStyle w:val="Heading5"/>
      </w:pPr>
      <w:bookmarkStart w:id="24" w:name="_Toc100567671"/>
      <w:r>
        <w:rPr>
          <w:rStyle w:val="CharSectno"/>
        </w:rPr>
        <w:t>22AB</w:t>
      </w:r>
      <w:r>
        <w:t>.</w:t>
      </w:r>
      <w:r>
        <w:tab/>
        <w:t>Expiry of section 22AA</w:t>
      </w:r>
      <w:bookmarkEnd w:id="24"/>
    </w:p>
    <w:p>
      <w:pPr>
        <w:pStyle w:val="Subsection"/>
      </w:pPr>
      <w:r>
        <w:tab/>
        <w:t>(1)</w:t>
      </w:r>
      <w:r>
        <w:tab/>
        <w:t>Section 22AA expires at the end of 31 December 2019 </w:t>
      </w:r>
      <w:r>
        <w:rPr>
          <w:vertAlign w:val="superscript"/>
        </w:rPr>
        <w:t>2</w:t>
      </w:r>
      <w:r>
        <w:t>.</w:t>
      </w:r>
    </w:p>
    <w:p>
      <w:pPr>
        <w:pStyle w:val="Subsection"/>
      </w:pPr>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p>
    <w:p>
      <w:pPr>
        <w:pStyle w:val="Subsection"/>
      </w:pPr>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22AA does not affect the validity of any regulations made under section 22 and in effect immediately before that expiry.</w:t>
      </w:r>
    </w:p>
    <w:p>
      <w:pPr>
        <w:pStyle w:val="Footnotesection"/>
      </w:pPr>
      <w:r>
        <w:tab/>
        <w:t>[Section 22AB inserted: No. 11 of 2015 s. 6.]</w:t>
      </w:r>
    </w:p>
    <w:p>
      <w:pPr>
        <w:pStyle w:val="Footnotesection"/>
      </w:pPr>
      <w:r>
        <w:tab/>
        <w:t>[</w:t>
      </w:r>
      <w:r>
        <w:rPr>
          <w:b/>
        </w:rPr>
        <w:t>Note:</w:t>
      </w:r>
      <w:r>
        <w:t xml:space="preserve">  The expiry of section 22AA is postponed until the end of 31 December 2024 by the Land Legislation (Postponement of Expiry) Proclamation 2018 (see Gazette 21 Dec 2018 p. 4845-6).]</w:t>
      </w:r>
    </w:p>
    <w:p>
      <w:pPr>
        <w:pStyle w:val="Heading5"/>
        <w:rPr>
          <w:snapToGrid w:val="0"/>
        </w:rPr>
      </w:pPr>
      <w:bookmarkStart w:id="25" w:name="_Toc100567672"/>
      <w:r>
        <w:rPr>
          <w:rStyle w:val="CharSectno"/>
        </w:rPr>
        <w:t>22A</w:t>
      </w:r>
      <w:r>
        <w:rPr>
          <w:snapToGrid w:val="0"/>
        </w:rPr>
        <w:t>.</w:t>
      </w:r>
      <w:r>
        <w:rPr>
          <w:snapToGrid w:val="0"/>
        </w:rPr>
        <w:tab/>
        <w:t>Validation</w:t>
      </w:r>
      <w:bookmarkEnd w:id="25"/>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rPr>
        <w:t>, shall be deemed to have been done by the Registrar of Deeds and Transfers.</w:t>
      </w:r>
    </w:p>
    <w:p>
      <w:pPr>
        <w:pStyle w:val="Footnotesection"/>
      </w:pPr>
      <w:r>
        <w:tab/>
        <w:t xml:space="preserve">[Section 22A inserted: No. 17 of 1974 s. 7.] </w:t>
      </w:r>
    </w:p>
    <w:p>
      <w:pPr>
        <w:pStyle w:val="Ednotesection"/>
      </w:pPr>
      <w:r>
        <w:t>[</w:t>
      </w:r>
      <w:r>
        <w:rPr>
          <w:b/>
        </w:rPr>
        <w:t>23.</w:t>
      </w:r>
      <w:r>
        <w:tab/>
        <w:t xml:space="preserve">Deleted: No. 17 of 1974 s. 8.] </w:t>
      </w:r>
    </w:p>
    <w:p>
      <w:pPr>
        <w:pStyle w:val="Ednotesection"/>
      </w:pPr>
      <w:r>
        <w:t>[</w:t>
      </w:r>
      <w:r>
        <w:rPr>
          <w:b/>
        </w:rPr>
        <w:t>24.</w:t>
      </w:r>
      <w:r>
        <w:tab/>
        <w:t xml:space="preserve">Deleted: 1 and 2 Edw. VII No. 14 s. 3.] </w:t>
      </w:r>
    </w:p>
    <w:p>
      <w:pPr>
        <w:pStyle w:val="Heading5"/>
        <w:rPr>
          <w:snapToGrid w:val="0"/>
        </w:rPr>
      </w:pPr>
      <w:bookmarkStart w:id="26" w:name="_Toc100567673"/>
      <w:r>
        <w:rPr>
          <w:rStyle w:val="CharSectno"/>
        </w:rPr>
        <w:t>25</w:t>
      </w:r>
      <w:r>
        <w:rPr>
          <w:snapToGrid w:val="0"/>
        </w:rPr>
        <w:t>.</w:t>
      </w:r>
      <w:r>
        <w:rPr>
          <w:snapToGrid w:val="0"/>
        </w:rPr>
        <w:tab/>
        <w:t>Short title</w:t>
      </w:r>
      <w:bookmarkEnd w:id="26"/>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w:t>
      </w:r>
    </w:p>
    <w:p>
      <w:pPr>
        <w:pStyle w:val="Footnotesection"/>
      </w:pPr>
      <w:r>
        <w:tab/>
        <w:t xml:space="preserve">[Section 25 inserted: No. 81 of 1966 s. 2; amended: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100322280"/>
      <w:bookmarkStart w:id="28" w:name="_Toc100567674"/>
      <w:r>
        <w:lastRenderedPageBreak/>
        <w:t>Notes</w:t>
      </w:r>
      <w:bookmarkEnd w:id="27"/>
      <w:bookmarkEnd w:id="28"/>
    </w:p>
    <w:p>
      <w:pPr>
        <w:pStyle w:val="nStatement"/>
      </w:pPr>
      <w:r>
        <w:t xml:space="preserve">This is a compilation of the </w:t>
      </w:r>
      <w:r>
        <w:rPr>
          <w:i/>
          <w:noProof/>
        </w:rPr>
        <w:t>Registration of Deeds Act 1856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 w:name="_Toc100567675"/>
      <w:r>
        <w:t>Compilation table</w:t>
      </w:r>
      <w:bookmarkEnd w:id="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vertAlign w:val="superscript"/>
              </w:rPr>
            </w:pPr>
            <w:r>
              <w:t>Untitled Act</w:t>
            </w:r>
            <w:r>
              <w:rPr>
                <w:vertAlign w:val="superscript"/>
              </w:rPr>
              <w:t> 1</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2" w:type="dxa"/>
          </w:tcPr>
          <w:p>
            <w:pPr>
              <w:pStyle w:val="nTable"/>
              <w:spacing w:before="60" w:after="60"/>
            </w:pPr>
            <w:r>
              <w:t>14 Jun 1856</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2" w:type="dxa"/>
          </w:tcPr>
          <w:p>
            <w:pPr>
              <w:pStyle w:val="nTable"/>
              <w:spacing w:before="60" w:after="60"/>
            </w:pPr>
            <w:r>
              <w:t>1 May 1902 (see s. 2)</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2" w:type="dxa"/>
          </w:tcPr>
          <w:p>
            <w:pPr>
              <w:pStyle w:val="nTable"/>
              <w:spacing w:before="60" w:after="60"/>
            </w:pPr>
            <w:r>
              <w:t>21 Dec 1909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2" w:type="dxa"/>
          </w:tcPr>
          <w:p>
            <w:pPr>
              <w:pStyle w:val="nTable"/>
              <w:spacing w:before="60" w:after="60"/>
            </w:pPr>
            <w:r>
              <w:t>8 Oct 1923</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2" w:type="dxa"/>
          </w:tcPr>
          <w:p>
            <w:pPr>
              <w:pStyle w:val="nTable"/>
              <w:spacing w:before="60" w:after="6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2"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2" w:type="dxa"/>
          </w:tcPr>
          <w:p>
            <w:pPr>
              <w:pStyle w:val="nTable"/>
              <w:spacing w:before="60" w:after="6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iCs/>
                <w:snapToGrid w:val="0"/>
              </w:rPr>
            </w:pPr>
            <w:r>
              <w:rPr>
                <w:i/>
                <w:snapToGrid w:val="0"/>
              </w:rPr>
              <w:lastRenderedPageBreak/>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2"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2"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rPr>
              <w:t>Land Legislation Amendment Act 2015</w:t>
            </w:r>
            <w:r>
              <w:t xml:space="preserve"> Pt. 3</w:t>
            </w:r>
          </w:p>
        </w:tc>
        <w:tc>
          <w:tcPr>
            <w:tcW w:w="1134" w:type="dxa"/>
            <w:shd w:val="clear" w:color="auto" w:fill="auto"/>
          </w:tcPr>
          <w:p>
            <w:pPr>
              <w:pStyle w:val="nTable"/>
              <w:spacing w:before="60" w:after="60"/>
              <w:rPr>
                <w:snapToGrid w:val="0"/>
              </w:rPr>
            </w:pPr>
            <w:r>
              <w:t>11 of 2015</w:t>
            </w:r>
          </w:p>
        </w:tc>
        <w:tc>
          <w:tcPr>
            <w:tcW w:w="1134" w:type="dxa"/>
            <w:shd w:val="clear" w:color="auto" w:fill="auto"/>
          </w:tcPr>
          <w:p>
            <w:pPr>
              <w:pStyle w:val="nTable"/>
              <w:spacing w:before="60" w:after="60"/>
              <w:rPr>
                <w:snapToGrid w:val="0"/>
              </w:rPr>
            </w:pPr>
            <w:r>
              <w:t>29 Apr 2015</w:t>
            </w:r>
          </w:p>
        </w:tc>
        <w:tc>
          <w:tcPr>
            <w:tcW w:w="2552" w:type="dxa"/>
            <w:shd w:val="clear" w:color="auto" w:fill="auto"/>
          </w:tcPr>
          <w:p>
            <w:pPr>
              <w:pStyle w:val="nTable"/>
              <w:spacing w:before="60" w:after="6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spacing w:before="60" w:after="60"/>
              <w:rPr>
                <w:i/>
              </w:rPr>
            </w:pPr>
            <w:r>
              <w:rPr>
                <w:i/>
              </w:rPr>
              <w:t>Land Legislation Amendment (Taxing) Act 2015</w:t>
            </w:r>
            <w:r>
              <w:t xml:space="preserve"> Pt. 2</w:t>
            </w:r>
          </w:p>
        </w:tc>
        <w:tc>
          <w:tcPr>
            <w:tcW w:w="1134" w:type="dxa"/>
            <w:tcBorders>
              <w:bottom w:val="single" w:sz="4" w:space="0" w:color="auto"/>
            </w:tcBorders>
            <w:shd w:val="clear" w:color="auto" w:fill="auto"/>
          </w:tcPr>
          <w:p>
            <w:pPr>
              <w:pStyle w:val="nTable"/>
              <w:spacing w:before="60" w:after="60"/>
            </w:pPr>
            <w:r>
              <w:t>12 of 2015</w:t>
            </w:r>
          </w:p>
        </w:tc>
        <w:tc>
          <w:tcPr>
            <w:tcW w:w="1134" w:type="dxa"/>
            <w:tcBorders>
              <w:bottom w:val="single" w:sz="4" w:space="0" w:color="auto"/>
            </w:tcBorders>
            <w:shd w:val="clear" w:color="auto" w:fill="auto"/>
          </w:tcPr>
          <w:p>
            <w:pPr>
              <w:pStyle w:val="nTable"/>
              <w:spacing w:before="60" w:after="60"/>
            </w:pPr>
            <w:r>
              <w:t>29 Apr 2015</w:t>
            </w:r>
          </w:p>
        </w:tc>
        <w:tc>
          <w:tcPr>
            <w:tcW w:w="2552" w:type="dxa"/>
            <w:tcBorders>
              <w:bottom w:val="single" w:sz="4" w:space="0" w:color="auto"/>
            </w:tcBorders>
            <w:shd w:val="clear" w:color="auto" w:fill="auto"/>
          </w:tcPr>
          <w:p>
            <w:pPr>
              <w:pStyle w:val="nTable"/>
              <w:spacing w:before="60" w:after="60"/>
            </w:pPr>
            <w:r>
              <w:t xml:space="preserve">30 Jun 2015 (see s. 2(b) and </w:t>
            </w:r>
            <w:r>
              <w:rPr>
                <w:i/>
              </w:rPr>
              <w:t>Gazette</w:t>
            </w:r>
            <w:r>
              <w:t xml:space="preserve"> 2 Jun 2015 p. 1937)</w:t>
            </w:r>
          </w:p>
        </w:tc>
      </w:tr>
    </w:tbl>
    <w:p>
      <w:pPr>
        <w:pStyle w:val="nHeading3"/>
      </w:pPr>
      <w:bookmarkStart w:id="30" w:name="_Toc100567676"/>
      <w:r>
        <w:t>Uncommenced provisions table</w:t>
      </w:r>
      <w:bookmarkEnd w:id="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17</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31" w:name="_Toc100567677"/>
      <w:r>
        <w:t>Other notes</w:t>
      </w:r>
      <w:bookmarkEnd w:id="31"/>
    </w:p>
    <w:p>
      <w:pPr>
        <w:pStyle w:val="nNote"/>
      </w:pPr>
      <w:r>
        <w:rPr>
          <w:vertAlign w:val="superscript"/>
        </w:rPr>
        <w:t>1</w:t>
      </w:r>
      <w:r>
        <w:tab/>
        <w:t xml:space="preserve">Now known as the </w:t>
      </w:r>
      <w:r>
        <w:rPr>
          <w:i/>
        </w:rPr>
        <w:t>Registration of Deeds Act 1856</w:t>
      </w:r>
      <w:r>
        <w:t>; short title inserted and amended (see note under s. 25).</w:t>
      </w:r>
    </w:p>
    <w:p>
      <w:pPr>
        <w:pStyle w:val="nNote"/>
      </w:pPr>
      <w:r>
        <w:rPr>
          <w:vertAlign w:val="superscript"/>
        </w:rPr>
        <w:t>2</w:t>
      </w:r>
      <w:r>
        <w:tab/>
        <w:t xml:space="preserve">The </w:t>
      </w:r>
      <w:r>
        <w:rPr>
          <w:i/>
        </w:rPr>
        <w:t>Land Legislation (Postponement of Expiry) Proclamation 2018</w:t>
      </w:r>
      <w:r>
        <w:t xml:space="preserve"> published by </w:t>
      </w:r>
      <w:r>
        <w:rPr>
          <w:i/>
        </w:rPr>
        <w:t>Gazette</w:t>
      </w:r>
      <w:r>
        <w:t xml:space="preserve"> 21 Dec 2018 p. 4845-6 provides that the expiry of section 22AA is postponed until the end of 31 December 2024.</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3" w:name="_Toc100322284"/>
      <w:bookmarkStart w:id="34" w:name="_Toc100567678"/>
      <w:r>
        <w:rPr>
          <w:sz w:val="28"/>
        </w:rPr>
        <w:lastRenderedPageBreak/>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commencement</w:t>
      </w:r>
      <w:r>
        <w:tab/>
        <w:t>22(2)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4FA84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044"/>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111175839" w:val="UpdateStyles,UsedStyles"/>
    <w:docVar w:name="WAFER_20151111175839_GUID" w:val="5efa8a2a-66bc-4742-8568-512ee3e17447"/>
    <w:docVar w:name="WAFER_20151201110838" w:val="RemoveTrackChanges"/>
    <w:docVar w:name="WAFER_20151201110838_GUID" w:val="ac47c2b8-7093-45a7-8305-4c81152374bd"/>
    <w:docVar w:name="WAFER_20220408144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44044_GUID" w:val="c7e6ec09-5312-4221-9714-3d99c738e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4845</Words>
  <Characters>22968</Characters>
  <Application>Microsoft Office Word</Application>
  <DocSecurity>0</DocSecurity>
  <Lines>620</Lines>
  <Paragraphs>259</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1856 - 03-d0-00</dc:title>
  <dc:subject/>
  <dc:creator/>
  <cp:keywords/>
  <dc:description/>
  <cp:lastModifiedBy>Master Repository Process</cp:lastModifiedBy>
  <cp:revision>4</cp:revision>
  <cp:lastPrinted>2018-12-21T03:46:00Z</cp:lastPrinted>
  <dcterms:created xsi:type="dcterms:W3CDTF">2022-04-14T10:19:00Z</dcterms:created>
  <dcterms:modified xsi:type="dcterms:W3CDTF">2022-04-14T10:19:00Z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14 Apr 2022</vt:lpwstr>
  </property>
  <property fmtid="{D5CDD505-2E9C-101B-9397-08002B2CF9AE}" pid="8" name="Suffix">
    <vt:lpwstr>03-d0-00</vt:lpwstr>
  </property>
  <property fmtid="{D5CDD505-2E9C-101B-9397-08002B2CF9AE}" pid="9" name="CommencementDate">
    <vt:lpwstr>20220414</vt:lpwstr>
  </property>
</Properties>
</file>