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Settlement Agents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_Toc106096950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_Toc106096951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_Toc106096952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_Toc106096953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_Toc106096954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_Toc106096955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_Toc106096957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_Toc106096958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_Toc106096959 \h </w:instrText>
      </w:r>
      <w:r>
        <w:fldChar w:fldCharType="separate"/>
      </w:r>
      <w:r>
        <w:t>11</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_Toc106096960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individuals</w:t>
      </w:r>
      <w:r>
        <w:tab/>
      </w:r>
      <w:r>
        <w:fldChar w:fldCharType="begin"/>
      </w:r>
      <w:r>
        <w:instrText xml:space="preserve"> PAGEREF _Toc106096961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_Toc106096962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_Toc106096963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_Toc106096964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Licensee’s triennial certificate: grant and renewal</w:t>
      </w:r>
      <w:r>
        <w:tab/>
      </w:r>
      <w:r>
        <w:fldChar w:fldCharType="begin"/>
      </w:r>
      <w:r>
        <w:instrText xml:space="preserve"> PAGEREF _Toc106096965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Licensee’s triennial certificate: late renewal</w:t>
      </w:r>
      <w:r>
        <w:tab/>
      </w:r>
      <w:r>
        <w:fldChar w:fldCharType="begin"/>
      </w:r>
      <w:r>
        <w:instrText xml:space="preserve"> PAGEREF _Toc106096966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Licensee’s triennial certificate: late renewal after 12 months</w:t>
      </w:r>
      <w:r>
        <w:tab/>
      </w:r>
      <w:r>
        <w:fldChar w:fldCharType="begin"/>
      </w:r>
      <w:r>
        <w:instrText xml:space="preserve"> PAGEREF _Toc106096967 \h </w:instrText>
      </w:r>
      <w:r>
        <w:fldChar w:fldCharType="separate"/>
      </w:r>
      <w:r>
        <w:t>20</w:t>
      </w:r>
      <w:r>
        <w:fldChar w:fldCharType="end"/>
      </w:r>
    </w:p>
    <w:p>
      <w:pPr>
        <w:pStyle w:val="TOC8"/>
        <w:rPr>
          <w:rFonts w:asciiTheme="minorHAnsi" w:eastAsiaTheme="minorEastAsia" w:hAnsiTheme="minorHAnsi" w:cstheme="minorBidi"/>
          <w:szCs w:val="22"/>
        </w:rPr>
      </w:pPr>
      <w:r>
        <w:t>34.</w:t>
      </w:r>
      <w:r>
        <w:tab/>
        <w:t>Conditions on licences and triennial certificates</w:t>
      </w:r>
      <w:r>
        <w:tab/>
      </w:r>
      <w:r>
        <w:fldChar w:fldCharType="begin"/>
      </w:r>
      <w:r>
        <w:instrText xml:space="preserve"> PAGEREF _Toc106096968 \h </w:instrText>
      </w:r>
      <w:r>
        <w:fldChar w:fldCharType="separate"/>
      </w:r>
      <w:r>
        <w:t>21</w:t>
      </w:r>
      <w:r>
        <w:fldChar w:fldCharType="end"/>
      </w:r>
    </w:p>
    <w:p>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_Toc106096969 \h </w:instrText>
      </w:r>
      <w:r>
        <w:fldChar w:fldCharType="separate"/>
      </w:r>
      <w:r>
        <w:t>22</w:t>
      </w:r>
      <w:r>
        <w:fldChar w:fldCharType="end"/>
      </w:r>
    </w:p>
    <w:p>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_Toc106096970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34A</w:t>
      </w:r>
      <w:r>
        <w:rPr>
          <w:snapToGrid w:val="0"/>
        </w:rPr>
        <w:t>.</w:t>
      </w:r>
      <w:r>
        <w:tab/>
        <w:t>Commissioner may grant licence or triennial certificate without notice to applicant</w:t>
      </w:r>
      <w:r>
        <w:tab/>
      </w:r>
      <w:r>
        <w:fldChar w:fldCharType="begin"/>
      </w:r>
      <w:r>
        <w:instrText xml:space="preserve"> PAGEREF _Toc106096971 \h </w:instrText>
      </w:r>
      <w:r>
        <w:fldChar w:fldCharType="separate"/>
      </w:r>
      <w:r>
        <w:t>24</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_Toc106096972 \h </w:instrText>
      </w:r>
      <w:r>
        <w:fldChar w:fldCharType="separate"/>
      </w:r>
      <w:r>
        <w:t>24</w:t>
      </w:r>
      <w:r>
        <w:fldChar w:fldCharType="end"/>
      </w:r>
    </w:p>
    <w:p>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_Toc106096973 \h </w:instrText>
      </w:r>
      <w:r>
        <w:fldChar w:fldCharType="separate"/>
      </w:r>
      <w:r>
        <w:t>25</w:t>
      </w:r>
      <w:r>
        <w:fldChar w:fldCharType="end"/>
      </w:r>
    </w:p>
    <w:p>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_Toc106096974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_Toc106096975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_Toc106096976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_Toc106096977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_Toc106096978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_Toc106096979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_Toc106096980 \h </w:instrText>
      </w:r>
      <w:r>
        <w:fldChar w:fldCharType="separate"/>
      </w:r>
      <w:r>
        <w:t>30</w:t>
      </w:r>
      <w:r>
        <w:fldChar w:fldCharType="end"/>
      </w:r>
    </w:p>
    <w:p>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_Toc106096981 \h </w:instrText>
      </w:r>
      <w:r>
        <w:fldChar w:fldCharType="separate"/>
      </w:r>
      <w:r>
        <w:t>31</w:t>
      </w:r>
      <w:r>
        <w:fldChar w:fldCharType="end"/>
      </w:r>
    </w:p>
    <w:p>
      <w:pPr>
        <w:pStyle w:val="TOC8"/>
        <w:rPr>
          <w:rFonts w:asciiTheme="minorHAnsi" w:eastAsiaTheme="minorEastAsia" w:hAnsiTheme="minorHAnsi" w:cstheme="minorBidi"/>
          <w:szCs w:val="22"/>
        </w:rPr>
      </w:pPr>
      <w:r>
        <w:t>41B.</w:t>
      </w:r>
      <w:r>
        <w:tab/>
        <w:t>Licensee to comply with prescribed educational requirements</w:t>
      </w:r>
      <w:r>
        <w:tab/>
      </w:r>
      <w:r>
        <w:fldChar w:fldCharType="begin"/>
      </w:r>
      <w:r>
        <w:instrText xml:space="preserve"> PAGEREF _Toc106096982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_Toc106096983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_Toc106096984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_Toc106096987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_Toc106096988 \h </w:instrText>
      </w:r>
      <w:r>
        <w:fldChar w:fldCharType="separate"/>
      </w:r>
      <w:r>
        <w:t>35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_Toc106096989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_Toc106096990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_Toc106096991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_Toc106096993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_Toc106096994 \h </w:instrText>
      </w:r>
      <w:r>
        <w:fldChar w:fldCharType="separate"/>
      </w:r>
      <w:r>
        <w:t>41</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_Toc106096995 \h </w:instrText>
      </w:r>
      <w:r>
        <w:fldChar w:fldCharType="separate"/>
      </w:r>
      <w:r>
        <w:t>43</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_Toc106096996 \h </w:instrText>
      </w:r>
      <w:r>
        <w:fldChar w:fldCharType="separate"/>
      </w:r>
      <w:r>
        <w:t>44</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_Toc106096997 \h </w:instrText>
      </w:r>
      <w:r>
        <w:fldChar w:fldCharType="separate"/>
      </w:r>
      <w:r>
        <w:t>45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_Toc106096998 \h </w:instrText>
      </w:r>
      <w:r>
        <w:fldChar w:fldCharType="separate"/>
      </w:r>
      <w:r>
        <w:t>46</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Audits of trust accounts</w:t>
      </w:r>
      <w:r>
        <w:tab/>
      </w:r>
      <w:r>
        <w:fldChar w:fldCharType="begin"/>
      </w:r>
      <w:r>
        <w:instrText xml:space="preserve"> PAGEREF _Toc106096999 \h </w:instrText>
      </w:r>
      <w:r>
        <w:fldChar w:fldCharType="separate"/>
      </w:r>
      <w:r>
        <w:t>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_Toc106097000 \h </w:instrText>
      </w:r>
      <w:r>
        <w:fldChar w:fldCharType="separate"/>
      </w:r>
      <w:r>
        <w:t>48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_Toc106097001 \h </w:instrText>
      </w:r>
      <w:r>
        <w:fldChar w:fldCharType="separate"/>
      </w:r>
      <w:r>
        <w:t>49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_Toc106097002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_Toc106097003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_Toc106097004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_Toc106097005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_Toc106097006 \h </w:instrText>
      </w:r>
      <w:r>
        <w:fldChar w:fldCharType="separate"/>
      </w:r>
      <w:r>
        <w:t>51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_Toc106097007 \h </w:instrText>
      </w:r>
      <w:r>
        <w:fldChar w:fldCharType="separate"/>
      </w:r>
      <w:r>
        <w:t>52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_Toc106097008 \h </w:instrText>
      </w:r>
      <w:r>
        <w:fldChar w:fldCharType="separate"/>
      </w:r>
      <w:r>
        <w:t>52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_Toc106097009 \h </w:instrText>
      </w:r>
      <w:r>
        <w:fldChar w:fldCharType="separate"/>
      </w:r>
      <w:r>
        <w:t>53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_Toc106097010 \h </w:instrText>
      </w:r>
      <w:r>
        <w:fldChar w:fldCharType="separate"/>
      </w:r>
      <w:r>
        <w:t>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_Toc106097011 \h </w:instrText>
      </w:r>
      <w:r>
        <w:fldChar w:fldCharType="separate"/>
      </w:r>
      <w:r>
        <w:t>54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_Toc106097012 \h </w:instrText>
      </w:r>
      <w:r>
        <w:fldChar w:fldCharType="separate"/>
      </w:r>
      <w:r>
        <w:t>55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_Toc106097013 \h </w:instrText>
      </w:r>
      <w:r>
        <w:fldChar w:fldCharType="separate"/>
      </w:r>
      <w:r>
        <w:t>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_Toc106097014 \h </w:instrText>
      </w:r>
      <w:r>
        <w:fldChar w:fldCharType="separate"/>
      </w:r>
      <w:r>
        <w:t>55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_Toc106097015 \h </w:instrText>
      </w:r>
      <w:r>
        <w:fldChar w:fldCharType="separate"/>
      </w:r>
      <w:r>
        <w:t>56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_Toc106097016 \h </w:instrText>
      </w:r>
      <w:r>
        <w:fldChar w:fldCharType="separate"/>
      </w:r>
      <w:r>
        <w:t>56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_Toc106097017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_Toc106097018 \h </w:instrText>
      </w:r>
      <w:r>
        <w:fldChar w:fldCharType="separate"/>
      </w:r>
      <w:r>
        <w:t>57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_Toc106097019 \h </w:instrText>
      </w:r>
      <w:r>
        <w:fldChar w:fldCharType="separate"/>
      </w:r>
      <w:r>
        <w:t>57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_Toc106097020 \h </w:instrText>
      </w:r>
      <w:r>
        <w:fldChar w:fldCharType="separate"/>
      </w:r>
      <w:r>
        <w:t>58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_Toc106097021 \h </w:instrText>
      </w:r>
      <w:r>
        <w:fldChar w:fldCharType="separate"/>
      </w:r>
      <w:r>
        <w:t>59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_Toc106097022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_Toc106097023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_Toc106097024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_Toc106097025 \h </w:instrText>
      </w:r>
      <w:r>
        <w:fldChar w:fldCharType="separate"/>
      </w:r>
      <w:r>
        <w:t>64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_Toc106097026 \h </w:instrText>
      </w:r>
      <w:r>
        <w:fldChar w:fldCharType="separate"/>
      </w:r>
      <w:r>
        <w:t>64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_Toc106097027 \h </w:instrText>
      </w:r>
      <w:r>
        <w:fldChar w:fldCharType="separate"/>
      </w:r>
      <w:r>
        <w:t>65</w:t>
      </w:r>
      <w:r>
        <w:fldChar w:fldCharType="end"/>
      </w:r>
    </w:p>
    <w:p>
      <w:pPr>
        <w:pStyle w:val="TOC8"/>
        <w:rPr>
          <w:rFonts w:asciiTheme="minorHAnsi" w:eastAsiaTheme="minorEastAsia" w:hAnsiTheme="minorHAnsi" w:cstheme="minorBidi"/>
          <w:szCs w:val="22"/>
        </w:rPr>
      </w:pPr>
      <w:r>
        <w:lastRenderedPageBreak/>
        <w:t>81.</w:t>
      </w:r>
      <w:r>
        <w:tab/>
        <w:t>Banks etc., duty to disclose certain accounts etc. if required to by authorised person</w:t>
      </w:r>
      <w:r>
        <w:tab/>
      </w:r>
      <w:r>
        <w:fldChar w:fldCharType="begin"/>
      </w:r>
      <w:r>
        <w:instrText xml:space="preserve"> PAGEREF _Toc106097028 \h </w:instrText>
      </w:r>
      <w:r>
        <w:fldChar w:fldCharType="separate"/>
      </w:r>
      <w:r>
        <w:t>67</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_Toc106097029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_Toc106097031 \h </w:instrText>
      </w:r>
      <w:r>
        <w:fldChar w:fldCharType="separate"/>
      </w:r>
      <w:r>
        <w:t>69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_Toc106097032 \h </w:instrText>
      </w:r>
      <w:r>
        <w:fldChar w:fldCharType="separate"/>
      </w:r>
      <w:r>
        <w:t>69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_Toc106097033 \h </w:instrText>
      </w:r>
      <w:r>
        <w:fldChar w:fldCharType="separate"/>
      </w:r>
      <w:r>
        <w:t>70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_Toc106097034 \h </w:instrText>
      </w:r>
      <w:r>
        <w:fldChar w:fldCharType="separate"/>
      </w:r>
      <w:r>
        <w:t>72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_Toc106097035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_Toc106097037 \h </w:instrText>
      </w:r>
      <w:r>
        <w:fldChar w:fldCharType="separate"/>
      </w:r>
      <w:r>
        <w:t>74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_Toc106097038 \h </w:instrText>
      </w:r>
      <w:r>
        <w:fldChar w:fldCharType="separate"/>
      </w:r>
      <w:r>
        <w:t>74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_Toc106097039 \h </w:instrText>
      </w:r>
      <w:r>
        <w:fldChar w:fldCharType="separate"/>
      </w:r>
      <w:r>
        <w:t>75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_Toc106097040 \h </w:instrText>
      </w:r>
      <w:r>
        <w:fldChar w:fldCharType="separate"/>
      </w:r>
      <w:r>
        <w:t>75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_Toc106097041 \h </w:instrText>
      </w:r>
      <w:r>
        <w:fldChar w:fldCharType="separate"/>
      </w:r>
      <w:r>
        <w:t>76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_Toc106097042 \h </w:instrText>
      </w:r>
      <w:r>
        <w:fldChar w:fldCharType="separate"/>
      </w:r>
      <w:r>
        <w:t>76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_Toc106097043 \h </w:instrText>
      </w:r>
      <w:r>
        <w:fldChar w:fldCharType="separate"/>
      </w:r>
      <w:r>
        <w:t>77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_Toc106097044 \h </w:instrText>
      </w:r>
      <w:r>
        <w:fldChar w:fldCharType="separate"/>
      </w:r>
      <w:r>
        <w:t>78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_Toc106097045 \h </w:instrText>
      </w:r>
      <w:r>
        <w:fldChar w:fldCharType="separate"/>
      </w:r>
      <w:r>
        <w:t>79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_Toc106097046 \h </w:instrText>
      </w:r>
      <w:r>
        <w:fldChar w:fldCharType="separate"/>
      </w:r>
      <w:r>
        <w:t>79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_Toc106097047 \h </w:instrText>
      </w:r>
      <w:r>
        <w:fldChar w:fldCharType="separate"/>
      </w:r>
      <w:r>
        <w:t>80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_Toc106097048 \h </w:instrText>
      </w:r>
      <w:r>
        <w:fldChar w:fldCharType="separate"/>
      </w:r>
      <w:r>
        <w:t>81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_Toc106097049 \h </w:instrText>
      </w:r>
      <w:r>
        <w:fldChar w:fldCharType="separate"/>
      </w:r>
      <w:r>
        <w:t>81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_Toc106097050 \h </w:instrText>
      </w:r>
      <w:r>
        <w:fldChar w:fldCharType="separate"/>
      </w:r>
      <w:r>
        <w:t>82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_Toc106097051 \h </w:instrText>
      </w:r>
      <w:r>
        <w:fldChar w:fldCharType="separate"/>
      </w:r>
      <w:r>
        <w:t>82</w:t>
      </w:r>
      <w:r>
        <w:fldChar w:fldCharType="end"/>
      </w:r>
    </w:p>
    <w:p>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_Toc106097052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_Toc106097054 \h </w:instrText>
      </w:r>
      <w:r>
        <w:fldChar w:fldCharType="separate"/>
      </w:r>
      <w:r>
        <w:t>84</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_Toc106097055 \h </w:instrText>
      </w:r>
      <w:r>
        <w:fldChar w:fldCharType="separate"/>
      </w:r>
      <w:r>
        <w:t>84</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_Toc106097056 \h </w:instrText>
      </w:r>
      <w:r>
        <w:fldChar w:fldCharType="separate"/>
      </w:r>
      <w:r>
        <w:t>85</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_Toc106097057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_Toc106097059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_Toc106097060 \h </w:instrText>
      </w:r>
      <w:r>
        <w:fldChar w:fldCharType="separate"/>
      </w:r>
      <w:r>
        <w:t>87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_Toc106097061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_Toc106097062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_Toc106097064 \h </w:instrText>
      </w:r>
      <w:r>
        <w:fldChar w:fldCharType="separate"/>
      </w:r>
      <w:r>
        <w:t>89</w:t>
      </w:r>
      <w:r>
        <w:fldChar w:fldCharType="end"/>
      </w:r>
    </w:p>
    <w:p>
      <w:pPr>
        <w:pStyle w:val="TOC8"/>
        <w:rPr>
          <w:rFonts w:asciiTheme="minorHAnsi" w:eastAsiaTheme="minorEastAsia" w:hAnsiTheme="minorHAnsi" w:cstheme="minorBidi"/>
          <w:szCs w:val="22"/>
        </w:rPr>
      </w:pPr>
      <w:r>
        <w:t>111A.</w:t>
      </w:r>
      <w:r>
        <w:tab/>
        <w:t>Offence to give false or misleading information</w:t>
      </w:r>
      <w:r>
        <w:tab/>
      </w:r>
      <w:r>
        <w:fldChar w:fldCharType="begin"/>
      </w:r>
      <w:r>
        <w:instrText xml:space="preserve"> PAGEREF _Toc106097065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Commissioner’s certificate</w:t>
      </w:r>
      <w:r>
        <w:tab/>
      </w:r>
      <w:r>
        <w:fldChar w:fldCharType="begin"/>
      </w:r>
      <w:r>
        <w:instrText xml:space="preserve"> PAGEREF _Toc106097066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_Toc106097067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_Toc106097068 \h </w:instrText>
      </w:r>
      <w:r>
        <w:fldChar w:fldCharType="separate"/>
      </w:r>
      <w:r>
        <w:t>91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_Toc106097069 \h </w:instrText>
      </w:r>
      <w:r>
        <w:fldChar w:fldCharType="separate"/>
      </w:r>
      <w:r>
        <w:t>91</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_Toc106097070 \h </w:instrText>
      </w:r>
      <w:r>
        <w:fldChar w:fldCharType="separate"/>
      </w:r>
      <w:r>
        <w:t>92</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_Toc106097071 \h </w:instrText>
      </w:r>
      <w:r>
        <w:fldChar w:fldCharType="separate"/>
      </w:r>
      <w:r>
        <w:t>92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_Toc106097072 \h </w:instrText>
      </w:r>
      <w:r>
        <w:fldChar w:fldCharType="separate"/>
      </w:r>
      <w:r>
        <w:t>92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_Toc106097073 \h </w:instrText>
      </w:r>
      <w:r>
        <w:fldChar w:fldCharType="separate"/>
      </w:r>
      <w:r>
        <w:t>92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_Toc106097074 \h </w:instrText>
      </w:r>
      <w:r>
        <w:fldChar w:fldCharType="separate"/>
      </w:r>
      <w:r>
        <w:t>92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_Toc106097075 \h </w:instrText>
      </w:r>
      <w:r>
        <w:fldChar w:fldCharType="separate"/>
      </w:r>
      <w:r>
        <w:t>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_Toc106097076 \h </w:instrText>
      </w:r>
      <w:r>
        <w:fldChar w:fldCharType="separate"/>
      </w:r>
      <w:r>
        <w:t>93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_Toc106097077 \h </w:instrText>
      </w:r>
      <w:r>
        <w:fldChar w:fldCharType="separate"/>
      </w:r>
      <w:r>
        <w:t>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_Toc106097078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_Toc106097080 \h </w:instrText>
      </w:r>
      <w:r>
        <w:fldChar w:fldCharType="separate"/>
      </w:r>
      <w:r>
        <w:t>96</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_Toc106097081 \h </w:instrText>
      </w:r>
      <w:r>
        <w:fldChar w:fldCharType="separate"/>
      </w:r>
      <w:r>
        <w:t>96</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_Toc106097082 \h </w:instrText>
      </w:r>
      <w:r>
        <w:fldChar w:fldCharType="separate"/>
      </w:r>
      <w:r>
        <w:t>96</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_Toc106097083 \h </w:instrText>
      </w:r>
      <w:r>
        <w:fldChar w:fldCharType="separate"/>
      </w:r>
      <w:r>
        <w:t>97</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_Toc106097084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129.</w:t>
      </w:r>
      <w:r>
        <w:tab/>
        <w:t>References to former Registrar</w:t>
      </w:r>
      <w:r>
        <w:tab/>
      </w:r>
      <w:r>
        <w:fldChar w:fldCharType="begin"/>
      </w:r>
      <w:r>
        <w:instrText xml:space="preserve"> PAGEREF _Toc106097085 \h </w:instrText>
      </w:r>
      <w:r>
        <w:fldChar w:fldCharType="separate"/>
      </w:r>
      <w:r>
        <w:t>97</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_Toc106097086 \h </w:instrText>
      </w:r>
      <w:r>
        <w:fldChar w:fldCharType="separate"/>
      </w:r>
      <w:r>
        <w:t>98</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_Toc106097087 \h </w:instrText>
      </w:r>
      <w:r>
        <w:fldChar w:fldCharType="separate"/>
      </w:r>
      <w:r>
        <w:t>98</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_Toc106097088 \h </w:instrText>
      </w:r>
      <w:r>
        <w:fldChar w:fldCharType="separate"/>
      </w:r>
      <w:r>
        <w:t>98</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_Toc106097089 \h </w:instrText>
      </w:r>
      <w:r>
        <w:fldChar w:fldCharType="separate"/>
      </w:r>
      <w:r>
        <w:t>100</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_Toc106097090 \h </w:instrText>
      </w:r>
      <w:r>
        <w:fldChar w:fldCharType="separate"/>
      </w:r>
      <w:r>
        <w:t>100</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_Toc106097091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77"/>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_Toc106097094 \h </w:instrText>
      </w:r>
      <w:r>
        <w:fldChar w:fldCharType="separate"/>
      </w:r>
      <w:r>
        <w:t>102</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_Toc106097095 \h </w:instrText>
      </w:r>
      <w:r>
        <w:fldChar w:fldCharType="separate"/>
      </w:r>
      <w:r>
        <w:t>103</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_Toc106097096 \h </w:instrText>
      </w:r>
      <w:r>
        <w:fldChar w:fldCharType="separate"/>
      </w:r>
      <w:r>
        <w:t>104</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_Toc106097097 \h </w:instrText>
      </w:r>
      <w:r>
        <w:fldChar w:fldCharType="separate"/>
      </w:r>
      <w:r>
        <w:t>104</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_Toc106097098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_Toc106097100 \h </w:instrText>
      </w:r>
      <w:r>
        <w:fldChar w:fldCharType="separate"/>
      </w:r>
      <w:r>
        <w:t>105</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_Toc106097101 \h </w:instrText>
      </w:r>
      <w:r>
        <w:fldChar w:fldCharType="separate"/>
      </w:r>
      <w:r>
        <w:t>105</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_Toc106097102 \h </w:instrText>
      </w:r>
      <w:r>
        <w:fldChar w:fldCharType="separate"/>
      </w:r>
      <w:r>
        <w:t>106</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_Toc106097103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_Toc106097105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_Toc106097107 \h </w:instrText>
      </w:r>
      <w:r>
        <w:fldChar w:fldCharType="separate"/>
      </w:r>
      <w:r>
        <w:t>108</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_Toc106097108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_Toc106097110 \h </w:instrText>
      </w:r>
      <w:r>
        <w:fldChar w:fldCharType="separate"/>
      </w:r>
      <w:r>
        <w:t>112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_Toc106097111 \h </w:instrText>
      </w:r>
      <w:r>
        <w:fldChar w:fldCharType="separate"/>
      </w:r>
      <w:r>
        <w:t>116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_Toc106097112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3" w:name="_Toc106011511"/>
      <w:bookmarkStart w:id="4" w:name="_Toc106011676"/>
      <w:bookmarkStart w:id="5" w:name="_Toc10609694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609695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w:t>
      </w:r>
    </w:p>
    <w:p>
      <w:pPr>
        <w:pStyle w:val="Heading5"/>
        <w:rPr>
          <w:snapToGrid w:val="0"/>
        </w:rPr>
      </w:pPr>
      <w:bookmarkStart w:id="7" w:name="_Toc10609695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8" w:name="_Toc10609695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1</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keepNext/>
        <w:keepLines/>
      </w:pPr>
      <w:r>
        <w:lastRenderedPageBreak/>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w:t>
      </w:r>
      <w:r>
        <w:lastRenderedPageBreak/>
        <w:t>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9" w:name="_Toc106096953"/>
      <w:r>
        <w:rPr>
          <w:rStyle w:val="CharSectno"/>
        </w:rPr>
        <w:t>4</w:t>
      </w:r>
      <w:r>
        <w:rPr>
          <w:snapToGrid w:val="0"/>
        </w:rPr>
        <w:t>.</w:t>
      </w:r>
      <w:r>
        <w:rPr>
          <w:snapToGrid w:val="0"/>
        </w:rPr>
        <w:tab/>
        <w:t>Term used: settlement agent</w:t>
      </w:r>
      <w:bookmarkEnd w:id="9"/>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t>
      </w:r>
      <w:r>
        <w:rPr>
          <w:snapToGrid w:val="0"/>
        </w:rPr>
        <w:lastRenderedPageBreak/>
        <w:t>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w:t>
      </w:r>
      <w:r>
        <w:t>section 34AA(3),</w:t>
      </w:r>
      <w:r>
        <w:rPr>
          <w:snapToGrid w:val="0"/>
        </w:rPr>
        <w:t xml:space="preserve"> section 35, Division 2 of Part IV, and Part V shall not </w:t>
      </w:r>
      <w:r>
        <w:t>apply to a bank in its capacity as a settlement agent, or to a trustee company.</w:t>
      </w:r>
    </w:p>
    <w:p>
      <w:pPr>
        <w:pStyle w:val="Footnotesection"/>
      </w:pPr>
      <w:r>
        <w:tab/>
        <w:t>[Section 4 amended: No. 10 of 1982 s. 28; No. 64 of 1982 s. 2; No. 59 of 1995 s. 59; No. 26 of 1999 s. 102(3); No. 10 of 2001 s. 222; No. 21 of 2003 s. 22; No. 25 of 2019 s. 73.]</w:t>
      </w:r>
    </w:p>
    <w:p>
      <w:pPr>
        <w:pStyle w:val="Footnoteheading"/>
      </w:pPr>
      <w:r>
        <w:tab/>
        <w:t>[Part II heading deleted: No. 58 of 2010 s. 137(1).]</w:t>
      </w:r>
    </w:p>
    <w:p>
      <w:pPr>
        <w:pStyle w:val="Ednotedivision"/>
      </w:pPr>
      <w:r>
        <w:t>[Division 1 (s. 5</w:t>
      </w:r>
      <w:r>
        <w:noBreakHyphen/>
        <w:t>12C) deleted: No. 58 of 2010 s. 137(2).]</w:t>
      </w:r>
    </w:p>
    <w:p>
      <w:pPr>
        <w:pStyle w:val="Ednotedivision"/>
      </w:pPr>
      <w:r>
        <w:t>[Division 1A (s. 12D and 12E) deleted: No. 58 of 2010 s. 137(2).]</w:t>
      </w:r>
    </w:p>
    <w:p>
      <w:pPr>
        <w:pStyle w:val="Ednotedivision"/>
      </w:pPr>
      <w:r>
        <w:t>[Division 2 (s. 13</w:t>
      </w:r>
      <w:r>
        <w:noBreakHyphen/>
        <w:t>18) deleted: No. 58 of 2010 s. 137(2).]</w:t>
      </w:r>
    </w:p>
    <w:p>
      <w:pPr>
        <w:pStyle w:val="Footnoteheading"/>
      </w:pPr>
      <w:r>
        <w:tab/>
        <w:t>[Division 3 heading deleted: No. 58 of 2010 s. 137(3).]</w:t>
      </w:r>
    </w:p>
    <w:p>
      <w:pPr>
        <w:pStyle w:val="Ednotesection"/>
      </w:pPr>
      <w:r>
        <w:t>[</w:t>
      </w:r>
      <w:r>
        <w:rPr>
          <w:b/>
        </w:rPr>
        <w:t>19</w:t>
      </w:r>
      <w:r>
        <w:rPr>
          <w:b/>
        </w:rPr>
        <w:noBreakHyphen/>
        <w:t>21.</w:t>
      </w:r>
      <w:r>
        <w:tab/>
        <w:t>Deleted: No. 58 of 2010 s. 138.]</w:t>
      </w:r>
    </w:p>
    <w:p>
      <w:pPr>
        <w:pStyle w:val="Heading5"/>
      </w:pPr>
      <w:bookmarkStart w:id="10" w:name="_Toc106096954"/>
      <w:r>
        <w:rPr>
          <w:rStyle w:val="CharSectno"/>
        </w:rPr>
        <w:t>22</w:t>
      </w:r>
      <w:r>
        <w:t>.</w:t>
      </w:r>
      <w:r>
        <w:tab/>
        <w:t>Powers of investigation</w:t>
      </w:r>
      <w:bookmarkEnd w:id="1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139.]</w:t>
      </w:r>
    </w:p>
    <w:p>
      <w:pPr>
        <w:pStyle w:val="Heading5"/>
        <w:rPr>
          <w:snapToGrid w:val="0"/>
        </w:rPr>
      </w:pPr>
      <w:bookmarkStart w:id="11" w:name="_Toc106096955"/>
      <w:r>
        <w:rPr>
          <w:rStyle w:val="CharSectno"/>
        </w:rPr>
        <w:lastRenderedPageBreak/>
        <w:t>23</w:t>
      </w:r>
      <w:r>
        <w:rPr>
          <w:snapToGrid w:val="0"/>
        </w:rPr>
        <w:t>.</w:t>
      </w:r>
      <w:r>
        <w:rPr>
          <w:snapToGrid w:val="0"/>
        </w:rPr>
        <w:tab/>
        <w:t>Application for review by SAT</w:t>
      </w:r>
      <w:bookmarkEnd w:id="11"/>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lastRenderedPageBreak/>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No. 55 of 2004 s. 1084; amended: No. 77 of 2006 Sch. 1 cl. 156(2); No. 58 of 2010 s. 140 and 176; No. 23 of 2014 s. 98.]</w:t>
      </w:r>
    </w:p>
    <w:p>
      <w:pPr>
        <w:pStyle w:val="Heading2"/>
      </w:pPr>
      <w:bookmarkStart w:id="12" w:name="_Toc106011518"/>
      <w:bookmarkStart w:id="13" w:name="_Toc106011683"/>
      <w:bookmarkStart w:id="14" w:name="_Toc106096956"/>
      <w:r>
        <w:rPr>
          <w:rStyle w:val="CharPartNo"/>
        </w:rPr>
        <w:lastRenderedPageBreak/>
        <w:t>Part III</w:t>
      </w:r>
      <w:r>
        <w:rPr>
          <w:rStyle w:val="CharDivNo"/>
        </w:rPr>
        <w:t> </w:t>
      </w:r>
      <w:r>
        <w:t>—</w:t>
      </w:r>
      <w:r>
        <w:rPr>
          <w:rStyle w:val="CharDivText"/>
        </w:rPr>
        <w:t> </w:t>
      </w:r>
      <w:r>
        <w:rPr>
          <w:rStyle w:val="CharPartText"/>
        </w:rPr>
        <w:t>Licensing</w:t>
      </w:r>
      <w:bookmarkEnd w:id="12"/>
      <w:bookmarkEnd w:id="13"/>
      <w:bookmarkEnd w:id="14"/>
    </w:p>
    <w:p>
      <w:pPr>
        <w:pStyle w:val="Heading5"/>
        <w:spacing w:before="180"/>
        <w:rPr>
          <w:snapToGrid w:val="0"/>
        </w:rPr>
      </w:pPr>
      <w:bookmarkStart w:id="15" w:name="_Toc106096957"/>
      <w:r>
        <w:rPr>
          <w:rStyle w:val="CharSectno"/>
        </w:rPr>
        <w:t>24</w:t>
      </w:r>
      <w:r>
        <w:rPr>
          <w:snapToGrid w:val="0"/>
        </w:rPr>
        <w:t>.</w:t>
      </w:r>
      <w:r>
        <w:rPr>
          <w:snapToGrid w:val="0"/>
        </w:rPr>
        <w:tab/>
        <w:t>Applications for licences</w:t>
      </w:r>
      <w:bookmarkEnd w:id="15"/>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No. 58 of 2010 s. 141 and 176; No. 23 of 2014 s. 99; No. 44 of 2016 s. 37.]</w:t>
      </w:r>
    </w:p>
    <w:p>
      <w:pPr>
        <w:pStyle w:val="Ednotesection"/>
      </w:pPr>
      <w:r>
        <w:t>[</w:t>
      </w:r>
      <w:r>
        <w:rPr>
          <w:b/>
        </w:rPr>
        <w:t>25.</w:t>
      </w:r>
      <w:r>
        <w:tab/>
        <w:t>Deleted: No. 23 of 2014 s. 100.]</w:t>
      </w:r>
    </w:p>
    <w:p>
      <w:pPr>
        <w:pStyle w:val="Heading5"/>
        <w:rPr>
          <w:snapToGrid w:val="0"/>
        </w:rPr>
      </w:pPr>
      <w:bookmarkStart w:id="16" w:name="_Toc106096958"/>
      <w:r>
        <w:rPr>
          <w:rStyle w:val="CharSectno"/>
        </w:rPr>
        <w:t>26</w:t>
      </w:r>
      <w:r>
        <w:rPr>
          <w:snapToGrid w:val="0"/>
        </w:rPr>
        <w:t>.</w:t>
      </w:r>
      <w:r>
        <w:rPr>
          <w:snapToGrid w:val="0"/>
        </w:rPr>
        <w:tab/>
        <w:t>Settlement agents must be licensed</w:t>
      </w:r>
      <w:bookmarkEnd w:id="16"/>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r>
      <w:r>
        <w:rPr>
          <w:szCs w:val="24"/>
        </w:rPr>
        <w:t xml:space="preserve">Penalty for this subsection: a fine of </w:t>
      </w:r>
      <w:r>
        <w:rPr>
          <w:snapToGrid w:val="0"/>
          <w:szCs w:val="24"/>
        </w:rPr>
        <w:t>$100 000.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Subsection"/>
        <w:keepNext/>
        <w:keepLines/>
      </w:pPr>
      <w:r>
        <w:lastRenderedPageBreak/>
        <w:tab/>
        <w:t>(3)</w:t>
      </w:r>
      <w:r>
        <w:tab/>
        <w:t>For subsection (1), a person is taken not to be licensed or holding a current triennial certificate in respect of the licence if the person is required to surrender a licence and triennial certificate under section 34D(2) and (3).</w:t>
      </w:r>
    </w:p>
    <w:p>
      <w:pPr>
        <w:pStyle w:val="Footnotesection"/>
        <w:spacing w:before="140"/>
      </w:pPr>
      <w:r>
        <w:tab/>
        <w:t>[Section 26 amended: No. 59 of 1995 s. 85; No. 25 of 2019 s. 74 and 88.]</w:t>
      </w:r>
    </w:p>
    <w:p>
      <w:pPr>
        <w:pStyle w:val="Heading5"/>
        <w:spacing w:before="260"/>
        <w:rPr>
          <w:snapToGrid w:val="0"/>
        </w:rPr>
      </w:pPr>
      <w:bookmarkStart w:id="17" w:name="_Toc106096959"/>
      <w:r>
        <w:rPr>
          <w:rStyle w:val="CharSectno"/>
        </w:rPr>
        <w:t>26A</w:t>
      </w:r>
      <w:r>
        <w:rPr>
          <w:snapToGrid w:val="0"/>
        </w:rPr>
        <w:t xml:space="preserve">. </w:t>
      </w:r>
      <w:r>
        <w:rPr>
          <w:snapToGrid w:val="0"/>
        </w:rPr>
        <w:tab/>
        <w:t>Licensed real estate agent may be exempted for certain settlements</w:t>
      </w:r>
      <w:bookmarkEnd w:id="17"/>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lastRenderedPageBreak/>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lastRenderedPageBreak/>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No. 64 of 1982 s. 3; amended: No. 58 of 2010 s. 176; No. 44 of 2016 s. 38.]</w:t>
      </w:r>
    </w:p>
    <w:p>
      <w:pPr>
        <w:pStyle w:val="Heading5"/>
        <w:rPr>
          <w:snapToGrid w:val="0"/>
        </w:rPr>
      </w:pPr>
      <w:bookmarkStart w:id="18" w:name="_Toc106096960"/>
      <w:r>
        <w:rPr>
          <w:rStyle w:val="CharSectno"/>
        </w:rPr>
        <w:t>26B</w:t>
      </w:r>
      <w:r>
        <w:rPr>
          <w:snapToGrid w:val="0"/>
        </w:rPr>
        <w:t xml:space="preserve">. </w:t>
      </w:r>
      <w:r>
        <w:rPr>
          <w:snapToGrid w:val="0"/>
        </w:rPr>
        <w:tab/>
        <w:t>Licensed business agent may be exempted for certain settlements</w:t>
      </w:r>
      <w:bookmarkEnd w:id="18"/>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keepNext/>
        <w:rPr>
          <w:snapToGrid w:val="0"/>
        </w:rPr>
      </w:pPr>
      <w:r>
        <w:rPr>
          <w:snapToGrid w:val="0"/>
        </w:rPr>
        <w:lastRenderedPageBreak/>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lastRenderedPageBreak/>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No. 64 of 1982 s. 3; amended: No. 58 of 2010 s. 176; No. 44 of 2016 s. 39.]</w:t>
      </w:r>
    </w:p>
    <w:p>
      <w:pPr>
        <w:pStyle w:val="Heading5"/>
        <w:rPr>
          <w:snapToGrid w:val="0"/>
        </w:rPr>
      </w:pPr>
      <w:bookmarkStart w:id="19" w:name="_Toc106096961"/>
      <w:r>
        <w:rPr>
          <w:rStyle w:val="CharSectno"/>
        </w:rPr>
        <w:t>27</w:t>
      </w:r>
      <w:r>
        <w:rPr>
          <w:snapToGrid w:val="0"/>
        </w:rPr>
        <w:t>.</w:t>
      </w:r>
      <w:r>
        <w:rPr>
          <w:snapToGrid w:val="0"/>
        </w:rPr>
        <w:tab/>
        <w:t>Licensing of individuals</w:t>
      </w:r>
      <w:bookmarkEnd w:id="19"/>
    </w:p>
    <w:p>
      <w:pPr>
        <w:pStyle w:val="Subsection"/>
        <w:spacing w:before="130"/>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spacing w:before="60"/>
        <w:rPr>
          <w:snapToGrid w:val="0"/>
        </w:rPr>
      </w:pPr>
      <w:r>
        <w:rPr>
          <w:snapToGrid w:val="0"/>
        </w:rPr>
        <w:lastRenderedPageBreak/>
        <w:tab/>
        <w:t>(a)</w:t>
      </w:r>
      <w:r>
        <w:rPr>
          <w:snapToGrid w:val="0"/>
        </w:rPr>
        <w:tab/>
        <w:t>is of or over the age of 18 years; and</w:t>
      </w:r>
    </w:p>
    <w:p>
      <w:pPr>
        <w:pStyle w:val="Indenta"/>
        <w:spacing w:before="60"/>
        <w:rPr>
          <w:snapToGrid w:val="0"/>
        </w:rPr>
      </w:pPr>
      <w:r>
        <w:rPr>
          <w:snapToGrid w:val="0"/>
        </w:rPr>
        <w:tab/>
        <w:t>(b)</w:t>
      </w:r>
      <w:r>
        <w:rPr>
          <w:snapToGrid w:val="0"/>
        </w:rPr>
        <w:tab/>
        <w:t>is a person of good character and repute and a fit and proper person to hold a licence; and</w:t>
      </w:r>
    </w:p>
    <w:p>
      <w:pPr>
        <w:pStyle w:val="Indenta"/>
        <w:spacing w:before="60"/>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spacing w:before="60"/>
        <w:rPr>
          <w:snapToGrid w:val="0"/>
        </w:rPr>
      </w:pPr>
      <w:r>
        <w:rPr>
          <w:snapToGrid w:val="0"/>
        </w:rPr>
        <w:tab/>
        <w:t>(d)</w:t>
      </w:r>
      <w:r>
        <w:rPr>
          <w:snapToGrid w:val="0"/>
        </w:rPr>
        <w:tab/>
        <w:t>is ordinarily resident in the State; and</w:t>
      </w:r>
    </w:p>
    <w:p>
      <w:pPr>
        <w:pStyle w:val="Indenta"/>
        <w:spacing w:before="60"/>
        <w:rPr>
          <w:snapToGrid w:val="0"/>
        </w:rPr>
      </w:pPr>
      <w:r>
        <w:rPr>
          <w:snapToGrid w:val="0"/>
        </w:rPr>
        <w:tab/>
        <w:t>(e)</w:t>
      </w:r>
      <w:r>
        <w:rPr>
          <w:snapToGrid w:val="0"/>
        </w:rPr>
        <w:tab/>
        <w:t>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No. 58 of 2010 s. 176; No. 25 of 2019 s. 75.]</w:t>
      </w:r>
    </w:p>
    <w:p>
      <w:pPr>
        <w:pStyle w:val="Heading5"/>
        <w:spacing w:before="200"/>
        <w:rPr>
          <w:snapToGrid w:val="0"/>
        </w:rPr>
      </w:pPr>
      <w:bookmarkStart w:id="20" w:name="_Toc106096962"/>
      <w:r>
        <w:rPr>
          <w:rStyle w:val="CharSectno"/>
        </w:rPr>
        <w:t>28</w:t>
      </w:r>
      <w:r>
        <w:rPr>
          <w:snapToGrid w:val="0"/>
        </w:rPr>
        <w:t>.</w:t>
      </w:r>
      <w:r>
        <w:rPr>
          <w:snapToGrid w:val="0"/>
        </w:rPr>
        <w:tab/>
        <w:t>Firms, licensing of</w:t>
      </w:r>
      <w:bookmarkEnd w:id="20"/>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 xml:space="preserve">the persons by whom or by which the firm is constituted have sufficient material and financial resources available </w:t>
      </w:r>
      <w:r>
        <w:rPr>
          <w:snapToGrid w:val="0"/>
        </w:rPr>
        <w:lastRenderedPageBreak/>
        <w:t>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keepNext/>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No. 58 of 2010 s. 176.]</w:t>
      </w:r>
    </w:p>
    <w:p>
      <w:pPr>
        <w:pStyle w:val="Heading5"/>
        <w:rPr>
          <w:snapToGrid w:val="0"/>
        </w:rPr>
      </w:pPr>
      <w:bookmarkStart w:id="21" w:name="_Toc106096963"/>
      <w:r>
        <w:rPr>
          <w:rStyle w:val="CharSectno"/>
        </w:rPr>
        <w:t>29</w:t>
      </w:r>
      <w:r>
        <w:rPr>
          <w:snapToGrid w:val="0"/>
        </w:rPr>
        <w:t>.</w:t>
      </w:r>
      <w:r>
        <w:rPr>
          <w:snapToGrid w:val="0"/>
        </w:rPr>
        <w:tab/>
        <w:t>Bodies corporate, licensing of</w:t>
      </w:r>
      <w:bookmarkEnd w:id="21"/>
    </w:p>
    <w:p>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lastRenderedPageBreak/>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No. 58 of 2010 s. 176.]</w:t>
      </w:r>
    </w:p>
    <w:p>
      <w:pPr>
        <w:pStyle w:val="Heading5"/>
        <w:rPr>
          <w:snapToGrid w:val="0"/>
        </w:rPr>
      </w:pPr>
      <w:bookmarkStart w:id="22" w:name="_Toc106096964"/>
      <w:r>
        <w:rPr>
          <w:rStyle w:val="CharSectno"/>
        </w:rPr>
        <w:t>30</w:t>
      </w:r>
      <w:r>
        <w:rPr>
          <w:snapToGrid w:val="0"/>
        </w:rPr>
        <w:t>.</w:t>
      </w:r>
      <w:r>
        <w:rPr>
          <w:snapToGrid w:val="0"/>
        </w:rPr>
        <w:tab/>
        <w:t>Licence, effect of</w:t>
      </w:r>
      <w:bookmarkEnd w:id="22"/>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lastRenderedPageBreak/>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[(4),(5)</w:t>
      </w:r>
      <w:r>
        <w:tab/>
        <w:t>deleted]</w:t>
      </w:r>
    </w:p>
    <w:p>
      <w:pPr>
        <w:pStyle w:val="Footnotesection"/>
        <w:spacing w:before="80"/>
        <w:ind w:left="890" w:hanging="890"/>
      </w:pPr>
      <w:r>
        <w:tab/>
        <w:t>[Section 30 amended: No. 56 of 1995 s. 50; No. 55 of 2004 s. 1085; No. 58 of 2010 s. 176; No. 25 of 2019 s. 76.]</w:t>
      </w:r>
    </w:p>
    <w:p>
      <w:pPr>
        <w:pStyle w:val="Heading5"/>
        <w:rPr>
          <w:snapToGrid w:val="0"/>
        </w:rPr>
      </w:pPr>
      <w:bookmarkStart w:id="23" w:name="_Toc106096965"/>
      <w:r>
        <w:rPr>
          <w:rStyle w:val="CharSectno"/>
        </w:rPr>
        <w:t>31</w:t>
      </w:r>
      <w:r>
        <w:rPr>
          <w:snapToGrid w:val="0"/>
        </w:rPr>
        <w:t>.</w:t>
      </w:r>
      <w:r>
        <w:rPr>
          <w:snapToGrid w:val="0"/>
        </w:rPr>
        <w:tab/>
        <w:t>Licensee’s triennial certificate: grant and renewal</w:t>
      </w:r>
      <w:bookmarkEnd w:id="23"/>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 xml:space="preserve">The Commissioner must not renew a licensee’s triennial certificate unless the Commissioner is satisfied of the matters in — </w:t>
      </w:r>
    </w:p>
    <w:p>
      <w:pPr>
        <w:pStyle w:val="Indenta"/>
      </w:pPr>
      <w:r>
        <w:tab/>
        <w:t>(a)</w:t>
      </w:r>
      <w:r>
        <w:tab/>
        <w:t>for an individual — section 27(1)(b), (c), (d) and (e); or</w:t>
      </w:r>
    </w:p>
    <w:p>
      <w:pPr>
        <w:pStyle w:val="Indenta"/>
      </w:pPr>
      <w:r>
        <w:tab/>
        <w:t>(b)</w:t>
      </w:r>
      <w:r>
        <w:tab/>
        <w:t xml:space="preserve">for a firm — section 28(1)(a), (b), (c) and (d); or </w:t>
      </w:r>
    </w:p>
    <w:p>
      <w:pPr>
        <w:pStyle w:val="Indenta"/>
      </w:pPr>
      <w:r>
        <w:lastRenderedPageBreak/>
        <w:tab/>
        <w:t>(c)</w:t>
      </w:r>
      <w:r>
        <w:tab/>
        <w:t xml:space="preserve">for a body corporate — section 29(1)(a), (b), (c) and (d). </w:t>
      </w:r>
    </w:p>
    <w:p>
      <w:pPr>
        <w:pStyle w:val="Subsection"/>
        <w:rPr>
          <w:snapToGrid w:val="0"/>
        </w:rPr>
      </w:pPr>
      <w:r>
        <w:rPr>
          <w:snapToGrid w:val="0"/>
        </w:rPr>
        <w:tab/>
        <w:t>(3)</w:t>
      </w:r>
      <w:r>
        <w:rPr>
          <w:snapToGrid w:val="0"/>
        </w:rPr>
        <w:tab/>
        <w:t>At all times during the currency of the triennial certificate —</w:t>
      </w:r>
    </w:p>
    <w:p>
      <w:pPr>
        <w:pStyle w:val="Indenta"/>
      </w:pPr>
      <w:r>
        <w:tab/>
        <w:t>(a)</w:t>
      </w:r>
      <w:r>
        <w:tab/>
        <w:t>if the licensee is an individual, the individual;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No. 62 of 1996 s. 4; No. 58 of 2010 s. 176; No. 23 of 2014 s. 101; No. 25 of 2019 s. 77.]</w:t>
      </w:r>
    </w:p>
    <w:p>
      <w:pPr>
        <w:pStyle w:val="Heading5"/>
        <w:rPr>
          <w:snapToGrid w:val="0"/>
        </w:rPr>
      </w:pPr>
      <w:bookmarkStart w:id="24" w:name="_Toc106096966"/>
      <w:r>
        <w:rPr>
          <w:rStyle w:val="CharSectno"/>
        </w:rPr>
        <w:t>32</w:t>
      </w:r>
      <w:r>
        <w:rPr>
          <w:snapToGrid w:val="0"/>
        </w:rPr>
        <w:t>.</w:t>
      </w:r>
      <w:r>
        <w:rPr>
          <w:snapToGrid w:val="0"/>
        </w:rPr>
        <w:tab/>
        <w:t>Licensee’s triennial certificate: late renewal</w:t>
      </w:r>
      <w:bookmarkEnd w:id="24"/>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keepNext/>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176; No. 25 of 2019 s. 78.]</w:t>
      </w:r>
    </w:p>
    <w:p>
      <w:pPr>
        <w:pStyle w:val="Heading5"/>
        <w:rPr>
          <w:snapToGrid w:val="0"/>
        </w:rPr>
      </w:pPr>
      <w:bookmarkStart w:id="25" w:name="_Toc106096967"/>
      <w:r>
        <w:rPr>
          <w:rStyle w:val="CharSectno"/>
        </w:rPr>
        <w:t>33</w:t>
      </w:r>
      <w:r>
        <w:rPr>
          <w:snapToGrid w:val="0"/>
        </w:rPr>
        <w:t>.</w:t>
      </w:r>
      <w:r>
        <w:rPr>
          <w:snapToGrid w:val="0"/>
        </w:rPr>
        <w:tab/>
        <w:t>Licensee’s triennial certificate: late renewal after 12 months</w:t>
      </w:r>
      <w:bookmarkEnd w:id="25"/>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lastRenderedPageBreak/>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143 and 176; No. 44 of 2016 s. 40; No. 25 of 2019 s. 79.]</w:t>
      </w:r>
    </w:p>
    <w:p>
      <w:pPr>
        <w:pStyle w:val="Heading5"/>
      </w:pPr>
      <w:bookmarkStart w:id="26" w:name="_Toc106096968"/>
      <w:r>
        <w:rPr>
          <w:rStyle w:val="CharSectno"/>
        </w:rPr>
        <w:t>34</w:t>
      </w:r>
      <w:r>
        <w:t>.</w:t>
      </w:r>
      <w:r>
        <w:tab/>
        <w:t>Conditions on licences and triennial certificates</w:t>
      </w:r>
      <w:bookmarkEnd w:id="26"/>
    </w:p>
    <w:p>
      <w:pPr>
        <w:pStyle w:val="Subsection"/>
      </w:pPr>
      <w:r>
        <w:tab/>
        <w:t>(1)</w:t>
      </w:r>
      <w:r>
        <w:tab/>
        <w:t xml:space="preserve">It is a condition of every licence that the licensee must comply with the provisions of this Act and the settlement agents’ code of conduct.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80.]</w:t>
      </w:r>
    </w:p>
    <w:p>
      <w:pPr>
        <w:pStyle w:val="Heading5"/>
      </w:pPr>
      <w:bookmarkStart w:id="27" w:name="_Toc106096969"/>
      <w:r>
        <w:rPr>
          <w:rStyle w:val="CharSectno"/>
        </w:rPr>
        <w:lastRenderedPageBreak/>
        <w:t>34AA</w:t>
      </w:r>
      <w:r>
        <w:t>.</w:t>
      </w:r>
      <w:r>
        <w:tab/>
        <w:t>Imposing special conditions on licences or triennial certificates</w:t>
      </w:r>
      <w:bookmarkEnd w:id="27"/>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Without limiting subsection (2), the Commissioner may impose a condition that relates to — </w:t>
      </w:r>
    </w:p>
    <w:p>
      <w:pPr>
        <w:pStyle w:val="Indenta"/>
      </w:pPr>
      <w:r>
        <w:tab/>
        <w:t>(a)</w:t>
      </w:r>
      <w:r>
        <w:tab/>
        <w:t>the holding of a policy of indemnity insurance or fidelity insurance in a specified amount; or</w:t>
      </w:r>
    </w:p>
    <w:p>
      <w:pPr>
        <w:pStyle w:val="Indenta"/>
      </w:pPr>
      <w:r>
        <w:tab/>
        <w:t>(b)</w:t>
      </w:r>
      <w:r>
        <w:tab/>
        <w:t>the payment of fees under this Act or to contributions to the Account and may vary such prescribed fees or contributions.</w:t>
      </w:r>
    </w:p>
    <w:p>
      <w:pPr>
        <w:pStyle w:val="Subsection"/>
      </w:pPr>
      <w:r>
        <w:tab/>
        <w:t>(4)</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(5)</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the special condition, give the licensee notice in writing setting out — </w:t>
      </w:r>
    </w:p>
    <w:p>
      <w:pPr>
        <w:pStyle w:val="Indenti"/>
      </w:pPr>
      <w:r>
        <w:tab/>
        <w:t>(i)</w:t>
      </w:r>
      <w:r>
        <w:tab/>
        <w:t>the reasons for the decision; and</w:t>
      </w:r>
    </w:p>
    <w:p>
      <w:pPr>
        <w:pStyle w:val="Indenti"/>
      </w:pPr>
      <w:r>
        <w:lastRenderedPageBreak/>
        <w:tab/>
        <w:t>(ii)</w:t>
      </w:r>
      <w:r>
        <w:tab/>
        <w:t>that a person aggrieved by the Commissioner’s decision may apply to the State Administrative Tribunal for a review of the decision under section 23.</w:t>
      </w:r>
    </w:p>
    <w:p>
      <w:pPr>
        <w:pStyle w:val="Footnotesection"/>
      </w:pPr>
      <w:r>
        <w:tab/>
        <w:t>[Section 34AA inserted: No. 25 of 2019 s. 80.]</w:t>
      </w:r>
    </w:p>
    <w:p>
      <w:pPr>
        <w:pStyle w:val="Heading5"/>
      </w:pPr>
      <w:bookmarkStart w:id="28" w:name="_Toc106096970"/>
      <w:r>
        <w:rPr>
          <w:rStyle w:val="CharSectno"/>
        </w:rPr>
        <w:t>34AB</w:t>
      </w:r>
      <w:r>
        <w:t>.</w:t>
      </w:r>
      <w:r>
        <w:tab/>
        <w:t>Removing special conditions on licences or triennial certificates</w:t>
      </w:r>
      <w:bookmarkEnd w:id="28"/>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the licensee applies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licensee, the Commissioner must —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lastRenderedPageBreak/>
        <w:tab/>
        <w:t>(ii)</w:t>
      </w:r>
      <w:r>
        <w:tab/>
        <w:t>that a person aggrieved by the Commissioner’s decision may apply to the State Administrative Tribunal for a review of the decision under section 23.</w:t>
      </w:r>
    </w:p>
    <w:p>
      <w:pPr>
        <w:pStyle w:val="Footnotesection"/>
      </w:pPr>
      <w:r>
        <w:tab/>
        <w:t>[Section 34AB inserted: No. 25 of 2019 s. 80.]</w:t>
      </w:r>
    </w:p>
    <w:p>
      <w:pPr>
        <w:pStyle w:val="Heading5"/>
      </w:pPr>
      <w:bookmarkStart w:id="29" w:name="_Toc106096971"/>
      <w:r>
        <w:rPr>
          <w:rStyle w:val="CharSectno"/>
        </w:rPr>
        <w:t>34A</w:t>
      </w:r>
      <w:r>
        <w:rPr>
          <w:snapToGrid w:val="0"/>
        </w:rPr>
        <w:t>.</w:t>
      </w:r>
      <w:r>
        <w:tab/>
        <w:t>Commissioner may grant licence or triennial certificate without notice to applicant</w:t>
      </w:r>
      <w:bookmarkEnd w:id="29"/>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No. 55 of 2004 s. 1087; amended: No. 58 of 2010 s. 144 and 176; No. 23 of 2014 s. 102.]</w:t>
      </w:r>
    </w:p>
    <w:p>
      <w:pPr>
        <w:pStyle w:val="Heading5"/>
      </w:pPr>
      <w:bookmarkStart w:id="30" w:name="_Toc106096972"/>
      <w:r>
        <w:rPr>
          <w:rStyle w:val="CharSectno"/>
        </w:rPr>
        <w:t>34B</w:t>
      </w:r>
      <w:r>
        <w:t>.</w:t>
      </w:r>
      <w:r>
        <w:tab/>
        <w:t>SAT may suspend licence in some cases</w:t>
      </w:r>
      <w:bookmarkEnd w:id="30"/>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No. 55 of 2004 s. 1087.]</w:t>
      </w:r>
    </w:p>
    <w:p>
      <w:pPr>
        <w:pStyle w:val="Heading5"/>
      </w:pPr>
      <w:bookmarkStart w:id="31" w:name="_Toc106096973"/>
      <w:r>
        <w:rPr>
          <w:rStyle w:val="CharSectno"/>
        </w:rPr>
        <w:lastRenderedPageBreak/>
        <w:t>34C</w:t>
      </w:r>
      <w:r>
        <w:t>.</w:t>
      </w:r>
      <w:r>
        <w:tab/>
        <w:t>Licensee may surrender licence and triennial certificate</w:t>
      </w:r>
      <w:bookmarkEnd w:id="31"/>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81.]</w:t>
      </w:r>
    </w:p>
    <w:p>
      <w:pPr>
        <w:pStyle w:val="Heading5"/>
      </w:pPr>
      <w:bookmarkStart w:id="32" w:name="_Toc106096974"/>
      <w:r>
        <w:rPr>
          <w:rStyle w:val="CharSectno"/>
        </w:rPr>
        <w:t>34D</w:t>
      </w:r>
      <w:r>
        <w:t>.</w:t>
      </w:r>
      <w:r>
        <w:tab/>
        <w:t>Firm or body corporate must surrender licence and triennial certificate in certain circumstances</w:t>
      </w:r>
      <w:bookmarkEnd w:id="32"/>
    </w:p>
    <w:p>
      <w:pPr>
        <w:pStyle w:val="Subsection"/>
      </w:pPr>
      <w:r>
        <w:tab/>
        <w:t>(1)</w:t>
      </w:r>
      <w:r>
        <w:tab/>
        <w:t>This section applies to a licensee that is a firm or body corporate if paragraph (c) or (d) of section 28(1) or 29(1)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pPr>
        <w:pStyle w:val="Subsection"/>
        <w:keepNext/>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pPr>
        <w:pStyle w:val="Footnotesection"/>
      </w:pPr>
      <w:r>
        <w:tab/>
        <w:t>[Section 34D inserted: No. 25 of 2019 s. 81.]</w:t>
      </w:r>
    </w:p>
    <w:p>
      <w:pPr>
        <w:pStyle w:val="Heading5"/>
        <w:spacing w:before="200"/>
        <w:rPr>
          <w:snapToGrid w:val="0"/>
        </w:rPr>
      </w:pPr>
      <w:bookmarkStart w:id="33" w:name="_Toc106096975"/>
      <w:r>
        <w:rPr>
          <w:rStyle w:val="CharSectno"/>
        </w:rPr>
        <w:t>35</w:t>
      </w:r>
      <w:r>
        <w:rPr>
          <w:snapToGrid w:val="0"/>
        </w:rPr>
        <w:t>.</w:t>
      </w:r>
      <w:r>
        <w:rPr>
          <w:snapToGrid w:val="0"/>
        </w:rPr>
        <w:tab/>
        <w:t>Fidelity insurance and professional indemnity insurance for licensees</w:t>
      </w:r>
      <w:bookmarkEnd w:id="33"/>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lastRenderedPageBreak/>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lastRenderedPageBreak/>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lastRenderedPageBreak/>
        <w:tab/>
        <w:t>(9)</w:t>
      </w:r>
      <w:r>
        <w:rPr>
          <w:snapToGrid w:val="0"/>
        </w:rPr>
        <w:tab/>
        <w:t>Nothing in this section affects the right of a settlement agent to take out additional fidelity insurance or professional indemnity insurance.</w:t>
      </w:r>
    </w:p>
    <w:p>
      <w:pPr>
        <w:pStyle w:val="Footnotesection"/>
      </w:pPr>
      <w:r>
        <w:tab/>
        <w:t>[Section 35 amended: No. 51 of 1986 s. 46; No. 58 of 2010 s. 176.]</w:t>
      </w:r>
    </w:p>
    <w:p>
      <w:pPr>
        <w:pStyle w:val="Heading5"/>
        <w:rPr>
          <w:snapToGrid w:val="0"/>
        </w:rPr>
      </w:pPr>
      <w:bookmarkStart w:id="34" w:name="_Toc106096976"/>
      <w:r>
        <w:rPr>
          <w:rStyle w:val="CharSectno"/>
        </w:rPr>
        <w:t>36</w:t>
      </w:r>
      <w:r>
        <w:rPr>
          <w:snapToGrid w:val="0"/>
        </w:rPr>
        <w:t>.</w:t>
      </w:r>
      <w:r>
        <w:rPr>
          <w:snapToGrid w:val="0"/>
        </w:rPr>
        <w:tab/>
        <w:t>Licensees to notify Commissioner of certain changes</w:t>
      </w:r>
      <w:bookmarkEnd w:id="34"/>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keepNext/>
      </w:pPr>
      <w:r>
        <w:lastRenderedPageBreak/>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No. 26 of 1999 s. 102(4); No. 21 of 2003 s. 23; No. 58 of 2010 s. 176; No. 23 of 2014 s. 103.]</w:t>
      </w:r>
    </w:p>
    <w:p>
      <w:pPr>
        <w:pStyle w:val="Heading5"/>
        <w:rPr>
          <w:snapToGrid w:val="0"/>
        </w:rPr>
      </w:pPr>
      <w:bookmarkStart w:id="35" w:name="_Toc106096977"/>
      <w:r>
        <w:rPr>
          <w:rStyle w:val="CharSectno"/>
        </w:rPr>
        <w:t>37</w:t>
      </w:r>
      <w:r>
        <w:rPr>
          <w:snapToGrid w:val="0"/>
        </w:rPr>
        <w:t>.</w:t>
      </w:r>
      <w:r>
        <w:rPr>
          <w:snapToGrid w:val="0"/>
        </w:rPr>
        <w:tab/>
        <w:t>Registered office of licensee</w:t>
      </w:r>
      <w:bookmarkEnd w:id="35"/>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No. 59 of 1995 s. 85; No. 58 of 2010 s. 176.]</w:t>
      </w:r>
    </w:p>
    <w:p>
      <w:pPr>
        <w:pStyle w:val="Heading5"/>
        <w:rPr>
          <w:snapToGrid w:val="0"/>
        </w:rPr>
      </w:pPr>
      <w:bookmarkStart w:id="36" w:name="_Toc106096978"/>
      <w:r>
        <w:rPr>
          <w:rStyle w:val="CharSectno"/>
        </w:rPr>
        <w:t>38</w:t>
      </w:r>
      <w:r>
        <w:rPr>
          <w:snapToGrid w:val="0"/>
        </w:rPr>
        <w:t>.</w:t>
      </w:r>
      <w:r>
        <w:rPr>
          <w:snapToGrid w:val="0"/>
        </w:rPr>
        <w:tab/>
        <w:t>Branch office of licensee</w:t>
      </w:r>
      <w:bookmarkEnd w:id="36"/>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lastRenderedPageBreak/>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No. 59 of 1995 s. 85; No. 58 of 2010 s. 176.]</w:t>
      </w:r>
    </w:p>
    <w:p>
      <w:pPr>
        <w:pStyle w:val="Heading5"/>
        <w:rPr>
          <w:snapToGrid w:val="0"/>
        </w:rPr>
      </w:pPr>
      <w:bookmarkStart w:id="37" w:name="_Toc106096979"/>
      <w:r>
        <w:rPr>
          <w:rStyle w:val="CharSectno"/>
        </w:rPr>
        <w:t>39</w:t>
      </w:r>
      <w:r>
        <w:rPr>
          <w:snapToGrid w:val="0"/>
        </w:rPr>
        <w:t>.</w:t>
      </w:r>
      <w:r>
        <w:rPr>
          <w:snapToGrid w:val="0"/>
        </w:rPr>
        <w:tab/>
        <w:t>Triennial certificates, contents of</w:t>
      </w:r>
      <w:bookmarkEnd w:id="37"/>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8" w:name="_Toc106096980"/>
      <w:r>
        <w:rPr>
          <w:rStyle w:val="CharSectno"/>
        </w:rPr>
        <w:t>40</w:t>
      </w:r>
      <w:r>
        <w:rPr>
          <w:snapToGrid w:val="0"/>
        </w:rPr>
        <w:t>.</w:t>
      </w:r>
      <w:r>
        <w:rPr>
          <w:snapToGrid w:val="0"/>
        </w:rPr>
        <w:tab/>
        <w:t>Licence and triennial certificate not transferable etc.</w:t>
      </w:r>
      <w:bookmarkEnd w:id="38"/>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keepNext/>
        <w:rPr>
          <w:snapToGrid w:val="0"/>
        </w:rPr>
      </w:pPr>
      <w:r>
        <w:rPr>
          <w:snapToGrid w:val="0"/>
        </w:rPr>
        <w:lastRenderedPageBreak/>
        <w:tab/>
        <w:t>(3)</w:t>
      </w:r>
      <w:r>
        <w:rPr>
          <w:snapToGrid w:val="0"/>
        </w:rPr>
        <w:tab/>
        <w:t>A licensee shall not in any way permit, or hold himself out as being willing to permit, another person to use the licence or a triennial certificate of the licensee.</w:t>
      </w:r>
    </w:p>
    <w:p>
      <w:pPr>
        <w:pStyle w:val="Penstart"/>
        <w:keepNext/>
        <w:rPr>
          <w:snapToGrid w:val="0"/>
        </w:rPr>
      </w:pPr>
      <w:r>
        <w:rPr>
          <w:snapToGrid w:val="0"/>
        </w:rPr>
        <w:tab/>
      </w:r>
      <w:r>
        <w:rPr>
          <w:szCs w:val="24"/>
        </w:rPr>
        <w:t xml:space="preserve">Penalty for this subsection: a fine of </w:t>
      </w:r>
      <w:r>
        <w:rPr>
          <w:snapToGrid w:val="0"/>
          <w:szCs w:val="24"/>
        </w:rPr>
        <w:t>$100 000.</w:t>
      </w:r>
    </w:p>
    <w:p>
      <w:pPr>
        <w:pStyle w:val="Footnotesection"/>
        <w:spacing w:before="80"/>
        <w:ind w:left="890" w:hanging="890"/>
      </w:pPr>
      <w:r>
        <w:tab/>
        <w:t>[Section 40 amended: No. 59 of 1995 s. 85; No. 25 of 2019 s. 88.]</w:t>
      </w:r>
    </w:p>
    <w:p>
      <w:pPr>
        <w:pStyle w:val="Heading5"/>
      </w:pPr>
      <w:bookmarkStart w:id="39" w:name="_Toc106096981"/>
      <w:r>
        <w:rPr>
          <w:rStyle w:val="CharSectno"/>
        </w:rPr>
        <w:t>41A</w:t>
      </w:r>
      <w:r>
        <w:t>.</w:t>
      </w:r>
      <w:r>
        <w:tab/>
        <w:t>Duplicate licence or triennial certificate</w:t>
      </w:r>
      <w:bookmarkEnd w:id="39"/>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No. 23 of 2014 s. 104.]</w:t>
      </w:r>
    </w:p>
    <w:p>
      <w:pPr>
        <w:pStyle w:val="Heading5"/>
      </w:pPr>
      <w:bookmarkStart w:id="40" w:name="_Toc106096982"/>
      <w:r>
        <w:rPr>
          <w:rStyle w:val="CharSectno"/>
        </w:rPr>
        <w:t>41B</w:t>
      </w:r>
      <w:r>
        <w:t>.</w:t>
      </w:r>
      <w:r>
        <w:tab/>
        <w:t>Licensee to comply with prescribed educational requirements</w:t>
      </w:r>
      <w:bookmarkEnd w:id="40"/>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spacing w:before="80"/>
        <w:ind w:left="890" w:hanging="890"/>
      </w:pPr>
      <w:r>
        <w:tab/>
        <w:t>[Section 41B inserted: No. 25 of 2019 s. 82.]</w:t>
      </w:r>
    </w:p>
    <w:p>
      <w:pPr>
        <w:pStyle w:val="Heading5"/>
        <w:rPr>
          <w:snapToGrid w:val="0"/>
        </w:rPr>
      </w:pPr>
      <w:bookmarkStart w:id="41" w:name="_Toc106096983"/>
      <w:r>
        <w:rPr>
          <w:rStyle w:val="CharSectno"/>
        </w:rPr>
        <w:t>41</w:t>
      </w:r>
      <w:r>
        <w:rPr>
          <w:snapToGrid w:val="0"/>
        </w:rPr>
        <w:t>.</w:t>
      </w:r>
      <w:r>
        <w:rPr>
          <w:snapToGrid w:val="0"/>
        </w:rPr>
        <w:tab/>
        <w:t>Use of business names by licensees</w:t>
      </w:r>
      <w:bookmarkEnd w:id="41"/>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keepNext/>
        <w:keepLines/>
        <w:spacing w:before="120"/>
        <w:rPr>
          <w:snapToGrid w:val="0"/>
        </w:rPr>
      </w:pPr>
      <w:r>
        <w:rPr>
          <w:snapToGrid w:val="0"/>
        </w:rPr>
        <w:lastRenderedPageBreak/>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No. 59 of 1995 s. 85; No. 58 of 2010 s. 176.]</w:t>
      </w:r>
    </w:p>
    <w:p>
      <w:pPr>
        <w:pStyle w:val="Heading5"/>
        <w:spacing w:before="200"/>
        <w:rPr>
          <w:snapToGrid w:val="0"/>
        </w:rPr>
      </w:pPr>
      <w:bookmarkStart w:id="42" w:name="_Toc106096984"/>
      <w:r>
        <w:rPr>
          <w:rStyle w:val="CharSectno"/>
        </w:rPr>
        <w:t>42</w:t>
      </w:r>
      <w:r>
        <w:rPr>
          <w:snapToGrid w:val="0"/>
        </w:rPr>
        <w:t>.</w:t>
      </w:r>
      <w:r>
        <w:rPr>
          <w:snapToGrid w:val="0"/>
        </w:rPr>
        <w:tab/>
        <w:t>Notices to be exhibited at offices; particulars to appear on documents</w:t>
      </w:r>
      <w:bookmarkEnd w:id="42"/>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3" w:name="_Toc106011547"/>
      <w:bookmarkStart w:id="44" w:name="_Toc106011712"/>
      <w:bookmarkStart w:id="45" w:name="_Toc106096985"/>
      <w:r>
        <w:rPr>
          <w:rStyle w:val="CharPartNo"/>
        </w:rPr>
        <w:lastRenderedPageBreak/>
        <w:t>Part IV</w:t>
      </w:r>
      <w:r>
        <w:t> — </w:t>
      </w:r>
      <w:r>
        <w:rPr>
          <w:rStyle w:val="CharPartText"/>
        </w:rPr>
        <w:t>Controls</w:t>
      </w:r>
      <w:bookmarkEnd w:id="43"/>
      <w:bookmarkEnd w:id="44"/>
      <w:bookmarkEnd w:id="45"/>
    </w:p>
    <w:p>
      <w:pPr>
        <w:pStyle w:val="Heading3"/>
      </w:pPr>
      <w:bookmarkStart w:id="46" w:name="_Toc106011548"/>
      <w:bookmarkStart w:id="47" w:name="_Toc106011713"/>
      <w:bookmarkStart w:id="48" w:name="_Toc106096986"/>
      <w:r>
        <w:rPr>
          <w:rStyle w:val="CharDivNo"/>
        </w:rPr>
        <w:t>Division 1</w:t>
      </w:r>
      <w:r>
        <w:rPr>
          <w:snapToGrid w:val="0"/>
        </w:rPr>
        <w:t> — </w:t>
      </w:r>
      <w:r>
        <w:rPr>
          <w:rStyle w:val="CharDivText"/>
        </w:rPr>
        <w:t>General</w:t>
      </w:r>
      <w:bookmarkEnd w:id="46"/>
      <w:bookmarkEnd w:id="47"/>
      <w:bookmarkEnd w:id="48"/>
    </w:p>
    <w:p>
      <w:pPr>
        <w:pStyle w:val="Heading5"/>
        <w:rPr>
          <w:snapToGrid w:val="0"/>
        </w:rPr>
      </w:pPr>
      <w:bookmarkStart w:id="49" w:name="_Toc106096987"/>
      <w:r>
        <w:rPr>
          <w:rStyle w:val="CharSectno"/>
        </w:rPr>
        <w:t>43</w:t>
      </w:r>
      <w:r>
        <w:rPr>
          <w:snapToGrid w:val="0"/>
        </w:rPr>
        <w:t>.</w:t>
      </w:r>
      <w:r>
        <w:rPr>
          <w:snapToGrid w:val="0"/>
        </w:rPr>
        <w:tab/>
        <w:t>Remuneration of settlement agents</w:t>
      </w:r>
      <w:bookmarkEnd w:id="49"/>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lastRenderedPageBreak/>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lastRenderedPageBreak/>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No. 59 of 1995 s. 64 and 85; No. 58 of 2010 s. 145.]</w:t>
      </w:r>
    </w:p>
    <w:p>
      <w:pPr>
        <w:pStyle w:val="Heading5"/>
        <w:rPr>
          <w:snapToGrid w:val="0"/>
        </w:rPr>
      </w:pPr>
      <w:bookmarkStart w:id="50" w:name="_Toc106096988"/>
      <w:r>
        <w:rPr>
          <w:rStyle w:val="CharSectno"/>
        </w:rPr>
        <w:t>44</w:t>
      </w:r>
      <w:r>
        <w:rPr>
          <w:snapToGrid w:val="0"/>
        </w:rPr>
        <w:t>.</w:t>
      </w:r>
      <w:r>
        <w:rPr>
          <w:snapToGrid w:val="0"/>
        </w:rPr>
        <w:tab/>
        <w:t>Maximum remuneration, disputes over remuneration etc.</w:t>
      </w:r>
      <w:bookmarkEnd w:id="50"/>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lastRenderedPageBreak/>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No. 59 of 1995 s. 65; No. 58 of 2010 s. 146 and 176.]</w:t>
      </w:r>
    </w:p>
    <w:p>
      <w:pPr>
        <w:pStyle w:val="Heading5"/>
        <w:rPr>
          <w:snapToGrid w:val="0"/>
        </w:rPr>
      </w:pPr>
      <w:bookmarkStart w:id="51" w:name="_Toc106096989"/>
      <w:r>
        <w:rPr>
          <w:rStyle w:val="CharSectno"/>
        </w:rPr>
        <w:lastRenderedPageBreak/>
        <w:t>45</w:t>
      </w:r>
      <w:r>
        <w:rPr>
          <w:snapToGrid w:val="0"/>
        </w:rPr>
        <w:t>.</w:t>
      </w:r>
      <w:r>
        <w:rPr>
          <w:snapToGrid w:val="0"/>
        </w:rPr>
        <w:tab/>
        <w:t>Records and premises, licensees’ duties as to</w:t>
      </w:r>
      <w:bookmarkEnd w:id="51"/>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No. 59 of 1995 s. 85.]</w:t>
      </w:r>
    </w:p>
    <w:p>
      <w:pPr>
        <w:pStyle w:val="Heading5"/>
        <w:rPr>
          <w:snapToGrid w:val="0"/>
        </w:rPr>
      </w:pPr>
      <w:bookmarkStart w:id="52" w:name="_Toc106096990"/>
      <w:r>
        <w:rPr>
          <w:rStyle w:val="CharSectno"/>
        </w:rPr>
        <w:t>46</w:t>
      </w:r>
      <w:r>
        <w:rPr>
          <w:snapToGrid w:val="0"/>
        </w:rPr>
        <w:t>.</w:t>
      </w:r>
      <w:r>
        <w:rPr>
          <w:snapToGrid w:val="0"/>
        </w:rPr>
        <w:tab/>
        <w:t>Real estate settlement agents, functions of</w:t>
      </w:r>
      <w:bookmarkEnd w:id="52"/>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t xml:space="preserve"> or the </w:t>
      </w:r>
      <w:r>
        <w:rPr>
          <w:i/>
        </w:rPr>
        <w:t>Community Titles Act 2018</w:t>
      </w:r>
      <w:r>
        <w:t xml:space="preserve"> or the </w:t>
      </w:r>
      <w:r>
        <w:rPr>
          <w:i/>
        </w:rPr>
        <w:t>Strata Titles Act 1985</w:t>
      </w:r>
      <w:r>
        <w:t>; or</w:t>
      </w:r>
    </w:p>
    <w:p>
      <w:pPr>
        <w:pStyle w:val="Indenta"/>
        <w:rPr>
          <w:snapToGrid w:val="0"/>
        </w:rPr>
      </w:pPr>
      <w:r>
        <w:rPr>
          <w:snapToGrid w:val="0"/>
        </w:rPr>
        <w:tab/>
        <w:t>(b)</w:t>
      </w:r>
      <w:r>
        <w:rPr>
          <w:snapToGrid w:val="0"/>
        </w:rPr>
        <w:tab/>
        <w:t xml:space="preserve">is leasehold (other than land </w:t>
      </w:r>
      <w:r>
        <w:t xml:space="preserve">the subject of a strata lease as defined in the </w:t>
      </w:r>
      <w:r>
        <w:rPr>
          <w:i/>
        </w:rPr>
        <w:t>Strata Titles Act 1985</w:t>
      </w:r>
      <w:r>
        <w:t xml:space="preserve"> section 3(1) or land </w:t>
      </w:r>
      <w:r>
        <w:rPr>
          <w:snapToGrid w:val="0"/>
        </w:rPr>
        <w:t xml:space="preserve">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keepNext/>
        <w:spacing w:before="140"/>
        <w:rPr>
          <w:snapToGrid w:val="0"/>
        </w:rPr>
      </w:pPr>
      <w:r>
        <w:rPr>
          <w:snapToGrid w:val="0"/>
        </w:rPr>
        <w:tab/>
        <w:t>(3)</w:t>
      </w:r>
      <w:r>
        <w:rPr>
          <w:snapToGrid w:val="0"/>
        </w:rPr>
        <w:tab/>
        <w:t xml:space="preserve">A licensee who holds a current triennial certificate may act for either the vendor, the purchaser, or the mortgagee, in a settlement referred to in subsection (1) but may not act for more </w:t>
      </w:r>
      <w:r>
        <w:rPr>
          <w:snapToGrid w:val="0"/>
        </w:rPr>
        <w:lastRenderedPageBreak/>
        <w:t>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lastRenderedPageBreak/>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No. 31 of 1997 s. 141; No. 65 of 2003 s. 66(3); No. 38 of 2005 s. 15; No. 21 of 2008 s. 704(3); No. 19 of 2010 s. 51; No. 2 of 2014 s. 57; No. 30 of 2018 s. 188; No. 32 of 2018 s. 248.]</w:t>
      </w:r>
    </w:p>
    <w:p>
      <w:pPr>
        <w:pStyle w:val="Heading5"/>
        <w:rPr>
          <w:snapToGrid w:val="0"/>
        </w:rPr>
      </w:pPr>
      <w:bookmarkStart w:id="53" w:name="_Toc106096991"/>
      <w:r>
        <w:rPr>
          <w:rStyle w:val="CharSectno"/>
        </w:rPr>
        <w:lastRenderedPageBreak/>
        <w:t>47</w:t>
      </w:r>
      <w:r>
        <w:rPr>
          <w:snapToGrid w:val="0"/>
        </w:rPr>
        <w:t>.</w:t>
      </w:r>
      <w:r>
        <w:rPr>
          <w:snapToGrid w:val="0"/>
        </w:rPr>
        <w:tab/>
        <w:t>Business settlement agents, functions of</w:t>
      </w:r>
      <w:bookmarkEnd w:id="53"/>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 xml:space="preserve">is comprised in whole or in part of real estate not being an interest in leasehold (except </w:t>
      </w:r>
      <w:r>
        <w:t xml:space="preserve">a strata lease as defined in the </w:t>
      </w:r>
      <w:r>
        <w:rPr>
          <w:i/>
        </w:rPr>
        <w:t>Strata Titles Act 1985</w:t>
      </w:r>
      <w:r>
        <w:t xml:space="preserve"> section 3(1) or</w:t>
      </w:r>
      <w:r>
        <w:rPr>
          <w:snapToGrid w:val="0"/>
        </w:rPr>
        <w:t xml:space="preserve">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Footnotesection"/>
        <w:ind w:left="890" w:hanging="890"/>
      </w:pPr>
      <w:r>
        <w:tab/>
        <w:t>[Section 47 amended: No. 30 of 2018 s. 189.]</w:t>
      </w:r>
    </w:p>
    <w:p>
      <w:pPr>
        <w:pStyle w:val="Heading3"/>
        <w:keepLines/>
      </w:pPr>
      <w:bookmarkStart w:id="54" w:name="_Toc106011554"/>
      <w:bookmarkStart w:id="55" w:name="_Toc106011719"/>
      <w:bookmarkStart w:id="56" w:name="_Toc106096992"/>
      <w:r>
        <w:rPr>
          <w:rStyle w:val="CharDivNo"/>
        </w:rPr>
        <w:lastRenderedPageBreak/>
        <w:t>Division 2</w:t>
      </w:r>
      <w:r>
        <w:rPr>
          <w:snapToGrid w:val="0"/>
        </w:rPr>
        <w:t> — </w:t>
      </w:r>
      <w:r>
        <w:rPr>
          <w:rStyle w:val="CharDivText"/>
        </w:rPr>
        <w:t>Trust accounts</w:t>
      </w:r>
      <w:bookmarkEnd w:id="54"/>
      <w:bookmarkEnd w:id="55"/>
      <w:bookmarkEnd w:id="56"/>
    </w:p>
    <w:p>
      <w:pPr>
        <w:pStyle w:val="Heading5"/>
        <w:rPr>
          <w:snapToGrid w:val="0"/>
        </w:rPr>
      </w:pPr>
      <w:bookmarkStart w:id="57" w:name="_Toc106096993"/>
      <w:r>
        <w:rPr>
          <w:rStyle w:val="CharSectno"/>
        </w:rPr>
        <w:t>48</w:t>
      </w:r>
      <w:r>
        <w:rPr>
          <w:snapToGrid w:val="0"/>
        </w:rPr>
        <w:t>.</w:t>
      </w:r>
      <w:r>
        <w:rPr>
          <w:snapToGrid w:val="0"/>
        </w:rPr>
        <w:tab/>
        <w:t>Terms used</w:t>
      </w:r>
      <w:bookmarkEnd w:id="57"/>
    </w:p>
    <w:p>
      <w:pPr>
        <w:pStyle w:val="Subsection"/>
        <w:keepNext/>
        <w:keepLines/>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No. 59 of 1995 s. 66; No. 26 of 1999 s. 102(5).]</w:t>
      </w:r>
    </w:p>
    <w:p>
      <w:pPr>
        <w:pStyle w:val="Heading5"/>
        <w:rPr>
          <w:snapToGrid w:val="0"/>
        </w:rPr>
      </w:pPr>
      <w:bookmarkStart w:id="58" w:name="_Toc106096994"/>
      <w:r>
        <w:rPr>
          <w:rStyle w:val="CharSectno"/>
        </w:rPr>
        <w:t>49</w:t>
      </w:r>
      <w:r>
        <w:rPr>
          <w:snapToGrid w:val="0"/>
        </w:rPr>
        <w:t>.</w:t>
      </w:r>
      <w:r>
        <w:rPr>
          <w:snapToGrid w:val="0"/>
        </w:rPr>
        <w:tab/>
        <w:t>Trust accounts etc. of licensees</w:t>
      </w:r>
      <w:bookmarkEnd w:id="58"/>
    </w:p>
    <w:p>
      <w:pPr>
        <w:pStyle w:val="Subsection"/>
        <w:rPr>
          <w:snapToGrid w:val="0"/>
        </w:rPr>
      </w:pPr>
      <w:r>
        <w:rPr>
          <w:snapToGrid w:val="0"/>
        </w:rPr>
        <w:tab/>
        <w:t>(1)</w:t>
      </w:r>
      <w:r>
        <w:rPr>
          <w:snapToGrid w:val="0"/>
        </w:rPr>
        <w:tab/>
        <w:t xml:space="preserve">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w:t>
      </w:r>
      <w:r>
        <w:rPr>
          <w:snapToGrid w:val="0"/>
        </w:rPr>
        <w:lastRenderedPageBreak/>
        <w:t>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 xml:space="preserve">the settlement agent is authorised in writing by the vendor to make a payment from those moneys to an agent as payment of the whole or part of the commission, reward or remuneration to which the agent </w:t>
      </w:r>
      <w:r>
        <w:lastRenderedPageBreak/>
        <w:t>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No. 59 of 1995 s. 67; No. 69 of 2006 s. 36.]</w:t>
      </w:r>
    </w:p>
    <w:p>
      <w:pPr>
        <w:pStyle w:val="Heading5"/>
        <w:rPr>
          <w:snapToGrid w:val="0"/>
        </w:rPr>
      </w:pPr>
      <w:bookmarkStart w:id="59" w:name="_Toc106096995"/>
      <w:r>
        <w:rPr>
          <w:rStyle w:val="CharSectno"/>
        </w:rPr>
        <w:t>49A</w:t>
      </w:r>
      <w:r>
        <w:rPr>
          <w:snapToGrid w:val="0"/>
        </w:rPr>
        <w:t>.</w:t>
      </w:r>
      <w:r>
        <w:rPr>
          <w:snapToGrid w:val="0"/>
        </w:rPr>
        <w:tab/>
        <w:t>Client may ask settlement agent for separate trust account</w:t>
      </w:r>
      <w:bookmarkEnd w:id="59"/>
    </w:p>
    <w:p>
      <w:pPr>
        <w:pStyle w:val="Subsection"/>
        <w:keepNext/>
        <w:rPr>
          <w:snapToGrid w:val="0"/>
        </w:rPr>
      </w:pPr>
      <w:r>
        <w:rPr>
          <w:snapToGrid w:val="0"/>
        </w:rPr>
        <w:tab/>
        <w:t>(1)</w:t>
      </w:r>
      <w:r>
        <w:rPr>
          <w:snapToGrid w:val="0"/>
        </w:rPr>
        <w:tab/>
        <w:t xml:space="preserve">A person may request that moneys paid by that person to a settlement agent in respect of a transaction be deposited to the </w:t>
      </w:r>
      <w:r>
        <w:rPr>
          <w:snapToGrid w:val="0"/>
        </w:rPr>
        <w:lastRenderedPageBreak/>
        <w:t>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No. 59 of 1995 s. 68.]</w:t>
      </w:r>
    </w:p>
    <w:p>
      <w:pPr>
        <w:pStyle w:val="Heading5"/>
        <w:rPr>
          <w:snapToGrid w:val="0"/>
        </w:rPr>
      </w:pPr>
      <w:bookmarkStart w:id="60" w:name="_Toc106096996"/>
      <w:r>
        <w:rPr>
          <w:rStyle w:val="CharSectno"/>
        </w:rPr>
        <w:t>49B</w:t>
      </w:r>
      <w:r>
        <w:rPr>
          <w:snapToGrid w:val="0"/>
        </w:rPr>
        <w:t xml:space="preserve">. </w:t>
      </w:r>
      <w:r>
        <w:rPr>
          <w:snapToGrid w:val="0"/>
        </w:rPr>
        <w:tab/>
        <w:t>Interest on trust accounts</w:t>
      </w:r>
      <w:bookmarkEnd w:id="6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lastRenderedPageBreak/>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No. 59 of 1995 s. 68; amended: No. 46 of 2009 s. 15(3).]</w:t>
      </w:r>
    </w:p>
    <w:p>
      <w:pPr>
        <w:pStyle w:val="Heading5"/>
        <w:rPr>
          <w:snapToGrid w:val="0"/>
        </w:rPr>
      </w:pPr>
      <w:bookmarkStart w:id="61" w:name="_Toc106096997"/>
      <w:r>
        <w:rPr>
          <w:rStyle w:val="CharSectno"/>
        </w:rPr>
        <w:t>49C</w:t>
      </w:r>
      <w:r>
        <w:rPr>
          <w:snapToGrid w:val="0"/>
        </w:rPr>
        <w:t xml:space="preserve">. </w:t>
      </w:r>
      <w:r>
        <w:rPr>
          <w:snapToGrid w:val="0"/>
        </w:rPr>
        <w:tab/>
        <w:t>Settlement agents to give Commissioner information about trust accounts</w:t>
      </w:r>
      <w:bookmarkEnd w:id="61"/>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No. 59 of 1995 s. 68; amended: No. 58 of 2010 s. 176.]</w:t>
      </w:r>
    </w:p>
    <w:p>
      <w:pPr>
        <w:pStyle w:val="Heading5"/>
        <w:rPr>
          <w:snapToGrid w:val="0"/>
        </w:rPr>
      </w:pPr>
      <w:bookmarkStart w:id="62" w:name="_Toc106096998"/>
      <w:r>
        <w:rPr>
          <w:rStyle w:val="CharSectno"/>
        </w:rPr>
        <w:lastRenderedPageBreak/>
        <w:t>50</w:t>
      </w:r>
      <w:r>
        <w:rPr>
          <w:snapToGrid w:val="0"/>
        </w:rPr>
        <w:t>.</w:t>
      </w:r>
      <w:r>
        <w:rPr>
          <w:snapToGrid w:val="0"/>
        </w:rPr>
        <w:tab/>
        <w:t>Receipts, accounts etc. by settlement agents</w:t>
      </w:r>
      <w:bookmarkEnd w:id="62"/>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No. 59 of 1995 s. 69; No. 58 of 2010 s. 176.]</w:t>
      </w:r>
    </w:p>
    <w:p>
      <w:pPr>
        <w:pStyle w:val="Heading5"/>
        <w:rPr>
          <w:snapToGrid w:val="0"/>
        </w:rPr>
      </w:pPr>
      <w:bookmarkStart w:id="63" w:name="_Toc106096999"/>
      <w:r>
        <w:rPr>
          <w:rStyle w:val="CharSectno"/>
        </w:rPr>
        <w:t>51</w:t>
      </w:r>
      <w:r>
        <w:rPr>
          <w:snapToGrid w:val="0"/>
        </w:rPr>
        <w:t>.</w:t>
      </w:r>
      <w:r>
        <w:rPr>
          <w:snapToGrid w:val="0"/>
        </w:rPr>
        <w:tab/>
        <w:t>Audits of trust accounts</w:t>
      </w:r>
      <w:bookmarkEnd w:id="63"/>
    </w:p>
    <w:p>
      <w:pPr>
        <w:pStyle w:val="Subsection"/>
        <w:spacing w:before="150"/>
        <w:rPr>
          <w:snapToGrid w:val="0"/>
        </w:rPr>
      </w:pPr>
      <w:r>
        <w:rPr>
          <w:snapToGrid w:val="0"/>
        </w:rPr>
        <w:tab/>
        <w:t>(1)</w:t>
      </w:r>
      <w:r>
        <w:rPr>
          <w:snapToGrid w:val="0"/>
        </w:rPr>
        <w:tab/>
        <w:t xml:space="preserve">Every person who carries on business as a settlement agent during the whole or any part of a year shall cause his trust accounts for that year, or part of a year, as the case may be, to </w:t>
      </w:r>
      <w:r>
        <w:rPr>
          <w:snapToGrid w:val="0"/>
        </w:rPr>
        <w:lastRenderedPageBreak/>
        <w:t>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w:t>
      </w:r>
      <w:r>
        <w:rPr>
          <w:snapToGrid w:val="0"/>
        </w:rPr>
        <w:lastRenderedPageBreak/>
        <w:t xml:space="preserve">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No. 58 of 2010 s. 147 and 176.]</w:t>
      </w:r>
    </w:p>
    <w:p>
      <w:pPr>
        <w:pStyle w:val="Heading5"/>
        <w:rPr>
          <w:snapToGrid w:val="0"/>
        </w:rPr>
      </w:pPr>
      <w:bookmarkStart w:id="64" w:name="_Toc106097000"/>
      <w:r>
        <w:rPr>
          <w:rStyle w:val="CharSectno"/>
        </w:rPr>
        <w:t>52</w:t>
      </w:r>
      <w:r>
        <w:rPr>
          <w:snapToGrid w:val="0"/>
        </w:rPr>
        <w:t>.</w:t>
      </w:r>
      <w:r>
        <w:rPr>
          <w:snapToGrid w:val="0"/>
        </w:rPr>
        <w:tab/>
        <w:t>Date of audit, Commissioner may change</w:t>
      </w:r>
      <w:bookmarkEnd w:id="64"/>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keepNext/>
        <w:keepLines/>
        <w:rPr>
          <w:snapToGrid w:val="0"/>
        </w:rPr>
      </w:pPr>
      <w:r>
        <w:rPr>
          <w:snapToGrid w:val="0"/>
        </w:rPr>
        <w:lastRenderedPageBreak/>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No. 58 of 2010 s. 176.]</w:t>
      </w:r>
    </w:p>
    <w:p>
      <w:pPr>
        <w:pStyle w:val="Heading5"/>
        <w:rPr>
          <w:snapToGrid w:val="0"/>
        </w:rPr>
      </w:pPr>
      <w:bookmarkStart w:id="65" w:name="_Toc106097001"/>
      <w:r>
        <w:rPr>
          <w:rStyle w:val="CharSectno"/>
        </w:rPr>
        <w:t>53</w:t>
      </w:r>
      <w:r>
        <w:rPr>
          <w:snapToGrid w:val="0"/>
        </w:rPr>
        <w:t>.</w:t>
      </w:r>
      <w:r>
        <w:rPr>
          <w:snapToGrid w:val="0"/>
        </w:rPr>
        <w:tab/>
        <w:t>Auditors, qualification and approval of</w:t>
      </w:r>
      <w:bookmarkEnd w:id="65"/>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lastRenderedPageBreak/>
        <w:t>Commissioner</w:t>
      </w:r>
      <w:r>
        <w:rPr>
          <w:snapToGrid w:val="0"/>
        </w:rPr>
        <w:t xml:space="preserve"> thinks fit, disqualify that auditor from acting in that particular case.</w:t>
      </w:r>
    </w:p>
    <w:p>
      <w:pPr>
        <w:pStyle w:val="Footnotesection"/>
        <w:spacing w:before="100"/>
      </w:pPr>
      <w:r>
        <w:tab/>
        <w:t>[Section 53 amended: No. 10 of 1982 s. 28; No. 59 of 1995 s. 70; No. 10 of 2001 s. 220; No. 28 of 2003 s. 181; No. 58 of 2010 s. 176.]</w:t>
      </w:r>
    </w:p>
    <w:p>
      <w:pPr>
        <w:pStyle w:val="Heading5"/>
        <w:rPr>
          <w:snapToGrid w:val="0"/>
        </w:rPr>
      </w:pPr>
      <w:bookmarkStart w:id="66" w:name="_Toc106097002"/>
      <w:r>
        <w:rPr>
          <w:rStyle w:val="CharSectno"/>
        </w:rPr>
        <w:t>54</w:t>
      </w:r>
      <w:r>
        <w:rPr>
          <w:snapToGrid w:val="0"/>
        </w:rPr>
        <w:t>.</w:t>
      </w:r>
      <w:r>
        <w:rPr>
          <w:snapToGrid w:val="0"/>
        </w:rPr>
        <w:tab/>
        <w:t>Auditors, appointment of</w:t>
      </w:r>
      <w:bookmarkEnd w:id="66"/>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No. 58 of 2010 s. 176.]</w:t>
      </w:r>
    </w:p>
    <w:p>
      <w:pPr>
        <w:pStyle w:val="Heading5"/>
        <w:rPr>
          <w:snapToGrid w:val="0"/>
        </w:rPr>
      </w:pPr>
      <w:bookmarkStart w:id="67" w:name="_Toc106097003"/>
      <w:r>
        <w:rPr>
          <w:rStyle w:val="CharSectno"/>
        </w:rPr>
        <w:t>55</w:t>
      </w:r>
      <w:r>
        <w:rPr>
          <w:snapToGrid w:val="0"/>
        </w:rPr>
        <w:t>.</w:t>
      </w:r>
      <w:r>
        <w:rPr>
          <w:snapToGrid w:val="0"/>
        </w:rPr>
        <w:tab/>
        <w:t>Audit of business carried on at more than one place, directions as to</w:t>
      </w:r>
      <w:bookmarkEnd w:id="67"/>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No. 58 of 2010 s. 176.]</w:t>
      </w:r>
    </w:p>
    <w:p>
      <w:pPr>
        <w:pStyle w:val="Heading5"/>
        <w:rPr>
          <w:snapToGrid w:val="0"/>
        </w:rPr>
      </w:pPr>
      <w:bookmarkStart w:id="68" w:name="_Toc106097004"/>
      <w:r>
        <w:rPr>
          <w:rStyle w:val="CharSectno"/>
        </w:rPr>
        <w:lastRenderedPageBreak/>
        <w:t>56</w:t>
      </w:r>
      <w:r>
        <w:rPr>
          <w:snapToGrid w:val="0"/>
        </w:rPr>
        <w:t>.</w:t>
      </w:r>
      <w:r>
        <w:rPr>
          <w:snapToGrid w:val="0"/>
        </w:rPr>
        <w:tab/>
        <w:t>Approvals etc. under this Division, Commissioner’s power to cancel etc.</w:t>
      </w:r>
      <w:bookmarkEnd w:id="68"/>
    </w:p>
    <w:p>
      <w:pPr>
        <w:pStyle w:val="Subsection"/>
        <w:keepNext/>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No. 58 of 2010 s. 176.]</w:t>
      </w:r>
    </w:p>
    <w:p>
      <w:pPr>
        <w:pStyle w:val="Ednotesection"/>
      </w:pPr>
      <w:r>
        <w:t>[</w:t>
      </w:r>
      <w:r>
        <w:rPr>
          <w:b/>
        </w:rPr>
        <w:t>57.</w:t>
      </w:r>
      <w:r>
        <w:tab/>
        <w:t>Deleted: No. 55 of 2004 s. 1088.]</w:t>
      </w:r>
    </w:p>
    <w:p>
      <w:pPr>
        <w:pStyle w:val="Heading5"/>
        <w:rPr>
          <w:snapToGrid w:val="0"/>
        </w:rPr>
      </w:pPr>
      <w:bookmarkStart w:id="69" w:name="_Toc106097005"/>
      <w:r>
        <w:rPr>
          <w:rStyle w:val="CharSectno"/>
        </w:rPr>
        <w:t>58</w:t>
      </w:r>
      <w:r>
        <w:rPr>
          <w:snapToGrid w:val="0"/>
        </w:rPr>
        <w:t>.</w:t>
      </w:r>
      <w:r>
        <w:rPr>
          <w:snapToGrid w:val="0"/>
        </w:rPr>
        <w:tab/>
        <w:t>Audits, settlement agents’ duties and auditors’ powers as to</w:t>
      </w:r>
      <w:bookmarkEnd w:id="69"/>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0" w:name="_Toc106097006"/>
      <w:r>
        <w:rPr>
          <w:rStyle w:val="CharSectno"/>
        </w:rPr>
        <w:t>59</w:t>
      </w:r>
      <w:r>
        <w:rPr>
          <w:snapToGrid w:val="0"/>
        </w:rPr>
        <w:t>.</w:t>
      </w:r>
      <w:r>
        <w:rPr>
          <w:snapToGrid w:val="0"/>
        </w:rPr>
        <w:tab/>
        <w:t>Audits, bankers’ duties as to</w:t>
      </w:r>
      <w:bookmarkEnd w:id="70"/>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1" w:name="_Toc106097007"/>
      <w:r>
        <w:rPr>
          <w:rStyle w:val="CharSectno"/>
        </w:rPr>
        <w:lastRenderedPageBreak/>
        <w:t>60</w:t>
      </w:r>
      <w:r>
        <w:rPr>
          <w:snapToGrid w:val="0"/>
        </w:rPr>
        <w:t>.</w:t>
      </w:r>
      <w:r>
        <w:rPr>
          <w:snapToGrid w:val="0"/>
        </w:rPr>
        <w:tab/>
        <w:t>Auditors’ reports, content of</w:t>
      </w:r>
      <w:bookmarkEnd w:id="71"/>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No. 64 of 1982 s. 4; No. 59 of 1995 s. 71; No. 58 of 2010 s. 176.]</w:t>
      </w:r>
    </w:p>
    <w:p>
      <w:pPr>
        <w:pStyle w:val="Heading5"/>
        <w:rPr>
          <w:snapToGrid w:val="0"/>
        </w:rPr>
      </w:pPr>
      <w:bookmarkStart w:id="72" w:name="_Toc106097008"/>
      <w:r>
        <w:rPr>
          <w:rStyle w:val="CharSectno"/>
        </w:rPr>
        <w:t>61</w:t>
      </w:r>
      <w:r>
        <w:rPr>
          <w:snapToGrid w:val="0"/>
        </w:rPr>
        <w:t>.</w:t>
      </w:r>
      <w:r>
        <w:rPr>
          <w:snapToGrid w:val="0"/>
        </w:rPr>
        <w:tab/>
        <w:t>Moneys etc. held on trust, statement of by settlement agents</w:t>
      </w:r>
      <w:bookmarkEnd w:id="72"/>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lastRenderedPageBreak/>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3" w:name="_Toc106097009"/>
      <w:r>
        <w:rPr>
          <w:rStyle w:val="CharSectno"/>
        </w:rPr>
        <w:t>62</w:t>
      </w:r>
      <w:r>
        <w:rPr>
          <w:snapToGrid w:val="0"/>
        </w:rPr>
        <w:t>.</w:t>
      </w:r>
      <w:r>
        <w:rPr>
          <w:snapToGrid w:val="0"/>
        </w:rPr>
        <w:tab/>
        <w:t>Auditor’s report to report breaches of law etc.</w:t>
      </w:r>
      <w:bookmarkEnd w:id="7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No. 58 of 2010 s. 176.]</w:t>
      </w:r>
    </w:p>
    <w:p>
      <w:pPr>
        <w:pStyle w:val="Heading5"/>
        <w:spacing w:before="180"/>
        <w:rPr>
          <w:snapToGrid w:val="0"/>
        </w:rPr>
      </w:pPr>
      <w:bookmarkStart w:id="74" w:name="_Toc106097010"/>
      <w:r>
        <w:rPr>
          <w:rStyle w:val="CharSectno"/>
        </w:rPr>
        <w:lastRenderedPageBreak/>
        <w:t>63</w:t>
      </w:r>
      <w:r>
        <w:rPr>
          <w:snapToGrid w:val="0"/>
        </w:rPr>
        <w:t>.</w:t>
      </w:r>
      <w:r>
        <w:rPr>
          <w:snapToGrid w:val="0"/>
        </w:rPr>
        <w:tab/>
        <w:t>Auditors’ duty of confidentiality</w:t>
      </w:r>
      <w:bookmarkEnd w:id="74"/>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75" w:name="_Toc106097011"/>
      <w:r>
        <w:rPr>
          <w:rStyle w:val="CharSectno"/>
        </w:rPr>
        <w:t>64</w:t>
      </w:r>
      <w:r>
        <w:rPr>
          <w:snapToGrid w:val="0"/>
        </w:rPr>
        <w:t>.</w:t>
      </w:r>
      <w:r>
        <w:rPr>
          <w:snapToGrid w:val="0"/>
        </w:rPr>
        <w:tab/>
        <w:t>Right of some persons to information in auditors’ reports</w:t>
      </w:r>
      <w:bookmarkEnd w:id="75"/>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No. 58 of 2010 s. 148 and 176.]</w:t>
      </w:r>
    </w:p>
    <w:p>
      <w:pPr>
        <w:pStyle w:val="Heading5"/>
        <w:rPr>
          <w:snapToGrid w:val="0"/>
        </w:rPr>
      </w:pPr>
      <w:bookmarkStart w:id="76" w:name="_Toc106097012"/>
      <w:r>
        <w:rPr>
          <w:rStyle w:val="CharSectno"/>
        </w:rPr>
        <w:lastRenderedPageBreak/>
        <w:t>65</w:t>
      </w:r>
      <w:r>
        <w:rPr>
          <w:snapToGrid w:val="0"/>
        </w:rPr>
        <w:t>.</w:t>
      </w:r>
      <w:r>
        <w:rPr>
          <w:snapToGrid w:val="0"/>
        </w:rPr>
        <w:tab/>
        <w:t>Offences under this Division</w:t>
      </w:r>
      <w:bookmarkEnd w:id="76"/>
    </w:p>
    <w:p>
      <w:pPr>
        <w:pStyle w:val="Subsection"/>
        <w:keepNext/>
        <w:rPr>
          <w:snapToGrid w:val="0"/>
        </w:rPr>
      </w:pPr>
      <w:r>
        <w:rPr>
          <w:snapToGrid w:val="0"/>
        </w:rPr>
        <w:tab/>
        <w:t>(1)</w:t>
      </w:r>
      <w:r>
        <w:rPr>
          <w:snapToGrid w:val="0"/>
        </w:rPr>
        <w:tab/>
        <w:t>A person who contravenes or does not observe any of the foregoing provisions of this Division commits an offence.</w:t>
      </w:r>
    </w:p>
    <w:p>
      <w:pPr>
        <w:pStyle w:val="Penstart"/>
        <w:keepNext/>
      </w:pPr>
      <w:r>
        <w:tab/>
        <w:t>Penalty for this subsection:</w:t>
      </w:r>
    </w:p>
    <w:p>
      <w:pPr>
        <w:pStyle w:val="Penpara"/>
      </w:pPr>
      <w:r>
        <w:tab/>
        <w:t>(a)</w:t>
      </w:r>
      <w:r>
        <w:tab/>
        <w:t>in the case of an offence against section 49(4) or (5), a fine of $25 000, or 2 years’ imprisonment;</w:t>
      </w:r>
    </w:p>
    <w:p>
      <w:pPr>
        <w:pStyle w:val="Penpara"/>
      </w:pPr>
      <w:r>
        <w:tab/>
        <w:t>(b)</w:t>
      </w:r>
      <w:r>
        <w:tab/>
        <w:t>in the case of an offence against section 49B(1),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No. 59 of 1995 s. 72; No. 25 of 2019 s. 83.]</w:t>
      </w:r>
    </w:p>
    <w:p>
      <w:pPr>
        <w:pStyle w:val="Heading5"/>
        <w:rPr>
          <w:snapToGrid w:val="0"/>
        </w:rPr>
      </w:pPr>
      <w:bookmarkStart w:id="77" w:name="_Toc106097013"/>
      <w:r>
        <w:rPr>
          <w:rStyle w:val="CharSectno"/>
        </w:rPr>
        <w:t>66</w:t>
      </w:r>
      <w:r>
        <w:rPr>
          <w:snapToGrid w:val="0"/>
        </w:rPr>
        <w:t>.</w:t>
      </w:r>
      <w:r>
        <w:rPr>
          <w:snapToGrid w:val="0"/>
        </w:rPr>
        <w:tab/>
        <w:t>Auditors’ remuneration</w:t>
      </w:r>
      <w:bookmarkEnd w:id="77"/>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8" w:name="_Toc106097014"/>
      <w:r>
        <w:rPr>
          <w:rStyle w:val="CharSectno"/>
        </w:rPr>
        <w:t>67</w:t>
      </w:r>
      <w:r>
        <w:rPr>
          <w:snapToGrid w:val="0"/>
        </w:rPr>
        <w:t>.</w:t>
      </w:r>
      <w:r>
        <w:rPr>
          <w:snapToGrid w:val="0"/>
        </w:rPr>
        <w:tab/>
        <w:t>Settlement agents with no accounts to audit</w:t>
      </w:r>
      <w:bookmarkEnd w:id="78"/>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No. 58 of 2010 s. 176.]</w:t>
      </w:r>
    </w:p>
    <w:p>
      <w:pPr>
        <w:pStyle w:val="Heading5"/>
        <w:rPr>
          <w:snapToGrid w:val="0"/>
        </w:rPr>
      </w:pPr>
      <w:bookmarkStart w:id="79" w:name="_Toc106097015"/>
      <w:r>
        <w:rPr>
          <w:rStyle w:val="CharSectno"/>
        </w:rPr>
        <w:lastRenderedPageBreak/>
        <w:t>68</w:t>
      </w:r>
      <w:r>
        <w:rPr>
          <w:snapToGrid w:val="0"/>
        </w:rPr>
        <w:t>.</w:t>
      </w:r>
      <w:r>
        <w:rPr>
          <w:snapToGrid w:val="0"/>
        </w:rPr>
        <w:tab/>
        <w:t>Accounts of firm or body corporate or settlement agent with branch office, effect of audits as to</w:t>
      </w:r>
      <w:bookmarkEnd w:id="79"/>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0" w:name="_Toc106097016"/>
      <w:r>
        <w:rPr>
          <w:rStyle w:val="CharSectno"/>
        </w:rPr>
        <w:t>69</w:t>
      </w:r>
      <w:r>
        <w:rPr>
          <w:snapToGrid w:val="0"/>
        </w:rPr>
        <w:t>.</w:t>
      </w:r>
      <w:r>
        <w:rPr>
          <w:snapToGrid w:val="0"/>
        </w:rPr>
        <w:tab/>
        <w:t>Audit of trust account, Commissioner may do</w:t>
      </w:r>
      <w:bookmarkEnd w:id="80"/>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No. 58 of 2010 s. 176.]</w:t>
      </w:r>
    </w:p>
    <w:p>
      <w:pPr>
        <w:pStyle w:val="Heading5"/>
        <w:rPr>
          <w:snapToGrid w:val="0"/>
        </w:rPr>
      </w:pPr>
      <w:bookmarkStart w:id="81" w:name="_Toc106097017"/>
      <w:r>
        <w:rPr>
          <w:rStyle w:val="CharSectno"/>
        </w:rPr>
        <w:lastRenderedPageBreak/>
        <w:t>70</w:t>
      </w:r>
      <w:r>
        <w:rPr>
          <w:snapToGrid w:val="0"/>
        </w:rPr>
        <w:t>.</w:t>
      </w:r>
      <w:r>
        <w:rPr>
          <w:snapToGrid w:val="0"/>
        </w:rPr>
        <w:tab/>
        <w:t>Settlement agent to allow Commissioner’s auditor etc. to inspect accounts etc.</w:t>
      </w:r>
      <w:bookmarkEnd w:id="81"/>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No. 58 of 2010 s. 176.]</w:t>
      </w:r>
    </w:p>
    <w:p>
      <w:pPr>
        <w:pStyle w:val="Heading5"/>
        <w:spacing w:before="240"/>
        <w:rPr>
          <w:snapToGrid w:val="0"/>
        </w:rPr>
      </w:pPr>
      <w:bookmarkStart w:id="82" w:name="_Toc106097018"/>
      <w:r>
        <w:rPr>
          <w:rStyle w:val="CharSectno"/>
        </w:rPr>
        <w:t>71</w:t>
      </w:r>
      <w:r>
        <w:rPr>
          <w:snapToGrid w:val="0"/>
        </w:rPr>
        <w:t>.</w:t>
      </w:r>
      <w:r>
        <w:rPr>
          <w:snapToGrid w:val="0"/>
        </w:rPr>
        <w:tab/>
        <w:t>Cost of audit done under s. 69</w:t>
      </w:r>
      <w:bookmarkEnd w:id="82"/>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No. 59 of 1995 s. 86; No. 77 of 2006 Sch. 1 cl. 156(2); No. 58 of 2010 s. 176.]</w:t>
      </w:r>
    </w:p>
    <w:p>
      <w:pPr>
        <w:pStyle w:val="Heading5"/>
        <w:spacing w:before="240"/>
        <w:rPr>
          <w:snapToGrid w:val="0"/>
        </w:rPr>
      </w:pPr>
      <w:bookmarkStart w:id="83" w:name="_Toc106097019"/>
      <w:r>
        <w:rPr>
          <w:rStyle w:val="CharSectno"/>
        </w:rPr>
        <w:t>72</w:t>
      </w:r>
      <w:r>
        <w:rPr>
          <w:snapToGrid w:val="0"/>
        </w:rPr>
        <w:t>.</w:t>
      </w:r>
      <w:r>
        <w:rPr>
          <w:snapToGrid w:val="0"/>
        </w:rPr>
        <w:tab/>
        <w:t>Application of s. 63 to certain persons</w:t>
      </w:r>
      <w:bookmarkEnd w:id="8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No. 58 of 2010 s. 176.]</w:t>
      </w:r>
    </w:p>
    <w:p>
      <w:pPr>
        <w:pStyle w:val="Heading5"/>
        <w:spacing w:before="240"/>
        <w:rPr>
          <w:snapToGrid w:val="0"/>
        </w:rPr>
      </w:pPr>
      <w:bookmarkStart w:id="84" w:name="_Toc106097020"/>
      <w:r>
        <w:rPr>
          <w:rStyle w:val="CharSectno"/>
        </w:rPr>
        <w:lastRenderedPageBreak/>
        <w:t>73</w:t>
      </w:r>
      <w:r>
        <w:rPr>
          <w:snapToGrid w:val="0"/>
        </w:rPr>
        <w:t>.</w:t>
      </w:r>
      <w:r>
        <w:rPr>
          <w:snapToGrid w:val="0"/>
        </w:rPr>
        <w:tab/>
        <w:t>Restraining bank etc. from dealing with settlement agent’s account, SAT’s powers as to</w:t>
      </w:r>
      <w:bookmarkEnd w:id="84"/>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lastRenderedPageBreak/>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No. 59 of 1995 s. 84; No. 26 of 1999 s. 102(6); No. 55 of 2004 s. 1094; No. 58 of 2010 s. 176.]</w:t>
      </w:r>
    </w:p>
    <w:p>
      <w:pPr>
        <w:pStyle w:val="Heading5"/>
        <w:rPr>
          <w:snapToGrid w:val="0"/>
        </w:rPr>
      </w:pPr>
      <w:bookmarkStart w:id="85" w:name="_Toc106097021"/>
      <w:r>
        <w:rPr>
          <w:rStyle w:val="CharSectno"/>
        </w:rPr>
        <w:t>74</w:t>
      </w:r>
      <w:r>
        <w:rPr>
          <w:snapToGrid w:val="0"/>
        </w:rPr>
        <w:t>.</w:t>
      </w:r>
      <w:r>
        <w:rPr>
          <w:snapToGrid w:val="0"/>
        </w:rPr>
        <w:tab/>
        <w:t>Suspension of settlement agents, appointment of supervisors etc., SAT’s powers as to</w:t>
      </w:r>
      <w:bookmarkEnd w:id="85"/>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lastRenderedPageBreak/>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 xml:space="preserve">take possession of the moneys constituting the trust account of the settlement agent or deceased </w:t>
      </w:r>
      <w:r>
        <w:rPr>
          <w:snapToGrid w:val="0"/>
        </w:rPr>
        <w:lastRenderedPageBreak/>
        <w:t>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No. 59 of 1995 s. 86; No. 55 of 2004 s. 1094; No. 77 of 2006 Sch. 1 cl. 156(4) and (5); No. 58 of 2010 s. 176).]</w:t>
      </w:r>
    </w:p>
    <w:p>
      <w:pPr>
        <w:pStyle w:val="Heading5"/>
        <w:rPr>
          <w:snapToGrid w:val="0"/>
        </w:rPr>
      </w:pPr>
      <w:bookmarkStart w:id="86" w:name="_Toc106097022"/>
      <w:r>
        <w:rPr>
          <w:rStyle w:val="CharSectno"/>
        </w:rPr>
        <w:t>75</w:t>
      </w:r>
      <w:r>
        <w:rPr>
          <w:snapToGrid w:val="0"/>
        </w:rPr>
        <w:t>.</w:t>
      </w:r>
      <w:r>
        <w:rPr>
          <w:snapToGrid w:val="0"/>
        </w:rPr>
        <w:tab/>
        <w:t>Effect of s. 74 orders appointing supervisor</w:t>
      </w:r>
      <w:bookmarkEnd w:id="86"/>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w:t>
      </w:r>
      <w:r>
        <w:rPr>
          <w:snapToGrid w:val="0"/>
        </w:rPr>
        <w:lastRenderedPageBreak/>
        <w:t>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No. 98 of 1985 s. 3; No. 58 of 2010 s. 149 and 176.]</w:t>
      </w:r>
    </w:p>
    <w:p>
      <w:pPr>
        <w:pStyle w:val="Heading5"/>
        <w:rPr>
          <w:snapToGrid w:val="0"/>
        </w:rPr>
      </w:pPr>
      <w:bookmarkStart w:id="87" w:name="_Toc106097023"/>
      <w:r>
        <w:rPr>
          <w:rStyle w:val="CharSectno"/>
        </w:rPr>
        <w:t>76</w:t>
      </w:r>
      <w:r>
        <w:rPr>
          <w:snapToGrid w:val="0"/>
        </w:rPr>
        <w:t>.</w:t>
      </w:r>
      <w:r>
        <w:rPr>
          <w:snapToGrid w:val="0"/>
        </w:rPr>
        <w:tab/>
        <w:t>Supervisors’ duties</w:t>
      </w:r>
      <w:bookmarkEnd w:id="8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 xml:space="preserve">the settlement agent to whom the appointment relates, or any of his clerks, servants, or agents, or in the case of a deceased settlement agent, his personal representative or any of the former </w:t>
      </w:r>
      <w:r>
        <w:rPr>
          <w:snapToGrid w:val="0"/>
        </w:rPr>
        <w:lastRenderedPageBreak/>
        <w:t>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No. 59 of 1995 s. 84; No. 26 of 1999 s. 102(7).]</w:t>
      </w:r>
    </w:p>
    <w:p>
      <w:pPr>
        <w:pStyle w:val="Heading5"/>
        <w:spacing w:before="260"/>
        <w:rPr>
          <w:snapToGrid w:val="0"/>
        </w:rPr>
      </w:pPr>
      <w:bookmarkStart w:id="88" w:name="_Toc106097024"/>
      <w:r>
        <w:rPr>
          <w:rStyle w:val="CharSectno"/>
        </w:rPr>
        <w:t>77</w:t>
      </w:r>
      <w:r>
        <w:rPr>
          <w:snapToGrid w:val="0"/>
        </w:rPr>
        <w:t>.</w:t>
      </w:r>
      <w:r>
        <w:rPr>
          <w:snapToGrid w:val="0"/>
        </w:rPr>
        <w:tab/>
        <w:t>Hindering etc. supervisors, offence</w:t>
      </w:r>
      <w:bookmarkEnd w:id="88"/>
    </w:p>
    <w:p>
      <w:pPr>
        <w:pStyle w:val="Subsection"/>
        <w:rPr>
          <w:snapToGrid w:val="0"/>
        </w:rPr>
      </w:pPr>
      <w:r>
        <w:rPr>
          <w:snapToGrid w:val="0"/>
        </w:rPr>
        <w:tab/>
      </w:r>
      <w:r>
        <w:rPr>
          <w:snapToGrid w:val="0"/>
        </w:rPr>
        <w:tab/>
        <w:t xml:space="preserve">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w:t>
      </w:r>
      <w:r>
        <w:rPr>
          <w:snapToGrid w:val="0"/>
        </w:rPr>
        <w:lastRenderedPageBreak/>
        <w:t>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No. 59 of 1995 s. 85.]</w:t>
      </w:r>
    </w:p>
    <w:p>
      <w:pPr>
        <w:pStyle w:val="Heading5"/>
        <w:rPr>
          <w:snapToGrid w:val="0"/>
        </w:rPr>
      </w:pPr>
      <w:bookmarkStart w:id="89" w:name="_Toc106097025"/>
      <w:r>
        <w:rPr>
          <w:rStyle w:val="CharSectno"/>
        </w:rPr>
        <w:t>78</w:t>
      </w:r>
      <w:r>
        <w:rPr>
          <w:snapToGrid w:val="0"/>
        </w:rPr>
        <w:t>.</w:t>
      </w:r>
      <w:r>
        <w:rPr>
          <w:snapToGrid w:val="0"/>
        </w:rPr>
        <w:tab/>
        <w:t>Discharge or variation of s. 73 or 74 order</w:t>
      </w:r>
      <w:bookmarkEnd w:id="8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No. 55 of 2004 s. 1094.]</w:t>
      </w:r>
    </w:p>
    <w:p>
      <w:pPr>
        <w:pStyle w:val="Heading5"/>
        <w:rPr>
          <w:snapToGrid w:val="0"/>
        </w:rPr>
      </w:pPr>
      <w:bookmarkStart w:id="90" w:name="_Toc106097026"/>
      <w:r>
        <w:rPr>
          <w:rStyle w:val="CharSectno"/>
        </w:rPr>
        <w:t>79</w:t>
      </w:r>
      <w:r>
        <w:rPr>
          <w:snapToGrid w:val="0"/>
        </w:rPr>
        <w:t>.</w:t>
      </w:r>
      <w:r>
        <w:rPr>
          <w:snapToGrid w:val="0"/>
        </w:rPr>
        <w:tab/>
        <w:t>SAT’s additional powers as to s. 73, 74 or 78 orders</w:t>
      </w:r>
      <w:bookmarkEnd w:id="90"/>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 xml:space="preserve">may prepare a scheme for distributing the moneys as compensation to each person who claims compensation at any time within 6 months after the Treasurer receives </w:t>
      </w:r>
      <w:r>
        <w:rPr>
          <w:snapToGrid w:val="0"/>
        </w:rPr>
        <w:lastRenderedPageBreak/>
        <w:t>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No. 59 of 1995 s. 84 and 86; No. 26 of 1999 s. 102(8); No. 55 of 2004 s. 1094; No. 77 of 2006 Sch. 1 cl. 156(6) and (7); No. 58 of 2010 s. 176.]</w:t>
      </w:r>
    </w:p>
    <w:p>
      <w:pPr>
        <w:pStyle w:val="Heading5"/>
        <w:rPr>
          <w:snapToGrid w:val="0"/>
        </w:rPr>
      </w:pPr>
      <w:bookmarkStart w:id="91" w:name="_Toc106097027"/>
      <w:r>
        <w:rPr>
          <w:rStyle w:val="CharSectno"/>
        </w:rPr>
        <w:t>80</w:t>
      </w:r>
      <w:r>
        <w:rPr>
          <w:snapToGrid w:val="0"/>
        </w:rPr>
        <w:t>.</w:t>
      </w:r>
      <w:r>
        <w:rPr>
          <w:snapToGrid w:val="0"/>
        </w:rPr>
        <w:tab/>
        <w:t>Service of s. 73, 74, 78 and 79 orders; penalty for breach of</w:t>
      </w:r>
      <w:bookmarkEnd w:id="91"/>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lastRenderedPageBreak/>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lastRenderedPageBreak/>
        <w:tab/>
        <w:t>(6)</w:t>
      </w:r>
      <w:r>
        <w:rPr>
          <w:snapToGrid w:val="0"/>
        </w:rPr>
        <w:tab/>
        <w:t>This section is sufficient authority and indemnity for complying with an order so made and served.</w:t>
      </w:r>
    </w:p>
    <w:p>
      <w:pPr>
        <w:pStyle w:val="Footnotesection"/>
      </w:pPr>
      <w:r>
        <w:tab/>
        <w:t>[Section 80 amended: No. 59 of 1995 s. 84 and 85; No. 26 of 1999 s. 102(9)</w:t>
      </w:r>
      <w:r>
        <w:noBreakHyphen/>
        <w:t>(11); No. 58 of 2010 s. 176.]</w:t>
      </w:r>
    </w:p>
    <w:p>
      <w:pPr>
        <w:pStyle w:val="Heading5"/>
      </w:pPr>
      <w:bookmarkStart w:id="92" w:name="_Toc106097028"/>
      <w:r>
        <w:rPr>
          <w:rStyle w:val="CharSectno"/>
        </w:rPr>
        <w:t>81</w:t>
      </w:r>
      <w:r>
        <w:t>.</w:t>
      </w:r>
      <w:r>
        <w:tab/>
        <w:t>Banks etc., duty to disclose certain accounts etc. if required to by authorised person</w:t>
      </w:r>
      <w:bookmarkEnd w:id="92"/>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No. 58 of 2010 s. 150.]</w:t>
      </w:r>
    </w:p>
    <w:p>
      <w:pPr>
        <w:pStyle w:val="Heading5"/>
        <w:rPr>
          <w:snapToGrid w:val="0"/>
        </w:rPr>
      </w:pPr>
      <w:bookmarkStart w:id="93" w:name="_Toc106097029"/>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9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w:t>
      </w:r>
      <w:r>
        <w:rPr>
          <w:snapToGrid w:val="0"/>
        </w:rPr>
        <w:lastRenderedPageBreak/>
        <w:t>trust accounts maintained or formerly maintained by that agent; or</w:t>
      </w:r>
    </w:p>
    <w:p>
      <w:pPr>
        <w:pStyle w:val="Indenta"/>
        <w:keepNext/>
        <w:keepLines/>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Ednotesubsection"/>
      </w:pPr>
      <w:r>
        <w:lastRenderedPageBreak/>
        <w:tab/>
        <w:t>[(4)</w:t>
      </w:r>
      <w:r>
        <w:tab/>
        <w:t>deleted]</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111A.</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No. 59 of 1995 s. 73; amended: No. 10 of 2001 s. 220; No. 58 of 2010 s. 176; No. 25 of 2019 s. 84.]</w:t>
      </w:r>
    </w:p>
    <w:p>
      <w:pPr>
        <w:pStyle w:val="Heading3"/>
        <w:rPr>
          <w:snapToGrid w:val="0"/>
        </w:rPr>
      </w:pPr>
      <w:bookmarkStart w:id="94" w:name="_Toc106011592"/>
      <w:bookmarkStart w:id="95" w:name="_Toc106011757"/>
      <w:bookmarkStart w:id="96" w:name="_Toc106097030"/>
      <w:r>
        <w:rPr>
          <w:rStyle w:val="CharDivNo"/>
        </w:rPr>
        <w:t>Division 3</w:t>
      </w:r>
      <w:r>
        <w:rPr>
          <w:snapToGrid w:val="0"/>
        </w:rPr>
        <w:t> — </w:t>
      </w:r>
      <w:r>
        <w:rPr>
          <w:rStyle w:val="CharDivText"/>
        </w:rPr>
        <w:t>Discipline</w:t>
      </w:r>
      <w:bookmarkEnd w:id="94"/>
      <w:bookmarkEnd w:id="95"/>
      <w:bookmarkEnd w:id="96"/>
    </w:p>
    <w:p>
      <w:pPr>
        <w:pStyle w:val="Heading5"/>
        <w:rPr>
          <w:snapToGrid w:val="0"/>
        </w:rPr>
      </w:pPr>
      <w:bookmarkStart w:id="97" w:name="_Toc106097031"/>
      <w:r>
        <w:rPr>
          <w:rStyle w:val="CharSectno"/>
        </w:rPr>
        <w:t>82</w:t>
      </w:r>
      <w:r>
        <w:rPr>
          <w:snapToGrid w:val="0"/>
        </w:rPr>
        <w:t>.</w:t>
      </w:r>
      <w:r>
        <w:rPr>
          <w:snapToGrid w:val="0"/>
        </w:rPr>
        <w:tab/>
        <w:t>Code of conduct for settlement agents</w:t>
      </w:r>
      <w:bookmarkEnd w:id="97"/>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No. 58 of 2010 s. 176.]</w:t>
      </w:r>
    </w:p>
    <w:p>
      <w:pPr>
        <w:pStyle w:val="Heading5"/>
        <w:rPr>
          <w:snapToGrid w:val="0"/>
        </w:rPr>
      </w:pPr>
      <w:bookmarkStart w:id="98" w:name="_Toc106097032"/>
      <w:r>
        <w:rPr>
          <w:rStyle w:val="CharSectno"/>
        </w:rPr>
        <w:t>83</w:t>
      </w:r>
      <w:r>
        <w:rPr>
          <w:snapToGrid w:val="0"/>
        </w:rPr>
        <w:t>.</w:t>
      </w:r>
      <w:r>
        <w:rPr>
          <w:snapToGrid w:val="0"/>
        </w:rPr>
        <w:tab/>
        <w:t>Disciplinary action by SAT, alleging cause for</w:t>
      </w:r>
      <w:bookmarkEnd w:id="98"/>
    </w:p>
    <w:p>
      <w:pPr>
        <w:pStyle w:val="Subsection"/>
        <w:rPr>
          <w:snapToGrid w:val="0"/>
        </w:rPr>
      </w:pPr>
      <w:r>
        <w:tab/>
        <w:t>(1)</w:t>
      </w:r>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Subsection"/>
      </w:pPr>
      <w:r>
        <w:lastRenderedPageBreak/>
        <w:tab/>
        <w:t>(2)</w:t>
      </w:r>
      <w:r>
        <w:tab/>
        <w:t xml:space="preserve">Despite the surrender by a person of a licence or triennial certificate or a licensee ceasing to be licensed or to hold a triennial certificate — </w:t>
      </w:r>
    </w:p>
    <w:p>
      <w:pPr>
        <w:pStyle w:val="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84, other than the power to suspend or cancel the person’s licence or certificate.</w:t>
      </w:r>
    </w:p>
    <w:p>
      <w:pPr>
        <w:pStyle w:val="Footnotesection"/>
      </w:pPr>
      <w:r>
        <w:tab/>
        <w:t>[Section 83 inserted: No. 55 of 2004 s. 1089; amended: No. 58 of 2010 s. 176; No. 25 of 2019 s. 85.]</w:t>
      </w:r>
    </w:p>
    <w:p>
      <w:pPr>
        <w:pStyle w:val="Heading5"/>
        <w:rPr>
          <w:snapToGrid w:val="0"/>
        </w:rPr>
      </w:pPr>
      <w:bookmarkStart w:id="99" w:name="_Toc106097033"/>
      <w:r>
        <w:rPr>
          <w:rStyle w:val="CharSectno"/>
        </w:rPr>
        <w:t>84</w:t>
      </w:r>
      <w:r>
        <w:rPr>
          <w:snapToGrid w:val="0"/>
        </w:rPr>
        <w:t>.</w:t>
      </w:r>
      <w:r>
        <w:rPr>
          <w:snapToGrid w:val="0"/>
        </w:rPr>
        <w:tab/>
        <w:t>Disciplinary action, SAT’s powers as to</w:t>
      </w:r>
      <w:bookmarkEnd w:id="99"/>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keepNext/>
        <w:keepLines/>
        <w:rPr>
          <w:snapToGrid w:val="0"/>
        </w:rPr>
      </w:pPr>
      <w:r>
        <w:rPr>
          <w:snapToGrid w:val="0"/>
        </w:rPr>
        <w:lastRenderedPageBreak/>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keepNext/>
        <w:rPr>
          <w:snapToGrid w:val="0"/>
        </w:rPr>
      </w:pPr>
      <w:r>
        <w:rPr>
          <w:snapToGrid w:val="0"/>
        </w:rPr>
        <w:tab/>
        <w:t>(3)</w:t>
      </w:r>
      <w:r>
        <w:rPr>
          <w:snapToGrid w:val="0"/>
        </w:rPr>
        <w:tab/>
        <w:t>Where the State Administrative Tribunal suspends or cancels a licence or triennial certificate, or both —</w:t>
      </w:r>
    </w:p>
    <w:p>
      <w:pPr>
        <w:pStyle w:val="Ednotepara"/>
        <w:keepNext/>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No. 59 of 1995 s. 74 and 85; No. 55 of 2004 s. 1090; No. 58 of 2010 s. 176.]</w:t>
      </w:r>
    </w:p>
    <w:p>
      <w:pPr>
        <w:pStyle w:val="Heading5"/>
        <w:rPr>
          <w:snapToGrid w:val="0"/>
        </w:rPr>
      </w:pPr>
      <w:bookmarkStart w:id="100" w:name="_Toc106097034"/>
      <w:r>
        <w:rPr>
          <w:rStyle w:val="CharSectno"/>
        </w:rPr>
        <w:lastRenderedPageBreak/>
        <w:t>85</w:t>
      </w:r>
      <w:r>
        <w:rPr>
          <w:snapToGrid w:val="0"/>
        </w:rPr>
        <w:t>.</w:t>
      </w:r>
      <w:r>
        <w:rPr>
          <w:snapToGrid w:val="0"/>
        </w:rPr>
        <w:tab/>
        <w:t>Offences that cause licence and triennial certificate to be cancelled</w:t>
      </w:r>
      <w:bookmarkEnd w:id="100"/>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No. 59 of 2004 s. 141; No. 58 of 2010 s. 176.]</w:t>
      </w:r>
    </w:p>
    <w:p>
      <w:pPr>
        <w:pStyle w:val="Heading5"/>
        <w:rPr>
          <w:snapToGrid w:val="0"/>
        </w:rPr>
      </w:pPr>
      <w:bookmarkStart w:id="101" w:name="_Toc106097035"/>
      <w:r>
        <w:rPr>
          <w:rStyle w:val="CharSectno"/>
        </w:rPr>
        <w:t>86</w:t>
      </w:r>
      <w:r>
        <w:rPr>
          <w:snapToGrid w:val="0"/>
        </w:rPr>
        <w:t>.</w:t>
      </w:r>
      <w:r>
        <w:rPr>
          <w:snapToGrid w:val="0"/>
        </w:rPr>
        <w:tab/>
        <w:t>Persons with cancelled licences etc., offences by and in respect of</w:t>
      </w:r>
      <w:bookmarkEnd w:id="10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lastRenderedPageBreak/>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No. 59 of 1995 s. 85; No. 58 of 2010 s. 176.]</w:t>
      </w:r>
    </w:p>
    <w:p>
      <w:pPr>
        <w:pStyle w:val="Heading2"/>
      </w:pPr>
      <w:bookmarkStart w:id="102" w:name="_Toc106011598"/>
      <w:bookmarkStart w:id="103" w:name="_Toc106011763"/>
      <w:bookmarkStart w:id="104" w:name="_Toc106097036"/>
      <w:r>
        <w:rPr>
          <w:rStyle w:val="CharPartNo"/>
        </w:rPr>
        <w:lastRenderedPageBreak/>
        <w:t>Part V</w:t>
      </w:r>
      <w:r>
        <w:rPr>
          <w:rStyle w:val="CharDivNo"/>
        </w:rPr>
        <w:t> </w:t>
      </w:r>
      <w:r>
        <w:t>—</w:t>
      </w:r>
      <w:r>
        <w:rPr>
          <w:rStyle w:val="CharDivText"/>
        </w:rPr>
        <w:t> </w:t>
      </w:r>
      <w:r>
        <w:rPr>
          <w:rStyle w:val="CharPartText"/>
        </w:rPr>
        <w:t>Fidelity Guarantee Account</w:t>
      </w:r>
      <w:bookmarkEnd w:id="102"/>
      <w:bookmarkEnd w:id="103"/>
      <w:bookmarkEnd w:id="104"/>
    </w:p>
    <w:p>
      <w:pPr>
        <w:pStyle w:val="Footnoteheading"/>
      </w:pPr>
      <w:r>
        <w:tab/>
        <w:t>[Heading amended: No. 77 of 2006 Sch. 1 cl. 156(8).]</w:t>
      </w:r>
    </w:p>
    <w:p>
      <w:pPr>
        <w:pStyle w:val="Heading5"/>
      </w:pPr>
      <w:bookmarkStart w:id="105" w:name="_Toc106097037"/>
      <w:r>
        <w:rPr>
          <w:rStyle w:val="CharSectno"/>
        </w:rPr>
        <w:t>87</w:t>
      </w:r>
      <w:r>
        <w:t>.</w:t>
      </w:r>
      <w:r>
        <w:tab/>
        <w:t>Account established; administration of Account</w:t>
      </w:r>
      <w:bookmarkEnd w:id="105"/>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No. 77 of 2006 Sch. 1 cl. 156(9); amended: No. 58 of 2010 s. 151.]</w:t>
      </w:r>
    </w:p>
    <w:p>
      <w:pPr>
        <w:pStyle w:val="Heading5"/>
        <w:rPr>
          <w:snapToGrid w:val="0"/>
        </w:rPr>
      </w:pPr>
      <w:bookmarkStart w:id="106" w:name="_Toc106097038"/>
      <w:r>
        <w:rPr>
          <w:rStyle w:val="CharSectno"/>
        </w:rPr>
        <w:t>88</w:t>
      </w:r>
      <w:r>
        <w:rPr>
          <w:snapToGrid w:val="0"/>
        </w:rPr>
        <w:t>.</w:t>
      </w:r>
      <w:r>
        <w:rPr>
          <w:snapToGrid w:val="0"/>
        </w:rPr>
        <w:tab/>
        <w:t xml:space="preserve">Moneys to be credited to </w:t>
      </w:r>
      <w:r>
        <w:t>Account</w:t>
      </w:r>
      <w:bookmarkEnd w:id="106"/>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No. 59 of 1995 s. 76 and 86; No. 77 of 2006 Sch. 1 cl. 156(2); No. 58 of 2010 s. 152.]</w:t>
      </w:r>
    </w:p>
    <w:p>
      <w:pPr>
        <w:pStyle w:val="Heading5"/>
        <w:rPr>
          <w:snapToGrid w:val="0"/>
        </w:rPr>
      </w:pPr>
      <w:bookmarkStart w:id="107" w:name="_Toc106097039"/>
      <w:r>
        <w:rPr>
          <w:rStyle w:val="CharSectno"/>
        </w:rPr>
        <w:lastRenderedPageBreak/>
        <w:t>89</w:t>
      </w:r>
      <w:r>
        <w:rPr>
          <w:snapToGrid w:val="0"/>
        </w:rPr>
        <w:t>.</w:t>
      </w:r>
      <w:r>
        <w:rPr>
          <w:snapToGrid w:val="0"/>
        </w:rPr>
        <w:tab/>
        <w:t xml:space="preserve">Investment of moneys in </w:t>
      </w:r>
      <w:r>
        <w:t>Account</w:t>
      </w:r>
      <w:bookmarkEnd w:id="107"/>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No. 59 of 1995 s. 77; amended: No. 77 of 2006 Sch. 1 cl. 156(2) and (10).]</w:t>
      </w:r>
    </w:p>
    <w:p>
      <w:pPr>
        <w:pStyle w:val="Heading5"/>
        <w:rPr>
          <w:snapToGrid w:val="0"/>
        </w:rPr>
      </w:pPr>
      <w:bookmarkStart w:id="108" w:name="_Toc106097040"/>
      <w:r>
        <w:rPr>
          <w:rStyle w:val="CharSectno"/>
        </w:rPr>
        <w:t>90</w:t>
      </w:r>
      <w:r>
        <w:rPr>
          <w:snapToGrid w:val="0"/>
        </w:rPr>
        <w:t>.</w:t>
      </w:r>
      <w:r>
        <w:rPr>
          <w:snapToGrid w:val="0"/>
        </w:rPr>
        <w:tab/>
        <w:t xml:space="preserve">Expenditure from </w:t>
      </w:r>
      <w:r>
        <w:t>Account</w:t>
      </w:r>
      <w:bookmarkEnd w:id="108"/>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No. 59 of 1995 s. 78 and 86; No. 77 of 2006 Sch. 1 cl. 156(2); No. 58 of 2010 s. 153.]</w:t>
      </w:r>
    </w:p>
    <w:p>
      <w:pPr>
        <w:pStyle w:val="Ednotesection"/>
      </w:pPr>
      <w:r>
        <w:t>[</w:t>
      </w:r>
      <w:r>
        <w:rPr>
          <w:b/>
        </w:rPr>
        <w:t>91.</w:t>
      </w:r>
      <w:r>
        <w:tab/>
        <w:t>Deleted: No. 98 of 1985 s. 3.]</w:t>
      </w:r>
    </w:p>
    <w:p>
      <w:pPr>
        <w:pStyle w:val="Heading5"/>
        <w:rPr>
          <w:snapToGrid w:val="0"/>
        </w:rPr>
      </w:pPr>
      <w:bookmarkStart w:id="109" w:name="_Toc106097041"/>
      <w:r>
        <w:rPr>
          <w:rStyle w:val="CharSectno"/>
        </w:rPr>
        <w:lastRenderedPageBreak/>
        <w:t>92</w:t>
      </w:r>
      <w:r>
        <w:rPr>
          <w:snapToGrid w:val="0"/>
        </w:rPr>
        <w:t>.</w:t>
      </w:r>
      <w:r>
        <w:rPr>
          <w:snapToGrid w:val="0"/>
        </w:rPr>
        <w:tab/>
        <w:t xml:space="preserve">Payments to </w:t>
      </w:r>
      <w:r>
        <w:t>Account by applicants for licences etc.</w:t>
      </w:r>
      <w:bookmarkEnd w:id="109"/>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No. 59 of 1995 s. 86; No. 77 of 2006 Sch. 1 cl. 156(2); No. 58 of 2010 s. 154.]</w:t>
      </w:r>
    </w:p>
    <w:p>
      <w:pPr>
        <w:pStyle w:val="Heading5"/>
        <w:spacing w:before="180"/>
        <w:rPr>
          <w:snapToGrid w:val="0"/>
        </w:rPr>
      </w:pPr>
      <w:bookmarkStart w:id="110" w:name="_Toc106097042"/>
      <w:r>
        <w:rPr>
          <w:rStyle w:val="CharSectno"/>
        </w:rPr>
        <w:t>93</w:t>
      </w:r>
      <w:r>
        <w:rPr>
          <w:snapToGrid w:val="0"/>
        </w:rPr>
        <w:t>.</w:t>
      </w:r>
      <w:r>
        <w:rPr>
          <w:snapToGrid w:val="0"/>
        </w:rPr>
        <w:tab/>
        <w:t xml:space="preserve">Purpose of </w:t>
      </w:r>
      <w:r>
        <w:t>Account; making claims against Account</w:t>
      </w:r>
      <w:bookmarkEnd w:id="110"/>
    </w:p>
    <w:p>
      <w:pPr>
        <w:pStyle w:val="Subsection"/>
      </w:pPr>
      <w:r>
        <w:tab/>
        <w:t>(1)</w:t>
      </w:r>
      <w:r>
        <w:tab/>
        <w:t>The Account is to be held and applied to reimburse a person for the person’s pecuniary or property loss to the extent of the defalcation of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the holder of a licence or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spacing w:before="110"/>
      </w:pPr>
      <w:r>
        <w:lastRenderedPageBreak/>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No. 3 of 2000 s. 7(1)</w:t>
      </w:r>
      <w:r>
        <w:rPr>
          <w:vertAlign w:val="superscript"/>
        </w:rPr>
        <w:t> </w:t>
      </w:r>
      <w:r>
        <w:rPr>
          <w:i w:val="0"/>
          <w:vertAlign w:val="superscript"/>
        </w:rPr>
        <w:t>2</w:t>
      </w:r>
      <w:r>
        <w:t>; No. 77 of 2006 Sch. 1 cl. 156(2); No. 58 of 2010 s. 155; No. 23 of 2014 s. 105; No. 25 of 2019 s. 86.]</w:t>
      </w:r>
    </w:p>
    <w:p>
      <w:pPr>
        <w:pStyle w:val="Heading5"/>
        <w:rPr>
          <w:snapToGrid w:val="0"/>
        </w:rPr>
      </w:pPr>
      <w:bookmarkStart w:id="111" w:name="_Toc106097043"/>
      <w:r>
        <w:rPr>
          <w:rStyle w:val="CharSectno"/>
        </w:rPr>
        <w:t>94</w:t>
      </w:r>
      <w:r>
        <w:rPr>
          <w:snapToGrid w:val="0"/>
        </w:rPr>
        <w:t>.</w:t>
      </w:r>
      <w:r>
        <w:rPr>
          <w:snapToGrid w:val="0"/>
        </w:rPr>
        <w:tab/>
        <w:t>Levies for Account against certificate holders</w:t>
      </w:r>
      <w:bookmarkEnd w:id="111"/>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No. 59 of 1995 s. 86; No. 77 of 2006 Sch. 1 cl. 156(2); No. 58 of 2010 s. 156.]</w:t>
      </w:r>
    </w:p>
    <w:p>
      <w:pPr>
        <w:pStyle w:val="Heading5"/>
        <w:rPr>
          <w:snapToGrid w:val="0"/>
        </w:rPr>
      </w:pPr>
      <w:bookmarkStart w:id="112" w:name="_Toc106097044"/>
      <w:r>
        <w:rPr>
          <w:rStyle w:val="CharSectno"/>
        </w:rPr>
        <w:lastRenderedPageBreak/>
        <w:t>95</w:t>
      </w:r>
      <w:r>
        <w:rPr>
          <w:snapToGrid w:val="0"/>
        </w:rPr>
        <w:t>.</w:t>
      </w:r>
      <w:r>
        <w:rPr>
          <w:snapToGrid w:val="0"/>
        </w:rPr>
        <w:tab/>
        <w:t xml:space="preserve">Claims against </w:t>
      </w:r>
      <w:r>
        <w:t>Account; recovery from Account</w:t>
      </w:r>
      <w:bookmarkEnd w:id="112"/>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keepNext/>
        <w:keepLines/>
        <w:rPr>
          <w:snapToGrid w:val="0"/>
        </w:rPr>
      </w:pPr>
      <w:r>
        <w:rPr>
          <w:snapToGrid w:val="0"/>
        </w:rPr>
        <w:lastRenderedPageBreak/>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No. 59 of 1995 s. 86; No. 3 of 2000 s. 8; No. 28 of 2003 s. 182; No. 77 of 2006 Sch. 1 cl. 156(2); No. 58 of 2010 s. 157.]</w:t>
      </w:r>
    </w:p>
    <w:p>
      <w:pPr>
        <w:pStyle w:val="Heading5"/>
        <w:rPr>
          <w:snapToGrid w:val="0"/>
        </w:rPr>
      </w:pPr>
      <w:bookmarkStart w:id="113" w:name="_Toc106097045"/>
      <w:r>
        <w:rPr>
          <w:rStyle w:val="CharSectno"/>
        </w:rPr>
        <w:t>96</w:t>
      </w:r>
      <w:r>
        <w:rPr>
          <w:snapToGrid w:val="0"/>
        </w:rPr>
        <w:t>.</w:t>
      </w:r>
      <w:r>
        <w:rPr>
          <w:snapToGrid w:val="0"/>
        </w:rPr>
        <w:tab/>
        <w:t xml:space="preserve">Defences to claims against </w:t>
      </w:r>
      <w:r>
        <w:t>Account</w:t>
      </w:r>
      <w:bookmarkEnd w:id="113"/>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No. 77 of 2006 Sch. 1 cl. 156(2); No. 58 of 2010 s. 158.]</w:t>
      </w:r>
    </w:p>
    <w:p>
      <w:pPr>
        <w:pStyle w:val="Heading5"/>
        <w:rPr>
          <w:snapToGrid w:val="0"/>
        </w:rPr>
      </w:pPr>
      <w:bookmarkStart w:id="114" w:name="_Toc106097046"/>
      <w:r>
        <w:rPr>
          <w:rStyle w:val="CharSectno"/>
        </w:rPr>
        <w:t>97</w:t>
      </w:r>
      <w:r>
        <w:rPr>
          <w:snapToGrid w:val="0"/>
        </w:rPr>
        <w:t>.</w:t>
      </w:r>
      <w:r>
        <w:rPr>
          <w:snapToGrid w:val="0"/>
        </w:rPr>
        <w:tab/>
        <w:t>Subrogation of rights of claimant against Account</w:t>
      </w:r>
      <w:bookmarkEnd w:id="114"/>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No. 59 of 1995 s. 86; No. 77 of 2006 Sch. 1 cl. 156(2); No. 58 of 2010 s. 159.]</w:t>
      </w:r>
    </w:p>
    <w:p>
      <w:pPr>
        <w:pStyle w:val="Heading5"/>
        <w:spacing w:before="240"/>
        <w:rPr>
          <w:snapToGrid w:val="0"/>
        </w:rPr>
      </w:pPr>
      <w:bookmarkStart w:id="115" w:name="_Toc106097047"/>
      <w:r>
        <w:rPr>
          <w:rStyle w:val="CharSectno"/>
        </w:rPr>
        <w:lastRenderedPageBreak/>
        <w:t>98</w:t>
      </w:r>
      <w:r>
        <w:rPr>
          <w:snapToGrid w:val="0"/>
        </w:rPr>
        <w:t>.</w:t>
      </w:r>
      <w:r>
        <w:rPr>
          <w:snapToGrid w:val="0"/>
        </w:rPr>
        <w:tab/>
        <w:t xml:space="preserve">Insufficiency in </w:t>
      </w:r>
      <w:r>
        <w:t>Account</w:t>
      </w:r>
      <w:bookmarkEnd w:id="115"/>
    </w:p>
    <w:p>
      <w:pPr>
        <w:pStyle w:val="Subsection"/>
        <w:keepNext/>
        <w:keepLines/>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w:t>
      </w:r>
      <w:r>
        <w:rPr>
          <w:snapToGrid w:val="0"/>
        </w:rPr>
        <w:lastRenderedPageBreak/>
        <w:t xml:space="preserve">admitted by the </w:t>
      </w:r>
      <w:r>
        <w:t>chief executive officer,</w:t>
      </w:r>
      <w:r>
        <w:rPr>
          <w:snapToGrid w:val="0"/>
        </w:rPr>
        <w:t xml:space="preserve"> as the case may be.</w:t>
      </w:r>
    </w:p>
    <w:p>
      <w:pPr>
        <w:pStyle w:val="Footnotesection"/>
      </w:pPr>
      <w:r>
        <w:tab/>
        <w:t>[Section 98 amended: No. 59 of 1995 s. 79 and 86; No. 77 of 2006 Sch. 1 cl. 156(2); No. 58 of 2010 s. 160.]</w:t>
      </w:r>
    </w:p>
    <w:p>
      <w:pPr>
        <w:pStyle w:val="Heading5"/>
        <w:rPr>
          <w:snapToGrid w:val="0"/>
        </w:rPr>
      </w:pPr>
      <w:bookmarkStart w:id="116" w:name="_Toc106097048"/>
      <w:r>
        <w:rPr>
          <w:rStyle w:val="CharSectno"/>
        </w:rPr>
        <w:t>99</w:t>
      </w:r>
      <w:r>
        <w:rPr>
          <w:snapToGrid w:val="0"/>
        </w:rPr>
        <w:t>.</w:t>
      </w:r>
      <w:r>
        <w:rPr>
          <w:snapToGrid w:val="0"/>
        </w:rPr>
        <w:tab/>
        <w:t>State may insure against claims</w:t>
      </w:r>
      <w:bookmarkEnd w:id="116"/>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No. 51 of 1986 s. 46(2); No. 58 of 2010 s. 161.]</w:t>
      </w:r>
    </w:p>
    <w:p>
      <w:pPr>
        <w:pStyle w:val="Heading5"/>
        <w:rPr>
          <w:snapToGrid w:val="0"/>
        </w:rPr>
      </w:pPr>
      <w:bookmarkStart w:id="117" w:name="_Toc106097049"/>
      <w:r>
        <w:rPr>
          <w:rStyle w:val="CharSectno"/>
        </w:rPr>
        <w:t>100</w:t>
      </w:r>
      <w:r>
        <w:rPr>
          <w:snapToGrid w:val="0"/>
        </w:rPr>
        <w:t>.</w:t>
      </w:r>
      <w:r>
        <w:rPr>
          <w:snapToGrid w:val="0"/>
        </w:rPr>
        <w:tab/>
        <w:t>Application of insurance money</w:t>
      </w:r>
      <w:bookmarkEnd w:id="117"/>
    </w:p>
    <w:p>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w:t>
      </w:r>
      <w:r>
        <w:rPr>
          <w:snapToGrid w:val="0"/>
        </w:rPr>
        <w:lastRenderedPageBreak/>
        <w:t xml:space="preserve">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No. 59 of 1995 s. 86; No. 77 of 2006 Sch. 1 cl. 156(2).]</w:t>
      </w:r>
    </w:p>
    <w:p>
      <w:pPr>
        <w:pStyle w:val="Heading5"/>
        <w:rPr>
          <w:snapToGrid w:val="0"/>
        </w:rPr>
      </w:pPr>
      <w:bookmarkStart w:id="118" w:name="_Toc106097050"/>
      <w:r>
        <w:rPr>
          <w:rStyle w:val="CharSectno"/>
        </w:rPr>
        <w:t>101</w:t>
      </w:r>
      <w:r>
        <w:rPr>
          <w:snapToGrid w:val="0"/>
        </w:rPr>
        <w:t>.</w:t>
      </w:r>
      <w:r>
        <w:rPr>
          <w:snapToGrid w:val="0"/>
        </w:rPr>
        <w:tab/>
        <w:t>Advertising for claims in relation to defaulting licensee</w:t>
      </w:r>
      <w:bookmarkEnd w:id="118"/>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No. 77 of 2006 Sch. 1 cl. 156(2); No. 58 of 2010 s. 162.]</w:t>
      </w:r>
    </w:p>
    <w:p>
      <w:pPr>
        <w:pStyle w:val="Heading5"/>
        <w:rPr>
          <w:snapToGrid w:val="0"/>
        </w:rPr>
      </w:pPr>
      <w:bookmarkStart w:id="119" w:name="_Toc106097051"/>
      <w:r>
        <w:rPr>
          <w:rStyle w:val="CharSectno"/>
        </w:rPr>
        <w:t>102</w:t>
      </w:r>
      <w:r>
        <w:rPr>
          <w:snapToGrid w:val="0"/>
        </w:rPr>
        <w:t>.</w:t>
      </w:r>
      <w:r>
        <w:rPr>
          <w:snapToGrid w:val="0"/>
        </w:rPr>
        <w:tab/>
        <w:t>Documents etc. to support claims, CEO may require</w:t>
      </w:r>
      <w:bookmarkEnd w:id="119"/>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No. 58 of 2010 s. 163.]</w:t>
      </w:r>
    </w:p>
    <w:p>
      <w:pPr>
        <w:pStyle w:val="Heading5"/>
      </w:pPr>
      <w:bookmarkStart w:id="120" w:name="_Toc106097052"/>
      <w:r>
        <w:rPr>
          <w:rStyle w:val="CharSectno"/>
        </w:rPr>
        <w:lastRenderedPageBreak/>
        <w:t>102AA</w:t>
      </w:r>
      <w:r>
        <w:t>.</w:t>
      </w:r>
      <w:r>
        <w:tab/>
        <w:t>Commissioner may investigate claims against Fidelity Account</w:t>
      </w:r>
      <w:bookmarkEnd w:id="120"/>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No. 23 of 2014 s. 106.]</w:t>
      </w:r>
    </w:p>
    <w:p>
      <w:pPr>
        <w:pStyle w:val="Heading2"/>
      </w:pPr>
      <w:bookmarkStart w:id="121" w:name="_Toc106011615"/>
      <w:bookmarkStart w:id="122" w:name="_Toc106011780"/>
      <w:bookmarkStart w:id="123" w:name="_Toc106097053"/>
      <w:r>
        <w:rPr>
          <w:rStyle w:val="CharPartNo"/>
        </w:rPr>
        <w:lastRenderedPageBreak/>
        <w:t>Part VA</w:t>
      </w:r>
      <w:r>
        <w:rPr>
          <w:rStyle w:val="CharDivNo"/>
        </w:rPr>
        <w:t> </w:t>
      </w:r>
      <w:r>
        <w:t>—</w:t>
      </w:r>
      <w:r>
        <w:rPr>
          <w:rStyle w:val="CharDivText"/>
        </w:rPr>
        <w:t> </w:t>
      </w:r>
      <w:r>
        <w:rPr>
          <w:rStyle w:val="CharPartText"/>
        </w:rPr>
        <w:t>Education and General Purpose Account</w:t>
      </w:r>
      <w:bookmarkEnd w:id="121"/>
      <w:bookmarkEnd w:id="122"/>
      <w:bookmarkEnd w:id="123"/>
    </w:p>
    <w:p>
      <w:pPr>
        <w:pStyle w:val="Footnoteheading"/>
        <w:rPr>
          <w:snapToGrid w:val="0"/>
        </w:rPr>
      </w:pPr>
      <w:r>
        <w:rPr>
          <w:snapToGrid w:val="0"/>
        </w:rPr>
        <w:tab/>
        <w:t>[Heading inserted: No. 59 of 1995 s. 80; amended: No. 77 of 2006 Sch. 1 cl. 156(11).]</w:t>
      </w:r>
    </w:p>
    <w:p>
      <w:pPr>
        <w:pStyle w:val="Heading5"/>
        <w:rPr>
          <w:snapToGrid w:val="0"/>
        </w:rPr>
      </w:pPr>
      <w:bookmarkStart w:id="124" w:name="_Toc106097054"/>
      <w:r>
        <w:rPr>
          <w:rStyle w:val="CharSectno"/>
        </w:rPr>
        <w:t>102A</w:t>
      </w:r>
      <w:r>
        <w:rPr>
          <w:snapToGrid w:val="0"/>
        </w:rPr>
        <w:t xml:space="preserve">. </w:t>
      </w:r>
      <w:r>
        <w:rPr>
          <w:snapToGrid w:val="0"/>
        </w:rPr>
        <w:tab/>
        <w:t>Account established; administration of account</w:t>
      </w:r>
      <w:bookmarkEnd w:id="124"/>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No. 59 of 1995 s. 80; amended: No. 77 of 2006 Sch. 1 cl. 156(2) and (12); No. 58 of 2010 s. 164.]</w:t>
      </w:r>
    </w:p>
    <w:p>
      <w:pPr>
        <w:pStyle w:val="Heading5"/>
        <w:rPr>
          <w:snapToGrid w:val="0"/>
        </w:rPr>
      </w:pPr>
      <w:bookmarkStart w:id="125" w:name="_Toc106097055"/>
      <w:r>
        <w:rPr>
          <w:rStyle w:val="CharSectno"/>
        </w:rPr>
        <w:t>102B</w:t>
      </w:r>
      <w:r>
        <w:rPr>
          <w:snapToGrid w:val="0"/>
        </w:rPr>
        <w:t xml:space="preserve">. </w:t>
      </w:r>
      <w:r>
        <w:rPr>
          <w:snapToGrid w:val="0"/>
        </w:rPr>
        <w:tab/>
        <w:t>Moneys to be credited to a</w:t>
      </w:r>
      <w:r>
        <w:t>ccount</w:t>
      </w:r>
      <w:bookmarkEnd w:id="125"/>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lastRenderedPageBreak/>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No. 59 of 1995 s. 80; amended: No. 55 of 2004 s. 1091; No. 77 of 2006 Sch. 1 cl. 156(2); No. 58 of 2010 s. 165.]</w:t>
      </w:r>
    </w:p>
    <w:p>
      <w:pPr>
        <w:pStyle w:val="Heading5"/>
        <w:rPr>
          <w:snapToGrid w:val="0"/>
        </w:rPr>
      </w:pPr>
      <w:bookmarkStart w:id="126" w:name="_Toc106097056"/>
      <w:r>
        <w:rPr>
          <w:rStyle w:val="CharSectno"/>
        </w:rPr>
        <w:t>102C</w:t>
      </w:r>
      <w:r>
        <w:rPr>
          <w:snapToGrid w:val="0"/>
        </w:rPr>
        <w:t xml:space="preserve">. </w:t>
      </w:r>
      <w:r>
        <w:rPr>
          <w:snapToGrid w:val="0"/>
        </w:rPr>
        <w:tab/>
        <w:t>Expenditure from a</w:t>
      </w:r>
      <w:r>
        <w:t>ccount</w:t>
      </w:r>
      <w:bookmarkEnd w:id="126"/>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No. 59 of 1995 s. 80; amended: No. 77 of 2006 Sch. 1 cl. 156(2); No. 58 of 2010 s. 166; No. 23 of 2014 s. 107.]</w:t>
      </w:r>
    </w:p>
    <w:p>
      <w:pPr>
        <w:pStyle w:val="Heading5"/>
        <w:rPr>
          <w:snapToGrid w:val="0"/>
        </w:rPr>
      </w:pPr>
      <w:bookmarkStart w:id="127" w:name="_Toc106097057"/>
      <w:r>
        <w:rPr>
          <w:rStyle w:val="CharSectno"/>
        </w:rPr>
        <w:t>102D</w:t>
      </w:r>
      <w:r>
        <w:rPr>
          <w:snapToGrid w:val="0"/>
        </w:rPr>
        <w:t xml:space="preserve">. </w:t>
      </w:r>
      <w:r>
        <w:rPr>
          <w:snapToGrid w:val="0"/>
        </w:rPr>
        <w:tab/>
        <w:t>Investment of moneys in a</w:t>
      </w:r>
      <w:r>
        <w:t>ccount</w:t>
      </w:r>
      <w:bookmarkEnd w:id="12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lastRenderedPageBreak/>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No. 59 of 1995 s. 80; amended: No. 77 of 2006 Sch. 1 cl. 156(2) and (13).]</w:t>
      </w:r>
    </w:p>
    <w:p>
      <w:pPr>
        <w:pStyle w:val="Heading2"/>
      </w:pPr>
      <w:bookmarkStart w:id="128" w:name="_Toc106011620"/>
      <w:bookmarkStart w:id="129" w:name="_Toc106011785"/>
      <w:bookmarkStart w:id="130" w:name="_Toc106097058"/>
      <w:r>
        <w:rPr>
          <w:rStyle w:val="CharPartNo"/>
        </w:rPr>
        <w:lastRenderedPageBreak/>
        <w:t>Part VI</w:t>
      </w:r>
      <w:r>
        <w:rPr>
          <w:rStyle w:val="CharDivNo"/>
        </w:rPr>
        <w:t> </w:t>
      </w:r>
      <w:r>
        <w:t>—</w:t>
      </w:r>
      <w:r>
        <w:rPr>
          <w:rStyle w:val="CharDivText"/>
        </w:rPr>
        <w:t> </w:t>
      </w:r>
      <w:r>
        <w:rPr>
          <w:rStyle w:val="CharPartText"/>
        </w:rPr>
        <w:t>Settlement Agents Interest Account</w:t>
      </w:r>
      <w:bookmarkEnd w:id="128"/>
      <w:bookmarkEnd w:id="129"/>
      <w:bookmarkEnd w:id="130"/>
    </w:p>
    <w:p>
      <w:pPr>
        <w:pStyle w:val="Footnoteheading"/>
        <w:rPr>
          <w:snapToGrid w:val="0"/>
        </w:rPr>
      </w:pPr>
      <w:r>
        <w:rPr>
          <w:snapToGrid w:val="0"/>
        </w:rPr>
        <w:tab/>
        <w:t>[Heading inserted: No. 59 of 1995 s. 81; amended: No. 58 of 2010 s. 167.]</w:t>
      </w:r>
    </w:p>
    <w:p>
      <w:pPr>
        <w:pStyle w:val="Heading5"/>
        <w:spacing w:before="180"/>
        <w:rPr>
          <w:snapToGrid w:val="0"/>
        </w:rPr>
      </w:pPr>
      <w:bookmarkStart w:id="131" w:name="_Toc106097059"/>
      <w:r>
        <w:rPr>
          <w:rStyle w:val="CharSectno"/>
        </w:rPr>
        <w:t>103</w:t>
      </w:r>
      <w:r>
        <w:rPr>
          <w:snapToGrid w:val="0"/>
        </w:rPr>
        <w:t>.</w:t>
      </w:r>
      <w:r>
        <w:rPr>
          <w:snapToGrid w:val="0"/>
        </w:rPr>
        <w:tab/>
        <w:t>Account established; administration of account</w:t>
      </w:r>
      <w:bookmarkEnd w:id="131"/>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No. 59 of 1995 s. 81; amended: No. 77 of 2006 Sch. 1 cl. 156(14); No. 46 of 2009 s. 15(3); No. 58 of 2010 s. 168.]</w:t>
      </w:r>
    </w:p>
    <w:p>
      <w:pPr>
        <w:pStyle w:val="Heading5"/>
        <w:rPr>
          <w:snapToGrid w:val="0"/>
        </w:rPr>
      </w:pPr>
      <w:bookmarkStart w:id="132" w:name="_Toc106097060"/>
      <w:r>
        <w:rPr>
          <w:rStyle w:val="CharSectno"/>
        </w:rPr>
        <w:t>104</w:t>
      </w:r>
      <w:r>
        <w:rPr>
          <w:snapToGrid w:val="0"/>
        </w:rPr>
        <w:t>.</w:t>
      </w:r>
      <w:r>
        <w:rPr>
          <w:snapToGrid w:val="0"/>
        </w:rPr>
        <w:tab/>
        <w:t>Moneys to be credited to a</w:t>
      </w:r>
      <w:r>
        <w:t>ccount</w:t>
      </w:r>
      <w:bookmarkEnd w:id="132"/>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No. 59 of 1995 s. 81; amended: No. 46 of 2009 s. 15(3).]</w:t>
      </w:r>
    </w:p>
    <w:p>
      <w:pPr>
        <w:pStyle w:val="Heading5"/>
        <w:rPr>
          <w:snapToGrid w:val="0"/>
        </w:rPr>
      </w:pPr>
      <w:bookmarkStart w:id="133" w:name="_Toc106097061"/>
      <w:r>
        <w:rPr>
          <w:rStyle w:val="CharSectno"/>
        </w:rPr>
        <w:lastRenderedPageBreak/>
        <w:t>105</w:t>
      </w:r>
      <w:r>
        <w:rPr>
          <w:snapToGrid w:val="0"/>
        </w:rPr>
        <w:t>.</w:t>
      </w:r>
      <w:r>
        <w:rPr>
          <w:snapToGrid w:val="0"/>
        </w:rPr>
        <w:tab/>
        <w:t>Expenditure from a</w:t>
      </w:r>
      <w:r>
        <w:t>ccount</w:t>
      </w:r>
      <w:bookmarkEnd w:id="133"/>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No. 59 of 1995 s. 81; amended: No. 77 of 2006 Sch. 1 cl. 156(2); No. 46 of 2009 s. 15(3).]</w:t>
      </w:r>
    </w:p>
    <w:p>
      <w:pPr>
        <w:pStyle w:val="Heading5"/>
        <w:rPr>
          <w:snapToGrid w:val="0"/>
        </w:rPr>
      </w:pPr>
      <w:bookmarkStart w:id="134" w:name="_Toc106097062"/>
      <w:r>
        <w:rPr>
          <w:rStyle w:val="CharSectno"/>
        </w:rPr>
        <w:t>106</w:t>
      </w:r>
      <w:r>
        <w:rPr>
          <w:snapToGrid w:val="0"/>
        </w:rPr>
        <w:t>.</w:t>
      </w:r>
      <w:r>
        <w:rPr>
          <w:snapToGrid w:val="0"/>
        </w:rPr>
        <w:tab/>
        <w:t>Investment of moneys in a</w:t>
      </w:r>
      <w:r>
        <w:t>ccount</w:t>
      </w:r>
      <w:bookmarkEnd w:id="134"/>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No. 59 of 1995 s. 81; amended: No. 77 of 2006 Sch. 1 cl. 156(15); No. 46 of 2009 s. 15(3).]</w:t>
      </w:r>
    </w:p>
    <w:p>
      <w:pPr>
        <w:pStyle w:val="Ednotesection"/>
        <w:tabs>
          <w:tab w:val="clear" w:pos="893"/>
          <w:tab w:val="left" w:pos="1140"/>
        </w:tabs>
      </w:pPr>
      <w:r>
        <w:t>[</w:t>
      </w:r>
      <w:r>
        <w:rPr>
          <w:b/>
        </w:rPr>
        <w:t>107, 108.</w:t>
      </w:r>
      <w:r>
        <w:tab/>
        <w:t>Deleted: No. 59 of 1995 s. 81.]</w:t>
      </w:r>
    </w:p>
    <w:p>
      <w:pPr>
        <w:pStyle w:val="Ednotesection"/>
      </w:pPr>
      <w:r>
        <w:t>[</w:t>
      </w:r>
      <w:r>
        <w:rPr>
          <w:b/>
        </w:rPr>
        <w:t>109.</w:t>
      </w:r>
      <w:r>
        <w:tab/>
        <w:t>Deleted: No. 98 of 1985 s. 3.]</w:t>
      </w:r>
    </w:p>
    <w:p>
      <w:pPr>
        <w:pStyle w:val="Heading2"/>
      </w:pPr>
      <w:bookmarkStart w:id="135" w:name="_Toc106011625"/>
      <w:bookmarkStart w:id="136" w:name="_Toc106011790"/>
      <w:bookmarkStart w:id="137" w:name="_Toc106097063"/>
      <w:r>
        <w:rPr>
          <w:rStyle w:val="CharPartNo"/>
        </w:rPr>
        <w:lastRenderedPageBreak/>
        <w:t>Part VII</w:t>
      </w:r>
      <w:r>
        <w:rPr>
          <w:rStyle w:val="CharDivNo"/>
        </w:rPr>
        <w:t> </w:t>
      </w:r>
      <w:r>
        <w:t>—</w:t>
      </w:r>
      <w:r>
        <w:rPr>
          <w:rStyle w:val="CharDivText"/>
        </w:rPr>
        <w:t> </w:t>
      </w:r>
      <w:r>
        <w:rPr>
          <w:rStyle w:val="CharPartText"/>
        </w:rPr>
        <w:t>Miscellaneous</w:t>
      </w:r>
      <w:bookmarkEnd w:id="135"/>
      <w:bookmarkEnd w:id="136"/>
      <w:bookmarkEnd w:id="137"/>
    </w:p>
    <w:p>
      <w:pPr>
        <w:pStyle w:val="Heading5"/>
        <w:rPr>
          <w:snapToGrid w:val="0"/>
        </w:rPr>
      </w:pPr>
      <w:bookmarkStart w:id="138" w:name="_Toc106097064"/>
      <w:r>
        <w:rPr>
          <w:rStyle w:val="CharSectno"/>
        </w:rPr>
        <w:t>110</w:t>
      </w:r>
      <w:r>
        <w:rPr>
          <w:snapToGrid w:val="0"/>
        </w:rPr>
        <w:t>.</w:t>
      </w:r>
      <w:r>
        <w:rPr>
          <w:snapToGrid w:val="0"/>
        </w:rPr>
        <w:tab/>
        <w:t>Registers of licensees etc., Commissioner to keep etc.</w:t>
      </w:r>
      <w:bookmarkEnd w:id="138"/>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No. 58 of 2010 s. 176.]</w:t>
      </w:r>
    </w:p>
    <w:p>
      <w:pPr>
        <w:pStyle w:val="Heading5"/>
      </w:pPr>
      <w:bookmarkStart w:id="139" w:name="_Toc106097065"/>
      <w:r>
        <w:rPr>
          <w:rStyle w:val="CharSectno"/>
        </w:rPr>
        <w:t>111A</w:t>
      </w:r>
      <w:r>
        <w:t>.</w:t>
      </w:r>
      <w:r>
        <w:tab/>
        <w:t>Offence to give false or misleading information</w:t>
      </w:r>
      <w:bookmarkEnd w:id="139"/>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keepNext/>
      </w:pPr>
      <w:r>
        <w:lastRenderedPageBreak/>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No. 44 of 2016 s. 41; amended: No. 25 of 2019 s. 87.]</w:t>
      </w:r>
    </w:p>
    <w:p>
      <w:pPr>
        <w:pStyle w:val="Heading5"/>
        <w:rPr>
          <w:snapToGrid w:val="0"/>
        </w:rPr>
      </w:pPr>
      <w:bookmarkStart w:id="140" w:name="_Toc106097066"/>
      <w:r>
        <w:rPr>
          <w:rStyle w:val="CharSectno"/>
        </w:rPr>
        <w:t>111</w:t>
      </w:r>
      <w:r>
        <w:rPr>
          <w:snapToGrid w:val="0"/>
        </w:rPr>
        <w:t>.</w:t>
      </w:r>
      <w:r>
        <w:rPr>
          <w:snapToGrid w:val="0"/>
        </w:rPr>
        <w:tab/>
        <w:t>Commissioner’s certificate</w:t>
      </w:r>
      <w:bookmarkEnd w:id="140"/>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No. 58 of 2010 s. 176; No. 23 of 2014 s. 108.]</w:t>
      </w:r>
    </w:p>
    <w:p>
      <w:pPr>
        <w:pStyle w:val="Heading5"/>
        <w:rPr>
          <w:snapToGrid w:val="0"/>
        </w:rPr>
      </w:pPr>
      <w:bookmarkStart w:id="141" w:name="_Toc106097067"/>
      <w:r>
        <w:rPr>
          <w:rStyle w:val="CharSectno"/>
        </w:rPr>
        <w:t>112</w:t>
      </w:r>
      <w:r>
        <w:rPr>
          <w:snapToGrid w:val="0"/>
        </w:rPr>
        <w:t>.</w:t>
      </w:r>
      <w:r>
        <w:rPr>
          <w:snapToGrid w:val="0"/>
        </w:rPr>
        <w:tab/>
        <w:t>Annual report by department</w:t>
      </w:r>
      <w:bookmarkEnd w:id="141"/>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lastRenderedPageBreak/>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No. 98 of 1985 s. 3; amended: No. 59 of 1995 s. 82; No. 55 of 2004 s. 1092; No. 77 of 2006 Sch. 1 cl. 156(16); No. 58 of 2010 s. 169.]</w:t>
      </w:r>
    </w:p>
    <w:p>
      <w:pPr>
        <w:pStyle w:val="Heading5"/>
        <w:rPr>
          <w:snapToGrid w:val="0"/>
        </w:rPr>
      </w:pPr>
      <w:bookmarkStart w:id="142" w:name="_Toc106097068"/>
      <w:r>
        <w:rPr>
          <w:rStyle w:val="CharSectno"/>
        </w:rPr>
        <w:t>113</w:t>
      </w:r>
      <w:r>
        <w:rPr>
          <w:snapToGrid w:val="0"/>
        </w:rPr>
        <w:t>.</w:t>
      </w:r>
      <w:r>
        <w:rPr>
          <w:snapToGrid w:val="0"/>
        </w:rPr>
        <w:tab/>
        <w:t>Reports by Commissioner to Minister</w:t>
      </w:r>
      <w:bookmarkEnd w:id="142"/>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No. 58 of 2010 s. 176.]</w:t>
      </w:r>
    </w:p>
    <w:p>
      <w:pPr>
        <w:pStyle w:val="Heading5"/>
        <w:rPr>
          <w:snapToGrid w:val="0"/>
        </w:rPr>
      </w:pPr>
      <w:bookmarkStart w:id="143" w:name="_Toc106097069"/>
      <w:r>
        <w:rPr>
          <w:rStyle w:val="CharSectno"/>
        </w:rPr>
        <w:t>114</w:t>
      </w:r>
      <w:r>
        <w:rPr>
          <w:snapToGrid w:val="0"/>
        </w:rPr>
        <w:t>.</w:t>
      </w:r>
      <w:r>
        <w:rPr>
          <w:snapToGrid w:val="0"/>
        </w:rPr>
        <w:tab/>
        <w:t>Refunds of fees, Commissioner’s powers as to</w:t>
      </w:r>
      <w:bookmarkEnd w:id="143"/>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No. 77 of 2006 Sch. 1 cl. 156(2); No. 58 of 2010 s. 170 and 176.]</w:t>
      </w:r>
    </w:p>
    <w:p>
      <w:pPr>
        <w:pStyle w:val="Heading5"/>
      </w:pPr>
      <w:bookmarkStart w:id="144" w:name="_Toc106097070"/>
      <w:r>
        <w:rPr>
          <w:rStyle w:val="CharSectno"/>
        </w:rPr>
        <w:lastRenderedPageBreak/>
        <w:t>115</w:t>
      </w:r>
      <w:r>
        <w:t>.</w:t>
      </w:r>
      <w:r>
        <w:tab/>
        <w:t>Protection from personal liability</w:t>
      </w:r>
      <w:bookmarkEnd w:id="144"/>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No. 58 of 2010 s. 171.]</w:t>
      </w:r>
    </w:p>
    <w:p>
      <w:pPr>
        <w:pStyle w:val="Heading5"/>
      </w:pPr>
      <w:bookmarkStart w:id="145" w:name="_Toc106097071"/>
      <w:r>
        <w:rPr>
          <w:rStyle w:val="CharSectno"/>
        </w:rPr>
        <w:t>116</w:t>
      </w:r>
      <w:r>
        <w:t>.</w:t>
      </w:r>
      <w:r>
        <w:tab/>
        <w:t>Confidentiality of information officially obtained</w:t>
      </w:r>
      <w:bookmarkEnd w:id="14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No. 58 of 2010 s. 172.]</w:t>
      </w:r>
    </w:p>
    <w:p>
      <w:pPr>
        <w:pStyle w:val="Heading5"/>
        <w:rPr>
          <w:snapToGrid w:val="0"/>
        </w:rPr>
      </w:pPr>
      <w:bookmarkStart w:id="146" w:name="_Toc106097072"/>
      <w:r>
        <w:rPr>
          <w:rStyle w:val="CharSectno"/>
        </w:rPr>
        <w:t>117</w:t>
      </w:r>
      <w:r>
        <w:rPr>
          <w:snapToGrid w:val="0"/>
        </w:rPr>
        <w:t>.</w:t>
      </w:r>
      <w:r>
        <w:rPr>
          <w:snapToGrid w:val="0"/>
        </w:rPr>
        <w:tab/>
        <w:t>Liability of directors of body corporate for defalcations</w:t>
      </w:r>
      <w:bookmarkEnd w:id="146"/>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47" w:name="_Toc106097073"/>
      <w:r>
        <w:rPr>
          <w:rStyle w:val="CharSectno"/>
        </w:rPr>
        <w:t>118</w:t>
      </w:r>
      <w:r>
        <w:rPr>
          <w:snapToGrid w:val="0"/>
        </w:rPr>
        <w:t>.</w:t>
      </w:r>
      <w:r>
        <w:rPr>
          <w:snapToGrid w:val="0"/>
        </w:rPr>
        <w:tab/>
        <w:t>Other rights and remedies not affected by this Act</w:t>
      </w:r>
      <w:bookmarkEnd w:id="14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8" w:name="_Toc106097074"/>
      <w:r>
        <w:rPr>
          <w:rStyle w:val="CharSectno"/>
        </w:rPr>
        <w:t>119</w:t>
      </w:r>
      <w:r>
        <w:rPr>
          <w:snapToGrid w:val="0"/>
        </w:rPr>
        <w:t>.</w:t>
      </w:r>
      <w:r>
        <w:rPr>
          <w:snapToGrid w:val="0"/>
        </w:rPr>
        <w:tab/>
        <w:t>Rights conferred by Act cannot be waived</w:t>
      </w:r>
      <w:bookmarkEnd w:id="14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9" w:name="_Toc106097075"/>
      <w:r>
        <w:rPr>
          <w:rStyle w:val="CharSectno"/>
        </w:rPr>
        <w:t>120</w:t>
      </w:r>
      <w:r>
        <w:rPr>
          <w:snapToGrid w:val="0"/>
        </w:rPr>
        <w:t>.</w:t>
      </w:r>
      <w:r>
        <w:rPr>
          <w:snapToGrid w:val="0"/>
        </w:rPr>
        <w:tab/>
        <w:t>General penalty for offences</w:t>
      </w:r>
      <w:bookmarkEnd w:id="149"/>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lastRenderedPageBreak/>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No. 59 of 1995 s. 85.]</w:t>
      </w:r>
    </w:p>
    <w:p>
      <w:pPr>
        <w:pStyle w:val="Heading5"/>
        <w:rPr>
          <w:snapToGrid w:val="0"/>
        </w:rPr>
      </w:pPr>
      <w:bookmarkStart w:id="150" w:name="_Toc106097076"/>
      <w:r>
        <w:rPr>
          <w:rStyle w:val="CharSectno"/>
        </w:rPr>
        <w:t>121</w:t>
      </w:r>
      <w:r>
        <w:rPr>
          <w:snapToGrid w:val="0"/>
        </w:rPr>
        <w:t>.</w:t>
      </w:r>
      <w:r>
        <w:rPr>
          <w:snapToGrid w:val="0"/>
        </w:rPr>
        <w:tab/>
        <w:t>Proceedings for offences</w:t>
      </w:r>
      <w:bookmarkEnd w:id="150"/>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No. 59 of 2004 s. 141; No. 84 of 2004 s. 80; No. 58 of 2010 s. 176.]</w:t>
      </w:r>
    </w:p>
    <w:p>
      <w:pPr>
        <w:pStyle w:val="Heading5"/>
        <w:rPr>
          <w:snapToGrid w:val="0"/>
        </w:rPr>
      </w:pPr>
      <w:bookmarkStart w:id="151" w:name="_Toc106097077"/>
      <w:r>
        <w:rPr>
          <w:rStyle w:val="CharSectno"/>
        </w:rPr>
        <w:t>122</w:t>
      </w:r>
      <w:r>
        <w:rPr>
          <w:snapToGrid w:val="0"/>
        </w:rPr>
        <w:t>.</w:t>
      </w:r>
      <w:r>
        <w:rPr>
          <w:snapToGrid w:val="0"/>
        </w:rPr>
        <w:tab/>
        <w:t>Forms</w:t>
      </w:r>
      <w:bookmarkEnd w:id="151"/>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No. 58 of 2010 s. 176.]</w:t>
      </w:r>
    </w:p>
    <w:p>
      <w:pPr>
        <w:pStyle w:val="Heading5"/>
        <w:rPr>
          <w:snapToGrid w:val="0"/>
        </w:rPr>
      </w:pPr>
      <w:bookmarkStart w:id="152" w:name="_Toc106097078"/>
      <w:r>
        <w:rPr>
          <w:rStyle w:val="CharSectno"/>
        </w:rPr>
        <w:t>123</w:t>
      </w:r>
      <w:r>
        <w:rPr>
          <w:snapToGrid w:val="0"/>
        </w:rPr>
        <w:t>.</w:t>
      </w:r>
      <w:r>
        <w:rPr>
          <w:snapToGrid w:val="0"/>
        </w:rPr>
        <w:tab/>
        <w:t>Regulations</w:t>
      </w:r>
      <w:bookmarkEnd w:id="15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lastRenderedPageBreak/>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lastRenderedPageBreak/>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No. 65 of 1987 s. 43; No. 59 of 1995 s. 83 and 85; No. 55 of 2004 s. 1093; No. 77 of 2006 Sch. 1 cl. 156(2); No. 58 of 2010 s. 173 and 176.]</w:t>
      </w:r>
    </w:p>
    <w:p>
      <w:pPr>
        <w:pStyle w:val="Heading2"/>
      </w:pPr>
      <w:bookmarkStart w:id="153" w:name="_Toc106011641"/>
      <w:bookmarkStart w:id="154" w:name="_Toc106011806"/>
      <w:bookmarkStart w:id="155" w:name="_Toc106097079"/>
      <w:r>
        <w:rPr>
          <w:rStyle w:val="CharPartNo"/>
        </w:rPr>
        <w:lastRenderedPageBreak/>
        <w:t>Part VIII</w:t>
      </w:r>
      <w:r>
        <w:t> — </w:t>
      </w:r>
      <w:r>
        <w:rPr>
          <w:rStyle w:val="CharPartText"/>
        </w:rPr>
        <w:t>Savings and transitional</w:t>
      </w:r>
      <w:bookmarkEnd w:id="153"/>
      <w:bookmarkEnd w:id="154"/>
      <w:bookmarkEnd w:id="155"/>
    </w:p>
    <w:p>
      <w:pPr>
        <w:pStyle w:val="Footnoteheading"/>
      </w:pPr>
      <w:r>
        <w:tab/>
        <w:t>[Heading inserted: No. 58 of 2010 s. 174.]</w:t>
      </w:r>
    </w:p>
    <w:p>
      <w:pPr>
        <w:pStyle w:val="Heading5"/>
      </w:pPr>
      <w:bookmarkStart w:id="156" w:name="_Toc106097080"/>
      <w:r>
        <w:rPr>
          <w:rStyle w:val="CharSectno"/>
        </w:rPr>
        <w:t>124</w:t>
      </w:r>
      <w:r>
        <w:t>.</w:t>
      </w:r>
      <w:r>
        <w:tab/>
        <w:t>Terms used</w:t>
      </w:r>
      <w:bookmarkEnd w:id="15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No. 58 of 2010 s. 174.]</w:t>
      </w:r>
    </w:p>
    <w:p>
      <w:pPr>
        <w:pStyle w:val="Heading5"/>
      </w:pPr>
      <w:bookmarkStart w:id="157" w:name="_Toc106097081"/>
      <w:r>
        <w:rPr>
          <w:rStyle w:val="CharSectno"/>
        </w:rPr>
        <w:t>125</w:t>
      </w:r>
      <w:r>
        <w:t>.</w:t>
      </w:r>
      <w:r>
        <w:tab/>
        <w:t>Former Board abolished</w:t>
      </w:r>
      <w:bookmarkEnd w:id="157"/>
    </w:p>
    <w:p>
      <w:pPr>
        <w:pStyle w:val="Subsection"/>
      </w:pPr>
      <w:r>
        <w:tab/>
      </w:r>
      <w:r>
        <w:tab/>
        <w:t>Subject to sections 132 and 133, at the beginning of the commencement day, the former Board is abolished and its members go out of office.</w:t>
      </w:r>
    </w:p>
    <w:p>
      <w:pPr>
        <w:pStyle w:val="Footnotesection"/>
      </w:pPr>
      <w:r>
        <w:tab/>
        <w:t>[Section 125 inserted: No. 58 of 2010 s. 174.]</w:t>
      </w:r>
    </w:p>
    <w:p>
      <w:pPr>
        <w:pStyle w:val="Heading5"/>
      </w:pPr>
      <w:bookmarkStart w:id="158" w:name="_Toc106097082"/>
      <w:r>
        <w:rPr>
          <w:rStyle w:val="CharSectno"/>
        </w:rPr>
        <w:t>126</w:t>
      </w:r>
      <w:r>
        <w:t>.</w:t>
      </w:r>
      <w:r>
        <w:tab/>
        <w:t>References to former Board</w:t>
      </w:r>
      <w:bookmarkEnd w:id="15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No. 58 of 2010 s. 174.]</w:t>
      </w:r>
    </w:p>
    <w:p>
      <w:pPr>
        <w:pStyle w:val="Heading5"/>
      </w:pPr>
      <w:bookmarkStart w:id="159" w:name="_Toc106097083"/>
      <w:r>
        <w:rPr>
          <w:rStyle w:val="CharSectno"/>
        </w:rPr>
        <w:lastRenderedPageBreak/>
        <w:t>127</w:t>
      </w:r>
      <w:r>
        <w:t>.</w:t>
      </w:r>
      <w:r>
        <w:tab/>
        <w:t>Immunity continues</w:t>
      </w:r>
      <w:bookmarkEnd w:id="15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No. 58 of 2010 s. 174.]</w:t>
      </w:r>
    </w:p>
    <w:p>
      <w:pPr>
        <w:pStyle w:val="Heading5"/>
      </w:pPr>
      <w:bookmarkStart w:id="160" w:name="_Toc106097084"/>
      <w:r>
        <w:rPr>
          <w:rStyle w:val="CharSectno"/>
        </w:rPr>
        <w:t>128</w:t>
      </w:r>
      <w:r>
        <w:t>.</w:t>
      </w:r>
      <w:r>
        <w:tab/>
        <w:t>Notices and rules made by former Board</w:t>
      </w:r>
      <w:bookmarkEnd w:id="160"/>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No. 58 of 2010 s. 174.]</w:t>
      </w:r>
    </w:p>
    <w:p>
      <w:pPr>
        <w:pStyle w:val="Heading5"/>
      </w:pPr>
      <w:bookmarkStart w:id="161" w:name="_Toc106097085"/>
      <w:r>
        <w:rPr>
          <w:rStyle w:val="CharSectno"/>
        </w:rPr>
        <w:t>129</w:t>
      </w:r>
      <w:r>
        <w:t>.</w:t>
      </w:r>
      <w:r>
        <w:tab/>
        <w:t>References to former Registrar</w:t>
      </w:r>
      <w:bookmarkEnd w:id="161"/>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No. 58 of 2010 s. 174.]</w:t>
      </w:r>
    </w:p>
    <w:p>
      <w:pPr>
        <w:pStyle w:val="Heading5"/>
      </w:pPr>
      <w:bookmarkStart w:id="162" w:name="_Toc106097086"/>
      <w:r>
        <w:rPr>
          <w:rStyle w:val="CharSectno"/>
        </w:rPr>
        <w:lastRenderedPageBreak/>
        <w:t>130</w:t>
      </w:r>
      <w:r>
        <w:t>.</w:t>
      </w:r>
      <w:r>
        <w:tab/>
        <w:t>Unfinished investigations by former Board</w:t>
      </w:r>
      <w:bookmarkEnd w:id="162"/>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No. 58 of 2010 s. 174.]</w:t>
      </w:r>
    </w:p>
    <w:p>
      <w:pPr>
        <w:pStyle w:val="Heading5"/>
      </w:pPr>
      <w:bookmarkStart w:id="163" w:name="_Toc106097087"/>
      <w:r>
        <w:rPr>
          <w:rStyle w:val="CharSectno"/>
        </w:rPr>
        <w:t>131</w:t>
      </w:r>
      <w:r>
        <w:t>.</w:t>
      </w:r>
      <w:r>
        <w:tab/>
        <w:t>Unfinished proceedings by former Board</w:t>
      </w:r>
      <w:bookmarkEnd w:id="163"/>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No. 58 of 2010 s. 174.]</w:t>
      </w:r>
    </w:p>
    <w:p>
      <w:pPr>
        <w:pStyle w:val="Heading5"/>
      </w:pPr>
      <w:bookmarkStart w:id="164" w:name="_Toc106097088"/>
      <w:r>
        <w:rPr>
          <w:rStyle w:val="CharSectno"/>
        </w:rPr>
        <w:t>132</w:t>
      </w:r>
      <w:r>
        <w:t>.</w:t>
      </w:r>
      <w:r>
        <w:tab/>
        <w:t>Winding</w:t>
      </w:r>
      <w:r>
        <w:noBreakHyphen/>
        <w:t>up former Board</w:t>
      </w:r>
      <w:bookmarkEnd w:id="164"/>
    </w:p>
    <w:p>
      <w:pPr>
        <w:pStyle w:val="Subsection"/>
      </w:pPr>
      <w:r>
        <w:tab/>
      </w:r>
      <w:r>
        <w:tab/>
        <w:t>On and after the commencement day —</w:t>
      </w:r>
    </w:p>
    <w:p>
      <w:pPr>
        <w:pStyle w:val="Indenta"/>
      </w:pPr>
      <w:r>
        <w:tab/>
        <w:t>(a)</w:t>
      </w:r>
      <w:r>
        <w:tab/>
        <w:t xml:space="preserve">the Commissioner is to take control of all registers, documents, books and other records (however compiled, recorded or stored) relating to the former Board and the </w:t>
      </w:r>
      <w:r>
        <w:lastRenderedPageBreak/>
        <w:t>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No. 58 of 2010 s. 174.]</w:t>
      </w:r>
    </w:p>
    <w:p>
      <w:pPr>
        <w:pStyle w:val="Heading5"/>
        <w:spacing w:before="700"/>
      </w:pPr>
      <w:bookmarkStart w:id="165" w:name="_Toc106097089"/>
      <w:r>
        <w:rPr>
          <w:rStyle w:val="CharSectno"/>
        </w:rPr>
        <w:lastRenderedPageBreak/>
        <w:t>133</w:t>
      </w:r>
      <w:r>
        <w:t>.</w:t>
      </w:r>
      <w:r>
        <w:tab/>
        <w:t>Final report by former Board</w:t>
      </w:r>
      <w:bookmarkEnd w:id="165"/>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No. 58 of 2010 s. 174.]</w:t>
      </w:r>
    </w:p>
    <w:p>
      <w:pPr>
        <w:pStyle w:val="Heading5"/>
      </w:pPr>
      <w:bookmarkStart w:id="166" w:name="_Toc106097090"/>
      <w:r>
        <w:rPr>
          <w:rStyle w:val="CharSectno"/>
        </w:rPr>
        <w:t>134</w:t>
      </w:r>
      <w:r>
        <w:t>.</w:t>
      </w:r>
      <w:r>
        <w:tab/>
        <w:t>Staff of former Board</w:t>
      </w:r>
      <w:bookmarkEnd w:id="166"/>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No. 58 of 2010 s. 174.]</w:t>
      </w:r>
    </w:p>
    <w:p>
      <w:pPr>
        <w:pStyle w:val="Heading5"/>
      </w:pPr>
      <w:bookmarkStart w:id="167" w:name="_Toc106097091"/>
      <w:r>
        <w:rPr>
          <w:rStyle w:val="CharSectno"/>
        </w:rPr>
        <w:t>135</w:t>
      </w:r>
      <w:r>
        <w:t>.</w:t>
      </w:r>
      <w:r>
        <w:tab/>
        <w:t>Transitional regulations</w:t>
      </w:r>
      <w:bookmarkEnd w:id="16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w:t>
      </w:r>
      <w:r>
        <w:lastRenderedPageBreak/>
        <w:t xml:space="preserve">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No. 58 of 2010 s. 174.]</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68" w:name="_Toc106011654"/>
      <w:bookmarkStart w:id="169" w:name="_Toc106011819"/>
      <w:bookmarkStart w:id="170" w:name="_Toc106097092"/>
      <w:r>
        <w:rPr>
          <w:rStyle w:val="CharSchNo"/>
          <w:rFonts w:eastAsia="MS Mincho"/>
        </w:rPr>
        <w:lastRenderedPageBreak/>
        <w:t>Schedule 1</w:t>
      </w:r>
      <w:r>
        <w:rPr>
          <w:rFonts w:eastAsia="MS Mincho"/>
        </w:rPr>
        <w:t> — </w:t>
      </w:r>
      <w:r>
        <w:rPr>
          <w:rStyle w:val="CharSchText"/>
          <w:rFonts w:eastAsia="MS Mincho"/>
        </w:rPr>
        <w:t>Grant of licence</w:t>
      </w:r>
      <w:bookmarkEnd w:id="168"/>
      <w:bookmarkEnd w:id="169"/>
      <w:bookmarkEnd w:id="170"/>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No. 19 of 2010 s. 35(2).]</w:t>
      </w:r>
    </w:p>
    <w:p>
      <w:pPr>
        <w:pStyle w:val="yHeading3"/>
        <w:rPr>
          <w:rFonts w:eastAsia="MS Mincho"/>
        </w:rPr>
      </w:pPr>
      <w:bookmarkStart w:id="171" w:name="_Toc106011655"/>
      <w:bookmarkStart w:id="172" w:name="_Toc106011820"/>
      <w:bookmarkStart w:id="173" w:name="_Toc106097093"/>
      <w:r>
        <w:rPr>
          <w:rStyle w:val="CharSDivNo"/>
          <w:rFonts w:eastAsia="MS Mincho"/>
        </w:rPr>
        <w:t>Division 1</w:t>
      </w:r>
      <w:r>
        <w:rPr>
          <w:rFonts w:eastAsia="MS Mincho"/>
          <w:b w:val="0"/>
        </w:rPr>
        <w:t> — </w:t>
      </w:r>
      <w:r>
        <w:rPr>
          <w:rStyle w:val="CharSDivText"/>
          <w:rFonts w:eastAsia="MS Mincho"/>
        </w:rPr>
        <w:t>Qualifications</w:t>
      </w:r>
      <w:bookmarkEnd w:id="171"/>
      <w:bookmarkEnd w:id="172"/>
      <w:bookmarkEnd w:id="173"/>
    </w:p>
    <w:p>
      <w:pPr>
        <w:pStyle w:val="yFootnoteheading"/>
        <w:rPr>
          <w:rFonts w:eastAsia="MS Mincho"/>
        </w:rPr>
      </w:pPr>
      <w:r>
        <w:rPr>
          <w:rFonts w:eastAsia="MS Mincho"/>
        </w:rPr>
        <w:tab/>
        <w:t>[Heading inserted: No. 19 of 2010 s. 35(2).]</w:t>
      </w:r>
    </w:p>
    <w:p>
      <w:pPr>
        <w:pStyle w:val="yHeading5"/>
        <w:outlineLvl w:val="0"/>
        <w:rPr>
          <w:snapToGrid w:val="0"/>
        </w:rPr>
      </w:pPr>
      <w:bookmarkStart w:id="174" w:name="_Toc106097094"/>
      <w:r>
        <w:rPr>
          <w:rStyle w:val="CharSClsNo"/>
        </w:rPr>
        <w:t>1</w:t>
      </w:r>
      <w:r>
        <w:rPr>
          <w:snapToGrid w:val="0"/>
        </w:rPr>
        <w:t>.</w:t>
      </w:r>
      <w:r>
        <w:rPr>
          <w:snapToGrid w:val="0"/>
        </w:rPr>
        <w:tab/>
        <w:t>Real estate settlement agent</w:t>
      </w:r>
      <w:bookmarkEnd w:id="174"/>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lastRenderedPageBreak/>
        <w:tab/>
        <w:t>[(2)</w:t>
      </w:r>
      <w:r>
        <w:tab/>
        <w:t>deleted]</w:t>
      </w:r>
    </w:p>
    <w:p>
      <w:pPr>
        <w:pStyle w:val="yFootnotesection"/>
        <w:keepLines w:val="0"/>
      </w:pPr>
      <w:r>
        <w:tab/>
        <w:t>[Clause 1 amended: No. 64 of 1982 s. 5(a); No. 28 of 2003 s. 183(1); No. 58 of 2010 s. 175 and 176.]</w:t>
      </w:r>
    </w:p>
    <w:p>
      <w:pPr>
        <w:pStyle w:val="yHeading5"/>
        <w:outlineLvl w:val="0"/>
      </w:pPr>
      <w:bookmarkStart w:id="175" w:name="_Toc106097095"/>
      <w:r>
        <w:rPr>
          <w:rStyle w:val="CharSClsNo"/>
        </w:rPr>
        <w:t>2</w:t>
      </w:r>
      <w:r>
        <w:t xml:space="preserve">. </w:t>
      </w:r>
      <w:r>
        <w:tab/>
        <w:t>Business settlement agent</w:t>
      </w:r>
      <w:bookmarkEnd w:id="17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No. 64 of 1982 s. 5(b); No. 28 of 2003 s. 183(2); No. 58 of 2010 s. 175 and 176.]</w:t>
      </w:r>
    </w:p>
    <w:p>
      <w:pPr>
        <w:pStyle w:val="yHeading5"/>
        <w:outlineLvl w:val="0"/>
      </w:pPr>
      <w:bookmarkStart w:id="176" w:name="_Toc106097096"/>
      <w:r>
        <w:rPr>
          <w:rStyle w:val="CharSClsNo"/>
        </w:rPr>
        <w:lastRenderedPageBreak/>
        <w:t>3</w:t>
      </w:r>
      <w:r>
        <w:t xml:space="preserve">. </w:t>
      </w:r>
      <w:r>
        <w:tab/>
        <w:t>Licence by reason of qualification under cl. 1(1)(c) and 2(1)(c)</w:t>
      </w:r>
      <w:bookmarkEnd w:id="176"/>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77" w:name="_Toc106097097"/>
      <w:r>
        <w:rPr>
          <w:rStyle w:val="CharSClsNo"/>
        </w:rPr>
        <w:t>4</w:t>
      </w:r>
      <w:r>
        <w:t>.</w:t>
      </w:r>
      <w:r>
        <w:tab/>
        <w:t>Licence by reason of qualification under cl. 1(1)(d) and 2(1)(d)</w:t>
      </w:r>
      <w:bookmarkEnd w:id="177"/>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183(3); No. 58 of 2010 s. 176.]</w:t>
      </w:r>
    </w:p>
    <w:p>
      <w:pPr>
        <w:pStyle w:val="yHeading5"/>
        <w:outlineLvl w:val="0"/>
      </w:pPr>
      <w:bookmarkStart w:id="178" w:name="_Toc106097098"/>
      <w:r>
        <w:rPr>
          <w:rStyle w:val="CharSClsNo"/>
        </w:rPr>
        <w:t>5</w:t>
      </w:r>
      <w:r>
        <w:t xml:space="preserve">. </w:t>
      </w:r>
      <w:r>
        <w:tab/>
        <w:t>Dead or incapacitated licensee, conduct of business of</w:t>
      </w:r>
      <w:bookmarkEnd w:id="178"/>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lastRenderedPageBreak/>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183(4); No. 58 of 2010 s. 176.]</w:t>
      </w:r>
    </w:p>
    <w:p>
      <w:pPr>
        <w:pStyle w:val="yHeading3"/>
        <w:rPr>
          <w:rFonts w:eastAsia="MS Mincho"/>
        </w:rPr>
      </w:pPr>
      <w:bookmarkStart w:id="179" w:name="_Toc106011661"/>
      <w:bookmarkStart w:id="180" w:name="_Toc106011826"/>
      <w:bookmarkStart w:id="181" w:name="_Toc106097099"/>
      <w:r>
        <w:rPr>
          <w:rStyle w:val="CharSDivNo"/>
          <w:rFonts w:eastAsia="MS Mincho"/>
        </w:rPr>
        <w:t>Division 2</w:t>
      </w:r>
      <w:r>
        <w:rPr>
          <w:rFonts w:eastAsia="MS Mincho"/>
          <w:b w:val="0"/>
        </w:rPr>
        <w:t> — </w:t>
      </w:r>
      <w:r>
        <w:rPr>
          <w:rStyle w:val="CharSDivText"/>
          <w:rFonts w:eastAsia="MS Mincho"/>
        </w:rPr>
        <w:t>Disqualification</w:t>
      </w:r>
      <w:bookmarkEnd w:id="179"/>
      <w:bookmarkEnd w:id="180"/>
      <w:bookmarkEnd w:id="181"/>
    </w:p>
    <w:p>
      <w:pPr>
        <w:pStyle w:val="yFootnoteheading"/>
        <w:rPr>
          <w:rFonts w:eastAsia="MS Mincho"/>
        </w:rPr>
      </w:pPr>
      <w:r>
        <w:rPr>
          <w:rFonts w:eastAsia="MS Mincho"/>
        </w:rPr>
        <w:tab/>
        <w:t>[Heading inserted: No. 19 of 2010 s. 35(3).]</w:t>
      </w:r>
    </w:p>
    <w:p>
      <w:pPr>
        <w:pStyle w:val="yHeading5"/>
        <w:outlineLvl w:val="0"/>
      </w:pPr>
      <w:bookmarkStart w:id="182" w:name="_Toc106097100"/>
      <w:r>
        <w:rPr>
          <w:rStyle w:val="CharSClsNo"/>
        </w:rPr>
        <w:t>6</w:t>
      </w:r>
      <w:r>
        <w:t>.</w:t>
      </w:r>
      <w:r>
        <w:tab/>
        <w:t>Term used: business licence</w:t>
      </w:r>
      <w:bookmarkEnd w:id="182"/>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3</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No. 14 of 2010 s. 79.]</w:t>
      </w:r>
    </w:p>
    <w:p>
      <w:pPr>
        <w:pStyle w:val="yHeading5"/>
        <w:spacing w:before="160"/>
        <w:outlineLvl w:val="0"/>
      </w:pPr>
      <w:bookmarkStart w:id="183" w:name="_Toc106097101"/>
      <w:r>
        <w:rPr>
          <w:rStyle w:val="CharSClsNo"/>
        </w:rPr>
        <w:t>7</w:t>
      </w:r>
      <w:r>
        <w:t xml:space="preserve">. </w:t>
      </w:r>
      <w:r>
        <w:tab/>
        <w:t>Natural persons, disqualification of</w:t>
      </w:r>
      <w:bookmarkEnd w:id="183"/>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lastRenderedPageBreak/>
        <w:tab/>
        <w:t>(c)</w:t>
      </w:r>
      <w:r>
        <w:rPr>
          <w:snapToGrid w:val="0"/>
        </w:rPr>
        <w:tab/>
        <w:t>the applicant has been struck off the roll of legal practitioners in this State or elsewhere in the Commonwealth.</w:t>
      </w:r>
    </w:p>
    <w:p>
      <w:pPr>
        <w:pStyle w:val="yFootnotesection"/>
      </w:pPr>
      <w:r>
        <w:tab/>
        <w:t>[Clause 7 amended: No. 58 of 2010 s. 176.]</w:t>
      </w:r>
    </w:p>
    <w:p>
      <w:pPr>
        <w:pStyle w:val="yHeading5"/>
        <w:spacing w:before="160"/>
        <w:outlineLvl w:val="0"/>
      </w:pPr>
      <w:bookmarkStart w:id="184" w:name="_Toc106097102"/>
      <w:r>
        <w:rPr>
          <w:rStyle w:val="CharSClsNo"/>
        </w:rPr>
        <w:t>8</w:t>
      </w:r>
      <w:r>
        <w:t xml:space="preserve">. </w:t>
      </w:r>
      <w:r>
        <w:tab/>
        <w:t>Bodies corporate, disqualification of</w:t>
      </w:r>
      <w:bookmarkEnd w:id="184"/>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No. 58 of 2010 s. 176.]</w:t>
      </w:r>
    </w:p>
    <w:p>
      <w:pPr>
        <w:pStyle w:val="yHeading5"/>
        <w:outlineLvl w:val="0"/>
      </w:pPr>
      <w:bookmarkStart w:id="185" w:name="_Toc106097103"/>
      <w:r>
        <w:rPr>
          <w:rStyle w:val="CharSClsNo"/>
        </w:rPr>
        <w:t>9</w:t>
      </w:r>
      <w:r>
        <w:t xml:space="preserve">. </w:t>
      </w:r>
      <w:r>
        <w:tab/>
        <w:t>Firms, disqualification of</w:t>
      </w:r>
      <w:bookmarkEnd w:id="185"/>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lastRenderedPageBreak/>
        <w:tab/>
        <w:t>[Clause 9 amended: No. 58 of 2010 s. 176.]</w:t>
      </w:r>
    </w:p>
    <w:p>
      <w:pPr>
        <w:pStyle w:val="yHeading3"/>
      </w:pPr>
      <w:bookmarkStart w:id="186" w:name="_Toc106011666"/>
      <w:bookmarkStart w:id="187" w:name="_Toc106011831"/>
      <w:bookmarkStart w:id="188" w:name="_Toc106097104"/>
      <w:r>
        <w:rPr>
          <w:rStyle w:val="CharSDivNo"/>
        </w:rPr>
        <w:t>Division 3</w:t>
      </w:r>
      <w:r>
        <w:t> — </w:t>
      </w:r>
      <w:r>
        <w:rPr>
          <w:rStyle w:val="CharSDivText"/>
        </w:rPr>
        <w:t>Temporary arrangements</w:t>
      </w:r>
      <w:bookmarkEnd w:id="186"/>
      <w:bookmarkEnd w:id="187"/>
      <w:bookmarkEnd w:id="188"/>
    </w:p>
    <w:p>
      <w:pPr>
        <w:pStyle w:val="yFootnoteheading"/>
        <w:rPr>
          <w:rFonts w:eastAsia="MS Mincho"/>
        </w:rPr>
      </w:pPr>
      <w:r>
        <w:rPr>
          <w:rFonts w:eastAsia="MS Mincho"/>
        </w:rPr>
        <w:tab/>
        <w:t>[Heading inserted: No. 19 of 2010 s. 35(4).]</w:t>
      </w:r>
    </w:p>
    <w:p>
      <w:pPr>
        <w:pStyle w:val="yHeading5"/>
        <w:outlineLvl w:val="0"/>
      </w:pPr>
      <w:bookmarkStart w:id="189" w:name="_Toc106097105"/>
      <w:r>
        <w:rPr>
          <w:rStyle w:val="CharSClsNo"/>
        </w:rPr>
        <w:t>10</w:t>
      </w:r>
      <w:r>
        <w:t xml:space="preserve">. </w:t>
      </w:r>
      <w:r>
        <w:tab/>
        <w:t>Death or withdrawal of partner in firm or director of body corporate, Commissioner to be notified etc.</w:t>
      </w:r>
      <w:bookmarkEnd w:id="189"/>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No. 58 of 2010 s. 176.]</w:t>
      </w:r>
    </w:p>
    <w:p>
      <w:pPr>
        <w:pStyle w:val="yScheduleHeading"/>
        <w:outlineLvl w:val="0"/>
      </w:pPr>
      <w:bookmarkStart w:id="190" w:name="_Toc106011668"/>
      <w:bookmarkStart w:id="191" w:name="_Toc106011833"/>
      <w:bookmarkStart w:id="192" w:name="_Toc106097106"/>
      <w:r>
        <w:rPr>
          <w:rStyle w:val="CharSchNo"/>
        </w:rPr>
        <w:lastRenderedPageBreak/>
        <w:t>Schedule 2</w:t>
      </w:r>
      <w:r>
        <w:rPr>
          <w:rStyle w:val="CharSDivNo"/>
        </w:rPr>
        <w:t> </w:t>
      </w:r>
      <w:r>
        <w:t>—</w:t>
      </w:r>
      <w:r>
        <w:rPr>
          <w:rStyle w:val="CharSDivText"/>
        </w:rPr>
        <w:t xml:space="preserve"> </w:t>
      </w:r>
      <w:r>
        <w:rPr>
          <w:rStyle w:val="CharSchText"/>
        </w:rPr>
        <w:t>Functions of a settlement agent</w:t>
      </w:r>
      <w:bookmarkEnd w:id="190"/>
      <w:bookmarkEnd w:id="191"/>
      <w:bookmarkEnd w:id="192"/>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No. 19 of 2010 s. 35(5).]</w:t>
      </w:r>
    </w:p>
    <w:p>
      <w:pPr>
        <w:pStyle w:val="yHeading5"/>
        <w:outlineLvl w:val="0"/>
      </w:pPr>
      <w:bookmarkStart w:id="193" w:name="_Toc106097107"/>
      <w:r>
        <w:rPr>
          <w:rStyle w:val="CharSClsNo"/>
        </w:rPr>
        <w:t>1</w:t>
      </w:r>
      <w:r>
        <w:t>.</w:t>
      </w:r>
      <w:r>
        <w:tab/>
        <w:t>Real estate settlement agent</w:t>
      </w:r>
      <w:bookmarkEnd w:id="193"/>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lastRenderedPageBreak/>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lastRenderedPageBreak/>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4</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pPr>
      <w:r>
        <w:tab/>
        <w:t>(iia)</w:t>
      </w:r>
      <w:r>
        <w:tab/>
        <w:t xml:space="preserve">the </w:t>
      </w:r>
      <w:r>
        <w:rPr>
          <w:i/>
        </w:rPr>
        <w:t>Community Titles Act 2018</w:t>
      </w:r>
      <w: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No. 58 of 1995 s. 98; No. 14 of 1996 s. 4; No. 62 of 1996 s. 5(1); No. 81 of 1996 s. 153(1); No. 60 of 2006 s. 158; No. 12 of 2008 Sch. 1 cl. 34; No. 2 of 2014 s. 58; No. 32 of 2018 s. 249.]</w:t>
      </w:r>
    </w:p>
    <w:p>
      <w:pPr>
        <w:pStyle w:val="yHeading5"/>
        <w:outlineLvl w:val="0"/>
      </w:pPr>
      <w:bookmarkStart w:id="194" w:name="_Toc106097108"/>
      <w:r>
        <w:rPr>
          <w:rStyle w:val="CharSClsNo"/>
        </w:rPr>
        <w:t>2</w:t>
      </w:r>
      <w:r>
        <w:t xml:space="preserve">. </w:t>
      </w:r>
      <w:r>
        <w:tab/>
        <w:t>Business settlement agent</w:t>
      </w:r>
      <w:bookmarkEnd w:id="194"/>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lastRenderedPageBreak/>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96" w:name="_Toc106011671"/>
      <w:bookmarkStart w:id="197" w:name="_Toc106011836"/>
      <w:bookmarkStart w:id="198" w:name="_Toc106097109"/>
      <w:r>
        <w:lastRenderedPageBreak/>
        <w:t>Notes</w:t>
      </w:r>
      <w:bookmarkEnd w:id="196"/>
      <w:bookmarkEnd w:id="197"/>
      <w:bookmarkEnd w:id="198"/>
    </w:p>
    <w:p>
      <w:pPr>
        <w:pStyle w:val="nStatement"/>
      </w:pPr>
      <w:r>
        <w:t xml:space="preserve">This is a compilation of the </w:t>
      </w:r>
      <w:r>
        <w:rPr>
          <w:i/>
          <w:noProof/>
        </w:rPr>
        <w:t>Settlement Agents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9" w:name="_Toc106097110"/>
      <w:r>
        <w:t>Compilation table</w:t>
      </w:r>
      <w:bookmarkEnd w:id="1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lastRenderedPageBreak/>
              <w:t xml:space="preserve">Real Estate Legislation Amendment Act 1995 </w:t>
            </w:r>
            <w:r>
              <w:t>Pt. 4</w:t>
            </w:r>
            <w:r>
              <w:rPr>
                <w:vertAlign w:val="superscript"/>
              </w:rPr>
              <w: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2</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6</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lastRenderedPageBreak/>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7</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lastRenderedPageBreak/>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lastRenderedPageBreak/>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pPr>
              <w:pStyle w:val="nTable"/>
              <w:spacing w:after="40"/>
              <w:rPr>
                <w:snapToGrid w:val="0"/>
              </w:rPr>
            </w:pPr>
            <w:r>
              <w:t>44 of 2016</w:t>
            </w:r>
          </w:p>
        </w:tc>
        <w:tc>
          <w:tcPr>
            <w:tcW w:w="1134" w:type="dxa"/>
            <w:tcBorders>
              <w:top w:val="nil"/>
              <w:left w:val="nil"/>
              <w:bottom w:val="nil"/>
              <w:right w:val="nil"/>
            </w:tcBorders>
            <w:shd w:val="clear" w:color="auto" w:fill="auto"/>
          </w:tcPr>
          <w:p>
            <w:pPr>
              <w:pStyle w:val="nTable"/>
              <w:spacing w:after="40"/>
              <w:rPr>
                <w:snapToGrid w:val="0"/>
              </w:rPr>
            </w:pPr>
            <w:r>
              <w:t>1 Dec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Strata Titles Amendment Act 2018</w:t>
            </w:r>
            <w:r>
              <w:t xml:space="preserve"> Pt. 3 Div. 21</w:t>
            </w:r>
          </w:p>
        </w:tc>
        <w:tc>
          <w:tcPr>
            <w:tcW w:w="1134" w:type="dxa"/>
            <w:tcBorders>
              <w:top w:val="nil"/>
              <w:left w:val="nil"/>
              <w:bottom w:val="nil"/>
              <w:right w:val="nil"/>
            </w:tcBorders>
            <w:shd w:val="clear" w:color="auto" w:fill="auto"/>
          </w:tcPr>
          <w:p>
            <w:pPr>
              <w:pStyle w:val="nTable"/>
              <w:spacing w:after="40"/>
            </w:pPr>
            <w:r>
              <w:t>30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rPr>
                <w:snapToGrid w:val="0"/>
              </w:rPr>
              <w:t>1 May 2020 (see s. 2(b) and SL 2020/39 cl. 2)</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Community Titles Act 2018</w:t>
            </w:r>
            <w:r>
              <w:t xml:space="preserve"> Pt. 14 Div. 21</w:t>
            </w:r>
          </w:p>
        </w:tc>
        <w:tc>
          <w:tcPr>
            <w:tcW w:w="1134" w:type="dxa"/>
            <w:tcBorders>
              <w:top w:val="nil"/>
              <w:left w:val="nil"/>
              <w:bottom w:val="nil"/>
              <w:right w:val="nil"/>
            </w:tcBorders>
            <w:shd w:val="clear" w:color="auto" w:fill="auto"/>
          </w:tcPr>
          <w:p>
            <w:pPr>
              <w:pStyle w:val="nTable"/>
              <w:spacing w:after="40"/>
            </w:pPr>
            <w:r>
              <w:t>32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t>30 Jun 2021 (see s. 2(b) and SL 2021/69 cl. 2)</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rPr>
            </w:pPr>
            <w:r>
              <w:rPr>
                <w:i/>
              </w:rPr>
              <w:t xml:space="preserve">Consumer Protection Legislation Amendment Act 2019 </w:t>
            </w:r>
            <w:r>
              <w:t>Pt. 10</w:t>
            </w:r>
          </w:p>
        </w:tc>
        <w:tc>
          <w:tcPr>
            <w:tcW w:w="1134" w:type="dxa"/>
            <w:tcBorders>
              <w:top w:val="nil"/>
              <w:left w:val="nil"/>
              <w:bottom w:val="single" w:sz="4" w:space="0" w:color="auto"/>
              <w:right w:val="nil"/>
            </w:tcBorders>
            <w:shd w:val="clear" w:color="auto" w:fill="auto"/>
          </w:tcPr>
          <w:p>
            <w:pPr>
              <w:pStyle w:val="nTable"/>
              <w:spacing w:after="40"/>
            </w:pPr>
            <w:r>
              <w:t>25 of 2019</w:t>
            </w:r>
          </w:p>
        </w:tc>
        <w:tc>
          <w:tcPr>
            <w:tcW w:w="1134" w:type="dxa"/>
            <w:tcBorders>
              <w:top w:val="nil"/>
              <w:left w:val="nil"/>
              <w:bottom w:val="single" w:sz="4" w:space="0" w:color="auto"/>
              <w:right w:val="nil"/>
            </w:tcBorders>
            <w:shd w:val="clear" w:color="auto" w:fill="auto"/>
          </w:tcPr>
          <w:p>
            <w:pPr>
              <w:pStyle w:val="nTable"/>
              <w:spacing w:after="40"/>
            </w:pPr>
            <w:r>
              <w:t>24 Oct 2019</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pPr>
      <w:bookmarkStart w:id="200" w:name="_Toc106097111"/>
      <w:r>
        <w:t>Uncommenced provisions table</w:t>
      </w:r>
      <w:bookmarkEnd w:id="20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 xml:space="preserve">Mutual Recognition (Western Australia) Amendment Act 2022 </w:t>
            </w:r>
            <w:r>
              <w:t>Pt. 3 Div. 12</w:t>
            </w:r>
          </w:p>
        </w:tc>
        <w:tc>
          <w:tcPr>
            <w:tcW w:w="1134" w:type="dxa"/>
            <w:tcBorders>
              <w:bottom w:val="nil"/>
            </w:tcBorders>
          </w:tcPr>
          <w:p>
            <w:pPr>
              <w:pStyle w:val="nTable"/>
              <w:spacing w:after="40"/>
            </w:pPr>
            <w:r>
              <w:t>7 of 2022</w:t>
            </w:r>
          </w:p>
        </w:tc>
        <w:tc>
          <w:tcPr>
            <w:tcW w:w="1134" w:type="dxa"/>
            <w:tcBorders>
              <w:bottom w:val="nil"/>
            </w:tcBorders>
          </w:tcPr>
          <w:p>
            <w:pPr>
              <w:pStyle w:val="nTable"/>
              <w:spacing w:after="40"/>
            </w:pPr>
            <w:r>
              <w:t>29 Mar 2022</w:t>
            </w:r>
          </w:p>
        </w:tc>
        <w:tc>
          <w:tcPr>
            <w:tcW w:w="2552" w:type="dxa"/>
            <w:tcBorders>
              <w:bottom w:val="nil"/>
            </w:tcBorders>
          </w:tcPr>
          <w:p>
            <w:pPr>
              <w:pStyle w:val="nTable"/>
              <w:spacing w:after="40"/>
            </w:pPr>
            <w:r>
              <w:t>1 Jul 2022 (see s. 2(b) and SL 2022/80 cl. 2)</w:t>
            </w:r>
          </w:p>
        </w:tc>
      </w:tr>
      <w:tr>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201" w:name="_Toc106097112"/>
      <w:r>
        <w:t>Other notes</w:t>
      </w:r>
      <w:bookmarkEnd w:id="201"/>
    </w:p>
    <w:p>
      <w:pPr>
        <w:pStyle w:val="nNote"/>
        <w:keepNext/>
        <w:spacing w:before="160"/>
        <w:rPr>
          <w:snapToGrid w:val="0"/>
        </w:rPr>
      </w:pPr>
      <w:r>
        <w:rPr>
          <w:snapToGrid w:val="0"/>
          <w:vertAlign w:val="superscript"/>
        </w:rPr>
        <w:t>1</w:t>
      </w:r>
      <w:r>
        <w:rPr>
          <w:snapToGrid w:val="0"/>
        </w:rPr>
        <w:tab/>
        <w:t xml:space="preserve">The appointed day is 1 Nov 1982, see </w:t>
      </w:r>
      <w:r>
        <w:rPr>
          <w:i/>
          <w:snapToGrid w:val="0"/>
        </w:rPr>
        <w:t>Gazette</w:t>
      </w:r>
      <w:r>
        <w:rPr>
          <w:snapToGrid w:val="0"/>
        </w:rPr>
        <w:t xml:space="preserve"> 29 Oct 1982 p. 4322.</w:t>
      </w:r>
    </w:p>
    <w:p>
      <w:pPr>
        <w:pStyle w:val="nNote"/>
        <w:rPr>
          <w:snapToGrid w:val="0"/>
        </w:rPr>
      </w:pPr>
      <w:r>
        <w:rPr>
          <w:snapToGrid w:val="0"/>
          <w:vertAlign w:val="superscript"/>
        </w:rPr>
        <w:t>2</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rPr>
          <w:snapToGrid w:val="0"/>
        </w:rPr>
      </w:pPr>
      <w:r>
        <w:rPr>
          <w:snapToGrid w:val="0"/>
          <w:vertAlign w:val="superscript"/>
        </w:rPr>
        <w:t>3</w:t>
      </w:r>
      <w:r>
        <w:rPr>
          <w:snapToGrid w:val="0"/>
        </w:rPr>
        <w:tab/>
        <w:t xml:space="preserve">Repealed by the </w:t>
      </w:r>
      <w:r>
        <w:rPr>
          <w:i/>
          <w:snapToGrid w:val="0"/>
        </w:rPr>
        <w:t xml:space="preserve">Real Estate and Business Agents Act 1978 </w:t>
      </w:r>
      <w:r>
        <w:rPr>
          <w:snapToGrid w:val="0"/>
        </w:rPr>
        <w:t>s. 5.</w:t>
      </w:r>
    </w:p>
    <w:p>
      <w:pPr>
        <w:pStyle w:val="nNote"/>
        <w:rPr>
          <w:snapToGrid w:val="0"/>
        </w:rPr>
      </w:pPr>
      <w:r>
        <w:rPr>
          <w:snapToGrid w:val="0"/>
          <w:vertAlign w:val="superscript"/>
        </w:rPr>
        <w:t>4</w:t>
      </w:r>
      <w:r>
        <w:rPr>
          <w:snapToGrid w:val="0"/>
        </w:rPr>
        <w:tab/>
        <w:t xml:space="preserve">Repealed by the </w:t>
      </w:r>
      <w:r>
        <w:rPr>
          <w:i/>
          <w:snapToGrid w:val="0"/>
        </w:rPr>
        <w:t>Land Administration Act 1997</w:t>
      </w:r>
      <w:r>
        <w:rPr>
          <w:snapToGrid w:val="0"/>
        </w:rPr>
        <w:t xml:space="preserve"> s. 281.</w:t>
      </w:r>
    </w:p>
    <w:p>
      <w:pPr>
        <w:pStyle w:val="nNote"/>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Note"/>
      </w:pPr>
      <w:r>
        <w:rPr>
          <w:vertAlign w:val="superscript"/>
        </w:rPr>
        <w:t>6</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03" w:name="_Toc106011675"/>
      <w:bookmarkStart w:id="204" w:name="_Toc106011840"/>
      <w:bookmarkStart w:id="205" w:name="_Toc106097113"/>
      <w:r>
        <w:rPr>
          <w:sz w:val="28"/>
        </w:rPr>
        <w:lastRenderedPageBreak/>
        <w:t>Defined terms</w:t>
      </w:r>
      <w:bookmarkEnd w:id="203"/>
      <w:bookmarkEnd w:id="204"/>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 34AA(1)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lastRenderedPageBreak/>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72"/>
      <w:gridCol w:w="14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5" w:name="Schedule"/>
    <w:bookmarkEnd w:id="1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300"/>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2201123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303_GUID" w:val="e31cde7a-d37f-49de-9dd6-3fce48d69d82"/>
    <w:docVar w:name="WAFER_20210615132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52_GUID" w:val="8ea02628-bb97-489c-bf0e-a0d05c8c4237"/>
    <w:docVar w:name="WAFER_20210623110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30_GUID" w:val="60993b14-e354-4a7a-94a2-6a0360a5de1c"/>
    <w:docVar w:name="WAFER_20210623110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57_GUID" w:val="6a478109-4e5a-4e41-a2e7-9168d8cc0110"/>
    <w:docVar w:name="WAFER_202203300822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2201_GUID" w:val="0db3a29d-dfed-405b-9d78-3ebfac37bbe3"/>
    <w:docVar w:name="WAFER_20220408135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5049_GUID" w:val="51402d66-0155-48e7-8dc9-0384b73b61ca"/>
    <w:docVar w:name="WAFER_20220613102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300_GUID" w:val="1f50ba3a-911e-4a64-9aae-8280de1594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32933</Words>
  <Characters>157094</Characters>
  <Application>Microsoft Office Word</Application>
  <DocSecurity>0</DocSecurity>
  <Lines>4245</Lines>
  <Paragraphs>2111</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1981 - 07-j0-01</dc:title>
  <dc:subject/>
  <dc:creator/>
  <cp:keywords/>
  <dc:description/>
  <cp:lastModifiedBy>Master Repository Process</cp:lastModifiedBy>
  <cp:revision>4</cp:revision>
  <cp:lastPrinted>2015-03-06T04:55:00Z</cp:lastPrinted>
  <dcterms:created xsi:type="dcterms:W3CDTF">2022-06-17T02:54:00Z</dcterms:created>
  <dcterms:modified xsi:type="dcterms:W3CDTF">2022-06-17T02:54:00Z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AsAtDate">
    <vt:lpwstr>14 Apr 2022</vt:lpwstr>
  </property>
  <property fmtid="{D5CDD505-2E9C-101B-9397-08002B2CF9AE}" pid="8" name="Suffix">
    <vt:lpwstr>07-j0-01</vt:lpwstr>
  </property>
  <property fmtid="{D5CDD505-2E9C-101B-9397-08002B2CF9AE}" pid="9" name="CommencementDate">
    <vt:lpwstr>20220414</vt:lpwstr>
  </property>
</Properties>
</file>