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Solicitor-General Act 1969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Solicitor-General Act 1969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_Toc100306364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_Toc100306365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Solicitor</w:t>
      </w:r>
      <w:r>
        <w:rPr>
          <w:snapToGrid w:val="0"/>
        </w:rPr>
        <w:noBreakHyphen/>
        <w:t>General, appointment and qualifications</w:t>
      </w:r>
      <w:r>
        <w:tab/>
      </w:r>
      <w:r>
        <w:fldChar w:fldCharType="begin"/>
      </w:r>
      <w:r>
        <w:instrText xml:space="preserve"> PAGEREF _Toc100306366 \h </w:instrText>
      </w:r>
      <w:r>
        <w:fldChar w:fldCharType="separate"/>
      </w:r>
      <w:r>
        <w:t>1</w:t>
      </w:r>
      <w:r>
        <w:fldChar w:fldCharType="end"/>
      </w:r>
    </w:p>
    <w:p>
      <w:pPr>
        <w:pStyle w:val="TOC8"/>
        <w:rPr>
          <w:rFonts w:asciiTheme="minorHAnsi" w:eastAsiaTheme="minorEastAsia" w:hAnsiTheme="minorHAnsi" w:cstheme="minorBidi"/>
          <w:szCs w:val="22"/>
        </w:rPr>
      </w:pPr>
      <w:r>
        <w:t>4.</w:t>
      </w:r>
      <w:r>
        <w:tab/>
        <w:t>Remuneration</w:t>
      </w:r>
      <w:r>
        <w:tab/>
      </w:r>
      <w:r>
        <w:fldChar w:fldCharType="begin"/>
      </w:r>
      <w:r>
        <w:instrText xml:space="preserve"> PAGEREF _Toc100306367 \h </w:instrText>
      </w:r>
      <w:r>
        <w:fldChar w:fldCharType="separate"/>
      </w:r>
      <w:r>
        <w:t>2</w:t>
      </w:r>
      <w:r>
        <w:fldChar w:fldCharType="end"/>
      </w:r>
    </w:p>
    <w:p>
      <w:pPr>
        <w:pStyle w:val="TOC8"/>
        <w:rPr>
          <w:rFonts w:asciiTheme="minorHAnsi" w:eastAsiaTheme="minorEastAsia" w:hAnsiTheme="minorHAnsi" w:cstheme="minorBidi"/>
          <w:szCs w:val="22"/>
        </w:rPr>
      </w:pPr>
      <w:r>
        <w:t>4A.</w:t>
      </w:r>
      <w:r>
        <w:tab/>
        <w:t>Leave and other conditions of service</w:t>
      </w:r>
      <w:r>
        <w:tab/>
      </w:r>
      <w:r>
        <w:fldChar w:fldCharType="begin"/>
      </w:r>
      <w:r>
        <w:instrText xml:space="preserve"> PAGEREF _Toc100306368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Resignation</w:t>
      </w:r>
      <w:r>
        <w:tab/>
      </w:r>
      <w:r>
        <w:fldChar w:fldCharType="begin"/>
      </w:r>
      <w:r>
        <w:instrText xml:space="preserve"> PAGEREF _Toc100306369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Private practice prohibited except with approval</w:t>
      </w:r>
      <w:r>
        <w:tab/>
      </w:r>
      <w:r>
        <w:fldChar w:fldCharType="begin"/>
      </w:r>
      <w:r>
        <w:instrText xml:space="preserve"> PAGEREF _Toc100306370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from office</w:t>
      </w:r>
      <w:r>
        <w:tab/>
      </w:r>
      <w:r>
        <w:fldChar w:fldCharType="begin"/>
      </w:r>
      <w:r>
        <w:instrText xml:space="preserve"> PAGEREF _Toc100306371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Acting Solicitor</w:t>
      </w:r>
      <w:r>
        <w:rPr>
          <w:snapToGrid w:val="0"/>
        </w:rPr>
        <w:noBreakHyphen/>
        <w:t>General</w:t>
      </w:r>
      <w:r>
        <w:tab/>
      </w:r>
      <w:r>
        <w:fldChar w:fldCharType="begin"/>
      </w:r>
      <w:r>
        <w:instrText xml:space="preserve"> PAGEREF _Toc100306372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_Toc100306373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Certain rights as a public servant preserved</w:t>
      </w:r>
      <w:r>
        <w:tab/>
      </w:r>
      <w:r>
        <w:fldChar w:fldCharType="begin"/>
      </w:r>
      <w:r>
        <w:instrText xml:space="preserve"> PAGEREF _Toc100306374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Attorney General may delegate to Solicitor</w:t>
      </w:r>
      <w:r>
        <w:rPr>
          <w:snapToGrid w:val="0"/>
        </w:rPr>
        <w:noBreakHyphen/>
        <w:t>General</w:t>
      </w:r>
      <w:r>
        <w:tab/>
      </w:r>
      <w:r>
        <w:fldChar w:fldCharType="begin"/>
      </w:r>
      <w:r>
        <w:instrText xml:space="preserve"> PAGEREF _Toc100306375 \h </w:instrText>
      </w:r>
      <w:r>
        <w:fldChar w:fldCharType="separate"/>
      </w:r>
      <w:r>
        <w:t>5</w:t>
      </w:r>
      <w:r>
        <w:fldChar w:fldCharType="end"/>
      </w:r>
    </w:p>
    <w:p>
      <w:pPr>
        <w:pStyle w:val="TOC8"/>
        <w:rPr>
          <w:rFonts w:asciiTheme="minorHAnsi" w:eastAsiaTheme="minorEastAsia" w:hAnsiTheme="minorHAnsi" w:cstheme="minorBidi"/>
          <w:szCs w:val="22"/>
        </w:rPr>
      </w:pPr>
      <w:r>
        <w:t>14.</w:t>
      </w:r>
      <w:r>
        <w:tab/>
        <w:t xml:space="preserve">Transitional matters for </w:t>
      </w:r>
      <w:r>
        <w:rPr>
          <w:i/>
        </w:rPr>
        <w:t>Solicitor</w:t>
      </w:r>
      <w:r>
        <w:rPr>
          <w:i/>
        </w:rPr>
        <w:noBreakHyphen/>
        <w:t>General Amendment Act 2006</w:t>
      </w:r>
      <w:r>
        <w:tab/>
      </w:r>
      <w:r>
        <w:fldChar w:fldCharType="begin"/>
      </w:r>
      <w:r>
        <w:instrText xml:space="preserve"> PAGEREF _Toc100306376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_Toc100306378 \h </w:instrText>
      </w:r>
      <w:r>
        <w:fldChar w:fldCharType="separate"/>
      </w:r>
      <w:r>
        <w:t>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_Toc100306379 \h </w:instrText>
      </w:r>
      <w:r>
        <w:fldChar w:fldCharType="separate"/>
      </w:r>
      <w:r>
        <w:t>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_Toc100306380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Solicitor</w:t>
      </w:r>
      <w:r>
        <w:noBreakHyphen/>
        <w:t xml:space="preserve">General Act 1969 </w:t>
      </w:r>
    </w:p>
    <w:p>
      <w:pPr>
        <w:pStyle w:val="LongTitle"/>
        <w:rPr>
          <w:snapToGrid w:val="0"/>
        </w:rPr>
      </w:pPr>
      <w:r>
        <w:rPr>
          <w:snapToGrid w:val="0"/>
        </w:rPr>
        <w:t>An Act relating to the office of Solicitor</w:t>
      </w:r>
      <w:r>
        <w:rPr>
          <w:snapToGrid w:val="0"/>
        </w:rPr>
        <w:noBreakHyphen/>
        <w:t xml:space="preserve">General of the State of Western Australia. </w:t>
      </w:r>
    </w:p>
    <w:p>
      <w:pPr>
        <w:pStyle w:val="Heading5"/>
        <w:rPr>
          <w:snapToGrid w:val="0"/>
        </w:rPr>
      </w:pPr>
      <w:bookmarkStart w:id="3" w:name="_Toc10030636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rPr>
        <w:t>.</w:t>
      </w:r>
    </w:p>
    <w:p>
      <w:pPr>
        <w:pStyle w:val="Heading5"/>
        <w:rPr>
          <w:snapToGrid w:val="0"/>
        </w:rPr>
      </w:pPr>
      <w:bookmarkStart w:id="4" w:name="_Toc100306365"/>
      <w:r>
        <w:rPr>
          <w:rStyle w:val="CharSectno"/>
        </w:rPr>
        <w:t>2</w:t>
      </w:r>
      <w:r>
        <w:rPr>
          <w:snapToGrid w:val="0"/>
        </w:rPr>
        <w:t>.</w:t>
      </w:r>
      <w:r>
        <w:rPr>
          <w:snapToGrid w:val="0"/>
        </w:rPr>
        <w:tab/>
        <w:t>Terms used in this Act</w:t>
      </w:r>
      <w:bookmarkEnd w:id="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Attorney General</w:t>
      </w:r>
      <w:r>
        <w:t xml:space="preserve"> includes, where there is a vacancy in the office of Attorney General the person holding office as the Minister for Justice;</w:t>
      </w:r>
    </w:p>
    <w:p>
      <w:pPr>
        <w:pStyle w:val="Defstart"/>
      </w:pPr>
      <w:r>
        <w:rPr>
          <w:b/>
        </w:rPr>
        <w:tab/>
      </w:r>
      <w:r>
        <w:rPr>
          <w:rStyle w:val="CharDefText"/>
        </w:rPr>
        <w:t>Solicitor</w:t>
      </w:r>
      <w:r>
        <w:rPr>
          <w:rStyle w:val="CharDefText"/>
        </w:rPr>
        <w:noBreakHyphen/>
        <w:t>General</w:t>
      </w:r>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r>
        <w:rPr>
          <w:rStyle w:val="CharDefText"/>
        </w:rPr>
        <w:t>Solicitor</w:t>
      </w:r>
      <w:r>
        <w:rPr>
          <w:rStyle w:val="CharDefText"/>
        </w:rPr>
        <w:noBreakHyphen/>
        <w:t>General</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No. 57 of 1997 s. 112(1); No. 29 of 2006 s. 4.]</w:t>
      </w:r>
    </w:p>
    <w:p>
      <w:pPr>
        <w:pStyle w:val="Heading5"/>
        <w:rPr>
          <w:snapToGrid w:val="0"/>
        </w:rPr>
      </w:pPr>
      <w:bookmarkStart w:id="5" w:name="_Toc100306366"/>
      <w:r>
        <w:rPr>
          <w:rStyle w:val="CharSectno"/>
        </w:rPr>
        <w:t>3</w:t>
      </w:r>
      <w:r>
        <w:rPr>
          <w:snapToGrid w:val="0"/>
        </w:rPr>
        <w:t>.</w:t>
      </w:r>
      <w:r>
        <w:rPr>
          <w:snapToGrid w:val="0"/>
        </w:rPr>
        <w:tab/>
        <w:t>Solicitor</w:t>
      </w:r>
      <w:r>
        <w:rPr>
          <w:snapToGrid w:val="0"/>
        </w:rPr>
        <w:noBreakHyphen/>
        <w:t>General, appointment and qualifications</w:t>
      </w:r>
      <w:bookmarkEnd w:id="5"/>
      <w:r>
        <w:rPr>
          <w:snapToGrid w:val="0"/>
        </w:rPr>
        <w:t xml:space="preserve"> </w:t>
      </w:r>
    </w:p>
    <w:p>
      <w:pPr>
        <w:pStyle w:val="Subsection"/>
      </w:pPr>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pPr>
      <w:r>
        <w:lastRenderedPageBreak/>
        <w:tab/>
        <w:t>(2)</w:t>
      </w:r>
      <w:r>
        <w:tab/>
        <w:t>A person is eligible for appointment as Solicitor</w:t>
      </w:r>
      <w:r>
        <w:noBreakHyphen/>
        <w:t>General if that person is an Australian lawyer and has had not less than 8 years’ legal experience.</w:t>
      </w:r>
    </w:p>
    <w:p>
      <w:pPr>
        <w:pStyle w:val="Subsection"/>
      </w:pPr>
      <w:r>
        <w:tab/>
        <w:t>(3)</w:t>
      </w:r>
      <w:r>
        <w:tab/>
        <w:t xml:space="preserve">In subsection (2)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 xml:space="preserve">standing and practice as an Australian legal practitioner within the meaning of that term in the </w:t>
      </w:r>
      <w:r>
        <w:rPr>
          <w:i/>
          <w:iCs/>
        </w:rPr>
        <w:t>Legal Profession Act 2008</w:t>
      </w:r>
      <w:r>
        <w:t xml:space="preserve"> section 3;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3 amended: No. 65 of 2003 s. 118; No. 29 of 2006 s. 5; No. 21 of 2008 s. 705.]</w:t>
      </w:r>
    </w:p>
    <w:p>
      <w:pPr>
        <w:pStyle w:val="Heading5"/>
      </w:pPr>
      <w:bookmarkStart w:id="6" w:name="_Toc100306367"/>
      <w:r>
        <w:rPr>
          <w:rStyle w:val="CharSectno"/>
        </w:rPr>
        <w:t>4</w:t>
      </w:r>
      <w:r>
        <w:t>.</w:t>
      </w:r>
      <w:r>
        <w:tab/>
        <w:t>Remuneration</w:t>
      </w:r>
      <w:bookmarkEnd w:id="6"/>
    </w:p>
    <w:p>
      <w:pPr>
        <w:pStyle w:val="Subsection"/>
      </w:pPr>
      <w:r>
        <w:tab/>
        <w:t>(1)</w:t>
      </w:r>
      <w:r>
        <w:tab/>
        <w:t xml:space="preserve">In this section — </w:t>
      </w:r>
    </w:p>
    <w:p>
      <w:pPr>
        <w:pStyle w:val="Defstart"/>
      </w:pPr>
      <w:r>
        <w:rPr>
          <w:b/>
        </w:rPr>
        <w:tab/>
      </w:r>
      <w:r>
        <w:rPr>
          <w:rStyle w:val="CharDefText"/>
        </w:rPr>
        <w:t>remuneration</w:t>
      </w:r>
      <w:r>
        <w:t xml:space="preserve"> has the meaning given to that term in section 4(1) of the </w:t>
      </w:r>
      <w:r>
        <w:rPr>
          <w:i/>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rPr>
        <w:t>Salaries and Allowances Act 1975</w:t>
      </w:r>
      <w:r>
        <w:t>.</w:t>
      </w:r>
    </w:p>
    <w:p>
      <w:pPr>
        <w:pStyle w:val="Footnotesection"/>
      </w:pPr>
      <w:r>
        <w:tab/>
        <w:t>[Section 4 inserted: No. 29 of 2006 s. 6.]</w:t>
      </w:r>
    </w:p>
    <w:p>
      <w:pPr>
        <w:pStyle w:val="Heading5"/>
      </w:pPr>
      <w:bookmarkStart w:id="7" w:name="_Toc100306368"/>
      <w:r>
        <w:rPr>
          <w:rStyle w:val="CharSectno"/>
        </w:rPr>
        <w:t>4A</w:t>
      </w:r>
      <w:r>
        <w:t>.</w:t>
      </w:r>
      <w:r>
        <w:tab/>
        <w:t>Leave and other conditions of service</w:t>
      </w:r>
      <w:bookmarkEnd w:id="7"/>
    </w:p>
    <w:p>
      <w:pPr>
        <w:pStyle w:val="Subsection"/>
      </w:pPr>
      <w:r>
        <w:tab/>
      </w:r>
      <w:r>
        <w:tab/>
        <w:t xml:space="preserve">The Governor may determine — </w:t>
      </w:r>
    </w:p>
    <w:p>
      <w:pPr>
        <w:pStyle w:val="Indenta"/>
      </w:pPr>
      <w:r>
        <w:tab/>
        <w:t>(a)</w:t>
      </w:r>
      <w:r>
        <w:tab/>
        <w:t>the leave of absence to which the Solicitor</w:t>
      </w:r>
      <w:r>
        <w:noBreakHyphen/>
        <w:t>General is entitled; and</w:t>
      </w:r>
    </w:p>
    <w:p>
      <w:pPr>
        <w:pStyle w:val="Indenta"/>
      </w:pPr>
      <w:r>
        <w:lastRenderedPageBreak/>
        <w:tab/>
        <w:t>(b)</w:t>
      </w:r>
      <w:r>
        <w:tab/>
        <w:t>other terms and conditions of service that apply to the Solicitor</w:t>
      </w:r>
      <w:r>
        <w:noBreakHyphen/>
        <w:t>General.</w:t>
      </w:r>
    </w:p>
    <w:p>
      <w:pPr>
        <w:pStyle w:val="Footnotesection"/>
      </w:pPr>
      <w:r>
        <w:tab/>
        <w:t>[Section 4A inserted: No. 29 of 2006 s. 6.]</w:t>
      </w:r>
    </w:p>
    <w:p>
      <w:pPr>
        <w:pStyle w:val="Heading5"/>
        <w:rPr>
          <w:snapToGrid w:val="0"/>
        </w:rPr>
      </w:pPr>
      <w:bookmarkStart w:id="8" w:name="_Toc100306369"/>
      <w:r>
        <w:rPr>
          <w:rStyle w:val="CharSectno"/>
        </w:rPr>
        <w:t>5</w:t>
      </w:r>
      <w:r>
        <w:rPr>
          <w:snapToGrid w:val="0"/>
        </w:rPr>
        <w:t>.</w:t>
      </w:r>
      <w:r>
        <w:rPr>
          <w:snapToGrid w:val="0"/>
        </w:rPr>
        <w:tab/>
        <w:t>Resignation</w:t>
      </w:r>
      <w:bookmarkEnd w:id="8"/>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t>deleted]</w:t>
      </w:r>
    </w:p>
    <w:p>
      <w:pPr>
        <w:pStyle w:val="Footnotesection"/>
      </w:pPr>
      <w:r>
        <w:tab/>
        <w:t>[Section 5 amended: No. 29 of 2006 s. 7.]</w:t>
      </w:r>
    </w:p>
    <w:p>
      <w:pPr>
        <w:pStyle w:val="Heading5"/>
        <w:rPr>
          <w:snapToGrid w:val="0"/>
        </w:rPr>
      </w:pPr>
      <w:bookmarkStart w:id="9" w:name="_Toc100306370"/>
      <w:r>
        <w:rPr>
          <w:rStyle w:val="CharSectno"/>
        </w:rPr>
        <w:t>6</w:t>
      </w:r>
      <w:r>
        <w:rPr>
          <w:snapToGrid w:val="0"/>
        </w:rPr>
        <w:t>.</w:t>
      </w:r>
      <w:r>
        <w:rPr>
          <w:snapToGrid w:val="0"/>
        </w:rPr>
        <w:tab/>
        <w:t>Private practice prohibited except with approval</w:t>
      </w:r>
      <w:bookmarkEnd w:id="9"/>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10" w:name="_Toc100306371"/>
      <w:r>
        <w:rPr>
          <w:rStyle w:val="CharSectno"/>
        </w:rPr>
        <w:t>7</w:t>
      </w:r>
      <w:r>
        <w:rPr>
          <w:snapToGrid w:val="0"/>
        </w:rPr>
        <w:t>.</w:t>
      </w:r>
      <w:r>
        <w:rPr>
          <w:snapToGrid w:val="0"/>
        </w:rPr>
        <w:tab/>
        <w:t>Removal from office</w:t>
      </w:r>
      <w:bookmarkEnd w:id="10"/>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 or</w:t>
      </w:r>
    </w:p>
    <w:p>
      <w:pPr>
        <w:pStyle w:val="Indenta"/>
        <w:rPr>
          <w:snapToGrid w:val="0"/>
        </w:rPr>
      </w:pPr>
      <w:r>
        <w:rPr>
          <w:snapToGrid w:val="0"/>
        </w:rPr>
        <w:tab/>
        <w:t>(b)</w:t>
      </w:r>
      <w:r>
        <w:rPr>
          <w:snapToGrid w:val="0"/>
        </w:rPr>
        <w:tab/>
        <w:t>is guilty of misbehaviour;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Footnotesection"/>
      </w:pPr>
      <w:r>
        <w:tab/>
        <w:t>[Section 7 amended: No. 18 of 2009 s. 82.]</w:t>
      </w:r>
    </w:p>
    <w:p>
      <w:pPr>
        <w:pStyle w:val="Heading5"/>
        <w:rPr>
          <w:snapToGrid w:val="0"/>
        </w:rPr>
      </w:pPr>
      <w:bookmarkStart w:id="11" w:name="_Toc100306372"/>
      <w:r>
        <w:rPr>
          <w:rStyle w:val="CharSectno"/>
        </w:rPr>
        <w:t>8</w:t>
      </w:r>
      <w:r>
        <w:rPr>
          <w:snapToGrid w:val="0"/>
        </w:rPr>
        <w:t>.</w:t>
      </w:r>
      <w:r>
        <w:rPr>
          <w:snapToGrid w:val="0"/>
        </w:rPr>
        <w:tab/>
        <w:t>Acting Solicitor</w:t>
      </w:r>
      <w:r>
        <w:rPr>
          <w:snapToGrid w:val="0"/>
        </w:rPr>
        <w:noBreakHyphen/>
        <w:t>General</w:t>
      </w:r>
      <w:bookmarkEnd w:id="11"/>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lastRenderedPageBreak/>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 is appointed Solicitor</w:t>
      </w:r>
      <w:r>
        <w:rPr>
          <w:snapToGrid w:val="0"/>
        </w:rPr>
        <w:noBreakHyphen/>
        <w:t>General under section 3;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 No. 29 of 2006 s. 8.]</w:t>
      </w:r>
    </w:p>
    <w:p>
      <w:pPr>
        <w:pStyle w:val="Heading5"/>
        <w:rPr>
          <w:snapToGrid w:val="0"/>
        </w:rPr>
      </w:pPr>
      <w:bookmarkStart w:id="12" w:name="_Toc100306373"/>
      <w:r>
        <w:rPr>
          <w:rStyle w:val="CharSectno"/>
        </w:rPr>
        <w:t>9</w:t>
      </w:r>
      <w:r>
        <w:rPr>
          <w:snapToGrid w:val="0"/>
        </w:rPr>
        <w:t>.</w:t>
      </w:r>
      <w:r>
        <w:rPr>
          <w:snapToGrid w:val="0"/>
        </w:rPr>
        <w:tab/>
        <w:t>Functions</w:t>
      </w:r>
      <w:bookmarkEnd w:id="12"/>
      <w:r>
        <w:rPr>
          <w:snapToGrid w:val="0"/>
        </w:rPr>
        <w:t xml:space="preserve"> </w:t>
      </w:r>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No. 57 of 1997 s. 112(2).]</w:t>
      </w:r>
    </w:p>
    <w:p>
      <w:pPr>
        <w:pStyle w:val="Heading5"/>
        <w:rPr>
          <w:snapToGrid w:val="0"/>
        </w:rPr>
      </w:pPr>
      <w:bookmarkStart w:id="13" w:name="_Toc100306374"/>
      <w:r>
        <w:rPr>
          <w:rStyle w:val="CharSectno"/>
        </w:rPr>
        <w:t>10</w:t>
      </w:r>
      <w:r>
        <w:rPr>
          <w:snapToGrid w:val="0"/>
        </w:rPr>
        <w:t>.</w:t>
      </w:r>
      <w:r>
        <w:rPr>
          <w:snapToGrid w:val="0"/>
        </w:rPr>
        <w:tab/>
        <w:t>Certain rights as a public servant preserved</w:t>
      </w:r>
      <w:bookmarkEnd w:id="13"/>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lastRenderedPageBreak/>
        <w:tab/>
        <w:t>(a)</w:t>
      </w:r>
      <w:r>
        <w:rPr>
          <w:snapToGrid w:val="0"/>
        </w:rPr>
        <w:tab/>
        <w:t xml:space="preserve">he retains his existing and accruing rights and in particular his rights, if any, under the </w:t>
      </w:r>
      <w:r>
        <w:rPr>
          <w:i/>
          <w:snapToGrid w:val="0"/>
        </w:rPr>
        <w:t>Superannuation and Family Benefits Act 1938</w:t>
      </w:r>
      <w:r>
        <w:rPr>
          <w:iCs/>
          <w:snapToGrid w:val="0"/>
          <w:vertAlign w:val="superscript"/>
        </w:rPr>
        <w:t> 1</w:t>
      </w:r>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t>deleted]</w:t>
      </w:r>
    </w:p>
    <w:p>
      <w:pPr>
        <w:pStyle w:val="Footnotesection"/>
      </w:pPr>
      <w:r>
        <w:tab/>
        <w:t xml:space="preserve">[Section 10 amended: No. 69 of 1979 s. 3; No. 29 of 2006 s. 9.] </w:t>
      </w:r>
    </w:p>
    <w:p>
      <w:pPr>
        <w:pStyle w:val="Ednotesection"/>
      </w:pPr>
      <w:r>
        <w:t>[</w:t>
      </w:r>
      <w:r>
        <w:rPr>
          <w:b/>
        </w:rPr>
        <w:t>11, 12.</w:t>
      </w:r>
      <w:r>
        <w:rPr>
          <w:b/>
        </w:rPr>
        <w:tab/>
      </w:r>
      <w:r>
        <w:t>Deleted: No. 29 of 2006 s. 10.]</w:t>
      </w:r>
    </w:p>
    <w:p>
      <w:pPr>
        <w:pStyle w:val="Heading5"/>
        <w:rPr>
          <w:snapToGrid w:val="0"/>
        </w:rPr>
      </w:pPr>
      <w:bookmarkStart w:id="14" w:name="_Toc100306375"/>
      <w:r>
        <w:rPr>
          <w:rStyle w:val="CharSectno"/>
        </w:rPr>
        <w:t>13</w:t>
      </w:r>
      <w:r>
        <w:rPr>
          <w:snapToGrid w:val="0"/>
        </w:rPr>
        <w:t>.</w:t>
      </w:r>
      <w:r>
        <w:rPr>
          <w:snapToGrid w:val="0"/>
        </w:rPr>
        <w:tab/>
        <w:t>Attorney General may delegate to Solicitor</w:t>
      </w:r>
      <w:r>
        <w:rPr>
          <w:snapToGrid w:val="0"/>
        </w:rPr>
        <w:noBreakHyphen/>
        <w:t>General</w:t>
      </w:r>
      <w:bookmarkEnd w:id="14"/>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No. 57 of 1997 s. 112(2).]</w:t>
      </w:r>
    </w:p>
    <w:p>
      <w:pPr>
        <w:pStyle w:val="Heading5"/>
      </w:pPr>
      <w:bookmarkStart w:id="15" w:name="_Toc100306376"/>
      <w:r>
        <w:rPr>
          <w:rStyle w:val="CharSectno"/>
        </w:rPr>
        <w:t>14</w:t>
      </w:r>
      <w:r>
        <w:t>.</w:t>
      </w:r>
      <w:r>
        <w:tab/>
        <w:t xml:space="preserve">Transitional matters for </w:t>
      </w:r>
      <w:r>
        <w:rPr>
          <w:i/>
        </w:rPr>
        <w:t>Solicitor</w:t>
      </w:r>
      <w:r>
        <w:rPr>
          <w:i/>
        </w:rPr>
        <w:noBreakHyphen/>
        <w:t>General Amendment Act 2006</w:t>
      </w:r>
      <w:bookmarkEnd w:id="15"/>
    </w:p>
    <w:p>
      <w:pPr>
        <w:pStyle w:val="Subsection"/>
      </w:pPr>
      <w:r>
        <w:tab/>
        <w:t>(1)</w:t>
      </w:r>
      <w:r>
        <w:tab/>
        <w:t xml:space="preserve">In this section — </w:t>
      </w:r>
    </w:p>
    <w:p>
      <w:pPr>
        <w:pStyle w:val="Defstart"/>
      </w:pPr>
      <w:r>
        <w:rPr>
          <w:b/>
        </w:rPr>
        <w:tab/>
      </w:r>
      <w:r>
        <w:rPr>
          <w:rStyle w:val="CharDefText"/>
        </w:rPr>
        <w:t>amended Act</w:t>
      </w:r>
      <w:r>
        <w:t xml:space="preserve"> means this Act as amended by the </w:t>
      </w:r>
      <w:r>
        <w:rPr>
          <w:i/>
        </w:rPr>
        <w:t>Solicitor</w:t>
      </w:r>
      <w:r>
        <w:rPr>
          <w:i/>
        </w:rPr>
        <w:noBreakHyphen/>
        <w:t>General Amendment Act 2006</w:t>
      </w:r>
      <w:r>
        <w:t>;</w:t>
      </w:r>
    </w:p>
    <w:p>
      <w:pPr>
        <w:pStyle w:val="Defstart"/>
      </w:pPr>
      <w:r>
        <w:rPr>
          <w:b/>
        </w:rPr>
        <w:tab/>
      </w:r>
      <w:r>
        <w:rPr>
          <w:rStyle w:val="CharDefText"/>
        </w:rPr>
        <w:t>current Solicitor</w:t>
      </w:r>
      <w:r>
        <w:rPr>
          <w:rStyle w:val="CharDefText"/>
        </w:rPr>
        <w:noBreakHyphen/>
        <w:t>General</w:t>
      </w:r>
      <w:r>
        <w:t xml:space="preserve"> means the Solicitor</w:t>
      </w:r>
      <w:r>
        <w:noBreakHyphen/>
        <w:t>General holding office immediately before 18 July 2006;</w:t>
      </w:r>
    </w:p>
    <w:p>
      <w:pPr>
        <w:pStyle w:val="Defstart"/>
      </w:pPr>
      <w:r>
        <w:rPr>
          <w:b/>
        </w:rPr>
        <w:lastRenderedPageBreak/>
        <w:tab/>
      </w:r>
      <w:r>
        <w:rPr>
          <w:rStyle w:val="CharDefText"/>
        </w:rPr>
        <w:t>former Act</w:t>
      </w:r>
      <w:r>
        <w:t xml:space="preserve"> means this Act as in force immediately before 18 July 2006.</w:t>
      </w:r>
    </w:p>
    <w:p>
      <w:pPr>
        <w:pStyle w:val="Subsection"/>
      </w:pPr>
      <w:r>
        <w:tab/>
        <w:t>(2)</w:t>
      </w:r>
      <w:r>
        <w:tab/>
        <w:t>This section applies if the current Solicitor</w:t>
      </w:r>
      <w:r>
        <w:noBreakHyphen/>
        <w:t xml:space="preserve">General is appointed under section 3(1) of the amended Act and section 25 of the </w:t>
      </w:r>
      <w:r>
        <w:rPr>
          <w:i/>
        </w:rPr>
        <w:t>Interpretation Act 1984</w:t>
      </w:r>
      <w:r>
        <w:t>.</w:t>
      </w:r>
    </w:p>
    <w:p>
      <w:pPr>
        <w:pStyle w:val="Subsection"/>
      </w:pPr>
      <w:r>
        <w:tab/>
        <w:t>(3)</w:t>
      </w:r>
      <w:r>
        <w:tab/>
        <w:t xml:space="preserve">Despite section 2 of the </w:t>
      </w:r>
      <w:r>
        <w:rPr>
          <w:i/>
        </w:rPr>
        <w:t>Solicitor</w:t>
      </w:r>
      <w:r>
        <w:rPr>
          <w:i/>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 No. 29 of 2006 s. 11.]</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6" w:name="_Toc100305166"/>
      <w:bookmarkStart w:id="17" w:name="_Toc100305733"/>
      <w:bookmarkStart w:id="18" w:name="_Toc100306377"/>
      <w:r>
        <w:lastRenderedPageBreak/>
        <w:t>Notes</w:t>
      </w:r>
      <w:bookmarkEnd w:id="16"/>
      <w:bookmarkEnd w:id="17"/>
      <w:bookmarkEnd w:id="18"/>
    </w:p>
    <w:p>
      <w:pPr>
        <w:pStyle w:val="nStatement"/>
      </w:pPr>
      <w:r>
        <w:t xml:space="preserve">This is a compilation of the </w:t>
      </w:r>
      <w:r>
        <w:rPr>
          <w:i/>
          <w:noProof/>
        </w:rPr>
        <w:t>Solicitor-General Act 1969</w:t>
      </w:r>
      <w:r>
        <w:t xml:space="preserve"> and includes amendments made by other written laws </w:t>
      </w:r>
      <w:r>
        <w:rPr>
          <w:vertAlign w:val="superscript"/>
        </w:rPr>
        <w:t>2</w:t>
      </w:r>
      <w:r>
        <w:t>. For provisions that have come into operation, and for information about any reprints, see the compilation table. For provisions that have not yet come into operation see the uncommenced provisions table.</w:t>
      </w:r>
    </w:p>
    <w:p>
      <w:pPr>
        <w:pStyle w:val="nHeading3"/>
      </w:pPr>
      <w:bookmarkStart w:id="19" w:name="_Toc100306378"/>
      <w: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spacing w:before="70" w:after="70"/>
              <w:rPr>
                <w:b/>
              </w:rPr>
            </w:pPr>
            <w:r>
              <w:rPr>
                <w:b/>
              </w:rPr>
              <w:t>Short title</w:t>
            </w:r>
          </w:p>
        </w:tc>
        <w:tc>
          <w:tcPr>
            <w:tcW w:w="1134" w:type="dxa"/>
            <w:tcBorders>
              <w:top w:val="single" w:sz="8" w:space="0" w:color="auto"/>
              <w:bottom w:val="single" w:sz="8" w:space="0" w:color="auto"/>
            </w:tcBorders>
          </w:tcPr>
          <w:p>
            <w:pPr>
              <w:pStyle w:val="nTable"/>
              <w:spacing w:before="70" w:after="70"/>
              <w:rPr>
                <w:b/>
              </w:rPr>
            </w:pPr>
            <w:r>
              <w:rPr>
                <w:b/>
              </w:rPr>
              <w:t>Number and year</w:t>
            </w:r>
          </w:p>
        </w:tc>
        <w:tc>
          <w:tcPr>
            <w:tcW w:w="1134" w:type="dxa"/>
            <w:tcBorders>
              <w:top w:val="single" w:sz="8" w:space="0" w:color="auto"/>
              <w:bottom w:val="single" w:sz="8" w:space="0" w:color="auto"/>
            </w:tcBorders>
          </w:tcPr>
          <w:p>
            <w:pPr>
              <w:pStyle w:val="nTable"/>
              <w:spacing w:before="70" w:after="70"/>
              <w:rPr>
                <w:b/>
              </w:rPr>
            </w:pPr>
            <w:r>
              <w:rPr>
                <w:b/>
              </w:rPr>
              <w:t>Assent</w:t>
            </w:r>
          </w:p>
        </w:tc>
        <w:tc>
          <w:tcPr>
            <w:tcW w:w="2551" w:type="dxa"/>
            <w:tcBorders>
              <w:top w:val="single" w:sz="8" w:space="0" w:color="auto"/>
              <w:bottom w:val="single" w:sz="8" w:space="0" w:color="auto"/>
            </w:tcBorders>
          </w:tcPr>
          <w:p>
            <w:pPr>
              <w:pStyle w:val="nTable"/>
              <w:spacing w:before="70" w:after="70"/>
              <w:rPr>
                <w:b/>
              </w:rPr>
            </w:pPr>
            <w:r>
              <w:rPr>
                <w:b/>
              </w:rPr>
              <w:t>Commencement</w:t>
            </w:r>
          </w:p>
        </w:tc>
      </w:tr>
      <w:tr>
        <w:tc>
          <w:tcPr>
            <w:tcW w:w="2268" w:type="dxa"/>
          </w:tcPr>
          <w:p>
            <w:pPr>
              <w:pStyle w:val="nTable"/>
              <w:spacing w:before="70" w:after="70"/>
              <w:rPr>
                <w:i/>
              </w:rPr>
            </w:pPr>
            <w:r>
              <w:rPr>
                <w:i/>
              </w:rPr>
              <w:t>Solicitor</w:t>
            </w:r>
            <w:r>
              <w:rPr>
                <w:i/>
              </w:rPr>
              <w:noBreakHyphen/>
              <w:t>General Act 1969</w:t>
            </w:r>
          </w:p>
        </w:tc>
        <w:tc>
          <w:tcPr>
            <w:tcW w:w="1134" w:type="dxa"/>
          </w:tcPr>
          <w:p>
            <w:pPr>
              <w:pStyle w:val="nTable"/>
              <w:spacing w:before="70" w:after="70"/>
            </w:pPr>
            <w:r>
              <w:t>38 of 1969</w:t>
            </w:r>
          </w:p>
        </w:tc>
        <w:tc>
          <w:tcPr>
            <w:tcW w:w="1134" w:type="dxa"/>
          </w:tcPr>
          <w:p>
            <w:pPr>
              <w:pStyle w:val="nTable"/>
              <w:spacing w:before="70" w:after="70"/>
            </w:pPr>
            <w:r>
              <w:t>19 May 1969</w:t>
            </w:r>
          </w:p>
        </w:tc>
        <w:tc>
          <w:tcPr>
            <w:tcW w:w="2551" w:type="dxa"/>
          </w:tcPr>
          <w:p>
            <w:pPr>
              <w:pStyle w:val="nTable"/>
              <w:spacing w:before="70" w:after="70"/>
            </w:pPr>
            <w:r>
              <w:t>19 May 1969</w:t>
            </w:r>
          </w:p>
        </w:tc>
      </w:tr>
      <w:tr>
        <w:tc>
          <w:tcPr>
            <w:tcW w:w="2268" w:type="dxa"/>
          </w:tcPr>
          <w:p>
            <w:pPr>
              <w:pStyle w:val="nTable"/>
              <w:spacing w:before="70" w:after="70"/>
              <w:rPr>
                <w:i/>
              </w:rPr>
            </w:pPr>
            <w:r>
              <w:rPr>
                <w:i/>
              </w:rPr>
              <w:t xml:space="preserve">Acts Amendment (Judicial Salaries and Pensions) Act 1976 </w:t>
            </w:r>
            <w:r>
              <w:t>Pt. II</w:t>
            </w:r>
          </w:p>
        </w:tc>
        <w:tc>
          <w:tcPr>
            <w:tcW w:w="1134" w:type="dxa"/>
          </w:tcPr>
          <w:p>
            <w:pPr>
              <w:pStyle w:val="nTable"/>
              <w:spacing w:before="70" w:after="70"/>
            </w:pPr>
            <w:r>
              <w:t>125 of 1976</w:t>
            </w:r>
          </w:p>
        </w:tc>
        <w:tc>
          <w:tcPr>
            <w:tcW w:w="1134" w:type="dxa"/>
          </w:tcPr>
          <w:p>
            <w:pPr>
              <w:pStyle w:val="nTable"/>
              <w:spacing w:before="70" w:after="70"/>
            </w:pPr>
            <w:r>
              <w:t>2 Dec 1976</w:t>
            </w:r>
          </w:p>
        </w:tc>
        <w:tc>
          <w:tcPr>
            <w:tcW w:w="2551" w:type="dxa"/>
          </w:tcPr>
          <w:p>
            <w:pPr>
              <w:pStyle w:val="nTable"/>
              <w:spacing w:before="70" w:after="70"/>
            </w:pPr>
            <w:r>
              <w:t>1 Jan 1977 (see s. 2)</w:t>
            </w:r>
          </w:p>
        </w:tc>
      </w:tr>
      <w:tr>
        <w:tc>
          <w:tcPr>
            <w:tcW w:w="2268" w:type="dxa"/>
          </w:tcPr>
          <w:p>
            <w:pPr>
              <w:pStyle w:val="nTable"/>
              <w:spacing w:before="70" w:after="70"/>
              <w:rPr>
                <w:i/>
              </w:rPr>
            </w:pPr>
            <w:r>
              <w:rPr>
                <w:i/>
              </w:rPr>
              <w:t xml:space="preserve">Solicitor-General Act Amendment Act 1979 </w:t>
            </w:r>
          </w:p>
        </w:tc>
        <w:tc>
          <w:tcPr>
            <w:tcW w:w="1134" w:type="dxa"/>
          </w:tcPr>
          <w:p>
            <w:pPr>
              <w:pStyle w:val="nTable"/>
              <w:spacing w:before="70" w:after="70"/>
            </w:pPr>
            <w:r>
              <w:t>69 of 1979</w:t>
            </w:r>
          </w:p>
        </w:tc>
        <w:tc>
          <w:tcPr>
            <w:tcW w:w="1134" w:type="dxa"/>
          </w:tcPr>
          <w:p>
            <w:pPr>
              <w:pStyle w:val="nTable"/>
              <w:spacing w:before="70" w:after="70"/>
            </w:pPr>
            <w:r>
              <w:t>21 Nov 1979</w:t>
            </w:r>
          </w:p>
        </w:tc>
        <w:tc>
          <w:tcPr>
            <w:tcW w:w="2551" w:type="dxa"/>
          </w:tcPr>
          <w:p>
            <w:pPr>
              <w:pStyle w:val="nTable"/>
              <w:spacing w:before="70" w:after="70"/>
            </w:pPr>
            <w:r>
              <w:t>19 May 1969 (see s. 2)</w:t>
            </w:r>
          </w:p>
        </w:tc>
      </w:tr>
      <w:tr>
        <w:tc>
          <w:tcPr>
            <w:tcW w:w="2268" w:type="dxa"/>
          </w:tcPr>
          <w:p>
            <w:pPr>
              <w:pStyle w:val="nTable"/>
              <w:spacing w:before="70" w:after="70"/>
              <w:rPr>
                <w:i/>
              </w:rPr>
            </w:pPr>
            <w:r>
              <w:rPr>
                <w:i/>
              </w:rPr>
              <w:t xml:space="preserve">Financial Administration Legislation Amendment Act 1993 </w:t>
            </w:r>
            <w:r>
              <w:t>s. 11</w:t>
            </w:r>
          </w:p>
        </w:tc>
        <w:tc>
          <w:tcPr>
            <w:tcW w:w="1134" w:type="dxa"/>
          </w:tcPr>
          <w:p>
            <w:pPr>
              <w:pStyle w:val="nTable"/>
              <w:spacing w:before="70" w:after="70"/>
            </w:pPr>
            <w:r>
              <w:t>6 of 1993</w:t>
            </w:r>
          </w:p>
        </w:tc>
        <w:tc>
          <w:tcPr>
            <w:tcW w:w="1134" w:type="dxa"/>
          </w:tcPr>
          <w:p>
            <w:pPr>
              <w:pStyle w:val="nTable"/>
              <w:spacing w:before="70" w:after="70"/>
            </w:pPr>
            <w:r>
              <w:t>27 Aug 1993</w:t>
            </w:r>
          </w:p>
        </w:tc>
        <w:tc>
          <w:tcPr>
            <w:tcW w:w="2551" w:type="dxa"/>
          </w:tcPr>
          <w:p>
            <w:pPr>
              <w:pStyle w:val="nTable"/>
              <w:spacing w:before="70" w:after="70"/>
            </w:pPr>
            <w:r>
              <w:t>1 Jul 1993 (see s. 2(1))</w:t>
            </w:r>
          </w:p>
        </w:tc>
      </w:tr>
      <w:tr>
        <w:tc>
          <w:tcPr>
            <w:tcW w:w="2268" w:type="dxa"/>
          </w:tcPr>
          <w:p>
            <w:pPr>
              <w:pStyle w:val="nTable"/>
              <w:spacing w:before="70" w:after="70"/>
              <w:rPr>
                <w:i/>
              </w:rPr>
            </w:pPr>
            <w:r>
              <w:rPr>
                <w:i/>
              </w:rPr>
              <w:t xml:space="preserve">Financial Legislation Amendment Act 1996 </w:t>
            </w:r>
            <w:r>
              <w:t>s. 64</w:t>
            </w:r>
          </w:p>
        </w:tc>
        <w:tc>
          <w:tcPr>
            <w:tcW w:w="1134" w:type="dxa"/>
          </w:tcPr>
          <w:p>
            <w:pPr>
              <w:pStyle w:val="nTable"/>
              <w:spacing w:before="70" w:after="70"/>
            </w:pPr>
            <w:r>
              <w:t>49 of 1996</w:t>
            </w:r>
          </w:p>
        </w:tc>
        <w:tc>
          <w:tcPr>
            <w:tcW w:w="1134" w:type="dxa"/>
          </w:tcPr>
          <w:p>
            <w:pPr>
              <w:pStyle w:val="nTable"/>
              <w:spacing w:before="70" w:after="70"/>
            </w:pPr>
            <w:r>
              <w:t>25 Oct 1996</w:t>
            </w:r>
          </w:p>
        </w:tc>
        <w:tc>
          <w:tcPr>
            <w:tcW w:w="2551" w:type="dxa"/>
          </w:tcPr>
          <w:p>
            <w:pPr>
              <w:pStyle w:val="nTable"/>
              <w:spacing w:before="70" w:after="70"/>
            </w:pPr>
            <w:r>
              <w:t>25 Oct 1996 (see s. 2(1))</w:t>
            </w:r>
          </w:p>
        </w:tc>
      </w:tr>
      <w:tr>
        <w:tc>
          <w:tcPr>
            <w:tcW w:w="2268" w:type="dxa"/>
          </w:tcPr>
          <w:p>
            <w:pPr>
              <w:pStyle w:val="nTable"/>
              <w:spacing w:before="70" w:after="70"/>
              <w:rPr>
                <w:i/>
              </w:rPr>
            </w:pPr>
            <w:r>
              <w:rPr>
                <w:i/>
              </w:rPr>
              <w:t xml:space="preserve">Statutes (Repeals and Minor Amendments) Act 1997 </w:t>
            </w:r>
            <w:r>
              <w:t>s. 112</w:t>
            </w:r>
          </w:p>
        </w:tc>
        <w:tc>
          <w:tcPr>
            <w:tcW w:w="1134" w:type="dxa"/>
          </w:tcPr>
          <w:p>
            <w:pPr>
              <w:pStyle w:val="nTable"/>
              <w:spacing w:before="70" w:after="70"/>
            </w:pPr>
            <w:r>
              <w:t>57 of 1997</w:t>
            </w:r>
          </w:p>
        </w:tc>
        <w:tc>
          <w:tcPr>
            <w:tcW w:w="1134" w:type="dxa"/>
          </w:tcPr>
          <w:p>
            <w:pPr>
              <w:pStyle w:val="nTable"/>
              <w:spacing w:before="70" w:after="70"/>
            </w:pPr>
            <w:r>
              <w:t>15 Dec 1997</w:t>
            </w:r>
          </w:p>
        </w:tc>
        <w:tc>
          <w:tcPr>
            <w:tcW w:w="2551" w:type="dxa"/>
          </w:tcPr>
          <w:p>
            <w:pPr>
              <w:pStyle w:val="nTable"/>
              <w:spacing w:before="70" w:after="70"/>
            </w:pPr>
            <w:r>
              <w:t>15 Dec 1997 (see s. 2(1))</w:t>
            </w:r>
          </w:p>
        </w:tc>
      </w:tr>
      <w:tr>
        <w:trPr>
          <w:cantSplit/>
        </w:trPr>
        <w:tc>
          <w:tcPr>
            <w:tcW w:w="7087" w:type="dxa"/>
            <w:gridSpan w:val="4"/>
          </w:tcPr>
          <w:p>
            <w:pPr>
              <w:pStyle w:val="nTable"/>
              <w:spacing w:before="70" w:after="70"/>
            </w:pPr>
            <w:r>
              <w:rPr>
                <w:b/>
              </w:rPr>
              <w:t xml:space="preserve">Reprint of the </w:t>
            </w:r>
            <w:r>
              <w:rPr>
                <w:b/>
                <w:i/>
                <w:noProof/>
                <w:snapToGrid w:val="0"/>
              </w:rPr>
              <w:t>Solicitor-General Act 1969</w:t>
            </w:r>
            <w:r>
              <w:rPr>
                <w:b/>
                <w:noProof/>
                <w:snapToGrid w:val="0"/>
              </w:rPr>
              <w:t xml:space="preserve"> as at 1 Nov 2002</w:t>
            </w:r>
            <w:r>
              <w:rPr>
                <w:noProof/>
                <w:snapToGrid w:val="0"/>
              </w:rPr>
              <w:t xml:space="preserve"> (includes amendments listed above)</w:t>
            </w:r>
          </w:p>
        </w:tc>
      </w:tr>
      <w:tr>
        <w:tc>
          <w:tcPr>
            <w:tcW w:w="2268" w:type="dxa"/>
          </w:tcPr>
          <w:p>
            <w:pPr>
              <w:pStyle w:val="nTable"/>
              <w:spacing w:before="70" w:after="70"/>
            </w:pPr>
            <w:r>
              <w:rPr>
                <w:i/>
              </w:rPr>
              <w:t>Acts Amendment (Equality of Status) Act 2003</w:t>
            </w:r>
            <w:r>
              <w:t xml:space="preserve"> Pt. 54</w:t>
            </w:r>
          </w:p>
        </w:tc>
        <w:tc>
          <w:tcPr>
            <w:tcW w:w="1134" w:type="dxa"/>
          </w:tcPr>
          <w:p>
            <w:pPr>
              <w:pStyle w:val="nTable"/>
              <w:spacing w:before="70" w:after="70"/>
            </w:pPr>
            <w:r>
              <w:t>28 of 2003</w:t>
            </w:r>
          </w:p>
        </w:tc>
        <w:tc>
          <w:tcPr>
            <w:tcW w:w="1134" w:type="dxa"/>
          </w:tcPr>
          <w:p>
            <w:pPr>
              <w:pStyle w:val="nTable"/>
              <w:spacing w:before="70" w:after="70"/>
            </w:pPr>
            <w:r>
              <w:t>22 May 2003</w:t>
            </w:r>
          </w:p>
        </w:tc>
        <w:tc>
          <w:tcPr>
            <w:tcW w:w="2551" w:type="dxa"/>
          </w:tcPr>
          <w:p>
            <w:pPr>
              <w:pStyle w:val="nTable"/>
              <w:spacing w:before="70" w:after="70"/>
            </w:pPr>
            <w:r>
              <w:t xml:space="preserve">1 Jul 2003 (see s. 2 and </w:t>
            </w:r>
            <w:r>
              <w:rPr>
                <w:i/>
              </w:rPr>
              <w:t xml:space="preserve">Gazette </w:t>
            </w:r>
            <w:r>
              <w:t>30 Jun 2003 p. 2579)</w:t>
            </w:r>
          </w:p>
        </w:tc>
      </w:tr>
      <w:tr>
        <w:tc>
          <w:tcPr>
            <w:tcW w:w="2268" w:type="dxa"/>
          </w:tcPr>
          <w:p>
            <w:pPr>
              <w:pStyle w:val="nTable"/>
              <w:spacing w:before="70" w:after="70"/>
            </w:pPr>
            <w:r>
              <w:rPr>
                <w:i/>
              </w:rPr>
              <w:t>Acts Amendment and Repeal (Courts and Legal Practice) Act 2003</w:t>
            </w:r>
            <w:r>
              <w:t xml:space="preserve"> s. 118</w:t>
            </w:r>
          </w:p>
        </w:tc>
        <w:tc>
          <w:tcPr>
            <w:tcW w:w="1134" w:type="dxa"/>
          </w:tcPr>
          <w:p>
            <w:pPr>
              <w:pStyle w:val="nTable"/>
              <w:spacing w:before="70" w:after="70"/>
            </w:pPr>
            <w:r>
              <w:t>65 of 2003</w:t>
            </w:r>
          </w:p>
        </w:tc>
        <w:tc>
          <w:tcPr>
            <w:tcW w:w="1134" w:type="dxa"/>
          </w:tcPr>
          <w:p>
            <w:pPr>
              <w:pStyle w:val="nTable"/>
              <w:spacing w:before="70" w:after="70"/>
            </w:pPr>
            <w:r>
              <w:t>4 Dec 2003</w:t>
            </w:r>
          </w:p>
        </w:tc>
        <w:tc>
          <w:tcPr>
            <w:tcW w:w="2551" w:type="dxa"/>
          </w:tcPr>
          <w:p>
            <w:pPr>
              <w:pStyle w:val="nTable"/>
              <w:spacing w:before="70" w:after="70"/>
            </w:pPr>
            <w:r>
              <w:t xml:space="preserve">1 Jan 2004 (see s. 2 and </w:t>
            </w:r>
            <w:r>
              <w:rPr>
                <w:i/>
              </w:rPr>
              <w:t>Gazette</w:t>
            </w:r>
            <w:r>
              <w:t xml:space="preserve"> 30 Dec 2003 p. 5722)</w:t>
            </w:r>
          </w:p>
        </w:tc>
      </w:tr>
      <w:tr>
        <w:tc>
          <w:tcPr>
            <w:tcW w:w="2268" w:type="dxa"/>
          </w:tcPr>
          <w:p>
            <w:pPr>
              <w:pStyle w:val="nTable"/>
              <w:spacing w:before="70" w:after="70"/>
              <w:rPr>
                <w:vertAlign w:val="superscript"/>
              </w:rPr>
            </w:pPr>
            <w:r>
              <w:rPr>
                <w:i/>
              </w:rPr>
              <w:t>Solicitor-General Amendment Act 2006</w:t>
            </w:r>
            <w:r>
              <w:t xml:space="preserve"> s. 4</w:t>
            </w:r>
            <w:r>
              <w:noBreakHyphen/>
              <w:t>11</w:t>
            </w:r>
          </w:p>
        </w:tc>
        <w:tc>
          <w:tcPr>
            <w:tcW w:w="1134" w:type="dxa"/>
          </w:tcPr>
          <w:p>
            <w:pPr>
              <w:pStyle w:val="nTable"/>
              <w:spacing w:before="70" w:after="70"/>
            </w:pPr>
            <w:r>
              <w:t xml:space="preserve">29 of 2006 </w:t>
            </w:r>
          </w:p>
        </w:tc>
        <w:tc>
          <w:tcPr>
            <w:tcW w:w="1134" w:type="dxa"/>
          </w:tcPr>
          <w:p>
            <w:pPr>
              <w:pStyle w:val="nTable"/>
              <w:spacing w:before="70" w:after="70"/>
            </w:pPr>
            <w:r>
              <w:t>30 Jun 2006</w:t>
            </w:r>
          </w:p>
        </w:tc>
        <w:tc>
          <w:tcPr>
            <w:tcW w:w="2551" w:type="dxa"/>
          </w:tcPr>
          <w:p>
            <w:pPr>
              <w:pStyle w:val="nTable"/>
              <w:spacing w:before="70" w:after="70"/>
            </w:pPr>
            <w:r>
              <w:t>18 Jul 2006 (see s. 2)</w:t>
            </w:r>
          </w:p>
        </w:tc>
      </w:tr>
      <w:tr>
        <w:trPr>
          <w:cantSplit/>
        </w:trPr>
        <w:tc>
          <w:tcPr>
            <w:tcW w:w="7087" w:type="dxa"/>
            <w:gridSpan w:val="4"/>
          </w:tcPr>
          <w:p>
            <w:pPr>
              <w:pStyle w:val="nTable"/>
              <w:spacing w:before="70" w:after="70"/>
            </w:pPr>
            <w:r>
              <w:rPr>
                <w:b/>
              </w:rPr>
              <w:t xml:space="preserve">Reprint 2: The </w:t>
            </w:r>
            <w:r>
              <w:rPr>
                <w:b/>
                <w:i/>
                <w:noProof/>
                <w:snapToGrid w:val="0"/>
              </w:rPr>
              <w:t>Solicitor-General Act 1969</w:t>
            </w:r>
            <w:r>
              <w:rPr>
                <w:b/>
                <w:noProof/>
                <w:snapToGrid w:val="0"/>
              </w:rPr>
              <w:t xml:space="preserve"> as at 18 Jan 2008</w:t>
            </w:r>
            <w:r>
              <w:rPr>
                <w:noProof/>
                <w:snapToGrid w:val="0"/>
              </w:rP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s. 705</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2" w:type="dxa"/>
          </w:tcPr>
          <w:p>
            <w:pPr>
              <w:pStyle w:val="nTable"/>
              <w:keepNext/>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9" w:type="dxa"/>
            <w:tcBorders>
              <w:bottom w:val="single" w:sz="4" w:space="0" w:color="auto"/>
            </w:tcBorders>
          </w:tcPr>
          <w:p>
            <w:pPr>
              <w:pStyle w:val="nTable"/>
              <w:spacing w:after="40"/>
              <w:rPr>
                <w:iCs/>
                <w:snapToGrid w:val="0"/>
              </w:rPr>
            </w:pPr>
            <w:r>
              <w:rPr>
                <w:i/>
                <w:snapToGrid w:val="0"/>
              </w:rPr>
              <w:lastRenderedPageBreak/>
              <w:t>Acts Amendment (Bankruptcy) Act 2009</w:t>
            </w:r>
            <w:r>
              <w:rPr>
                <w:iCs/>
                <w:snapToGrid w:val="0"/>
              </w:rPr>
              <w:t xml:space="preserve"> s. 82</w:t>
            </w:r>
          </w:p>
        </w:tc>
        <w:tc>
          <w:tcPr>
            <w:tcW w:w="1134" w:type="dxa"/>
            <w:tcBorders>
              <w:bottom w:val="single" w:sz="4" w:space="0" w:color="auto"/>
            </w:tcBorders>
          </w:tcPr>
          <w:p>
            <w:pPr>
              <w:pStyle w:val="nTable"/>
              <w:spacing w:after="40"/>
            </w:pPr>
            <w:r>
              <w:t>18 of 2009</w:t>
            </w:r>
          </w:p>
        </w:tc>
        <w:tc>
          <w:tcPr>
            <w:tcW w:w="1134" w:type="dxa"/>
            <w:tcBorders>
              <w:bottom w:val="single" w:sz="4" w:space="0" w:color="auto"/>
            </w:tcBorders>
          </w:tcPr>
          <w:p>
            <w:pPr>
              <w:pStyle w:val="nTable"/>
              <w:spacing w:after="40"/>
            </w:pPr>
            <w:r>
              <w:t>16 Sep 2009</w:t>
            </w:r>
          </w:p>
        </w:tc>
        <w:tc>
          <w:tcPr>
            <w:tcW w:w="2552" w:type="dxa"/>
            <w:tcBorders>
              <w:bottom w:val="single" w:sz="4" w:space="0" w:color="auto"/>
            </w:tcBorders>
          </w:tcPr>
          <w:p>
            <w:pPr>
              <w:pStyle w:val="nTable"/>
              <w:spacing w:after="40"/>
            </w:pPr>
            <w:r>
              <w:t>17 Sep 2009 (see s. 2(b))</w:t>
            </w:r>
          </w:p>
        </w:tc>
      </w:tr>
    </w:tbl>
    <w:p>
      <w:pPr>
        <w:pStyle w:val="nHeading3"/>
      </w:pPr>
      <w:bookmarkStart w:id="20" w:name="_Toc100306379"/>
      <w:r>
        <w:t>Uncommenced provisions table</w:t>
      </w:r>
      <w:bookmarkEnd w:id="2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i/>
                <w:vertAlign w:val="superscript"/>
              </w:rPr>
            </w:pPr>
            <w:r>
              <w:rPr>
                <w:i/>
                <w:snapToGrid w:val="0"/>
              </w:rPr>
              <w:t xml:space="preserve">State Superannuation (Transitional and Consequential Provisions) Act 2000 </w:t>
            </w:r>
            <w:r>
              <w:rPr>
                <w:snapToGrid w:val="0"/>
              </w:rPr>
              <w:t>s. 64</w:t>
            </w:r>
          </w:p>
        </w:tc>
        <w:tc>
          <w:tcPr>
            <w:tcW w:w="1134" w:type="dxa"/>
            <w:tcBorders>
              <w:top w:val="single" w:sz="8" w:space="0" w:color="auto"/>
            </w:tcBorders>
          </w:tcPr>
          <w:p>
            <w:pPr>
              <w:pStyle w:val="nTable"/>
              <w:keepNext/>
              <w:spacing w:after="40"/>
            </w:pPr>
            <w:r>
              <w:t>43 of 2000</w:t>
            </w:r>
          </w:p>
        </w:tc>
        <w:tc>
          <w:tcPr>
            <w:tcW w:w="1134" w:type="dxa"/>
            <w:tcBorders>
              <w:top w:val="single" w:sz="8" w:space="0" w:color="auto"/>
            </w:tcBorders>
          </w:tcPr>
          <w:p>
            <w:pPr>
              <w:pStyle w:val="nTable"/>
              <w:keepNext/>
              <w:spacing w:after="40"/>
            </w:pPr>
            <w:r>
              <w:t>2 Nov 2000</w:t>
            </w:r>
          </w:p>
        </w:tc>
        <w:tc>
          <w:tcPr>
            <w:tcW w:w="2552" w:type="dxa"/>
            <w:tcBorders>
              <w:top w:val="single" w:sz="8" w:space="0" w:color="auto"/>
            </w:tcBorders>
          </w:tcPr>
          <w:p>
            <w:pPr>
              <w:pStyle w:val="nTable"/>
              <w:keepNext/>
              <w:spacing w:after="40"/>
            </w:pPr>
            <w:r>
              <w:t>To be proclaimed (see s. 2(2))</w:t>
            </w:r>
          </w:p>
        </w:tc>
      </w:tr>
      <w:tr>
        <w:trPr>
          <w:cantSplit/>
        </w:trPr>
        <w:tc>
          <w:tcPr>
            <w:tcW w:w="2268" w:type="dxa"/>
            <w:tcBorders>
              <w:bottom w:val="single" w:sz="8" w:space="0" w:color="auto"/>
            </w:tcBorders>
          </w:tcPr>
          <w:p>
            <w:pPr>
              <w:pStyle w:val="nTable"/>
              <w:spacing w:after="40"/>
              <w:ind w:right="113"/>
              <w:rPr>
                <w:i/>
                <w:snapToGrid w:val="0"/>
              </w:rPr>
            </w:pPr>
            <w:r>
              <w:rPr>
                <w:i/>
              </w:rPr>
              <w:t>Legal Profession Uniform Law Application Act 2022</w:t>
            </w:r>
            <w:r>
              <w:t xml:space="preserve"> s. 424</w:t>
            </w:r>
          </w:p>
        </w:tc>
        <w:tc>
          <w:tcPr>
            <w:tcW w:w="1134" w:type="dxa"/>
            <w:tcBorders>
              <w:bottom w:val="single" w:sz="8" w:space="0" w:color="auto"/>
            </w:tcBorders>
          </w:tcPr>
          <w:p>
            <w:pPr>
              <w:pStyle w:val="nTable"/>
              <w:keepNext/>
              <w:spacing w:after="40"/>
            </w:pPr>
            <w:r>
              <w:t>9 of 2022</w:t>
            </w:r>
          </w:p>
        </w:tc>
        <w:tc>
          <w:tcPr>
            <w:tcW w:w="1134" w:type="dxa"/>
            <w:tcBorders>
              <w:bottom w:val="single" w:sz="8" w:space="0" w:color="auto"/>
            </w:tcBorders>
          </w:tcPr>
          <w:p>
            <w:pPr>
              <w:pStyle w:val="nTable"/>
              <w:keepNext/>
              <w:spacing w:after="40"/>
            </w:pPr>
            <w:r>
              <w:t>14 Apr 2022</w:t>
            </w:r>
          </w:p>
        </w:tc>
        <w:tc>
          <w:tcPr>
            <w:tcW w:w="2552" w:type="dxa"/>
            <w:tcBorders>
              <w:bottom w:val="single" w:sz="8" w:space="0" w:color="auto"/>
            </w:tcBorders>
          </w:tcPr>
          <w:p>
            <w:pPr>
              <w:pStyle w:val="nTable"/>
              <w:keepNext/>
              <w:spacing w:after="40"/>
            </w:pPr>
            <w:r>
              <w:t>To be proclaimed (see s. 2(c))</w:t>
            </w:r>
          </w:p>
        </w:tc>
      </w:tr>
    </w:tbl>
    <w:p>
      <w:pPr>
        <w:pStyle w:val="nHeading3"/>
      </w:pPr>
      <w:bookmarkStart w:id="21" w:name="_Toc100306380"/>
      <w:r>
        <w:t>Other notes</w:t>
      </w:r>
      <w:bookmarkEnd w:id="21"/>
    </w:p>
    <w:p>
      <w:pPr>
        <w:pStyle w:val="nNote"/>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The amendment to s. 4 in the </w:t>
      </w:r>
      <w:r>
        <w:rPr>
          <w:i/>
          <w:iCs/>
        </w:rPr>
        <w:t xml:space="preserve">Financial Legislation Amendment and Repeal Act 2006 </w:t>
      </w:r>
      <w:r>
        <w:t xml:space="preserve">s. 4 is not included because the section it sought to amend was replaced by the </w:t>
      </w:r>
      <w:r>
        <w:rPr>
          <w:i/>
          <w:snapToGrid w:val="0"/>
        </w:rPr>
        <w:t>Solicitor</w:t>
      </w:r>
      <w:r>
        <w:rPr>
          <w:i/>
          <w:snapToGrid w:val="0"/>
        </w:rPr>
        <w:noBreakHyphen/>
        <w:t xml:space="preserve">General Amendment Act 2006 </w:t>
      </w:r>
      <w:r>
        <w:rPr>
          <w:snapToGrid w:val="0"/>
        </w:rPr>
        <w:t>s. 6</w:t>
      </w:r>
      <w:r>
        <w:t>.</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rPr>
          <w:sz w:val="28"/>
        </w:rPr>
      </w:pPr>
      <w:bookmarkStart w:id="23" w:name="_Toc100305170"/>
      <w:bookmarkStart w:id="24" w:name="_Toc100305737"/>
      <w:bookmarkStart w:id="25" w:name="_Toc100306381"/>
      <w:r>
        <w:rPr>
          <w:sz w:val="28"/>
        </w:rPr>
        <w:lastRenderedPageBreak/>
        <w:t>Defined terms</w:t>
      </w:r>
      <w:bookmarkEnd w:id="23"/>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 Act</w:t>
      </w:r>
      <w:r>
        <w:tab/>
        <w:t>14(1)</w:t>
      </w:r>
    </w:p>
    <w:p>
      <w:pPr>
        <w:pStyle w:val="DefinedTerms"/>
      </w:pPr>
      <w:r>
        <w:t>Attorney General</w:t>
      </w:r>
      <w:r>
        <w:tab/>
        <w:t>2(1)</w:t>
      </w:r>
    </w:p>
    <w:p>
      <w:pPr>
        <w:pStyle w:val="DefinedTerms"/>
      </w:pPr>
      <w:r>
        <w:t>Australian lawyer</w:t>
      </w:r>
      <w:r>
        <w:tab/>
        <w:t>3(3)</w:t>
      </w:r>
    </w:p>
    <w:p>
      <w:pPr>
        <w:pStyle w:val="DefinedTerms"/>
      </w:pPr>
      <w:r>
        <w:t>current Solicitor</w:t>
      </w:r>
      <w:r>
        <w:noBreakHyphen/>
        <w:t>General</w:t>
      </w:r>
      <w:r>
        <w:tab/>
        <w:t>14(1)</w:t>
      </w:r>
    </w:p>
    <w:p>
      <w:pPr>
        <w:pStyle w:val="DefinedTerms"/>
      </w:pPr>
      <w:r>
        <w:t>former Act</w:t>
      </w:r>
      <w:r>
        <w:tab/>
        <w:t>14(1)</w:t>
      </w:r>
    </w:p>
    <w:p>
      <w:pPr>
        <w:pStyle w:val="DefinedTerms"/>
      </w:pPr>
      <w:r>
        <w:t>legal experience</w:t>
      </w:r>
      <w:r>
        <w:tab/>
        <w:t>3(3)</w:t>
      </w:r>
    </w:p>
    <w:p>
      <w:pPr>
        <w:pStyle w:val="DefinedTerms"/>
      </w:pPr>
      <w:r>
        <w:t>remuneration</w:t>
      </w:r>
      <w:r>
        <w:tab/>
        <w:t>4(1)</w:t>
      </w:r>
    </w:p>
    <w:p>
      <w:pPr>
        <w:pStyle w:val="DefinedTerms"/>
      </w:pPr>
      <w:r>
        <w:t>Solicitor</w:t>
      </w:r>
      <w:r>
        <w:noBreakHyphen/>
        <w:t>General</w:t>
      </w:r>
      <w:r>
        <w:tab/>
        <w:t>2(1), 2(2)</w:t>
      </w:r>
    </w:p>
    <w:p>
      <w:pPr>
        <w:pStyle w:val="DefinedTerms"/>
        <w:sectPr>
          <w:headerReference w:type="even" r:id="rId25"/>
          <w:headerReference w:type="defaul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Solicitor-General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Solicitor-General Act 1969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B4659A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01114"/>
    <w:docVar w:name="WAFER_20140203103804" w:val="RemoveTocBookmarks,RemoveUnusedBookmarks,RemoveLanguageTags,UsedStyles,ResetPageSize,UpdateArrangement"/>
    <w:docVar w:name="WAFER_20140203103804_GUID" w:val="e9c57887-f632-413b-8c93-a074450f1d70"/>
    <w:docVar w:name="WAFER_20140203105637" w:val="RemoveTocBookmarks,RunningHeaders"/>
    <w:docVar w:name="WAFER_20140203105637_GUID" w:val="17707e94-07e1-4837-89cf-81e31f52629b"/>
    <w:docVar w:name="WAFER_20150713103531" w:val="ResetPageSize,UpdateArrangement,UpdateNTable"/>
    <w:docVar w:name="WAFER_20150713103531_GUID" w:val="ff182676-a4a3-4439-a83b-d9671f8ca5da"/>
    <w:docVar w:name="WAFER_20151109160435" w:val="UpdateStyles,UsedStyles"/>
    <w:docVar w:name="WAFER_20151109160435_GUID" w:val="fd87542f-4f50-4b67-b03b-b4f982c44c2c"/>
    <w:docVar w:name="WAFER_20151201122321" w:val="RemoveTrackChanges"/>
    <w:docVar w:name="WAFER_20151201122321_GUID" w:val="7e4221e2-7a72-4f94-bef1-230c6373e3cc"/>
    <w:docVar w:name="WAFER_20200212141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1143_GUID" w:val="7995fc16-fc49-4635-8b69-663b40941350"/>
    <w:docVar w:name="WAFER_20220408101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1114_GUID" w:val="ade25d11-8857-442b-bc76-f210c52b5d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97A8E3-A78E-4A4C-9D52-3407E8F6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2060</Words>
  <Characters>10096</Characters>
  <Application>Microsoft Office Word</Application>
  <DocSecurity>0</DocSecurity>
  <Lines>348</Lines>
  <Paragraphs>243</Paragraphs>
  <ScaleCrop>false</ScaleCrop>
  <HeadingPairs>
    <vt:vector size="2" baseType="variant">
      <vt:variant>
        <vt:lpstr>Title</vt:lpstr>
      </vt:variant>
      <vt:variant>
        <vt:i4>1</vt:i4>
      </vt:variant>
    </vt:vector>
  </HeadingPairs>
  <TitlesOfParts>
    <vt:vector size="1" baseType="lpstr">
      <vt:lpstr>Solicitor-General Act 1969</vt:lpstr>
    </vt:vector>
  </TitlesOfParts>
  <Manager/>
  <Company/>
  <LinksUpToDate>false</LinksUpToDate>
  <CharactersWithSpaces>11913</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1969 - 02-e0-00</dc:title>
  <dc:subject/>
  <dc:creator/>
  <cp:keywords/>
  <dc:description/>
  <cp:lastModifiedBy>Master Repository Process</cp:lastModifiedBy>
  <cp:revision>4</cp:revision>
  <cp:lastPrinted>2008-01-16T04:10:00Z</cp:lastPrinted>
  <dcterms:created xsi:type="dcterms:W3CDTF">2022-04-14T10:26:00Z</dcterms:created>
  <dcterms:modified xsi:type="dcterms:W3CDTF">2022-04-14T10:26:00Z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DocumentType">
    <vt:lpwstr>Act</vt:lpwstr>
  </property>
  <property fmtid="{D5CDD505-2E9C-101B-9397-08002B2CF9AE}" pid="4" name="OwlsUID">
    <vt:i4>757</vt:i4>
  </property>
  <property fmtid="{D5CDD505-2E9C-101B-9397-08002B2CF9AE}" pid="5" name="ReprintNo">
    <vt:lpwstr>2</vt:lpwstr>
  </property>
  <property fmtid="{D5CDD505-2E9C-101B-9397-08002B2CF9AE}" pid="6" name="AsAtDate">
    <vt:lpwstr>14 Apr 2022</vt:lpwstr>
  </property>
  <property fmtid="{D5CDD505-2E9C-101B-9397-08002B2CF9AE}" pid="7" name="Suffix">
    <vt:lpwstr>02-e0-00</vt:lpwstr>
  </property>
  <property fmtid="{D5CDD505-2E9C-101B-9397-08002B2CF9AE}" pid="8" name="CommencementDate">
    <vt:lpwstr>20220414</vt:lpwstr>
  </property>
</Properties>
</file>